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0BD05">
      <w:pPr>
        <w:pageBreakBefore w:val="0"/>
        <w:kinsoku/>
        <w:overflowPunct/>
        <w:bidi w:val="0"/>
        <w:spacing w:line="500" w:lineRule="exact"/>
        <w:jc w:val="center"/>
        <w:rPr>
          <w:rFonts w:hint="eastAsia" w:ascii="宋体" w:hAnsi="宋体" w:cs="宋体"/>
          <w:b/>
          <w:color w:val="auto"/>
          <w:sz w:val="44"/>
          <w:szCs w:val="44"/>
          <w:highlight w:val="none"/>
        </w:rPr>
      </w:pPr>
    </w:p>
    <w:p w14:paraId="2DF391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2025年陕州区菜园乡西凡村农机农资服务中心项目-农业机械设备采购</w:t>
      </w:r>
    </w:p>
    <w:p w14:paraId="59155D4F">
      <w:pPr>
        <w:pageBreakBefore w:val="0"/>
        <w:kinsoku/>
        <w:overflowPunct/>
        <w:bidi w:val="0"/>
        <w:spacing w:line="500" w:lineRule="exact"/>
        <w:jc w:val="center"/>
        <w:rPr>
          <w:rFonts w:hint="eastAsia" w:ascii="宋体" w:hAnsi="宋体"/>
          <w:b/>
          <w:color w:val="auto"/>
          <w:sz w:val="72"/>
          <w:szCs w:val="72"/>
          <w:highlight w:val="none"/>
        </w:rPr>
      </w:pPr>
    </w:p>
    <w:p w14:paraId="2EA7E28D">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宋体" w:hAnsi="宋体"/>
          <w:b/>
          <w:color w:val="auto"/>
          <w:sz w:val="24"/>
          <w:szCs w:val="24"/>
          <w:highlight w:val="none"/>
        </w:rPr>
      </w:pPr>
    </w:p>
    <w:p w14:paraId="37A1F07D">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宋体" w:hAnsi="宋体"/>
          <w:b/>
          <w:color w:val="auto"/>
          <w:sz w:val="72"/>
          <w:szCs w:val="72"/>
          <w:highlight w:val="none"/>
        </w:rPr>
      </w:pPr>
      <w:r>
        <w:rPr>
          <w:rFonts w:hint="eastAsia" w:ascii="宋体" w:hAnsi="宋体"/>
          <w:b/>
          <w:color w:val="auto"/>
          <w:sz w:val="72"/>
          <w:szCs w:val="72"/>
          <w:highlight w:val="none"/>
        </w:rPr>
        <w:t>竞争性磋商文件</w:t>
      </w:r>
    </w:p>
    <w:p w14:paraId="4E62E9D0">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 xml:space="preserve">   项目编号:</w:t>
      </w:r>
      <w:r>
        <w:rPr>
          <w:rFonts w:hint="eastAsia" w:ascii="宋体" w:hAnsi="宋体"/>
          <w:b/>
          <w:color w:val="auto"/>
          <w:sz w:val="30"/>
          <w:szCs w:val="30"/>
          <w:highlight w:val="none"/>
          <w:lang w:val="en-US" w:eastAsia="zh-CN"/>
        </w:rPr>
        <w:t>陕州竞磋采购-2025-56、SZGZ[2025]090-ZC060</w:t>
      </w:r>
    </w:p>
    <w:p w14:paraId="429C8270">
      <w:pPr>
        <w:pageBreakBefore w:val="0"/>
        <w:kinsoku/>
        <w:overflowPunct/>
        <w:bidi w:val="0"/>
        <w:spacing w:line="500" w:lineRule="exact"/>
        <w:jc w:val="center"/>
        <w:rPr>
          <w:rFonts w:hint="default" w:ascii="宋体" w:hAnsi="宋体"/>
          <w:b/>
          <w:color w:val="auto"/>
          <w:sz w:val="30"/>
          <w:szCs w:val="30"/>
          <w:highlight w:val="none"/>
          <w:lang w:val="en-US"/>
        </w:rPr>
      </w:pPr>
    </w:p>
    <w:p w14:paraId="3715B3E7">
      <w:pPr>
        <w:pageBreakBefore w:val="0"/>
        <w:kinsoku/>
        <w:overflowPunct/>
        <w:bidi w:val="0"/>
        <w:spacing w:line="500" w:lineRule="exact"/>
        <w:jc w:val="center"/>
        <w:rPr>
          <w:rFonts w:hint="default" w:ascii="宋体" w:hAnsi="宋体"/>
          <w:b/>
          <w:color w:val="auto"/>
          <w:sz w:val="30"/>
          <w:szCs w:val="30"/>
          <w:highlight w:val="none"/>
          <w:lang w:val="en-US"/>
        </w:rPr>
      </w:pPr>
    </w:p>
    <w:p w14:paraId="252D10FD">
      <w:pPr>
        <w:pageBreakBefore w:val="0"/>
        <w:kinsoku/>
        <w:overflowPunct/>
        <w:bidi w:val="0"/>
        <w:spacing w:line="500" w:lineRule="exact"/>
        <w:jc w:val="center"/>
        <w:rPr>
          <w:rFonts w:hint="default" w:ascii="宋体" w:hAnsi="宋体" w:eastAsia="宋体"/>
          <w:color w:val="auto"/>
          <w:sz w:val="28"/>
          <w:szCs w:val="28"/>
          <w:highlight w:val="none"/>
          <w:lang w:val="en-US" w:eastAsia="zh-CN"/>
        </w:rPr>
      </w:pPr>
    </w:p>
    <w:p w14:paraId="71E66862">
      <w:pPr>
        <w:pageBreakBefore w:val="0"/>
        <w:kinsoku/>
        <w:overflowPunct/>
        <w:bidi w:val="0"/>
        <w:spacing w:line="500" w:lineRule="exact"/>
        <w:ind w:firstLine="2508" w:firstLineChars="896"/>
        <w:rPr>
          <w:rFonts w:hint="eastAsia" w:ascii="宋体" w:hAnsi="宋体"/>
          <w:color w:val="auto"/>
          <w:sz w:val="28"/>
          <w:szCs w:val="28"/>
          <w:highlight w:val="none"/>
        </w:rPr>
      </w:pPr>
    </w:p>
    <w:p w14:paraId="64228C02">
      <w:pPr>
        <w:pStyle w:val="24"/>
        <w:rPr>
          <w:rFonts w:hint="eastAsia"/>
        </w:rPr>
      </w:pPr>
    </w:p>
    <w:p w14:paraId="57178F7C">
      <w:pPr>
        <w:pageBreakBefore w:val="0"/>
        <w:kinsoku/>
        <w:overflowPunct/>
        <w:bidi w:val="0"/>
        <w:spacing w:line="500" w:lineRule="exact"/>
        <w:ind w:firstLine="2233" w:firstLineChars="695"/>
        <w:rPr>
          <w:rFonts w:hint="eastAsia" w:ascii="宋体" w:hAnsi="宋体"/>
          <w:b/>
          <w:color w:val="auto"/>
          <w:sz w:val="32"/>
          <w:szCs w:val="32"/>
          <w:highlight w:val="none"/>
        </w:rPr>
      </w:pPr>
    </w:p>
    <w:p w14:paraId="1BF0CDC8">
      <w:pPr>
        <w:pageBreakBefore w:val="0"/>
        <w:kinsoku/>
        <w:overflowPunct/>
        <w:bidi w:val="0"/>
        <w:spacing w:line="500" w:lineRule="exact"/>
        <w:rPr>
          <w:rFonts w:hint="eastAsia" w:ascii="宋体" w:hAnsi="宋体"/>
          <w:b/>
          <w:color w:val="auto"/>
          <w:sz w:val="44"/>
          <w:szCs w:val="44"/>
          <w:highlight w:val="none"/>
        </w:rPr>
      </w:pPr>
    </w:p>
    <w:p w14:paraId="3481CEDC">
      <w:pPr>
        <w:pageBreakBefore w:val="0"/>
        <w:kinsoku/>
        <w:overflowPunct/>
        <w:bidi w:val="0"/>
        <w:spacing w:line="500" w:lineRule="exact"/>
        <w:rPr>
          <w:rFonts w:hint="eastAsia" w:ascii="宋体" w:hAnsi="宋体"/>
          <w:b/>
          <w:color w:val="auto"/>
          <w:sz w:val="44"/>
          <w:szCs w:val="44"/>
          <w:highlight w:val="none"/>
        </w:rPr>
      </w:pPr>
    </w:p>
    <w:p w14:paraId="7795C613">
      <w:pPr>
        <w:pStyle w:val="24"/>
        <w:rPr>
          <w:rFonts w:hint="eastAsia" w:ascii="宋体" w:hAnsi="宋体"/>
          <w:b/>
          <w:color w:val="auto"/>
          <w:sz w:val="44"/>
          <w:szCs w:val="44"/>
          <w:highlight w:val="none"/>
        </w:rPr>
      </w:pPr>
    </w:p>
    <w:p w14:paraId="6360BCFF">
      <w:pPr>
        <w:pStyle w:val="24"/>
        <w:ind w:left="0" w:leftChars="0" w:firstLine="0" w:firstLineChars="0"/>
        <w:rPr>
          <w:rFonts w:hint="eastAsia"/>
          <w:highlight w:val="none"/>
        </w:rPr>
      </w:pPr>
    </w:p>
    <w:p w14:paraId="53027CB4">
      <w:pPr>
        <w:pageBreakBefore w:val="0"/>
        <w:kinsoku/>
        <w:overflowPunct/>
        <w:bidi w:val="0"/>
        <w:spacing w:line="500" w:lineRule="exact"/>
        <w:ind w:firstLine="643" w:firstLineChars="20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采</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购</w:t>
      </w:r>
      <w:r>
        <w:rPr>
          <w:rFonts w:hint="eastAsia" w:ascii="宋体" w:hAnsi="宋体"/>
          <w:b/>
          <w:color w:val="auto"/>
          <w:sz w:val="32"/>
          <w:szCs w:val="32"/>
          <w:highlight w:val="none"/>
        </w:rPr>
        <w:t xml:space="preserve"> 人：</w:t>
      </w:r>
      <w:r>
        <w:rPr>
          <w:rFonts w:hint="eastAsia" w:ascii="宋体" w:hAnsi="宋体"/>
          <w:b/>
          <w:color w:val="auto"/>
          <w:sz w:val="32"/>
          <w:szCs w:val="32"/>
          <w:highlight w:val="none"/>
          <w:lang w:eastAsia="zh-CN"/>
        </w:rPr>
        <w:t>三门峡市陕州区菜园乡人民政府</w:t>
      </w:r>
    </w:p>
    <w:p w14:paraId="687653FD">
      <w:pPr>
        <w:pageBreakBefore w:val="0"/>
        <w:kinsoku/>
        <w:overflowPunct/>
        <w:bidi w:val="0"/>
        <w:spacing w:line="500" w:lineRule="exact"/>
        <w:ind w:firstLine="643" w:firstLineChars="20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代理机构：</w:t>
      </w:r>
      <w:r>
        <w:rPr>
          <w:rFonts w:hint="eastAsia" w:ascii="宋体" w:hAnsi="宋体"/>
          <w:b/>
          <w:color w:val="auto"/>
          <w:sz w:val="32"/>
          <w:szCs w:val="32"/>
          <w:highlight w:val="none"/>
          <w:lang w:eastAsia="zh-CN"/>
        </w:rPr>
        <w:t>河南锦霖工程管理有限公司</w:t>
      </w:r>
    </w:p>
    <w:p w14:paraId="1BA3F49A">
      <w:pPr>
        <w:pageBreakBefore w:val="0"/>
        <w:kinsoku/>
        <w:overflowPunct/>
        <w:bidi w:val="0"/>
        <w:spacing w:line="500" w:lineRule="exact"/>
        <w:ind w:firstLine="643" w:firstLineChars="200"/>
        <w:rPr>
          <w:rFonts w:ascii="宋体" w:hAnsi="宋体"/>
          <w:b/>
          <w:color w:val="auto"/>
          <w:sz w:val="32"/>
          <w:szCs w:val="32"/>
          <w:highlight w:val="none"/>
        </w:rPr>
      </w:pPr>
      <w:r>
        <w:rPr>
          <w:rFonts w:hint="eastAsia" w:ascii="宋体" w:hAnsi="宋体"/>
          <w:b/>
          <w:color w:val="auto"/>
          <w:sz w:val="32"/>
          <w:szCs w:val="32"/>
          <w:highlight w:val="none"/>
        </w:rPr>
        <w:t>日    期：</w:t>
      </w:r>
      <w:r>
        <w:rPr>
          <w:rFonts w:hint="eastAsia" w:ascii="宋体" w:hAnsi="宋体"/>
          <w:b/>
          <w:color w:val="auto"/>
          <w:sz w:val="32"/>
          <w:szCs w:val="32"/>
          <w:highlight w:val="none"/>
          <w:lang w:val="en-US" w:eastAsia="zh-CN"/>
        </w:rPr>
        <w:t>2025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6</w:t>
      </w:r>
      <w:r>
        <w:rPr>
          <w:rFonts w:hint="eastAsia" w:ascii="宋体" w:hAnsi="宋体"/>
          <w:b/>
          <w:color w:val="auto"/>
          <w:sz w:val="32"/>
          <w:szCs w:val="32"/>
          <w:highlight w:val="none"/>
        </w:rPr>
        <w:t>月</w:t>
      </w:r>
    </w:p>
    <w:p w14:paraId="6FA0084E">
      <w:pPr>
        <w:pStyle w:val="20"/>
        <w:pageBreakBefore w:val="0"/>
        <w:kinsoku/>
        <w:overflowPunct/>
        <w:bidi w:val="0"/>
        <w:spacing w:line="500" w:lineRule="exact"/>
        <w:jc w:val="both"/>
        <w:rPr>
          <w:rFonts w:hint="eastAsia" w:ascii="宋体" w:hAnsi="宋体" w:eastAsia="宋体"/>
          <w:color w:val="auto"/>
          <w:sz w:val="44"/>
          <w:szCs w:val="44"/>
          <w:highlight w:val="none"/>
        </w:rPr>
        <w:sectPr>
          <w:footerReference r:id="rId6" w:type="first"/>
          <w:headerReference r:id="rId3" w:type="default"/>
          <w:footerReference r:id="rId4" w:type="default"/>
          <w:footerReference r:id="rId5" w:type="even"/>
          <w:pgSz w:w="12240" w:h="15840"/>
          <w:pgMar w:top="1417" w:right="1134" w:bottom="1417" w:left="1417" w:header="720" w:footer="720" w:gutter="0"/>
          <w:pgNumType w:fmt="decimal" w:start="1"/>
          <w:cols w:space="720" w:num="1"/>
          <w:rtlGutter w:val="0"/>
        </w:sectPr>
      </w:pPr>
    </w:p>
    <w:p w14:paraId="43DC9AC0">
      <w:pPr>
        <w:pageBreakBefore w:val="0"/>
        <w:kinsoku/>
        <w:overflowPunct/>
        <w:bidi w:val="0"/>
        <w:spacing w:line="500" w:lineRule="exact"/>
        <w:jc w:val="center"/>
        <w:rPr>
          <w:rFonts w:ascii="宋体" w:hAnsi="宋体"/>
          <w:b/>
          <w:bCs/>
          <w:sz w:val="36"/>
          <w:szCs w:val="36"/>
          <w:highlight w:val="none"/>
        </w:rPr>
      </w:pPr>
      <w:r>
        <w:rPr>
          <w:rFonts w:ascii="宋体" w:hAnsi="宋体"/>
          <w:b/>
          <w:bCs/>
          <w:sz w:val="36"/>
          <w:szCs w:val="36"/>
          <w:highlight w:val="none"/>
        </w:rPr>
        <w:t>目</w:t>
      </w:r>
      <w:r>
        <w:rPr>
          <w:rFonts w:hint="eastAsia" w:ascii="宋体" w:hAnsi="宋体"/>
          <w:b/>
          <w:bCs/>
          <w:sz w:val="36"/>
          <w:szCs w:val="36"/>
          <w:highlight w:val="none"/>
          <w:lang w:val="en-US" w:eastAsia="zh-CN"/>
        </w:rPr>
        <w:t xml:space="preserve">  </w:t>
      </w:r>
      <w:r>
        <w:rPr>
          <w:rFonts w:ascii="宋体" w:hAnsi="宋体"/>
          <w:b/>
          <w:bCs/>
          <w:sz w:val="36"/>
          <w:szCs w:val="36"/>
          <w:highlight w:val="none"/>
        </w:rPr>
        <w:t>录</w:t>
      </w:r>
    </w:p>
    <w:p w14:paraId="76B99240">
      <w:pPr>
        <w:pStyle w:val="10"/>
        <w:pageBreakBefore w:val="0"/>
        <w:kinsoku/>
        <w:overflowPunct/>
        <w:bidi w:val="0"/>
        <w:spacing w:line="500" w:lineRule="exact"/>
        <w:rPr>
          <w:highlight w:val="none"/>
        </w:rPr>
      </w:pPr>
    </w:p>
    <w:p w14:paraId="16E2EDAC">
      <w:pPr>
        <w:pStyle w:val="21"/>
        <w:pageBreakBefore w:val="0"/>
        <w:kinsoku/>
        <w:overflowPunct/>
        <w:bidi w:val="0"/>
        <w:spacing w:line="500" w:lineRule="exact"/>
        <w:rPr>
          <w:highlight w:val="none"/>
        </w:rPr>
      </w:pPr>
    </w:p>
    <w:p w14:paraId="35C79EF7">
      <w:pPr>
        <w:pageBreakBefore w:val="0"/>
        <w:kinsoku/>
        <w:overflowPunct/>
        <w:bidi w:val="0"/>
        <w:spacing w:line="500" w:lineRule="exact"/>
        <w:rPr>
          <w:highlight w:val="none"/>
        </w:rPr>
      </w:pPr>
    </w:p>
    <w:p w14:paraId="2E20C018">
      <w:pPr>
        <w:pStyle w:val="20"/>
        <w:keepNext w:val="0"/>
        <w:keepLines w:val="0"/>
        <w:pageBreakBefore w:val="0"/>
        <w:widowControl w:val="0"/>
        <w:tabs>
          <w:tab w:val="right" w:leader="dot" w:pos="9035"/>
          <w:tab w:val="clear" w:pos="9345"/>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cs="宋体"/>
          <w:kern w:val="2"/>
          <w:sz w:val="32"/>
          <w:szCs w:val="32"/>
          <w:highlight w:val="none"/>
        </w:rPr>
        <w:fldChar w:fldCharType="begin"/>
      </w:r>
      <w:r>
        <w:rPr>
          <w:rFonts w:hint="eastAsia" w:cs="宋体"/>
          <w:kern w:val="2"/>
          <w:sz w:val="32"/>
          <w:szCs w:val="32"/>
          <w:highlight w:val="none"/>
        </w:rPr>
        <w:instrText xml:space="preserve">TOC \o "1-3" \h \u </w:instrText>
      </w:r>
      <w:r>
        <w:rPr>
          <w:rFonts w:hint="eastAsia" w:cs="宋体"/>
          <w:kern w:val="2"/>
          <w:sz w:val="32"/>
          <w:szCs w:val="32"/>
          <w:highlight w:val="none"/>
        </w:rPr>
        <w:fldChar w:fldCharType="separate"/>
      </w:r>
      <w:r>
        <w:rPr>
          <w:rFonts w:hint="eastAsia" w:ascii="宋体" w:hAnsi="宋体" w:eastAsia="宋体" w:cs="宋体"/>
          <w:kern w:val="2"/>
          <w:sz w:val="24"/>
          <w:szCs w:val="24"/>
          <w:highlight w:val="none"/>
        </w:rPr>
        <w:fldChar w:fldCharType="begin"/>
      </w:r>
      <w:r>
        <w:rPr>
          <w:rFonts w:hint="eastAsia" w:ascii="宋体" w:hAnsi="宋体" w:eastAsia="宋体" w:cs="宋体"/>
          <w:kern w:val="2"/>
          <w:sz w:val="24"/>
          <w:szCs w:val="24"/>
          <w:highlight w:val="none"/>
        </w:rPr>
        <w:instrText xml:space="preserve"> HYPERLINK \l _Toc6232 </w:instrText>
      </w:r>
      <w:r>
        <w:rPr>
          <w:rFonts w:hint="eastAsia" w:ascii="宋体" w:hAnsi="宋体" w:eastAsia="宋体" w:cs="宋体"/>
          <w:kern w:val="2"/>
          <w:sz w:val="24"/>
          <w:szCs w:val="24"/>
          <w:highlight w:val="none"/>
        </w:rPr>
        <w:fldChar w:fldCharType="separate"/>
      </w:r>
      <w:r>
        <w:rPr>
          <w:rFonts w:hint="eastAsia" w:ascii="宋体" w:hAnsi="宋体" w:eastAsia="宋体" w:cs="宋体"/>
          <w:sz w:val="24"/>
          <w:szCs w:val="24"/>
          <w:highlight w:val="none"/>
        </w:rPr>
        <w:t>第一章 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_Toc6232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kern w:val="2"/>
          <w:sz w:val="24"/>
          <w:szCs w:val="24"/>
          <w:highlight w:val="none"/>
        </w:rPr>
        <w:fldChar w:fldCharType="end"/>
      </w:r>
    </w:p>
    <w:p w14:paraId="50167832">
      <w:pPr>
        <w:pStyle w:val="20"/>
        <w:keepNext w:val="0"/>
        <w:keepLines w:val="0"/>
        <w:pageBreakBefore w:val="0"/>
        <w:widowControl w:val="0"/>
        <w:tabs>
          <w:tab w:val="right" w:leader="dot" w:pos="9035"/>
          <w:tab w:val="clear" w:pos="9345"/>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fldChar w:fldCharType="begin"/>
      </w:r>
      <w:r>
        <w:rPr>
          <w:rFonts w:hint="eastAsia" w:ascii="宋体" w:hAnsi="宋体" w:eastAsia="宋体" w:cs="宋体"/>
          <w:kern w:val="2"/>
          <w:sz w:val="24"/>
          <w:szCs w:val="24"/>
          <w:highlight w:val="none"/>
        </w:rPr>
        <w:instrText xml:space="preserve"> HYPERLINK \l _Toc7999 </w:instrText>
      </w:r>
      <w:r>
        <w:rPr>
          <w:rFonts w:hint="eastAsia" w:ascii="宋体" w:hAnsi="宋体" w:eastAsia="宋体" w:cs="宋体"/>
          <w:kern w:val="2"/>
          <w:sz w:val="24"/>
          <w:szCs w:val="24"/>
          <w:highlight w:val="none"/>
        </w:rPr>
        <w:fldChar w:fldCharType="separate"/>
      </w:r>
      <w:r>
        <w:rPr>
          <w:rFonts w:hint="eastAsia" w:ascii="宋体" w:hAnsi="宋体" w:eastAsia="宋体" w:cs="宋体"/>
          <w:sz w:val="24"/>
          <w:szCs w:val="24"/>
          <w:highlight w:val="none"/>
        </w:rPr>
        <w:t>第二章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_Toc7999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kern w:val="2"/>
          <w:sz w:val="24"/>
          <w:szCs w:val="24"/>
          <w:highlight w:val="none"/>
        </w:rPr>
        <w:fldChar w:fldCharType="end"/>
      </w:r>
    </w:p>
    <w:p w14:paraId="341B0C72">
      <w:pPr>
        <w:pStyle w:val="20"/>
        <w:keepNext w:val="0"/>
        <w:keepLines w:val="0"/>
        <w:pageBreakBefore w:val="0"/>
        <w:widowControl w:val="0"/>
        <w:tabs>
          <w:tab w:val="right" w:leader="dot" w:pos="9035"/>
          <w:tab w:val="clear" w:pos="9345"/>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fldChar w:fldCharType="begin"/>
      </w:r>
      <w:r>
        <w:rPr>
          <w:rFonts w:hint="eastAsia" w:ascii="宋体" w:hAnsi="宋体" w:eastAsia="宋体" w:cs="宋体"/>
          <w:kern w:val="2"/>
          <w:sz w:val="24"/>
          <w:szCs w:val="24"/>
          <w:highlight w:val="none"/>
        </w:rPr>
        <w:instrText xml:space="preserve"> HYPERLINK \l _Toc22255 </w:instrText>
      </w:r>
      <w:r>
        <w:rPr>
          <w:rFonts w:hint="eastAsia" w:ascii="宋体" w:hAnsi="宋体" w:eastAsia="宋体" w:cs="宋体"/>
          <w:kern w:val="2"/>
          <w:sz w:val="24"/>
          <w:szCs w:val="24"/>
          <w:highlight w:val="none"/>
        </w:rPr>
        <w:fldChar w:fldCharType="separate"/>
      </w:r>
      <w:r>
        <w:rPr>
          <w:rFonts w:hint="eastAsia" w:ascii="宋体" w:hAnsi="宋体" w:eastAsia="宋体" w:cs="宋体"/>
          <w:sz w:val="24"/>
          <w:szCs w:val="24"/>
          <w:highlight w:val="none"/>
        </w:rPr>
        <w:t>第三章采购</w:t>
      </w:r>
      <w:r>
        <w:rPr>
          <w:rFonts w:hint="eastAsia" w:ascii="宋体" w:hAnsi="宋体" w:eastAsia="宋体" w:cs="宋体"/>
          <w:sz w:val="24"/>
          <w:szCs w:val="24"/>
          <w:highlight w:val="none"/>
          <w:lang w:eastAsia="zh-CN"/>
        </w:rPr>
        <w:t>清单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_Toc22255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kern w:val="2"/>
          <w:sz w:val="24"/>
          <w:szCs w:val="24"/>
          <w:highlight w:val="none"/>
        </w:rPr>
        <w:fldChar w:fldCharType="end"/>
      </w:r>
    </w:p>
    <w:p w14:paraId="3194ED8C">
      <w:pPr>
        <w:pStyle w:val="20"/>
        <w:keepNext w:val="0"/>
        <w:keepLines w:val="0"/>
        <w:pageBreakBefore w:val="0"/>
        <w:widowControl w:val="0"/>
        <w:tabs>
          <w:tab w:val="right" w:leader="dot" w:pos="9035"/>
          <w:tab w:val="clear" w:pos="9345"/>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fldChar w:fldCharType="begin"/>
      </w:r>
      <w:r>
        <w:rPr>
          <w:rFonts w:hint="eastAsia" w:ascii="宋体" w:hAnsi="宋体" w:eastAsia="宋体" w:cs="宋体"/>
          <w:kern w:val="2"/>
          <w:sz w:val="24"/>
          <w:szCs w:val="24"/>
          <w:highlight w:val="none"/>
        </w:rPr>
        <w:instrText xml:space="preserve"> HYPERLINK \l _Toc22626 </w:instrText>
      </w:r>
      <w:r>
        <w:rPr>
          <w:rFonts w:hint="eastAsia" w:ascii="宋体" w:hAnsi="宋体" w:eastAsia="宋体" w:cs="宋体"/>
          <w:kern w:val="2"/>
          <w:sz w:val="24"/>
          <w:szCs w:val="24"/>
          <w:highlight w:val="none"/>
        </w:rPr>
        <w:fldChar w:fldCharType="separate"/>
      </w:r>
      <w:r>
        <w:rPr>
          <w:rFonts w:hint="eastAsia" w:ascii="宋体" w:hAnsi="宋体" w:eastAsia="宋体" w:cs="宋体"/>
          <w:sz w:val="24"/>
          <w:szCs w:val="24"/>
          <w:highlight w:val="none"/>
        </w:rPr>
        <w:t>第四章</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办法（综合评分法）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_Toc22626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kern w:val="2"/>
          <w:sz w:val="24"/>
          <w:szCs w:val="24"/>
          <w:highlight w:val="none"/>
        </w:rPr>
        <w:fldChar w:fldCharType="end"/>
      </w:r>
    </w:p>
    <w:p w14:paraId="5876203C">
      <w:pPr>
        <w:pStyle w:val="21"/>
        <w:keepNext w:val="0"/>
        <w:keepLines w:val="0"/>
        <w:pageBreakBefore w:val="0"/>
        <w:widowControl w:val="0"/>
        <w:tabs>
          <w:tab w:val="right" w:leader="dot" w:pos="9035"/>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fldChar w:fldCharType="begin"/>
      </w:r>
      <w:r>
        <w:rPr>
          <w:rFonts w:hint="eastAsia" w:ascii="宋体" w:hAnsi="宋体" w:eastAsia="宋体" w:cs="宋体"/>
          <w:kern w:val="2"/>
          <w:sz w:val="24"/>
          <w:szCs w:val="24"/>
          <w:highlight w:val="none"/>
        </w:rPr>
        <w:instrText xml:space="preserve"> HYPERLINK \l _Toc24517 </w:instrText>
      </w:r>
      <w:r>
        <w:rPr>
          <w:rFonts w:hint="eastAsia" w:ascii="宋体" w:hAnsi="宋体" w:eastAsia="宋体" w:cs="宋体"/>
          <w:kern w:val="2"/>
          <w:sz w:val="24"/>
          <w:szCs w:val="24"/>
          <w:highlight w:val="none"/>
        </w:rPr>
        <w:fldChar w:fldCharType="separate"/>
      </w:r>
      <w:r>
        <w:rPr>
          <w:rFonts w:hint="eastAsia" w:ascii="宋体" w:hAnsi="宋体" w:cs="宋体"/>
          <w:sz w:val="24"/>
          <w:szCs w:val="24"/>
          <w:highlight w:val="none"/>
          <w:lang w:eastAsia="zh-CN"/>
        </w:rPr>
        <w:t>评审办法前附表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_Toc24517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kern w:val="2"/>
          <w:sz w:val="24"/>
          <w:szCs w:val="24"/>
          <w:highlight w:val="none"/>
        </w:rPr>
        <w:fldChar w:fldCharType="end"/>
      </w:r>
    </w:p>
    <w:p w14:paraId="4E51E898">
      <w:pPr>
        <w:pStyle w:val="20"/>
        <w:keepNext w:val="0"/>
        <w:keepLines w:val="0"/>
        <w:pageBreakBefore w:val="0"/>
        <w:widowControl w:val="0"/>
        <w:tabs>
          <w:tab w:val="right" w:leader="dot" w:pos="9035"/>
          <w:tab w:val="clear" w:pos="9345"/>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fldChar w:fldCharType="begin"/>
      </w:r>
      <w:r>
        <w:rPr>
          <w:rFonts w:hint="eastAsia" w:ascii="宋体" w:hAnsi="宋体" w:eastAsia="宋体" w:cs="宋体"/>
          <w:kern w:val="2"/>
          <w:sz w:val="24"/>
          <w:szCs w:val="24"/>
          <w:highlight w:val="none"/>
        </w:rPr>
        <w:instrText xml:space="preserve"> HYPERLINK \l _Toc19153 </w:instrText>
      </w:r>
      <w:r>
        <w:rPr>
          <w:rFonts w:hint="eastAsia" w:ascii="宋体" w:hAnsi="宋体" w:eastAsia="宋体" w:cs="宋体"/>
          <w:kern w:val="2"/>
          <w:sz w:val="24"/>
          <w:szCs w:val="24"/>
          <w:highlight w:val="none"/>
        </w:rPr>
        <w:fldChar w:fldCharType="separate"/>
      </w:r>
      <w:r>
        <w:rPr>
          <w:rFonts w:hint="eastAsia" w:ascii="宋体" w:hAnsi="宋体" w:eastAsia="宋体" w:cs="宋体"/>
          <w:bCs/>
          <w:sz w:val="24"/>
          <w:szCs w:val="24"/>
          <w:highlight w:val="none"/>
        </w:rPr>
        <w:t>第五章合同条款及格式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_Toc19153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kern w:val="2"/>
          <w:sz w:val="24"/>
          <w:szCs w:val="24"/>
          <w:highlight w:val="none"/>
        </w:rPr>
        <w:fldChar w:fldCharType="end"/>
      </w:r>
    </w:p>
    <w:p w14:paraId="3E617C75">
      <w:pPr>
        <w:pStyle w:val="20"/>
        <w:keepNext w:val="0"/>
        <w:keepLines w:val="0"/>
        <w:pageBreakBefore w:val="0"/>
        <w:widowControl w:val="0"/>
        <w:tabs>
          <w:tab w:val="right" w:leader="dot" w:pos="9035"/>
          <w:tab w:val="clear" w:pos="9345"/>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fldChar w:fldCharType="begin"/>
      </w:r>
      <w:r>
        <w:rPr>
          <w:rFonts w:hint="eastAsia" w:ascii="宋体" w:hAnsi="宋体" w:eastAsia="宋体" w:cs="宋体"/>
          <w:kern w:val="2"/>
          <w:sz w:val="24"/>
          <w:szCs w:val="24"/>
          <w:highlight w:val="none"/>
        </w:rPr>
        <w:instrText xml:space="preserve"> HYPERLINK \l _Toc22719 </w:instrText>
      </w:r>
      <w:r>
        <w:rPr>
          <w:rFonts w:hint="eastAsia" w:ascii="宋体" w:hAnsi="宋体" w:eastAsia="宋体" w:cs="宋体"/>
          <w:kern w:val="2"/>
          <w:sz w:val="24"/>
          <w:szCs w:val="24"/>
          <w:highlight w:val="none"/>
        </w:rPr>
        <w:fldChar w:fldCharType="separate"/>
      </w:r>
      <w:r>
        <w:rPr>
          <w:rFonts w:hint="eastAsia" w:ascii="宋体" w:hAnsi="宋体" w:eastAsia="宋体" w:cs="宋体"/>
          <w:kern w:val="2"/>
          <w:sz w:val="24"/>
          <w:szCs w:val="24"/>
          <w:highlight w:val="none"/>
        </w:rPr>
        <w:t>第六章  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_Toc22719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41</w:t>
      </w:r>
      <w:r>
        <w:rPr>
          <w:rFonts w:hint="eastAsia" w:ascii="宋体" w:hAnsi="宋体" w:eastAsia="宋体" w:cs="宋体"/>
          <w:sz w:val="24"/>
          <w:szCs w:val="24"/>
          <w:highlight w:val="none"/>
        </w:rPr>
        <w:fldChar w:fldCharType="end"/>
      </w:r>
      <w:r>
        <w:rPr>
          <w:rFonts w:hint="eastAsia" w:ascii="宋体" w:hAnsi="宋体" w:eastAsia="宋体" w:cs="宋体"/>
          <w:kern w:val="2"/>
          <w:sz w:val="24"/>
          <w:szCs w:val="24"/>
          <w:highlight w:val="none"/>
        </w:rPr>
        <w:fldChar w:fldCharType="end"/>
      </w:r>
    </w:p>
    <w:p w14:paraId="6957493E">
      <w:pPr>
        <w:pStyle w:val="21"/>
        <w:pageBreakBefore w:val="0"/>
        <w:tabs>
          <w:tab w:val="right" w:leader="dot" w:pos="9035"/>
        </w:tabs>
        <w:kinsoku/>
        <w:overflowPunct/>
        <w:bidi w:val="0"/>
        <w:spacing w:line="500" w:lineRule="exact"/>
        <w:rPr>
          <w:highlight w:val="none"/>
        </w:rPr>
      </w:pPr>
    </w:p>
    <w:p w14:paraId="43E0A13D">
      <w:pPr>
        <w:pageBreakBefore w:val="0"/>
        <w:kinsoku/>
        <w:overflowPunct/>
        <w:bidi w:val="0"/>
        <w:spacing w:line="500" w:lineRule="exact"/>
        <w:rPr>
          <w:rFonts w:hint="eastAsia" w:cs="宋体"/>
          <w:kern w:val="2"/>
          <w:sz w:val="32"/>
          <w:szCs w:val="32"/>
          <w:highlight w:val="none"/>
        </w:rPr>
      </w:pPr>
      <w:r>
        <w:rPr>
          <w:rFonts w:hint="eastAsia" w:cs="宋体"/>
          <w:kern w:val="2"/>
          <w:szCs w:val="32"/>
          <w:highlight w:val="none"/>
        </w:rPr>
        <w:fldChar w:fldCharType="end"/>
      </w:r>
    </w:p>
    <w:p w14:paraId="6A54479F">
      <w:pPr>
        <w:pageBreakBefore w:val="0"/>
        <w:kinsoku/>
        <w:overflowPunct/>
        <w:bidi w:val="0"/>
        <w:spacing w:line="500" w:lineRule="exact"/>
        <w:rPr>
          <w:rFonts w:hint="eastAsia"/>
          <w:highlight w:val="none"/>
        </w:rPr>
      </w:pPr>
    </w:p>
    <w:p w14:paraId="5307F412">
      <w:pPr>
        <w:pageBreakBefore w:val="0"/>
        <w:kinsoku/>
        <w:overflowPunct/>
        <w:bidi w:val="0"/>
        <w:spacing w:line="500" w:lineRule="exact"/>
        <w:rPr>
          <w:rFonts w:hint="eastAsia"/>
          <w:highlight w:val="none"/>
        </w:rPr>
      </w:pPr>
    </w:p>
    <w:p w14:paraId="30D9A095">
      <w:pPr>
        <w:pageBreakBefore w:val="0"/>
        <w:kinsoku/>
        <w:overflowPunct/>
        <w:bidi w:val="0"/>
        <w:spacing w:line="500" w:lineRule="exact"/>
        <w:rPr>
          <w:rFonts w:hint="eastAsia"/>
          <w:highlight w:val="none"/>
        </w:rPr>
      </w:pPr>
    </w:p>
    <w:p w14:paraId="131B9F3D">
      <w:pPr>
        <w:pageBreakBefore w:val="0"/>
        <w:kinsoku/>
        <w:overflowPunct/>
        <w:bidi w:val="0"/>
        <w:spacing w:line="500" w:lineRule="exact"/>
        <w:rPr>
          <w:rFonts w:hint="eastAsia"/>
          <w:highlight w:val="none"/>
        </w:rPr>
      </w:pPr>
    </w:p>
    <w:p w14:paraId="70F983F2">
      <w:pPr>
        <w:pageBreakBefore w:val="0"/>
        <w:kinsoku/>
        <w:overflowPunct/>
        <w:bidi w:val="0"/>
        <w:spacing w:line="500" w:lineRule="exact"/>
        <w:rPr>
          <w:rFonts w:hint="eastAsia"/>
          <w:highlight w:val="none"/>
        </w:rPr>
      </w:pPr>
    </w:p>
    <w:p w14:paraId="3B6F0200">
      <w:pPr>
        <w:pageBreakBefore w:val="0"/>
        <w:kinsoku/>
        <w:overflowPunct/>
        <w:bidi w:val="0"/>
        <w:spacing w:line="500" w:lineRule="exact"/>
        <w:rPr>
          <w:rFonts w:hint="eastAsia"/>
          <w:highlight w:val="none"/>
        </w:rPr>
      </w:pPr>
    </w:p>
    <w:p w14:paraId="351F6563">
      <w:pPr>
        <w:pageBreakBefore w:val="0"/>
        <w:kinsoku/>
        <w:overflowPunct/>
        <w:bidi w:val="0"/>
        <w:spacing w:line="500" w:lineRule="exact"/>
        <w:rPr>
          <w:rFonts w:hint="eastAsia"/>
          <w:highlight w:val="none"/>
        </w:rPr>
      </w:pPr>
    </w:p>
    <w:p w14:paraId="610B9DDC">
      <w:pPr>
        <w:pageBreakBefore w:val="0"/>
        <w:kinsoku/>
        <w:overflowPunct/>
        <w:bidi w:val="0"/>
        <w:spacing w:line="500" w:lineRule="exact"/>
        <w:rPr>
          <w:rFonts w:hint="eastAsia"/>
          <w:highlight w:val="none"/>
        </w:rPr>
      </w:pPr>
    </w:p>
    <w:p w14:paraId="1C9A63D9">
      <w:pPr>
        <w:pStyle w:val="25"/>
        <w:pageBreakBefore w:val="0"/>
        <w:kinsoku/>
        <w:overflowPunct/>
        <w:bidi w:val="0"/>
        <w:spacing w:line="500" w:lineRule="exact"/>
        <w:rPr>
          <w:rFonts w:hint="eastAsia"/>
          <w:highlight w:val="none"/>
        </w:rPr>
      </w:pPr>
    </w:p>
    <w:p w14:paraId="694352AE">
      <w:pPr>
        <w:pageBreakBefore w:val="0"/>
        <w:kinsoku/>
        <w:overflowPunct/>
        <w:bidi w:val="0"/>
        <w:spacing w:line="500" w:lineRule="exact"/>
        <w:rPr>
          <w:rFonts w:hint="eastAsia"/>
          <w:highlight w:val="none"/>
        </w:rPr>
      </w:pPr>
    </w:p>
    <w:p w14:paraId="653338AE">
      <w:pPr>
        <w:pageBreakBefore w:val="0"/>
        <w:kinsoku/>
        <w:overflowPunct/>
        <w:bidi w:val="0"/>
        <w:spacing w:line="500" w:lineRule="exact"/>
        <w:rPr>
          <w:rFonts w:hint="eastAsia"/>
          <w:highlight w:val="none"/>
        </w:rPr>
      </w:pPr>
    </w:p>
    <w:p w14:paraId="6AC4A1D3">
      <w:pPr>
        <w:pageBreakBefore w:val="0"/>
        <w:kinsoku/>
        <w:overflowPunct/>
        <w:bidi w:val="0"/>
        <w:spacing w:line="500" w:lineRule="exact"/>
        <w:rPr>
          <w:rFonts w:hint="eastAsia"/>
          <w:highlight w:val="none"/>
        </w:rPr>
      </w:pPr>
    </w:p>
    <w:p w14:paraId="37C40F58">
      <w:pPr>
        <w:pageBreakBefore w:val="0"/>
        <w:kinsoku/>
        <w:overflowPunct/>
        <w:bidi w:val="0"/>
        <w:spacing w:line="500" w:lineRule="exact"/>
        <w:rPr>
          <w:rFonts w:hint="eastAsia"/>
          <w:highlight w:val="none"/>
        </w:rPr>
      </w:pPr>
    </w:p>
    <w:p w14:paraId="36A3E318">
      <w:pPr>
        <w:pStyle w:val="3"/>
        <w:pageBreakBefore w:val="0"/>
        <w:kinsoku/>
        <w:overflowPunct/>
        <w:bidi w:val="0"/>
        <w:spacing w:line="500" w:lineRule="exact"/>
        <w:rPr>
          <w:highlight w:val="none"/>
        </w:rPr>
      </w:pPr>
      <w:bookmarkStart w:id="0" w:name="_Toc6232"/>
      <w:r>
        <w:rPr>
          <w:rFonts w:hint="eastAsia"/>
          <w:highlight w:val="none"/>
        </w:rPr>
        <w:t>第一章 竞争性磋商公告</w:t>
      </w:r>
      <w:bookmarkEnd w:id="0"/>
    </w:p>
    <w:p w14:paraId="76B4B28C">
      <w:pPr>
        <w:pStyle w:val="2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360" w:lineRule="auto"/>
        <w:ind w:firstLine="482" w:firstLineChars="200"/>
        <w:textAlignment w:val="auto"/>
        <w:rPr>
          <w:rFonts w:hint="default"/>
          <w:b w:val="0"/>
          <w:bCs w:val="0"/>
          <w:color w:val="auto"/>
          <w:shd w:val="clear" w:color="auto" w:fill="FFFFFF"/>
          <w:lang w:val="en-US" w:eastAsia="zh-CN"/>
        </w:rPr>
      </w:pPr>
      <w:bookmarkStart w:id="1" w:name="_Toc28359002"/>
      <w:bookmarkStart w:id="2" w:name="_Toc35393790"/>
      <w:bookmarkStart w:id="3" w:name="_Toc28359079"/>
      <w:bookmarkStart w:id="4" w:name="_Toc35393621"/>
      <w:bookmarkStart w:id="5" w:name="_Hlk24379207"/>
      <w:r>
        <w:rPr>
          <w:rFonts w:hint="eastAsia"/>
          <w:b/>
          <w:bCs/>
          <w:color w:val="auto"/>
          <w:shd w:val="clear" w:color="auto" w:fill="FFFFFF"/>
          <w:lang w:val="en-US" w:eastAsia="zh-CN"/>
        </w:rPr>
        <w:t>项目概况</w:t>
      </w:r>
    </w:p>
    <w:p w14:paraId="3DEC9A4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highlight w:val="none"/>
          <w:lang w:val="en-US" w:eastAsia="zh-CN"/>
        </w:rPr>
      </w:pPr>
      <w:r>
        <w:rPr>
          <w:rFonts w:hint="eastAsia" w:ascii="宋体" w:hAnsi="宋体" w:cs="Times New Roman"/>
          <w:sz w:val="24"/>
          <w:highlight w:val="none"/>
          <w:lang w:val="en-US" w:eastAsia="zh-CN"/>
        </w:rPr>
        <w:t>2025年陕州区菜园乡西凡村农机农资服务中心项目-农业机械设备采购</w:t>
      </w:r>
      <w:r>
        <w:rPr>
          <w:rFonts w:hint="default" w:ascii="宋体" w:hAnsi="宋体" w:eastAsia="宋体" w:cs="Times New Roman"/>
          <w:sz w:val="24"/>
          <w:highlight w:val="none"/>
          <w:lang w:val="en-US" w:eastAsia="zh-CN"/>
        </w:rPr>
        <w:t>招标项目的潜在</w:t>
      </w:r>
      <w:r>
        <w:rPr>
          <w:rFonts w:hint="eastAsia" w:ascii="宋体" w:hAnsi="宋体" w:eastAsia="宋体" w:cs="Times New Roman"/>
          <w:sz w:val="24"/>
          <w:highlight w:val="none"/>
          <w:lang w:val="en-US" w:eastAsia="zh-CN"/>
        </w:rPr>
        <w:t>供应商</w:t>
      </w:r>
      <w:r>
        <w:rPr>
          <w:rFonts w:hint="default" w:ascii="宋体" w:hAnsi="宋体" w:eastAsia="宋体" w:cs="Times New Roman"/>
          <w:sz w:val="24"/>
          <w:highlight w:val="none"/>
          <w:lang w:val="en-US" w:eastAsia="zh-CN"/>
        </w:rPr>
        <w:t>应在三门峡市公共资源交易中心网（网址：http://gzjy.smx.gov.cn/）获取</w:t>
      </w:r>
      <w:r>
        <w:rPr>
          <w:rFonts w:hint="eastAsia" w:ascii="宋体" w:hAnsi="宋体" w:eastAsia="宋体" w:cs="Times New Roman"/>
          <w:sz w:val="24"/>
          <w:highlight w:val="none"/>
          <w:lang w:val="en-US" w:eastAsia="zh-CN"/>
        </w:rPr>
        <w:t>磋商</w:t>
      </w:r>
      <w:r>
        <w:rPr>
          <w:rFonts w:hint="default" w:ascii="宋体" w:hAnsi="宋体" w:eastAsia="宋体" w:cs="Times New Roman"/>
          <w:sz w:val="24"/>
          <w:highlight w:val="none"/>
          <w:lang w:val="en-US" w:eastAsia="zh-CN"/>
        </w:rPr>
        <w:t>文件，并于202</w:t>
      </w:r>
      <w:r>
        <w:rPr>
          <w:rFonts w:hint="eastAsia" w:ascii="宋体" w:hAnsi="宋体" w:cs="Times New Roman"/>
          <w:sz w:val="24"/>
          <w:highlight w:val="none"/>
          <w:lang w:val="en-US" w:eastAsia="zh-CN"/>
        </w:rPr>
        <w:t>5</w:t>
      </w:r>
      <w:r>
        <w:rPr>
          <w:rFonts w:hint="default" w:ascii="宋体" w:hAnsi="宋体" w:eastAsia="宋体" w:cs="Times New Roman"/>
          <w:sz w:val="24"/>
          <w:highlight w:val="none"/>
          <w:lang w:val="en-US" w:eastAsia="zh-CN"/>
        </w:rPr>
        <w:t>年</w:t>
      </w:r>
      <w:r>
        <w:rPr>
          <w:rFonts w:hint="eastAsia" w:ascii="宋体" w:hAnsi="宋体" w:cs="Times New Roman"/>
          <w:sz w:val="24"/>
          <w:highlight w:val="none"/>
          <w:lang w:val="en-US" w:eastAsia="zh-CN"/>
        </w:rPr>
        <w:t>6</w:t>
      </w:r>
      <w:r>
        <w:rPr>
          <w:rFonts w:hint="default" w:ascii="宋体" w:hAnsi="宋体" w:eastAsia="宋体" w:cs="Times New Roman"/>
          <w:sz w:val="24"/>
          <w:highlight w:val="none"/>
          <w:lang w:val="en-US" w:eastAsia="zh-CN"/>
        </w:rPr>
        <w:t>月</w:t>
      </w:r>
      <w:r>
        <w:rPr>
          <w:rFonts w:hint="eastAsia" w:ascii="宋体" w:hAnsi="宋体" w:cs="Times New Roman"/>
          <w:sz w:val="24"/>
          <w:highlight w:val="none"/>
          <w:lang w:val="en-US" w:eastAsia="zh-CN"/>
        </w:rPr>
        <w:t>19</w:t>
      </w:r>
      <w:r>
        <w:rPr>
          <w:rFonts w:hint="default" w:ascii="宋体" w:hAnsi="宋体" w:eastAsia="宋体" w:cs="Times New Roman"/>
          <w:sz w:val="24"/>
          <w:highlight w:val="none"/>
          <w:lang w:val="en-US" w:eastAsia="zh-CN"/>
        </w:rPr>
        <w:t>日</w:t>
      </w:r>
      <w:r>
        <w:rPr>
          <w:rFonts w:hint="eastAsia" w:ascii="宋体" w:hAnsi="宋体" w:eastAsia="宋体" w:cs="Times New Roman"/>
          <w:sz w:val="24"/>
          <w:highlight w:val="none"/>
          <w:lang w:val="en-US" w:eastAsia="zh-CN"/>
        </w:rPr>
        <w:t>08</w:t>
      </w:r>
      <w:r>
        <w:rPr>
          <w:rFonts w:hint="default" w:ascii="宋体" w:hAnsi="宋体" w:eastAsia="宋体" w:cs="Times New Roman"/>
          <w:sz w:val="24"/>
          <w:highlight w:val="none"/>
          <w:lang w:val="en-US" w:eastAsia="zh-CN"/>
        </w:rPr>
        <w:t>时</w:t>
      </w:r>
      <w:r>
        <w:rPr>
          <w:rFonts w:hint="eastAsia" w:ascii="宋体" w:hAnsi="宋体" w:eastAsia="宋体" w:cs="Times New Roman"/>
          <w:sz w:val="24"/>
          <w:highlight w:val="none"/>
          <w:lang w:val="en-US" w:eastAsia="zh-CN"/>
        </w:rPr>
        <w:t>30</w:t>
      </w:r>
      <w:r>
        <w:rPr>
          <w:rFonts w:hint="default" w:ascii="宋体" w:hAnsi="宋体" w:eastAsia="宋体" w:cs="Times New Roman"/>
          <w:sz w:val="24"/>
          <w:highlight w:val="none"/>
          <w:lang w:val="en-US" w:eastAsia="zh-CN"/>
        </w:rPr>
        <w:t>分（北京时间）前提交响应文件。</w:t>
      </w:r>
    </w:p>
    <w:p w14:paraId="4C913BB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b/>
          <w:bCs/>
          <w:sz w:val="24"/>
          <w:highlight w:val="none"/>
        </w:rPr>
      </w:pPr>
      <w:r>
        <w:rPr>
          <w:rFonts w:hint="eastAsia" w:ascii="宋体" w:hAnsi="宋体"/>
          <w:b/>
          <w:bCs/>
          <w:sz w:val="24"/>
          <w:highlight w:val="none"/>
        </w:rPr>
        <w:t>一、项目基本情况</w:t>
      </w:r>
      <w:bookmarkEnd w:id="1"/>
      <w:bookmarkEnd w:id="2"/>
      <w:bookmarkEnd w:id="3"/>
      <w:bookmarkEnd w:id="4"/>
    </w:p>
    <w:p w14:paraId="4A51CC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sz w:val="24"/>
          <w:highlight w:val="none"/>
          <w:lang w:val="en-US" w:eastAsia="zh-CN"/>
        </w:rPr>
      </w:pPr>
      <w:r>
        <w:rPr>
          <w:rFonts w:hint="eastAsia" w:ascii="宋体" w:hAnsi="宋体"/>
          <w:sz w:val="24"/>
          <w:highlight w:val="none"/>
        </w:rPr>
        <w:t>1、项目编号：</w:t>
      </w:r>
      <w:r>
        <w:rPr>
          <w:rFonts w:hint="eastAsia" w:ascii="宋体" w:hAnsi="宋体"/>
          <w:sz w:val="24"/>
          <w:highlight w:val="none"/>
          <w:lang w:val="en-US" w:eastAsia="zh-CN"/>
        </w:rPr>
        <w:t>陕州竞磋采购-2025-56、SZGZ[2025]090-ZC060</w:t>
      </w:r>
    </w:p>
    <w:p w14:paraId="7A10EF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highlight w:val="none"/>
        </w:rPr>
      </w:pPr>
      <w:r>
        <w:rPr>
          <w:rFonts w:hint="eastAsia" w:ascii="宋体" w:hAnsi="宋体"/>
          <w:sz w:val="24"/>
          <w:highlight w:val="none"/>
        </w:rPr>
        <w:t>2、项目名称：</w:t>
      </w:r>
      <w:r>
        <w:rPr>
          <w:rFonts w:hint="eastAsia" w:ascii="宋体" w:hAnsi="宋体"/>
          <w:sz w:val="24"/>
          <w:highlight w:val="none"/>
          <w:lang w:eastAsia="zh-CN"/>
        </w:rPr>
        <w:t>2025年陕州区菜园乡西凡村农机农资服务中心项目-农业机械设备采购</w:t>
      </w:r>
    </w:p>
    <w:bookmarkEnd w:id="5"/>
    <w:p w14:paraId="755EAD3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3、预算金额：</w:t>
      </w:r>
      <w:r>
        <w:rPr>
          <w:rFonts w:hint="eastAsia" w:ascii="宋体" w:hAnsi="宋体" w:cs="宋体"/>
          <w:color w:val="auto"/>
          <w:sz w:val="24"/>
          <w:highlight w:val="none"/>
          <w:lang w:val="en-US" w:eastAsia="zh-CN"/>
        </w:rPr>
        <w:t>572500.00</w:t>
      </w:r>
      <w:r>
        <w:rPr>
          <w:rFonts w:hint="eastAsia" w:ascii="宋体" w:hAnsi="宋体"/>
          <w:color w:val="auto"/>
          <w:sz w:val="24"/>
          <w:highlight w:val="none"/>
        </w:rPr>
        <w:t>元</w:t>
      </w:r>
    </w:p>
    <w:p w14:paraId="47C9CC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rPr>
        <w:t>4、最高限价：</w:t>
      </w:r>
      <w:r>
        <w:rPr>
          <w:rFonts w:hint="eastAsia" w:ascii="宋体" w:hAnsi="宋体" w:cs="宋体"/>
          <w:color w:val="auto"/>
          <w:sz w:val="24"/>
          <w:highlight w:val="none"/>
          <w:lang w:val="en-US" w:eastAsia="zh-CN"/>
        </w:rPr>
        <w:t>572500.00</w:t>
      </w:r>
      <w:r>
        <w:rPr>
          <w:rFonts w:hint="eastAsia" w:ascii="宋体" w:hAnsi="宋体"/>
          <w:color w:val="auto"/>
          <w:sz w:val="24"/>
          <w:highlight w:val="none"/>
        </w:rPr>
        <w:t>元</w:t>
      </w:r>
      <w:r>
        <w:rPr>
          <w:rFonts w:hint="eastAsia" w:ascii="宋体" w:hAnsi="宋体"/>
          <w:color w:val="auto"/>
          <w:sz w:val="24"/>
          <w:highlight w:val="none"/>
          <w:lang w:eastAsia="zh-CN"/>
        </w:rPr>
        <w:t>；</w:t>
      </w:r>
    </w:p>
    <w:tbl>
      <w:tblPr>
        <w:tblStyle w:val="27"/>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2496"/>
        <w:gridCol w:w="1452"/>
        <w:gridCol w:w="1416"/>
        <w:gridCol w:w="1416"/>
        <w:gridCol w:w="1042"/>
        <w:gridCol w:w="1416"/>
      </w:tblGrid>
      <w:tr w14:paraId="2A38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83" w:type="dxa"/>
            <w:noWrap w:val="0"/>
            <w:vAlign w:val="center"/>
          </w:tcPr>
          <w:p w14:paraId="4695C442">
            <w:pPr>
              <w:pStyle w:val="25"/>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序号</w:t>
            </w:r>
          </w:p>
        </w:tc>
        <w:tc>
          <w:tcPr>
            <w:tcW w:w="2496" w:type="dxa"/>
            <w:noWrap w:val="0"/>
            <w:vAlign w:val="center"/>
          </w:tcPr>
          <w:p w14:paraId="1487717A">
            <w:pPr>
              <w:pStyle w:val="25"/>
              <w:ind w:left="0" w:leftChars="0" w:firstLine="0" w:firstLineChars="0"/>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包号</w:t>
            </w:r>
          </w:p>
        </w:tc>
        <w:tc>
          <w:tcPr>
            <w:tcW w:w="1452" w:type="dxa"/>
            <w:noWrap w:val="0"/>
            <w:vAlign w:val="center"/>
          </w:tcPr>
          <w:p w14:paraId="5A8C98F5">
            <w:pPr>
              <w:pStyle w:val="25"/>
              <w:ind w:left="0" w:leftChars="0" w:firstLine="0" w:firstLineChars="0"/>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包名称</w:t>
            </w:r>
          </w:p>
        </w:tc>
        <w:tc>
          <w:tcPr>
            <w:tcW w:w="1416" w:type="dxa"/>
            <w:noWrap w:val="0"/>
            <w:vAlign w:val="center"/>
          </w:tcPr>
          <w:p w14:paraId="33CE43E3">
            <w:pPr>
              <w:pStyle w:val="25"/>
              <w:ind w:left="0" w:leftChars="0" w:firstLine="0" w:firstLineChars="0"/>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包预算（元）</w:t>
            </w:r>
          </w:p>
        </w:tc>
        <w:tc>
          <w:tcPr>
            <w:tcW w:w="1416" w:type="dxa"/>
            <w:noWrap w:val="0"/>
            <w:vAlign w:val="center"/>
          </w:tcPr>
          <w:p w14:paraId="7C2A2258">
            <w:pPr>
              <w:pStyle w:val="25"/>
              <w:ind w:left="0" w:leftChars="0" w:firstLine="0" w:firstLineChars="0"/>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包最高限价（元）</w:t>
            </w:r>
          </w:p>
        </w:tc>
        <w:tc>
          <w:tcPr>
            <w:tcW w:w="1042" w:type="dxa"/>
            <w:noWrap w:val="0"/>
            <w:vAlign w:val="center"/>
          </w:tcPr>
          <w:p w14:paraId="6FE42A3D">
            <w:pPr>
              <w:pStyle w:val="25"/>
              <w:ind w:left="0" w:leftChars="0" w:firstLine="0" w:firstLineChars="0"/>
              <w:jc w:val="center"/>
              <w:rPr>
                <w:rFonts w:hint="eastAsia" w:ascii="宋体" w:hAnsi="宋体" w:eastAsia="宋体" w:cs="宋体"/>
                <w:sz w:val="24"/>
                <w:szCs w:val="24"/>
                <w:highlight w:val="none"/>
                <w:vertAlign w:val="baseline"/>
                <w:lang w:eastAsia="zh-CN"/>
              </w:rPr>
            </w:pPr>
            <w:r>
              <w:rPr>
                <w:rFonts w:hint="eastAsia" w:ascii="宋体" w:hAnsi="宋体" w:eastAsia="宋体" w:cs="宋体"/>
                <w:color w:val="auto"/>
                <w:sz w:val="24"/>
                <w:szCs w:val="24"/>
                <w:highlight w:val="none"/>
                <w:shd w:val="clear" w:color="auto" w:fill="FFFFFF"/>
              </w:rPr>
              <w:t>是否专门面向中小企业</w:t>
            </w:r>
          </w:p>
        </w:tc>
        <w:tc>
          <w:tcPr>
            <w:tcW w:w="1416" w:type="dxa"/>
            <w:noWrap w:val="0"/>
            <w:vAlign w:val="center"/>
          </w:tcPr>
          <w:p w14:paraId="080A6416">
            <w:pPr>
              <w:pStyle w:val="25"/>
              <w:ind w:left="0" w:leftChars="0" w:firstLine="0" w:firstLineChars="0"/>
              <w:jc w:val="center"/>
              <w:rPr>
                <w:rFonts w:hint="eastAsia" w:ascii="宋体" w:hAnsi="宋体" w:eastAsia="宋体" w:cs="宋体"/>
                <w:sz w:val="24"/>
                <w:szCs w:val="24"/>
                <w:highlight w:val="none"/>
                <w:vertAlign w:val="baseline"/>
                <w:lang w:eastAsia="zh-CN"/>
              </w:rPr>
            </w:pPr>
            <w:r>
              <w:rPr>
                <w:rFonts w:hint="eastAsia" w:ascii="宋体" w:hAnsi="宋体" w:eastAsia="宋体" w:cs="宋体"/>
                <w:color w:val="auto"/>
                <w:sz w:val="24"/>
                <w:szCs w:val="24"/>
                <w:highlight w:val="none"/>
                <w:shd w:val="clear" w:color="auto" w:fill="FFFFFF"/>
              </w:rPr>
              <w:t>采购预留金额（元）</w:t>
            </w:r>
          </w:p>
        </w:tc>
      </w:tr>
      <w:tr w14:paraId="4E4D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583" w:type="dxa"/>
            <w:noWrap w:val="0"/>
            <w:vAlign w:val="center"/>
          </w:tcPr>
          <w:p w14:paraId="05EA4E55">
            <w:pPr>
              <w:pStyle w:val="25"/>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2496" w:type="dxa"/>
            <w:noWrap w:val="0"/>
            <w:vAlign w:val="center"/>
          </w:tcPr>
          <w:p w14:paraId="709C7F4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jc w:val="left"/>
              <w:rPr>
                <w:rFonts w:hint="default" w:ascii="宋体" w:hAnsi="宋体" w:eastAsia="宋体" w:cs="宋体"/>
                <w:sz w:val="24"/>
                <w:szCs w:val="24"/>
                <w:highlight w:val="none"/>
                <w:vertAlign w:val="baseline"/>
                <w:lang w:val="en-US" w:eastAsia="zh-CN"/>
              </w:rPr>
            </w:pPr>
            <w:r>
              <w:rPr>
                <w:rFonts w:hint="default" w:ascii="宋体" w:hAnsi="宋体" w:eastAsia="宋体" w:cs="宋体"/>
                <w:sz w:val="24"/>
                <w:szCs w:val="24"/>
                <w:highlight w:val="none"/>
                <w:vertAlign w:val="baseline"/>
                <w:lang w:val="en-US" w:eastAsia="zh-CN"/>
              </w:rPr>
              <w:t>SZGZ[2025]090-ZC060</w:t>
            </w:r>
          </w:p>
        </w:tc>
        <w:tc>
          <w:tcPr>
            <w:tcW w:w="1452" w:type="dxa"/>
            <w:noWrap w:val="0"/>
            <w:vAlign w:val="center"/>
          </w:tcPr>
          <w:p w14:paraId="58AA4B6A">
            <w:pPr>
              <w:pStyle w:val="25"/>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2025年陕州区菜园乡西凡村农机农资服务中心项目-农业机械设备采购</w:t>
            </w:r>
          </w:p>
        </w:tc>
        <w:tc>
          <w:tcPr>
            <w:tcW w:w="1416" w:type="dxa"/>
            <w:noWrap w:val="0"/>
            <w:vAlign w:val="center"/>
          </w:tcPr>
          <w:p w14:paraId="2136FB4F">
            <w:pPr>
              <w:ind w:left="0" w:leftChars="0" w:firstLine="0" w:firstLineChars="0"/>
              <w:jc w:val="both"/>
              <w:rPr>
                <w:rFonts w:hint="default" w:ascii="宋体" w:hAnsi="宋体" w:eastAsia="宋体" w:cs="宋体"/>
                <w:sz w:val="24"/>
                <w:szCs w:val="24"/>
                <w:highlight w:val="yellow"/>
                <w:vertAlign w:val="baseline"/>
                <w:lang w:val="en-US" w:eastAsia="zh-CN"/>
              </w:rPr>
            </w:pPr>
            <w:r>
              <w:rPr>
                <w:rFonts w:hint="eastAsia" w:ascii="宋体" w:hAnsi="宋体" w:cs="宋体"/>
                <w:color w:val="auto"/>
                <w:sz w:val="24"/>
                <w:highlight w:val="none"/>
                <w:lang w:val="en-US" w:eastAsia="zh-CN"/>
              </w:rPr>
              <w:t>572500.00</w:t>
            </w:r>
          </w:p>
        </w:tc>
        <w:tc>
          <w:tcPr>
            <w:tcW w:w="1416" w:type="dxa"/>
            <w:noWrap w:val="0"/>
            <w:vAlign w:val="center"/>
          </w:tcPr>
          <w:p w14:paraId="02D6887D">
            <w:pPr>
              <w:ind w:left="0" w:leftChars="0" w:firstLine="0" w:firstLineChars="0"/>
              <w:jc w:val="both"/>
              <w:rPr>
                <w:rFonts w:hint="default" w:ascii="宋体" w:hAnsi="宋体" w:eastAsia="宋体" w:cs="宋体"/>
                <w:sz w:val="24"/>
                <w:szCs w:val="24"/>
                <w:highlight w:val="none"/>
                <w:vertAlign w:val="baseline"/>
                <w:lang w:val="en-US" w:eastAsia="zh-CN"/>
              </w:rPr>
            </w:pPr>
            <w:r>
              <w:rPr>
                <w:rFonts w:hint="eastAsia" w:ascii="宋体" w:hAnsi="宋体" w:cs="宋体"/>
                <w:color w:val="auto"/>
                <w:sz w:val="24"/>
                <w:highlight w:val="none"/>
                <w:lang w:val="en-US" w:eastAsia="zh-CN"/>
              </w:rPr>
              <w:t>572500.00</w:t>
            </w:r>
          </w:p>
        </w:tc>
        <w:tc>
          <w:tcPr>
            <w:tcW w:w="1042" w:type="dxa"/>
            <w:noWrap w:val="0"/>
            <w:vAlign w:val="center"/>
          </w:tcPr>
          <w:p w14:paraId="29BFD62A">
            <w:pPr>
              <w:pStyle w:val="25"/>
              <w:ind w:left="0" w:leftChars="0" w:firstLine="0" w:firstLineChars="0"/>
              <w:jc w:val="center"/>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是</w:t>
            </w:r>
          </w:p>
        </w:tc>
        <w:tc>
          <w:tcPr>
            <w:tcW w:w="1416" w:type="dxa"/>
            <w:noWrap w:val="0"/>
            <w:vAlign w:val="center"/>
          </w:tcPr>
          <w:p w14:paraId="0F0CA7BE">
            <w:pPr>
              <w:pStyle w:val="25"/>
              <w:ind w:left="0" w:leftChars="0" w:firstLine="0" w:firstLineChars="0"/>
              <w:jc w:val="both"/>
              <w:rPr>
                <w:rFonts w:hint="default" w:ascii="宋体" w:hAnsi="宋体" w:eastAsia="宋体"/>
                <w:sz w:val="24"/>
                <w:szCs w:val="24"/>
                <w:highlight w:val="yellow"/>
                <w:lang w:val="en-US" w:eastAsia="zh-CN"/>
              </w:rPr>
            </w:pPr>
            <w:r>
              <w:rPr>
                <w:rFonts w:hint="eastAsia" w:ascii="宋体" w:hAnsi="宋体" w:cs="宋体"/>
                <w:color w:val="auto"/>
                <w:sz w:val="24"/>
                <w:highlight w:val="none"/>
                <w:lang w:val="en-US" w:eastAsia="zh-CN"/>
              </w:rPr>
              <w:t>572500.00</w:t>
            </w:r>
          </w:p>
        </w:tc>
      </w:tr>
    </w:tbl>
    <w:p w14:paraId="7FC6D2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5、采购需求：</w:t>
      </w:r>
    </w:p>
    <w:p w14:paraId="7859F6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rPr>
        <w:t>5.1采购内容：</w:t>
      </w:r>
      <w:r>
        <w:rPr>
          <w:rFonts w:hint="eastAsia" w:ascii="宋体" w:hAnsi="宋体"/>
          <w:color w:val="auto"/>
          <w:sz w:val="24"/>
          <w:highlight w:val="none"/>
          <w:lang w:val="en-US" w:eastAsia="zh-CN"/>
        </w:rPr>
        <w:t>包含拖拉机、液压翻转犁、旋耕机、三轮车、装载机等的采购及安装、调试、验收、培训、质保期服务、与货物有关的运输和保险及其他伴随服务</w:t>
      </w:r>
      <w:r>
        <w:rPr>
          <w:rFonts w:hint="eastAsia" w:ascii="宋体" w:hAnsi="宋体"/>
          <w:color w:val="auto"/>
          <w:sz w:val="24"/>
          <w:highlight w:val="none"/>
          <w:lang w:eastAsia="zh-CN"/>
        </w:rPr>
        <w:t>；</w:t>
      </w:r>
    </w:p>
    <w:p w14:paraId="4EA3AF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5.2交货地点：采购人指定地点</w:t>
      </w:r>
    </w:p>
    <w:p w14:paraId="4BE217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5.3交货期：</w:t>
      </w:r>
      <w:r>
        <w:rPr>
          <w:rFonts w:hint="eastAsia" w:ascii="宋体" w:hAnsi="宋体"/>
          <w:color w:val="auto"/>
          <w:sz w:val="24"/>
          <w:szCs w:val="24"/>
          <w:highlight w:val="none"/>
          <w:lang w:val="en-US" w:eastAsia="zh-CN"/>
        </w:rPr>
        <w:t>自合同签订后90日历天内供货并安装调试完毕</w:t>
      </w:r>
    </w:p>
    <w:p w14:paraId="07EE3D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4</w:t>
      </w:r>
      <w:r>
        <w:rPr>
          <w:rFonts w:hint="eastAsia" w:ascii="宋体" w:hAnsi="宋体"/>
          <w:sz w:val="24"/>
          <w:highlight w:val="none"/>
        </w:rPr>
        <w:t>质量标准：符合国家或行业规定的合格标准</w:t>
      </w:r>
    </w:p>
    <w:p w14:paraId="1C76D0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5.5质保期：</w:t>
      </w:r>
      <w:r>
        <w:rPr>
          <w:rFonts w:hint="eastAsia" w:ascii="宋体" w:hAnsi="宋体" w:cs="Times New Roman"/>
          <w:color w:val="auto"/>
          <w:sz w:val="24"/>
          <w:highlight w:val="none"/>
          <w:lang w:val="en-US" w:eastAsia="zh-CN"/>
        </w:rPr>
        <w:t>1年</w:t>
      </w:r>
    </w:p>
    <w:p w14:paraId="244088A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6、合同履</w:t>
      </w:r>
      <w:r>
        <w:rPr>
          <w:rFonts w:hint="eastAsia" w:ascii="宋体" w:hAnsi="宋体" w:eastAsia="宋体" w:cs="Times New Roman"/>
          <w:color w:val="auto"/>
          <w:sz w:val="24"/>
          <w:highlight w:val="none"/>
          <w:lang w:val="en-US" w:eastAsia="zh-CN"/>
        </w:rPr>
        <w:t>行期限：</w:t>
      </w:r>
      <w:r>
        <w:rPr>
          <w:rFonts w:hint="eastAsia" w:ascii="宋体" w:hAnsi="宋体" w:cs="Times New Roman"/>
          <w:color w:val="auto"/>
          <w:sz w:val="24"/>
          <w:highlight w:val="none"/>
          <w:lang w:val="en-US" w:eastAsia="zh-CN"/>
        </w:rPr>
        <w:t>同交货期</w:t>
      </w:r>
    </w:p>
    <w:p w14:paraId="789A11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7、本项目不接受联合体磋商。</w:t>
      </w:r>
    </w:p>
    <w:p w14:paraId="71BA45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8、是否接受进口产品：否</w:t>
      </w:r>
    </w:p>
    <w:p w14:paraId="1C0A09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pPr>
      <w:r>
        <w:rPr>
          <w:rFonts w:hint="eastAsia" w:ascii="宋体" w:hAnsi="宋体" w:eastAsia="宋体" w:cs="Times New Roman"/>
          <w:color w:val="auto"/>
          <w:sz w:val="24"/>
          <w:highlight w:val="none"/>
          <w:lang w:val="en-US" w:eastAsia="zh-CN"/>
        </w:rPr>
        <w:t>9、是否专门面向中小企业：是</w:t>
      </w:r>
    </w:p>
    <w:p w14:paraId="275443C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highlight w:val="none"/>
        </w:rPr>
      </w:pPr>
      <w:bookmarkStart w:id="6" w:name="_Toc28359003"/>
      <w:bookmarkStart w:id="7" w:name="_Toc28359080"/>
      <w:bookmarkStart w:id="8" w:name="_Toc35393791"/>
      <w:bookmarkStart w:id="9" w:name="_Toc35393622"/>
      <w:r>
        <w:rPr>
          <w:rFonts w:hint="eastAsia" w:ascii="宋体" w:hAnsi="宋体"/>
          <w:sz w:val="24"/>
          <w:highlight w:val="none"/>
        </w:rPr>
        <w:t>二、申请人的资格要求：</w:t>
      </w:r>
      <w:bookmarkEnd w:id="6"/>
      <w:bookmarkEnd w:id="7"/>
      <w:bookmarkEnd w:id="8"/>
      <w:bookmarkEnd w:id="9"/>
    </w:p>
    <w:p w14:paraId="6CE17128">
      <w:pPr>
        <w:pageBreakBefore w:val="0"/>
        <w:kinsoku/>
        <w:overflowPunct/>
        <w:bidi w:val="0"/>
        <w:spacing w:line="500" w:lineRule="exact"/>
        <w:ind w:firstLine="480" w:firstLineChars="200"/>
        <w:rPr>
          <w:rFonts w:hint="eastAsia" w:ascii="宋体" w:hAnsi="宋体"/>
          <w:color w:val="auto"/>
          <w:sz w:val="24"/>
          <w:szCs w:val="24"/>
          <w:highlight w:val="none"/>
        </w:rPr>
      </w:pPr>
      <w:bookmarkStart w:id="10" w:name="_Toc28359081"/>
      <w:bookmarkStart w:id="11" w:name="_Toc28359004"/>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满足《中华人民共和国政府采购法》第二十二条规定；</w:t>
      </w:r>
    </w:p>
    <w:p w14:paraId="2A08CB7F">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落实政府采购政策需满足的资格要求：</w:t>
      </w:r>
      <w:r>
        <w:rPr>
          <w:rFonts w:hint="eastAsia" w:ascii="宋体" w:hAnsi="宋体"/>
          <w:sz w:val="24"/>
          <w:highlight w:val="none"/>
          <w:lang w:val="en-US" w:eastAsia="zh-CN"/>
        </w:rPr>
        <w:t>本项目专门面向中小企业采购（监狱企业、残疾人福利性企业视同小微企业）</w:t>
      </w:r>
      <w:r>
        <w:rPr>
          <w:rFonts w:hint="eastAsia" w:ascii="宋体" w:hAnsi="宋体"/>
          <w:color w:val="auto"/>
          <w:sz w:val="24"/>
          <w:szCs w:val="24"/>
          <w:highlight w:val="none"/>
        </w:rPr>
        <w:t>；</w:t>
      </w:r>
    </w:p>
    <w:p w14:paraId="61074884">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本项目的特定资格要求：</w:t>
      </w:r>
    </w:p>
    <w:p w14:paraId="1BA81DFB">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3.1、供应商须具有独立法人资格，具备有效的营业执照；</w:t>
      </w:r>
    </w:p>
    <w:p w14:paraId="7F41B63E">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3.2、参加政府采购活动近3年内无行贿犯罪记录、无商业贿赂、无不正当竞争行为、无骗取中标、无严重违约及重大工程质量等问题的承诺书；</w:t>
      </w:r>
    </w:p>
    <w:p w14:paraId="0E945FB3">
      <w:pPr>
        <w:pageBreakBefore w:val="0"/>
        <w:kinsoku/>
        <w:overflowPunct/>
        <w:bidi w:val="0"/>
        <w:spacing w:line="50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3.3、供应商自行出具本企业无商业贿赂和不正当竞争行为承诺书</w:t>
      </w:r>
      <w:r>
        <w:rPr>
          <w:rFonts w:hint="eastAsia" w:ascii="宋体" w:hAnsi="宋体"/>
          <w:color w:val="auto"/>
          <w:sz w:val="24"/>
          <w:szCs w:val="24"/>
          <w:highlight w:val="none"/>
          <w:lang w:eastAsia="zh-CN"/>
        </w:rPr>
        <w:t>；</w:t>
      </w:r>
    </w:p>
    <w:p w14:paraId="2FD806B8">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3.4、根据《关于在政府采购活动中查询及使用信用记录有关问题的通知》(财库[2016]125号)和豫财购</w:t>
      </w:r>
      <w:r>
        <w:rPr>
          <w:rFonts w:hint="eastAsia" w:ascii="宋体" w:hAnsi="宋体" w:cs="Times New Roman"/>
          <w:color w:val="auto"/>
          <w:sz w:val="24"/>
          <w:szCs w:val="24"/>
          <w:highlight w:val="none"/>
        </w:rPr>
        <w:t>【2016】15号的规定，</w:t>
      </w:r>
      <w:r>
        <w:rPr>
          <w:rFonts w:hint="eastAsia" w:ascii="宋体" w:hAnsi="宋体" w:cs="Times New Roman"/>
          <w:color w:val="auto"/>
          <w:sz w:val="24"/>
          <w:szCs w:val="24"/>
          <w:highlight w:val="none"/>
          <w:lang w:val="en-US" w:eastAsia="zh-CN"/>
        </w:rPr>
        <w:t>供应商</w:t>
      </w:r>
      <w:r>
        <w:rPr>
          <w:rFonts w:hint="eastAsia" w:ascii="宋体" w:hAnsi="宋体" w:cs="Times New Roman"/>
          <w:color w:val="auto"/>
          <w:sz w:val="24"/>
          <w:szCs w:val="24"/>
          <w:highlight w:val="none"/>
        </w:rPr>
        <w:t>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https://www.creditchina.gov.cn/xinxigongshi/）、中国政府采购网（www.ccgp.gov.cn），提供网站的查询结果截图，截图要显示查询时间，查询时间自本公告发布之日起；</w:t>
      </w:r>
    </w:p>
    <w:p w14:paraId="35E10A49">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color w:val="auto"/>
          <w:sz w:val="24"/>
          <w:szCs w:val="24"/>
          <w:highlight w:val="none"/>
        </w:rPr>
        <w:t>3.5、本项目不接受联合体</w:t>
      </w:r>
      <w:r>
        <w:rPr>
          <w:rFonts w:hint="eastAsia" w:ascii="宋体" w:hAnsi="宋体"/>
          <w:color w:val="auto"/>
          <w:sz w:val="24"/>
          <w:szCs w:val="24"/>
          <w:highlight w:val="none"/>
          <w:lang w:eastAsia="zh-CN"/>
        </w:rPr>
        <w:t>参加</w:t>
      </w:r>
      <w:r>
        <w:rPr>
          <w:rFonts w:hint="eastAsia" w:ascii="宋体" w:hAnsi="宋体"/>
          <w:color w:val="auto"/>
          <w:sz w:val="24"/>
          <w:szCs w:val="24"/>
          <w:highlight w:val="none"/>
        </w:rPr>
        <w:t>。</w:t>
      </w:r>
    </w:p>
    <w:p w14:paraId="5E3D4415">
      <w:pPr>
        <w:pageBreakBefore w:val="0"/>
        <w:kinsoku/>
        <w:wordWrap w:val="0"/>
        <w:overflowPunct/>
        <w:bidi w:val="0"/>
        <w:spacing w:line="500" w:lineRule="exact"/>
        <w:ind w:firstLine="482" w:firstLineChars="201"/>
        <w:rPr>
          <w:rFonts w:hint="default" w:ascii="宋体" w:hAnsi="宋体" w:eastAsia="宋体"/>
          <w:sz w:val="24"/>
          <w:highlight w:val="none"/>
          <w:lang w:val="en-US" w:eastAsia="zh-CN"/>
        </w:rPr>
      </w:pPr>
      <w:bookmarkStart w:id="12" w:name="_Toc35393623"/>
      <w:bookmarkStart w:id="13" w:name="_Toc35393792"/>
      <w:r>
        <w:rPr>
          <w:rFonts w:hint="eastAsia" w:ascii="宋体" w:hAnsi="宋体"/>
          <w:sz w:val="24"/>
          <w:highlight w:val="none"/>
        </w:rPr>
        <w:t>三、获取</w:t>
      </w:r>
      <w:bookmarkEnd w:id="10"/>
      <w:bookmarkEnd w:id="11"/>
      <w:bookmarkEnd w:id="12"/>
      <w:bookmarkEnd w:id="13"/>
      <w:r>
        <w:rPr>
          <w:rFonts w:hint="eastAsia" w:ascii="宋体" w:hAnsi="宋体"/>
          <w:sz w:val="24"/>
          <w:highlight w:val="none"/>
          <w:lang w:val="en-US" w:eastAsia="zh-CN"/>
        </w:rPr>
        <w:t>采购文件</w:t>
      </w:r>
    </w:p>
    <w:p w14:paraId="4C3D25C6">
      <w:pPr>
        <w:pStyle w:val="23"/>
        <w:pageBreakBefore w:val="0"/>
        <w:shd w:val="clear" w:color="auto" w:fill="FFFFFF"/>
        <w:kinsoku/>
        <w:overflowPunct/>
        <w:bidi w:val="0"/>
        <w:spacing w:before="0" w:beforeAutospacing="0" w:after="0" w:afterAutospacing="0" w:line="500" w:lineRule="exact"/>
        <w:ind w:firstLine="470" w:firstLineChars="196"/>
        <w:rPr>
          <w:rFonts w:hint="eastAsia" w:ascii="宋体" w:hAnsi="宋体"/>
          <w:sz w:val="24"/>
          <w:highlight w:val="none"/>
          <w:lang w:val="en-US" w:eastAsia="zh-CN"/>
        </w:rPr>
      </w:pPr>
      <w:bookmarkStart w:id="14" w:name="_Toc28359082"/>
      <w:bookmarkStart w:id="15" w:name="_Toc28359005"/>
      <w:bookmarkStart w:id="16" w:name="_Toc35393793"/>
      <w:bookmarkStart w:id="17" w:name="_Toc35393624"/>
      <w:r>
        <w:rPr>
          <w:rFonts w:hint="eastAsia" w:ascii="宋体" w:hAnsi="宋体"/>
          <w:sz w:val="24"/>
          <w:highlight w:val="none"/>
          <w:lang w:val="en-US" w:eastAsia="zh-CN"/>
        </w:rPr>
        <w:t>时间：202</w:t>
      </w:r>
      <w:r>
        <w:rPr>
          <w:rFonts w:hint="eastAsia"/>
          <w:sz w:val="24"/>
          <w:highlight w:val="none"/>
          <w:lang w:val="en-US" w:eastAsia="zh-CN"/>
        </w:rPr>
        <w:t>5</w:t>
      </w:r>
      <w:r>
        <w:rPr>
          <w:rFonts w:hint="eastAsia" w:ascii="宋体" w:hAnsi="宋体"/>
          <w:sz w:val="24"/>
          <w:highlight w:val="none"/>
          <w:lang w:val="en-US" w:eastAsia="zh-CN"/>
        </w:rPr>
        <w:t>年</w:t>
      </w:r>
      <w:r>
        <w:rPr>
          <w:rFonts w:hint="eastAsia"/>
          <w:sz w:val="24"/>
          <w:highlight w:val="none"/>
          <w:lang w:val="en-US" w:eastAsia="zh-CN"/>
        </w:rPr>
        <w:t>6</w:t>
      </w:r>
      <w:r>
        <w:rPr>
          <w:rFonts w:hint="eastAsia" w:ascii="宋体" w:hAnsi="宋体"/>
          <w:sz w:val="24"/>
          <w:highlight w:val="none"/>
          <w:lang w:val="en-US" w:eastAsia="zh-CN"/>
        </w:rPr>
        <w:t>月</w:t>
      </w:r>
      <w:r>
        <w:rPr>
          <w:rFonts w:hint="eastAsia"/>
          <w:sz w:val="24"/>
          <w:highlight w:val="none"/>
          <w:lang w:val="en-US" w:eastAsia="zh-CN"/>
        </w:rPr>
        <w:t>6</w:t>
      </w:r>
      <w:r>
        <w:rPr>
          <w:rFonts w:hint="eastAsia" w:ascii="宋体" w:hAnsi="宋体"/>
          <w:sz w:val="24"/>
          <w:highlight w:val="none"/>
          <w:lang w:val="en-US" w:eastAsia="zh-CN"/>
        </w:rPr>
        <w:t>日 至 202</w:t>
      </w:r>
      <w:r>
        <w:rPr>
          <w:rFonts w:hint="eastAsia"/>
          <w:sz w:val="24"/>
          <w:highlight w:val="none"/>
          <w:lang w:val="en-US" w:eastAsia="zh-CN"/>
        </w:rPr>
        <w:t>5</w:t>
      </w:r>
      <w:r>
        <w:rPr>
          <w:rFonts w:hint="eastAsia" w:ascii="宋体" w:hAnsi="宋体"/>
          <w:sz w:val="24"/>
          <w:highlight w:val="none"/>
          <w:lang w:val="en-US" w:eastAsia="zh-CN"/>
        </w:rPr>
        <w:t>年</w:t>
      </w:r>
      <w:r>
        <w:rPr>
          <w:rFonts w:hint="eastAsia"/>
          <w:sz w:val="24"/>
          <w:highlight w:val="none"/>
          <w:lang w:val="en-US" w:eastAsia="zh-CN"/>
        </w:rPr>
        <w:t>6</w:t>
      </w:r>
      <w:r>
        <w:rPr>
          <w:rFonts w:hint="eastAsia" w:ascii="宋体" w:hAnsi="宋体"/>
          <w:sz w:val="24"/>
          <w:highlight w:val="none"/>
          <w:lang w:val="en-US" w:eastAsia="zh-CN"/>
        </w:rPr>
        <w:t>月</w:t>
      </w:r>
      <w:r>
        <w:rPr>
          <w:rFonts w:hint="eastAsia"/>
          <w:sz w:val="24"/>
          <w:highlight w:val="none"/>
          <w:lang w:val="en-US" w:eastAsia="zh-CN"/>
        </w:rPr>
        <w:t>18</w:t>
      </w:r>
      <w:r>
        <w:rPr>
          <w:rFonts w:hint="eastAsia" w:ascii="宋体" w:hAnsi="宋体"/>
          <w:sz w:val="24"/>
          <w:highlight w:val="none"/>
          <w:lang w:val="en-US" w:eastAsia="zh-CN"/>
        </w:rPr>
        <w:t>日，每天上午00:00至12:00，下午12:00至23:59（北京时间，法定节假日除外。）</w:t>
      </w:r>
    </w:p>
    <w:p w14:paraId="60C5B63B">
      <w:pPr>
        <w:pStyle w:val="23"/>
        <w:pageBreakBefore w:val="0"/>
        <w:shd w:val="clear" w:color="auto" w:fill="FFFFFF"/>
        <w:kinsoku/>
        <w:overflowPunct/>
        <w:bidi w:val="0"/>
        <w:spacing w:before="0" w:beforeAutospacing="0" w:after="0" w:afterAutospacing="0" w:line="500" w:lineRule="exact"/>
        <w:ind w:firstLine="470" w:firstLineChars="196"/>
        <w:rPr>
          <w:rFonts w:hint="eastAsia" w:ascii="宋体" w:hAnsi="宋体"/>
          <w:sz w:val="24"/>
          <w:highlight w:val="none"/>
          <w:lang w:val="en-US" w:eastAsia="zh-CN"/>
        </w:rPr>
      </w:pPr>
      <w:r>
        <w:rPr>
          <w:rFonts w:hint="eastAsia" w:ascii="宋体" w:hAnsi="宋体"/>
          <w:sz w:val="24"/>
          <w:highlight w:val="none"/>
          <w:lang w:val="en-US" w:eastAsia="zh-CN"/>
        </w:rPr>
        <w:t>地点：三门峡市公共资源交易中心网（网址：http://gzjy.smx.gov.cn/）</w:t>
      </w:r>
    </w:p>
    <w:p w14:paraId="7E3925F4">
      <w:pPr>
        <w:pStyle w:val="23"/>
        <w:pageBreakBefore w:val="0"/>
        <w:shd w:val="clear" w:color="auto" w:fill="FFFFFF"/>
        <w:kinsoku/>
        <w:overflowPunct/>
        <w:bidi w:val="0"/>
        <w:spacing w:before="0" w:beforeAutospacing="0" w:after="0" w:afterAutospacing="0" w:line="500" w:lineRule="exact"/>
        <w:ind w:firstLine="470" w:firstLineChars="196"/>
        <w:rPr>
          <w:rFonts w:hint="eastAsia" w:ascii="宋体" w:hAnsi="宋体"/>
          <w:sz w:val="24"/>
          <w:highlight w:val="none"/>
          <w:lang w:val="en-US" w:eastAsia="zh-CN"/>
        </w:rPr>
      </w:pPr>
      <w:r>
        <w:rPr>
          <w:rFonts w:hint="eastAsia" w:ascii="宋体" w:hAnsi="宋体"/>
          <w:sz w:val="24"/>
          <w:highlight w:val="none"/>
          <w:lang w:val="en-US" w:eastAsia="zh-CN"/>
        </w:rPr>
        <w:t>方式：本项目没有报名环节，供应商凭CA数字证书通过三门峡市公共资源交易中心网（网址：</w:t>
      </w:r>
      <w:r>
        <w:rPr>
          <w:rFonts w:hint="eastAsia" w:ascii="宋体" w:hAnsi="宋体"/>
          <w:sz w:val="24"/>
          <w:highlight w:val="none"/>
          <w:lang w:val="en-US" w:eastAsia="zh-CN"/>
        </w:rPr>
        <w:fldChar w:fldCharType="begin"/>
      </w:r>
      <w:r>
        <w:rPr>
          <w:rFonts w:hint="eastAsia" w:ascii="宋体" w:hAnsi="宋体"/>
          <w:sz w:val="24"/>
          <w:highlight w:val="none"/>
          <w:lang w:val="en-US" w:eastAsia="zh-CN"/>
        </w:rPr>
        <w:instrText xml:space="preserve"> HYPERLINK "http://gzjy.smx.gov.cn/）点击交易平台选择\“市场主体登录\”，在所参与项目右侧点击参与投标，即可直接下载本项目磋商文件。" </w:instrText>
      </w:r>
      <w:r>
        <w:rPr>
          <w:rFonts w:hint="eastAsia" w:ascii="宋体" w:hAnsi="宋体"/>
          <w:sz w:val="24"/>
          <w:highlight w:val="none"/>
          <w:lang w:val="en-US" w:eastAsia="zh-CN"/>
        </w:rPr>
        <w:fldChar w:fldCharType="separate"/>
      </w:r>
      <w:r>
        <w:rPr>
          <w:rFonts w:hint="eastAsia" w:ascii="宋体" w:hAnsi="宋体"/>
          <w:sz w:val="24"/>
          <w:highlight w:val="none"/>
          <w:lang w:val="en-US" w:eastAsia="zh-CN"/>
        </w:rPr>
        <w:t>http://gzjy.smx.gov.cn/）点击交易平台选择“市场主体登录”，在所参与项目右侧点击参与投标，即可直接下载本项目磋商文件。</w:t>
      </w:r>
      <w:r>
        <w:rPr>
          <w:rFonts w:hint="eastAsia" w:ascii="宋体" w:hAnsi="宋体"/>
          <w:sz w:val="24"/>
          <w:highlight w:val="none"/>
          <w:lang w:val="en-US" w:eastAsia="zh-CN"/>
        </w:rPr>
        <w:fldChar w:fldCharType="end"/>
      </w:r>
    </w:p>
    <w:p w14:paraId="61FED65A">
      <w:pPr>
        <w:pStyle w:val="23"/>
        <w:pageBreakBefore w:val="0"/>
        <w:shd w:val="clear" w:color="auto" w:fill="FFFFFF"/>
        <w:kinsoku/>
        <w:overflowPunct/>
        <w:bidi w:val="0"/>
        <w:spacing w:before="0" w:beforeAutospacing="0" w:after="0" w:afterAutospacing="0" w:line="500" w:lineRule="exact"/>
        <w:ind w:firstLine="470" w:firstLineChars="196"/>
        <w:rPr>
          <w:rFonts w:hint="eastAsia" w:ascii="宋体" w:hAnsi="宋体"/>
          <w:sz w:val="24"/>
          <w:highlight w:val="none"/>
          <w:lang w:val="en-US" w:eastAsia="zh-CN"/>
        </w:rPr>
      </w:pPr>
      <w:r>
        <w:rPr>
          <w:rFonts w:hint="eastAsia" w:ascii="宋体" w:hAnsi="宋体"/>
          <w:sz w:val="24"/>
          <w:highlight w:val="none"/>
          <w:lang w:val="en-US" w:eastAsia="zh-CN"/>
        </w:rPr>
        <w:t>办理CA证书：</w:t>
      </w:r>
    </w:p>
    <w:p w14:paraId="78D0B034">
      <w:pPr>
        <w:pStyle w:val="23"/>
        <w:pageBreakBefore w:val="0"/>
        <w:shd w:val="clear" w:color="auto" w:fill="FFFFFF"/>
        <w:kinsoku/>
        <w:overflowPunct/>
        <w:bidi w:val="0"/>
        <w:spacing w:before="0" w:beforeAutospacing="0" w:after="0" w:afterAutospacing="0" w:line="500" w:lineRule="exact"/>
        <w:ind w:firstLine="470" w:firstLineChars="196"/>
        <w:rPr>
          <w:rFonts w:hint="eastAsia" w:ascii="宋体" w:hAnsi="宋体"/>
          <w:sz w:val="24"/>
          <w:highlight w:val="none"/>
          <w:lang w:val="en-US" w:eastAsia="zh-CN"/>
        </w:rPr>
      </w:pPr>
      <w:r>
        <w:rPr>
          <w:rFonts w:hint="eastAsia" w:ascii="宋体" w:hAnsi="宋体"/>
          <w:sz w:val="24"/>
          <w:highlight w:val="none"/>
          <w:lang w:val="en-US" w:eastAsia="zh-CN"/>
        </w:rPr>
        <w:t>http://gzjy.smx.gov.cn/bzzx/008001/20211105/57b16af9-ab87-4395-a723-7758c628a3f8.html</w:t>
      </w:r>
    </w:p>
    <w:p w14:paraId="0E8A98C2">
      <w:pPr>
        <w:pStyle w:val="23"/>
        <w:pageBreakBefore w:val="0"/>
        <w:shd w:val="clear" w:color="auto" w:fill="FFFFFF"/>
        <w:kinsoku/>
        <w:overflowPunct/>
        <w:bidi w:val="0"/>
        <w:spacing w:before="0" w:beforeAutospacing="0" w:after="0" w:afterAutospacing="0" w:line="500" w:lineRule="exact"/>
        <w:ind w:firstLine="470" w:firstLineChars="196"/>
        <w:rPr>
          <w:rFonts w:ascii="宋体" w:hAnsi="宋体"/>
          <w:sz w:val="24"/>
          <w:highlight w:val="none"/>
        </w:rPr>
      </w:pPr>
      <w:r>
        <w:rPr>
          <w:rFonts w:hint="eastAsia" w:ascii="宋体" w:hAnsi="宋体"/>
          <w:sz w:val="24"/>
          <w:highlight w:val="none"/>
          <w:lang w:val="en-US" w:eastAsia="zh-CN"/>
        </w:rPr>
        <w:t>售价：0元</w:t>
      </w:r>
    </w:p>
    <w:p w14:paraId="31E04D2E">
      <w:pPr>
        <w:pageBreakBefore w:val="0"/>
        <w:kinsoku/>
        <w:wordWrap w:val="0"/>
        <w:overflowPunct/>
        <w:bidi w:val="0"/>
        <w:spacing w:line="500" w:lineRule="exact"/>
        <w:ind w:firstLine="484" w:firstLineChars="201"/>
        <w:rPr>
          <w:rFonts w:ascii="宋体" w:hAnsi="宋体"/>
          <w:b/>
          <w:bCs/>
          <w:sz w:val="24"/>
          <w:highlight w:val="none"/>
        </w:rPr>
      </w:pPr>
      <w:r>
        <w:rPr>
          <w:rFonts w:hint="eastAsia" w:ascii="宋体" w:hAnsi="宋体"/>
          <w:b/>
          <w:bCs/>
          <w:sz w:val="24"/>
          <w:highlight w:val="none"/>
        </w:rPr>
        <w:t>四、响应文件</w:t>
      </w:r>
      <w:bookmarkEnd w:id="14"/>
      <w:bookmarkEnd w:id="15"/>
      <w:r>
        <w:rPr>
          <w:rFonts w:hint="eastAsia" w:ascii="宋体" w:hAnsi="宋体"/>
          <w:b/>
          <w:bCs/>
          <w:sz w:val="24"/>
          <w:highlight w:val="none"/>
          <w:lang w:eastAsia="zh-CN"/>
        </w:rPr>
        <w:t>提交</w:t>
      </w:r>
      <w:bookmarkEnd w:id="16"/>
      <w:bookmarkEnd w:id="17"/>
    </w:p>
    <w:p w14:paraId="622DA3AF">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eastAsia"/>
          <w:color w:val="auto"/>
          <w:shd w:val="clear" w:color="auto" w:fill="FFFFFF"/>
        </w:rPr>
      </w:pPr>
      <w:bookmarkStart w:id="18" w:name="_Toc35393625"/>
      <w:bookmarkStart w:id="19" w:name="_Toc28359084"/>
      <w:bookmarkStart w:id="20" w:name="_Toc28359007"/>
      <w:bookmarkStart w:id="21" w:name="_Toc35393794"/>
      <w:r>
        <w:rPr>
          <w:rFonts w:hint="eastAsia"/>
          <w:color w:val="auto"/>
          <w:shd w:val="clear" w:color="auto" w:fill="FFFFFF"/>
        </w:rPr>
        <w:t>1、</w:t>
      </w:r>
      <w:r>
        <w:rPr>
          <w:rFonts w:hint="eastAsia"/>
          <w:color w:val="auto"/>
          <w:shd w:val="clear" w:color="auto" w:fill="FFFFFF"/>
          <w:lang w:val="en-US" w:eastAsia="zh-CN"/>
        </w:rPr>
        <w:t>截止</w:t>
      </w:r>
      <w:r>
        <w:rPr>
          <w:rFonts w:hint="eastAsia"/>
          <w:color w:val="auto"/>
          <w:shd w:val="clear" w:color="auto" w:fill="FFFFFF"/>
        </w:rPr>
        <w:t>时间：20</w:t>
      </w:r>
      <w:r>
        <w:rPr>
          <w:rFonts w:hint="eastAsia"/>
          <w:color w:val="auto"/>
          <w:shd w:val="clear" w:color="auto" w:fill="FFFFFF"/>
          <w:lang w:val="en-US" w:eastAsia="zh-CN"/>
        </w:rPr>
        <w:t>25</w:t>
      </w:r>
      <w:r>
        <w:rPr>
          <w:rFonts w:hint="eastAsia"/>
          <w:color w:val="auto"/>
          <w:shd w:val="clear" w:color="auto" w:fill="FFFFFF"/>
        </w:rPr>
        <w:t>年</w:t>
      </w:r>
      <w:r>
        <w:rPr>
          <w:rFonts w:hint="eastAsia"/>
          <w:color w:val="auto"/>
          <w:shd w:val="clear" w:color="auto" w:fill="FFFFFF"/>
          <w:lang w:val="en-US" w:eastAsia="zh-CN"/>
        </w:rPr>
        <w:t>6</w:t>
      </w:r>
      <w:r>
        <w:rPr>
          <w:rFonts w:hint="eastAsia"/>
          <w:color w:val="auto"/>
          <w:shd w:val="clear" w:color="auto" w:fill="FFFFFF"/>
        </w:rPr>
        <w:t>月</w:t>
      </w:r>
      <w:r>
        <w:rPr>
          <w:rFonts w:hint="eastAsia"/>
          <w:color w:val="auto"/>
          <w:shd w:val="clear" w:color="auto" w:fill="FFFFFF"/>
          <w:lang w:val="en-US" w:eastAsia="zh-CN"/>
        </w:rPr>
        <w:t>19</w:t>
      </w:r>
      <w:r>
        <w:rPr>
          <w:rFonts w:hint="eastAsia"/>
          <w:color w:val="auto"/>
          <w:shd w:val="clear" w:color="auto" w:fill="FFFFFF"/>
        </w:rPr>
        <w:t>日</w:t>
      </w:r>
      <w:r>
        <w:rPr>
          <w:rFonts w:hint="eastAsia"/>
          <w:color w:val="auto"/>
          <w:shd w:val="clear" w:color="auto" w:fill="FFFFFF"/>
          <w:lang w:val="en-US" w:eastAsia="zh-CN"/>
        </w:rPr>
        <w:t>8</w:t>
      </w:r>
      <w:r>
        <w:rPr>
          <w:rFonts w:hint="eastAsia"/>
          <w:color w:val="auto"/>
          <w:shd w:val="clear" w:color="auto" w:fill="FFFFFF"/>
        </w:rPr>
        <w:t>时</w:t>
      </w:r>
      <w:r>
        <w:rPr>
          <w:rFonts w:hint="eastAsia"/>
          <w:color w:val="auto"/>
          <w:shd w:val="clear" w:color="auto" w:fill="FFFFFF"/>
          <w:lang w:val="en-US" w:eastAsia="zh-CN"/>
        </w:rPr>
        <w:t>30</w:t>
      </w:r>
      <w:r>
        <w:rPr>
          <w:rFonts w:hint="eastAsia"/>
          <w:color w:val="auto"/>
          <w:shd w:val="clear" w:color="auto" w:fill="FFFFFF"/>
        </w:rPr>
        <w:t>分（北京时间）</w:t>
      </w:r>
    </w:p>
    <w:p w14:paraId="040DB693">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eastAsia"/>
          <w:color w:val="auto"/>
          <w:shd w:val="clear" w:color="auto" w:fill="FFFFFF"/>
        </w:rPr>
      </w:pPr>
      <w:r>
        <w:rPr>
          <w:rFonts w:hint="eastAsia"/>
          <w:color w:val="auto"/>
          <w:shd w:val="clear" w:color="auto" w:fill="FFFFFF"/>
        </w:rPr>
        <w:t>2、地点：上传至三门峡市公共资源交易中心系统</w:t>
      </w:r>
    </w:p>
    <w:p w14:paraId="544CC54D">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2" w:firstLineChars="196"/>
        <w:textAlignment w:val="auto"/>
        <w:rPr>
          <w:rFonts w:hint="eastAsia"/>
          <w:b/>
          <w:bCs/>
          <w:color w:val="auto"/>
          <w:shd w:val="clear" w:color="auto" w:fill="FFFFFF"/>
        </w:rPr>
      </w:pPr>
      <w:r>
        <w:rPr>
          <w:rFonts w:hint="eastAsia"/>
          <w:b/>
          <w:bCs/>
          <w:color w:val="auto"/>
          <w:shd w:val="clear" w:color="auto" w:fill="FFFFFF"/>
          <w:lang w:val="en-US" w:eastAsia="zh-CN"/>
        </w:rPr>
        <w:t>五</w:t>
      </w:r>
      <w:r>
        <w:rPr>
          <w:rFonts w:hint="eastAsia"/>
          <w:b/>
          <w:bCs/>
          <w:color w:val="auto"/>
          <w:shd w:val="clear" w:color="auto" w:fill="FFFFFF"/>
        </w:rPr>
        <w:t>、响应文件开启</w:t>
      </w:r>
    </w:p>
    <w:p w14:paraId="39A3336F">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eastAsia"/>
          <w:color w:val="auto"/>
          <w:shd w:val="clear" w:color="auto" w:fill="FFFFFF"/>
        </w:rPr>
      </w:pPr>
      <w:r>
        <w:rPr>
          <w:rFonts w:hint="eastAsia"/>
          <w:color w:val="auto"/>
          <w:shd w:val="clear" w:color="auto" w:fill="FFFFFF"/>
        </w:rPr>
        <w:t>1、时间：20</w:t>
      </w:r>
      <w:r>
        <w:rPr>
          <w:rFonts w:hint="eastAsia"/>
          <w:color w:val="auto"/>
          <w:shd w:val="clear" w:color="auto" w:fill="FFFFFF"/>
          <w:lang w:val="en-US" w:eastAsia="zh-CN"/>
        </w:rPr>
        <w:t>25</w:t>
      </w:r>
      <w:r>
        <w:rPr>
          <w:rFonts w:hint="eastAsia"/>
          <w:color w:val="auto"/>
          <w:shd w:val="clear" w:color="auto" w:fill="FFFFFF"/>
        </w:rPr>
        <w:t>年</w:t>
      </w:r>
      <w:r>
        <w:rPr>
          <w:rFonts w:hint="eastAsia"/>
          <w:color w:val="auto"/>
          <w:shd w:val="clear" w:color="auto" w:fill="FFFFFF"/>
          <w:lang w:val="en-US" w:eastAsia="zh-CN"/>
        </w:rPr>
        <w:t>6</w:t>
      </w:r>
      <w:r>
        <w:rPr>
          <w:rFonts w:hint="eastAsia"/>
          <w:color w:val="auto"/>
          <w:shd w:val="clear" w:color="auto" w:fill="FFFFFF"/>
        </w:rPr>
        <w:t>月</w:t>
      </w:r>
      <w:r>
        <w:rPr>
          <w:rFonts w:hint="eastAsia"/>
          <w:color w:val="auto"/>
          <w:shd w:val="clear" w:color="auto" w:fill="FFFFFF"/>
          <w:lang w:val="en-US" w:eastAsia="zh-CN"/>
        </w:rPr>
        <w:t>19</w:t>
      </w:r>
      <w:r>
        <w:rPr>
          <w:rFonts w:hint="eastAsia"/>
          <w:color w:val="auto"/>
          <w:shd w:val="clear" w:color="auto" w:fill="FFFFFF"/>
        </w:rPr>
        <w:t>日</w:t>
      </w:r>
      <w:r>
        <w:rPr>
          <w:rFonts w:hint="eastAsia"/>
          <w:color w:val="auto"/>
          <w:shd w:val="clear" w:color="auto" w:fill="FFFFFF"/>
          <w:lang w:val="en-US" w:eastAsia="zh-CN"/>
        </w:rPr>
        <w:t>8</w:t>
      </w:r>
      <w:r>
        <w:rPr>
          <w:rFonts w:hint="eastAsia"/>
          <w:color w:val="auto"/>
          <w:shd w:val="clear" w:color="auto" w:fill="FFFFFF"/>
        </w:rPr>
        <w:t>时</w:t>
      </w:r>
      <w:r>
        <w:rPr>
          <w:rFonts w:hint="eastAsia"/>
          <w:color w:val="auto"/>
          <w:shd w:val="clear" w:color="auto" w:fill="FFFFFF"/>
          <w:lang w:val="en-US" w:eastAsia="zh-CN"/>
        </w:rPr>
        <w:t>30</w:t>
      </w:r>
      <w:r>
        <w:rPr>
          <w:rFonts w:hint="eastAsia"/>
          <w:color w:val="auto"/>
          <w:shd w:val="clear" w:color="auto" w:fill="FFFFFF"/>
        </w:rPr>
        <w:t>分（北京时间）</w:t>
      </w:r>
    </w:p>
    <w:p w14:paraId="0BED98AB">
      <w:pPr>
        <w:pageBreakBefore w:val="0"/>
        <w:kinsoku/>
        <w:wordWrap w:val="0"/>
        <w:overflowPunct/>
        <w:bidi w:val="0"/>
        <w:spacing w:line="500" w:lineRule="exact"/>
        <w:ind w:firstLine="422" w:firstLineChars="201"/>
        <w:rPr>
          <w:rFonts w:hint="eastAsia" w:ascii="宋体" w:hAnsi="宋体"/>
          <w:sz w:val="24"/>
          <w:highlight w:val="none"/>
        </w:rPr>
      </w:pPr>
      <w:r>
        <w:rPr>
          <w:rFonts w:hint="eastAsia"/>
          <w:color w:val="auto"/>
          <w:shd w:val="clear" w:color="auto" w:fill="FFFFFF"/>
        </w:rPr>
        <w:t>2、地点：</w:t>
      </w:r>
      <w:r>
        <w:rPr>
          <w:rFonts w:hint="eastAsia" w:ascii="宋体" w:hAnsi="宋体" w:eastAsia="宋体" w:cs="Times New Roman"/>
          <w:color w:val="auto"/>
          <w:kern w:val="0"/>
          <w:sz w:val="24"/>
          <w:szCs w:val="24"/>
          <w:shd w:val="clear" w:color="auto" w:fill="FFFFFF"/>
          <w:lang w:val="en-US" w:eastAsia="zh-CN" w:bidi="ar-SA"/>
        </w:rPr>
        <w:t>三门峡市陕州区公共资源交易中心开标室</w:t>
      </w:r>
    </w:p>
    <w:p w14:paraId="60B672E6">
      <w:pPr>
        <w:pageBreakBefore w:val="0"/>
        <w:kinsoku/>
        <w:wordWrap w:val="0"/>
        <w:overflowPunct/>
        <w:bidi w:val="0"/>
        <w:spacing w:line="500" w:lineRule="exact"/>
        <w:ind w:firstLine="484" w:firstLineChars="201"/>
        <w:rPr>
          <w:rFonts w:hint="default" w:ascii="宋体" w:hAnsi="宋体" w:eastAsia="宋体"/>
          <w:b/>
          <w:bCs/>
          <w:sz w:val="24"/>
          <w:highlight w:val="none"/>
          <w:lang w:val="en-US" w:eastAsia="zh-CN"/>
        </w:rPr>
      </w:pPr>
      <w:r>
        <w:rPr>
          <w:rFonts w:hint="eastAsia" w:ascii="宋体" w:hAnsi="宋体"/>
          <w:b/>
          <w:bCs/>
          <w:sz w:val="24"/>
          <w:highlight w:val="none"/>
          <w:lang w:val="en-US" w:eastAsia="zh-CN"/>
        </w:rPr>
        <w:t>六</w:t>
      </w:r>
      <w:r>
        <w:rPr>
          <w:rFonts w:hint="eastAsia" w:ascii="宋体" w:hAnsi="宋体"/>
          <w:b/>
          <w:bCs/>
          <w:sz w:val="24"/>
          <w:highlight w:val="none"/>
        </w:rPr>
        <w:t>、</w:t>
      </w:r>
      <w:bookmarkEnd w:id="18"/>
      <w:bookmarkEnd w:id="19"/>
      <w:bookmarkEnd w:id="20"/>
      <w:bookmarkEnd w:id="21"/>
      <w:r>
        <w:rPr>
          <w:rFonts w:hint="eastAsia" w:ascii="宋体" w:hAnsi="宋体"/>
          <w:b/>
          <w:bCs/>
          <w:sz w:val="24"/>
          <w:highlight w:val="none"/>
        </w:rPr>
        <w:t>发布公告的媒介</w:t>
      </w:r>
      <w:r>
        <w:rPr>
          <w:rFonts w:hint="eastAsia" w:ascii="宋体" w:hAnsi="宋体"/>
          <w:b/>
          <w:bCs/>
          <w:sz w:val="24"/>
          <w:highlight w:val="none"/>
          <w:lang w:val="en-US" w:eastAsia="zh-CN"/>
        </w:rPr>
        <w:t>及公告期限</w:t>
      </w:r>
    </w:p>
    <w:p w14:paraId="050ABDE3">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sz w:val="24"/>
          <w:highlight w:val="none"/>
        </w:rPr>
        <w:t>本次公告同时在《中国采购与招标网》、《河南省政府采购网》</w:t>
      </w:r>
      <w:r>
        <w:rPr>
          <w:rFonts w:hint="eastAsia" w:ascii="宋体" w:hAnsi="宋体"/>
          <w:sz w:val="24"/>
          <w:highlight w:val="none"/>
          <w:lang w:eastAsia="zh-CN"/>
        </w:rPr>
        <w:t>、《中国招标投标公共服务平台》</w:t>
      </w:r>
      <w:r>
        <w:rPr>
          <w:rFonts w:hint="eastAsia" w:ascii="宋体" w:hAnsi="宋体"/>
          <w:sz w:val="24"/>
          <w:highlight w:val="none"/>
        </w:rPr>
        <w:t>和《三门峡市公共资源交易中心网》发布</w:t>
      </w:r>
      <w:r>
        <w:rPr>
          <w:rFonts w:hint="eastAsia" w:ascii="宋体" w:hAnsi="宋体"/>
          <w:sz w:val="24"/>
          <w:highlight w:val="none"/>
          <w:lang w:eastAsia="zh-CN"/>
        </w:rPr>
        <w:t>，</w:t>
      </w:r>
      <w:r>
        <w:rPr>
          <w:rFonts w:hint="eastAsia" w:ascii="宋体" w:hAnsi="宋体"/>
          <w:sz w:val="24"/>
          <w:highlight w:val="none"/>
          <w:lang w:val="en-US" w:eastAsia="zh-CN"/>
        </w:rPr>
        <w:t>公告期限为三个工作日</w:t>
      </w:r>
      <w:r>
        <w:rPr>
          <w:rFonts w:hint="eastAsia" w:ascii="宋体" w:hAnsi="宋体"/>
          <w:sz w:val="24"/>
          <w:highlight w:val="none"/>
        </w:rPr>
        <w:t>。</w:t>
      </w:r>
    </w:p>
    <w:p w14:paraId="59010C31">
      <w:pPr>
        <w:pageBreakBefore w:val="0"/>
        <w:kinsoku/>
        <w:wordWrap w:val="0"/>
        <w:overflowPunct/>
        <w:bidi w:val="0"/>
        <w:spacing w:line="500" w:lineRule="exact"/>
        <w:ind w:firstLine="484" w:firstLineChars="201"/>
        <w:rPr>
          <w:rFonts w:ascii="宋体" w:hAnsi="宋体"/>
          <w:b/>
          <w:bCs/>
          <w:sz w:val="24"/>
          <w:highlight w:val="none"/>
        </w:rPr>
      </w:pPr>
      <w:bookmarkStart w:id="22" w:name="_Toc35393795"/>
      <w:bookmarkStart w:id="23" w:name="_Toc35393626"/>
      <w:r>
        <w:rPr>
          <w:rFonts w:hint="eastAsia" w:ascii="宋体" w:hAnsi="宋体"/>
          <w:b/>
          <w:bCs/>
          <w:sz w:val="24"/>
          <w:highlight w:val="none"/>
          <w:lang w:val="en-US" w:eastAsia="zh-CN"/>
        </w:rPr>
        <w:t>七</w:t>
      </w:r>
      <w:r>
        <w:rPr>
          <w:rFonts w:hint="eastAsia" w:ascii="宋体" w:hAnsi="宋体"/>
          <w:b/>
          <w:bCs/>
          <w:sz w:val="24"/>
          <w:highlight w:val="none"/>
        </w:rPr>
        <w:t>、其他补充事宜</w:t>
      </w:r>
      <w:bookmarkEnd w:id="22"/>
      <w:bookmarkEnd w:id="23"/>
    </w:p>
    <w:p w14:paraId="04232C3F">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1.本项目为不见面开标项目，开标当日，供应商无需到开标现场参加开标会议，供应商应当在投标截止时间前，登陆不见面开标大厅选择登陆三门峡市公共资源电子招投标系统进行登陆（网址为</w:t>
      </w:r>
    </w:p>
    <w:p w14:paraId="7FBCE898">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http://120.194.249.36:10094/BidOpening/bidopeninghallaction/hall/login）,在线准时参加开标活动并进行响应文件解密等。每位供应商的解密时间为开标时间起30分钟内完成。因供应商原因未能解密、解密失败或解密超时的将被拒绝。</w:t>
      </w:r>
    </w:p>
    <w:p w14:paraId="480AB6B4">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2.本项目为电子化、无纸化交易项目，开标时不再接受任何纸质资料，为保证您能投标成功，请需仔细阅读招标文件和三门峡市公共资源交易中心官网业务办理指南。</w:t>
      </w:r>
    </w:p>
    <w:p w14:paraId="7AA52BE6">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3.根据《河南省财政厅关于优化政府采购营商环境有关问题的通知》（豫财购【2019】4号）第6条的规定，磋商保证金不再收取。</w:t>
      </w:r>
    </w:p>
    <w:p w14:paraId="7BA14052">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4.资格评审部分：资格评审以响应文件为准，可使用电子营业执照，其上传资料真实性由供应商自行承担，同时，供应商应在开标前自行完善主体库信息。</w:t>
      </w:r>
    </w:p>
    <w:p w14:paraId="03069C1D">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5.评审打分部分：评审打分部分按照100分制原则进行，涉及到资格审查、企业荣誉、人员业绩、企业业绩等计分部分时，以供应商自行上传到响应文件中的各类相应内容为准。</w:t>
      </w:r>
    </w:p>
    <w:p w14:paraId="3B0A62FE">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6.响应文件编制部分：在磋商文件中要求供应商按照响应文件格式进行响应文件编制，在响应文件编制时，应明确将供应商企业基本情况、资质情况、人员情况、财务情况、业绩情况编入响应文件，便于进行资格审查及评审打分。</w:t>
      </w:r>
    </w:p>
    <w:p w14:paraId="56BD0339">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7.我单位（采购人）严格按三财购【2021】9号文要求的时限发布成交结果公告，发出成交通知书，签订采购合同，上传采购合同。</w:t>
      </w:r>
    </w:p>
    <w:p w14:paraId="448C75E2">
      <w:pPr>
        <w:pageBreakBefore w:val="0"/>
        <w:kinsoku/>
        <w:wordWrap w:val="0"/>
        <w:overflowPunct/>
        <w:bidi w:val="0"/>
        <w:spacing w:line="500" w:lineRule="exact"/>
        <w:ind w:firstLine="484" w:firstLineChars="201"/>
        <w:rPr>
          <w:rFonts w:ascii="宋体" w:hAnsi="宋体"/>
          <w:b/>
          <w:bCs/>
          <w:sz w:val="24"/>
          <w:highlight w:val="none"/>
        </w:rPr>
      </w:pPr>
      <w:bookmarkStart w:id="24" w:name="_Toc28359008"/>
      <w:bookmarkStart w:id="25" w:name="_Toc28359085"/>
      <w:bookmarkStart w:id="26" w:name="_Toc35393627"/>
      <w:bookmarkStart w:id="27" w:name="_Toc35393796"/>
      <w:r>
        <w:rPr>
          <w:rFonts w:hint="eastAsia" w:ascii="宋体" w:hAnsi="宋体"/>
          <w:b/>
          <w:bCs/>
          <w:sz w:val="24"/>
          <w:highlight w:val="none"/>
          <w:lang w:val="en-US" w:eastAsia="zh-CN"/>
        </w:rPr>
        <w:t>八</w:t>
      </w:r>
      <w:r>
        <w:rPr>
          <w:rFonts w:hint="eastAsia" w:ascii="宋体" w:hAnsi="宋体"/>
          <w:b/>
          <w:bCs/>
          <w:sz w:val="24"/>
          <w:highlight w:val="none"/>
        </w:rPr>
        <w:t>、对本次磋商提出询问，请按</w:t>
      </w:r>
      <w:r>
        <w:rPr>
          <w:rFonts w:ascii="宋体" w:hAnsi="宋体"/>
          <w:b/>
          <w:bCs/>
          <w:sz w:val="24"/>
          <w:highlight w:val="none"/>
        </w:rPr>
        <w:t>以下方式</w:t>
      </w:r>
      <w:r>
        <w:rPr>
          <w:rFonts w:hint="eastAsia" w:ascii="宋体" w:hAnsi="宋体"/>
          <w:b/>
          <w:bCs/>
          <w:sz w:val="24"/>
          <w:highlight w:val="none"/>
        </w:rPr>
        <w:t>联系。</w:t>
      </w:r>
      <w:bookmarkEnd w:id="24"/>
      <w:bookmarkEnd w:id="25"/>
      <w:bookmarkEnd w:id="26"/>
      <w:bookmarkEnd w:id="27"/>
    </w:p>
    <w:p w14:paraId="7039344C">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eastAsia"/>
          <w:color w:val="auto"/>
          <w:highlight w:val="none"/>
          <w:shd w:val="clear" w:color="auto" w:fill="FFFFFF"/>
        </w:rPr>
      </w:pPr>
      <w:r>
        <w:rPr>
          <w:rFonts w:hint="eastAsia"/>
          <w:color w:val="auto"/>
          <w:highlight w:val="none"/>
          <w:shd w:val="clear" w:color="auto" w:fill="FFFFFF"/>
          <w:lang w:val="en-US" w:eastAsia="zh-CN"/>
        </w:rPr>
        <w:t>1.监督部门信息：</w:t>
      </w:r>
    </w:p>
    <w:p w14:paraId="44663F61">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监督部门：</w:t>
      </w:r>
      <w:r>
        <w:rPr>
          <w:rFonts w:hint="default" w:ascii="宋体" w:hAnsi="宋体" w:eastAsia="宋体" w:cs="Times New Roman"/>
          <w:color w:val="auto"/>
          <w:sz w:val="24"/>
          <w:szCs w:val="24"/>
          <w:highlight w:val="none"/>
          <w:lang w:val="en-US" w:eastAsia="zh-CN"/>
        </w:rPr>
        <w:t>三门峡市陕州区财政局政府采购监督管理科</w:t>
      </w:r>
    </w:p>
    <w:p w14:paraId="0154CBEF">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default" w:ascii="宋体" w:hAnsi="宋体"/>
          <w:sz w:val="24"/>
          <w:highlight w:val="none"/>
          <w:lang w:val="en-US"/>
        </w:rPr>
      </w:pPr>
      <w:r>
        <w:rPr>
          <w:rFonts w:hint="eastAsia"/>
          <w:color w:val="auto"/>
          <w:shd w:val="clear" w:color="auto" w:fill="FFFFFF"/>
          <w:lang w:val="en-US" w:eastAsia="zh-CN"/>
        </w:rPr>
        <w:t>联系方式</w:t>
      </w:r>
      <w:r>
        <w:rPr>
          <w:rFonts w:hint="eastAsia"/>
          <w:color w:val="auto"/>
          <w:highlight w:val="none"/>
          <w:shd w:val="clear" w:color="auto" w:fill="FFFFFF"/>
          <w:lang w:val="en-US" w:eastAsia="zh-CN"/>
        </w:rPr>
        <w:t>：0</w:t>
      </w:r>
      <w:r>
        <w:rPr>
          <w:rFonts w:hint="default" w:ascii="宋体" w:hAnsi="宋体" w:eastAsia="宋体" w:cs="Times New Roman"/>
          <w:color w:val="auto"/>
          <w:sz w:val="24"/>
          <w:szCs w:val="24"/>
          <w:highlight w:val="none"/>
          <w:lang w:val="en-US" w:eastAsia="zh-CN"/>
        </w:rPr>
        <w:t>398-3839210</w:t>
      </w:r>
    </w:p>
    <w:p w14:paraId="4E30505B">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.采购人信息</w:t>
      </w:r>
    </w:p>
    <w:p w14:paraId="3D90107C">
      <w:pPr>
        <w:pageBreakBefore w:val="0"/>
        <w:kinsoku/>
        <w:wordWrap w:val="0"/>
        <w:overflowPunct/>
        <w:bidi w:val="0"/>
        <w:spacing w:line="500" w:lineRule="exact"/>
        <w:ind w:firstLine="482" w:firstLineChars="201"/>
        <w:rPr>
          <w:rFonts w:hint="eastAsia" w:ascii="宋体" w:hAnsi="宋体" w:eastAsia="宋体"/>
          <w:sz w:val="24"/>
          <w:highlight w:val="none"/>
          <w:lang w:eastAsia="zh-CN"/>
        </w:rPr>
      </w:pPr>
      <w:r>
        <w:rPr>
          <w:rFonts w:hint="eastAsia" w:ascii="宋体" w:hAnsi="宋体"/>
          <w:sz w:val="24"/>
          <w:highlight w:val="none"/>
        </w:rPr>
        <w:t>名称：</w:t>
      </w:r>
      <w:r>
        <w:rPr>
          <w:rFonts w:hint="eastAsia" w:ascii="宋体" w:hAnsi="宋体"/>
          <w:sz w:val="24"/>
          <w:highlight w:val="none"/>
          <w:lang w:eastAsia="zh-CN"/>
        </w:rPr>
        <w:t>三门峡市陕州区菜园乡人民政府</w:t>
      </w:r>
    </w:p>
    <w:p w14:paraId="531AB00D">
      <w:pPr>
        <w:pageBreakBefore w:val="0"/>
        <w:kinsoku/>
        <w:wordWrap w:val="0"/>
        <w:overflowPunct/>
        <w:bidi w:val="0"/>
        <w:spacing w:line="500" w:lineRule="exact"/>
        <w:ind w:firstLine="482" w:firstLineChars="201"/>
        <w:rPr>
          <w:rFonts w:hint="eastAsia" w:ascii="宋体" w:hAnsi="宋体" w:eastAsia="宋体"/>
          <w:sz w:val="24"/>
          <w:highlight w:val="none"/>
          <w:lang w:val="en-US" w:eastAsia="zh-CN"/>
        </w:rPr>
      </w:pPr>
      <w:r>
        <w:rPr>
          <w:rFonts w:hint="eastAsia" w:ascii="宋体" w:hAnsi="宋体"/>
          <w:sz w:val="24"/>
          <w:highlight w:val="none"/>
        </w:rPr>
        <w:t>地址：</w:t>
      </w:r>
      <w:r>
        <w:rPr>
          <w:rFonts w:hint="eastAsia" w:ascii="宋体" w:hAnsi="宋体"/>
          <w:sz w:val="24"/>
          <w:highlight w:val="none"/>
          <w:lang w:eastAsia="zh-CN"/>
        </w:rPr>
        <w:t>三门峡市陕州区</w:t>
      </w:r>
      <w:r>
        <w:rPr>
          <w:rFonts w:hint="eastAsia" w:ascii="宋体" w:hAnsi="宋体"/>
          <w:sz w:val="24"/>
          <w:highlight w:val="none"/>
          <w:lang w:val="en-US" w:eastAsia="zh-CN"/>
        </w:rPr>
        <w:t>菜园乡</w:t>
      </w:r>
    </w:p>
    <w:p w14:paraId="1B5A977A">
      <w:pPr>
        <w:pageBreakBefore w:val="0"/>
        <w:kinsoku/>
        <w:wordWrap w:val="0"/>
        <w:overflowPunct/>
        <w:bidi w:val="0"/>
        <w:spacing w:line="500" w:lineRule="exact"/>
        <w:ind w:firstLine="482" w:firstLineChars="201"/>
        <w:rPr>
          <w:rFonts w:hint="eastAsia"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lang w:val="en-US" w:eastAsia="zh-CN"/>
        </w:rPr>
        <w:t>王先生</w:t>
      </w:r>
    </w:p>
    <w:p w14:paraId="4152C2A4">
      <w:pPr>
        <w:pageBreakBefore w:val="0"/>
        <w:kinsoku/>
        <w:wordWrap w:val="0"/>
        <w:overflowPunct/>
        <w:bidi w:val="0"/>
        <w:spacing w:line="500" w:lineRule="exact"/>
        <w:ind w:firstLine="482" w:firstLineChars="201"/>
        <w:rPr>
          <w:rFonts w:hint="default" w:ascii="宋体" w:hAnsi="宋体" w:eastAsia="宋体"/>
          <w:sz w:val="24"/>
          <w:highlight w:val="none"/>
          <w:lang w:val="en-US" w:eastAsia="zh-CN"/>
        </w:rPr>
      </w:pPr>
      <w:r>
        <w:rPr>
          <w:rFonts w:hint="eastAsia" w:ascii="宋体" w:hAnsi="宋体"/>
          <w:sz w:val="24"/>
          <w:highlight w:val="none"/>
        </w:rPr>
        <w:t>联系方式：</w:t>
      </w:r>
      <w:bookmarkStart w:id="28" w:name="_Toc28359009"/>
      <w:bookmarkStart w:id="29" w:name="_Toc28359086"/>
      <w:r>
        <w:rPr>
          <w:rFonts w:hint="eastAsia" w:ascii="宋体" w:cs="Times New Roman"/>
          <w:sz w:val="24"/>
          <w:szCs w:val="24"/>
          <w:highlight w:val="none"/>
          <w:lang w:val="en-US" w:eastAsia="zh-CN"/>
        </w:rPr>
        <w:t>18668093987</w:t>
      </w:r>
    </w:p>
    <w:p w14:paraId="5B3131F4">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w:t>
      </w:r>
      <w:bookmarkEnd w:id="28"/>
      <w:bookmarkEnd w:id="29"/>
      <w:bookmarkStart w:id="30" w:name="_Toc28359087"/>
      <w:bookmarkStart w:id="31" w:name="_Toc28359010"/>
      <w:r>
        <w:rPr>
          <w:rFonts w:hint="eastAsia" w:ascii="宋体" w:hAnsi="宋体"/>
          <w:sz w:val="24"/>
          <w:highlight w:val="none"/>
        </w:rPr>
        <w:t>采购代理机构：</w:t>
      </w:r>
      <w:r>
        <w:rPr>
          <w:rFonts w:hint="eastAsia" w:ascii="宋体" w:hAnsi="宋体"/>
          <w:color w:val="auto"/>
          <w:sz w:val="24"/>
          <w:szCs w:val="24"/>
          <w:highlight w:val="none"/>
          <w:lang w:eastAsia="zh-CN"/>
        </w:rPr>
        <w:t>河南锦霖工程管理有限公司</w:t>
      </w:r>
    </w:p>
    <w:p w14:paraId="48A79465">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sz w:val="24"/>
          <w:highlight w:val="none"/>
        </w:rPr>
        <w:t>地    址：</w:t>
      </w:r>
      <w:r>
        <w:rPr>
          <w:rFonts w:hint="eastAsia" w:ascii="宋体" w:hAnsi="宋体"/>
          <w:color w:val="auto"/>
          <w:sz w:val="24"/>
          <w:szCs w:val="24"/>
          <w:highlight w:val="none"/>
        </w:rPr>
        <w:t>三门峡市湖滨区嘉亿广场4号楼6</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1室</w:t>
      </w:r>
    </w:p>
    <w:p w14:paraId="4AB393F3">
      <w:pPr>
        <w:pageBreakBefore w:val="0"/>
        <w:kinsoku/>
        <w:wordWrap w:val="0"/>
        <w:overflowPunct/>
        <w:bidi w:val="0"/>
        <w:spacing w:line="500" w:lineRule="exact"/>
        <w:ind w:firstLine="482" w:firstLineChars="201"/>
        <w:rPr>
          <w:rFonts w:hint="default" w:ascii="宋体" w:hAnsi="宋体"/>
          <w:sz w:val="24"/>
          <w:highlight w:val="none"/>
          <w:lang w:val="en-US"/>
        </w:rPr>
      </w:pPr>
      <w:r>
        <w:rPr>
          <w:rFonts w:hint="eastAsia" w:ascii="宋体" w:hAnsi="宋体"/>
          <w:sz w:val="24"/>
          <w:highlight w:val="none"/>
        </w:rPr>
        <w:t>联 系 人：</w:t>
      </w:r>
      <w:r>
        <w:rPr>
          <w:rFonts w:hint="eastAsia" w:ascii="宋体" w:hAnsi="宋体"/>
          <w:color w:val="auto"/>
          <w:sz w:val="24"/>
          <w:szCs w:val="24"/>
          <w:highlight w:val="none"/>
          <w:lang w:val="en-US" w:eastAsia="zh-CN"/>
        </w:rPr>
        <w:t>陈女士</w:t>
      </w:r>
    </w:p>
    <w:p w14:paraId="2B8418B8">
      <w:pPr>
        <w:pageBreakBefore w:val="0"/>
        <w:kinsoku/>
        <w:wordWrap w:val="0"/>
        <w:overflowPunct/>
        <w:bidi w:val="0"/>
        <w:spacing w:line="500" w:lineRule="exact"/>
        <w:ind w:firstLine="482" w:firstLineChars="201"/>
        <w:rPr>
          <w:rFonts w:hint="default" w:ascii="宋体" w:hAnsi="宋体"/>
          <w:sz w:val="24"/>
          <w:highlight w:val="none"/>
          <w:lang w:val="en-US"/>
        </w:rPr>
      </w:pPr>
      <w:r>
        <w:rPr>
          <w:rFonts w:hint="eastAsia" w:ascii="宋体" w:hAnsi="宋体"/>
          <w:sz w:val="24"/>
          <w:highlight w:val="none"/>
        </w:rPr>
        <w:t>电    话：</w:t>
      </w:r>
      <w:r>
        <w:rPr>
          <w:rFonts w:hint="eastAsia" w:ascii="宋体" w:hAnsi="宋体"/>
          <w:color w:val="auto"/>
          <w:sz w:val="24"/>
          <w:szCs w:val="24"/>
          <w:highlight w:val="none"/>
          <w:lang w:val="en-US" w:eastAsia="zh-CN"/>
        </w:rPr>
        <w:t>0398-2739966</w:t>
      </w:r>
    </w:p>
    <w:p w14:paraId="2CFB42BA">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.项目</w:t>
      </w:r>
      <w:r>
        <w:rPr>
          <w:rFonts w:ascii="宋体" w:hAnsi="宋体"/>
          <w:sz w:val="24"/>
          <w:highlight w:val="none"/>
        </w:rPr>
        <w:t>联系方式</w:t>
      </w:r>
      <w:bookmarkEnd w:id="30"/>
      <w:bookmarkEnd w:id="31"/>
    </w:p>
    <w:p w14:paraId="35F7CDEB">
      <w:pPr>
        <w:pageBreakBefore w:val="0"/>
        <w:kinsoku/>
        <w:wordWrap w:val="0"/>
        <w:overflowPunct/>
        <w:bidi w:val="0"/>
        <w:spacing w:line="500" w:lineRule="exact"/>
        <w:ind w:firstLine="482" w:firstLineChars="201"/>
        <w:rPr>
          <w:rFonts w:hint="default" w:ascii="宋体" w:hAnsi="宋体"/>
          <w:sz w:val="24"/>
          <w:highlight w:val="none"/>
          <w:lang w:val="en-US"/>
        </w:rPr>
      </w:pPr>
      <w:r>
        <w:rPr>
          <w:rFonts w:hint="eastAsia" w:ascii="宋体" w:hAnsi="宋体"/>
          <w:sz w:val="24"/>
          <w:highlight w:val="none"/>
        </w:rPr>
        <w:t>项目联系人：</w:t>
      </w:r>
      <w:r>
        <w:rPr>
          <w:rFonts w:hint="eastAsia" w:ascii="宋体" w:hAnsi="宋体"/>
          <w:sz w:val="24"/>
          <w:highlight w:val="none"/>
          <w:lang w:val="en-US" w:eastAsia="zh-CN"/>
        </w:rPr>
        <w:t>陈女士</w:t>
      </w:r>
    </w:p>
    <w:p w14:paraId="0DF1149B">
      <w:pPr>
        <w:pageBreakBefore w:val="0"/>
        <w:kinsoku/>
        <w:wordWrap w:val="0"/>
        <w:overflowPunct/>
        <w:bidi w:val="0"/>
        <w:spacing w:line="500" w:lineRule="exact"/>
        <w:ind w:firstLine="482" w:firstLineChars="201"/>
        <w:rPr>
          <w:rFonts w:hint="default" w:ascii="宋体" w:hAnsi="宋体"/>
          <w:color w:val="auto"/>
          <w:sz w:val="24"/>
          <w:szCs w:val="24"/>
          <w:highlight w:val="none"/>
          <w:lang w:val="en-US" w:eastAsia="zh-CN"/>
        </w:rPr>
      </w:pPr>
      <w:r>
        <w:rPr>
          <w:rFonts w:hint="eastAsia" w:ascii="宋体" w:hAnsi="宋体"/>
          <w:sz w:val="24"/>
          <w:highlight w:val="none"/>
        </w:rPr>
        <w:t>电    话：</w:t>
      </w:r>
      <w:r>
        <w:rPr>
          <w:rFonts w:hint="eastAsia" w:ascii="宋体" w:hAnsi="宋体"/>
          <w:color w:val="auto"/>
          <w:sz w:val="24"/>
          <w:szCs w:val="24"/>
          <w:highlight w:val="none"/>
          <w:lang w:val="en-US" w:eastAsia="zh-CN"/>
        </w:rPr>
        <w:t>0398-2739966</w:t>
      </w:r>
    </w:p>
    <w:p w14:paraId="2F0FC92C">
      <w:pPr>
        <w:pStyle w:val="25"/>
        <w:pageBreakBefore w:val="0"/>
        <w:kinsoku/>
        <w:overflowPunct/>
        <w:bidi w:val="0"/>
        <w:spacing w:line="500" w:lineRule="exact"/>
        <w:rPr>
          <w:rFonts w:hint="eastAsia"/>
          <w:highlight w:val="none"/>
        </w:rPr>
      </w:pPr>
    </w:p>
    <w:p w14:paraId="363D4EF8">
      <w:pPr>
        <w:pageBreakBefore w:val="0"/>
        <w:kinsoku/>
        <w:overflowPunct/>
        <w:bidi w:val="0"/>
        <w:spacing w:line="500" w:lineRule="exact"/>
        <w:rPr>
          <w:rFonts w:hint="eastAsia"/>
          <w:highlight w:val="none"/>
        </w:rPr>
      </w:pPr>
    </w:p>
    <w:p w14:paraId="7F18C35E">
      <w:pPr>
        <w:pStyle w:val="25"/>
        <w:pageBreakBefore w:val="0"/>
        <w:kinsoku/>
        <w:overflowPunct/>
        <w:bidi w:val="0"/>
        <w:spacing w:line="500" w:lineRule="exact"/>
        <w:rPr>
          <w:rFonts w:hint="eastAsia"/>
          <w:highlight w:val="none"/>
        </w:rPr>
      </w:pPr>
    </w:p>
    <w:p w14:paraId="51D62B4E">
      <w:pPr>
        <w:pageBreakBefore w:val="0"/>
        <w:kinsoku/>
        <w:overflowPunct/>
        <w:bidi w:val="0"/>
        <w:spacing w:line="500" w:lineRule="exact"/>
        <w:rPr>
          <w:rFonts w:hint="eastAsia"/>
          <w:highlight w:val="none"/>
        </w:rPr>
      </w:pPr>
    </w:p>
    <w:p w14:paraId="24AA205C">
      <w:pPr>
        <w:pStyle w:val="24"/>
        <w:rPr>
          <w:rFonts w:hint="eastAsia"/>
          <w:highlight w:val="none"/>
        </w:rPr>
      </w:pPr>
    </w:p>
    <w:p w14:paraId="0F3D0F3B">
      <w:pPr>
        <w:pStyle w:val="24"/>
        <w:ind w:left="0" w:leftChars="0" w:firstLine="0" w:firstLineChars="0"/>
        <w:rPr>
          <w:rFonts w:hint="eastAsia"/>
          <w:highlight w:val="none"/>
        </w:rPr>
      </w:pPr>
    </w:p>
    <w:p w14:paraId="49D7E67C">
      <w:pPr>
        <w:pStyle w:val="24"/>
        <w:ind w:left="0" w:leftChars="0" w:firstLine="0" w:firstLineChars="0"/>
        <w:rPr>
          <w:rFonts w:hint="eastAsia"/>
          <w:highlight w:val="none"/>
        </w:rPr>
      </w:pPr>
    </w:p>
    <w:p w14:paraId="697DD323">
      <w:pPr>
        <w:pStyle w:val="3"/>
        <w:pageBreakBefore w:val="0"/>
        <w:kinsoku/>
        <w:overflowPunct/>
        <w:bidi w:val="0"/>
        <w:spacing w:line="500" w:lineRule="exact"/>
        <w:rPr>
          <w:highlight w:val="none"/>
        </w:rPr>
      </w:pPr>
      <w:r>
        <w:rPr>
          <w:rFonts w:hint="eastAsia"/>
          <w:highlight w:val="none"/>
          <w:lang w:val="en-US" w:eastAsia="zh-CN"/>
        </w:rPr>
        <w:t xml:space="preserve"> </w:t>
      </w:r>
      <w:bookmarkStart w:id="32" w:name="_Toc7999"/>
      <w:r>
        <w:rPr>
          <w:rFonts w:hint="eastAsia"/>
          <w:highlight w:val="none"/>
        </w:rPr>
        <w:t>第二章 供应商须知</w:t>
      </w:r>
      <w:bookmarkEnd w:id="32"/>
      <w:bookmarkStart w:id="33" w:name="_Toc522085734"/>
      <w:bookmarkEnd w:id="33"/>
      <w:bookmarkStart w:id="34" w:name="_Toc465990882"/>
      <w:bookmarkEnd w:id="34"/>
      <w:bookmarkStart w:id="35" w:name="_Toc497301886"/>
      <w:bookmarkEnd w:id="35"/>
      <w:bookmarkStart w:id="36" w:name="_Toc522798795"/>
      <w:bookmarkEnd w:id="36"/>
      <w:bookmarkStart w:id="37" w:name="_Toc521997939"/>
    </w:p>
    <w:p w14:paraId="029337B6">
      <w:pPr>
        <w:pStyle w:val="2"/>
        <w:pageBreakBefore w:val="0"/>
        <w:kinsoku/>
        <w:overflowPunct/>
        <w:bidi w:val="0"/>
        <w:spacing w:line="500" w:lineRule="exact"/>
        <w:rPr>
          <w:rFonts w:hint="eastAsia"/>
          <w:highlight w:val="none"/>
        </w:rPr>
      </w:pPr>
      <w:bookmarkStart w:id="38" w:name="_Toc18947"/>
      <w:r>
        <w:rPr>
          <w:rFonts w:hint="eastAsia"/>
          <w:highlight w:val="none"/>
        </w:rPr>
        <w:t>供应商须知前附表</w:t>
      </w:r>
      <w:bookmarkEnd w:id="37"/>
      <w:bookmarkEnd w:id="38"/>
    </w:p>
    <w:tbl>
      <w:tblPr>
        <w:tblStyle w:val="26"/>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988"/>
        <w:gridCol w:w="6653"/>
      </w:tblGrid>
      <w:tr w14:paraId="4097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20163F1">
            <w:pPr>
              <w:pStyle w:val="23"/>
              <w:pageBreakBefore w:val="0"/>
              <w:widowControl w:val="0"/>
              <w:kinsoku/>
              <w:overflowPunct/>
              <w:bidi w:val="0"/>
              <w:spacing w:before="0" w:beforeAutospacing="0" w:after="0" w:afterAutospacing="0" w:line="500" w:lineRule="exact"/>
              <w:ind w:firstLine="0" w:firstLineChars="0"/>
              <w:jc w:val="center"/>
              <w:rPr>
                <w:rFonts w:cs="宋体"/>
                <w:b/>
                <w:color w:val="auto"/>
                <w:kern w:val="2"/>
                <w:highlight w:val="none"/>
              </w:rPr>
            </w:pPr>
            <w:r>
              <w:rPr>
                <w:rFonts w:hint="eastAsia" w:cs="宋体"/>
                <w:b/>
                <w:color w:val="auto"/>
                <w:highlight w:val="none"/>
              </w:rPr>
              <w:t>条款号</w:t>
            </w:r>
          </w:p>
        </w:tc>
        <w:tc>
          <w:tcPr>
            <w:tcW w:w="1988" w:type="dxa"/>
            <w:tcBorders>
              <w:top w:val="single" w:color="auto" w:sz="4" w:space="0"/>
              <w:left w:val="nil"/>
              <w:bottom w:val="single" w:color="auto" w:sz="4" w:space="0"/>
              <w:right w:val="single" w:color="auto" w:sz="4" w:space="0"/>
            </w:tcBorders>
            <w:vAlign w:val="center"/>
          </w:tcPr>
          <w:p w14:paraId="479E8F31">
            <w:pPr>
              <w:pStyle w:val="23"/>
              <w:pageBreakBefore w:val="0"/>
              <w:widowControl w:val="0"/>
              <w:kinsoku/>
              <w:overflowPunct/>
              <w:bidi w:val="0"/>
              <w:spacing w:before="0" w:beforeAutospacing="0" w:after="0" w:afterAutospacing="0" w:line="500" w:lineRule="exact"/>
              <w:ind w:firstLine="482"/>
              <w:jc w:val="center"/>
              <w:rPr>
                <w:rFonts w:cs="宋体"/>
                <w:b/>
                <w:color w:val="auto"/>
                <w:kern w:val="2"/>
                <w:highlight w:val="none"/>
              </w:rPr>
            </w:pPr>
            <w:r>
              <w:rPr>
                <w:rFonts w:hint="eastAsia" w:cs="宋体"/>
                <w:b/>
                <w:color w:val="auto"/>
                <w:highlight w:val="none"/>
              </w:rPr>
              <w:t>条款名称</w:t>
            </w:r>
          </w:p>
        </w:tc>
        <w:tc>
          <w:tcPr>
            <w:tcW w:w="6653" w:type="dxa"/>
            <w:tcBorders>
              <w:top w:val="single" w:color="auto" w:sz="4" w:space="0"/>
              <w:left w:val="nil"/>
              <w:bottom w:val="single" w:color="auto" w:sz="4" w:space="0"/>
              <w:right w:val="single" w:color="auto" w:sz="4" w:space="0"/>
            </w:tcBorders>
            <w:vAlign w:val="center"/>
          </w:tcPr>
          <w:p w14:paraId="6E870ED0">
            <w:pPr>
              <w:pStyle w:val="23"/>
              <w:pageBreakBefore w:val="0"/>
              <w:widowControl w:val="0"/>
              <w:kinsoku/>
              <w:overflowPunct/>
              <w:bidi w:val="0"/>
              <w:spacing w:before="0" w:beforeAutospacing="0" w:after="0" w:afterAutospacing="0" w:line="500" w:lineRule="exact"/>
              <w:ind w:firstLine="482"/>
              <w:jc w:val="center"/>
              <w:rPr>
                <w:rFonts w:cs="宋体"/>
                <w:b/>
                <w:color w:val="auto"/>
                <w:kern w:val="2"/>
                <w:highlight w:val="none"/>
              </w:rPr>
            </w:pPr>
            <w:r>
              <w:rPr>
                <w:rFonts w:hint="eastAsia" w:cs="宋体"/>
                <w:b/>
                <w:color w:val="auto"/>
                <w:highlight w:val="none"/>
              </w:rPr>
              <w:t>编列内容</w:t>
            </w:r>
          </w:p>
        </w:tc>
      </w:tr>
      <w:tr w14:paraId="009A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BF20963">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1</w:t>
            </w:r>
          </w:p>
        </w:tc>
        <w:tc>
          <w:tcPr>
            <w:tcW w:w="1988" w:type="dxa"/>
            <w:tcBorders>
              <w:top w:val="single" w:color="auto" w:sz="4" w:space="0"/>
              <w:left w:val="nil"/>
              <w:bottom w:val="single" w:color="auto" w:sz="4" w:space="0"/>
              <w:right w:val="single" w:color="auto" w:sz="4" w:space="0"/>
            </w:tcBorders>
            <w:vAlign w:val="center"/>
          </w:tcPr>
          <w:p w14:paraId="6C8DEFAF">
            <w:pPr>
              <w:pStyle w:val="23"/>
              <w:pageBreakBefore w:val="0"/>
              <w:widowControl w:val="0"/>
              <w:kinsoku/>
              <w:overflowPunct/>
              <w:bidi w:val="0"/>
              <w:spacing w:before="0" w:beforeAutospacing="0" w:after="0" w:afterAutospacing="0" w:line="500" w:lineRule="exact"/>
              <w:ind w:firstLine="679" w:firstLineChars="283"/>
              <w:jc w:val="both"/>
              <w:rPr>
                <w:rFonts w:cs="宋体"/>
                <w:color w:val="auto"/>
                <w:kern w:val="2"/>
                <w:highlight w:val="none"/>
              </w:rPr>
            </w:pPr>
            <w:r>
              <w:rPr>
                <w:rFonts w:hint="eastAsia" w:cs="宋体"/>
                <w:color w:val="auto"/>
                <w:highlight w:val="none"/>
              </w:rPr>
              <w:t>采购人</w:t>
            </w:r>
          </w:p>
        </w:tc>
        <w:tc>
          <w:tcPr>
            <w:tcW w:w="6653" w:type="dxa"/>
            <w:tcBorders>
              <w:top w:val="single" w:color="auto" w:sz="4" w:space="0"/>
              <w:left w:val="nil"/>
              <w:bottom w:val="single" w:color="auto" w:sz="4" w:space="0"/>
              <w:right w:val="single" w:color="auto" w:sz="4" w:space="0"/>
            </w:tcBorders>
            <w:vAlign w:val="center"/>
          </w:tcPr>
          <w:p w14:paraId="3E951C04">
            <w:pPr>
              <w:pageBreakBefore w:val="0"/>
              <w:kinsoku/>
              <w:overflowPunct/>
              <w:bidi w:val="0"/>
              <w:spacing w:line="500" w:lineRule="exact"/>
              <w:rPr>
                <w:rFonts w:ascii="宋体" w:hAnsi="宋体"/>
                <w:color w:val="auto"/>
                <w:sz w:val="24"/>
                <w:highlight w:val="none"/>
              </w:rPr>
            </w:pPr>
            <w:r>
              <w:rPr>
                <w:rFonts w:hint="eastAsia" w:ascii="宋体" w:hAnsi="宋体"/>
                <w:color w:val="auto"/>
                <w:sz w:val="24"/>
                <w:highlight w:val="none"/>
              </w:rPr>
              <w:t>名称：</w:t>
            </w:r>
            <w:r>
              <w:rPr>
                <w:rFonts w:hint="eastAsia" w:ascii="宋体" w:hAnsi="宋体"/>
                <w:color w:val="auto"/>
                <w:sz w:val="24"/>
                <w:szCs w:val="24"/>
                <w:highlight w:val="none"/>
                <w:lang w:eastAsia="zh-CN"/>
              </w:rPr>
              <w:t>三门峡市陕州区菜园乡人民政府</w:t>
            </w:r>
          </w:p>
          <w:p w14:paraId="4C040374">
            <w:pPr>
              <w:pageBreakBefore w:val="0"/>
              <w:kinsoku/>
              <w:overflowPunct/>
              <w:bidi w:val="0"/>
              <w:spacing w:line="500" w:lineRule="exact"/>
              <w:rPr>
                <w:rFonts w:hint="default" w:ascii="宋体" w:hAnsi="宋体" w:eastAsia="宋体"/>
                <w:color w:val="auto"/>
                <w:sz w:val="24"/>
                <w:highlight w:val="none"/>
                <w:lang w:val="en-US" w:eastAsia="zh-CN"/>
              </w:rPr>
            </w:pPr>
            <w:r>
              <w:rPr>
                <w:rFonts w:hint="eastAsia" w:ascii="宋体" w:hAnsi="宋体"/>
                <w:color w:val="auto"/>
                <w:sz w:val="24"/>
                <w:highlight w:val="none"/>
              </w:rPr>
              <w:t>地址：</w:t>
            </w:r>
            <w:r>
              <w:rPr>
                <w:rFonts w:hint="eastAsia" w:ascii="宋体" w:hAnsi="宋体"/>
                <w:sz w:val="24"/>
                <w:highlight w:val="none"/>
                <w:lang w:eastAsia="zh-CN"/>
              </w:rPr>
              <w:t>三门峡市陕州区</w:t>
            </w:r>
            <w:r>
              <w:rPr>
                <w:rFonts w:hint="eastAsia" w:ascii="宋体" w:hAnsi="宋体"/>
                <w:sz w:val="24"/>
                <w:highlight w:val="none"/>
                <w:lang w:val="en-US" w:eastAsia="zh-CN"/>
              </w:rPr>
              <w:t>菜园乡</w:t>
            </w:r>
          </w:p>
          <w:p w14:paraId="5814B7F8">
            <w:pPr>
              <w:pageBreakBefore w:val="0"/>
              <w:kinsoku/>
              <w:overflowPunct/>
              <w:bidi w:val="0"/>
              <w:spacing w:line="500" w:lineRule="exact"/>
              <w:rPr>
                <w:rFonts w:hint="default" w:ascii="宋体" w:hAnsi="宋体" w:eastAsia="宋体"/>
                <w:color w:val="auto"/>
                <w:sz w:val="21"/>
                <w:szCs w:val="21"/>
                <w:highlight w:val="none"/>
                <w:lang w:val="en-US" w:eastAsia="zh-CN"/>
              </w:rPr>
            </w:pPr>
            <w:r>
              <w:rPr>
                <w:rFonts w:hint="eastAsia" w:ascii="宋体" w:hAnsi="宋体"/>
                <w:color w:val="auto"/>
                <w:sz w:val="24"/>
                <w:highlight w:val="none"/>
              </w:rPr>
              <w:t>联系人：</w:t>
            </w:r>
            <w:r>
              <w:rPr>
                <w:rFonts w:hint="eastAsia" w:ascii="宋体" w:hAnsi="宋体"/>
                <w:sz w:val="24"/>
                <w:highlight w:val="none"/>
                <w:lang w:val="en-US" w:eastAsia="zh-CN"/>
              </w:rPr>
              <w:t>王先生</w:t>
            </w:r>
          </w:p>
          <w:p w14:paraId="17645981">
            <w:pPr>
              <w:pageBreakBefore w:val="0"/>
              <w:kinsoku/>
              <w:overflowPunct/>
              <w:bidi w:val="0"/>
              <w:spacing w:line="500" w:lineRule="exact"/>
              <w:rPr>
                <w:rFonts w:hint="default" w:ascii="宋体" w:hAnsi="宋体" w:eastAsia="宋体" w:cs="宋体"/>
                <w:color w:val="auto"/>
                <w:sz w:val="24"/>
                <w:highlight w:val="none"/>
                <w:lang w:val="en-US" w:eastAsia="zh-CN"/>
              </w:rPr>
            </w:pPr>
            <w:r>
              <w:rPr>
                <w:rFonts w:hint="eastAsia" w:ascii="宋体" w:hAnsi="宋体"/>
                <w:color w:val="auto"/>
                <w:sz w:val="24"/>
                <w:highlight w:val="none"/>
              </w:rPr>
              <w:t>联系方式：</w:t>
            </w:r>
            <w:r>
              <w:rPr>
                <w:rFonts w:hint="eastAsia" w:ascii="宋体" w:cs="Times New Roman"/>
                <w:sz w:val="24"/>
                <w:szCs w:val="24"/>
                <w:highlight w:val="none"/>
                <w:lang w:val="en-US" w:eastAsia="zh-CN"/>
              </w:rPr>
              <w:t>18668093987</w:t>
            </w:r>
          </w:p>
        </w:tc>
      </w:tr>
      <w:tr w14:paraId="6D4B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C64B35C">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2</w:t>
            </w:r>
          </w:p>
        </w:tc>
        <w:tc>
          <w:tcPr>
            <w:tcW w:w="1988" w:type="dxa"/>
            <w:tcBorders>
              <w:top w:val="single" w:color="auto" w:sz="4" w:space="0"/>
              <w:left w:val="nil"/>
              <w:bottom w:val="single" w:color="auto" w:sz="4" w:space="0"/>
              <w:right w:val="single" w:color="auto" w:sz="4" w:space="0"/>
            </w:tcBorders>
            <w:vAlign w:val="center"/>
          </w:tcPr>
          <w:p w14:paraId="3A68E157">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采购代理机构</w:t>
            </w:r>
          </w:p>
        </w:tc>
        <w:tc>
          <w:tcPr>
            <w:tcW w:w="6653" w:type="dxa"/>
            <w:tcBorders>
              <w:top w:val="single" w:color="auto" w:sz="4" w:space="0"/>
              <w:left w:val="nil"/>
              <w:bottom w:val="single" w:color="auto" w:sz="4" w:space="0"/>
              <w:right w:val="single" w:color="auto" w:sz="4" w:space="0"/>
            </w:tcBorders>
            <w:vAlign w:val="center"/>
          </w:tcPr>
          <w:p w14:paraId="337F2BBC">
            <w:pPr>
              <w:pageBreakBefore w:val="0"/>
              <w:kinsoku/>
              <w:overflowPunct/>
              <w:bidi w:val="0"/>
              <w:spacing w:line="500" w:lineRule="exac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名  称：河南锦霖工程管理有限公司</w:t>
            </w:r>
          </w:p>
          <w:p w14:paraId="1CFCAC02">
            <w:pPr>
              <w:pageBreakBefore w:val="0"/>
              <w:kinsoku/>
              <w:overflowPunct/>
              <w:bidi w:val="0"/>
              <w:spacing w:line="500" w:lineRule="exac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地  址：三门峡市湖滨区嘉亿广场4号楼6</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1室</w:t>
            </w:r>
          </w:p>
          <w:p w14:paraId="4BAD5818">
            <w:pPr>
              <w:pageBreakBefore w:val="0"/>
              <w:kinsoku/>
              <w:overflowPunct/>
              <w:bidi w:val="0"/>
              <w:spacing w:line="500" w:lineRule="exac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联系人：</w:t>
            </w:r>
            <w:r>
              <w:rPr>
                <w:rFonts w:hint="eastAsia" w:ascii="宋体" w:hAnsi="宋体"/>
                <w:color w:val="auto"/>
                <w:sz w:val="24"/>
                <w:szCs w:val="24"/>
                <w:highlight w:val="none"/>
                <w:lang w:val="en-US" w:eastAsia="zh-CN"/>
              </w:rPr>
              <w:t>陈女士</w:t>
            </w:r>
          </w:p>
          <w:p w14:paraId="15DADC45">
            <w:pPr>
              <w:pageBreakBefore w:val="0"/>
              <w:kinsoku/>
              <w:overflowPunct/>
              <w:bidi w:val="0"/>
              <w:spacing w:line="500" w:lineRule="exact"/>
              <w:rPr>
                <w:rFonts w:hint="default" w:ascii="宋体" w:hAnsi="宋体"/>
                <w:color w:val="auto"/>
                <w:sz w:val="24"/>
                <w:szCs w:val="24"/>
                <w:highlight w:val="none"/>
                <w:lang w:val="en-US" w:eastAsia="zh-CN"/>
              </w:rPr>
            </w:pPr>
            <w:r>
              <w:rPr>
                <w:rFonts w:hint="eastAsia" w:ascii="宋体" w:hAnsi="宋体"/>
                <w:color w:val="auto"/>
                <w:sz w:val="24"/>
                <w:szCs w:val="24"/>
                <w:highlight w:val="none"/>
                <w:lang w:eastAsia="zh-CN"/>
              </w:rPr>
              <w:t>电  话：</w:t>
            </w:r>
            <w:r>
              <w:rPr>
                <w:rFonts w:hint="eastAsia" w:ascii="宋体" w:hAnsi="宋体"/>
                <w:color w:val="auto"/>
                <w:sz w:val="24"/>
                <w:szCs w:val="24"/>
                <w:highlight w:val="none"/>
                <w:lang w:val="en-US" w:eastAsia="zh-CN"/>
              </w:rPr>
              <w:t>0398-2739966</w:t>
            </w:r>
          </w:p>
          <w:p w14:paraId="619EB16C">
            <w:pPr>
              <w:pageBreakBefore w:val="0"/>
              <w:kinsoku/>
              <w:overflowPunct/>
              <w:bidi w:val="0"/>
              <w:spacing w:line="500" w:lineRule="exact"/>
              <w:rPr>
                <w:rFonts w:hint="default"/>
                <w:color w:val="auto"/>
                <w:highlight w:val="none"/>
                <w:lang w:val="en-US"/>
              </w:rPr>
            </w:pPr>
            <w:r>
              <w:rPr>
                <w:rFonts w:hint="eastAsia" w:ascii="宋体" w:hAnsi="宋体"/>
                <w:color w:val="auto"/>
                <w:sz w:val="24"/>
                <w:szCs w:val="24"/>
                <w:highlight w:val="none"/>
                <w:lang w:val="en-US" w:eastAsia="zh-CN"/>
              </w:rPr>
              <w:t>邮箱：hnjlgcgl@126.com</w:t>
            </w:r>
          </w:p>
        </w:tc>
      </w:tr>
      <w:tr w14:paraId="62DF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5C01024F">
            <w:pPr>
              <w:pageBreakBefore w:val="0"/>
              <w:kinsoku/>
              <w:overflowPunct/>
              <w:bidi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988" w:type="dxa"/>
            <w:tcBorders>
              <w:top w:val="single" w:color="auto" w:sz="4" w:space="0"/>
              <w:left w:val="nil"/>
              <w:bottom w:val="single" w:color="auto" w:sz="4" w:space="0"/>
              <w:right w:val="single" w:color="auto" w:sz="4" w:space="0"/>
            </w:tcBorders>
            <w:vAlign w:val="center"/>
          </w:tcPr>
          <w:p w14:paraId="4FD201EA">
            <w:pPr>
              <w:pageBreakBefore w:val="0"/>
              <w:kinsoku/>
              <w:overflowPunct/>
              <w:bidi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653" w:type="dxa"/>
            <w:tcBorders>
              <w:top w:val="single" w:color="auto" w:sz="4" w:space="0"/>
              <w:left w:val="nil"/>
              <w:bottom w:val="single" w:color="auto" w:sz="4" w:space="0"/>
              <w:right w:val="single" w:color="auto" w:sz="4" w:space="0"/>
            </w:tcBorders>
            <w:vAlign w:val="center"/>
          </w:tcPr>
          <w:p w14:paraId="0E4ABEAC">
            <w:pPr>
              <w:pageBreakBefore w:val="0"/>
              <w:kinsoku/>
              <w:overflowPunct/>
              <w:bidi w:val="0"/>
              <w:spacing w:line="500" w:lineRule="exact"/>
              <w:rPr>
                <w:rFonts w:ascii="宋体" w:hAnsi="宋体"/>
                <w:color w:val="auto"/>
                <w:sz w:val="24"/>
                <w:highlight w:val="none"/>
              </w:rPr>
            </w:pPr>
            <w:r>
              <w:rPr>
                <w:rFonts w:hint="eastAsia" w:ascii="宋体" w:hAnsi="宋体"/>
                <w:color w:val="auto"/>
                <w:sz w:val="24"/>
                <w:szCs w:val="24"/>
                <w:highlight w:val="none"/>
                <w:lang w:eastAsia="zh-CN"/>
              </w:rPr>
              <w:t>2025年陕州区菜园乡西凡村农机农资服务中心项目-农业机械设备采购</w:t>
            </w:r>
          </w:p>
        </w:tc>
      </w:tr>
      <w:tr w14:paraId="741F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CAB2249">
            <w:pPr>
              <w:pageBreakBefore w:val="0"/>
              <w:kinsoku/>
              <w:overflowPunct/>
              <w:bidi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988" w:type="dxa"/>
            <w:tcBorders>
              <w:top w:val="single" w:color="auto" w:sz="4" w:space="0"/>
              <w:left w:val="nil"/>
              <w:bottom w:val="single" w:color="auto" w:sz="4" w:space="0"/>
              <w:right w:val="single" w:color="auto" w:sz="4" w:space="0"/>
            </w:tcBorders>
            <w:vAlign w:val="center"/>
          </w:tcPr>
          <w:p w14:paraId="6BDABADA">
            <w:pPr>
              <w:pageBreakBefore w:val="0"/>
              <w:kinsoku/>
              <w:overflowPunct/>
              <w:bidi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交货地点</w:t>
            </w:r>
          </w:p>
        </w:tc>
        <w:tc>
          <w:tcPr>
            <w:tcW w:w="6653" w:type="dxa"/>
            <w:tcBorders>
              <w:top w:val="single" w:color="auto" w:sz="4" w:space="0"/>
              <w:left w:val="nil"/>
              <w:bottom w:val="single" w:color="auto" w:sz="4" w:space="0"/>
              <w:right w:val="single" w:color="auto" w:sz="4" w:space="0"/>
            </w:tcBorders>
            <w:vAlign w:val="center"/>
          </w:tcPr>
          <w:p w14:paraId="5845BD33">
            <w:pPr>
              <w:pageBreakBefore w:val="0"/>
              <w:kinsoku/>
              <w:overflowPunct/>
              <w:bidi w:val="0"/>
              <w:spacing w:line="500" w:lineRule="exact"/>
              <w:rPr>
                <w:rFonts w:ascii="宋体" w:hAnsi="宋体"/>
                <w:color w:val="auto"/>
                <w:sz w:val="24"/>
                <w:highlight w:val="none"/>
              </w:rPr>
            </w:pPr>
            <w:r>
              <w:rPr>
                <w:rFonts w:hint="eastAsia" w:ascii="宋体" w:hAnsi="宋体"/>
                <w:color w:val="auto"/>
                <w:sz w:val="24"/>
                <w:highlight w:val="none"/>
              </w:rPr>
              <w:t>采购人指定地点</w:t>
            </w:r>
          </w:p>
        </w:tc>
      </w:tr>
      <w:tr w14:paraId="1128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08477DB5">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5</w:t>
            </w:r>
          </w:p>
        </w:tc>
        <w:tc>
          <w:tcPr>
            <w:tcW w:w="1988" w:type="dxa"/>
            <w:tcBorders>
              <w:top w:val="single" w:color="auto" w:sz="4" w:space="0"/>
              <w:left w:val="nil"/>
              <w:bottom w:val="single" w:color="auto" w:sz="4" w:space="0"/>
              <w:right w:val="single" w:color="auto" w:sz="4" w:space="0"/>
            </w:tcBorders>
            <w:vAlign w:val="center"/>
          </w:tcPr>
          <w:p w14:paraId="0F9017FE">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资金来源及比例</w:t>
            </w:r>
          </w:p>
        </w:tc>
        <w:tc>
          <w:tcPr>
            <w:tcW w:w="6653" w:type="dxa"/>
            <w:tcBorders>
              <w:top w:val="single" w:color="auto" w:sz="4" w:space="0"/>
              <w:left w:val="nil"/>
              <w:bottom w:val="single" w:color="auto" w:sz="4" w:space="0"/>
              <w:right w:val="single" w:color="auto" w:sz="4" w:space="0"/>
            </w:tcBorders>
            <w:vAlign w:val="center"/>
          </w:tcPr>
          <w:p w14:paraId="04F43ADB">
            <w:pPr>
              <w:pageBreakBefore w:val="0"/>
              <w:kinsoku/>
              <w:overflowPunct/>
              <w:bidi w:val="0"/>
              <w:spacing w:before="120" w:after="120" w:line="500" w:lineRule="exact"/>
              <w:rPr>
                <w:rFonts w:ascii="宋体" w:hAnsi="宋体"/>
                <w:color w:val="auto"/>
                <w:sz w:val="24"/>
                <w:highlight w:val="none"/>
              </w:rPr>
            </w:pPr>
            <w:r>
              <w:rPr>
                <w:rFonts w:hint="eastAsia" w:ascii="宋体" w:hAnsi="宋体"/>
                <w:color w:val="auto"/>
                <w:sz w:val="24"/>
                <w:highlight w:val="none"/>
                <w:lang w:eastAsia="zh-CN"/>
              </w:rPr>
              <w:t>财政资金</w:t>
            </w:r>
            <w:r>
              <w:rPr>
                <w:rFonts w:hint="eastAsia" w:ascii="宋体" w:hAnsi="宋体"/>
                <w:color w:val="auto"/>
                <w:sz w:val="24"/>
                <w:highlight w:val="none"/>
              </w:rPr>
              <w:t>，100%</w:t>
            </w:r>
          </w:p>
        </w:tc>
      </w:tr>
      <w:tr w14:paraId="3F3C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C7160A9">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6</w:t>
            </w:r>
          </w:p>
        </w:tc>
        <w:tc>
          <w:tcPr>
            <w:tcW w:w="1988" w:type="dxa"/>
            <w:tcBorders>
              <w:top w:val="single" w:color="auto" w:sz="4" w:space="0"/>
              <w:left w:val="nil"/>
              <w:bottom w:val="single" w:color="auto" w:sz="4" w:space="0"/>
              <w:right w:val="single" w:color="auto" w:sz="4" w:space="0"/>
            </w:tcBorders>
            <w:vAlign w:val="center"/>
          </w:tcPr>
          <w:p w14:paraId="343EA320">
            <w:pPr>
              <w:pageBreakBefore w:val="0"/>
              <w:kinsoku/>
              <w:overflowPunct/>
              <w:bidi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资金落实情况</w:t>
            </w:r>
          </w:p>
        </w:tc>
        <w:tc>
          <w:tcPr>
            <w:tcW w:w="6653" w:type="dxa"/>
            <w:tcBorders>
              <w:top w:val="single" w:color="auto" w:sz="4" w:space="0"/>
              <w:left w:val="nil"/>
              <w:bottom w:val="single" w:color="auto" w:sz="4" w:space="0"/>
              <w:right w:val="single" w:color="auto" w:sz="4" w:space="0"/>
            </w:tcBorders>
            <w:vAlign w:val="center"/>
          </w:tcPr>
          <w:p w14:paraId="66C7C0D5">
            <w:pPr>
              <w:pageBreakBefore w:val="0"/>
              <w:kinsoku/>
              <w:overflowPunct/>
              <w:bidi w:val="0"/>
              <w:spacing w:before="120" w:after="120" w:line="500" w:lineRule="exact"/>
              <w:rPr>
                <w:rFonts w:ascii="宋体" w:hAnsi="宋体"/>
                <w:color w:val="auto"/>
                <w:sz w:val="24"/>
                <w:highlight w:val="none"/>
              </w:rPr>
            </w:pPr>
            <w:r>
              <w:rPr>
                <w:rFonts w:hint="eastAsia" w:ascii="宋体" w:hAnsi="宋体"/>
                <w:color w:val="auto"/>
                <w:sz w:val="24"/>
                <w:highlight w:val="none"/>
              </w:rPr>
              <w:t>已落实</w:t>
            </w:r>
          </w:p>
        </w:tc>
      </w:tr>
      <w:tr w14:paraId="20B9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3045A69">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7</w:t>
            </w:r>
          </w:p>
        </w:tc>
        <w:tc>
          <w:tcPr>
            <w:tcW w:w="1988" w:type="dxa"/>
            <w:tcBorders>
              <w:top w:val="single" w:color="auto" w:sz="4" w:space="0"/>
              <w:left w:val="nil"/>
              <w:bottom w:val="single" w:color="auto" w:sz="4" w:space="0"/>
              <w:right w:val="single" w:color="auto" w:sz="4" w:space="0"/>
            </w:tcBorders>
            <w:vAlign w:val="center"/>
          </w:tcPr>
          <w:p w14:paraId="49FE729B">
            <w:pPr>
              <w:pageBreakBefore w:val="0"/>
              <w:kinsoku/>
              <w:overflowPunct/>
              <w:bidi w:val="0"/>
              <w:spacing w:before="120" w:after="120" w:line="500" w:lineRule="exact"/>
              <w:jc w:val="center"/>
              <w:rPr>
                <w:rFonts w:ascii="宋体" w:hAnsi="宋体"/>
                <w:color w:val="auto"/>
                <w:sz w:val="24"/>
                <w:highlight w:val="none"/>
              </w:rPr>
            </w:pPr>
            <w:r>
              <w:rPr>
                <w:rFonts w:hint="eastAsia" w:ascii="宋体" w:hAnsi="宋体"/>
                <w:color w:val="auto"/>
                <w:sz w:val="24"/>
                <w:highlight w:val="none"/>
              </w:rPr>
              <w:t>采购内容</w:t>
            </w:r>
          </w:p>
        </w:tc>
        <w:tc>
          <w:tcPr>
            <w:tcW w:w="6653" w:type="dxa"/>
            <w:tcBorders>
              <w:top w:val="single" w:color="auto" w:sz="4" w:space="0"/>
              <w:left w:val="nil"/>
              <w:bottom w:val="single" w:color="auto" w:sz="4" w:space="0"/>
              <w:right w:val="single" w:color="auto" w:sz="4" w:space="0"/>
            </w:tcBorders>
            <w:vAlign w:val="center"/>
          </w:tcPr>
          <w:p w14:paraId="40E50ED1">
            <w:pPr>
              <w:pageBreakBefore w:val="0"/>
              <w:kinsoku/>
              <w:overflowPunct/>
              <w:bidi w:val="0"/>
              <w:spacing w:before="120" w:after="120" w:line="500" w:lineRule="exact"/>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包含拖拉机、液压翻转犁、旋耕机、三轮车、装载机等的采购及安装、调试、验收、培训、质保期服务、与货物有关的运输和保险及其他伴随服务</w:t>
            </w:r>
            <w:r>
              <w:rPr>
                <w:rFonts w:hint="eastAsia" w:ascii="宋体" w:hAnsi="宋体" w:eastAsia="宋体"/>
                <w:color w:val="auto"/>
                <w:sz w:val="24"/>
                <w:highlight w:val="none"/>
                <w:lang w:eastAsia="zh-CN"/>
              </w:rPr>
              <w:t>；</w:t>
            </w:r>
          </w:p>
        </w:tc>
      </w:tr>
      <w:tr w14:paraId="652D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5CBFEF0">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8</w:t>
            </w:r>
          </w:p>
        </w:tc>
        <w:tc>
          <w:tcPr>
            <w:tcW w:w="1988" w:type="dxa"/>
            <w:tcBorders>
              <w:top w:val="single" w:color="auto" w:sz="4" w:space="0"/>
              <w:left w:val="nil"/>
              <w:bottom w:val="single" w:color="auto" w:sz="4" w:space="0"/>
              <w:right w:val="single" w:color="auto" w:sz="4" w:space="0"/>
            </w:tcBorders>
            <w:vAlign w:val="center"/>
          </w:tcPr>
          <w:p w14:paraId="779CF159">
            <w:pPr>
              <w:pStyle w:val="23"/>
              <w:pageBreakBefore w:val="0"/>
              <w:widowControl w:val="0"/>
              <w:kinsoku/>
              <w:overflowPunct/>
              <w:bidi w:val="0"/>
              <w:spacing w:before="0" w:beforeAutospacing="0" w:after="0" w:afterAutospacing="0" w:line="500" w:lineRule="exact"/>
              <w:ind w:firstLine="0" w:firstLineChars="0"/>
              <w:jc w:val="center"/>
              <w:rPr>
                <w:rFonts w:hint="eastAsia" w:eastAsia="宋体" w:cs="宋体"/>
                <w:color w:val="auto"/>
                <w:kern w:val="2"/>
                <w:highlight w:val="none"/>
                <w:lang w:val="en-US" w:eastAsia="zh-CN"/>
              </w:rPr>
            </w:pPr>
            <w:r>
              <w:rPr>
                <w:rFonts w:hint="eastAsia" w:cs="宋体"/>
                <w:color w:val="auto"/>
                <w:highlight w:val="none"/>
              </w:rPr>
              <w:t>合同履行期限</w:t>
            </w:r>
            <w:r>
              <w:rPr>
                <w:rFonts w:hint="eastAsia" w:cs="宋体"/>
                <w:color w:val="auto"/>
                <w:highlight w:val="none"/>
                <w:lang w:val="en-US" w:eastAsia="zh-CN"/>
              </w:rPr>
              <w:t>/交货期</w:t>
            </w:r>
          </w:p>
        </w:tc>
        <w:tc>
          <w:tcPr>
            <w:tcW w:w="6653" w:type="dxa"/>
            <w:tcBorders>
              <w:top w:val="single" w:color="auto" w:sz="4" w:space="0"/>
              <w:left w:val="nil"/>
              <w:bottom w:val="single" w:color="auto" w:sz="4" w:space="0"/>
              <w:right w:val="single" w:color="auto" w:sz="4" w:space="0"/>
            </w:tcBorders>
            <w:vAlign w:val="center"/>
          </w:tcPr>
          <w:p w14:paraId="02F26184">
            <w:pPr>
              <w:pageBreakBefore w:val="0"/>
              <w:kinsoku/>
              <w:overflowPunct/>
              <w:bidi w:val="0"/>
              <w:spacing w:before="120" w:after="120" w:line="500" w:lineRule="exact"/>
              <w:rPr>
                <w:rFonts w:hint="default" w:ascii="宋体" w:hAnsi="宋体"/>
                <w:color w:val="auto"/>
                <w:sz w:val="24"/>
                <w:highlight w:val="none"/>
                <w:lang w:val="en-US"/>
              </w:rPr>
            </w:pPr>
            <w:r>
              <w:rPr>
                <w:rFonts w:hint="eastAsia" w:ascii="宋体" w:hAnsi="宋体"/>
                <w:color w:val="auto"/>
                <w:sz w:val="24"/>
                <w:szCs w:val="24"/>
                <w:highlight w:val="none"/>
                <w:lang w:val="en-US" w:eastAsia="zh-CN"/>
              </w:rPr>
              <w:t>自合同签订后90日历天内供货并安装调试完毕</w:t>
            </w:r>
          </w:p>
        </w:tc>
      </w:tr>
      <w:tr w14:paraId="0691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849E1BC">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9</w:t>
            </w:r>
          </w:p>
        </w:tc>
        <w:tc>
          <w:tcPr>
            <w:tcW w:w="1988" w:type="dxa"/>
            <w:tcBorders>
              <w:top w:val="single" w:color="auto" w:sz="4" w:space="0"/>
              <w:left w:val="nil"/>
              <w:bottom w:val="single" w:color="auto" w:sz="4" w:space="0"/>
              <w:right w:val="single" w:color="auto" w:sz="4" w:space="0"/>
            </w:tcBorders>
            <w:vAlign w:val="center"/>
          </w:tcPr>
          <w:p w14:paraId="39D25937">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交货地点</w:t>
            </w:r>
          </w:p>
        </w:tc>
        <w:tc>
          <w:tcPr>
            <w:tcW w:w="6653" w:type="dxa"/>
            <w:tcBorders>
              <w:top w:val="single" w:color="auto" w:sz="4" w:space="0"/>
              <w:left w:val="nil"/>
              <w:bottom w:val="single" w:color="auto" w:sz="4" w:space="0"/>
              <w:right w:val="single" w:color="auto" w:sz="4" w:space="0"/>
            </w:tcBorders>
            <w:vAlign w:val="center"/>
          </w:tcPr>
          <w:p w14:paraId="5F8F0997">
            <w:pPr>
              <w:pageBreakBefore w:val="0"/>
              <w:kinsoku/>
              <w:overflowPunct/>
              <w:bidi w:val="0"/>
              <w:spacing w:before="120" w:after="120" w:line="500" w:lineRule="exact"/>
              <w:rPr>
                <w:rFonts w:ascii="宋体" w:hAnsi="宋体" w:cs="宋体"/>
                <w:color w:val="auto"/>
                <w:sz w:val="24"/>
                <w:highlight w:val="none"/>
              </w:rPr>
            </w:pPr>
            <w:r>
              <w:rPr>
                <w:rFonts w:hint="eastAsia" w:ascii="宋体" w:hAnsi="宋体" w:cs="宋体"/>
                <w:color w:val="auto"/>
                <w:sz w:val="24"/>
                <w:highlight w:val="none"/>
              </w:rPr>
              <w:t>采购人指定地点</w:t>
            </w:r>
          </w:p>
        </w:tc>
      </w:tr>
      <w:tr w14:paraId="6254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4C91E5D">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10</w:t>
            </w:r>
          </w:p>
        </w:tc>
        <w:tc>
          <w:tcPr>
            <w:tcW w:w="1988" w:type="dxa"/>
            <w:tcBorders>
              <w:top w:val="single" w:color="auto" w:sz="4" w:space="0"/>
              <w:left w:val="nil"/>
              <w:bottom w:val="single" w:color="auto" w:sz="4" w:space="0"/>
              <w:right w:val="single" w:color="auto" w:sz="4" w:space="0"/>
            </w:tcBorders>
            <w:vAlign w:val="center"/>
          </w:tcPr>
          <w:p w14:paraId="042B157B">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质量标准</w:t>
            </w:r>
          </w:p>
        </w:tc>
        <w:tc>
          <w:tcPr>
            <w:tcW w:w="6653" w:type="dxa"/>
            <w:tcBorders>
              <w:top w:val="single" w:color="auto" w:sz="4" w:space="0"/>
              <w:left w:val="nil"/>
              <w:bottom w:val="single" w:color="auto" w:sz="4" w:space="0"/>
              <w:right w:val="single" w:color="auto" w:sz="4" w:space="0"/>
            </w:tcBorders>
            <w:vAlign w:val="center"/>
          </w:tcPr>
          <w:p w14:paraId="57917D1A">
            <w:pPr>
              <w:pageBreakBefore w:val="0"/>
              <w:kinsoku/>
              <w:overflowPunct/>
              <w:bidi w:val="0"/>
              <w:spacing w:before="120" w:after="120" w:line="5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符合国家或行业规定的合格标准</w:t>
            </w:r>
            <w:r>
              <w:rPr>
                <w:rFonts w:hint="eastAsia" w:ascii="宋体" w:hAnsi="宋体" w:cs="宋体"/>
                <w:color w:val="auto"/>
                <w:sz w:val="24"/>
                <w:highlight w:val="none"/>
                <w:lang w:eastAsia="zh-CN"/>
              </w:rPr>
              <w:t>；</w:t>
            </w:r>
          </w:p>
        </w:tc>
      </w:tr>
      <w:tr w14:paraId="3EE8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F89F006">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highlight w:val="none"/>
                <w:lang w:val="en-US" w:eastAsia="zh-CN"/>
              </w:rPr>
            </w:pPr>
            <w:r>
              <w:rPr>
                <w:rFonts w:hint="eastAsia" w:cs="宋体"/>
                <w:color w:val="auto"/>
                <w:highlight w:val="none"/>
                <w:lang w:val="en-US" w:eastAsia="zh-CN"/>
              </w:rPr>
              <w:t>11</w:t>
            </w:r>
          </w:p>
        </w:tc>
        <w:tc>
          <w:tcPr>
            <w:tcW w:w="1988" w:type="dxa"/>
            <w:tcBorders>
              <w:top w:val="single" w:color="auto" w:sz="4" w:space="0"/>
              <w:left w:val="nil"/>
              <w:bottom w:val="single" w:color="auto" w:sz="4" w:space="0"/>
              <w:right w:val="single" w:color="auto" w:sz="4" w:space="0"/>
            </w:tcBorders>
            <w:vAlign w:val="center"/>
          </w:tcPr>
          <w:p w14:paraId="1D53241F">
            <w:pPr>
              <w:pStyle w:val="23"/>
              <w:pageBreakBefore w:val="0"/>
              <w:widowControl w:val="0"/>
              <w:kinsoku/>
              <w:overflowPunct/>
              <w:bidi w:val="0"/>
              <w:spacing w:before="0" w:beforeAutospacing="0" w:after="0" w:afterAutospacing="0" w:line="500" w:lineRule="exact"/>
              <w:ind w:firstLine="0" w:firstLineChars="0"/>
              <w:jc w:val="center"/>
              <w:rPr>
                <w:rFonts w:hint="eastAsia" w:eastAsia="宋体" w:cs="宋体"/>
                <w:color w:val="auto"/>
                <w:highlight w:val="none"/>
                <w:lang w:eastAsia="zh-CN"/>
              </w:rPr>
            </w:pPr>
            <w:r>
              <w:rPr>
                <w:rFonts w:hint="eastAsia" w:cs="宋体"/>
                <w:color w:val="auto"/>
                <w:highlight w:val="none"/>
                <w:lang w:eastAsia="zh-CN"/>
              </w:rPr>
              <w:t>质保期</w:t>
            </w:r>
          </w:p>
        </w:tc>
        <w:tc>
          <w:tcPr>
            <w:tcW w:w="6653" w:type="dxa"/>
            <w:tcBorders>
              <w:top w:val="single" w:color="auto" w:sz="4" w:space="0"/>
              <w:left w:val="nil"/>
              <w:bottom w:val="single" w:color="auto" w:sz="4" w:space="0"/>
              <w:right w:val="single" w:color="auto" w:sz="4" w:space="0"/>
            </w:tcBorders>
            <w:vAlign w:val="center"/>
          </w:tcPr>
          <w:p w14:paraId="7E9F867E">
            <w:pPr>
              <w:pageBreakBefore w:val="0"/>
              <w:kinsoku/>
              <w:overflowPunct/>
              <w:bidi w:val="0"/>
              <w:spacing w:before="120" w:after="120" w:line="5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1年</w:t>
            </w:r>
          </w:p>
        </w:tc>
      </w:tr>
      <w:tr w14:paraId="2C48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42226F7">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kern w:val="2"/>
                <w:highlight w:val="none"/>
                <w:lang w:val="en-US" w:eastAsia="zh-CN"/>
              </w:rPr>
            </w:pPr>
            <w:r>
              <w:rPr>
                <w:rFonts w:hint="eastAsia" w:cs="宋体"/>
                <w:color w:val="auto"/>
                <w:highlight w:val="none"/>
                <w:lang w:val="en-US" w:eastAsia="zh-CN"/>
              </w:rPr>
              <w:t>12</w:t>
            </w:r>
          </w:p>
        </w:tc>
        <w:tc>
          <w:tcPr>
            <w:tcW w:w="1988" w:type="dxa"/>
            <w:tcBorders>
              <w:top w:val="single" w:color="auto" w:sz="4" w:space="0"/>
              <w:left w:val="nil"/>
              <w:bottom w:val="single" w:color="auto" w:sz="4" w:space="0"/>
              <w:right w:val="single" w:color="auto" w:sz="4" w:space="0"/>
            </w:tcBorders>
            <w:vAlign w:val="center"/>
          </w:tcPr>
          <w:p w14:paraId="4F4FBF3F">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kern w:val="2"/>
                <w:highlight w:val="none"/>
              </w:rPr>
              <w:t>供应商资格要求</w:t>
            </w:r>
          </w:p>
        </w:tc>
        <w:tc>
          <w:tcPr>
            <w:tcW w:w="6653" w:type="dxa"/>
            <w:tcBorders>
              <w:top w:val="single" w:color="auto" w:sz="4" w:space="0"/>
              <w:left w:val="nil"/>
              <w:bottom w:val="single" w:color="auto" w:sz="4" w:space="0"/>
              <w:right w:val="single" w:color="auto" w:sz="4" w:space="0"/>
            </w:tcBorders>
            <w:vAlign w:val="center"/>
          </w:tcPr>
          <w:p w14:paraId="49CE8C19">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满足《中华人民共和国政府采购法》第二十二条规定；</w:t>
            </w:r>
          </w:p>
          <w:p w14:paraId="6B5F78EB">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落实政府采购政策需满足的资格要求：</w:t>
            </w:r>
            <w:r>
              <w:rPr>
                <w:rFonts w:hint="eastAsia" w:ascii="宋体" w:hAnsi="宋体"/>
                <w:sz w:val="24"/>
                <w:highlight w:val="none"/>
                <w:lang w:val="en-US" w:eastAsia="zh-CN"/>
              </w:rPr>
              <w:t>本项目专门面向中小企业采购（监狱企业、残疾人福利性企业视同小微企业）</w:t>
            </w:r>
            <w:r>
              <w:rPr>
                <w:rFonts w:hint="eastAsia" w:ascii="宋体" w:hAnsi="宋体"/>
                <w:color w:val="auto"/>
                <w:sz w:val="24"/>
                <w:szCs w:val="24"/>
                <w:highlight w:val="none"/>
              </w:rPr>
              <w:t>；</w:t>
            </w:r>
          </w:p>
          <w:p w14:paraId="5D494B1D">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本项目的特定资格要求：</w:t>
            </w:r>
          </w:p>
          <w:p w14:paraId="1DE95910">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3.1、供应商须具有独立法人资格，具备有效的营业执照；</w:t>
            </w:r>
          </w:p>
          <w:p w14:paraId="4992276C">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3.2、参加政府采购活动近3年内无行贿犯罪记录、无商业贿赂、无不正当竞争行为、无骗取中标、无严重违约及重大工程质量等问题的承诺书；</w:t>
            </w:r>
          </w:p>
          <w:p w14:paraId="5AF3279E">
            <w:pPr>
              <w:pageBreakBefore w:val="0"/>
              <w:kinsoku/>
              <w:overflowPunct/>
              <w:bidi w:val="0"/>
              <w:spacing w:line="50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3.3、供应商自行出具本企业无商业贿赂和不正当竞争行为承诺书</w:t>
            </w:r>
            <w:r>
              <w:rPr>
                <w:rFonts w:hint="eastAsia" w:ascii="宋体" w:hAnsi="宋体"/>
                <w:color w:val="auto"/>
                <w:sz w:val="24"/>
                <w:szCs w:val="24"/>
                <w:highlight w:val="none"/>
                <w:lang w:eastAsia="zh-CN"/>
              </w:rPr>
              <w:t>；</w:t>
            </w:r>
          </w:p>
          <w:p w14:paraId="4DEA61E4">
            <w:pPr>
              <w:pageBreakBefore w:val="0"/>
              <w:kinsoku/>
              <w:overflowPunct/>
              <w:bidi w:val="0"/>
              <w:spacing w:line="500" w:lineRule="exact"/>
              <w:ind w:firstLine="480" w:firstLineChars="200"/>
              <w:rPr>
                <w:color w:val="auto"/>
                <w:highlight w:val="none"/>
              </w:rPr>
            </w:pPr>
            <w:r>
              <w:rPr>
                <w:rFonts w:hint="eastAsia" w:ascii="宋体" w:hAnsi="宋体"/>
                <w:color w:val="auto"/>
                <w:sz w:val="24"/>
                <w:szCs w:val="24"/>
                <w:highlight w:val="none"/>
              </w:rPr>
              <w:t>3.4、根据《关于在政府采购活动中查询及使用信用记录有关问题的通知》(财库[2016]125号)和豫财购【2016】15号的规定，</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https://www.creditchina.gov.cn/xinxigongshi/）、中国政府采购网（www.ccgp.gov.cn），提供网站的查询结果截图，截图要显示查询时间，查询时间自本公告发布之日起；</w:t>
            </w:r>
          </w:p>
        </w:tc>
      </w:tr>
      <w:tr w14:paraId="7F36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AFB077B">
            <w:pPr>
              <w:pStyle w:val="23"/>
              <w:pageBreakBefore w:val="0"/>
              <w:widowControl w:val="0"/>
              <w:kinsoku/>
              <w:overflowPunct/>
              <w:bidi w:val="0"/>
              <w:spacing w:before="0" w:beforeAutospacing="0" w:after="0" w:afterAutospacing="0" w:line="50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highlight w:val="none"/>
                <w:lang w:val="en-US" w:eastAsia="zh-CN"/>
              </w:rPr>
              <w:t>13</w:t>
            </w:r>
          </w:p>
        </w:tc>
        <w:tc>
          <w:tcPr>
            <w:tcW w:w="1988" w:type="dxa"/>
            <w:tcBorders>
              <w:top w:val="single" w:color="auto" w:sz="4" w:space="0"/>
              <w:left w:val="nil"/>
              <w:bottom w:val="single" w:color="auto" w:sz="4" w:space="0"/>
              <w:right w:val="single" w:color="auto" w:sz="4" w:space="0"/>
            </w:tcBorders>
            <w:vAlign w:val="center"/>
          </w:tcPr>
          <w:p w14:paraId="4E9AE2AA">
            <w:pPr>
              <w:pageBreakBefore w:val="0"/>
              <w:kinsoku/>
              <w:overflowPunct/>
              <w:bidi w:val="0"/>
              <w:spacing w:before="120" w:after="120" w:line="5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是否接受联合体</w:t>
            </w:r>
          </w:p>
        </w:tc>
        <w:tc>
          <w:tcPr>
            <w:tcW w:w="6653" w:type="dxa"/>
            <w:tcBorders>
              <w:top w:val="single" w:color="auto" w:sz="4" w:space="0"/>
              <w:left w:val="nil"/>
              <w:bottom w:val="single" w:color="auto" w:sz="4" w:space="0"/>
              <w:right w:val="single" w:color="auto" w:sz="4" w:space="0"/>
            </w:tcBorders>
            <w:vAlign w:val="center"/>
          </w:tcPr>
          <w:p w14:paraId="089AAB4D">
            <w:pPr>
              <w:pageBreakBefore w:val="0"/>
              <w:kinsoku/>
              <w:overflowPunct/>
              <w:bidi w:val="0"/>
              <w:spacing w:before="120" w:after="120" w:line="500" w:lineRule="exact"/>
              <w:jc w:val="left"/>
              <w:rPr>
                <w:rFonts w:ascii="宋体" w:hAnsi="宋体" w:cs="宋体"/>
                <w:color w:val="auto"/>
                <w:sz w:val="24"/>
                <w:highlight w:val="none"/>
              </w:rPr>
            </w:pPr>
            <w:r>
              <w:rPr>
                <w:rFonts w:hint="eastAsia" w:ascii="宋体" w:hAnsi="宋体" w:cs="宋体"/>
                <w:color w:val="auto"/>
                <w:sz w:val="24"/>
                <w:highlight w:val="none"/>
              </w:rPr>
              <w:t>不接受</w:t>
            </w:r>
          </w:p>
        </w:tc>
      </w:tr>
      <w:tr w14:paraId="0522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3D048F3">
            <w:pPr>
              <w:pStyle w:val="23"/>
              <w:pageBreakBefore w:val="0"/>
              <w:widowControl w:val="0"/>
              <w:kinsoku/>
              <w:overflowPunct/>
              <w:bidi w:val="0"/>
              <w:spacing w:before="0" w:beforeAutospacing="0" w:after="0" w:afterAutospacing="0" w:line="50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highlight w:val="none"/>
                <w:lang w:val="en-US" w:eastAsia="zh-CN"/>
              </w:rPr>
              <w:t>14</w:t>
            </w:r>
          </w:p>
        </w:tc>
        <w:tc>
          <w:tcPr>
            <w:tcW w:w="1988" w:type="dxa"/>
            <w:tcBorders>
              <w:top w:val="single" w:color="auto" w:sz="4" w:space="0"/>
              <w:left w:val="nil"/>
              <w:bottom w:val="single" w:color="auto" w:sz="4" w:space="0"/>
              <w:right w:val="single" w:color="auto" w:sz="4" w:space="0"/>
            </w:tcBorders>
            <w:vAlign w:val="center"/>
          </w:tcPr>
          <w:p w14:paraId="35B46C1F">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供应商不得存在的其他情形</w:t>
            </w:r>
          </w:p>
        </w:tc>
        <w:tc>
          <w:tcPr>
            <w:tcW w:w="6653" w:type="dxa"/>
            <w:tcBorders>
              <w:top w:val="single" w:color="auto" w:sz="4" w:space="0"/>
              <w:left w:val="nil"/>
              <w:bottom w:val="single" w:color="auto" w:sz="4" w:space="0"/>
              <w:right w:val="single" w:color="auto" w:sz="4" w:space="0"/>
            </w:tcBorders>
            <w:vAlign w:val="center"/>
          </w:tcPr>
          <w:p w14:paraId="53A2FF22">
            <w:pPr>
              <w:pageBreakBefore w:val="0"/>
              <w:kinsoku/>
              <w:overflowPunct/>
              <w:bidi w:val="0"/>
              <w:spacing w:before="120" w:after="120" w:line="500" w:lineRule="exact"/>
              <w:jc w:val="left"/>
              <w:rPr>
                <w:rFonts w:ascii="宋体" w:hAnsi="宋体" w:cs="宋体"/>
                <w:color w:val="auto"/>
                <w:sz w:val="24"/>
                <w:highlight w:val="none"/>
              </w:rPr>
            </w:pPr>
            <w:r>
              <w:rPr>
                <w:rFonts w:hint="eastAsia" w:ascii="宋体" w:hAnsi="宋体" w:cs="宋体"/>
                <w:color w:val="auto"/>
                <w:sz w:val="24"/>
                <w:highlight w:val="none"/>
              </w:rPr>
              <w:t>详见供应商须知正文</w:t>
            </w:r>
          </w:p>
        </w:tc>
      </w:tr>
      <w:tr w14:paraId="66C3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D474FF5">
            <w:pPr>
              <w:pStyle w:val="23"/>
              <w:pageBreakBefore w:val="0"/>
              <w:widowControl w:val="0"/>
              <w:kinsoku/>
              <w:overflowPunct/>
              <w:bidi w:val="0"/>
              <w:spacing w:before="0" w:beforeAutospacing="0" w:after="0" w:afterAutospacing="0" w:line="50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highlight w:val="none"/>
                <w:lang w:val="en-US" w:eastAsia="zh-CN"/>
              </w:rPr>
              <w:t>15</w:t>
            </w:r>
          </w:p>
        </w:tc>
        <w:tc>
          <w:tcPr>
            <w:tcW w:w="1988" w:type="dxa"/>
            <w:tcBorders>
              <w:top w:val="single" w:color="auto" w:sz="4" w:space="0"/>
              <w:left w:val="nil"/>
              <w:bottom w:val="single" w:color="auto" w:sz="4" w:space="0"/>
              <w:right w:val="single" w:color="auto" w:sz="4" w:space="0"/>
            </w:tcBorders>
            <w:vAlign w:val="center"/>
          </w:tcPr>
          <w:p w14:paraId="5DAE709D">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lang w:eastAsia="zh-CN"/>
              </w:rPr>
              <w:t>磋商</w:t>
            </w:r>
            <w:r>
              <w:rPr>
                <w:rFonts w:hint="eastAsia" w:ascii="宋体" w:hAnsi="宋体" w:cs="宋体"/>
                <w:color w:val="auto"/>
                <w:sz w:val="24"/>
                <w:highlight w:val="none"/>
              </w:rPr>
              <w:t>预备会</w:t>
            </w:r>
          </w:p>
        </w:tc>
        <w:tc>
          <w:tcPr>
            <w:tcW w:w="6653" w:type="dxa"/>
            <w:tcBorders>
              <w:top w:val="single" w:color="auto" w:sz="4" w:space="0"/>
              <w:left w:val="nil"/>
              <w:bottom w:val="single" w:color="auto" w:sz="4" w:space="0"/>
              <w:right w:val="single" w:color="auto" w:sz="4" w:space="0"/>
            </w:tcBorders>
            <w:vAlign w:val="center"/>
          </w:tcPr>
          <w:p w14:paraId="7A9616E2">
            <w:pPr>
              <w:pageBreakBefore w:val="0"/>
              <w:kinsoku/>
              <w:overflowPunct/>
              <w:bidi w:val="0"/>
              <w:spacing w:before="120" w:after="120" w:line="500" w:lineRule="exact"/>
              <w:jc w:val="left"/>
              <w:rPr>
                <w:rFonts w:ascii="宋体" w:hAnsi="宋体" w:cs="宋体"/>
                <w:color w:val="auto"/>
                <w:sz w:val="24"/>
                <w:highlight w:val="none"/>
              </w:rPr>
            </w:pPr>
            <w:r>
              <w:rPr>
                <w:rFonts w:hint="eastAsia" w:ascii="宋体" w:hAnsi="宋体" w:cs="宋体"/>
                <w:color w:val="auto"/>
                <w:sz w:val="24"/>
                <w:highlight w:val="none"/>
              </w:rPr>
              <w:t>不召开</w:t>
            </w:r>
          </w:p>
        </w:tc>
      </w:tr>
      <w:tr w14:paraId="47AB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A4FC971">
            <w:pPr>
              <w:pStyle w:val="23"/>
              <w:pageBreakBefore w:val="0"/>
              <w:widowControl w:val="0"/>
              <w:kinsoku/>
              <w:overflowPunct/>
              <w:bidi w:val="0"/>
              <w:spacing w:before="0" w:beforeAutospacing="0" w:after="0" w:afterAutospacing="0" w:line="50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highlight w:val="none"/>
                <w:lang w:val="en-US" w:eastAsia="zh-CN"/>
              </w:rPr>
              <w:t>16</w:t>
            </w:r>
          </w:p>
        </w:tc>
        <w:tc>
          <w:tcPr>
            <w:tcW w:w="1988" w:type="dxa"/>
            <w:tcBorders>
              <w:top w:val="single" w:color="auto" w:sz="4" w:space="0"/>
              <w:left w:val="nil"/>
              <w:bottom w:val="single" w:color="auto" w:sz="4" w:space="0"/>
              <w:right w:val="single" w:color="auto" w:sz="4" w:space="0"/>
            </w:tcBorders>
            <w:vAlign w:val="center"/>
          </w:tcPr>
          <w:p w14:paraId="1B6B89FB">
            <w:pPr>
              <w:pageBreakBefore w:val="0"/>
              <w:widowControl/>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供应商提出问题的截止时间</w:t>
            </w:r>
          </w:p>
        </w:tc>
        <w:tc>
          <w:tcPr>
            <w:tcW w:w="6653" w:type="dxa"/>
            <w:tcBorders>
              <w:top w:val="single" w:color="auto" w:sz="4" w:space="0"/>
              <w:left w:val="nil"/>
              <w:bottom w:val="single" w:color="auto" w:sz="4" w:space="0"/>
              <w:right w:val="single" w:color="auto" w:sz="4" w:space="0"/>
            </w:tcBorders>
            <w:vAlign w:val="center"/>
          </w:tcPr>
          <w:p w14:paraId="0C42E013">
            <w:pPr>
              <w:pageBreakBefore w:val="0"/>
              <w:widowControl/>
              <w:kinsoku/>
              <w:overflowPunct/>
              <w:bidi w:val="0"/>
              <w:spacing w:line="500" w:lineRule="exact"/>
              <w:jc w:val="left"/>
              <w:rPr>
                <w:rFonts w:ascii="宋体" w:hAnsi="宋体" w:cs="宋体"/>
                <w:color w:val="auto"/>
                <w:sz w:val="24"/>
                <w:highlight w:val="none"/>
              </w:rPr>
            </w:pPr>
            <w:r>
              <w:rPr>
                <w:rFonts w:hint="eastAsia" w:ascii="宋体" w:hAnsi="宋体" w:cs="宋体"/>
                <w:color w:val="auto"/>
                <w:kern w:val="0"/>
                <w:sz w:val="24"/>
                <w:highlight w:val="none"/>
              </w:rPr>
              <w:t>递交响应文件的截止之日3日前</w:t>
            </w:r>
          </w:p>
        </w:tc>
      </w:tr>
      <w:tr w14:paraId="3AF8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05C67BB">
            <w:pPr>
              <w:pStyle w:val="23"/>
              <w:pageBreakBefore w:val="0"/>
              <w:widowControl w:val="0"/>
              <w:kinsoku/>
              <w:overflowPunct/>
              <w:bidi w:val="0"/>
              <w:spacing w:before="0" w:beforeAutospacing="0" w:after="0" w:afterAutospacing="0" w:line="50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highlight w:val="none"/>
                <w:lang w:val="en-US" w:eastAsia="zh-CN"/>
              </w:rPr>
              <w:t>17</w:t>
            </w:r>
          </w:p>
        </w:tc>
        <w:tc>
          <w:tcPr>
            <w:tcW w:w="1988" w:type="dxa"/>
            <w:tcBorders>
              <w:top w:val="single" w:color="auto" w:sz="4" w:space="0"/>
              <w:left w:val="nil"/>
              <w:bottom w:val="single" w:color="auto" w:sz="4" w:space="0"/>
              <w:right w:val="single" w:color="auto" w:sz="4" w:space="0"/>
            </w:tcBorders>
            <w:vAlign w:val="center"/>
          </w:tcPr>
          <w:p w14:paraId="5A1396F1">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分包</w:t>
            </w:r>
          </w:p>
        </w:tc>
        <w:tc>
          <w:tcPr>
            <w:tcW w:w="6653" w:type="dxa"/>
            <w:tcBorders>
              <w:top w:val="single" w:color="auto" w:sz="4" w:space="0"/>
              <w:left w:val="nil"/>
              <w:bottom w:val="single" w:color="auto" w:sz="4" w:space="0"/>
              <w:right w:val="single" w:color="auto" w:sz="4" w:space="0"/>
            </w:tcBorders>
            <w:vAlign w:val="center"/>
          </w:tcPr>
          <w:p w14:paraId="275C8C4B">
            <w:pPr>
              <w:pageBreakBefore w:val="0"/>
              <w:kinsoku/>
              <w:overflowPunct/>
              <w:bidi w:val="0"/>
              <w:spacing w:before="120" w:after="120" w:line="500" w:lineRule="exact"/>
              <w:jc w:val="left"/>
              <w:rPr>
                <w:rFonts w:ascii="宋体" w:hAnsi="宋体" w:cs="宋体"/>
                <w:color w:val="auto"/>
                <w:sz w:val="24"/>
                <w:highlight w:val="none"/>
              </w:rPr>
            </w:pPr>
            <w:r>
              <w:rPr>
                <w:rFonts w:hint="eastAsia" w:ascii="宋体" w:hAnsi="宋体" w:cs="宋体"/>
                <w:color w:val="auto"/>
                <w:sz w:val="24"/>
                <w:highlight w:val="none"/>
              </w:rPr>
              <w:t>不允许</w:t>
            </w:r>
          </w:p>
        </w:tc>
      </w:tr>
      <w:tr w14:paraId="75BB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D96C0B2">
            <w:pPr>
              <w:pStyle w:val="23"/>
              <w:pageBreakBefore w:val="0"/>
              <w:widowControl w:val="0"/>
              <w:kinsoku/>
              <w:overflowPunct/>
              <w:bidi w:val="0"/>
              <w:spacing w:before="0" w:beforeAutospacing="0" w:after="0" w:afterAutospacing="0" w:line="50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highlight w:val="none"/>
                <w:lang w:val="en-US" w:eastAsia="zh-CN"/>
              </w:rPr>
              <w:t>18</w:t>
            </w:r>
          </w:p>
        </w:tc>
        <w:tc>
          <w:tcPr>
            <w:tcW w:w="1988" w:type="dxa"/>
            <w:tcBorders>
              <w:top w:val="single" w:color="auto" w:sz="4" w:space="0"/>
              <w:left w:val="nil"/>
              <w:bottom w:val="single" w:color="auto" w:sz="4" w:space="0"/>
              <w:right w:val="single" w:color="auto" w:sz="4" w:space="0"/>
            </w:tcBorders>
            <w:vAlign w:val="center"/>
          </w:tcPr>
          <w:p w14:paraId="15A98A95">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其他可以被接受的技术支持资料</w:t>
            </w:r>
          </w:p>
        </w:tc>
        <w:tc>
          <w:tcPr>
            <w:tcW w:w="6653" w:type="dxa"/>
            <w:tcBorders>
              <w:top w:val="single" w:color="auto" w:sz="4" w:space="0"/>
              <w:left w:val="nil"/>
              <w:bottom w:val="single" w:color="auto" w:sz="4" w:space="0"/>
              <w:right w:val="single" w:color="auto" w:sz="4" w:space="0"/>
            </w:tcBorders>
            <w:vAlign w:val="center"/>
          </w:tcPr>
          <w:p w14:paraId="1ACF74F2">
            <w:pPr>
              <w:pageBreakBefore w:val="0"/>
              <w:kinsoku/>
              <w:overflowPunct/>
              <w:bidi w:val="0"/>
              <w:spacing w:line="500" w:lineRule="exact"/>
              <w:rPr>
                <w:rFonts w:ascii="宋体" w:hAnsi="宋体" w:cs="宋体"/>
                <w:color w:val="auto"/>
                <w:sz w:val="24"/>
                <w:highlight w:val="none"/>
              </w:rPr>
            </w:pPr>
            <w:r>
              <w:rPr>
                <w:rFonts w:hint="eastAsia" w:ascii="宋体" w:hAnsi="宋体" w:cs="宋体"/>
                <w:color w:val="auto"/>
                <w:sz w:val="24"/>
                <w:highlight w:val="none"/>
              </w:rPr>
              <w:t>供应商认为有必要的其他资料</w:t>
            </w:r>
          </w:p>
        </w:tc>
      </w:tr>
      <w:tr w14:paraId="79E4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DD8F138">
            <w:pPr>
              <w:pStyle w:val="23"/>
              <w:pageBreakBefore w:val="0"/>
              <w:widowControl w:val="0"/>
              <w:kinsoku/>
              <w:overflowPunct/>
              <w:bidi w:val="0"/>
              <w:spacing w:before="0" w:beforeAutospacing="0" w:after="0" w:afterAutospacing="0" w:line="50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highlight w:val="none"/>
                <w:lang w:val="en-US" w:eastAsia="zh-CN"/>
              </w:rPr>
              <w:t>19</w:t>
            </w:r>
          </w:p>
        </w:tc>
        <w:tc>
          <w:tcPr>
            <w:tcW w:w="1988" w:type="dxa"/>
            <w:tcBorders>
              <w:top w:val="single" w:color="auto" w:sz="4" w:space="0"/>
              <w:left w:val="nil"/>
              <w:bottom w:val="single" w:color="auto" w:sz="4" w:space="0"/>
              <w:right w:val="single" w:color="auto" w:sz="4" w:space="0"/>
            </w:tcBorders>
            <w:vAlign w:val="center"/>
          </w:tcPr>
          <w:p w14:paraId="45F097D6">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构成竞争性磋商文件的其他材料</w:t>
            </w:r>
          </w:p>
        </w:tc>
        <w:tc>
          <w:tcPr>
            <w:tcW w:w="6653" w:type="dxa"/>
            <w:tcBorders>
              <w:top w:val="single" w:color="auto" w:sz="4" w:space="0"/>
              <w:left w:val="nil"/>
              <w:bottom w:val="single" w:color="auto" w:sz="4" w:space="0"/>
              <w:right w:val="single" w:color="auto" w:sz="4" w:space="0"/>
            </w:tcBorders>
            <w:vAlign w:val="center"/>
          </w:tcPr>
          <w:p w14:paraId="140607CF">
            <w:pPr>
              <w:pageBreakBefore w:val="0"/>
              <w:kinsoku/>
              <w:overflowPunct/>
              <w:autoSpaceDE w:val="0"/>
              <w:autoSpaceDN w:val="0"/>
              <w:bidi w:val="0"/>
              <w:adjustRightInd w:val="0"/>
              <w:spacing w:before="50" w:line="500" w:lineRule="exact"/>
              <w:ind w:right="35"/>
              <w:jc w:val="left"/>
              <w:rPr>
                <w:rFonts w:ascii="宋体" w:hAnsi="宋体" w:cs="宋体"/>
                <w:color w:val="auto"/>
                <w:sz w:val="24"/>
                <w:highlight w:val="none"/>
              </w:rPr>
            </w:pPr>
            <w:r>
              <w:rPr>
                <w:rFonts w:hint="eastAsia" w:ascii="宋体" w:hAnsi="宋体" w:cs="宋体"/>
                <w:color w:val="auto"/>
                <w:sz w:val="24"/>
                <w:highlight w:val="none"/>
              </w:rPr>
              <w:t>竞争性磋商文件的修改、澄清、竞争性磋商文件的补充文件（如有）</w:t>
            </w:r>
          </w:p>
        </w:tc>
      </w:tr>
      <w:tr w14:paraId="42EF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1EB0D77">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kern w:val="2"/>
                <w:highlight w:val="none"/>
                <w:lang w:val="en-US" w:eastAsia="zh-CN"/>
              </w:rPr>
            </w:pPr>
            <w:r>
              <w:rPr>
                <w:rFonts w:hint="eastAsia" w:cs="宋体"/>
                <w:color w:val="auto"/>
                <w:kern w:val="2"/>
                <w:highlight w:val="none"/>
                <w:lang w:val="en-US" w:eastAsia="zh-CN"/>
              </w:rPr>
              <w:t>20</w:t>
            </w:r>
          </w:p>
        </w:tc>
        <w:tc>
          <w:tcPr>
            <w:tcW w:w="1988" w:type="dxa"/>
            <w:tcBorders>
              <w:top w:val="single" w:color="auto" w:sz="4" w:space="0"/>
              <w:left w:val="nil"/>
              <w:bottom w:val="single" w:color="auto" w:sz="4" w:space="0"/>
              <w:right w:val="single" w:color="auto" w:sz="4" w:space="0"/>
            </w:tcBorders>
            <w:vAlign w:val="center"/>
          </w:tcPr>
          <w:p w14:paraId="4B7DBC97">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供应商要求澄清竞争性磋商文件的截止时间</w:t>
            </w:r>
          </w:p>
        </w:tc>
        <w:tc>
          <w:tcPr>
            <w:tcW w:w="6653" w:type="dxa"/>
            <w:tcBorders>
              <w:top w:val="single" w:color="auto" w:sz="4" w:space="0"/>
              <w:left w:val="nil"/>
              <w:bottom w:val="single" w:color="auto" w:sz="4" w:space="0"/>
              <w:right w:val="single" w:color="auto" w:sz="4" w:space="0"/>
            </w:tcBorders>
            <w:vAlign w:val="center"/>
          </w:tcPr>
          <w:p w14:paraId="58049F38">
            <w:pPr>
              <w:pageBreakBefore w:val="0"/>
              <w:widowControl/>
              <w:kinsoku/>
              <w:overflowPunct/>
              <w:bidi w:val="0"/>
              <w:spacing w:line="500" w:lineRule="exact"/>
              <w:jc w:val="left"/>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kern w:val="0"/>
                <w:sz w:val="24"/>
                <w:highlight w:val="none"/>
              </w:rPr>
              <w:t>递交响应文件的截止之日5日前</w:t>
            </w:r>
          </w:p>
        </w:tc>
      </w:tr>
      <w:tr w14:paraId="2D5E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EE62816">
            <w:pPr>
              <w:pageBreakBefore w:val="0"/>
              <w:kinsoku/>
              <w:overflowPunct/>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1988" w:type="dxa"/>
            <w:tcBorders>
              <w:top w:val="single" w:color="auto" w:sz="4" w:space="0"/>
              <w:left w:val="nil"/>
              <w:bottom w:val="single" w:color="auto" w:sz="4" w:space="0"/>
              <w:right w:val="single" w:color="auto" w:sz="4" w:space="0"/>
            </w:tcBorders>
            <w:vAlign w:val="center"/>
          </w:tcPr>
          <w:p w14:paraId="24AF82F4">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供应商确认收到竞争性磋商文件澄清和修改</w:t>
            </w:r>
          </w:p>
        </w:tc>
        <w:tc>
          <w:tcPr>
            <w:tcW w:w="6653" w:type="dxa"/>
            <w:tcBorders>
              <w:top w:val="single" w:color="auto" w:sz="4" w:space="0"/>
              <w:left w:val="nil"/>
              <w:bottom w:val="single" w:color="auto" w:sz="4" w:space="0"/>
              <w:right w:val="single" w:color="auto" w:sz="4" w:space="0"/>
            </w:tcBorders>
            <w:vAlign w:val="center"/>
          </w:tcPr>
          <w:p w14:paraId="13DD38E4">
            <w:pPr>
              <w:pageBreakBefore w:val="0"/>
              <w:kinsoku/>
              <w:overflowPunct/>
              <w:bidi w:val="0"/>
              <w:spacing w:line="500" w:lineRule="exact"/>
              <w:rPr>
                <w:rFonts w:ascii="宋体" w:hAnsi="宋体" w:cs="宋体"/>
                <w:color w:val="auto"/>
                <w:sz w:val="24"/>
                <w:highlight w:val="none"/>
              </w:rPr>
            </w:pPr>
            <w:r>
              <w:rPr>
                <w:rFonts w:hint="eastAsia" w:ascii="宋体" w:hAnsi="宋体" w:cs="宋体"/>
                <w:color w:val="auto"/>
                <w:sz w:val="24"/>
                <w:highlight w:val="none"/>
              </w:rPr>
              <w:t>所有潜在供应商应密切关注三门峡市公共资源交易中心网站，自行查收、下载变更资料。</w:t>
            </w:r>
          </w:p>
        </w:tc>
      </w:tr>
      <w:tr w14:paraId="76FA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07B6E557">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kern w:val="2"/>
                <w:highlight w:val="none"/>
                <w:lang w:val="en-US" w:eastAsia="zh-CN"/>
              </w:rPr>
            </w:pPr>
            <w:r>
              <w:rPr>
                <w:rFonts w:hint="eastAsia" w:cs="宋体"/>
                <w:color w:val="auto"/>
                <w:highlight w:val="none"/>
                <w:lang w:val="en-US" w:eastAsia="zh-CN"/>
              </w:rPr>
              <w:t>22</w:t>
            </w:r>
          </w:p>
        </w:tc>
        <w:tc>
          <w:tcPr>
            <w:tcW w:w="1988" w:type="dxa"/>
            <w:tcBorders>
              <w:top w:val="single" w:color="auto" w:sz="4" w:space="0"/>
              <w:left w:val="nil"/>
              <w:bottom w:val="single" w:color="auto" w:sz="4" w:space="0"/>
              <w:right w:val="single" w:color="auto" w:sz="4" w:space="0"/>
            </w:tcBorders>
            <w:vAlign w:val="center"/>
          </w:tcPr>
          <w:p w14:paraId="03DFBDBC">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lang w:eastAsia="zh-CN"/>
              </w:rPr>
              <w:t>磋商</w:t>
            </w:r>
            <w:r>
              <w:rPr>
                <w:rFonts w:hint="eastAsia" w:cs="宋体"/>
                <w:color w:val="auto"/>
                <w:highlight w:val="none"/>
              </w:rPr>
              <w:t>有效期</w:t>
            </w:r>
          </w:p>
        </w:tc>
        <w:tc>
          <w:tcPr>
            <w:tcW w:w="6653" w:type="dxa"/>
            <w:tcBorders>
              <w:top w:val="single" w:color="auto" w:sz="4" w:space="0"/>
              <w:left w:val="nil"/>
              <w:bottom w:val="single" w:color="auto" w:sz="4" w:space="0"/>
              <w:right w:val="single" w:color="auto" w:sz="4" w:space="0"/>
            </w:tcBorders>
            <w:vAlign w:val="center"/>
          </w:tcPr>
          <w:p w14:paraId="5616DB87">
            <w:pPr>
              <w:pStyle w:val="23"/>
              <w:pageBreakBefore w:val="0"/>
              <w:widowControl w:val="0"/>
              <w:kinsoku/>
              <w:overflowPunct/>
              <w:bidi w:val="0"/>
              <w:spacing w:before="0" w:beforeAutospacing="0" w:after="0" w:afterAutospacing="0" w:line="500" w:lineRule="exact"/>
              <w:ind w:firstLine="0" w:firstLineChars="0"/>
              <w:jc w:val="both"/>
              <w:rPr>
                <w:rFonts w:cs="宋体"/>
                <w:color w:val="auto"/>
                <w:kern w:val="2"/>
                <w:highlight w:val="none"/>
              </w:rPr>
            </w:pPr>
            <w:r>
              <w:rPr>
                <w:rFonts w:hint="eastAsia" w:cs="宋体"/>
                <w:color w:val="auto"/>
                <w:highlight w:val="none"/>
                <w:lang w:val="en-US" w:eastAsia="zh-CN"/>
              </w:rPr>
              <w:t>60</w:t>
            </w:r>
            <w:r>
              <w:rPr>
                <w:rFonts w:hint="eastAsia" w:cs="宋体"/>
                <w:color w:val="auto"/>
                <w:highlight w:val="none"/>
              </w:rPr>
              <w:t>日历天（从</w:t>
            </w:r>
            <w:r>
              <w:rPr>
                <w:rFonts w:hint="eastAsia" w:cs="宋体"/>
                <w:color w:val="auto"/>
                <w:highlight w:val="none"/>
                <w:lang w:eastAsia="zh-CN"/>
              </w:rPr>
              <w:t>响应文件提交</w:t>
            </w:r>
            <w:r>
              <w:rPr>
                <w:rFonts w:hint="eastAsia" w:cs="宋体"/>
                <w:color w:val="auto"/>
                <w:highlight w:val="none"/>
              </w:rPr>
              <w:t>截止之日起）</w:t>
            </w:r>
          </w:p>
        </w:tc>
      </w:tr>
      <w:tr w14:paraId="6094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21AA1DA">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kern w:val="2"/>
                <w:highlight w:val="none"/>
                <w:lang w:val="en-US" w:eastAsia="zh-CN"/>
              </w:rPr>
            </w:pPr>
            <w:r>
              <w:rPr>
                <w:rFonts w:hint="eastAsia" w:cs="宋体"/>
                <w:color w:val="auto"/>
                <w:highlight w:val="none"/>
                <w:lang w:val="en-US" w:eastAsia="zh-CN"/>
              </w:rPr>
              <w:t>23</w:t>
            </w:r>
          </w:p>
        </w:tc>
        <w:tc>
          <w:tcPr>
            <w:tcW w:w="1988" w:type="dxa"/>
            <w:tcBorders>
              <w:top w:val="single" w:color="auto" w:sz="4" w:space="0"/>
              <w:left w:val="nil"/>
              <w:bottom w:val="single" w:color="auto" w:sz="4" w:space="0"/>
              <w:right w:val="single" w:color="auto" w:sz="4" w:space="0"/>
            </w:tcBorders>
            <w:vAlign w:val="center"/>
          </w:tcPr>
          <w:p w14:paraId="296909F9">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资格审查资料的特殊要求</w:t>
            </w:r>
          </w:p>
        </w:tc>
        <w:tc>
          <w:tcPr>
            <w:tcW w:w="6653" w:type="dxa"/>
            <w:tcBorders>
              <w:top w:val="single" w:color="auto" w:sz="4" w:space="0"/>
              <w:left w:val="nil"/>
              <w:bottom w:val="single" w:color="auto" w:sz="4" w:space="0"/>
              <w:right w:val="single" w:color="auto" w:sz="4" w:space="0"/>
            </w:tcBorders>
            <w:vAlign w:val="center"/>
          </w:tcPr>
          <w:p w14:paraId="2E11E602">
            <w:pPr>
              <w:pageBreakBefore w:val="0"/>
              <w:kinsoku/>
              <w:overflowPunct/>
              <w:autoSpaceDE w:val="0"/>
              <w:autoSpaceDN w:val="0"/>
              <w:bidi w:val="0"/>
              <w:adjustRightInd w:val="0"/>
              <w:spacing w:line="500" w:lineRule="exact"/>
              <w:rPr>
                <w:rFonts w:ascii="宋体" w:hAnsi="宋体" w:cs="宋体"/>
                <w:color w:val="auto"/>
                <w:sz w:val="24"/>
                <w:highlight w:val="none"/>
              </w:rPr>
            </w:pPr>
            <w:r>
              <w:rPr>
                <w:rFonts w:hint="eastAsia" w:ascii="宋体" w:hAnsi="宋体" w:cs="宋体"/>
                <w:color w:val="auto"/>
                <w:sz w:val="24"/>
                <w:highlight w:val="none"/>
              </w:rPr>
              <w:t>1、资格审查资料符合供应商须知前附表</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款规定。</w:t>
            </w:r>
          </w:p>
          <w:p w14:paraId="50D1DB05">
            <w:pPr>
              <w:pageBreakBefore w:val="0"/>
              <w:kinsoku/>
              <w:overflowPunct/>
              <w:autoSpaceDE w:val="0"/>
              <w:autoSpaceDN w:val="0"/>
              <w:bidi w:val="0"/>
              <w:adjustRightInd w:val="0"/>
              <w:spacing w:line="5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本项目实行资格后审，资格审查内容以</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为准，其资料真实性由供应商自行承担</w:t>
            </w:r>
            <w:r>
              <w:rPr>
                <w:rFonts w:hint="eastAsia" w:ascii="宋体" w:hAnsi="宋体" w:cs="宋体"/>
                <w:color w:val="auto"/>
                <w:sz w:val="24"/>
                <w:highlight w:val="none"/>
                <w:lang w:eastAsia="zh-CN"/>
              </w:rPr>
              <w:t>，同时，供应商要完善主体库</w:t>
            </w:r>
            <w:r>
              <w:rPr>
                <w:rFonts w:hint="eastAsia" w:ascii="宋体" w:hAnsi="宋体" w:cs="宋体"/>
                <w:color w:val="auto"/>
                <w:sz w:val="24"/>
                <w:highlight w:val="none"/>
              </w:rPr>
              <w:t>。</w:t>
            </w:r>
          </w:p>
          <w:p w14:paraId="641BBC65">
            <w:pPr>
              <w:pageBreakBefore w:val="0"/>
              <w:kinsoku/>
              <w:overflowPunct/>
              <w:autoSpaceDE w:val="0"/>
              <w:autoSpaceDN w:val="0"/>
              <w:bidi w:val="0"/>
              <w:adjustRightInd w:val="0"/>
              <w:spacing w:line="5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评审</w:t>
            </w:r>
            <w:r>
              <w:rPr>
                <w:rFonts w:hint="eastAsia" w:ascii="宋体" w:hAnsi="宋体" w:cs="宋体"/>
                <w:color w:val="auto"/>
                <w:sz w:val="24"/>
                <w:highlight w:val="none"/>
              </w:rPr>
              <w:t>打分部分：</w:t>
            </w:r>
            <w:r>
              <w:rPr>
                <w:rFonts w:hint="eastAsia" w:ascii="宋体" w:hAnsi="宋体" w:cs="宋体"/>
                <w:color w:val="auto"/>
                <w:sz w:val="24"/>
                <w:highlight w:val="none"/>
                <w:lang w:eastAsia="zh-CN"/>
              </w:rPr>
              <w:t>评审</w:t>
            </w:r>
            <w:r>
              <w:rPr>
                <w:rFonts w:hint="eastAsia" w:ascii="宋体" w:hAnsi="宋体" w:cs="宋体"/>
                <w:color w:val="auto"/>
                <w:sz w:val="24"/>
                <w:highlight w:val="none"/>
              </w:rPr>
              <w:t>打分部分仍按照100分制原则进行，涉及到资格审查、企业荣誉、人员业绩、企业业绩等计分部分时，以</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自行上传到</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中的相应内容为准。</w:t>
            </w:r>
          </w:p>
          <w:p w14:paraId="0EF8C407">
            <w:pPr>
              <w:pageBreakBefore w:val="0"/>
              <w:kinsoku/>
              <w:overflowPunct/>
              <w:autoSpaceDE w:val="0"/>
              <w:autoSpaceDN w:val="0"/>
              <w:bidi w:val="0"/>
              <w:adjustRightInd w:val="0"/>
              <w:spacing w:line="500" w:lineRule="exac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格式进行</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编制，在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编制时，应明确将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企业基本情况、资质情况、人员情况、财务情况、业绩情况等信息编入</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，便于进行资格审查及</w:t>
            </w:r>
            <w:r>
              <w:rPr>
                <w:rFonts w:hint="eastAsia" w:ascii="宋体" w:hAnsi="宋体" w:cs="宋体"/>
                <w:color w:val="auto"/>
                <w:sz w:val="24"/>
                <w:highlight w:val="none"/>
                <w:lang w:eastAsia="zh-CN"/>
              </w:rPr>
              <w:t>评审</w:t>
            </w:r>
            <w:r>
              <w:rPr>
                <w:rFonts w:hint="eastAsia" w:ascii="宋体" w:hAnsi="宋体" w:cs="宋体"/>
                <w:color w:val="auto"/>
                <w:sz w:val="24"/>
                <w:highlight w:val="none"/>
              </w:rPr>
              <w:t>打分。</w:t>
            </w:r>
          </w:p>
        </w:tc>
      </w:tr>
      <w:tr w14:paraId="3F05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BEA0A40">
            <w:pPr>
              <w:pageBreakBefore w:val="0"/>
              <w:kinsoku/>
              <w:overflowPunct/>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w:t>
            </w:r>
          </w:p>
        </w:tc>
        <w:tc>
          <w:tcPr>
            <w:tcW w:w="1988" w:type="dxa"/>
            <w:tcBorders>
              <w:top w:val="single" w:color="auto" w:sz="4" w:space="0"/>
              <w:left w:val="nil"/>
              <w:bottom w:val="single" w:color="auto" w:sz="4" w:space="0"/>
              <w:right w:val="single" w:color="auto" w:sz="4" w:space="0"/>
            </w:tcBorders>
            <w:vAlign w:val="center"/>
          </w:tcPr>
          <w:p w14:paraId="0BA0BA29">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近年完成的类似项目的时间要求</w:t>
            </w:r>
          </w:p>
        </w:tc>
        <w:tc>
          <w:tcPr>
            <w:tcW w:w="6653" w:type="dxa"/>
            <w:tcBorders>
              <w:top w:val="single" w:color="auto" w:sz="4" w:space="0"/>
              <w:left w:val="nil"/>
              <w:bottom w:val="single" w:color="auto" w:sz="4" w:space="0"/>
              <w:right w:val="single" w:color="auto" w:sz="4" w:space="0"/>
            </w:tcBorders>
            <w:vAlign w:val="center"/>
          </w:tcPr>
          <w:p w14:paraId="269E4312">
            <w:pPr>
              <w:pStyle w:val="23"/>
              <w:pageBreakBefore w:val="0"/>
              <w:widowControl w:val="0"/>
              <w:kinsoku/>
              <w:overflowPunct/>
              <w:bidi w:val="0"/>
              <w:spacing w:before="0" w:beforeAutospacing="0" w:after="0" w:afterAutospacing="0" w:line="500" w:lineRule="exact"/>
              <w:ind w:firstLine="0" w:firstLineChars="0"/>
              <w:jc w:val="both"/>
              <w:rPr>
                <w:rFonts w:cs="宋体"/>
                <w:color w:val="auto"/>
                <w:kern w:val="2"/>
                <w:highlight w:val="none"/>
              </w:rPr>
            </w:pPr>
            <w:r>
              <w:rPr>
                <w:rFonts w:hint="eastAsia" w:cs="宋体"/>
                <w:color w:val="auto"/>
                <w:kern w:val="2"/>
                <w:highlight w:val="none"/>
              </w:rPr>
              <w:t>近三年，指20</w:t>
            </w:r>
            <w:r>
              <w:rPr>
                <w:rFonts w:hint="eastAsia" w:cs="宋体"/>
                <w:color w:val="auto"/>
                <w:kern w:val="2"/>
                <w:highlight w:val="none"/>
                <w:lang w:val="en-US" w:eastAsia="zh-CN"/>
              </w:rPr>
              <w:t>22</w:t>
            </w:r>
            <w:r>
              <w:rPr>
                <w:rFonts w:hint="eastAsia" w:cs="宋体"/>
                <w:color w:val="auto"/>
                <w:kern w:val="2"/>
                <w:highlight w:val="none"/>
              </w:rPr>
              <w:t>年01 月 01日 至今</w:t>
            </w:r>
          </w:p>
        </w:tc>
      </w:tr>
      <w:tr w14:paraId="605B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BFB41C6">
            <w:pPr>
              <w:pageBreakBefore w:val="0"/>
              <w:kinsoku/>
              <w:overflowPunct/>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1988" w:type="dxa"/>
            <w:tcBorders>
              <w:top w:val="single" w:color="auto" w:sz="4" w:space="0"/>
              <w:left w:val="nil"/>
              <w:bottom w:val="single" w:color="auto" w:sz="4" w:space="0"/>
              <w:right w:val="single" w:color="auto" w:sz="4" w:space="0"/>
            </w:tcBorders>
            <w:vAlign w:val="center"/>
          </w:tcPr>
          <w:p w14:paraId="4A0C286B">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近年发生的诉讼及仲裁情况的时间要求</w:t>
            </w:r>
          </w:p>
        </w:tc>
        <w:tc>
          <w:tcPr>
            <w:tcW w:w="6653" w:type="dxa"/>
            <w:tcBorders>
              <w:top w:val="single" w:color="auto" w:sz="4" w:space="0"/>
              <w:left w:val="nil"/>
              <w:bottom w:val="single" w:color="auto" w:sz="4" w:space="0"/>
              <w:right w:val="single" w:color="auto" w:sz="4" w:space="0"/>
            </w:tcBorders>
            <w:vAlign w:val="center"/>
          </w:tcPr>
          <w:p w14:paraId="4B35C986">
            <w:pPr>
              <w:pStyle w:val="23"/>
              <w:pageBreakBefore w:val="0"/>
              <w:widowControl w:val="0"/>
              <w:kinsoku/>
              <w:overflowPunct/>
              <w:bidi w:val="0"/>
              <w:spacing w:before="0" w:beforeAutospacing="0" w:after="0" w:afterAutospacing="0" w:line="500" w:lineRule="exact"/>
              <w:ind w:firstLine="0" w:firstLineChars="0"/>
              <w:jc w:val="both"/>
              <w:rPr>
                <w:rFonts w:cs="宋体"/>
                <w:color w:val="auto"/>
                <w:kern w:val="2"/>
                <w:highlight w:val="none"/>
              </w:rPr>
            </w:pPr>
            <w:r>
              <w:rPr>
                <w:rFonts w:hint="eastAsia" w:cs="宋体"/>
                <w:color w:val="auto"/>
                <w:kern w:val="2"/>
                <w:highlight w:val="none"/>
              </w:rPr>
              <w:t>近三年，指20</w:t>
            </w:r>
            <w:r>
              <w:rPr>
                <w:rFonts w:hint="eastAsia" w:cs="宋体"/>
                <w:color w:val="auto"/>
                <w:kern w:val="2"/>
                <w:highlight w:val="none"/>
                <w:lang w:val="en-US" w:eastAsia="zh-CN"/>
              </w:rPr>
              <w:t>22</w:t>
            </w:r>
            <w:r>
              <w:rPr>
                <w:rFonts w:hint="eastAsia" w:cs="宋体"/>
                <w:color w:val="auto"/>
                <w:kern w:val="2"/>
                <w:highlight w:val="none"/>
              </w:rPr>
              <w:t>年 01月 01日 至今</w:t>
            </w:r>
          </w:p>
        </w:tc>
      </w:tr>
      <w:tr w14:paraId="1FCF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6379E7B">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kern w:val="2"/>
                <w:highlight w:val="none"/>
                <w:lang w:val="en-US" w:eastAsia="zh-CN"/>
              </w:rPr>
            </w:pPr>
            <w:r>
              <w:rPr>
                <w:rFonts w:hint="eastAsia" w:cs="宋体"/>
                <w:color w:val="auto"/>
                <w:highlight w:val="none"/>
                <w:lang w:val="en-US" w:eastAsia="zh-CN"/>
              </w:rPr>
              <w:t>26</w:t>
            </w:r>
          </w:p>
        </w:tc>
        <w:tc>
          <w:tcPr>
            <w:tcW w:w="1988" w:type="dxa"/>
            <w:tcBorders>
              <w:top w:val="single" w:color="auto" w:sz="4" w:space="0"/>
              <w:left w:val="nil"/>
              <w:bottom w:val="single" w:color="auto" w:sz="4" w:space="0"/>
              <w:right w:val="single" w:color="auto" w:sz="4" w:space="0"/>
            </w:tcBorders>
            <w:vAlign w:val="center"/>
          </w:tcPr>
          <w:p w14:paraId="38890C84">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是否允许递交备选方案</w:t>
            </w:r>
          </w:p>
        </w:tc>
        <w:tc>
          <w:tcPr>
            <w:tcW w:w="6653" w:type="dxa"/>
            <w:tcBorders>
              <w:top w:val="single" w:color="auto" w:sz="4" w:space="0"/>
              <w:left w:val="nil"/>
              <w:bottom w:val="single" w:color="auto" w:sz="4" w:space="0"/>
              <w:right w:val="single" w:color="auto" w:sz="4" w:space="0"/>
            </w:tcBorders>
            <w:vAlign w:val="center"/>
          </w:tcPr>
          <w:p w14:paraId="02C935DB">
            <w:pPr>
              <w:pStyle w:val="23"/>
              <w:pageBreakBefore w:val="0"/>
              <w:widowControl w:val="0"/>
              <w:kinsoku/>
              <w:overflowPunct/>
              <w:bidi w:val="0"/>
              <w:spacing w:before="0" w:beforeAutospacing="0" w:after="0" w:afterAutospacing="0" w:line="500" w:lineRule="exact"/>
              <w:ind w:firstLine="0" w:firstLineChars="0"/>
              <w:jc w:val="both"/>
              <w:rPr>
                <w:rFonts w:cs="宋体"/>
                <w:color w:val="auto"/>
                <w:kern w:val="2"/>
                <w:highlight w:val="none"/>
              </w:rPr>
            </w:pPr>
            <w:r>
              <w:rPr>
                <w:rFonts w:hint="eastAsia" w:cs="宋体"/>
                <w:color w:val="auto"/>
                <w:highlight w:val="none"/>
              </w:rPr>
              <w:t>不允许</w:t>
            </w:r>
          </w:p>
        </w:tc>
      </w:tr>
      <w:tr w14:paraId="7091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ABB0134">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kern w:val="2"/>
                <w:highlight w:val="none"/>
                <w:lang w:val="en-US" w:eastAsia="zh-CN"/>
              </w:rPr>
            </w:pPr>
            <w:r>
              <w:rPr>
                <w:rFonts w:hint="eastAsia" w:cs="宋体"/>
                <w:color w:val="auto"/>
                <w:highlight w:val="none"/>
                <w:lang w:val="en-US" w:eastAsia="zh-CN"/>
              </w:rPr>
              <w:t>27</w:t>
            </w:r>
          </w:p>
        </w:tc>
        <w:tc>
          <w:tcPr>
            <w:tcW w:w="1988" w:type="dxa"/>
            <w:tcBorders>
              <w:top w:val="single" w:color="auto" w:sz="4" w:space="0"/>
              <w:left w:val="nil"/>
              <w:bottom w:val="single" w:color="auto" w:sz="4" w:space="0"/>
              <w:right w:val="single" w:color="auto" w:sz="4" w:space="0"/>
            </w:tcBorders>
            <w:vAlign w:val="center"/>
          </w:tcPr>
          <w:p w14:paraId="1100628B">
            <w:pPr>
              <w:pageBreakBefore w:val="0"/>
              <w:kinsoku/>
              <w:overflowPunct/>
              <w:bidi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响应文件签字或盖章要求</w:t>
            </w:r>
          </w:p>
        </w:tc>
        <w:tc>
          <w:tcPr>
            <w:tcW w:w="6653" w:type="dxa"/>
            <w:tcBorders>
              <w:top w:val="single" w:color="auto" w:sz="4" w:space="0"/>
              <w:left w:val="nil"/>
              <w:bottom w:val="single" w:color="auto" w:sz="4" w:space="0"/>
              <w:right w:val="single" w:color="auto" w:sz="4" w:space="0"/>
            </w:tcBorders>
            <w:vAlign w:val="center"/>
          </w:tcPr>
          <w:p w14:paraId="408C63F0">
            <w:pPr>
              <w:pageBreakBefore w:val="0"/>
              <w:kinsoku/>
              <w:overflowPunct/>
              <w:autoSpaceDE w:val="0"/>
              <w:autoSpaceDN w:val="0"/>
              <w:bidi w:val="0"/>
              <w:adjustRightInd w:val="0"/>
              <w:spacing w:line="500" w:lineRule="exact"/>
              <w:rPr>
                <w:rFonts w:ascii="宋体" w:hAnsi="宋体" w:cs="宋体"/>
                <w:color w:val="auto"/>
                <w:kern w:val="0"/>
                <w:sz w:val="24"/>
                <w:highlight w:val="none"/>
              </w:rPr>
            </w:pPr>
            <w:r>
              <w:rPr>
                <w:rFonts w:hint="eastAsia" w:ascii="宋体" w:hAnsi="宋体" w:cs="宋体"/>
                <w:color w:val="auto"/>
                <w:kern w:val="0"/>
                <w:sz w:val="24"/>
                <w:highlight w:val="none"/>
              </w:rPr>
              <w:t>1、本项目为电子化、无纸化交易项目，响应文件应经过电子签章和加密后生成的电子化响应文件，未对电子化文件进行签章的视为无效</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eastAsia="zh-CN"/>
              </w:rPr>
              <w:t>磋商</w:t>
            </w:r>
            <w:r>
              <w:rPr>
                <w:rFonts w:hint="eastAsia" w:ascii="宋体" w:hAnsi="宋体" w:cs="宋体"/>
                <w:color w:val="auto"/>
                <w:kern w:val="0"/>
                <w:sz w:val="24"/>
                <w:highlight w:val="none"/>
              </w:rPr>
              <w:t>时，将不再接受任何纸质文件资料。</w:t>
            </w:r>
          </w:p>
          <w:p w14:paraId="62343B41">
            <w:pPr>
              <w:pageBreakBefore w:val="0"/>
              <w:kinsoku/>
              <w:overflowPunct/>
              <w:autoSpaceDE w:val="0"/>
              <w:autoSpaceDN w:val="0"/>
              <w:bidi w:val="0"/>
              <w:adjustRightInd w:val="0"/>
              <w:spacing w:line="500" w:lineRule="exact"/>
              <w:rPr>
                <w:rFonts w:ascii="宋体" w:hAnsi="宋体" w:cs="宋体"/>
                <w:color w:val="auto"/>
                <w:kern w:val="0"/>
                <w:sz w:val="24"/>
                <w:highlight w:val="none"/>
              </w:rPr>
            </w:pPr>
            <w:r>
              <w:rPr>
                <w:rFonts w:hint="eastAsia" w:ascii="宋体" w:hAnsi="宋体" w:cs="宋体"/>
                <w:color w:val="auto"/>
                <w:kern w:val="0"/>
                <w:sz w:val="24"/>
                <w:highlight w:val="none"/>
              </w:rPr>
              <w:t>2、要求法定代表人或授权委托人签字或盖章的，供应商在进行电子化响应文件签章时，以签盖法定代表人签章为准。</w:t>
            </w:r>
          </w:p>
        </w:tc>
      </w:tr>
      <w:tr w14:paraId="2491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0489FFA4">
            <w:pPr>
              <w:pageBreakBefore w:val="0"/>
              <w:kinsoku/>
              <w:overflowPunct/>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28</w:t>
            </w:r>
          </w:p>
        </w:tc>
        <w:tc>
          <w:tcPr>
            <w:tcW w:w="1988" w:type="dxa"/>
            <w:tcBorders>
              <w:top w:val="single" w:color="auto" w:sz="4" w:space="0"/>
              <w:left w:val="nil"/>
              <w:bottom w:val="single" w:color="auto" w:sz="4" w:space="0"/>
              <w:right w:val="single" w:color="auto" w:sz="4" w:space="0"/>
            </w:tcBorders>
            <w:vAlign w:val="center"/>
          </w:tcPr>
          <w:p w14:paraId="42C25558">
            <w:pPr>
              <w:pageBreakBefore w:val="0"/>
              <w:kinsoku/>
              <w:overflowPunct/>
              <w:bidi w:val="0"/>
              <w:spacing w:line="5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提交首次响应文件截止时间</w:t>
            </w:r>
          </w:p>
        </w:tc>
        <w:tc>
          <w:tcPr>
            <w:tcW w:w="6653" w:type="dxa"/>
            <w:tcBorders>
              <w:top w:val="single" w:color="auto" w:sz="4" w:space="0"/>
              <w:left w:val="nil"/>
              <w:bottom w:val="single" w:color="auto" w:sz="4" w:space="0"/>
              <w:right w:val="single" w:color="auto" w:sz="4" w:space="0"/>
            </w:tcBorders>
            <w:vAlign w:val="center"/>
          </w:tcPr>
          <w:p w14:paraId="4D59D666">
            <w:pPr>
              <w:pageBreakBefore w:val="0"/>
              <w:kinsoku/>
              <w:overflowPunct/>
              <w:autoSpaceDE w:val="0"/>
              <w:autoSpaceDN w:val="0"/>
              <w:bidi w:val="0"/>
              <w:adjustRightInd w:val="0"/>
              <w:spacing w:before="50" w:line="500" w:lineRule="exact"/>
              <w:ind w:right="35"/>
              <w:rPr>
                <w:rFonts w:ascii="宋体" w:hAnsi="宋体" w:cs="宋体"/>
                <w:color w:val="auto"/>
                <w:kern w:val="0"/>
                <w:sz w:val="24"/>
                <w:highlight w:val="none"/>
              </w:rPr>
            </w:pPr>
            <w:r>
              <w:rPr>
                <w:rFonts w:hint="eastAsia" w:ascii="宋体" w:hAnsi="宋体" w:cs="宋体"/>
                <w:color w:val="auto"/>
                <w:kern w:val="0"/>
                <w:sz w:val="24"/>
                <w:highlight w:val="none"/>
              </w:rPr>
              <w:t>20</w:t>
            </w:r>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19</w:t>
            </w:r>
            <w:r>
              <w:rPr>
                <w:rFonts w:hint="eastAsia" w:ascii="宋体" w:hAnsi="宋体" w:cs="宋体"/>
                <w:color w:val="auto"/>
                <w:kern w:val="0"/>
                <w:sz w:val="24"/>
                <w:highlight w:val="none"/>
              </w:rPr>
              <w:t>日8时30分</w:t>
            </w:r>
          </w:p>
        </w:tc>
      </w:tr>
      <w:tr w14:paraId="3B0E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35F2D8D">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kern w:val="2"/>
                <w:highlight w:val="none"/>
                <w:lang w:val="en-US" w:eastAsia="zh-CN"/>
              </w:rPr>
            </w:pPr>
            <w:r>
              <w:rPr>
                <w:rFonts w:hint="eastAsia" w:cs="宋体"/>
                <w:color w:val="auto"/>
                <w:kern w:val="2"/>
                <w:highlight w:val="none"/>
                <w:lang w:val="en-US" w:eastAsia="zh-CN"/>
              </w:rPr>
              <w:t>29</w:t>
            </w:r>
          </w:p>
        </w:tc>
        <w:tc>
          <w:tcPr>
            <w:tcW w:w="1988" w:type="dxa"/>
            <w:tcBorders>
              <w:top w:val="single" w:color="auto" w:sz="4" w:space="0"/>
              <w:left w:val="nil"/>
              <w:bottom w:val="single" w:color="auto" w:sz="4" w:space="0"/>
              <w:right w:val="single" w:color="auto" w:sz="4" w:space="0"/>
            </w:tcBorders>
            <w:vAlign w:val="center"/>
          </w:tcPr>
          <w:p w14:paraId="5FC8838C">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磋商时间和地点</w:t>
            </w:r>
          </w:p>
        </w:tc>
        <w:tc>
          <w:tcPr>
            <w:tcW w:w="6653" w:type="dxa"/>
            <w:tcBorders>
              <w:top w:val="single" w:color="auto" w:sz="4" w:space="0"/>
              <w:left w:val="nil"/>
              <w:bottom w:val="single" w:color="auto" w:sz="4" w:space="0"/>
              <w:right w:val="single" w:color="auto" w:sz="4" w:space="0"/>
            </w:tcBorders>
            <w:vAlign w:val="center"/>
          </w:tcPr>
          <w:p w14:paraId="108971EB">
            <w:pPr>
              <w:pageBreakBefore w:val="0"/>
              <w:kinsoku/>
              <w:overflowPunct/>
              <w:autoSpaceDE w:val="0"/>
              <w:autoSpaceDN w:val="0"/>
              <w:bidi w:val="0"/>
              <w:adjustRightInd w:val="0"/>
              <w:spacing w:before="50" w:line="500" w:lineRule="exact"/>
              <w:ind w:right="35"/>
              <w:jc w:val="left"/>
              <w:rPr>
                <w:rFonts w:ascii="宋体" w:hAnsi="宋体" w:cs="宋体"/>
                <w:color w:val="auto"/>
                <w:kern w:val="0"/>
                <w:sz w:val="24"/>
                <w:highlight w:val="none"/>
              </w:rPr>
            </w:pPr>
            <w:r>
              <w:rPr>
                <w:rFonts w:hint="eastAsia" w:ascii="宋体" w:hAnsi="宋体" w:cs="宋体"/>
                <w:color w:val="auto"/>
                <w:kern w:val="0"/>
                <w:sz w:val="24"/>
                <w:highlight w:val="none"/>
              </w:rPr>
              <w:t>磋商时间：同</w:t>
            </w:r>
            <w:r>
              <w:rPr>
                <w:rFonts w:hint="eastAsia" w:ascii="宋体" w:hAnsi="宋体" w:cs="宋体"/>
                <w:color w:val="auto"/>
                <w:sz w:val="24"/>
                <w:highlight w:val="none"/>
                <w:lang w:eastAsia="zh-CN"/>
              </w:rPr>
              <w:t>提交首次响应文件截止时间</w:t>
            </w:r>
          </w:p>
          <w:p w14:paraId="57F8AFC3">
            <w:pPr>
              <w:pageBreakBefore w:val="0"/>
              <w:kinsoku/>
              <w:overflowPunct/>
              <w:autoSpaceDE w:val="0"/>
              <w:autoSpaceDN w:val="0"/>
              <w:bidi w:val="0"/>
              <w:adjustRightInd w:val="0"/>
              <w:spacing w:before="50" w:line="500" w:lineRule="exact"/>
              <w:ind w:right="35"/>
              <w:jc w:val="left"/>
              <w:rPr>
                <w:rFonts w:ascii="宋体" w:hAnsi="宋体" w:cs="宋体"/>
                <w:color w:val="auto"/>
                <w:sz w:val="24"/>
                <w:highlight w:val="none"/>
              </w:rPr>
            </w:pPr>
            <w:r>
              <w:rPr>
                <w:rFonts w:hint="eastAsia" w:ascii="宋体" w:hAnsi="宋体" w:cs="宋体"/>
                <w:color w:val="auto"/>
                <w:kern w:val="0"/>
                <w:sz w:val="24"/>
                <w:highlight w:val="none"/>
              </w:rPr>
              <w:t>磋商地点：</w:t>
            </w:r>
            <w:r>
              <w:rPr>
                <w:rFonts w:hint="eastAsia" w:ascii="宋体" w:hAnsi="宋体"/>
                <w:color w:val="auto"/>
                <w:sz w:val="24"/>
                <w:highlight w:val="none"/>
              </w:rPr>
              <w:t>三门峡市陕州区公共资源交易中心开标室</w:t>
            </w:r>
          </w:p>
        </w:tc>
      </w:tr>
      <w:tr w14:paraId="2B62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DC05AB5">
            <w:pPr>
              <w:pageBreakBefore w:val="0"/>
              <w:kinsoku/>
              <w:overflowPunct/>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1988" w:type="dxa"/>
            <w:tcBorders>
              <w:top w:val="single" w:color="auto" w:sz="4" w:space="0"/>
              <w:left w:val="nil"/>
              <w:bottom w:val="single" w:color="auto" w:sz="4" w:space="0"/>
              <w:right w:val="single" w:color="auto" w:sz="4" w:space="0"/>
            </w:tcBorders>
            <w:vAlign w:val="center"/>
          </w:tcPr>
          <w:p w14:paraId="0818668C">
            <w:pPr>
              <w:pageBreakBefore w:val="0"/>
              <w:kinsoku/>
              <w:overflowPunct/>
              <w:bidi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磋商程序</w:t>
            </w:r>
          </w:p>
        </w:tc>
        <w:tc>
          <w:tcPr>
            <w:tcW w:w="6653" w:type="dxa"/>
            <w:tcBorders>
              <w:top w:val="single" w:color="auto" w:sz="4" w:space="0"/>
              <w:left w:val="nil"/>
              <w:bottom w:val="single" w:color="auto" w:sz="4" w:space="0"/>
              <w:right w:val="single" w:color="auto" w:sz="4" w:space="0"/>
            </w:tcBorders>
            <w:vAlign w:val="center"/>
          </w:tcPr>
          <w:p w14:paraId="3B6FB554">
            <w:pPr>
              <w:pageBreakBefore w:val="0"/>
              <w:kinsoku/>
              <w:overflowPunct/>
              <w:autoSpaceDE w:val="0"/>
              <w:autoSpaceDN w:val="0"/>
              <w:bidi w:val="0"/>
              <w:adjustRightInd w:val="0"/>
              <w:spacing w:before="50" w:line="500" w:lineRule="exact"/>
              <w:ind w:right="35"/>
              <w:jc w:val="left"/>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成立磋商小组</w:t>
            </w:r>
          </w:p>
          <w:p w14:paraId="3A2A5ACA">
            <w:pPr>
              <w:pageBreakBefore w:val="0"/>
              <w:kinsoku/>
              <w:overflowPunct/>
              <w:autoSpaceDE w:val="0"/>
              <w:autoSpaceDN w:val="0"/>
              <w:bidi w:val="0"/>
              <w:adjustRightInd w:val="0"/>
              <w:spacing w:before="50" w:line="500" w:lineRule="exact"/>
              <w:ind w:right="35"/>
              <w:jc w:val="left"/>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制定或确认竞争性磋商文件</w:t>
            </w:r>
          </w:p>
          <w:p w14:paraId="472A1336">
            <w:pPr>
              <w:pageBreakBefore w:val="0"/>
              <w:kinsoku/>
              <w:overflowPunct/>
              <w:autoSpaceDE w:val="0"/>
              <w:autoSpaceDN w:val="0"/>
              <w:bidi w:val="0"/>
              <w:adjustRightInd w:val="0"/>
              <w:spacing w:before="50" w:line="500" w:lineRule="exact"/>
              <w:ind w:right="35"/>
              <w:jc w:val="left"/>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确定不少于</w:t>
            </w:r>
            <w:r>
              <w:rPr>
                <w:rFonts w:ascii="宋体" w:hAnsi="宋体" w:cs="宋体"/>
                <w:color w:val="auto"/>
                <w:sz w:val="24"/>
                <w:highlight w:val="none"/>
              </w:rPr>
              <w:t>3</w:t>
            </w:r>
            <w:r>
              <w:rPr>
                <w:rFonts w:hint="eastAsia" w:ascii="宋体" w:hAnsi="宋体" w:cs="宋体"/>
                <w:color w:val="auto"/>
                <w:sz w:val="24"/>
                <w:highlight w:val="none"/>
              </w:rPr>
              <w:t>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参加磋商</w:t>
            </w:r>
          </w:p>
          <w:p w14:paraId="5F51D130">
            <w:pPr>
              <w:pageBreakBefore w:val="0"/>
              <w:kinsoku/>
              <w:overflowPunct/>
              <w:autoSpaceDE w:val="0"/>
              <w:autoSpaceDN w:val="0"/>
              <w:bidi w:val="0"/>
              <w:adjustRightInd w:val="0"/>
              <w:spacing w:before="50" w:line="500" w:lineRule="exact"/>
              <w:ind w:right="35"/>
              <w:jc w:val="left"/>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磋商</w:t>
            </w:r>
          </w:p>
          <w:p w14:paraId="4125AF6D">
            <w:pPr>
              <w:pageBreakBefore w:val="0"/>
              <w:kinsoku/>
              <w:overflowPunct/>
              <w:autoSpaceDE w:val="0"/>
              <w:autoSpaceDN w:val="0"/>
              <w:bidi w:val="0"/>
              <w:adjustRightInd w:val="0"/>
              <w:spacing w:before="50" w:line="500" w:lineRule="exact"/>
              <w:ind w:right="35"/>
              <w:jc w:val="left"/>
              <w:rPr>
                <w:rFonts w:hint="eastAsia" w:ascii="宋体" w:hAnsi="宋体" w:cs="宋体"/>
                <w:color w:val="auto"/>
                <w:sz w:val="24"/>
                <w:highlight w:val="none"/>
                <w:lang w:eastAsia="zh-CN"/>
              </w:rPr>
            </w:pPr>
            <w:r>
              <w:rPr>
                <w:rFonts w:ascii="宋体" w:hAnsi="宋体" w:cs="宋体"/>
                <w:color w:val="auto"/>
                <w:sz w:val="24"/>
                <w:highlight w:val="none"/>
              </w:rPr>
              <w:t>5.</w:t>
            </w:r>
            <w:r>
              <w:rPr>
                <w:rFonts w:hint="eastAsia" w:ascii="宋体" w:hAnsi="宋体" w:cs="宋体"/>
                <w:color w:val="auto"/>
                <w:sz w:val="24"/>
                <w:highlight w:val="none"/>
              </w:rPr>
              <w:t>确定</w:t>
            </w:r>
            <w:r>
              <w:rPr>
                <w:rFonts w:hint="eastAsia" w:ascii="宋体" w:hAnsi="宋体" w:cs="宋体"/>
                <w:color w:val="auto"/>
                <w:sz w:val="24"/>
                <w:highlight w:val="none"/>
                <w:lang w:eastAsia="zh-CN"/>
              </w:rPr>
              <w:t>成交供应商</w:t>
            </w:r>
          </w:p>
          <w:p w14:paraId="35A3CB70">
            <w:pPr>
              <w:pageBreakBefore w:val="0"/>
              <w:kinsoku/>
              <w:overflowPunct/>
              <w:autoSpaceDE w:val="0"/>
              <w:autoSpaceDN w:val="0"/>
              <w:bidi w:val="0"/>
              <w:adjustRightInd w:val="0"/>
              <w:spacing w:before="50" w:line="500" w:lineRule="exact"/>
              <w:ind w:right="35"/>
              <w:jc w:val="left"/>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在指定媒体公布结果</w:t>
            </w:r>
          </w:p>
        </w:tc>
      </w:tr>
      <w:tr w14:paraId="053B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5FBF2D1">
            <w:pPr>
              <w:pageBreakBefore w:val="0"/>
              <w:kinsoku/>
              <w:overflowPunct/>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1988" w:type="dxa"/>
            <w:tcBorders>
              <w:top w:val="single" w:color="auto" w:sz="4" w:space="0"/>
              <w:left w:val="nil"/>
              <w:bottom w:val="single" w:color="auto" w:sz="4" w:space="0"/>
              <w:right w:val="single" w:color="auto" w:sz="4" w:space="0"/>
            </w:tcBorders>
            <w:vAlign w:val="center"/>
          </w:tcPr>
          <w:p w14:paraId="79A027D4">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磋商小组的</w:t>
            </w:r>
          </w:p>
          <w:p w14:paraId="7FB4E53E">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组建</w:t>
            </w:r>
          </w:p>
        </w:tc>
        <w:tc>
          <w:tcPr>
            <w:tcW w:w="6653" w:type="dxa"/>
            <w:tcBorders>
              <w:top w:val="single" w:color="auto" w:sz="4" w:space="0"/>
              <w:left w:val="nil"/>
              <w:bottom w:val="single" w:color="auto" w:sz="4" w:space="0"/>
              <w:right w:val="single" w:color="auto" w:sz="4" w:space="0"/>
            </w:tcBorders>
            <w:vAlign w:val="center"/>
          </w:tcPr>
          <w:p w14:paraId="6B7E83C6">
            <w:pPr>
              <w:pageBreakBefore w:val="0"/>
              <w:kinsoku/>
              <w:overflowPunct/>
              <w:bidi w:val="0"/>
              <w:spacing w:line="5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rPr>
              <w:t>磋商小组由</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人代表和评审专家</w:t>
            </w:r>
            <w:r>
              <w:rPr>
                <w:rFonts w:hint="eastAsia" w:ascii="宋体" w:hAnsi="宋体" w:cs="宋体"/>
                <w:color w:val="auto"/>
                <w:sz w:val="24"/>
                <w:highlight w:val="none"/>
                <w:lang w:eastAsia="zh-CN"/>
              </w:rPr>
              <w:t>共</w:t>
            </w:r>
            <w:r>
              <w:rPr>
                <w:rFonts w:hint="eastAsia" w:ascii="宋体" w:hAnsi="宋体" w:cs="宋体"/>
                <w:color w:val="auto"/>
                <w:sz w:val="24"/>
                <w:highlight w:val="none"/>
                <w:lang w:val="en-US" w:eastAsia="zh-CN"/>
              </w:rPr>
              <w:t>3人</w:t>
            </w:r>
            <w:r>
              <w:rPr>
                <w:rFonts w:hint="eastAsia" w:ascii="宋体" w:hAnsi="宋体" w:cs="宋体"/>
                <w:color w:val="auto"/>
                <w:sz w:val="24"/>
                <w:highlight w:val="none"/>
              </w:rPr>
              <w:t>组成，</w:t>
            </w:r>
            <w:r>
              <w:rPr>
                <w:rFonts w:hint="eastAsia" w:ascii="宋体" w:hAnsi="宋体" w:cs="宋体"/>
                <w:color w:val="auto"/>
                <w:sz w:val="24"/>
                <w:highlight w:val="none"/>
                <w:lang w:eastAsia="zh-CN"/>
              </w:rPr>
              <w:t>其中</w:t>
            </w:r>
            <w:r>
              <w:rPr>
                <w:rFonts w:hint="eastAsia" w:ascii="宋体" w:hAnsi="宋体" w:cs="宋体"/>
                <w:color w:val="auto"/>
                <w:sz w:val="24"/>
                <w:highlight w:val="none"/>
                <w:lang w:val="en-US" w:eastAsia="zh-CN"/>
              </w:rPr>
              <w:t>采购人代表1人，其余</w:t>
            </w:r>
            <w:r>
              <w:rPr>
                <w:rFonts w:hint="eastAsia" w:ascii="宋体" w:hAnsi="宋体" w:cs="宋体"/>
                <w:color w:val="auto"/>
                <w:sz w:val="24"/>
                <w:highlight w:val="none"/>
              </w:rPr>
              <w:t>评审专家</w:t>
            </w:r>
            <w:r>
              <w:rPr>
                <w:rFonts w:hint="eastAsia" w:ascii="宋体" w:hAnsi="宋体" w:cs="宋体"/>
                <w:color w:val="auto"/>
                <w:sz w:val="24"/>
                <w:highlight w:val="none"/>
                <w:lang w:val="en-US" w:eastAsia="zh-CN"/>
              </w:rPr>
              <w:t>2人磋商当天从河南省政府采购评审专家库随机抽取确定。</w:t>
            </w:r>
          </w:p>
          <w:p w14:paraId="222733FB">
            <w:pPr>
              <w:pageBreakBefore w:val="0"/>
              <w:kinsoku/>
              <w:overflowPunct/>
              <w:bidi w:val="0"/>
              <w:spacing w:line="500" w:lineRule="exact"/>
              <w:rPr>
                <w:rFonts w:hint="default"/>
                <w:lang w:val="en-US"/>
              </w:rPr>
            </w:pPr>
            <w:r>
              <w:rPr>
                <w:rFonts w:hint="eastAsia" w:ascii="宋体" w:hAnsi="宋体" w:cs="宋体"/>
                <w:b/>
                <w:bCs/>
                <w:color w:val="auto"/>
                <w:sz w:val="24"/>
                <w:highlight w:val="none"/>
                <w:lang w:val="en-US" w:eastAsia="zh-CN"/>
              </w:rPr>
              <w:t>注：业主评委无评审劳务费。</w:t>
            </w:r>
          </w:p>
        </w:tc>
      </w:tr>
      <w:tr w14:paraId="55A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0EF8FF16">
            <w:pPr>
              <w:pageBreakBefore w:val="0"/>
              <w:kinsoku/>
              <w:overflowPunct/>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1988" w:type="dxa"/>
            <w:tcBorders>
              <w:top w:val="single" w:color="auto" w:sz="4" w:space="0"/>
              <w:left w:val="nil"/>
              <w:bottom w:val="single" w:color="auto" w:sz="4" w:space="0"/>
              <w:right w:val="single" w:color="auto" w:sz="4" w:space="0"/>
            </w:tcBorders>
            <w:vAlign w:val="center"/>
          </w:tcPr>
          <w:p w14:paraId="1960DF39">
            <w:pPr>
              <w:pageBreakBefore w:val="0"/>
              <w:tabs>
                <w:tab w:val="left" w:pos="180"/>
              </w:tabs>
              <w:kinsoku/>
              <w:overflowPunct/>
              <w:bidi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是否授权磋商小组确定成交人</w:t>
            </w:r>
          </w:p>
        </w:tc>
        <w:tc>
          <w:tcPr>
            <w:tcW w:w="6653" w:type="dxa"/>
            <w:tcBorders>
              <w:top w:val="single" w:color="auto" w:sz="4" w:space="0"/>
              <w:left w:val="nil"/>
              <w:bottom w:val="single" w:color="auto" w:sz="4" w:space="0"/>
              <w:right w:val="single" w:color="auto" w:sz="4" w:space="0"/>
            </w:tcBorders>
            <w:vAlign w:val="center"/>
          </w:tcPr>
          <w:p w14:paraId="1C10D8FD">
            <w:pPr>
              <w:pageBreakBefore w:val="0"/>
              <w:tabs>
                <w:tab w:val="left" w:pos="180"/>
              </w:tabs>
              <w:kinsoku/>
              <w:overflowPunct/>
              <w:bidi w:val="0"/>
              <w:spacing w:line="50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否，推荐的成交候选人数：3名</w:t>
            </w:r>
            <w:r>
              <w:rPr>
                <w:rFonts w:hint="eastAsia" w:ascii="宋体" w:hAnsi="宋体" w:cs="宋体"/>
                <w:color w:val="auto"/>
                <w:sz w:val="24"/>
                <w:highlight w:val="none"/>
                <w:lang w:eastAsia="zh-CN"/>
              </w:rPr>
              <w:t>，并排序</w:t>
            </w:r>
          </w:p>
        </w:tc>
      </w:tr>
      <w:tr w14:paraId="37C2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60BBC55">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kern w:val="2"/>
                <w:highlight w:val="none"/>
                <w:lang w:val="en-US" w:eastAsia="zh-CN"/>
              </w:rPr>
            </w:pPr>
            <w:r>
              <w:rPr>
                <w:rFonts w:hint="eastAsia" w:cs="宋体"/>
                <w:color w:val="auto"/>
                <w:kern w:val="2"/>
                <w:highlight w:val="none"/>
                <w:lang w:val="en-US" w:eastAsia="zh-CN"/>
              </w:rPr>
              <w:t>33</w:t>
            </w:r>
          </w:p>
        </w:tc>
        <w:tc>
          <w:tcPr>
            <w:tcW w:w="1988" w:type="dxa"/>
            <w:tcBorders>
              <w:top w:val="single" w:color="auto" w:sz="4" w:space="0"/>
              <w:left w:val="nil"/>
              <w:bottom w:val="single" w:color="auto" w:sz="4" w:space="0"/>
              <w:right w:val="single" w:color="auto" w:sz="4" w:space="0"/>
            </w:tcBorders>
            <w:vAlign w:val="center"/>
          </w:tcPr>
          <w:p w14:paraId="6F199AB6">
            <w:pPr>
              <w:pageBreakBefore w:val="0"/>
              <w:kinsoku/>
              <w:overflowPunct/>
              <w:bidi w:val="0"/>
              <w:spacing w:line="500" w:lineRule="exact"/>
              <w:jc w:val="center"/>
              <w:rPr>
                <w:rFonts w:ascii="宋体" w:hAnsi="宋体" w:cs="_5b8b_4f53"/>
                <w:color w:val="auto"/>
                <w:sz w:val="24"/>
                <w:highlight w:val="none"/>
              </w:rPr>
            </w:pPr>
            <w:r>
              <w:rPr>
                <w:rFonts w:hint="eastAsia" w:ascii="宋体" w:hAnsi="宋体" w:cs="_5b8b_4f53"/>
                <w:color w:val="auto"/>
                <w:sz w:val="24"/>
                <w:highlight w:val="none"/>
              </w:rPr>
              <w:t>电子化交易</w:t>
            </w:r>
          </w:p>
          <w:p w14:paraId="29602F6B">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_5b8b_4f53"/>
                <w:color w:val="auto"/>
                <w:sz w:val="24"/>
                <w:highlight w:val="none"/>
              </w:rPr>
              <w:t>注意事项</w:t>
            </w:r>
          </w:p>
        </w:tc>
        <w:tc>
          <w:tcPr>
            <w:tcW w:w="6653" w:type="dxa"/>
            <w:tcBorders>
              <w:top w:val="single" w:color="auto" w:sz="4" w:space="0"/>
              <w:left w:val="nil"/>
              <w:bottom w:val="single" w:color="auto" w:sz="4" w:space="0"/>
              <w:right w:val="single" w:color="auto" w:sz="4" w:space="0"/>
            </w:tcBorders>
            <w:vAlign w:val="center"/>
          </w:tcPr>
          <w:p w14:paraId="215A16E8">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具体要求：本项目为电子化、无纸化交易项目，响应文件是供应商通过中心磋商响应文件制作系统制作，并经过签章和加密后生成的电子版磋商响应文件。</w:t>
            </w:r>
          </w:p>
          <w:p w14:paraId="75EF8158">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电子化磋商响应文件具体制作文件请点击</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"http://t.cn/A6ZvtVob" </w:instrText>
            </w:r>
            <w:r>
              <w:rPr>
                <w:rFonts w:ascii="宋体" w:hAnsi="宋体" w:cs="宋体"/>
                <w:color w:val="auto"/>
                <w:sz w:val="24"/>
                <w:highlight w:val="none"/>
              </w:rPr>
              <w:fldChar w:fldCharType="separate"/>
            </w:r>
            <w:r>
              <w:rPr>
                <w:rStyle w:val="37"/>
                <w:rFonts w:ascii="宋体" w:hAnsi="宋体" w:cs="宋体"/>
                <w:color w:val="auto"/>
                <w:sz w:val="24"/>
                <w:highlight w:val="none"/>
              </w:rPr>
              <w:t>http://t.cn/A6ZvtVob</w:t>
            </w:r>
            <w:r>
              <w:rPr>
                <w:rFonts w:ascii="宋体" w:hAnsi="宋体" w:cs="宋体"/>
                <w:color w:val="auto"/>
                <w:sz w:val="24"/>
                <w:highlight w:val="none"/>
              </w:rPr>
              <w:fldChar w:fldCharType="end"/>
            </w:r>
            <w:r>
              <w:rPr>
                <w:rFonts w:hint="eastAsia" w:ascii="宋体" w:hAnsi="宋体" w:cs="宋体"/>
                <w:color w:val="auto"/>
                <w:sz w:val="24"/>
                <w:highlight w:val="none"/>
              </w:rPr>
              <w:t>进行下载。</w:t>
            </w:r>
          </w:p>
          <w:p w14:paraId="19E52B84">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b/>
                <w:color w:val="auto"/>
                <w:sz w:val="24"/>
                <w:highlight w:val="none"/>
              </w:rPr>
              <w:t>温馨提示：本项目为电子化、无纸化交易项目，为保证您能投标成功，请需仔细阅读以下条款。</w:t>
            </w:r>
          </w:p>
          <w:p w14:paraId="1B221D51">
            <w:pPr>
              <w:pageBreakBefore w:val="0"/>
              <w:kinsoku/>
              <w:overflowPunct/>
              <w:bidi w:val="0"/>
              <w:spacing w:line="500" w:lineRule="exact"/>
              <w:rPr>
                <w:rFonts w:hint="eastAsia" w:ascii="宋体" w:hAnsi="宋体" w:cs="宋体"/>
                <w:b/>
                <w:color w:val="auto"/>
                <w:sz w:val="24"/>
                <w:highlight w:val="none"/>
              </w:rPr>
            </w:pPr>
            <w:r>
              <w:rPr>
                <w:rFonts w:hint="eastAsia" w:ascii="宋体" w:hAnsi="宋体" w:cs="宋体"/>
                <w:b/>
                <w:color w:val="auto"/>
                <w:sz w:val="24"/>
                <w:highlight w:val="none"/>
              </w:rPr>
              <w:t>一、电子化投标</w:t>
            </w:r>
          </w:p>
          <w:p w14:paraId="48307B10">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（一）网上磋商保证金的缴纳</w:t>
            </w:r>
          </w:p>
          <w:p w14:paraId="169A42F1">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本项目不收取磋商保证金。</w:t>
            </w:r>
          </w:p>
          <w:p w14:paraId="68601129">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（二）电子化</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文件的签章</w:t>
            </w:r>
          </w:p>
          <w:p w14:paraId="60354E4D">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1、供应商在生成电子化磋商响应文件后，应对电子化磋商响应文件进行签章，未进行签章的视为无效</w:t>
            </w:r>
            <w:r>
              <w:rPr>
                <w:rFonts w:hint="eastAsia" w:ascii="宋体" w:hAnsi="宋体" w:cs="宋体"/>
                <w:color w:val="auto"/>
                <w:sz w:val="24"/>
                <w:highlight w:val="none"/>
                <w:lang w:eastAsia="zh-CN"/>
              </w:rPr>
              <w:t>响应</w:t>
            </w:r>
            <w:r>
              <w:rPr>
                <w:rFonts w:hint="eastAsia" w:ascii="宋体" w:hAnsi="宋体" w:cs="宋体"/>
                <w:color w:val="auto"/>
                <w:sz w:val="24"/>
                <w:highlight w:val="none"/>
              </w:rPr>
              <w:t>。</w:t>
            </w:r>
          </w:p>
          <w:p w14:paraId="63316CCB">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竞争性磋商文件中要求磋商响应供应商盖章的，以签盖单位章为准；要求法定代表人或授权代理人签章的，以签盖法定代表人签章为准</w:t>
            </w:r>
            <w:r>
              <w:rPr>
                <w:rFonts w:hint="eastAsia" w:ascii="宋体" w:hAnsi="宋体" w:cs="宋体"/>
                <w:color w:val="auto"/>
                <w:sz w:val="24"/>
                <w:highlight w:val="none"/>
              </w:rPr>
              <w:t>。</w:t>
            </w:r>
          </w:p>
          <w:p w14:paraId="4F33B4E0">
            <w:pPr>
              <w:pageBreakBefore w:val="0"/>
              <w:kinsoku/>
              <w:overflowPunct/>
              <w:bidi w:val="0"/>
              <w:spacing w:line="500" w:lineRule="exact"/>
              <w:rPr>
                <w:rFonts w:hint="eastAsia" w:ascii="宋体" w:hAnsi="宋体" w:cs="宋体"/>
                <w:b/>
                <w:color w:val="auto"/>
                <w:sz w:val="24"/>
                <w:highlight w:val="none"/>
              </w:rPr>
            </w:pPr>
            <w:r>
              <w:rPr>
                <w:rFonts w:hint="eastAsia" w:ascii="宋体" w:hAnsi="宋体" w:cs="宋体"/>
                <w:color w:val="auto"/>
                <w:sz w:val="24"/>
                <w:highlight w:val="none"/>
              </w:rPr>
              <w:t>（三）电子化磋商响应文件的格式及上传</w:t>
            </w:r>
          </w:p>
          <w:p w14:paraId="1D8CEDF5">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1、供应商所上传的电子化磋商响应文件，应是通过中心投标文件制作系统制作的（投标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w:t>
            </w:r>
          </w:p>
          <w:p w14:paraId="04A50E02">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电子化磋商响应文件具体制作教材请供应商点击以下链接学习</w:t>
            </w:r>
            <w:r>
              <w:rPr>
                <w:rFonts w:ascii="宋体" w:hAnsi="宋体" w:cs="宋体"/>
                <w:color w:val="auto"/>
                <w:sz w:val="24"/>
                <w:highlight w:val="none"/>
              </w:rPr>
              <w:t>https://t.cn/A625r72N</w:t>
            </w:r>
          </w:p>
          <w:p w14:paraId="769F383F">
            <w:pPr>
              <w:pageBreakBefore w:val="0"/>
              <w:kinsoku/>
              <w:overflowPunct/>
              <w:bidi w:val="0"/>
              <w:spacing w:line="500" w:lineRule="exact"/>
              <w:rPr>
                <w:rFonts w:hint="eastAsia" w:ascii="宋体" w:hAnsi="宋体" w:cs="宋体"/>
                <w:b/>
                <w:color w:val="auto"/>
                <w:sz w:val="24"/>
                <w:highlight w:val="none"/>
              </w:rPr>
            </w:pPr>
            <w:r>
              <w:rPr>
                <w:rFonts w:hint="eastAsia" w:ascii="宋体" w:hAnsi="宋体" w:cs="宋体"/>
                <w:b/>
                <w:color w:val="auto"/>
                <w:sz w:val="24"/>
                <w:highlight w:val="none"/>
              </w:rPr>
              <w:t>注：供应商投报多个标段的，需要每个标段单独制作电子磋商响应文件。</w:t>
            </w:r>
          </w:p>
          <w:p w14:paraId="4278AFEF">
            <w:pPr>
              <w:pageBreakBefore w:val="0"/>
              <w:numPr>
                <w:ilvl w:val="0"/>
                <w:numId w:val="1"/>
              </w:numPr>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电子化磋商响应文件应在</w:t>
            </w:r>
            <w:r>
              <w:rPr>
                <w:rFonts w:hint="eastAsia" w:ascii="宋体" w:hAnsi="宋体" w:cs="宋体"/>
                <w:color w:val="auto"/>
                <w:sz w:val="24"/>
                <w:highlight w:val="none"/>
                <w:lang w:eastAsia="zh-CN"/>
              </w:rPr>
              <w:t>磋商</w:t>
            </w:r>
            <w:r>
              <w:rPr>
                <w:rFonts w:hint="eastAsia" w:ascii="宋体" w:hAnsi="宋体" w:cs="宋体"/>
                <w:color w:val="auto"/>
                <w:sz w:val="24"/>
                <w:highlight w:val="none"/>
              </w:rPr>
              <w:t>时间前成功上传至三门峡市公共资源电子化交易系统。至</w:t>
            </w:r>
            <w:r>
              <w:rPr>
                <w:rFonts w:hint="eastAsia" w:ascii="宋体" w:hAnsi="宋体" w:cs="宋体"/>
                <w:color w:val="auto"/>
                <w:sz w:val="24"/>
                <w:highlight w:val="none"/>
                <w:lang w:eastAsia="zh-CN"/>
              </w:rPr>
              <w:t>磋商</w:t>
            </w:r>
            <w:r>
              <w:rPr>
                <w:rFonts w:hint="eastAsia" w:ascii="宋体" w:hAnsi="宋体" w:cs="宋体"/>
                <w:color w:val="auto"/>
                <w:sz w:val="24"/>
                <w:highlight w:val="none"/>
              </w:rPr>
              <w:t>时间止，仍未上传成功的电子化磋商响应文件将不予接收。</w:t>
            </w:r>
          </w:p>
          <w:p w14:paraId="00CD988C">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如按照电子化投标操作教材制作完成的电子化磋商响应文件无法上传的，供应商应在</w:t>
            </w:r>
            <w:r>
              <w:rPr>
                <w:rFonts w:hint="eastAsia" w:ascii="宋体" w:hAnsi="宋体" w:cs="宋体"/>
                <w:b/>
                <w:color w:val="auto"/>
                <w:sz w:val="24"/>
                <w:highlight w:val="none"/>
                <w:lang w:eastAsia="zh-CN"/>
              </w:rPr>
              <w:t>磋商</w:t>
            </w:r>
            <w:r>
              <w:rPr>
                <w:rFonts w:hint="eastAsia" w:ascii="宋体" w:hAnsi="宋体" w:cs="宋体"/>
                <w:b/>
                <w:color w:val="auto"/>
                <w:sz w:val="24"/>
                <w:highlight w:val="none"/>
              </w:rPr>
              <w:t>时间前尽早的</w:t>
            </w:r>
            <w:r>
              <w:rPr>
                <w:rFonts w:hint="eastAsia" w:ascii="宋体" w:hAnsi="宋体" w:cs="宋体"/>
                <w:color w:val="auto"/>
                <w:sz w:val="24"/>
                <w:highlight w:val="none"/>
              </w:rPr>
              <w:t>联系中心技术人员，以便有充分的时间进行处理。</w:t>
            </w:r>
            <w:r>
              <w:rPr>
                <w:rFonts w:hint="eastAsia" w:ascii="宋体" w:hAnsi="宋体" w:cs="宋体"/>
                <w:b/>
                <w:color w:val="auto"/>
                <w:sz w:val="24"/>
                <w:highlight w:val="none"/>
              </w:rPr>
              <w:t>供应商应充分考虑到处理技术问题和上传数据等工作所需的时间问题，响应文件未在</w:t>
            </w:r>
            <w:r>
              <w:rPr>
                <w:rFonts w:hint="eastAsia" w:ascii="宋体" w:hAnsi="宋体" w:cs="宋体"/>
                <w:b/>
                <w:color w:val="auto"/>
                <w:sz w:val="24"/>
                <w:highlight w:val="none"/>
                <w:lang w:eastAsia="zh-CN"/>
              </w:rPr>
              <w:t>磋商</w:t>
            </w:r>
            <w:r>
              <w:rPr>
                <w:rFonts w:hint="eastAsia" w:ascii="宋体" w:hAnsi="宋体" w:cs="宋体"/>
                <w:b/>
                <w:color w:val="auto"/>
                <w:sz w:val="24"/>
                <w:highlight w:val="none"/>
              </w:rPr>
              <w:t>时间前成功上传的，其磋商响应文件不予接收。</w:t>
            </w:r>
          </w:p>
          <w:p w14:paraId="7C221322">
            <w:pPr>
              <w:pageBreakBefore w:val="0"/>
              <w:kinsoku/>
              <w:overflowPunct/>
              <w:bidi w:val="0"/>
              <w:spacing w:line="500" w:lineRule="exact"/>
              <w:ind w:left="1680" w:hanging="1680" w:hangingChars="700"/>
              <w:rPr>
                <w:rFonts w:hint="eastAsia" w:ascii="宋体" w:hAnsi="宋体" w:cs="宋体"/>
                <w:color w:val="auto"/>
                <w:sz w:val="24"/>
                <w:highlight w:val="none"/>
              </w:rPr>
            </w:pPr>
            <w:r>
              <w:rPr>
                <w:rFonts w:hint="eastAsia" w:ascii="宋体" w:hAnsi="宋体" w:cs="宋体"/>
                <w:color w:val="auto"/>
                <w:sz w:val="24"/>
                <w:highlight w:val="none"/>
              </w:rPr>
              <w:t>技术联系电话：4009980000</w:t>
            </w:r>
          </w:p>
          <w:p w14:paraId="7A020BCF">
            <w:pPr>
              <w:pageBreakBefore w:val="0"/>
              <w:kinsoku/>
              <w:overflowPunct/>
              <w:bidi w:val="0"/>
              <w:spacing w:line="5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（四）电子化项目开标、解密、唱标、</w:t>
            </w:r>
            <w:r>
              <w:rPr>
                <w:rFonts w:hint="eastAsia" w:ascii="宋体" w:hAnsi="宋体" w:cs="宋体"/>
                <w:color w:val="auto"/>
                <w:sz w:val="24"/>
                <w:highlight w:val="none"/>
                <w:lang w:eastAsia="zh-CN"/>
              </w:rPr>
              <w:t>评审</w:t>
            </w:r>
          </w:p>
          <w:p w14:paraId="38A258E8">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1、本项目采用</w:t>
            </w:r>
            <w:r>
              <w:rPr>
                <w:rFonts w:hint="eastAsia" w:ascii="宋体" w:hAnsi="宋体" w:cs="宋体"/>
                <w:b/>
                <w:color w:val="auto"/>
                <w:sz w:val="24"/>
                <w:highlight w:val="none"/>
              </w:rPr>
              <w:t>电子化、无纸化</w:t>
            </w:r>
            <w:r>
              <w:rPr>
                <w:rFonts w:hint="eastAsia" w:ascii="宋体" w:hAnsi="宋体" w:cs="宋体"/>
                <w:color w:val="auto"/>
                <w:sz w:val="24"/>
                <w:highlight w:val="none"/>
              </w:rPr>
              <w:t>进行</w:t>
            </w:r>
            <w:r>
              <w:rPr>
                <w:rFonts w:hint="eastAsia" w:ascii="宋体" w:hAnsi="宋体" w:cs="宋体"/>
                <w:color w:val="auto"/>
                <w:sz w:val="24"/>
                <w:highlight w:val="none"/>
                <w:lang w:eastAsia="zh-CN"/>
              </w:rPr>
              <w:t>采购</w:t>
            </w:r>
            <w:r>
              <w:rPr>
                <w:rFonts w:hint="eastAsia" w:ascii="宋体" w:hAnsi="宋体" w:cs="宋体"/>
                <w:color w:val="auto"/>
                <w:sz w:val="24"/>
                <w:highlight w:val="none"/>
              </w:rPr>
              <w:t>，</w:t>
            </w:r>
            <w:r>
              <w:rPr>
                <w:rFonts w:hint="eastAsia" w:ascii="宋体" w:hAnsi="宋体" w:cs="宋体"/>
                <w:color w:val="auto"/>
                <w:sz w:val="24"/>
                <w:highlight w:val="none"/>
                <w:lang w:eastAsia="zh-CN"/>
              </w:rPr>
              <w:t>磋商</w:t>
            </w:r>
            <w:r>
              <w:rPr>
                <w:rFonts w:hint="eastAsia" w:ascii="宋体" w:hAnsi="宋体" w:cs="宋体"/>
                <w:color w:val="auto"/>
                <w:sz w:val="24"/>
                <w:highlight w:val="none"/>
              </w:rPr>
              <w:t>当日，供应商无需到现场参加</w:t>
            </w:r>
            <w:r>
              <w:rPr>
                <w:rFonts w:hint="eastAsia" w:ascii="宋体" w:hAnsi="宋体" w:cs="宋体"/>
                <w:color w:val="auto"/>
                <w:sz w:val="24"/>
                <w:highlight w:val="none"/>
                <w:lang w:eastAsia="zh-CN"/>
              </w:rPr>
              <w:t>磋商</w:t>
            </w:r>
            <w:r>
              <w:rPr>
                <w:rFonts w:hint="eastAsia" w:ascii="宋体" w:hAnsi="宋体" w:cs="宋体"/>
                <w:color w:val="auto"/>
                <w:sz w:val="24"/>
                <w:highlight w:val="none"/>
              </w:rPr>
              <w:t>会议，供应商应当在</w:t>
            </w:r>
            <w:r>
              <w:rPr>
                <w:rFonts w:hint="eastAsia" w:ascii="宋体" w:hAnsi="宋体" w:cs="宋体"/>
                <w:color w:val="auto"/>
                <w:sz w:val="24"/>
                <w:highlight w:val="none"/>
                <w:lang w:eastAsia="zh-CN"/>
              </w:rPr>
              <w:t>磋商</w:t>
            </w:r>
            <w:r>
              <w:rPr>
                <w:rFonts w:hint="eastAsia" w:ascii="宋体" w:hAnsi="宋体" w:cs="宋体"/>
                <w:color w:val="auto"/>
                <w:sz w:val="24"/>
                <w:highlight w:val="none"/>
              </w:rPr>
              <w:t>时间前，登陆不见面开标大厅选择登陆三门峡市公共资源电子招投标系统进行登陆（网址为http://t.cn/A6huPROa）,在线准时参加开标活动并进行磋商响应文件解密等。</w:t>
            </w:r>
          </w:p>
          <w:p w14:paraId="164F3FE6">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2、电子化磋商响应文件采用一次加密方式。</w:t>
            </w:r>
            <w:r>
              <w:rPr>
                <w:rFonts w:hint="eastAsia" w:ascii="宋体" w:hAnsi="宋体" w:cs="宋体"/>
                <w:color w:val="auto"/>
                <w:sz w:val="24"/>
                <w:highlight w:val="none"/>
                <w:lang w:eastAsia="zh-CN"/>
              </w:rPr>
              <w:t>磋商</w:t>
            </w:r>
            <w:r>
              <w:rPr>
                <w:rFonts w:hint="eastAsia" w:ascii="宋体" w:hAnsi="宋体" w:cs="宋体"/>
                <w:color w:val="auto"/>
                <w:sz w:val="24"/>
                <w:highlight w:val="none"/>
              </w:rPr>
              <w:t>时，由供应商使用CA 证书，在规定时间内对其电子化磋商响应文件进行解密。每位供应商的解密时间为开标时间起30 分钟内，如在规定时间内未完成解密的，其磋商响应文件不予开标、唱标。</w:t>
            </w:r>
          </w:p>
          <w:p w14:paraId="00BFBEEA">
            <w:pPr>
              <w:pageBreakBefore w:val="0"/>
              <w:kinsoku/>
              <w:overflowPunct/>
              <w:bidi w:val="0"/>
              <w:spacing w:line="500" w:lineRule="exact"/>
              <w:ind w:firstLine="573"/>
              <w:rPr>
                <w:rFonts w:hint="eastAsia" w:ascii="宋体" w:hAnsi="宋体" w:cs="宋体"/>
                <w:b/>
                <w:color w:val="auto"/>
                <w:sz w:val="24"/>
                <w:highlight w:val="none"/>
              </w:rPr>
            </w:pPr>
            <w:r>
              <w:rPr>
                <w:rFonts w:hint="eastAsia" w:ascii="宋体" w:hAnsi="宋体" w:cs="宋体"/>
                <w:color w:val="auto"/>
                <w:sz w:val="24"/>
                <w:highlight w:val="none"/>
              </w:rPr>
              <w:t>3、电子化磋商响应文件解密异常的处理</w:t>
            </w:r>
          </w:p>
          <w:p w14:paraId="37BD704B">
            <w:pPr>
              <w:pageBreakBefore w:val="0"/>
              <w:kinsoku/>
              <w:overflowPunct/>
              <w:bidi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如出现供应商的电子磋商响应文件无法解密等异常情况，供应商应及时致电中介服务机构说明。磋商响应文件异常，按以下步骤进行处理：</w:t>
            </w:r>
          </w:p>
          <w:p w14:paraId="52C97035">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（1）首先由技术人员进行问题排查。</w:t>
            </w:r>
          </w:p>
          <w:p w14:paraId="4965995F">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（2）经技术人员排查后，是供应商文件自身问题导致磋商响应文件无法解密的，该磋商响应文件将不予接收、解密和唱标。开标会议继续进行。</w:t>
            </w:r>
          </w:p>
          <w:p w14:paraId="02D0FC94">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6EA51077">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4、待所有供应商磋商响应文件解密完成后，由中介服务机构操作，对所有已解密磋商响应文件进行唱标。</w:t>
            </w:r>
          </w:p>
          <w:p w14:paraId="731609D4">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b/>
                <w:color w:val="auto"/>
                <w:sz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01F0FFBD">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磋商</w:t>
            </w:r>
            <w:r>
              <w:rPr>
                <w:rFonts w:hint="eastAsia" w:ascii="宋体" w:hAnsi="宋体" w:cs="宋体"/>
                <w:color w:val="auto"/>
                <w:sz w:val="24"/>
                <w:highlight w:val="none"/>
              </w:rPr>
              <w:t>时供应商可登录到交易系统中在开标解密栏中点击报价一览表查看自己的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35E773C1">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评审</w:t>
            </w:r>
            <w:r>
              <w:rPr>
                <w:rFonts w:hint="eastAsia" w:ascii="宋体" w:hAnsi="宋体" w:cs="宋体"/>
                <w:color w:val="auto"/>
                <w:sz w:val="24"/>
                <w:highlight w:val="none"/>
              </w:rPr>
              <w:t>时，</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w:t>
            </w:r>
          </w:p>
          <w:p w14:paraId="6CDF2148">
            <w:pPr>
              <w:pageBreakBefore w:val="0"/>
              <w:kinsoku/>
              <w:overflowPunct/>
              <w:bidi w:val="0"/>
              <w:spacing w:line="500" w:lineRule="exact"/>
              <w:ind w:firstLine="573"/>
              <w:rPr>
                <w:rFonts w:ascii="宋体" w:hAnsi="宋体" w:cs="宋体"/>
                <w:b/>
                <w:color w:val="auto"/>
                <w:sz w:val="24"/>
                <w:highlight w:val="none"/>
              </w:rPr>
            </w:pPr>
            <w:r>
              <w:rPr>
                <w:rFonts w:hint="eastAsia" w:ascii="宋体" w:hAnsi="宋体" w:cs="宋体"/>
                <w:color w:val="auto"/>
                <w:sz w:val="24"/>
                <w:highlight w:val="none"/>
              </w:rPr>
              <w:t>7、如</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对需要回复的供应商连续三次致电未接通的，视为供应商放弃回复，</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将自行对需要回复的内容进行认定。</w:t>
            </w:r>
          </w:p>
        </w:tc>
      </w:tr>
      <w:tr w14:paraId="13D7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0" w:type="dxa"/>
            <w:gridSpan w:val="3"/>
            <w:tcBorders>
              <w:top w:val="single" w:color="auto" w:sz="4" w:space="0"/>
              <w:left w:val="single" w:color="auto" w:sz="4" w:space="0"/>
              <w:bottom w:val="single" w:color="auto" w:sz="4" w:space="0"/>
              <w:right w:val="single" w:color="auto" w:sz="4" w:space="0"/>
            </w:tcBorders>
            <w:vAlign w:val="center"/>
          </w:tcPr>
          <w:p w14:paraId="59CB1DEF">
            <w:pPr>
              <w:pageBreakBefore w:val="0"/>
              <w:kinsoku/>
              <w:overflowPunct/>
              <w:bidi w:val="0"/>
              <w:spacing w:before="120" w:after="120" w:line="500" w:lineRule="exact"/>
              <w:rPr>
                <w:rFonts w:ascii="宋体" w:hAnsi="宋体" w:cs="宋体"/>
                <w:color w:val="auto"/>
                <w:sz w:val="24"/>
                <w:highlight w:val="none"/>
              </w:rPr>
            </w:pPr>
            <w:r>
              <w:rPr>
                <w:rFonts w:hint="eastAsia" w:ascii="宋体" w:hAnsi="宋体" w:cs="宋体"/>
                <w:b/>
                <w:color w:val="auto"/>
                <w:sz w:val="24"/>
                <w:highlight w:val="none"/>
              </w:rPr>
              <w:t>需要补充的其他内容</w:t>
            </w:r>
          </w:p>
        </w:tc>
      </w:tr>
      <w:tr w14:paraId="1346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4576868">
            <w:pPr>
              <w:pageBreakBefore w:val="0"/>
              <w:kinsoku/>
              <w:overflowPunct/>
              <w:bidi w:val="0"/>
              <w:spacing w:before="120" w:after="120"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34</w:t>
            </w:r>
          </w:p>
        </w:tc>
        <w:tc>
          <w:tcPr>
            <w:tcW w:w="1988" w:type="dxa"/>
            <w:tcBorders>
              <w:top w:val="single" w:color="auto" w:sz="4" w:space="0"/>
              <w:left w:val="nil"/>
              <w:bottom w:val="single" w:color="auto" w:sz="4" w:space="0"/>
              <w:right w:val="single" w:color="auto" w:sz="4" w:space="0"/>
            </w:tcBorders>
            <w:vAlign w:val="center"/>
          </w:tcPr>
          <w:p w14:paraId="3CA3A1C0">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lang w:eastAsia="zh-CN"/>
              </w:rPr>
              <w:t>最高限价</w:t>
            </w:r>
          </w:p>
        </w:tc>
        <w:tc>
          <w:tcPr>
            <w:tcW w:w="6653" w:type="dxa"/>
            <w:tcBorders>
              <w:top w:val="single" w:color="auto" w:sz="4" w:space="0"/>
              <w:left w:val="nil"/>
              <w:bottom w:val="single" w:color="auto" w:sz="4" w:space="0"/>
              <w:right w:val="single" w:color="auto" w:sz="4" w:space="0"/>
            </w:tcBorders>
            <w:vAlign w:val="center"/>
          </w:tcPr>
          <w:p w14:paraId="6DCDABB4">
            <w:pPr>
              <w:pageBreakBefore w:val="0"/>
              <w:numPr>
                <w:ilvl w:val="0"/>
                <w:numId w:val="2"/>
              </w:numPr>
              <w:kinsoku/>
              <w:overflowPunct/>
              <w:bidi w:val="0"/>
              <w:spacing w:line="500" w:lineRule="exact"/>
              <w:rPr>
                <w:rFonts w:hint="eastAsia" w:ascii="宋体" w:hAnsi="宋体" w:cs="宋体"/>
                <w:color w:val="auto"/>
                <w:sz w:val="24"/>
                <w:highlight w:val="none"/>
                <w:lang w:eastAsia="zh-CN"/>
              </w:rPr>
            </w:pPr>
            <w:r>
              <w:rPr>
                <w:rFonts w:hint="eastAsia" w:ascii="宋体" w:hAnsi="宋体" w:cs="宋体"/>
                <w:color w:val="auto"/>
                <w:sz w:val="24"/>
                <w:highlight w:val="none"/>
              </w:rPr>
              <w:t>本</w:t>
            </w:r>
            <w:r>
              <w:rPr>
                <w:rFonts w:hint="eastAsia" w:ascii="宋体" w:hAnsi="宋体" w:cs="宋体"/>
                <w:color w:val="auto"/>
                <w:sz w:val="24"/>
                <w:highlight w:val="none"/>
                <w:lang w:eastAsia="zh-CN"/>
              </w:rPr>
              <w:t>项目最高限价为：</w:t>
            </w:r>
          </w:p>
          <w:p w14:paraId="2AF28BCF">
            <w:pPr>
              <w:pageBreakBefore w:val="0"/>
              <w:numPr>
                <w:ilvl w:val="0"/>
                <w:numId w:val="0"/>
              </w:numPr>
              <w:kinsoku/>
              <w:overflowPunct/>
              <w:bidi w:val="0"/>
              <w:spacing w:line="5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伍拾柒万贰仟伍佰元整（￥572500.00元）</w:t>
            </w:r>
          </w:p>
          <w:p w14:paraId="548361AD">
            <w:pPr>
              <w:pageBreakBefore w:val="0"/>
              <w:kinsoku/>
              <w:overflowPunct/>
              <w:bidi w:val="0"/>
              <w:spacing w:line="500" w:lineRule="exact"/>
              <w:rPr>
                <w:rFonts w:ascii="宋体" w:hAnsi="宋体" w:cs="宋体"/>
                <w:color w:val="auto"/>
                <w:szCs w:val="21"/>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最高限价</w:t>
            </w:r>
            <w:r>
              <w:rPr>
                <w:rFonts w:hint="eastAsia" w:ascii="宋体" w:hAnsi="宋体" w:cs="宋体"/>
                <w:color w:val="auto"/>
                <w:sz w:val="24"/>
                <w:highlight w:val="none"/>
              </w:rPr>
              <w:t>是采购人控制采购项目的最高限价，供应商的磋商报价高于</w:t>
            </w:r>
            <w:r>
              <w:rPr>
                <w:rFonts w:hint="eastAsia" w:ascii="宋体" w:hAnsi="宋体" w:cs="宋体"/>
                <w:color w:val="auto"/>
                <w:sz w:val="24"/>
                <w:highlight w:val="none"/>
                <w:lang w:eastAsia="zh-CN"/>
              </w:rPr>
              <w:t>最高限价</w:t>
            </w:r>
            <w:r>
              <w:rPr>
                <w:rFonts w:hint="eastAsia" w:ascii="宋体" w:hAnsi="宋体" w:cs="宋体"/>
                <w:color w:val="auto"/>
                <w:sz w:val="24"/>
                <w:highlight w:val="none"/>
              </w:rPr>
              <w:t>的视为无效报价，其</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予以拒绝。</w:t>
            </w:r>
          </w:p>
        </w:tc>
      </w:tr>
      <w:tr w14:paraId="5C7D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67E70B8">
            <w:pPr>
              <w:pageBreakBefore w:val="0"/>
              <w:kinsoku/>
              <w:overflowPunct/>
              <w:bidi w:val="0"/>
              <w:spacing w:before="120" w:after="120"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w:t>
            </w:r>
          </w:p>
        </w:tc>
        <w:tc>
          <w:tcPr>
            <w:tcW w:w="1988" w:type="dxa"/>
            <w:tcBorders>
              <w:top w:val="single" w:color="auto" w:sz="4" w:space="0"/>
              <w:left w:val="nil"/>
              <w:bottom w:val="single" w:color="auto" w:sz="4" w:space="0"/>
              <w:right w:val="single" w:color="auto" w:sz="4" w:space="0"/>
            </w:tcBorders>
            <w:vAlign w:val="center"/>
          </w:tcPr>
          <w:p w14:paraId="7EDBA7F4">
            <w:pPr>
              <w:pageBreakBefore w:val="0"/>
              <w:kinsoku/>
              <w:overflowPunct/>
              <w:bidi w:val="0"/>
              <w:spacing w:line="500" w:lineRule="exact"/>
              <w:ind w:right="105" w:rightChars="50"/>
              <w:jc w:val="center"/>
              <w:rPr>
                <w:rFonts w:hint="eastAsia" w:ascii="宋体" w:hAnsi="宋体" w:eastAsia="宋体" w:cs="宋体"/>
                <w:color w:val="auto"/>
                <w:sz w:val="24"/>
                <w:highlight w:val="none"/>
                <w:lang w:eastAsia="zh-CN"/>
              </w:rPr>
            </w:pPr>
            <w:r>
              <w:rPr>
                <w:rFonts w:hint="eastAsia" w:ascii="宋体" w:hAnsi="宋体" w:cs="_5b8b_4f53"/>
                <w:color w:val="auto"/>
                <w:sz w:val="24"/>
                <w:highlight w:val="none"/>
              </w:rPr>
              <w:t>付款方式</w:t>
            </w:r>
          </w:p>
        </w:tc>
        <w:tc>
          <w:tcPr>
            <w:tcW w:w="6653" w:type="dxa"/>
            <w:tcBorders>
              <w:top w:val="single" w:color="auto" w:sz="4" w:space="0"/>
              <w:left w:val="nil"/>
              <w:bottom w:val="single" w:color="auto" w:sz="4" w:space="0"/>
              <w:right w:val="single" w:color="auto" w:sz="4" w:space="0"/>
            </w:tcBorders>
            <w:vAlign w:val="center"/>
          </w:tcPr>
          <w:p w14:paraId="7C9DBE91">
            <w:pPr>
              <w:pageBreakBefore w:val="0"/>
              <w:kinsoku/>
              <w:overflowPunct/>
              <w:bidi w:val="0"/>
              <w:spacing w:line="500" w:lineRule="exact"/>
              <w:ind w:right="105" w:rightChars="50"/>
              <w:rPr>
                <w:rFonts w:hint="eastAsia" w:ascii="宋体" w:hAnsi="宋体" w:eastAsia="宋体" w:cs="宋体"/>
                <w:color w:val="auto"/>
                <w:sz w:val="24"/>
                <w:highlight w:val="none"/>
                <w:lang w:eastAsia="zh-CN"/>
              </w:rPr>
            </w:pPr>
            <w:r>
              <w:rPr>
                <w:rFonts w:hint="eastAsia" w:ascii="宋体" w:hAnsi="宋体" w:cs="_5b8b_4f53"/>
                <w:color w:val="auto"/>
                <w:sz w:val="24"/>
                <w:highlight w:val="none"/>
              </w:rPr>
              <w:t>签订合同时，双方协商。</w:t>
            </w:r>
          </w:p>
        </w:tc>
      </w:tr>
      <w:tr w14:paraId="5E7A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9D7AF1A">
            <w:pPr>
              <w:pageBreakBefore w:val="0"/>
              <w:kinsoku/>
              <w:overflowPunct/>
              <w:bidi w:val="0"/>
              <w:spacing w:before="120" w:after="120" w:line="5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36</w:t>
            </w:r>
          </w:p>
        </w:tc>
        <w:tc>
          <w:tcPr>
            <w:tcW w:w="1988" w:type="dxa"/>
            <w:tcBorders>
              <w:top w:val="single" w:color="auto" w:sz="4" w:space="0"/>
              <w:left w:val="nil"/>
              <w:bottom w:val="single" w:color="auto" w:sz="4" w:space="0"/>
              <w:right w:val="single" w:color="auto" w:sz="4" w:space="0"/>
            </w:tcBorders>
            <w:vAlign w:val="center"/>
          </w:tcPr>
          <w:p w14:paraId="182B75FD">
            <w:pPr>
              <w:pageBreakBefore w:val="0"/>
              <w:kinsoku/>
              <w:overflowPunct/>
              <w:bidi w:val="0"/>
              <w:spacing w:line="500" w:lineRule="exact"/>
              <w:jc w:val="center"/>
              <w:rPr>
                <w:rFonts w:hint="eastAsia" w:ascii="宋体" w:hAnsi="宋体" w:cs="宋体"/>
                <w:color w:val="auto"/>
                <w:sz w:val="24"/>
                <w:highlight w:val="none"/>
                <w:lang w:eastAsia="zh-CN"/>
              </w:rPr>
            </w:pPr>
            <w:r>
              <w:rPr>
                <w:rFonts w:hint="eastAsia"/>
                <w:color w:val="auto"/>
                <w:sz w:val="24"/>
                <w:szCs w:val="24"/>
                <w:highlight w:val="none"/>
              </w:rPr>
              <w:t>履约保证金</w:t>
            </w:r>
          </w:p>
        </w:tc>
        <w:tc>
          <w:tcPr>
            <w:tcW w:w="6653" w:type="dxa"/>
            <w:tcBorders>
              <w:top w:val="single" w:color="auto" w:sz="4" w:space="0"/>
              <w:left w:val="nil"/>
              <w:bottom w:val="single" w:color="auto" w:sz="4" w:space="0"/>
              <w:right w:val="single" w:color="auto" w:sz="4" w:space="0"/>
            </w:tcBorders>
            <w:vAlign w:val="center"/>
          </w:tcPr>
          <w:p w14:paraId="07A5914A">
            <w:pPr>
              <w:pageBreakBefore w:val="0"/>
              <w:kinsoku/>
              <w:overflowPunct/>
              <w:bidi w:val="0"/>
              <w:spacing w:line="5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根据三门峡市财政局三财购【</w:t>
            </w:r>
            <w:r>
              <w:rPr>
                <w:rFonts w:hint="eastAsia" w:ascii="宋体" w:hAnsi="宋体" w:cs="宋体"/>
                <w:color w:val="auto"/>
                <w:sz w:val="24"/>
                <w:highlight w:val="none"/>
                <w:lang w:val="en-US" w:eastAsia="zh-CN"/>
              </w:rPr>
              <w:t>2021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14号文的规定，</w:t>
            </w:r>
            <w:r>
              <w:rPr>
                <w:rFonts w:hint="eastAsia" w:ascii="宋体" w:hAnsi="宋体" w:cs="宋体"/>
                <w:color w:val="auto"/>
                <w:sz w:val="24"/>
                <w:highlight w:val="none"/>
                <w:lang w:eastAsia="zh-CN"/>
              </w:rPr>
              <w:t>本项目不收取履约保证金。</w:t>
            </w:r>
          </w:p>
        </w:tc>
      </w:tr>
      <w:tr w14:paraId="6EE6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0590E6E">
            <w:pPr>
              <w:pageBreakBefore w:val="0"/>
              <w:kinsoku/>
              <w:overflowPunct/>
              <w:bidi w:val="0"/>
              <w:spacing w:before="120" w:after="120" w:line="5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1988" w:type="dxa"/>
            <w:tcBorders>
              <w:top w:val="single" w:color="auto" w:sz="4" w:space="0"/>
              <w:left w:val="nil"/>
              <w:bottom w:val="single" w:color="auto" w:sz="4" w:space="0"/>
              <w:right w:val="single" w:color="auto" w:sz="4" w:space="0"/>
            </w:tcBorders>
            <w:vAlign w:val="center"/>
          </w:tcPr>
          <w:p w14:paraId="3E575FFD">
            <w:pPr>
              <w:spacing w:line="360" w:lineRule="auto"/>
              <w:jc w:val="center"/>
              <w:rPr>
                <w:rFonts w:hint="eastAsia"/>
                <w:color w:val="auto"/>
                <w:sz w:val="24"/>
                <w:szCs w:val="24"/>
                <w:highlight w:val="none"/>
              </w:rPr>
            </w:pPr>
            <w:r>
              <w:rPr>
                <w:rFonts w:hint="eastAsia"/>
                <w:color w:val="auto"/>
                <w:sz w:val="24"/>
                <w:szCs w:val="24"/>
                <w:highlight w:val="none"/>
              </w:rPr>
              <w:t>专门面向中小企业采购</w:t>
            </w:r>
          </w:p>
        </w:tc>
        <w:tc>
          <w:tcPr>
            <w:tcW w:w="6653" w:type="dxa"/>
            <w:tcBorders>
              <w:top w:val="single" w:color="auto" w:sz="4" w:space="0"/>
              <w:left w:val="nil"/>
              <w:bottom w:val="single" w:color="auto" w:sz="4" w:space="0"/>
              <w:right w:val="single" w:color="auto" w:sz="4" w:space="0"/>
            </w:tcBorders>
            <w:vAlign w:val="center"/>
          </w:tcPr>
          <w:p w14:paraId="3A890B68">
            <w:pPr>
              <w:spacing w:line="360" w:lineRule="auto"/>
              <w:rPr>
                <w:rFonts w:hint="eastAsia"/>
                <w:color w:val="auto"/>
                <w:sz w:val="24"/>
                <w:szCs w:val="24"/>
                <w:highlight w:val="none"/>
              </w:rPr>
            </w:pPr>
            <w:r>
              <w:rPr>
                <w:rFonts w:hint="eastAsia"/>
                <w:color w:val="auto"/>
                <w:sz w:val="24"/>
                <w:szCs w:val="24"/>
                <w:highlight w:val="none"/>
              </w:rPr>
              <w:t>本</w:t>
            </w:r>
            <w:r>
              <w:rPr>
                <w:color w:val="auto"/>
                <w:sz w:val="24"/>
                <w:szCs w:val="24"/>
                <w:highlight w:val="none"/>
              </w:rPr>
              <w:t>项目</w:t>
            </w:r>
            <w:r>
              <w:rPr>
                <w:rFonts w:hint="eastAsia"/>
                <w:color w:val="auto"/>
                <w:sz w:val="24"/>
                <w:szCs w:val="24"/>
                <w:highlight w:val="none"/>
              </w:rPr>
              <w:t>是否</w:t>
            </w:r>
            <w:r>
              <w:rPr>
                <w:color w:val="auto"/>
                <w:sz w:val="24"/>
                <w:szCs w:val="24"/>
                <w:highlight w:val="none"/>
              </w:rPr>
              <w:t>专门面向中小企业采购</w:t>
            </w:r>
            <w:r>
              <w:rPr>
                <w:rFonts w:hint="eastAsia"/>
                <w:color w:val="auto"/>
                <w:sz w:val="24"/>
                <w:szCs w:val="24"/>
                <w:highlight w:val="none"/>
              </w:rPr>
              <w:t>：</w:t>
            </w:r>
          </w:p>
          <w:p w14:paraId="18D0867A">
            <w:pPr>
              <w:spacing w:line="360" w:lineRule="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是：本项目是</w:t>
            </w:r>
            <w:r>
              <w:rPr>
                <w:color w:val="auto"/>
                <w:sz w:val="24"/>
                <w:szCs w:val="24"/>
                <w:highlight w:val="none"/>
              </w:rPr>
              <w:t>专门面向中小企业采购</w:t>
            </w:r>
          </w:p>
          <w:p w14:paraId="3E00910C">
            <w:pPr>
              <w:spacing w:line="360" w:lineRule="auto"/>
              <w:rPr>
                <w:rFonts w:hint="eastAsia" w:ascii="宋体" w:hAnsi="宋体" w:cs="宋体"/>
                <w:color w:val="auto"/>
                <w:sz w:val="24"/>
                <w:highlight w:val="none"/>
                <w:lang w:eastAsia="zh-CN"/>
              </w:rPr>
            </w:pPr>
            <w:r>
              <w:rPr>
                <w:rFonts w:hint="eastAsia"/>
                <w:color w:val="auto"/>
                <w:sz w:val="24"/>
                <w:szCs w:val="24"/>
                <w:highlight w:val="none"/>
              </w:rPr>
              <w:t>□否</w:t>
            </w:r>
          </w:p>
        </w:tc>
      </w:tr>
      <w:tr w14:paraId="4538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CC5A82B">
            <w:pPr>
              <w:pageBreakBefore w:val="0"/>
              <w:kinsoku/>
              <w:overflowPunct/>
              <w:bidi w:val="0"/>
              <w:spacing w:before="120" w:after="120" w:line="5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988" w:type="dxa"/>
            <w:tcBorders>
              <w:top w:val="single" w:color="auto" w:sz="4" w:space="0"/>
              <w:left w:val="nil"/>
              <w:bottom w:val="single" w:color="auto" w:sz="4" w:space="0"/>
              <w:right w:val="single" w:color="auto" w:sz="4" w:space="0"/>
            </w:tcBorders>
            <w:vAlign w:val="center"/>
          </w:tcPr>
          <w:p w14:paraId="47315C5F">
            <w:pPr>
              <w:spacing w:line="360" w:lineRule="auto"/>
              <w:jc w:val="center"/>
              <w:rPr>
                <w:rFonts w:hint="eastAsia"/>
                <w:color w:val="auto"/>
                <w:sz w:val="24"/>
                <w:szCs w:val="24"/>
                <w:highlight w:val="none"/>
              </w:rPr>
            </w:pPr>
            <w:r>
              <w:rPr>
                <w:rFonts w:hint="eastAsia"/>
                <w:color w:val="auto"/>
                <w:sz w:val="24"/>
                <w:szCs w:val="24"/>
                <w:highlight w:val="none"/>
                <w:lang w:val="en-US" w:eastAsia="zh-CN"/>
              </w:rPr>
              <w:t>落实的政府采购政策</w:t>
            </w:r>
          </w:p>
        </w:tc>
        <w:tc>
          <w:tcPr>
            <w:tcW w:w="6653" w:type="dxa"/>
            <w:tcBorders>
              <w:top w:val="single" w:color="auto" w:sz="4" w:space="0"/>
              <w:left w:val="nil"/>
              <w:bottom w:val="single" w:color="auto" w:sz="4" w:space="0"/>
              <w:right w:val="single" w:color="auto" w:sz="4" w:space="0"/>
            </w:tcBorders>
            <w:vAlign w:val="center"/>
          </w:tcPr>
          <w:p w14:paraId="754581AC">
            <w:pPr>
              <w:pageBreakBefore w:val="0"/>
              <w:kinsoku/>
              <w:wordWrap/>
              <w:overflowPunct/>
              <w:topLinePunct w:val="0"/>
              <w:autoSpaceDE/>
              <w:autoSpaceDN/>
              <w:bidi w:val="0"/>
              <w:adjustRightInd/>
              <w:snapToGrid/>
              <w:spacing w:line="500" w:lineRule="exact"/>
              <w:textAlignment w:val="auto"/>
              <w:rPr>
                <w:rFonts w:ascii="宋体" w:hAnsi="宋体" w:cs="宋体"/>
                <w:bCs/>
                <w:sz w:val="24"/>
                <w:szCs w:val="20"/>
                <w:highlight w:val="none"/>
              </w:rPr>
            </w:pPr>
            <w:r>
              <w:rPr>
                <w:rFonts w:hint="eastAsia" w:ascii="宋体" w:hAnsi="宋体" w:cs="宋体"/>
                <w:bCs/>
                <w:sz w:val="24"/>
                <w:szCs w:val="20"/>
                <w:highlight w:val="none"/>
              </w:rPr>
              <w:t>（1）未明确允许进口产品参加</w:t>
            </w:r>
            <w:r>
              <w:rPr>
                <w:rFonts w:hint="eastAsia" w:ascii="宋体" w:hAnsi="宋体" w:cs="宋体"/>
                <w:bCs/>
                <w:sz w:val="24"/>
                <w:szCs w:val="20"/>
                <w:highlight w:val="none"/>
                <w:lang w:eastAsia="zh-CN"/>
              </w:rPr>
              <w:t>磋商</w:t>
            </w:r>
            <w:r>
              <w:rPr>
                <w:rFonts w:hint="eastAsia" w:ascii="宋体" w:hAnsi="宋体" w:cs="宋体"/>
                <w:bCs/>
                <w:sz w:val="24"/>
                <w:szCs w:val="20"/>
                <w:highlight w:val="none"/>
              </w:rPr>
              <w:t>的，拒绝进口产品参加。</w:t>
            </w:r>
          </w:p>
          <w:p w14:paraId="45D4A531">
            <w:pPr>
              <w:pageBreakBefore w:val="0"/>
              <w:kinsoku/>
              <w:wordWrap/>
              <w:overflowPunct/>
              <w:topLinePunct w:val="0"/>
              <w:autoSpaceDE/>
              <w:autoSpaceDN/>
              <w:bidi w:val="0"/>
              <w:adjustRightInd/>
              <w:snapToGrid/>
              <w:spacing w:line="500" w:lineRule="exact"/>
              <w:textAlignment w:val="auto"/>
              <w:rPr>
                <w:rFonts w:hint="eastAsia" w:ascii="宋体" w:hAnsi="宋体" w:cs="宋体"/>
                <w:bCs/>
                <w:sz w:val="24"/>
                <w:szCs w:val="20"/>
                <w:highlight w:val="none"/>
                <w:lang w:val="en-US" w:eastAsia="zh-CN"/>
              </w:rPr>
            </w:pPr>
            <w:r>
              <w:rPr>
                <w:rFonts w:hint="eastAsia" w:ascii="宋体" w:hAnsi="宋体" w:cs="宋体"/>
                <w:bCs/>
                <w:sz w:val="24"/>
                <w:szCs w:val="20"/>
                <w:highlight w:val="none"/>
              </w:rPr>
              <w:t>（2）</w:t>
            </w:r>
            <w:r>
              <w:rPr>
                <w:rFonts w:hint="eastAsia" w:ascii="宋体" w:hAnsi="宋体" w:cs="宋体"/>
                <w:bCs/>
                <w:sz w:val="24"/>
                <w:szCs w:val="20"/>
                <w:highlight w:val="none"/>
                <w:lang w:val="en-US" w:eastAsia="zh-CN"/>
              </w:rPr>
              <w:t>本项目专门面向中小企业采购，不再进行价格扣除.</w:t>
            </w:r>
            <w:r>
              <w:rPr>
                <w:rFonts w:hint="eastAsia" w:ascii="宋体" w:hAnsi="宋体" w:cs="宋体"/>
                <w:bCs/>
                <w:sz w:val="24"/>
                <w:szCs w:val="20"/>
                <w:highlight w:val="none"/>
              </w:rPr>
              <w:t>参加政府采购活动的中小企业应当提供《中小企业声明函》</w:t>
            </w:r>
          </w:p>
          <w:p w14:paraId="04499FB3">
            <w:pPr>
              <w:pageBreakBefore w:val="0"/>
              <w:kinsoku/>
              <w:wordWrap/>
              <w:overflowPunct/>
              <w:topLinePunct w:val="0"/>
              <w:autoSpaceDE/>
              <w:autoSpaceDN/>
              <w:bidi w:val="0"/>
              <w:adjustRightInd/>
              <w:snapToGrid/>
              <w:spacing w:line="500" w:lineRule="exact"/>
              <w:textAlignment w:val="auto"/>
              <w:rPr>
                <w:rFonts w:hint="eastAsia" w:ascii="宋体" w:hAnsi="宋体" w:cs="宋体"/>
                <w:bCs/>
                <w:sz w:val="24"/>
                <w:szCs w:val="20"/>
                <w:highlight w:val="none"/>
                <w:lang w:val="en-US" w:eastAsia="zh-CN"/>
              </w:rPr>
            </w:pPr>
            <w:r>
              <w:rPr>
                <w:rFonts w:hint="eastAsia" w:ascii="宋体" w:hAnsi="宋体" w:cs="宋体"/>
                <w:bCs/>
                <w:sz w:val="24"/>
                <w:szCs w:val="20"/>
                <w:highlight w:val="none"/>
                <w:lang w:val="en-US" w:eastAsia="zh-CN"/>
              </w:rPr>
              <w:t>（3）关于监狱企业：视同小微企业。须提供由省级以上监狱管理局、戒毒管理局（含新疆生产建设兵团）出具的属于监狱企业的证明文件。</w:t>
            </w:r>
          </w:p>
          <w:p w14:paraId="2AEBFDBA">
            <w:pPr>
              <w:pageBreakBefore w:val="0"/>
              <w:kinsoku/>
              <w:wordWrap/>
              <w:overflowPunct/>
              <w:topLinePunct w:val="0"/>
              <w:autoSpaceDE/>
              <w:autoSpaceDN/>
              <w:bidi w:val="0"/>
              <w:adjustRightInd/>
              <w:snapToGrid/>
              <w:spacing w:line="500" w:lineRule="exact"/>
              <w:textAlignment w:val="auto"/>
              <w:rPr>
                <w:rFonts w:hint="eastAsia" w:ascii="宋体" w:hAnsi="宋体" w:cs="宋体"/>
                <w:color w:val="auto"/>
                <w:sz w:val="24"/>
                <w:highlight w:val="none"/>
                <w:lang w:eastAsia="zh-CN"/>
              </w:rPr>
            </w:pPr>
            <w:r>
              <w:rPr>
                <w:rFonts w:hint="eastAsia" w:ascii="宋体" w:hAnsi="宋体" w:cs="宋体"/>
                <w:bCs/>
                <w:sz w:val="24"/>
                <w:szCs w:val="20"/>
                <w:highlight w:val="none"/>
                <w:lang w:val="en-US" w:eastAsia="zh-CN"/>
              </w:rPr>
              <w:t>（4）关于残疾人福利性单位：视同小微企业。须提供完整的“残疾人福利性单位声明函”。</w:t>
            </w:r>
          </w:p>
        </w:tc>
      </w:tr>
    </w:tbl>
    <w:p w14:paraId="0BDB0CB5">
      <w:pPr>
        <w:pageBreakBefore w:val="0"/>
        <w:kinsoku/>
        <w:overflowPunct/>
        <w:bidi w:val="0"/>
        <w:spacing w:line="500" w:lineRule="exact"/>
        <w:rPr>
          <w:rFonts w:hint="eastAsia"/>
          <w:highlight w:val="none"/>
        </w:rPr>
      </w:pPr>
    </w:p>
    <w:p w14:paraId="5BC4AA30">
      <w:pPr>
        <w:pStyle w:val="2"/>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sz w:val="24"/>
          <w:szCs w:val="24"/>
          <w:highlight w:val="none"/>
        </w:rPr>
      </w:pPr>
      <w:bookmarkStart w:id="39" w:name="_Toc521997940"/>
      <w:bookmarkStart w:id="40" w:name="_Toc12094"/>
      <w:r>
        <w:rPr>
          <w:rFonts w:hint="eastAsia" w:ascii="宋体" w:hAnsi="宋体" w:eastAsia="宋体" w:cs="宋体"/>
          <w:sz w:val="24"/>
          <w:szCs w:val="24"/>
          <w:highlight w:val="none"/>
        </w:rPr>
        <w:t>一、适用范围</w:t>
      </w:r>
    </w:p>
    <w:p w14:paraId="2FBDAF4C">
      <w:pPr>
        <w:pStyle w:val="56"/>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本竞争性磋商文件仅适用于本次竞争性磋商公告中所叙述的项目。通过竞争性磋商方式择优选择一家成交人。</w:t>
      </w:r>
    </w:p>
    <w:p w14:paraId="2687A622">
      <w:pPr>
        <w:pStyle w:val="2"/>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sz w:val="24"/>
          <w:szCs w:val="24"/>
          <w:highlight w:val="none"/>
        </w:rPr>
      </w:pPr>
      <w:bookmarkStart w:id="41" w:name="_Toc183264285"/>
      <w:bookmarkStart w:id="42" w:name="_Toc359865654"/>
      <w:r>
        <w:rPr>
          <w:rFonts w:hint="eastAsia" w:ascii="宋体" w:hAnsi="宋体" w:eastAsia="宋体" w:cs="宋体"/>
          <w:sz w:val="24"/>
          <w:szCs w:val="24"/>
          <w:highlight w:val="none"/>
        </w:rPr>
        <w:t>二、定义</w:t>
      </w:r>
      <w:bookmarkEnd w:id="41"/>
      <w:bookmarkEnd w:id="42"/>
    </w:p>
    <w:p w14:paraId="2A40727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bookmarkStart w:id="43" w:name="_Toc183264286"/>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”系指</w:t>
      </w:r>
      <w:r>
        <w:rPr>
          <w:rFonts w:hint="eastAsia" w:ascii="宋体" w:hAnsi="宋体" w:cs="宋体"/>
          <w:color w:val="auto"/>
          <w:sz w:val="24"/>
          <w:szCs w:val="24"/>
          <w:highlight w:val="none"/>
          <w:lang w:eastAsia="zh-CN"/>
        </w:rPr>
        <w:t>三门峡市陕州区菜园乡人民政府</w:t>
      </w:r>
      <w:r>
        <w:rPr>
          <w:rFonts w:hint="eastAsia" w:ascii="宋体" w:hAnsi="宋体" w:eastAsia="宋体" w:cs="宋体"/>
          <w:color w:val="auto"/>
          <w:sz w:val="24"/>
          <w:szCs w:val="24"/>
          <w:highlight w:val="none"/>
        </w:rPr>
        <w:t>。</w:t>
      </w:r>
    </w:p>
    <w:p w14:paraId="3218BE9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2.“代理机构”系指</w:t>
      </w:r>
      <w:r>
        <w:rPr>
          <w:rFonts w:hint="eastAsia" w:ascii="宋体" w:hAnsi="宋体" w:eastAsia="宋体" w:cs="宋体"/>
          <w:color w:val="auto"/>
          <w:sz w:val="24"/>
          <w:szCs w:val="24"/>
          <w:highlight w:val="none"/>
          <w:lang w:eastAsia="zh-CN"/>
        </w:rPr>
        <w:t>河南锦霖工程管理有限公司</w:t>
      </w:r>
      <w:r>
        <w:rPr>
          <w:rFonts w:hint="eastAsia" w:ascii="宋体" w:hAnsi="宋体" w:eastAsia="宋体" w:cs="宋体"/>
          <w:color w:val="auto"/>
          <w:sz w:val="24"/>
          <w:szCs w:val="24"/>
          <w:highlight w:val="none"/>
        </w:rPr>
        <w:t>。</w:t>
      </w:r>
    </w:p>
    <w:p w14:paraId="4FC8EF5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”系指响应磋商并进行报价竞争的单位。</w:t>
      </w:r>
    </w:p>
    <w:p w14:paraId="78C523B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4.“成交人”系指由磋商小组评审确定的取得与采购人签订合同资格的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5BDFE4C1">
      <w:pPr>
        <w:pStyle w:val="2"/>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sz w:val="24"/>
          <w:szCs w:val="24"/>
          <w:highlight w:val="none"/>
        </w:rPr>
      </w:pPr>
      <w:bookmarkStart w:id="44" w:name="_Toc359865655"/>
      <w:r>
        <w:rPr>
          <w:rFonts w:hint="eastAsia" w:ascii="宋体" w:hAnsi="宋体" w:eastAsia="宋体" w:cs="宋体"/>
          <w:sz w:val="24"/>
          <w:szCs w:val="24"/>
          <w:highlight w:val="none"/>
        </w:rPr>
        <w:t>三、踏勘现场</w:t>
      </w:r>
      <w:bookmarkEnd w:id="44"/>
    </w:p>
    <w:p w14:paraId="519AA164">
      <w:pPr>
        <w:pStyle w:val="57"/>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val="0"/>
          <w:color w:val="auto"/>
          <w:spacing w:val="6"/>
          <w:kern w:val="0"/>
          <w:sz w:val="24"/>
          <w:szCs w:val="24"/>
          <w:highlight w:val="none"/>
        </w:rPr>
        <w:t>1.不组织踏勘现场</w:t>
      </w:r>
    </w:p>
    <w:p w14:paraId="1A846154">
      <w:pPr>
        <w:pStyle w:val="56"/>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自行对本项目的现状及周围环境进行踏勘和审阅，踏勘现场所需车辆及相关费用自理。</w:t>
      </w:r>
    </w:p>
    <w:p w14:paraId="227AF7FB">
      <w:pPr>
        <w:pStyle w:val="2"/>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sz w:val="24"/>
          <w:szCs w:val="24"/>
          <w:highlight w:val="none"/>
        </w:rPr>
      </w:pPr>
      <w:bookmarkStart w:id="45" w:name="_Toc359865656"/>
      <w:r>
        <w:rPr>
          <w:rFonts w:hint="eastAsia" w:ascii="宋体" w:hAnsi="宋体" w:eastAsia="宋体" w:cs="宋体"/>
          <w:sz w:val="24"/>
          <w:szCs w:val="24"/>
          <w:highlight w:val="none"/>
        </w:rPr>
        <w:t>四、竞争性磋商文件说明</w:t>
      </w:r>
      <w:bookmarkEnd w:id="43"/>
      <w:bookmarkEnd w:id="45"/>
    </w:p>
    <w:p w14:paraId="28A3C3EA">
      <w:pPr>
        <w:pStyle w:val="57"/>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（一）竞争性磋商文件的组成</w:t>
      </w:r>
    </w:p>
    <w:p w14:paraId="290FF6C0">
      <w:pPr>
        <w:pStyle w:val="58"/>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lang w:eastAsia="zh-CN"/>
        </w:rPr>
        <w:t>竞争性磋商</w:t>
      </w:r>
      <w:r>
        <w:rPr>
          <w:rFonts w:hint="eastAsia" w:ascii="宋体" w:hAnsi="宋体" w:eastAsia="宋体" w:cs="宋体"/>
          <w:color w:val="auto"/>
          <w:spacing w:val="6"/>
          <w:sz w:val="24"/>
          <w:szCs w:val="24"/>
          <w:highlight w:val="none"/>
        </w:rPr>
        <w:t>公告；</w:t>
      </w:r>
    </w:p>
    <w:p w14:paraId="360F40B0">
      <w:pPr>
        <w:pStyle w:val="58"/>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（2）供应商须知；</w:t>
      </w:r>
    </w:p>
    <w:p w14:paraId="2CB3BA35">
      <w:pPr>
        <w:pStyle w:val="58"/>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（3）采购</w:t>
      </w:r>
      <w:r>
        <w:rPr>
          <w:rFonts w:hint="eastAsia" w:ascii="宋体" w:hAnsi="宋体" w:eastAsia="宋体" w:cs="宋体"/>
          <w:color w:val="auto"/>
          <w:spacing w:val="6"/>
          <w:sz w:val="24"/>
          <w:szCs w:val="24"/>
          <w:highlight w:val="none"/>
          <w:lang w:eastAsia="zh-CN"/>
        </w:rPr>
        <w:t>清单</w:t>
      </w:r>
      <w:r>
        <w:rPr>
          <w:rFonts w:hint="eastAsia" w:ascii="宋体" w:hAnsi="宋体" w:eastAsia="宋体" w:cs="宋体"/>
          <w:color w:val="auto"/>
          <w:spacing w:val="6"/>
          <w:sz w:val="24"/>
          <w:szCs w:val="24"/>
          <w:highlight w:val="none"/>
        </w:rPr>
        <w:t>；</w:t>
      </w:r>
    </w:p>
    <w:p w14:paraId="6B66E011">
      <w:pPr>
        <w:pStyle w:val="58"/>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6"/>
          <w:sz w:val="24"/>
          <w:szCs w:val="24"/>
          <w:highlight w:val="none"/>
          <w:lang w:eastAsia="zh-CN"/>
        </w:rPr>
        <w:t>评审</w:t>
      </w:r>
      <w:r>
        <w:rPr>
          <w:rFonts w:hint="eastAsia" w:ascii="宋体" w:hAnsi="宋体" w:eastAsia="宋体" w:cs="宋体"/>
          <w:color w:val="auto"/>
          <w:spacing w:val="6"/>
          <w:sz w:val="24"/>
          <w:szCs w:val="24"/>
          <w:highlight w:val="none"/>
        </w:rPr>
        <w:t>办法（综合评分法）；</w:t>
      </w:r>
    </w:p>
    <w:p w14:paraId="6AA850C1">
      <w:pPr>
        <w:pStyle w:val="58"/>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（5）合同条款及格式；</w:t>
      </w:r>
    </w:p>
    <w:p w14:paraId="75F2734C">
      <w:pPr>
        <w:pStyle w:val="58"/>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（6）响应文件格式；</w:t>
      </w:r>
    </w:p>
    <w:p w14:paraId="4566023F">
      <w:pPr>
        <w:pStyle w:val="58"/>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（二）竞争性磋商文件的修改</w:t>
      </w:r>
    </w:p>
    <w:p w14:paraId="240224AE">
      <w:pPr>
        <w:pageBreakBefore w:val="0"/>
        <w:widowControl w:val="0"/>
        <w:kinsoku/>
        <w:wordWrap/>
        <w:overflowPunct/>
        <w:topLinePunct w:val="0"/>
        <w:autoSpaceDE/>
        <w:autoSpaceDN/>
        <w:bidi w:val="0"/>
        <w:adjustRightInd/>
        <w:snapToGrid/>
        <w:spacing w:line="500" w:lineRule="exact"/>
        <w:ind w:right="120" w:firstLine="480" w:firstLineChars="200"/>
        <w:jc w:val="both"/>
        <w:textAlignment w:val="auto"/>
        <w:rPr>
          <w:rFonts w:hint="eastAsia" w:ascii="宋体" w:hAnsi="宋体" w:eastAsia="宋体" w:cs="宋体"/>
          <w:color w:val="auto"/>
          <w:sz w:val="24"/>
          <w:szCs w:val="24"/>
          <w:highlight w:val="none"/>
        </w:rPr>
      </w:pPr>
      <w:bookmarkStart w:id="46" w:name="_Toc183264287"/>
      <w:bookmarkStart w:id="47" w:name="_Toc359865657"/>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、代理机构或者磋商小组可以对已发出的磋商文件进行必要的澄清或者修改，澄清或者修改的内容作为磋商文件的组成部分，澄清或者修改的内容可能影响响应文件编制的，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、代理机构应当在提交首次响应文件截止时间至少5日前，以书面形式通知所有获取磋商文件的磋商供应商；不足5日的，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、代理机构应当顺延提交首次响应文件截止时间。</w:t>
      </w:r>
    </w:p>
    <w:p w14:paraId="4261A59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2.在磋商过程中，磋商小组可以根据磋商文件和磋商情况实质性变动技术标准和要求以及合同草案条款，但不得变动磋商文件中的其他内容。实质性变动的内容，须经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代表确认。对磋商文件作出的实质性变动是磋商文件的有效组成部分，磋商小组应当及时以书面形式同时通知所有参加磋商的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应当按照磋商文件的变动情况和磋商小组的要求重新提交响应文件，并由法定代表人或授权代表签字或者加盖公章。由授权代表签字的，应当附法定代表人授权书。</w:t>
      </w:r>
    </w:p>
    <w:p w14:paraId="367AC898">
      <w:pPr>
        <w:pageBreakBefore w:val="0"/>
        <w:widowControl w:val="0"/>
        <w:kinsoku/>
        <w:wordWrap/>
        <w:overflowPunct/>
        <w:topLinePunct w:val="0"/>
        <w:autoSpaceDE/>
        <w:autoSpaceDN/>
        <w:bidi w:val="0"/>
        <w:adjustRightInd/>
        <w:snapToGrid/>
        <w:spacing w:line="500" w:lineRule="exact"/>
        <w:ind w:right="1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以视项目具体情况，延长响应文件截止时间和开启时间，但至少应当在竞争性磋商文件要求提交响应文件截止时间三日前，将变更时间书面通知所有竞争性磋商文件收受人，并在财政部门指定的政府采购信息发布媒体上发布变更公告。</w:t>
      </w:r>
    </w:p>
    <w:p w14:paraId="70D0BF58">
      <w:pPr>
        <w:pStyle w:val="2"/>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五、响应文件的编</w:t>
      </w:r>
      <w:bookmarkEnd w:id="46"/>
      <w:bookmarkEnd w:id="47"/>
      <w:r>
        <w:rPr>
          <w:rFonts w:hint="eastAsia" w:ascii="宋体" w:hAnsi="宋体" w:eastAsia="宋体" w:cs="宋体"/>
          <w:sz w:val="24"/>
          <w:szCs w:val="24"/>
          <w:highlight w:val="none"/>
        </w:rPr>
        <w:t>制</w:t>
      </w:r>
    </w:p>
    <w:p w14:paraId="56DCD96A">
      <w:pPr>
        <w:pStyle w:val="4"/>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响应文件的组成</w:t>
      </w:r>
    </w:p>
    <w:p w14:paraId="358C812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响应文件应包括下列内容：</w:t>
      </w:r>
    </w:p>
    <w:p w14:paraId="5399C30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函及</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函附录</w:t>
      </w:r>
    </w:p>
    <w:p w14:paraId="685B1C0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（2）技术参数一览表</w:t>
      </w:r>
    </w:p>
    <w:p w14:paraId="36FB4B7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（3）法定代表人身份证明</w:t>
      </w:r>
    </w:p>
    <w:p w14:paraId="120369F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）资格审查资料</w:t>
      </w:r>
    </w:p>
    <w:p w14:paraId="7E24073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技术方案</w:t>
      </w:r>
    </w:p>
    <w:p w14:paraId="6FC4850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）售后服务承诺</w:t>
      </w:r>
    </w:p>
    <w:p w14:paraId="1069795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中小企业声明函</w:t>
      </w:r>
    </w:p>
    <w:p w14:paraId="3CBB0BA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）其他材料</w:t>
      </w:r>
    </w:p>
    <w:p w14:paraId="0C7D1A6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供应商在</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过程中作出的符合法律法规和竞争性磋商文件规定的澄清确认，构成响应文件的组成部分。</w:t>
      </w:r>
    </w:p>
    <w:p w14:paraId="4A2B2E3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不允许联合体。</w:t>
      </w:r>
    </w:p>
    <w:p w14:paraId="2E0D9844">
      <w:pPr>
        <w:pStyle w:val="4"/>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（二）磋商报价</w:t>
      </w:r>
    </w:p>
    <w:p w14:paraId="2F3F72E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本次报价为非一次性报价，报价币种为人民币。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时首次</w:t>
      </w:r>
      <w:r>
        <w:rPr>
          <w:rFonts w:hint="eastAsia" w:ascii="宋体" w:hAnsi="宋体" w:eastAsia="宋体" w:cs="宋体"/>
          <w:sz w:val="24"/>
          <w:szCs w:val="24"/>
          <w:highlight w:val="none"/>
        </w:rPr>
        <w:t>报价超出</w:t>
      </w:r>
      <w:r>
        <w:rPr>
          <w:rFonts w:hint="eastAsia" w:ascii="宋体" w:hAnsi="宋体" w:eastAsia="宋体" w:cs="宋体"/>
          <w:sz w:val="24"/>
          <w:szCs w:val="24"/>
          <w:highlight w:val="none"/>
          <w:lang w:eastAsia="zh-CN"/>
        </w:rPr>
        <w:t>最高限价</w:t>
      </w:r>
      <w:r>
        <w:rPr>
          <w:rFonts w:hint="eastAsia" w:ascii="宋体" w:hAnsi="宋体" w:eastAsia="宋体" w:cs="宋体"/>
          <w:sz w:val="24"/>
          <w:szCs w:val="24"/>
          <w:highlight w:val="none"/>
        </w:rPr>
        <w:t>的视为无效报价。</w:t>
      </w:r>
    </w:p>
    <w:p w14:paraId="62B5337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总报价是指采购人指定地点交货的，包括基于交货发生的各种税费、运费及保险费、运杂费、安装费、检验费以及伴随的消耗材料、备品备件</w:t>
      </w:r>
      <w:r>
        <w:rPr>
          <w:rFonts w:hint="eastAsia" w:ascii="宋体" w:hAnsi="宋体" w:cs="宋体"/>
          <w:sz w:val="24"/>
          <w:szCs w:val="24"/>
          <w:highlight w:val="none"/>
          <w:lang w:val="en-US" w:eastAsia="zh-CN"/>
        </w:rPr>
        <w:t>等</w:t>
      </w:r>
      <w:r>
        <w:rPr>
          <w:rFonts w:hint="eastAsia" w:ascii="宋体" w:hAnsi="宋体" w:eastAsia="宋体" w:cs="宋体"/>
          <w:sz w:val="24"/>
          <w:szCs w:val="24"/>
          <w:highlight w:val="none"/>
        </w:rPr>
        <w:t>总报价。供应商还应按照竞争性磋商文件提供的报价明细表格式填写提供各项货物单价、小计和合计总价。</w:t>
      </w:r>
    </w:p>
    <w:p w14:paraId="3474AE3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报价应完全包括竞争性磋商文件规定的全部货物及其伴随的服务范围，不得任意分割或合并所规定的货物及其伴随的服务分项。</w:t>
      </w:r>
    </w:p>
    <w:p w14:paraId="229DEB6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供应商对每种货物只允许有一个报价，采购人和采购代理机构不接受有任何选择报价的</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w:t>
      </w:r>
    </w:p>
    <w:p w14:paraId="6350DE9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供应商不得以任何理由在磋商后对报价予以修改，报价在</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有效期内是固定的，不因任何原因而改变。任何包含价格调整要求和条件的</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，将被视为非实质性响应而予以拒绝。最低报价并不意味着一定成交。</w:t>
      </w:r>
    </w:p>
    <w:p w14:paraId="7C71D0D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本次磋商有二次报价的机会，二次报价即为最终报价，最终报价为响应文件的一部分。</w:t>
      </w:r>
    </w:p>
    <w:p w14:paraId="39D1065D">
      <w:pPr>
        <w:pStyle w:val="58"/>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lang w:eastAsia="zh-CN"/>
        </w:rPr>
        <w:t>报价错误的修正</w:t>
      </w:r>
    </w:p>
    <w:p w14:paraId="1BC4FEB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响应文件中的响应函附录与响应文件中明细表内容不一致的，以响应函附录为准。</w:t>
      </w:r>
    </w:p>
    <w:p w14:paraId="73A2B14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如果以文字表示的数据与数字表示的有差别，以文字为准。如果报价表大写金额与小写金额不一致，以大写的金额为准；最终报价时，大写金额书写错误导致无法读取报价的，按无效报价处理。</w:t>
      </w:r>
    </w:p>
    <w:p w14:paraId="2C449E2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调整后的数据对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不同意以上修正，其报价将被拒绝。</w:t>
      </w:r>
    </w:p>
    <w:p w14:paraId="02247D39">
      <w:pPr>
        <w:pStyle w:val="4"/>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（三）备选方案</w:t>
      </w:r>
    </w:p>
    <w:p w14:paraId="68D49170">
      <w:pPr>
        <w:pStyle w:val="58"/>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不允许</w:t>
      </w:r>
    </w:p>
    <w:p w14:paraId="61FDD54B">
      <w:pPr>
        <w:pStyle w:val="4"/>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（四）响应文件的编制</w:t>
      </w:r>
    </w:p>
    <w:p w14:paraId="391CCA1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响应文件应按“响应文件格式”进行编写，如有必要，可以增加附页，作为响应文件的组成部分。</w:t>
      </w:r>
    </w:p>
    <w:p w14:paraId="13E9C95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响应文件应当对竞争性磋商文件有关合同履行期限</w:t>
      </w:r>
      <w:r>
        <w:rPr>
          <w:rFonts w:hint="eastAsia" w:ascii="宋体" w:hAnsi="宋体" w:eastAsia="宋体" w:cs="宋体"/>
          <w:sz w:val="24"/>
          <w:szCs w:val="24"/>
          <w:highlight w:val="none"/>
          <w:lang w:val="en-US" w:eastAsia="zh-CN"/>
        </w:rPr>
        <w:t>/交货期</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w:t>
      </w:r>
      <w:r>
        <w:rPr>
          <w:rFonts w:hint="eastAsia" w:ascii="宋体" w:hAnsi="宋体" w:eastAsia="宋体" w:cs="宋体"/>
          <w:sz w:val="24"/>
          <w:szCs w:val="24"/>
          <w:highlight w:val="none"/>
          <w:lang w:eastAsia="zh-CN"/>
        </w:rPr>
        <w:t>质保期、</w:t>
      </w:r>
      <w:r>
        <w:rPr>
          <w:rFonts w:hint="eastAsia" w:ascii="宋体" w:hAnsi="宋体" w:eastAsia="宋体" w:cs="宋体"/>
          <w:sz w:val="24"/>
          <w:szCs w:val="24"/>
          <w:highlight w:val="none"/>
        </w:rPr>
        <w:t>采购项目需求及技术要求等实质性内容作出响应。响应文件在满足竞争性磋商文件实质性要求的基础上，可以提出比竞争性磋商文件要求更有利于采购人的承诺。</w:t>
      </w:r>
    </w:p>
    <w:p w14:paraId="596D57B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签字或盖章的具体要求见供应商须知前附表规定。</w:t>
      </w:r>
    </w:p>
    <w:p w14:paraId="0888B1F0">
      <w:pPr>
        <w:pStyle w:val="23"/>
        <w:keepNext/>
        <w:keepLines/>
        <w:pageBreakBefore w:val="0"/>
        <w:widowControl w:val="0"/>
        <w:kinsoku/>
        <w:wordWrap/>
        <w:overflowPunct/>
        <w:topLinePunct w:val="0"/>
        <w:autoSpaceDE/>
        <w:autoSpaceDN/>
        <w:bidi w:val="0"/>
        <w:adjustRightInd/>
        <w:snapToGrid/>
        <w:spacing w:beforeAutospacing="0" w:after="0" w:afterAutospacing="0" w:line="500" w:lineRule="exact"/>
        <w:ind w:firstLine="482" w:firstLineChars="200"/>
        <w:jc w:val="both"/>
        <w:textAlignment w:val="auto"/>
        <w:outlineLvl w:val="1"/>
        <w:rPr>
          <w:rFonts w:hint="eastAsia" w:ascii="宋体" w:hAnsi="宋体" w:eastAsia="宋体" w:cs="宋体"/>
          <w:b/>
          <w:kern w:val="2"/>
          <w:sz w:val="24"/>
          <w:szCs w:val="24"/>
          <w:highlight w:val="none"/>
          <w:lang w:eastAsia="zh-CN"/>
        </w:rPr>
      </w:pPr>
      <w:bookmarkStart w:id="48" w:name="_Toc183264288"/>
      <w:r>
        <w:rPr>
          <w:rFonts w:hint="eastAsia" w:ascii="宋体" w:hAnsi="宋体" w:eastAsia="宋体" w:cs="宋体"/>
          <w:b/>
          <w:kern w:val="2"/>
          <w:sz w:val="24"/>
          <w:szCs w:val="24"/>
          <w:highlight w:val="none"/>
          <w:lang w:eastAsia="zh-CN"/>
        </w:rPr>
        <w:t>四、响应文件提交</w:t>
      </w:r>
    </w:p>
    <w:p w14:paraId="5222D921">
      <w:pPr>
        <w:pStyle w:val="23"/>
        <w:pageBreakBefore w:val="0"/>
        <w:widowControl w:val="0"/>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rPr>
          <w:rFonts w:hint="eastAsia" w:ascii="宋体" w:hAnsi="宋体" w:eastAsia="宋体" w:cs="宋体"/>
          <w:b/>
          <w:sz w:val="24"/>
          <w:szCs w:val="24"/>
          <w:highlight w:val="none"/>
        </w:rPr>
      </w:pPr>
      <w:bookmarkStart w:id="49" w:name="_Toc522085761"/>
      <w:bookmarkEnd w:id="49"/>
      <w:bookmarkStart w:id="50" w:name="_Toc521997966"/>
      <w:bookmarkEnd w:id="50"/>
      <w:r>
        <w:rPr>
          <w:rFonts w:hint="eastAsia" w:ascii="宋体" w:hAnsi="宋体" w:eastAsia="宋体" w:cs="宋体"/>
          <w:b/>
          <w:kern w:val="2"/>
          <w:sz w:val="24"/>
          <w:szCs w:val="24"/>
          <w:highlight w:val="none"/>
          <w:lang w:eastAsia="zh-CN"/>
        </w:rPr>
        <w:t>（一）</w:t>
      </w:r>
      <w:r>
        <w:rPr>
          <w:rFonts w:hint="eastAsia" w:ascii="宋体" w:hAnsi="宋体" w:eastAsia="宋体" w:cs="宋体"/>
          <w:b/>
          <w:kern w:val="2"/>
          <w:sz w:val="24"/>
          <w:szCs w:val="24"/>
          <w:highlight w:val="none"/>
        </w:rPr>
        <w:t>供应商应当按照竞争性磋商文件和电子招标投标交易平台的要求加密响应文件，具体要求见供应商须知前附表。</w:t>
      </w:r>
    </w:p>
    <w:p w14:paraId="2803609B">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rPr>
      </w:pPr>
      <w:bookmarkStart w:id="51" w:name="page28"/>
      <w:bookmarkEnd w:id="51"/>
      <w:bookmarkStart w:id="52" w:name="_Toc521997968"/>
      <w:bookmarkEnd w:id="52"/>
      <w:bookmarkStart w:id="53" w:name="_Toc522798823"/>
      <w:bookmarkEnd w:id="53"/>
      <w:bookmarkStart w:id="54" w:name="_Toc11886"/>
      <w:bookmarkStart w:id="55" w:name="_Toc522085763"/>
      <w:r>
        <w:rPr>
          <w:rFonts w:hint="eastAsia" w:ascii="宋体" w:hAnsi="宋体" w:eastAsia="宋体" w:cs="宋体"/>
          <w:b/>
          <w:kern w:val="2"/>
          <w:sz w:val="24"/>
          <w:szCs w:val="24"/>
          <w:highlight w:val="none"/>
          <w:lang w:eastAsia="zh-CN"/>
        </w:rPr>
        <w:t>（二）</w:t>
      </w:r>
      <w:r>
        <w:rPr>
          <w:rFonts w:hint="eastAsia" w:ascii="宋体" w:hAnsi="宋体" w:eastAsia="宋体" w:cs="宋体"/>
          <w:b/>
          <w:kern w:val="2"/>
          <w:sz w:val="24"/>
          <w:szCs w:val="24"/>
          <w:highlight w:val="none"/>
        </w:rPr>
        <w:t>响应文件的递交</w:t>
      </w:r>
      <w:bookmarkEnd w:id="54"/>
      <w:bookmarkEnd w:id="55"/>
    </w:p>
    <w:p w14:paraId="4125C54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bookmarkStart w:id="56" w:name="_Toc522798824"/>
      <w:bookmarkEnd w:id="56"/>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供应商应在供应商须知前附表规定的</w:t>
      </w:r>
      <w:r>
        <w:rPr>
          <w:rFonts w:hint="eastAsia" w:ascii="宋体" w:hAnsi="宋体" w:eastAsia="宋体" w:cs="宋体"/>
          <w:sz w:val="24"/>
          <w:szCs w:val="24"/>
          <w:highlight w:val="none"/>
          <w:lang w:eastAsia="zh-CN"/>
        </w:rPr>
        <w:t>响应文件递交</w:t>
      </w:r>
      <w:r>
        <w:rPr>
          <w:rFonts w:hint="eastAsia" w:ascii="宋体" w:hAnsi="宋体" w:eastAsia="宋体" w:cs="宋体"/>
          <w:sz w:val="24"/>
          <w:szCs w:val="24"/>
          <w:highlight w:val="none"/>
        </w:rPr>
        <w:t>截止时间前递交响应文件。</w:t>
      </w:r>
    </w:p>
    <w:p w14:paraId="39A423D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供应商通过下载竞争性磋商文件的电子招标投标交易平台递交电子响应文件。</w:t>
      </w:r>
    </w:p>
    <w:p w14:paraId="09C9D86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除供应商须知前附表另有规定外，供应商所递交的响应文件不予退还。</w:t>
      </w:r>
    </w:p>
    <w:p w14:paraId="2A91581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逾期送达的响应文件，电子招标投标交易平台将予以拒收。</w:t>
      </w:r>
    </w:p>
    <w:p w14:paraId="7FEDAA98">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b/>
          <w:kern w:val="2"/>
          <w:sz w:val="24"/>
          <w:szCs w:val="24"/>
          <w:highlight w:val="none"/>
          <w:lang w:eastAsia="zh-CN"/>
        </w:rPr>
      </w:pPr>
      <w:bookmarkStart w:id="57" w:name="_Toc522798825"/>
      <w:bookmarkEnd w:id="57"/>
      <w:bookmarkStart w:id="58" w:name="_Toc30026"/>
      <w:r>
        <w:rPr>
          <w:rFonts w:hint="eastAsia" w:ascii="宋体" w:hAnsi="宋体" w:eastAsia="宋体" w:cs="宋体"/>
          <w:b/>
          <w:kern w:val="2"/>
          <w:sz w:val="24"/>
          <w:szCs w:val="24"/>
          <w:highlight w:val="none"/>
          <w:lang w:eastAsia="zh-CN"/>
        </w:rPr>
        <w:t>（三）响应文件的修改与撤回</w:t>
      </w:r>
      <w:bookmarkEnd w:id="58"/>
    </w:p>
    <w:p w14:paraId="1001564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磋商文件规定的磋商</w:t>
      </w:r>
      <w:r>
        <w:rPr>
          <w:rFonts w:hint="eastAsia" w:ascii="宋体" w:hAnsi="宋体" w:eastAsia="宋体" w:cs="宋体"/>
          <w:sz w:val="24"/>
          <w:szCs w:val="24"/>
          <w:highlight w:val="none"/>
        </w:rPr>
        <w:t>时间前，供应商可以修改或撤回已递交的响应文件。</w:t>
      </w:r>
    </w:p>
    <w:p w14:paraId="572F0F6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修改的内容为响应文件的组成部分。</w:t>
      </w:r>
    </w:p>
    <w:p w14:paraId="06A9C10F">
      <w:pPr>
        <w:pStyle w:val="23"/>
        <w:keepNext/>
        <w:keepLines/>
        <w:pageBreakBefore w:val="0"/>
        <w:widowControl w:val="0"/>
        <w:kinsoku/>
        <w:wordWrap/>
        <w:overflowPunct/>
        <w:topLinePunct w:val="0"/>
        <w:autoSpaceDE/>
        <w:autoSpaceDN/>
        <w:bidi w:val="0"/>
        <w:adjustRightInd/>
        <w:snapToGrid/>
        <w:spacing w:beforeAutospacing="0" w:after="0" w:afterAutospacing="0" w:line="500" w:lineRule="exact"/>
        <w:ind w:firstLine="482" w:firstLineChars="200"/>
        <w:jc w:val="both"/>
        <w:textAlignment w:val="auto"/>
        <w:outlineLvl w:val="1"/>
        <w:rPr>
          <w:rFonts w:hint="eastAsia" w:ascii="宋体" w:hAnsi="宋体" w:eastAsia="宋体" w:cs="宋体"/>
          <w:b/>
          <w:kern w:val="2"/>
          <w:sz w:val="24"/>
          <w:szCs w:val="24"/>
          <w:highlight w:val="none"/>
        </w:rPr>
      </w:pPr>
      <w:bookmarkStart w:id="59" w:name="_Toc522085764"/>
      <w:bookmarkEnd w:id="59"/>
      <w:bookmarkStart w:id="60" w:name="_Toc13210_WPSOffice_Level2"/>
      <w:bookmarkEnd w:id="60"/>
      <w:bookmarkStart w:id="61" w:name="_Toc497301891"/>
      <w:bookmarkEnd w:id="61"/>
      <w:bookmarkStart w:id="62" w:name="_Toc521997969"/>
      <w:bookmarkEnd w:id="62"/>
      <w:bookmarkStart w:id="63" w:name="_Toc19390"/>
      <w:r>
        <w:rPr>
          <w:rFonts w:hint="eastAsia" w:ascii="宋体" w:hAnsi="宋体" w:eastAsia="宋体" w:cs="宋体"/>
          <w:b/>
          <w:kern w:val="2"/>
          <w:sz w:val="24"/>
          <w:szCs w:val="24"/>
          <w:highlight w:val="none"/>
          <w:lang w:eastAsia="zh-CN"/>
        </w:rPr>
        <w:t>五、</w:t>
      </w:r>
      <w:r>
        <w:rPr>
          <w:rFonts w:hint="eastAsia" w:ascii="宋体" w:hAnsi="宋体" w:eastAsia="宋体" w:cs="宋体"/>
          <w:b/>
          <w:kern w:val="2"/>
          <w:sz w:val="24"/>
          <w:szCs w:val="24"/>
          <w:highlight w:val="none"/>
        </w:rPr>
        <w:t>磋商</w:t>
      </w:r>
      <w:bookmarkEnd w:id="63"/>
    </w:p>
    <w:p w14:paraId="7C1F67D1">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rPr>
      </w:pPr>
      <w:bookmarkStart w:id="64" w:name="_Toc522085765"/>
      <w:bookmarkEnd w:id="64"/>
      <w:bookmarkStart w:id="65" w:name="_Toc521997970"/>
      <w:bookmarkEnd w:id="65"/>
      <w:bookmarkStart w:id="66" w:name="_Toc14395"/>
      <w:bookmarkStart w:id="67" w:name="_Toc522798827"/>
      <w:r>
        <w:rPr>
          <w:rFonts w:hint="eastAsia" w:ascii="宋体" w:hAnsi="宋体" w:eastAsia="宋体" w:cs="宋体"/>
          <w:b/>
          <w:kern w:val="2"/>
          <w:sz w:val="24"/>
          <w:szCs w:val="24"/>
          <w:highlight w:val="none"/>
          <w:lang w:eastAsia="zh-CN"/>
        </w:rPr>
        <w:t>（一）</w:t>
      </w:r>
      <w:r>
        <w:rPr>
          <w:rFonts w:hint="eastAsia" w:ascii="宋体" w:hAnsi="宋体" w:eastAsia="宋体" w:cs="宋体"/>
          <w:b/>
          <w:kern w:val="2"/>
          <w:sz w:val="24"/>
          <w:szCs w:val="24"/>
          <w:highlight w:val="none"/>
        </w:rPr>
        <w:t>磋商时间和地点</w:t>
      </w:r>
      <w:bookmarkEnd w:id="66"/>
      <w:bookmarkEnd w:id="67"/>
    </w:p>
    <w:p w14:paraId="5AC9A72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采购人在规定的磋商时间和供应商须知前附表规定的地点磋商，通过电子招标投标交易平台磋商。</w:t>
      </w:r>
      <w:bookmarkStart w:id="68" w:name="_Toc521997971"/>
      <w:bookmarkEnd w:id="68"/>
      <w:bookmarkStart w:id="69" w:name="_Toc522085766"/>
      <w:bookmarkEnd w:id="69"/>
      <w:bookmarkStart w:id="70" w:name="_Toc522798828"/>
      <w:r>
        <w:rPr>
          <w:rFonts w:hint="eastAsia" w:ascii="宋体" w:hAnsi="宋体" w:eastAsia="宋体" w:cs="宋体"/>
          <w:sz w:val="24"/>
          <w:szCs w:val="24"/>
          <w:highlight w:val="none"/>
        </w:rPr>
        <w:t>供应商不足3家的，不得磋商。</w:t>
      </w:r>
    </w:p>
    <w:p w14:paraId="213453CF">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（二）</w:t>
      </w:r>
      <w:r>
        <w:rPr>
          <w:rFonts w:hint="eastAsia" w:ascii="宋体" w:hAnsi="宋体" w:eastAsia="宋体" w:cs="宋体"/>
          <w:b/>
          <w:bCs/>
          <w:sz w:val="24"/>
          <w:szCs w:val="24"/>
          <w:highlight w:val="none"/>
        </w:rPr>
        <w:t>磋商程序</w:t>
      </w:r>
      <w:bookmarkEnd w:id="70"/>
    </w:p>
    <w:p w14:paraId="6A0BF12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bookmarkStart w:id="71" w:name="_Toc522798833"/>
      <w:bookmarkEnd w:id="71"/>
      <w:bookmarkStart w:id="72" w:name="_Toc32123"/>
      <w:bookmarkStart w:id="73" w:name="_Toc30969"/>
      <w:bookmarkStart w:id="74" w:name="_Toc21355"/>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本项目采用电子化、无纸化进行</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，磋商当日，供应商无需到磋商现场参加磋商会议，供应商应当在</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时间前，登陆不见面开标大厅选择登陆（网址为</w:t>
      </w:r>
      <w:r>
        <w:rPr>
          <w:rFonts w:hint="eastAsia" w:ascii="宋体" w:hAnsi="宋体" w:eastAsia="宋体" w:cs="宋体"/>
          <w:sz w:val="24"/>
          <w:szCs w:val="24"/>
          <w:highlight w:val="none"/>
          <w:lang w:val="en-US" w:eastAsia="zh-CN"/>
        </w:rPr>
        <w:t>http://120.194.249.36:10094/BidOpening/bidopeninghallaction/hall/login</w:t>
      </w:r>
      <w:r>
        <w:rPr>
          <w:rFonts w:hint="eastAsia" w:ascii="宋体" w:hAnsi="宋体" w:eastAsia="宋体" w:cs="宋体"/>
          <w:sz w:val="24"/>
          <w:szCs w:val="24"/>
          <w:highlight w:val="none"/>
        </w:rPr>
        <w:t>）,在线准时参加磋商活动并进行响应文件解密等。</w:t>
      </w:r>
    </w:p>
    <w:p w14:paraId="0D85AEF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电子化响应文件采用一次加密方式。磋商时，由供应商使用CA 证书，在规定时间内对其电子化响应文件进行解密。每位供应商的解密时间为磋商时间起30 分钟内，如在规定时间内未完成解密的，其响应文件不予磋商、唱标。</w:t>
      </w:r>
    </w:p>
    <w:p w14:paraId="23334F2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电子化响应文件解密异常的处理</w:t>
      </w:r>
    </w:p>
    <w:p w14:paraId="46C4A82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如出现供应商的电子响应文件无法解密等异常情况，供应商应及时致电采购代理机构说明。响应文件异常，按以下步骤进行处理：</w:t>
      </w:r>
    </w:p>
    <w:p w14:paraId="65B8571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（1）首先由技术人员进行问题排查。</w:t>
      </w:r>
    </w:p>
    <w:p w14:paraId="225B3C9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（2）经技术人员排查后，是供应商文件自身问题导致响应文件无法解密的，该响应文件将不予接收、解密和唱标。磋商会议继续进行。</w:t>
      </w:r>
    </w:p>
    <w:p w14:paraId="795B664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待所有供应商响应文件解密完成后，由采购代理机构操作，对所有已解密响应文件进行唱标。</w:t>
      </w:r>
    </w:p>
    <w:p w14:paraId="73C33314">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供应商应保证在磋商期间电话、电脑、网络能够正常工作，供应商因停电、电脑病毒、网络堵塞等原因，未在规定的解密时间内对响应文件进行解密的，其响应文件不予接收、唱标。</w:t>
      </w:r>
    </w:p>
    <w:bookmarkEnd w:id="72"/>
    <w:bookmarkEnd w:id="73"/>
    <w:bookmarkEnd w:id="74"/>
    <w:p w14:paraId="2A715021">
      <w:pPr>
        <w:pStyle w:val="23"/>
        <w:keepNext/>
        <w:keepLines/>
        <w:pageBreakBefore w:val="0"/>
        <w:widowControl w:val="0"/>
        <w:kinsoku/>
        <w:wordWrap/>
        <w:overflowPunct/>
        <w:topLinePunct w:val="0"/>
        <w:autoSpaceDE/>
        <w:autoSpaceDN/>
        <w:bidi w:val="0"/>
        <w:adjustRightInd/>
        <w:snapToGrid/>
        <w:spacing w:beforeAutospacing="0" w:after="0" w:afterAutospacing="0" w:line="500" w:lineRule="exact"/>
        <w:ind w:firstLine="482" w:firstLineChars="200"/>
        <w:jc w:val="both"/>
        <w:textAlignment w:val="auto"/>
        <w:outlineLvl w:val="1"/>
        <w:rPr>
          <w:rFonts w:hint="eastAsia" w:ascii="宋体" w:hAnsi="宋体" w:eastAsia="宋体" w:cs="宋体"/>
          <w:b/>
          <w:kern w:val="2"/>
          <w:sz w:val="24"/>
          <w:szCs w:val="24"/>
          <w:highlight w:val="none"/>
          <w:lang w:eastAsia="zh-CN"/>
        </w:rPr>
      </w:pPr>
      <w:bookmarkStart w:id="75" w:name="_Toc521997973"/>
      <w:bookmarkEnd w:id="75"/>
      <w:bookmarkStart w:id="76" w:name="_Toc522085768"/>
      <w:bookmarkEnd w:id="76"/>
      <w:bookmarkStart w:id="77" w:name="_Toc497301892"/>
      <w:bookmarkEnd w:id="77"/>
      <w:bookmarkStart w:id="78" w:name="_Toc11905_WPSOffice_Level2"/>
      <w:bookmarkEnd w:id="78"/>
      <w:r>
        <w:rPr>
          <w:rFonts w:hint="eastAsia" w:ascii="宋体" w:hAnsi="宋体" w:eastAsia="宋体" w:cs="宋体"/>
          <w:b/>
          <w:kern w:val="2"/>
          <w:sz w:val="24"/>
          <w:szCs w:val="24"/>
          <w:highlight w:val="none"/>
          <w:lang w:eastAsia="zh-CN"/>
        </w:rPr>
        <w:t>六、评审</w:t>
      </w:r>
    </w:p>
    <w:p w14:paraId="55BD21A8">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b/>
          <w:kern w:val="2"/>
          <w:sz w:val="24"/>
          <w:szCs w:val="24"/>
          <w:highlight w:val="none"/>
        </w:rPr>
      </w:pPr>
      <w:bookmarkStart w:id="79" w:name="_Toc522085769"/>
      <w:bookmarkEnd w:id="79"/>
      <w:bookmarkStart w:id="80" w:name="_Toc521997974"/>
      <w:bookmarkEnd w:id="80"/>
      <w:bookmarkStart w:id="81" w:name="_Toc522798835"/>
      <w:bookmarkStart w:id="82" w:name="_Toc10088"/>
      <w:r>
        <w:rPr>
          <w:rFonts w:hint="eastAsia" w:ascii="宋体" w:hAnsi="宋体" w:eastAsia="宋体" w:cs="宋体"/>
          <w:b/>
          <w:kern w:val="2"/>
          <w:sz w:val="24"/>
          <w:szCs w:val="24"/>
          <w:highlight w:val="none"/>
          <w:lang w:eastAsia="zh-CN"/>
        </w:rPr>
        <w:t>（一）</w:t>
      </w:r>
      <w:r>
        <w:rPr>
          <w:rFonts w:hint="eastAsia" w:ascii="宋体" w:hAnsi="宋体" w:eastAsia="宋体" w:cs="宋体"/>
          <w:b/>
          <w:kern w:val="2"/>
          <w:sz w:val="24"/>
          <w:szCs w:val="24"/>
          <w:highlight w:val="none"/>
        </w:rPr>
        <w:t>磋商小组</w:t>
      </w:r>
      <w:bookmarkEnd w:id="81"/>
      <w:bookmarkEnd w:id="82"/>
    </w:p>
    <w:p w14:paraId="0D61862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由采购人依法组建的磋商小组负责。磋商小组由采购人代表以及有关技术、经济等方面的专家组成。磋商小组成员人数以及技术、经济等方面专家的确定方式，见供应商须知前附表。</w:t>
      </w:r>
    </w:p>
    <w:p w14:paraId="595D7A5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磋商小组成员有下列情形之一的，应当回避：</w:t>
      </w:r>
    </w:p>
    <w:p w14:paraId="4979C80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1）供应商或供应商主要负责人的近亲属；</w:t>
      </w:r>
    </w:p>
    <w:p w14:paraId="3F30C55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2）项目主管部门或者行政监督部门的人员；</w:t>
      </w:r>
    </w:p>
    <w:p w14:paraId="15511A3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3）与供应商有经济利益关系，可能影响对公正评审的；</w:t>
      </w:r>
    </w:p>
    <w:p w14:paraId="46BF6EE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4）曾因在</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以及其他与</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有关活动中从事违法行为而受过行政处罚或刑事处罚的；</w:t>
      </w:r>
    </w:p>
    <w:p w14:paraId="11D93C9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5）与供应商有其他利害关系。</w:t>
      </w:r>
    </w:p>
    <w:p w14:paraId="5C899E5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过程中，磋商小组成员有回避事由、擅离职守或者因健康等原因不能继续</w:t>
      </w:r>
      <w:r>
        <w:rPr>
          <w:rFonts w:hint="eastAsia" w:ascii="宋体" w:hAnsi="宋体" w:cs="宋体"/>
          <w:sz w:val="24"/>
          <w:szCs w:val="24"/>
          <w:highlight w:val="none"/>
          <w:lang w:eastAsia="zh-CN"/>
        </w:rPr>
        <w:t>评审</w:t>
      </w:r>
      <w:r>
        <w:rPr>
          <w:rFonts w:hint="eastAsia" w:ascii="宋体" w:hAnsi="宋体" w:eastAsia="宋体" w:cs="宋体"/>
          <w:sz w:val="24"/>
          <w:szCs w:val="24"/>
          <w:highlight w:val="none"/>
        </w:rPr>
        <w:t>的，采购人有权更换。被更换的磋商小组成员作出的评审结论无效，由更换后的磋商小组成员重新进行评审。</w:t>
      </w:r>
    </w:p>
    <w:p w14:paraId="0E2B87B5">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b/>
          <w:kern w:val="2"/>
          <w:sz w:val="24"/>
          <w:szCs w:val="24"/>
          <w:highlight w:val="none"/>
        </w:rPr>
      </w:pPr>
      <w:bookmarkStart w:id="83" w:name="_Toc522085770"/>
      <w:bookmarkEnd w:id="83"/>
      <w:bookmarkStart w:id="84" w:name="_Toc521997975"/>
      <w:bookmarkEnd w:id="84"/>
      <w:bookmarkStart w:id="85" w:name="_Toc522798836"/>
      <w:bookmarkStart w:id="86" w:name="_Toc23172"/>
      <w:r>
        <w:rPr>
          <w:rFonts w:hint="eastAsia" w:ascii="宋体" w:hAnsi="宋体" w:eastAsia="宋体" w:cs="宋体"/>
          <w:b/>
          <w:kern w:val="2"/>
          <w:sz w:val="24"/>
          <w:szCs w:val="24"/>
          <w:highlight w:val="none"/>
          <w:lang w:eastAsia="zh-CN"/>
        </w:rPr>
        <w:t>（二）评审</w:t>
      </w:r>
      <w:r>
        <w:rPr>
          <w:rFonts w:hint="eastAsia" w:ascii="宋体" w:hAnsi="宋体" w:eastAsia="宋体" w:cs="宋体"/>
          <w:b/>
          <w:kern w:val="2"/>
          <w:sz w:val="24"/>
          <w:szCs w:val="24"/>
          <w:highlight w:val="none"/>
        </w:rPr>
        <w:t>原则</w:t>
      </w:r>
      <w:bookmarkEnd w:id="85"/>
      <w:bookmarkEnd w:id="86"/>
    </w:p>
    <w:p w14:paraId="2F8DF76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活动遵循公平、公正、科学和择优的原则。</w:t>
      </w:r>
    </w:p>
    <w:p w14:paraId="6C10B254">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lang w:eastAsia="zh-CN"/>
        </w:rPr>
      </w:pPr>
      <w:bookmarkStart w:id="87" w:name="_Toc522085771"/>
      <w:bookmarkEnd w:id="87"/>
      <w:bookmarkStart w:id="88" w:name="page30"/>
      <w:bookmarkEnd w:id="88"/>
      <w:bookmarkStart w:id="89" w:name="_Toc521997976"/>
      <w:bookmarkEnd w:id="89"/>
      <w:r>
        <w:rPr>
          <w:rFonts w:hint="eastAsia" w:ascii="宋体" w:hAnsi="宋体" w:eastAsia="宋体" w:cs="宋体"/>
          <w:b/>
          <w:kern w:val="2"/>
          <w:sz w:val="24"/>
          <w:szCs w:val="24"/>
          <w:highlight w:val="none"/>
          <w:lang w:eastAsia="zh-CN"/>
        </w:rPr>
        <w:t>（三）评审</w:t>
      </w:r>
    </w:p>
    <w:p w14:paraId="20A89EB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磋商小组按照第四章“</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办法（综合评分法）”规定的方法、评审因素、标准和程序对响应文件进行评审。第四章“</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办法（综合评分法）”没有规定的方法、评审因素和标准，不作为</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依据。</w:t>
      </w:r>
    </w:p>
    <w:p w14:paraId="376A924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完成后，磋商小组应当向采购人提交</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报告和成交候选人名单</w:t>
      </w:r>
      <w:r>
        <w:rPr>
          <w:rFonts w:hint="eastAsia" w:ascii="宋体" w:hAnsi="宋体" w:eastAsia="宋体" w:cs="宋体"/>
          <w:sz w:val="24"/>
          <w:szCs w:val="24"/>
          <w:highlight w:val="none"/>
          <w:lang w:eastAsia="zh-CN"/>
        </w:rPr>
        <w:t>并排序</w:t>
      </w:r>
      <w:r>
        <w:rPr>
          <w:rFonts w:hint="eastAsia" w:ascii="宋体" w:hAnsi="宋体" w:eastAsia="宋体" w:cs="宋体"/>
          <w:sz w:val="24"/>
          <w:szCs w:val="24"/>
          <w:highlight w:val="none"/>
        </w:rPr>
        <w:t>。磋商小组推荐成交候选人的</w:t>
      </w:r>
      <w:r>
        <w:rPr>
          <w:rFonts w:hint="eastAsia" w:ascii="宋体" w:hAnsi="宋体" w:eastAsia="宋体" w:cs="宋体"/>
          <w:sz w:val="24"/>
          <w:szCs w:val="24"/>
          <w:highlight w:val="none"/>
          <w:lang w:eastAsia="zh-CN"/>
        </w:rPr>
        <w:t>数量</w:t>
      </w:r>
      <w:r>
        <w:rPr>
          <w:rFonts w:hint="eastAsia" w:ascii="宋体" w:hAnsi="宋体" w:eastAsia="宋体" w:cs="宋体"/>
          <w:sz w:val="24"/>
          <w:szCs w:val="24"/>
          <w:highlight w:val="none"/>
        </w:rPr>
        <w:t>见供应商须知前附表。</w:t>
      </w:r>
      <w:bookmarkStart w:id="90" w:name="_Toc1080_WPSOffice_Level2"/>
      <w:bookmarkEnd w:id="90"/>
      <w:bookmarkStart w:id="91" w:name="_Toc497301893"/>
      <w:bookmarkEnd w:id="91"/>
      <w:bookmarkStart w:id="92" w:name="_Toc521997977"/>
      <w:bookmarkEnd w:id="92"/>
      <w:bookmarkStart w:id="93" w:name="_Toc522085772"/>
      <w:bookmarkEnd w:id="93"/>
      <w:bookmarkStart w:id="94" w:name="_Toc522798838"/>
    </w:p>
    <w:bookmarkEnd w:id="94"/>
    <w:p w14:paraId="6A936A6B">
      <w:pPr>
        <w:pStyle w:val="23"/>
        <w:keepNext/>
        <w:keepLines/>
        <w:pageBreakBefore w:val="0"/>
        <w:widowControl w:val="0"/>
        <w:kinsoku/>
        <w:wordWrap/>
        <w:overflowPunct/>
        <w:topLinePunct w:val="0"/>
        <w:autoSpaceDE/>
        <w:autoSpaceDN/>
        <w:bidi w:val="0"/>
        <w:adjustRightInd/>
        <w:snapToGrid/>
        <w:spacing w:beforeAutospacing="0" w:after="0" w:afterAutospacing="0" w:line="500" w:lineRule="exact"/>
        <w:ind w:firstLine="482" w:firstLineChars="200"/>
        <w:jc w:val="both"/>
        <w:textAlignment w:val="auto"/>
        <w:outlineLvl w:val="1"/>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eastAsia="zh-CN"/>
        </w:rPr>
        <w:t>七、</w:t>
      </w:r>
      <w:r>
        <w:rPr>
          <w:rFonts w:hint="eastAsia" w:ascii="宋体" w:hAnsi="宋体" w:eastAsia="宋体" w:cs="宋体"/>
          <w:b/>
          <w:kern w:val="2"/>
          <w:sz w:val="24"/>
          <w:szCs w:val="24"/>
          <w:highlight w:val="none"/>
        </w:rPr>
        <w:t>合同授予</w:t>
      </w:r>
      <w:bookmarkStart w:id="95" w:name="_Toc18920439"/>
      <w:bookmarkStart w:id="96" w:name="_Toc27126"/>
      <w:bookmarkStart w:id="97" w:name="_Toc22245"/>
      <w:bookmarkStart w:id="98" w:name="_Toc15637"/>
      <w:bookmarkStart w:id="99" w:name="_Toc3574"/>
      <w:bookmarkStart w:id="100" w:name="_Toc16230"/>
      <w:bookmarkStart w:id="101" w:name="_Toc22971"/>
      <w:bookmarkStart w:id="102" w:name="_Toc7898"/>
      <w:bookmarkStart w:id="103" w:name="_Toc6320"/>
      <w:bookmarkStart w:id="104" w:name="_Toc21756"/>
      <w:bookmarkStart w:id="105" w:name="_Toc13599"/>
      <w:bookmarkStart w:id="106" w:name="_Toc32241"/>
    </w:p>
    <w:p w14:paraId="4922B999">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b/>
          <w:kern w:val="2"/>
          <w:sz w:val="24"/>
          <w:szCs w:val="24"/>
          <w:highlight w:val="none"/>
          <w:lang w:eastAsia="zh-CN"/>
        </w:rPr>
      </w:pPr>
      <w:r>
        <w:rPr>
          <w:rFonts w:hint="eastAsia" w:ascii="宋体" w:hAnsi="宋体" w:eastAsia="宋体" w:cs="宋体"/>
          <w:b/>
          <w:kern w:val="2"/>
          <w:sz w:val="24"/>
          <w:szCs w:val="24"/>
          <w:highlight w:val="none"/>
          <w:lang w:eastAsia="zh-CN"/>
        </w:rPr>
        <w:t>（一）成交公告</w:t>
      </w:r>
      <w:bookmarkEnd w:id="95"/>
      <w:bookmarkEnd w:id="96"/>
      <w:bookmarkEnd w:id="97"/>
      <w:bookmarkEnd w:id="98"/>
      <w:bookmarkEnd w:id="99"/>
      <w:bookmarkEnd w:id="100"/>
      <w:bookmarkEnd w:id="101"/>
      <w:bookmarkEnd w:id="102"/>
      <w:bookmarkEnd w:id="103"/>
      <w:bookmarkEnd w:id="104"/>
      <w:bookmarkEnd w:id="105"/>
      <w:bookmarkEnd w:id="106"/>
      <w:bookmarkStart w:id="107" w:name="_Toc522085776"/>
      <w:bookmarkEnd w:id="107"/>
      <w:bookmarkStart w:id="108" w:name="_Toc521997981"/>
      <w:bookmarkEnd w:id="108"/>
      <w:bookmarkStart w:id="109" w:name="_Toc522798840"/>
    </w:p>
    <w:p w14:paraId="66CBDAE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采购代理机构应当在</w:t>
      </w:r>
      <w:r>
        <w:rPr>
          <w:rFonts w:hint="eastAsia" w:ascii="宋体" w:hAnsi="宋体" w:eastAsia="宋体" w:cs="宋体"/>
          <w:bCs/>
          <w:sz w:val="24"/>
          <w:szCs w:val="24"/>
          <w:highlight w:val="none"/>
          <w:lang w:eastAsia="zh-CN"/>
        </w:rPr>
        <w:t>评审</w:t>
      </w:r>
      <w:r>
        <w:rPr>
          <w:rFonts w:hint="eastAsia" w:ascii="宋体" w:hAnsi="宋体" w:eastAsia="宋体" w:cs="宋体"/>
          <w:bCs/>
          <w:sz w:val="24"/>
          <w:szCs w:val="24"/>
          <w:highlight w:val="none"/>
        </w:rPr>
        <w:t>结束后2个工作日内将</w:t>
      </w:r>
      <w:r>
        <w:rPr>
          <w:rFonts w:hint="eastAsia" w:ascii="宋体" w:hAnsi="宋体" w:eastAsia="宋体" w:cs="宋体"/>
          <w:bCs/>
          <w:sz w:val="24"/>
          <w:szCs w:val="24"/>
          <w:highlight w:val="none"/>
          <w:lang w:eastAsia="zh-CN"/>
        </w:rPr>
        <w:t>评审</w:t>
      </w:r>
      <w:r>
        <w:rPr>
          <w:rFonts w:hint="eastAsia" w:ascii="宋体" w:hAnsi="宋体" w:eastAsia="宋体" w:cs="宋体"/>
          <w:bCs/>
          <w:sz w:val="24"/>
          <w:szCs w:val="24"/>
          <w:highlight w:val="none"/>
        </w:rPr>
        <w:t>报告送采购人。采购人应自收到</w:t>
      </w:r>
      <w:r>
        <w:rPr>
          <w:rFonts w:hint="eastAsia" w:ascii="宋体" w:hAnsi="宋体" w:eastAsia="宋体" w:cs="宋体"/>
          <w:bCs/>
          <w:sz w:val="24"/>
          <w:szCs w:val="24"/>
          <w:highlight w:val="none"/>
          <w:lang w:eastAsia="zh-CN"/>
        </w:rPr>
        <w:t>评审</w:t>
      </w:r>
      <w:r>
        <w:rPr>
          <w:rFonts w:hint="eastAsia" w:ascii="宋体" w:hAnsi="宋体" w:eastAsia="宋体" w:cs="宋体"/>
          <w:bCs/>
          <w:sz w:val="24"/>
          <w:szCs w:val="24"/>
          <w:highlight w:val="none"/>
        </w:rPr>
        <w:t>报告之日起5个工作日内，在</w:t>
      </w:r>
      <w:r>
        <w:rPr>
          <w:rFonts w:hint="eastAsia" w:ascii="宋体" w:hAnsi="宋体" w:eastAsia="宋体" w:cs="宋体"/>
          <w:bCs/>
          <w:sz w:val="24"/>
          <w:szCs w:val="24"/>
          <w:highlight w:val="none"/>
          <w:lang w:eastAsia="zh-CN"/>
        </w:rPr>
        <w:t>评审</w:t>
      </w:r>
      <w:r>
        <w:rPr>
          <w:rFonts w:hint="eastAsia" w:ascii="宋体" w:hAnsi="宋体" w:eastAsia="宋体" w:cs="宋体"/>
          <w:bCs/>
          <w:sz w:val="24"/>
          <w:szCs w:val="24"/>
          <w:highlight w:val="none"/>
        </w:rPr>
        <w:t>报告确定的成交候选人名单中按顺序确定成交人。</w:t>
      </w:r>
    </w:p>
    <w:p w14:paraId="395DC54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采购代理机构应当自成交人确定之日起2个工作日内，</w:t>
      </w:r>
      <w:r>
        <w:rPr>
          <w:rFonts w:hint="eastAsia" w:ascii="宋体" w:hAnsi="宋体" w:cs="宋体"/>
          <w:bCs/>
          <w:sz w:val="24"/>
          <w:szCs w:val="24"/>
          <w:highlight w:val="none"/>
          <w:lang w:eastAsia="zh-CN"/>
        </w:rPr>
        <w:t>向成交供应商发出成交通知书，同时</w:t>
      </w:r>
      <w:r>
        <w:rPr>
          <w:rFonts w:hint="eastAsia" w:ascii="宋体" w:hAnsi="宋体" w:eastAsia="宋体" w:cs="宋体"/>
          <w:bCs/>
          <w:sz w:val="24"/>
          <w:szCs w:val="24"/>
          <w:highlight w:val="none"/>
        </w:rPr>
        <w:t>在省级以上财政部门指定的媒体上公告成交结果，公告期限为1个工作日。</w:t>
      </w:r>
    </w:p>
    <w:p w14:paraId="7F71D292">
      <w:pPr>
        <w:pageBreakBefore w:val="0"/>
        <w:kinsoku/>
        <w:wordWrap/>
        <w:overflowPunct/>
        <w:topLinePunct w:val="0"/>
        <w:autoSpaceDE/>
        <w:autoSpaceDN/>
        <w:bidi w:val="0"/>
        <w:adjustRightInd/>
        <w:snapToGrid/>
        <w:spacing w:line="500" w:lineRule="exact"/>
        <w:ind w:firstLine="480" w:firstLineChars="200"/>
        <w:textAlignment w:val="auto"/>
        <w:rPr>
          <w:rFonts w:hint="eastAsia"/>
          <w:highlight w:val="none"/>
        </w:rPr>
      </w:pPr>
      <w:r>
        <w:rPr>
          <w:rFonts w:hint="eastAsia" w:ascii="宋体" w:hAnsi="宋体" w:eastAsia="宋体" w:cs="宋体"/>
          <w:bCs/>
          <w:sz w:val="24"/>
          <w:szCs w:val="22"/>
          <w:highlight w:val="none"/>
        </w:rPr>
        <w:t>成交结果将在《中国采购与招标网》、《</w:t>
      </w:r>
      <w:r>
        <w:rPr>
          <w:rFonts w:hint="eastAsia" w:ascii="宋体" w:hAnsi="宋体" w:cs="宋体"/>
          <w:bCs/>
          <w:sz w:val="24"/>
          <w:szCs w:val="22"/>
          <w:highlight w:val="none"/>
          <w:lang w:eastAsia="zh-CN"/>
        </w:rPr>
        <w:t>中国招标投标公共服务平台</w:t>
      </w:r>
      <w:r>
        <w:rPr>
          <w:rFonts w:hint="eastAsia" w:ascii="宋体" w:hAnsi="宋体" w:eastAsia="宋体" w:cs="宋体"/>
          <w:bCs/>
          <w:sz w:val="24"/>
          <w:szCs w:val="22"/>
          <w:highlight w:val="none"/>
        </w:rPr>
        <w:t>》、《河南省政府采购网》、《三门峡市公共资源交易中心</w:t>
      </w:r>
      <w:r>
        <w:rPr>
          <w:rFonts w:hint="eastAsia" w:ascii="宋体" w:hAnsi="宋体" w:eastAsia="宋体" w:cs="宋体"/>
          <w:bCs/>
          <w:sz w:val="24"/>
          <w:szCs w:val="22"/>
          <w:highlight w:val="none"/>
          <w:lang w:eastAsia="zh-CN"/>
        </w:rPr>
        <w:t>网</w:t>
      </w:r>
      <w:r>
        <w:rPr>
          <w:rFonts w:hint="eastAsia" w:ascii="宋体" w:hAnsi="宋体" w:eastAsia="宋体" w:cs="宋体"/>
          <w:bCs/>
          <w:sz w:val="24"/>
          <w:szCs w:val="22"/>
          <w:highlight w:val="none"/>
        </w:rPr>
        <w:t>》网站上公布，确定成交</w:t>
      </w:r>
      <w:r>
        <w:rPr>
          <w:rFonts w:hint="eastAsia" w:ascii="宋体" w:hAnsi="宋体" w:eastAsia="宋体" w:cs="宋体"/>
          <w:bCs/>
          <w:sz w:val="24"/>
          <w:szCs w:val="22"/>
          <w:highlight w:val="none"/>
          <w:lang w:eastAsia="zh-CN"/>
        </w:rPr>
        <w:t>供应商</w:t>
      </w:r>
      <w:r>
        <w:rPr>
          <w:rFonts w:hint="eastAsia" w:ascii="宋体" w:hAnsi="宋体" w:eastAsia="宋体" w:cs="宋体"/>
          <w:bCs/>
          <w:sz w:val="24"/>
          <w:szCs w:val="22"/>
          <w:highlight w:val="none"/>
        </w:rPr>
        <w:t>并发布成交公告，不再以书面方式通知未成交</w:t>
      </w:r>
      <w:r>
        <w:rPr>
          <w:rFonts w:hint="eastAsia" w:ascii="宋体" w:hAnsi="宋体" w:eastAsia="宋体" w:cs="宋体"/>
          <w:bCs/>
          <w:sz w:val="24"/>
          <w:szCs w:val="22"/>
          <w:highlight w:val="none"/>
          <w:lang w:eastAsia="zh-CN"/>
        </w:rPr>
        <w:t>供应商。</w:t>
      </w:r>
    </w:p>
    <w:p w14:paraId="1ED6C44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成交通知书发出后，采购人不得违法改变成交结果，成交人无正当理由不得放弃成交。</w:t>
      </w:r>
    </w:p>
    <w:p w14:paraId="5B06F4B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成交人为残疾人福利性单位的，采购代理机构将随成交结果同时公告其《残疾人福利性单位声明函》，接受社会监督。</w:t>
      </w:r>
      <w:bookmarkStart w:id="110" w:name="_Toc30581"/>
    </w:p>
    <w:p w14:paraId="71FC09B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有关当事人对成交结果有异议的，可以在成交结果公告期限届满之日起七个工作日内，按《政府采购质疑和投诉办法》（中华人民共和国财政部令第94号）要求以书面形式同时向采购人和采购代理机构提出质疑，逾期提交或未按照要求提交的质疑函将不予受理。</w:t>
      </w:r>
      <w:bookmarkEnd w:id="110"/>
    </w:p>
    <w:bookmarkEnd w:id="109"/>
    <w:p w14:paraId="4894BCD8">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b/>
          <w:kern w:val="2"/>
          <w:sz w:val="24"/>
          <w:szCs w:val="24"/>
          <w:highlight w:val="none"/>
        </w:rPr>
      </w:pPr>
      <w:bookmarkStart w:id="111" w:name="_Toc13956"/>
      <w:r>
        <w:rPr>
          <w:rFonts w:hint="eastAsia" w:ascii="宋体" w:hAnsi="宋体" w:eastAsia="宋体" w:cs="宋体"/>
          <w:b/>
          <w:kern w:val="2"/>
          <w:sz w:val="24"/>
          <w:szCs w:val="24"/>
          <w:highlight w:val="none"/>
          <w:lang w:eastAsia="zh-CN"/>
        </w:rPr>
        <w:t>（二）</w:t>
      </w:r>
      <w:r>
        <w:rPr>
          <w:rFonts w:hint="eastAsia" w:ascii="宋体" w:hAnsi="宋体" w:eastAsia="宋体" w:cs="宋体"/>
          <w:b/>
          <w:kern w:val="2"/>
          <w:sz w:val="24"/>
          <w:szCs w:val="24"/>
          <w:highlight w:val="none"/>
        </w:rPr>
        <w:t>采购任务取消</w:t>
      </w:r>
      <w:bookmarkEnd w:id="111"/>
    </w:p>
    <w:p w14:paraId="40353A5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因重大变故采购任务取消时，采购人有权拒绝任何供应商成交，且对受影响的供应商不承担任何责任。</w:t>
      </w:r>
    </w:p>
    <w:p w14:paraId="1D4EA51F">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rPr>
      </w:pPr>
      <w:bookmarkStart w:id="112" w:name="_Toc522085778"/>
      <w:bookmarkEnd w:id="112"/>
      <w:bookmarkStart w:id="113" w:name="_Toc521997983"/>
      <w:bookmarkEnd w:id="113"/>
      <w:bookmarkStart w:id="114" w:name="_Toc12710"/>
      <w:r>
        <w:rPr>
          <w:rFonts w:hint="eastAsia" w:ascii="宋体" w:hAnsi="宋体" w:eastAsia="宋体" w:cs="宋体"/>
          <w:b/>
          <w:kern w:val="2"/>
          <w:sz w:val="24"/>
          <w:szCs w:val="24"/>
          <w:highlight w:val="none"/>
          <w:lang w:eastAsia="zh-CN"/>
        </w:rPr>
        <w:t>（</w:t>
      </w:r>
      <w:r>
        <w:rPr>
          <w:rFonts w:hint="eastAsia" w:cs="宋体"/>
          <w:b/>
          <w:kern w:val="2"/>
          <w:sz w:val="24"/>
          <w:szCs w:val="24"/>
          <w:highlight w:val="none"/>
          <w:lang w:eastAsia="zh-CN"/>
        </w:rPr>
        <w:t>三</w:t>
      </w:r>
      <w:r>
        <w:rPr>
          <w:rFonts w:hint="eastAsia" w:ascii="宋体" w:hAnsi="宋体" w:eastAsia="宋体" w:cs="宋体"/>
          <w:b/>
          <w:kern w:val="2"/>
          <w:sz w:val="24"/>
          <w:szCs w:val="24"/>
          <w:highlight w:val="none"/>
          <w:lang w:eastAsia="zh-CN"/>
        </w:rPr>
        <w:t>）</w:t>
      </w:r>
      <w:r>
        <w:rPr>
          <w:rFonts w:hint="eastAsia" w:ascii="宋体" w:hAnsi="宋体" w:eastAsia="宋体" w:cs="宋体"/>
          <w:b/>
          <w:kern w:val="2"/>
          <w:sz w:val="24"/>
          <w:szCs w:val="24"/>
          <w:highlight w:val="none"/>
        </w:rPr>
        <w:t>签订合同</w:t>
      </w:r>
      <w:bookmarkEnd w:id="114"/>
    </w:p>
    <w:p w14:paraId="45651F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《成交通知书》发出后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人与成交人签订合同。竞争性磋商文件、成交人的报价文件以及磋商过程中的最终报价、有关澄清、承诺文件均为合同的组成部分。</w:t>
      </w:r>
    </w:p>
    <w:p w14:paraId="4EC2CD7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不按约定签订或履行合同，给对方造成损失的，应承担赔偿责任。</w:t>
      </w:r>
    </w:p>
    <w:p w14:paraId="4687DEAE">
      <w:pPr>
        <w:pStyle w:val="23"/>
        <w:keepNext/>
        <w:keepLines/>
        <w:pageBreakBefore w:val="0"/>
        <w:widowControl w:val="0"/>
        <w:kinsoku/>
        <w:wordWrap/>
        <w:overflowPunct/>
        <w:topLinePunct w:val="0"/>
        <w:autoSpaceDE/>
        <w:autoSpaceDN/>
        <w:bidi w:val="0"/>
        <w:adjustRightInd/>
        <w:snapToGrid/>
        <w:spacing w:beforeAutospacing="0" w:after="0" w:afterAutospacing="0" w:line="500" w:lineRule="exact"/>
        <w:ind w:firstLine="482" w:firstLineChars="200"/>
        <w:jc w:val="both"/>
        <w:textAlignment w:val="auto"/>
        <w:outlineLvl w:val="1"/>
        <w:rPr>
          <w:rFonts w:hint="eastAsia" w:ascii="宋体" w:hAnsi="宋体" w:eastAsia="宋体" w:cs="宋体"/>
          <w:b/>
          <w:sz w:val="24"/>
          <w:szCs w:val="24"/>
          <w:highlight w:val="none"/>
        </w:rPr>
      </w:pPr>
      <w:bookmarkStart w:id="115" w:name="_Toc26500_WPSOffice_Level2"/>
      <w:bookmarkEnd w:id="115"/>
      <w:bookmarkStart w:id="116" w:name="_Toc497301894"/>
      <w:bookmarkEnd w:id="116"/>
      <w:bookmarkStart w:id="117" w:name="_Toc521997984"/>
      <w:bookmarkEnd w:id="117"/>
      <w:bookmarkStart w:id="118" w:name="_Toc522798842"/>
      <w:bookmarkEnd w:id="118"/>
      <w:bookmarkStart w:id="119" w:name="_Toc3644"/>
      <w:r>
        <w:rPr>
          <w:rFonts w:hint="eastAsia" w:ascii="宋体" w:hAnsi="宋体" w:eastAsia="宋体" w:cs="宋体"/>
          <w:b/>
          <w:sz w:val="24"/>
          <w:szCs w:val="24"/>
          <w:highlight w:val="none"/>
          <w:lang w:eastAsia="zh-CN"/>
        </w:rPr>
        <w:t>八、</w:t>
      </w:r>
      <w:r>
        <w:rPr>
          <w:rFonts w:hint="eastAsia" w:ascii="宋体" w:hAnsi="宋体" w:eastAsia="宋体" w:cs="宋体"/>
          <w:b/>
          <w:sz w:val="24"/>
          <w:szCs w:val="24"/>
          <w:highlight w:val="none"/>
        </w:rPr>
        <w:t>纪律和监督</w:t>
      </w:r>
      <w:bookmarkEnd w:id="119"/>
    </w:p>
    <w:p w14:paraId="0530DA07">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rPr>
      </w:pPr>
      <w:bookmarkStart w:id="120" w:name="_Toc522085780"/>
      <w:bookmarkEnd w:id="120"/>
      <w:bookmarkStart w:id="121" w:name="_Toc521997985"/>
      <w:bookmarkEnd w:id="121"/>
      <w:bookmarkStart w:id="122" w:name="_Toc27060"/>
      <w:bookmarkStart w:id="123" w:name="_Toc522798843"/>
      <w:r>
        <w:rPr>
          <w:rFonts w:hint="eastAsia" w:ascii="宋体" w:hAnsi="宋体" w:eastAsia="宋体" w:cs="宋体"/>
          <w:b/>
          <w:kern w:val="2"/>
          <w:sz w:val="24"/>
          <w:szCs w:val="24"/>
          <w:highlight w:val="none"/>
          <w:lang w:eastAsia="zh-CN"/>
        </w:rPr>
        <w:t>（一）</w:t>
      </w:r>
      <w:r>
        <w:rPr>
          <w:rFonts w:hint="eastAsia" w:ascii="宋体" w:hAnsi="宋体" w:eastAsia="宋体" w:cs="宋体"/>
          <w:b/>
          <w:kern w:val="2"/>
          <w:sz w:val="24"/>
          <w:szCs w:val="24"/>
          <w:highlight w:val="none"/>
        </w:rPr>
        <w:t xml:space="preserve"> 对采购人的纪律要求</w:t>
      </w:r>
      <w:bookmarkEnd w:id="122"/>
      <w:bookmarkEnd w:id="123"/>
    </w:p>
    <w:p w14:paraId="3B0A415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采购人不得泄露</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活动中应当保密的情况和资料，不得与供应商串通损害国家利益、社会公共利益或者他人合法权益。</w:t>
      </w:r>
    </w:p>
    <w:p w14:paraId="0D54D516">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rPr>
      </w:pPr>
      <w:bookmarkStart w:id="124" w:name="_Toc521997986"/>
      <w:bookmarkEnd w:id="124"/>
      <w:bookmarkStart w:id="125" w:name="_Toc522085781"/>
      <w:bookmarkEnd w:id="125"/>
      <w:bookmarkStart w:id="126" w:name="_Toc522798844"/>
      <w:bookmarkStart w:id="127" w:name="_Toc12819"/>
      <w:r>
        <w:rPr>
          <w:rFonts w:hint="eastAsia" w:ascii="宋体" w:hAnsi="宋体" w:eastAsia="宋体" w:cs="宋体"/>
          <w:b/>
          <w:kern w:val="2"/>
          <w:sz w:val="24"/>
          <w:szCs w:val="24"/>
          <w:highlight w:val="none"/>
          <w:lang w:eastAsia="zh-CN"/>
        </w:rPr>
        <w:t>（二）</w:t>
      </w:r>
      <w:r>
        <w:rPr>
          <w:rFonts w:hint="eastAsia" w:ascii="宋体" w:hAnsi="宋体" w:eastAsia="宋体" w:cs="宋体"/>
          <w:b/>
          <w:kern w:val="2"/>
          <w:sz w:val="24"/>
          <w:szCs w:val="24"/>
          <w:highlight w:val="none"/>
        </w:rPr>
        <w:t>对供应商的纪律要求</w:t>
      </w:r>
      <w:bookmarkEnd w:id="126"/>
      <w:bookmarkEnd w:id="127"/>
    </w:p>
    <w:p w14:paraId="367C405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供应商不得相互串通或者与采购人串通，不得向采购人或者磋商小组成员行贿谋取成交，不得以他人名义</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或者以其他方式弄虚作假骗取成交；供应商不得以任何方式干扰、影响</w:t>
      </w:r>
      <w:r>
        <w:rPr>
          <w:rFonts w:hint="eastAsia" w:ascii="宋体" w:hAnsi="宋体" w:cs="宋体"/>
          <w:sz w:val="24"/>
          <w:szCs w:val="24"/>
          <w:highlight w:val="none"/>
          <w:lang w:eastAsia="zh-CN"/>
        </w:rPr>
        <w:t>评标</w:t>
      </w:r>
      <w:r>
        <w:rPr>
          <w:rFonts w:hint="eastAsia" w:ascii="宋体" w:hAnsi="宋体" w:eastAsia="宋体" w:cs="宋体"/>
          <w:sz w:val="24"/>
          <w:szCs w:val="24"/>
          <w:highlight w:val="none"/>
        </w:rPr>
        <w:t>工作。</w:t>
      </w:r>
    </w:p>
    <w:p w14:paraId="7DB9F9FD">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rPr>
      </w:pPr>
      <w:bookmarkStart w:id="128" w:name="_Toc521997987"/>
      <w:bookmarkEnd w:id="128"/>
      <w:bookmarkStart w:id="129" w:name="_Toc522085782"/>
      <w:bookmarkEnd w:id="129"/>
      <w:bookmarkStart w:id="130" w:name="_Toc32084"/>
      <w:bookmarkStart w:id="131" w:name="_Toc522798845"/>
      <w:r>
        <w:rPr>
          <w:rFonts w:hint="eastAsia" w:ascii="宋体" w:hAnsi="宋体" w:eastAsia="宋体" w:cs="宋体"/>
          <w:b/>
          <w:kern w:val="2"/>
          <w:sz w:val="24"/>
          <w:szCs w:val="24"/>
          <w:highlight w:val="none"/>
          <w:lang w:eastAsia="zh-CN"/>
        </w:rPr>
        <w:t>（三）</w:t>
      </w:r>
      <w:r>
        <w:rPr>
          <w:rFonts w:hint="eastAsia" w:ascii="宋体" w:hAnsi="宋体" w:eastAsia="宋体" w:cs="宋体"/>
          <w:b/>
          <w:kern w:val="2"/>
          <w:sz w:val="24"/>
          <w:szCs w:val="24"/>
          <w:highlight w:val="none"/>
        </w:rPr>
        <w:t>对磋商小组成员的纪律要求</w:t>
      </w:r>
      <w:bookmarkEnd w:id="130"/>
      <w:bookmarkEnd w:id="131"/>
    </w:p>
    <w:p w14:paraId="7EC563C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磋商小组成员不得收受他人的财物或者其他好处，不得向他人透露对响应文件的评审和比较、成交候选人的推荐情况以及</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有关的其他情况。在</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活动中，磋商小组成员应当客观、公正地履行职责，遵守职业道德，不得擅离职守，影响</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程序正常进行，不得使用第</w:t>
      </w:r>
      <w:bookmarkStart w:id="132" w:name="page32"/>
      <w:bookmarkEnd w:id="132"/>
      <w:r>
        <w:rPr>
          <w:rFonts w:hint="eastAsia" w:ascii="宋体" w:hAnsi="宋体" w:eastAsia="宋体" w:cs="宋体"/>
          <w:sz w:val="24"/>
          <w:szCs w:val="24"/>
          <w:highlight w:val="none"/>
        </w:rPr>
        <w:t>四章“</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办法（综合评分法）”没有规定的评审因素和标准进行</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w:t>
      </w:r>
    </w:p>
    <w:p w14:paraId="400E56E5">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rPr>
      </w:pPr>
      <w:bookmarkStart w:id="133" w:name="_Toc521997988"/>
      <w:bookmarkEnd w:id="133"/>
      <w:bookmarkStart w:id="134" w:name="_Toc522085783"/>
      <w:bookmarkEnd w:id="134"/>
      <w:bookmarkStart w:id="135" w:name="_Toc20579"/>
      <w:bookmarkStart w:id="136" w:name="_Toc522798846"/>
      <w:r>
        <w:rPr>
          <w:rFonts w:hint="eastAsia" w:ascii="宋体" w:hAnsi="宋体" w:eastAsia="宋体" w:cs="宋体"/>
          <w:b/>
          <w:kern w:val="2"/>
          <w:sz w:val="24"/>
          <w:szCs w:val="24"/>
          <w:highlight w:val="none"/>
          <w:lang w:eastAsia="zh-CN"/>
        </w:rPr>
        <w:t>（四）</w:t>
      </w:r>
      <w:r>
        <w:rPr>
          <w:rFonts w:hint="eastAsia" w:ascii="宋体" w:hAnsi="宋体" w:eastAsia="宋体" w:cs="宋体"/>
          <w:b/>
          <w:kern w:val="2"/>
          <w:sz w:val="24"/>
          <w:szCs w:val="24"/>
          <w:highlight w:val="none"/>
        </w:rPr>
        <w:t>对与</w:t>
      </w:r>
      <w:r>
        <w:rPr>
          <w:rFonts w:hint="eastAsia" w:ascii="宋体" w:hAnsi="宋体" w:eastAsia="宋体" w:cs="宋体"/>
          <w:b/>
          <w:kern w:val="2"/>
          <w:sz w:val="24"/>
          <w:szCs w:val="24"/>
          <w:highlight w:val="none"/>
          <w:lang w:eastAsia="zh-CN"/>
        </w:rPr>
        <w:t>评审</w:t>
      </w:r>
      <w:r>
        <w:rPr>
          <w:rFonts w:hint="eastAsia" w:ascii="宋体" w:hAnsi="宋体" w:eastAsia="宋体" w:cs="宋体"/>
          <w:b/>
          <w:kern w:val="2"/>
          <w:sz w:val="24"/>
          <w:szCs w:val="24"/>
          <w:highlight w:val="none"/>
        </w:rPr>
        <w:t>活动有关的工作人员的纪律要求</w:t>
      </w:r>
      <w:bookmarkEnd w:id="135"/>
      <w:bookmarkEnd w:id="136"/>
    </w:p>
    <w:p w14:paraId="420542E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与</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活动有关的工作人员不得收受他人的财物或者其他好处，不得向他人透露对响应文件的评审和比较、成交候选人的推荐情况以及</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有关的其他情况。在</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活动中，与</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活动有关的工作人员不得擅离职守，影响</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程序正常进行。</w:t>
      </w:r>
    </w:p>
    <w:p w14:paraId="4B26100C">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rPr>
      </w:pPr>
      <w:bookmarkStart w:id="137" w:name="_Toc521997989"/>
      <w:bookmarkEnd w:id="137"/>
      <w:bookmarkStart w:id="138" w:name="_Toc522085784"/>
      <w:bookmarkEnd w:id="138"/>
      <w:bookmarkStart w:id="139" w:name="_Toc522798847"/>
      <w:bookmarkStart w:id="140" w:name="_Toc4851"/>
      <w:r>
        <w:rPr>
          <w:rFonts w:hint="eastAsia" w:ascii="宋体" w:hAnsi="宋体" w:eastAsia="宋体" w:cs="宋体"/>
          <w:b/>
          <w:kern w:val="2"/>
          <w:sz w:val="24"/>
          <w:szCs w:val="24"/>
          <w:highlight w:val="none"/>
          <w:lang w:eastAsia="zh-CN"/>
        </w:rPr>
        <w:t>（五）</w:t>
      </w:r>
      <w:r>
        <w:rPr>
          <w:rFonts w:hint="eastAsia" w:ascii="宋体" w:hAnsi="宋体" w:eastAsia="宋体" w:cs="宋体"/>
          <w:b/>
          <w:kern w:val="2"/>
          <w:sz w:val="24"/>
          <w:szCs w:val="24"/>
          <w:highlight w:val="none"/>
        </w:rPr>
        <w:t>投诉</w:t>
      </w:r>
      <w:bookmarkEnd w:id="139"/>
      <w:bookmarkEnd w:id="140"/>
    </w:p>
    <w:p w14:paraId="6307ED6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供应商或者其他利害关系人认为</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活动不符合法律、行政法规规定的，可以自知道或者应当知道之日起7日内向有关行政监督部门投诉。投诉应当有明确的请求和必要的证明材料；</w:t>
      </w:r>
    </w:p>
    <w:p w14:paraId="3A757C9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供应商或者其他利害关系人对竞争性磋商文件、磋商和评标结果提出投诉的，应当按照供应商须知</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规定先向采购人提出异议。</w:t>
      </w:r>
    </w:p>
    <w:p w14:paraId="4D61724A">
      <w:pPr>
        <w:pStyle w:val="23"/>
        <w:keepNext/>
        <w:keepLines/>
        <w:pageBreakBefore w:val="0"/>
        <w:widowControl w:val="0"/>
        <w:kinsoku/>
        <w:wordWrap/>
        <w:overflowPunct/>
        <w:topLinePunct w:val="0"/>
        <w:autoSpaceDE/>
        <w:autoSpaceDN/>
        <w:bidi w:val="0"/>
        <w:adjustRightInd/>
        <w:snapToGrid/>
        <w:spacing w:beforeAutospacing="0" w:after="0" w:afterAutospacing="0" w:line="500" w:lineRule="exact"/>
        <w:ind w:firstLine="482" w:firstLineChars="200"/>
        <w:jc w:val="both"/>
        <w:textAlignment w:val="auto"/>
        <w:outlineLvl w:val="1"/>
        <w:rPr>
          <w:rFonts w:hint="eastAsia" w:ascii="宋体" w:hAnsi="宋体" w:eastAsia="宋体" w:cs="宋体"/>
          <w:b/>
          <w:kern w:val="2"/>
          <w:sz w:val="24"/>
          <w:szCs w:val="24"/>
          <w:highlight w:val="none"/>
        </w:rPr>
      </w:pPr>
      <w:bookmarkStart w:id="141" w:name="_Toc497301896"/>
      <w:bookmarkEnd w:id="141"/>
      <w:bookmarkStart w:id="142" w:name="_Toc521997990"/>
      <w:bookmarkEnd w:id="142"/>
      <w:bookmarkStart w:id="143" w:name="_Toc522798849"/>
      <w:bookmarkEnd w:id="143"/>
      <w:bookmarkStart w:id="144" w:name="_Toc10555_WPSOffice_Level2"/>
      <w:bookmarkEnd w:id="144"/>
      <w:bookmarkStart w:id="145" w:name="_Toc522085786"/>
      <w:bookmarkEnd w:id="145"/>
      <w:bookmarkStart w:id="146" w:name="_Toc521997991"/>
      <w:bookmarkEnd w:id="146"/>
      <w:bookmarkStart w:id="147" w:name="_Toc522798848"/>
      <w:bookmarkEnd w:id="147"/>
      <w:bookmarkStart w:id="148" w:name="_Toc522085785"/>
      <w:bookmarkEnd w:id="148"/>
      <w:bookmarkStart w:id="149" w:name="_Toc18810"/>
      <w:r>
        <w:rPr>
          <w:rFonts w:hint="eastAsia" w:ascii="宋体" w:hAnsi="宋体" w:eastAsia="宋体" w:cs="宋体"/>
          <w:b/>
          <w:kern w:val="2"/>
          <w:sz w:val="24"/>
          <w:szCs w:val="24"/>
          <w:highlight w:val="none"/>
          <w:lang w:eastAsia="zh-CN"/>
        </w:rPr>
        <w:t>九、</w:t>
      </w:r>
      <w:r>
        <w:rPr>
          <w:rFonts w:hint="eastAsia" w:ascii="宋体" w:hAnsi="宋体" w:eastAsia="宋体" w:cs="宋体"/>
          <w:b/>
          <w:kern w:val="2"/>
          <w:sz w:val="24"/>
          <w:szCs w:val="24"/>
          <w:highlight w:val="none"/>
        </w:rPr>
        <w:t>需要补充的其他内容</w:t>
      </w:r>
      <w:bookmarkEnd w:id="149"/>
    </w:p>
    <w:p w14:paraId="0F7C38C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需要补充的其他内容：见供应商须知前附表。未尽事宜按国家有关规定执行。本竞争性磋商文件最终解释权归采购人。</w:t>
      </w:r>
    </w:p>
    <w:bookmarkEnd w:id="48"/>
    <w:p w14:paraId="11465AE7">
      <w:pPr>
        <w:pageBreakBefore w:val="0"/>
        <w:kinsoku/>
        <w:overflowPunct/>
        <w:bidi w:val="0"/>
        <w:spacing w:line="500" w:lineRule="exact"/>
        <w:rPr>
          <w:rFonts w:hint="eastAsia"/>
          <w:highlight w:val="none"/>
        </w:rPr>
      </w:pPr>
    </w:p>
    <w:p w14:paraId="5C6B0BDF">
      <w:pPr>
        <w:pageBreakBefore w:val="0"/>
        <w:kinsoku/>
        <w:overflowPunct/>
        <w:bidi w:val="0"/>
        <w:spacing w:line="500" w:lineRule="exact"/>
        <w:rPr>
          <w:rFonts w:hint="eastAsia"/>
          <w:highlight w:val="none"/>
        </w:rPr>
      </w:pPr>
    </w:p>
    <w:p w14:paraId="4296B814">
      <w:pPr>
        <w:pageBreakBefore w:val="0"/>
        <w:kinsoku/>
        <w:overflowPunct/>
        <w:bidi w:val="0"/>
        <w:spacing w:line="500" w:lineRule="exact"/>
        <w:rPr>
          <w:rFonts w:hint="eastAsia"/>
          <w:highlight w:val="none"/>
        </w:rPr>
      </w:pPr>
    </w:p>
    <w:p w14:paraId="33E29326">
      <w:pPr>
        <w:pageBreakBefore w:val="0"/>
        <w:kinsoku/>
        <w:overflowPunct/>
        <w:bidi w:val="0"/>
        <w:spacing w:line="500" w:lineRule="exact"/>
        <w:rPr>
          <w:rFonts w:hint="eastAsia"/>
          <w:highlight w:val="none"/>
        </w:rPr>
      </w:pPr>
    </w:p>
    <w:p w14:paraId="0923A529">
      <w:pPr>
        <w:pageBreakBefore w:val="0"/>
        <w:kinsoku/>
        <w:overflowPunct/>
        <w:bidi w:val="0"/>
        <w:spacing w:line="500" w:lineRule="exact"/>
        <w:rPr>
          <w:rFonts w:hint="eastAsia"/>
          <w:highlight w:val="none"/>
        </w:rPr>
      </w:pPr>
    </w:p>
    <w:p w14:paraId="5C13DFDB">
      <w:pPr>
        <w:pageBreakBefore w:val="0"/>
        <w:kinsoku/>
        <w:overflowPunct/>
        <w:bidi w:val="0"/>
        <w:spacing w:line="500" w:lineRule="exact"/>
        <w:rPr>
          <w:rFonts w:hint="eastAsia"/>
          <w:highlight w:val="none"/>
        </w:rPr>
      </w:pPr>
    </w:p>
    <w:bookmarkEnd w:id="39"/>
    <w:bookmarkEnd w:id="40"/>
    <w:p w14:paraId="7E273B55">
      <w:pPr>
        <w:pageBreakBefore w:val="0"/>
        <w:kinsoku/>
        <w:overflowPunct/>
        <w:bidi w:val="0"/>
        <w:spacing w:line="500" w:lineRule="exact"/>
        <w:rPr>
          <w:rFonts w:hint="eastAsia" w:ascii="宋体" w:hAnsi="宋体" w:cs="宋体"/>
          <w:sz w:val="24"/>
          <w:highlight w:val="none"/>
        </w:rPr>
        <w:sectPr>
          <w:footerReference r:id="rId7" w:type="default"/>
          <w:pgSz w:w="11915" w:h="16840"/>
          <w:pgMar w:top="1417" w:right="1134" w:bottom="1417" w:left="1417" w:header="720" w:footer="720" w:gutter="0"/>
          <w:pgNumType w:fmt="decimal"/>
          <w:cols w:space="720" w:num="1"/>
          <w:rtlGutter w:val="0"/>
          <w:docGrid w:type="lines" w:linePitch="312" w:charSpace="0"/>
        </w:sectPr>
      </w:pPr>
    </w:p>
    <w:p w14:paraId="4B75644A">
      <w:pPr>
        <w:pStyle w:val="3"/>
        <w:pageBreakBefore w:val="0"/>
        <w:tabs>
          <w:tab w:val="left" w:pos="7980"/>
        </w:tabs>
        <w:kinsoku/>
        <w:overflowPunct/>
        <w:bidi w:val="0"/>
        <w:spacing w:line="500" w:lineRule="exact"/>
        <w:rPr>
          <w:rFonts w:hint="eastAsia" w:eastAsia="宋体"/>
          <w:highlight w:val="none"/>
          <w:lang w:eastAsia="zh-CN"/>
        </w:rPr>
      </w:pPr>
      <w:bookmarkStart w:id="150" w:name="_Toc22255"/>
      <w:r>
        <w:rPr>
          <w:rFonts w:hint="eastAsia"/>
          <w:highlight w:val="none"/>
        </w:rPr>
        <w:t>第三章</w:t>
      </w:r>
      <w:bookmarkEnd w:id="150"/>
      <w:r>
        <w:rPr>
          <w:rFonts w:hint="eastAsia"/>
          <w:highlight w:val="none"/>
          <w:lang w:val="en-US" w:eastAsia="zh-CN"/>
        </w:rPr>
        <w:t xml:space="preserve">  </w:t>
      </w:r>
      <w:r>
        <w:rPr>
          <w:rFonts w:hint="eastAsia"/>
          <w:highlight w:val="none"/>
          <w:lang w:eastAsia="zh-CN"/>
        </w:rPr>
        <w:t>采购清单</w:t>
      </w:r>
    </w:p>
    <w:p w14:paraId="38B0FAF3">
      <w:pPr>
        <w:rPr>
          <w:rFonts w:hint="eastAsia"/>
          <w:highlight w:val="none"/>
          <w:lang w:val="en-US" w:eastAsia="zh-CN"/>
        </w:rPr>
      </w:pPr>
    </w:p>
    <w:tbl>
      <w:tblPr>
        <w:tblStyle w:val="2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1274"/>
        <w:gridCol w:w="3750"/>
        <w:gridCol w:w="691"/>
        <w:gridCol w:w="783"/>
        <w:gridCol w:w="783"/>
        <w:gridCol w:w="797"/>
        <w:gridCol w:w="715"/>
      </w:tblGrid>
      <w:tr w14:paraId="3850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26" w:type="pct"/>
            <w:gridSpan w:val="7"/>
            <w:tcBorders>
              <w:top w:val="nil"/>
              <w:left w:val="nil"/>
              <w:bottom w:val="nil"/>
              <w:right w:val="nil"/>
            </w:tcBorders>
            <w:shd w:val="clear" w:color="auto" w:fill="auto"/>
            <w:noWrap/>
            <w:vAlign w:val="center"/>
          </w:tcPr>
          <w:p w14:paraId="1E35B7CF">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采购清单</w:t>
            </w:r>
          </w:p>
        </w:tc>
        <w:tc>
          <w:tcPr>
            <w:tcW w:w="373" w:type="pct"/>
            <w:tcBorders>
              <w:top w:val="nil"/>
              <w:left w:val="nil"/>
              <w:bottom w:val="nil"/>
              <w:right w:val="nil"/>
            </w:tcBorders>
            <w:shd w:val="clear" w:color="auto" w:fill="auto"/>
            <w:noWrap/>
            <w:vAlign w:val="center"/>
          </w:tcPr>
          <w:p w14:paraId="4232B771">
            <w:pPr>
              <w:rPr>
                <w:rFonts w:hint="eastAsia" w:ascii="宋体" w:hAnsi="宋体" w:eastAsia="宋体" w:cs="宋体"/>
                <w:i w:val="0"/>
                <w:iCs w:val="0"/>
                <w:color w:val="000000"/>
                <w:sz w:val="22"/>
                <w:szCs w:val="22"/>
                <w:u w:val="none"/>
              </w:rPr>
            </w:pPr>
          </w:p>
        </w:tc>
      </w:tr>
      <w:tr w14:paraId="45C7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034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142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19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720C78">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254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D56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FD0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E16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8F6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E0E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B6155">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 xml:space="preserve">1 </w:t>
            </w: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31692">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拖拉机</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FB8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1.最大配重质量前/后：前十后四；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2.发动机：200马力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3.型式：六缸、增压中冷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4.标定功率：140-150KW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5.变速箱档数：前进32/倒退32，带爬行档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6.4组液压输出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7.耕深控制方式：位控制、浮动控制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8.四轮驱动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9.带空调</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0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7F331">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辆</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AB2E">
            <w:pPr>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5454">
            <w:pPr>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F38D">
            <w:pPr>
              <w:rPr>
                <w:rFonts w:hint="eastAsia" w:ascii="宋体" w:hAnsi="宋体" w:eastAsia="宋体" w:cs="宋体"/>
                <w:i w:val="0"/>
                <w:iCs w:val="0"/>
                <w:color w:val="000000"/>
                <w:sz w:val="22"/>
                <w:szCs w:val="22"/>
                <w:u w:val="none"/>
              </w:rPr>
            </w:pPr>
          </w:p>
        </w:tc>
      </w:tr>
      <w:tr w14:paraId="5889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0" w:hRule="atLeast"/>
        </w:trPr>
        <w:tc>
          <w:tcPr>
            <w:tcW w:w="4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CC324">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 xml:space="preserve">2 </w:t>
            </w: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A8A9D">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拖拉机</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A7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1.马力：160马力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2.最大配重 ：前十后四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3.额定牵引力 ：大于30000kN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4.发动机型式 ：六缸、增压中冷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5.发动机标定功率 ：大于118（KW）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6.变速箱档数 前进24/倒退8 ：带爬行档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7.2组液压输出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8.耕深控制方式 ：位控制、浮动控制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9.四轮驱动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10.带空调</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1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FC0E9">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辆</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241B">
            <w:pPr>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74B8">
            <w:pPr>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940F">
            <w:pPr>
              <w:rPr>
                <w:rFonts w:hint="eastAsia" w:ascii="宋体" w:hAnsi="宋体" w:eastAsia="宋体" w:cs="宋体"/>
                <w:i w:val="0"/>
                <w:iCs w:val="0"/>
                <w:color w:val="000000"/>
                <w:sz w:val="22"/>
                <w:szCs w:val="22"/>
                <w:u w:val="none"/>
              </w:rPr>
            </w:pPr>
          </w:p>
        </w:tc>
      </w:tr>
      <w:tr w14:paraId="7C39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21F51">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 xml:space="preserve">3 </w:t>
            </w: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E9C1F">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液压翻转犁</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B5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1.配套动力： 110.2-169.05KW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2.犁体幅宽： 350 - 400mm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3.可调耕深： 20 - 30cm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4.犁体个数： 4×2个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5.耕幅1.6米</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7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EAB42">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辆</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D654">
            <w:pPr>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5E7A">
            <w:pPr>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D8AC">
            <w:pPr>
              <w:rPr>
                <w:rFonts w:hint="eastAsia" w:ascii="宋体" w:hAnsi="宋体" w:eastAsia="宋体" w:cs="宋体"/>
                <w:i w:val="0"/>
                <w:iCs w:val="0"/>
                <w:color w:val="000000"/>
                <w:sz w:val="22"/>
                <w:szCs w:val="22"/>
                <w:u w:val="none"/>
              </w:rPr>
            </w:pPr>
          </w:p>
        </w:tc>
      </w:tr>
      <w:tr w14:paraId="0279C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7062D">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 xml:space="preserve">4 </w:t>
            </w: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612FD">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旋耕机</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F88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1.执行标准：GB/T5668 - 2017《旋耕机》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2.配套动力 ：150-220马力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3.工作幅宽： 2600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4.整机质量： 大于600kg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5.耕深：12 - 16 cm</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7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F5C0C">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辆</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9AEA">
            <w:pPr>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B9AF">
            <w:pPr>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99AA">
            <w:pPr>
              <w:rPr>
                <w:rFonts w:hint="eastAsia" w:ascii="宋体" w:hAnsi="宋体" w:eastAsia="宋体" w:cs="宋体"/>
                <w:i w:val="0"/>
                <w:iCs w:val="0"/>
                <w:color w:val="000000"/>
                <w:sz w:val="22"/>
                <w:szCs w:val="22"/>
                <w:u w:val="none"/>
              </w:rPr>
            </w:pPr>
          </w:p>
        </w:tc>
      </w:tr>
      <w:tr w14:paraId="3E3B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F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67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三轮车</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7CD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1.发动机额定功率：18kw-19KW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2.最大允许总质量：1998Kg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3.整车整备质量：1200-1400KG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4.座位数：2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2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A6483">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辆</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B3A5">
            <w:pPr>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5E30">
            <w:pPr>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D69D">
            <w:pPr>
              <w:rPr>
                <w:rFonts w:hint="eastAsia" w:ascii="宋体" w:hAnsi="宋体" w:eastAsia="宋体" w:cs="宋体"/>
                <w:i w:val="0"/>
                <w:iCs w:val="0"/>
                <w:color w:val="FF0000"/>
                <w:sz w:val="22"/>
                <w:szCs w:val="22"/>
                <w:u w:val="none"/>
              </w:rPr>
            </w:pPr>
          </w:p>
        </w:tc>
      </w:tr>
      <w:tr w14:paraId="3A754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5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7E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装载机</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F3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1.额定载重量：1500-1650kg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2.额定斗容量：1.5-1.8m³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3.斗宽：1.8m-2.3m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4.整机重量：45000-52000kg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5.发动机型号：国四带增压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6.额定功率：35-38KW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7.卸载高度：大于4000mm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8.卸载距离：大于1000mm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9.轴距：2600mm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10.变速箱型式 ：高低速变矩器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11.车桥：四轮碟刹斜壳大轮边桥</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1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DCC04">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辆</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EA3C">
            <w:pPr>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2D44">
            <w:pPr>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4C1F">
            <w:pPr>
              <w:rPr>
                <w:rFonts w:hint="eastAsia" w:ascii="宋体" w:hAnsi="宋体" w:eastAsia="宋体" w:cs="宋体"/>
                <w:i w:val="0"/>
                <w:iCs w:val="0"/>
                <w:color w:val="FF0000"/>
                <w:sz w:val="22"/>
                <w:szCs w:val="22"/>
                <w:u w:val="none"/>
              </w:rPr>
            </w:pPr>
          </w:p>
        </w:tc>
      </w:tr>
      <w:tr w14:paraId="7826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0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899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w:t>
            </w:r>
          </w:p>
        </w:tc>
        <w:tc>
          <w:tcPr>
            <w:tcW w:w="196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3684">
            <w:pPr>
              <w:jc w:val="center"/>
              <w:rPr>
                <w:rFonts w:hint="eastAsia" w:ascii="宋体" w:hAnsi="宋体" w:eastAsia="宋体" w:cs="宋体"/>
                <w:i w:val="0"/>
                <w:iCs w:val="0"/>
                <w:color w:val="000000"/>
                <w:sz w:val="22"/>
                <w:szCs w:val="22"/>
                <w:u w:val="none"/>
              </w:rPr>
            </w:pPr>
          </w:p>
        </w:tc>
      </w:tr>
      <w:tr w14:paraId="5F99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26" w:type="pct"/>
            <w:gridSpan w:val="7"/>
            <w:tcBorders>
              <w:top w:val="nil"/>
              <w:left w:val="nil"/>
              <w:bottom w:val="nil"/>
              <w:right w:val="nil"/>
            </w:tcBorders>
            <w:shd w:val="clear" w:color="auto" w:fill="auto"/>
            <w:vAlign w:val="bottom"/>
          </w:tcPr>
          <w:p w14:paraId="79C73760">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备注：包含设备价、备品备件价、检验费、包装费、装卸费、运输费、税金、安装调试费、检测验收费、培训费及其他所有费用，均包含在投标报价中。</w:t>
            </w:r>
          </w:p>
        </w:tc>
        <w:tc>
          <w:tcPr>
            <w:tcW w:w="373" w:type="pct"/>
            <w:tcBorders>
              <w:top w:val="nil"/>
              <w:left w:val="nil"/>
              <w:bottom w:val="nil"/>
              <w:right w:val="nil"/>
            </w:tcBorders>
            <w:shd w:val="clear" w:color="auto" w:fill="auto"/>
            <w:noWrap/>
            <w:vAlign w:val="center"/>
          </w:tcPr>
          <w:p w14:paraId="5E536182">
            <w:pPr>
              <w:rPr>
                <w:rFonts w:hint="eastAsia" w:ascii="宋体" w:hAnsi="宋体" w:eastAsia="宋体" w:cs="宋体"/>
                <w:b/>
                <w:bCs/>
                <w:i w:val="0"/>
                <w:iCs w:val="0"/>
                <w:color w:val="000000"/>
                <w:sz w:val="22"/>
                <w:szCs w:val="22"/>
                <w:u w:val="none"/>
              </w:rPr>
            </w:pPr>
          </w:p>
        </w:tc>
      </w:tr>
    </w:tbl>
    <w:p w14:paraId="289FC71C">
      <w:pPr>
        <w:pStyle w:val="25"/>
        <w:rPr>
          <w:rFonts w:hint="eastAsia"/>
          <w:highlight w:val="none"/>
          <w:lang w:val="en-US" w:eastAsia="zh-CN"/>
        </w:rPr>
        <w:sectPr>
          <w:pgSz w:w="11915" w:h="16840"/>
          <w:pgMar w:top="1417" w:right="1134" w:bottom="1417" w:left="1417" w:header="720" w:footer="720" w:gutter="0"/>
          <w:pgNumType w:fmt="decimal"/>
          <w:cols w:space="720" w:num="1"/>
          <w:rtlGutter w:val="0"/>
          <w:docGrid w:type="lines" w:linePitch="312" w:charSpace="0"/>
        </w:sectPr>
      </w:pPr>
    </w:p>
    <w:p w14:paraId="3EAC178E">
      <w:pPr>
        <w:pStyle w:val="3"/>
        <w:pageBreakBefore w:val="0"/>
        <w:kinsoku/>
        <w:overflowPunct/>
        <w:bidi w:val="0"/>
        <w:spacing w:line="500" w:lineRule="exact"/>
        <w:rPr>
          <w:highlight w:val="none"/>
        </w:rPr>
      </w:pPr>
      <w:bookmarkStart w:id="151" w:name="_Toc22626"/>
      <w:r>
        <w:rPr>
          <w:rFonts w:hint="eastAsia"/>
          <w:highlight w:val="none"/>
        </w:rPr>
        <w:t>第四章</w:t>
      </w:r>
      <w:r>
        <w:rPr>
          <w:rFonts w:hint="eastAsia"/>
          <w:highlight w:val="none"/>
          <w:lang w:val="en-US" w:eastAsia="zh-CN"/>
        </w:rPr>
        <w:t xml:space="preserve"> </w:t>
      </w:r>
      <w:r>
        <w:rPr>
          <w:rFonts w:hint="eastAsia"/>
          <w:highlight w:val="none"/>
          <w:lang w:eastAsia="zh-CN"/>
        </w:rPr>
        <w:t>评审</w:t>
      </w:r>
      <w:r>
        <w:rPr>
          <w:rFonts w:hint="eastAsia"/>
          <w:highlight w:val="none"/>
        </w:rPr>
        <w:t>办法（综合评分法）</w:t>
      </w:r>
      <w:bookmarkEnd w:id="151"/>
    </w:p>
    <w:p w14:paraId="3555CFA0">
      <w:pPr>
        <w:pStyle w:val="57"/>
        <w:spacing w:line="480" w:lineRule="auto"/>
        <w:rPr>
          <w:rFonts w:hint="eastAsia" w:ascii="宋体" w:hAnsi="宋体" w:eastAsia="宋体" w:cs="宋体"/>
          <w:color w:val="auto"/>
          <w:sz w:val="24"/>
          <w:szCs w:val="24"/>
          <w:highlight w:val="none"/>
        </w:rPr>
      </w:pPr>
      <w:bookmarkStart w:id="152" w:name="_Toc359865667"/>
      <w:bookmarkStart w:id="153" w:name="_Toc485222552"/>
      <w:bookmarkStart w:id="154" w:name="_Toc9448"/>
      <w:bookmarkStart w:id="155" w:name="_Toc27528"/>
      <w:bookmarkStart w:id="156" w:name="_Toc21260"/>
      <w:bookmarkStart w:id="157" w:name="_Toc24517"/>
      <w:bookmarkStart w:id="158" w:name="_Toc6132"/>
      <w:r>
        <w:rPr>
          <w:rFonts w:hint="eastAsia" w:ascii="宋体" w:hAnsi="宋体" w:eastAsia="宋体" w:cs="宋体"/>
          <w:color w:val="auto"/>
          <w:sz w:val="24"/>
          <w:szCs w:val="24"/>
          <w:highlight w:val="none"/>
        </w:rPr>
        <w:t>一、</w:t>
      </w:r>
      <w:bookmarkEnd w:id="152"/>
      <w:r>
        <w:rPr>
          <w:rFonts w:hint="eastAsia" w:ascii="宋体" w:hAnsi="宋体" w:eastAsia="宋体" w:cs="宋体"/>
          <w:color w:val="auto"/>
          <w:sz w:val="24"/>
          <w:szCs w:val="24"/>
          <w:highlight w:val="none"/>
        </w:rPr>
        <w:t>磋商小组</w:t>
      </w:r>
      <w:bookmarkEnd w:id="153"/>
      <w:bookmarkEnd w:id="154"/>
      <w:bookmarkEnd w:id="155"/>
      <w:bookmarkEnd w:id="156"/>
    </w:p>
    <w:p w14:paraId="43793EBE">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将根据本项目的特点依法组建磋商小组，其成员由有关方面的专家以及</w:t>
      </w:r>
      <w:r>
        <w:rPr>
          <w:rFonts w:hint="eastAsia" w:ascii="宋体" w:hAnsi="宋体" w:cs="宋体"/>
          <w:color w:val="auto"/>
          <w:sz w:val="24"/>
          <w:highlight w:val="none"/>
          <w:lang w:eastAsia="zh-CN"/>
        </w:rPr>
        <w:t>采购人评审</w:t>
      </w:r>
      <w:r>
        <w:rPr>
          <w:rFonts w:hint="eastAsia" w:ascii="宋体" w:hAnsi="宋体" w:cs="宋体"/>
          <w:color w:val="auto"/>
          <w:sz w:val="24"/>
          <w:highlight w:val="none"/>
        </w:rPr>
        <w:t>代表三人组成，其中技术、经济方面的专家不得少于磋商小组成员总数的三分之二，磋商小组负责审阅响应文件，与各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进行商务、技术磋商，确定成交候选人。</w:t>
      </w:r>
    </w:p>
    <w:p w14:paraId="273EE0D4">
      <w:pPr>
        <w:pStyle w:val="57"/>
        <w:spacing w:line="480" w:lineRule="auto"/>
        <w:rPr>
          <w:rFonts w:hint="eastAsia" w:ascii="宋体" w:hAnsi="宋体" w:eastAsia="宋体" w:cs="宋体"/>
          <w:color w:val="auto"/>
          <w:sz w:val="24"/>
          <w:szCs w:val="24"/>
          <w:highlight w:val="none"/>
        </w:rPr>
      </w:pPr>
      <w:bookmarkStart w:id="159" w:name="_Toc359865668"/>
      <w:bookmarkStart w:id="160" w:name="_Toc8264"/>
      <w:bookmarkStart w:id="161" w:name="_Toc22876"/>
      <w:bookmarkStart w:id="162" w:name="_Toc16201"/>
      <w:bookmarkStart w:id="163" w:name="_Toc485222553"/>
      <w:r>
        <w:rPr>
          <w:rFonts w:hint="eastAsia" w:ascii="宋体" w:hAnsi="宋体" w:eastAsia="宋体" w:cs="宋体"/>
          <w:color w:val="auto"/>
          <w:sz w:val="24"/>
          <w:szCs w:val="24"/>
          <w:highlight w:val="none"/>
        </w:rPr>
        <w:t>二、磋商原则和评审办法</w:t>
      </w:r>
      <w:bookmarkEnd w:id="159"/>
      <w:bookmarkEnd w:id="160"/>
      <w:bookmarkEnd w:id="161"/>
      <w:bookmarkEnd w:id="162"/>
      <w:bookmarkEnd w:id="163"/>
    </w:p>
    <w:p w14:paraId="07565B3C">
      <w:pPr>
        <w:pStyle w:val="5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（一）磋商原则</w:t>
      </w:r>
    </w:p>
    <w:p w14:paraId="4E134BD1">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“公平、公正、择优、效益”为本次竞争性磋商的基本原则，磋商小组按照这一原则的要求，公正、平等地对待各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。同时，在磋商过程中恪守以下原则：</w:t>
      </w:r>
    </w:p>
    <w:p w14:paraId="20F591DE">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1、统一性原则：磋商小组将按照统一的磋商原则和磋商方法，用同一标准进行评审。</w:t>
      </w:r>
    </w:p>
    <w:p w14:paraId="71FA939B">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2、独立性原则：磋商工作在磋商小组内部独立进行，不受外界任何因素的干扰和影响；磋商小组成员对出具的磋商意见承担个人责任。</w:t>
      </w:r>
    </w:p>
    <w:p w14:paraId="6273EAB5">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3、物有所值原则：通过第一轮的公开报价，激发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展开竞争，进一步优化方案，并使报价符合预期目标。</w:t>
      </w:r>
    </w:p>
    <w:p w14:paraId="7087980A">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4、保密性原则：代理机构应当采取必要的措施，保证磋商在严格保密的情况下进行。</w:t>
      </w:r>
    </w:p>
    <w:p w14:paraId="79957E93">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5、综合性原则：磋商小组将综合分析、评审</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的各项指标，而不以单项指标的优劣评定出成交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018E70A5">
      <w:pPr>
        <w:spacing w:line="480" w:lineRule="auto"/>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lang w:eastAsia="zh-CN"/>
        </w:rPr>
        <w:t>（二）评审</w:t>
      </w:r>
      <w:r>
        <w:rPr>
          <w:rFonts w:hint="eastAsia" w:ascii="宋体" w:hAnsi="宋体" w:cs="宋体"/>
          <w:b/>
          <w:bCs/>
          <w:color w:val="auto"/>
          <w:sz w:val="24"/>
          <w:szCs w:val="22"/>
          <w:highlight w:val="none"/>
        </w:rPr>
        <w:t>方法</w:t>
      </w:r>
    </w:p>
    <w:p w14:paraId="569DFBC1">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本次</w:t>
      </w:r>
      <w:r>
        <w:rPr>
          <w:rFonts w:hint="eastAsia" w:ascii="宋体" w:hAnsi="宋体" w:cs="宋体"/>
          <w:color w:val="auto"/>
          <w:sz w:val="24"/>
          <w:szCs w:val="22"/>
          <w:highlight w:val="none"/>
          <w:lang w:eastAsia="zh-CN"/>
        </w:rPr>
        <w:t>评审</w:t>
      </w:r>
      <w:r>
        <w:rPr>
          <w:rFonts w:hint="eastAsia" w:ascii="宋体" w:hAnsi="宋体" w:cs="宋体"/>
          <w:color w:val="auto"/>
          <w:sz w:val="24"/>
          <w:szCs w:val="22"/>
          <w:highlight w:val="none"/>
        </w:rPr>
        <w:t>采用综合评</w:t>
      </w:r>
      <w:r>
        <w:rPr>
          <w:rFonts w:hint="eastAsia" w:ascii="宋体" w:hAnsi="宋体" w:cs="宋体"/>
          <w:color w:val="auto"/>
          <w:sz w:val="24"/>
          <w:szCs w:val="22"/>
          <w:highlight w:val="none"/>
          <w:lang w:eastAsia="zh-CN"/>
        </w:rPr>
        <w:t>分</w:t>
      </w:r>
      <w:r>
        <w:rPr>
          <w:rFonts w:hint="eastAsia" w:ascii="宋体" w:hAnsi="宋体" w:cs="宋体"/>
          <w:color w:val="auto"/>
          <w:sz w:val="24"/>
          <w:szCs w:val="22"/>
          <w:highlight w:val="none"/>
        </w:rPr>
        <w:t>法。</w:t>
      </w:r>
      <w:r>
        <w:rPr>
          <w:rFonts w:hint="eastAsia" w:ascii="宋体" w:hAnsi="宋体" w:cs="宋体"/>
          <w:color w:val="auto"/>
          <w:sz w:val="24"/>
          <w:szCs w:val="22"/>
          <w:highlight w:val="none"/>
          <w:lang w:eastAsia="zh-CN"/>
        </w:rPr>
        <w:t>磋商小组</w:t>
      </w:r>
      <w:r>
        <w:rPr>
          <w:rFonts w:hint="eastAsia" w:ascii="宋体" w:hAnsi="宋体" w:cs="宋体"/>
          <w:color w:val="auto"/>
          <w:sz w:val="24"/>
          <w:szCs w:val="22"/>
          <w:highlight w:val="none"/>
        </w:rPr>
        <w:t>对满足</w:t>
      </w:r>
      <w:r>
        <w:rPr>
          <w:rFonts w:hint="eastAsia" w:ascii="宋体" w:hAnsi="宋体" w:cs="宋体"/>
          <w:color w:val="auto"/>
          <w:sz w:val="24"/>
          <w:szCs w:val="22"/>
          <w:highlight w:val="none"/>
          <w:lang w:eastAsia="zh-CN"/>
        </w:rPr>
        <w:t>磋商</w:t>
      </w:r>
      <w:r>
        <w:rPr>
          <w:rFonts w:hint="eastAsia" w:ascii="宋体" w:hAnsi="宋体" w:cs="宋体"/>
          <w:color w:val="auto"/>
          <w:sz w:val="24"/>
          <w:szCs w:val="22"/>
          <w:highlight w:val="none"/>
        </w:rPr>
        <w:t>文件实质性要求的</w:t>
      </w:r>
      <w:r>
        <w:rPr>
          <w:rFonts w:hint="eastAsia" w:ascii="宋体" w:hAnsi="宋体" w:cs="宋体"/>
          <w:color w:val="auto"/>
          <w:sz w:val="24"/>
          <w:szCs w:val="22"/>
          <w:highlight w:val="none"/>
          <w:lang w:eastAsia="zh-CN"/>
        </w:rPr>
        <w:t>响应</w:t>
      </w:r>
      <w:r>
        <w:rPr>
          <w:rFonts w:hint="eastAsia" w:ascii="宋体" w:hAnsi="宋体" w:cs="宋体"/>
          <w:color w:val="auto"/>
          <w:sz w:val="24"/>
          <w:szCs w:val="22"/>
          <w:highlight w:val="none"/>
        </w:rPr>
        <w:t>文件，按照本章第2.2款规定的评分标准进行打分，并按得分由高到低顺序推荐中标候选人，但</w:t>
      </w:r>
      <w:r>
        <w:rPr>
          <w:rFonts w:hint="eastAsia" w:ascii="宋体" w:hAnsi="宋体" w:cs="宋体"/>
          <w:color w:val="auto"/>
          <w:sz w:val="24"/>
          <w:szCs w:val="22"/>
          <w:highlight w:val="none"/>
          <w:lang w:eastAsia="zh-CN"/>
        </w:rPr>
        <w:t>磋商</w:t>
      </w:r>
      <w:r>
        <w:rPr>
          <w:rFonts w:hint="eastAsia" w:ascii="宋体" w:hAnsi="宋体" w:cs="宋体"/>
          <w:color w:val="auto"/>
          <w:sz w:val="24"/>
          <w:szCs w:val="22"/>
          <w:highlight w:val="none"/>
        </w:rPr>
        <w:t>报价低于其成本的除外。综合评分相等时，以</w:t>
      </w:r>
      <w:r>
        <w:rPr>
          <w:rFonts w:hint="eastAsia" w:ascii="宋体" w:hAnsi="宋体" w:cs="宋体"/>
          <w:color w:val="auto"/>
          <w:sz w:val="24"/>
          <w:szCs w:val="22"/>
          <w:highlight w:val="none"/>
          <w:lang w:eastAsia="zh-CN"/>
        </w:rPr>
        <w:t>磋商</w:t>
      </w:r>
      <w:r>
        <w:rPr>
          <w:rFonts w:hint="eastAsia" w:ascii="宋体" w:hAnsi="宋体" w:cs="宋体"/>
          <w:color w:val="auto"/>
          <w:sz w:val="24"/>
          <w:szCs w:val="22"/>
          <w:highlight w:val="none"/>
        </w:rPr>
        <w:t>报价低的优先；</w:t>
      </w:r>
      <w:r>
        <w:rPr>
          <w:rFonts w:hint="eastAsia" w:ascii="宋体" w:hAnsi="宋体" w:cs="宋体"/>
          <w:color w:val="auto"/>
          <w:sz w:val="24"/>
          <w:szCs w:val="22"/>
          <w:highlight w:val="none"/>
          <w:lang w:eastAsia="zh-CN"/>
        </w:rPr>
        <w:t>磋商</w:t>
      </w:r>
      <w:r>
        <w:rPr>
          <w:rFonts w:hint="eastAsia" w:ascii="宋体" w:hAnsi="宋体" w:cs="宋体"/>
          <w:color w:val="auto"/>
          <w:sz w:val="24"/>
          <w:szCs w:val="22"/>
          <w:highlight w:val="none"/>
        </w:rPr>
        <w:t>报价也相等的，由</w:t>
      </w:r>
      <w:r>
        <w:rPr>
          <w:rFonts w:hint="eastAsia" w:ascii="宋体" w:hAnsi="宋体" w:cs="宋体"/>
          <w:color w:val="auto"/>
          <w:sz w:val="24"/>
          <w:szCs w:val="22"/>
          <w:highlight w:val="none"/>
          <w:lang w:eastAsia="zh-CN"/>
        </w:rPr>
        <w:t>采购人</w:t>
      </w:r>
      <w:r>
        <w:rPr>
          <w:rFonts w:hint="eastAsia" w:ascii="宋体" w:hAnsi="宋体" w:cs="宋体"/>
          <w:color w:val="auto"/>
          <w:sz w:val="24"/>
          <w:szCs w:val="22"/>
          <w:highlight w:val="none"/>
        </w:rPr>
        <w:t>或其授权的</w:t>
      </w:r>
      <w:r>
        <w:rPr>
          <w:rFonts w:hint="eastAsia" w:ascii="宋体" w:hAnsi="宋体" w:cs="宋体"/>
          <w:color w:val="auto"/>
          <w:sz w:val="24"/>
          <w:szCs w:val="22"/>
          <w:highlight w:val="none"/>
          <w:lang w:eastAsia="zh-CN"/>
        </w:rPr>
        <w:t>磋商小组</w:t>
      </w:r>
      <w:r>
        <w:rPr>
          <w:rFonts w:hint="eastAsia" w:ascii="宋体" w:hAnsi="宋体" w:cs="宋体"/>
          <w:color w:val="auto"/>
          <w:sz w:val="24"/>
          <w:szCs w:val="22"/>
          <w:highlight w:val="none"/>
        </w:rPr>
        <w:t>自行确定。</w:t>
      </w:r>
      <w:bookmarkStart w:id="164" w:name="_Toc179632619"/>
      <w:bookmarkStart w:id="165" w:name="_Toc296602489"/>
      <w:bookmarkStart w:id="166" w:name="_Toc152045601"/>
      <w:bookmarkStart w:id="167" w:name="_Toc247085759"/>
      <w:bookmarkStart w:id="168" w:name="_Toc144974568"/>
      <w:bookmarkStart w:id="169" w:name="_Toc152042378"/>
      <w:bookmarkStart w:id="170" w:name="_Toc246996987"/>
      <w:bookmarkStart w:id="171" w:name="_Toc246996244"/>
    </w:p>
    <w:bookmarkEnd w:id="164"/>
    <w:bookmarkEnd w:id="165"/>
    <w:bookmarkEnd w:id="166"/>
    <w:bookmarkEnd w:id="167"/>
    <w:bookmarkEnd w:id="168"/>
    <w:bookmarkEnd w:id="169"/>
    <w:bookmarkEnd w:id="170"/>
    <w:bookmarkEnd w:id="171"/>
    <w:p w14:paraId="61373959">
      <w:pPr>
        <w:spacing w:line="480" w:lineRule="auto"/>
        <w:ind w:firstLine="480" w:firstLineChars="200"/>
        <w:rPr>
          <w:rFonts w:hint="eastAsia" w:ascii="宋体" w:hAnsi="宋体" w:cs="宋体"/>
          <w:color w:val="auto"/>
          <w:sz w:val="24"/>
          <w:szCs w:val="22"/>
          <w:highlight w:val="none"/>
        </w:rPr>
      </w:pPr>
      <w:bookmarkStart w:id="172" w:name="_Toc296602490"/>
      <w:bookmarkStart w:id="173" w:name="_Toc152045602"/>
      <w:bookmarkStart w:id="174" w:name="_Toc179632620"/>
      <w:bookmarkStart w:id="175" w:name="_Toc246996988"/>
      <w:bookmarkStart w:id="176" w:name="_Toc144974569"/>
      <w:bookmarkStart w:id="177" w:name="_Toc247085760"/>
      <w:bookmarkStart w:id="178" w:name="_Toc246996245"/>
      <w:bookmarkStart w:id="179" w:name="_Toc152042379"/>
      <w:r>
        <w:rPr>
          <w:rFonts w:hint="eastAsia" w:ascii="宋体" w:hAnsi="宋体" w:cs="宋体"/>
          <w:color w:val="auto"/>
          <w:sz w:val="24"/>
          <w:szCs w:val="22"/>
          <w:highlight w:val="none"/>
        </w:rPr>
        <w:t>2.1 初步评审标准</w:t>
      </w:r>
      <w:bookmarkEnd w:id="172"/>
      <w:bookmarkEnd w:id="173"/>
      <w:bookmarkEnd w:id="174"/>
      <w:bookmarkEnd w:id="175"/>
      <w:bookmarkEnd w:id="176"/>
      <w:bookmarkEnd w:id="177"/>
      <w:bookmarkEnd w:id="178"/>
      <w:bookmarkEnd w:id="179"/>
    </w:p>
    <w:p w14:paraId="5BD9BB7C">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2.1.1 形式评审标准：见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p>
    <w:p w14:paraId="19C98DE7">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2.1.2 资格评审标准：见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p>
    <w:p w14:paraId="0DCF6193">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2.1.3 响应性评审标准：见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p>
    <w:p w14:paraId="5EB205D3">
      <w:pPr>
        <w:spacing w:line="480" w:lineRule="auto"/>
        <w:ind w:firstLine="480" w:firstLineChars="200"/>
        <w:rPr>
          <w:rFonts w:hint="eastAsia" w:ascii="宋体" w:hAnsi="宋体" w:cs="宋体"/>
          <w:color w:val="auto"/>
          <w:sz w:val="24"/>
          <w:szCs w:val="22"/>
          <w:highlight w:val="none"/>
        </w:rPr>
      </w:pPr>
      <w:bookmarkStart w:id="180" w:name="_Toc296602491"/>
      <w:bookmarkStart w:id="181" w:name="_Toc247085761"/>
      <w:bookmarkStart w:id="182" w:name="_Toc246996989"/>
      <w:bookmarkStart w:id="183" w:name="_Toc246996246"/>
      <w:bookmarkStart w:id="184" w:name="_Toc179632621"/>
      <w:r>
        <w:rPr>
          <w:rFonts w:hint="eastAsia" w:ascii="宋体" w:hAnsi="宋体" w:cs="宋体"/>
          <w:color w:val="auto"/>
          <w:sz w:val="24"/>
          <w:szCs w:val="22"/>
          <w:highlight w:val="none"/>
        </w:rPr>
        <w:t>2.2 分值构成与评分标准</w:t>
      </w:r>
      <w:bookmarkEnd w:id="180"/>
      <w:bookmarkEnd w:id="181"/>
      <w:bookmarkEnd w:id="182"/>
      <w:bookmarkEnd w:id="183"/>
      <w:bookmarkEnd w:id="184"/>
    </w:p>
    <w:p w14:paraId="38C593EA">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2.2.1 分值构成</w:t>
      </w:r>
    </w:p>
    <w:p w14:paraId="3F1C41FD">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（1）技术</w:t>
      </w:r>
      <w:r>
        <w:rPr>
          <w:rFonts w:hint="eastAsia" w:ascii="宋体" w:hAnsi="宋体" w:cs="宋体"/>
          <w:color w:val="auto"/>
          <w:sz w:val="24"/>
          <w:szCs w:val="22"/>
          <w:highlight w:val="none"/>
          <w:lang w:eastAsia="zh-CN"/>
        </w:rPr>
        <w:t>部分</w:t>
      </w:r>
      <w:r>
        <w:rPr>
          <w:rFonts w:hint="eastAsia" w:ascii="宋体" w:hAnsi="宋体" w:cs="宋体"/>
          <w:color w:val="auto"/>
          <w:sz w:val="24"/>
          <w:szCs w:val="22"/>
          <w:highlight w:val="none"/>
        </w:rPr>
        <w:t>：见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p>
    <w:p w14:paraId="4228FE20">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w:t>
      </w:r>
      <w:r>
        <w:rPr>
          <w:rFonts w:hint="eastAsia" w:ascii="宋体" w:hAnsi="宋体" w:cs="宋体"/>
          <w:color w:val="auto"/>
          <w:sz w:val="24"/>
          <w:szCs w:val="22"/>
          <w:highlight w:val="none"/>
          <w:lang w:eastAsia="zh-CN"/>
        </w:rPr>
        <w:t>磋商报价</w:t>
      </w:r>
      <w:r>
        <w:rPr>
          <w:rFonts w:hint="eastAsia" w:ascii="宋体" w:hAnsi="宋体" w:cs="宋体"/>
          <w:color w:val="auto"/>
          <w:sz w:val="24"/>
          <w:szCs w:val="22"/>
          <w:highlight w:val="none"/>
        </w:rPr>
        <w:t>：见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p>
    <w:p w14:paraId="53310C39">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w:t>
      </w:r>
      <w:r>
        <w:rPr>
          <w:rFonts w:hint="eastAsia" w:ascii="宋体" w:hAnsi="宋体" w:cs="宋体"/>
          <w:color w:val="auto"/>
          <w:sz w:val="24"/>
          <w:szCs w:val="22"/>
          <w:highlight w:val="none"/>
          <w:lang w:eastAsia="zh-CN"/>
        </w:rPr>
        <w:t>综合部分</w:t>
      </w:r>
      <w:r>
        <w:rPr>
          <w:rFonts w:hint="eastAsia" w:ascii="宋体" w:hAnsi="宋体" w:cs="宋体"/>
          <w:color w:val="auto"/>
          <w:sz w:val="24"/>
          <w:szCs w:val="22"/>
          <w:highlight w:val="none"/>
        </w:rPr>
        <w:t>：见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p>
    <w:p w14:paraId="2277A787">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2.2.2 评分标准</w:t>
      </w:r>
    </w:p>
    <w:p w14:paraId="3B296D3C">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（1）技术</w:t>
      </w:r>
      <w:r>
        <w:rPr>
          <w:rFonts w:hint="eastAsia" w:ascii="宋体" w:hAnsi="宋体" w:cs="宋体"/>
          <w:color w:val="auto"/>
          <w:sz w:val="24"/>
          <w:szCs w:val="22"/>
          <w:highlight w:val="none"/>
          <w:lang w:eastAsia="zh-CN"/>
        </w:rPr>
        <w:t>部分</w:t>
      </w:r>
      <w:r>
        <w:rPr>
          <w:rFonts w:hint="eastAsia" w:ascii="宋体" w:hAnsi="宋体" w:cs="宋体"/>
          <w:color w:val="auto"/>
          <w:sz w:val="24"/>
          <w:szCs w:val="22"/>
          <w:highlight w:val="none"/>
        </w:rPr>
        <w:t>评分标准：见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p>
    <w:p w14:paraId="1BDC16AF">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w:t>
      </w:r>
      <w:r>
        <w:rPr>
          <w:rFonts w:hint="eastAsia" w:ascii="宋体" w:hAnsi="宋体" w:cs="宋体"/>
          <w:color w:val="auto"/>
          <w:sz w:val="24"/>
          <w:szCs w:val="22"/>
          <w:highlight w:val="none"/>
          <w:lang w:eastAsia="zh-CN"/>
        </w:rPr>
        <w:t>磋商报价</w:t>
      </w:r>
      <w:r>
        <w:rPr>
          <w:rFonts w:hint="eastAsia" w:ascii="宋体" w:hAnsi="宋体" w:cs="宋体"/>
          <w:color w:val="auto"/>
          <w:sz w:val="24"/>
          <w:szCs w:val="22"/>
          <w:highlight w:val="none"/>
        </w:rPr>
        <w:t>评分标准：见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p>
    <w:p w14:paraId="6D2D2A6B">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（3）综合</w:t>
      </w:r>
      <w:r>
        <w:rPr>
          <w:rFonts w:hint="eastAsia" w:ascii="宋体" w:hAnsi="宋体" w:cs="宋体"/>
          <w:color w:val="auto"/>
          <w:sz w:val="24"/>
          <w:szCs w:val="22"/>
          <w:highlight w:val="none"/>
          <w:lang w:eastAsia="zh-CN"/>
        </w:rPr>
        <w:t>部分</w:t>
      </w:r>
      <w:r>
        <w:rPr>
          <w:rFonts w:hint="eastAsia" w:ascii="宋体" w:hAnsi="宋体" w:cs="宋体"/>
          <w:color w:val="auto"/>
          <w:sz w:val="24"/>
          <w:szCs w:val="22"/>
          <w:highlight w:val="none"/>
        </w:rPr>
        <w:t>评分标准：见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bookmarkStart w:id="185" w:name="_Toc144974571"/>
      <w:bookmarkStart w:id="186" w:name="_Toc296602492"/>
      <w:bookmarkStart w:id="187" w:name="_Toc246996247"/>
      <w:bookmarkStart w:id="188" w:name="_Toc179632622"/>
      <w:bookmarkStart w:id="189" w:name="_Toc246996990"/>
      <w:bookmarkStart w:id="190" w:name="_Toc152045604"/>
      <w:bookmarkStart w:id="191" w:name="_Toc247085762"/>
      <w:bookmarkStart w:id="192" w:name="_Toc152042381"/>
    </w:p>
    <w:p w14:paraId="53883153">
      <w:pPr>
        <w:spacing w:line="480" w:lineRule="auto"/>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lang w:eastAsia="zh-CN"/>
        </w:rPr>
        <w:t>（三）</w:t>
      </w:r>
      <w:r>
        <w:rPr>
          <w:rFonts w:hint="eastAsia" w:ascii="宋体" w:hAnsi="宋体" w:cs="宋体"/>
          <w:b/>
          <w:bCs/>
          <w:color w:val="auto"/>
          <w:sz w:val="24"/>
          <w:szCs w:val="22"/>
          <w:highlight w:val="none"/>
        </w:rPr>
        <w:t xml:space="preserve"> </w:t>
      </w:r>
      <w:r>
        <w:rPr>
          <w:rFonts w:hint="eastAsia" w:ascii="宋体" w:hAnsi="宋体" w:cs="宋体"/>
          <w:b/>
          <w:bCs/>
          <w:color w:val="auto"/>
          <w:sz w:val="24"/>
          <w:szCs w:val="22"/>
          <w:highlight w:val="none"/>
          <w:lang w:eastAsia="zh-CN"/>
        </w:rPr>
        <w:t>评审</w:t>
      </w:r>
      <w:r>
        <w:rPr>
          <w:rFonts w:hint="eastAsia" w:ascii="宋体" w:hAnsi="宋体" w:cs="宋体"/>
          <w:b/>
          <w:bCs/>
          <w:color w:val="auto"/>
          <w:sz w:val="24"/>
          <w:szCs w:val="22"/>
          <w:highlight w:val="none"/>
        </w:rPr>
        <w:t>程序</w:t>
      </w:r>
      <w:bookmarkEnd w:id="185"/>
      <w:bookmarkEnd w:id="186"/>
      <w:bookmarkEnd w:id="187"/>
      <w:bookmarkEnd w:id="188"/>
      <w:bookmarkEnd w:id="189"/>
      <w:bookmarkEnd w:id="190"/>
      <w:bookmarkEnd w:id="191"/>
      <w:bookmarkEnd w:id="192"/>
    </w:p>
    <w:p w14:paraId="2AADC636">
      <w:pPr>
        <w:spacing w:line="48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3.1评审程序</w:t>
      </w:r>
    </w:p>
    <w:p w14:paraId="151523C9">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1、初步评审</w:t>
      </w:r>
    </w:p>
    <w:p w14:paraId="6082FC3F">
      <w:pPr>
        <w:spacing w:line="480" w:lineRule="auto"/>
        <w:ind w:firstLine="480" w:firstLineChars="200"/>
        <w:rPr>
          <w:rFonts w:ascii="宋体" w:hAnsi="宋体"/>
          <w:color w:val="auto"/>
          <w:sz w:val="24"/>
          <w:highlight w:val="none"/>
        </w:rPr>
      </w:pPr>
      <w:r>
        <w:rPr>
          <w:rFonts w:hint="eastAsia" w:ascii="宋体" w:hAnsi="宋体" w:cs="宋体"/>
          <w:color w:val="auto"/>
          <w:sz w:val="24"/>
          <w:szCs w:val="24"/>
          <w:highlight w:val="none"/>
        </w:rPr>
        <w:t>磋商小组对</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进行</w:t>
      </w:r>
      <w:r>
        <w:rPr>
          <w:rFonts w:hint="eastAsia" w:ascii="宋体" w:hAnsi="宋体"/>
          <w:color w:val="auto"/>
          <w:sz w:val="24"/>
          <w:highlight w:val="none"/>
        </w:rPr>
        <w:t>形式评审、</w:t>
      </w:r>
      <w:r>
        <w:rPr>
          <w:rFonts w:hint="eastAsia" w:ascii="宋体" w:hAnsi="宋体" w:cs="宋体"/>
          <w:color w:val="auto"/>
          <w:sz w:val="24"/>
          <w:szCs w:val="24"/>
          <w:highlight w:val="none"/>
        </w:rPr>
        <w:t>资格性检查、</w:t>
      </w:r>
      <w:r>
        <w:rPr>
          <w:rFonts w:hint="eastAsia" w:ascii="宋体" w:hAnsi="宋体"/>
          <w:color w:val="auto"/>
          <w:sz w:val="24"/>
          <w:highlight w:val="none"/>
        </w:rPr>
        <w:t>响应性评审</w:t>
      </w:r>
      <w:r>
        <w:rPr>
          <w:rFonts w:hint="eastAsia" w:ascii="宋体" w:hAnsi="宋体" w:cs="宋体"/>
          <w:color w:val="auto"/>
          <w:sz w:val="24"/>
          <w:szCs w:val="24"/>
          <w:highlight w:val="none"/>
        </w:rPr>
        <w:t>。</w:t>
      </w:r>
      <w:r>
        <w:rPr>
          <w:rFonts w:hint="eastAsia" w:ascii="宋体" w:hAnsi="宋体"/>
          <w:color w:val="auto"/>
          <w:sz w:val="24"/>
          <w:highlight w:val="none"/>
        </w:rPr>
        <w:t>形式评审、</w:t>
      </w:r>
      <w:r>
        <w:rPr>
          <w:rFonts w:hint="eastAsia" w:ascii="宋体" w:hAnsi="宋体" w:cs="宋体"/>
          <w:color w:val="auto"/>
          <w:sz w:val="24"/>
          <w:szCs w:val="24"/>
          <w:highlight w:val="none"/>
        </w:rPr>
        <w:t>资格性检查、</w:t>
      </w:r>
      <w:r>
        <w:rPr>
          <w:rFonts w:hint="eastAsia" w:ascii="宋体" w:hAnsi="宋体"/>
          <w:color w:val="auto"/>
          <w:sz w:val="24"/>
          <w:highlight w:val="none"/>
        </w:rPr>
        <w:t>响应性评审</w:t>
      </w:r>
      <w:r>
        <w:rPr>
          <w:rFonts w:hint="eastAsia" w:ascii="宋体" w:hAnsi="宋体" w:cs="宋体"/>
          <w:color w:val="auto"/>
          <w:sz w:val="24"/>
          <w:szCs w:val="24"/>
          <w:highlight w:val="none"/>
        </w:rPr>
        <w:t>检查指依据法律、法规和竞争性磋商文件的规定，</w:t>
      </w:r>
      <w:r>
        <w:rPr>
          <w:rFonts w:hint="eastAsia" w:ascii="宋体" w:hAnsi="宋体"/>
          <w:color w:val="auto"/>
          <w:sz w:val="24"/>
          <w:highlight w:val="none"/>
          <w:lang w:eastAsia="zh-CN"/>
        </w:rPr>
        <w:t>磋商小组</w:t>
      </w:r>
      <w:r>
        <w:rPr>
          <w:rFonts w:hint="eastAsia" w:ascii="宋体" w:hAnsi="宋体"/>
          <w:color w:val="auto"/>
          <w:sz w:val="24"/>
          <w:highlight w:val="none"/>
        </w:rPr>
        <w:t>依据本章第2.1.1项、第2.1.2项、第2.1.3项规定的评审标准对响应文件进行初步评审。有一项不符合评审标准的，其响应将被否决。</w:t>
      </w:r>
    </w:p>
    <w:p w14:paraId="160BB8D0">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2、磋商：磋商小组将与通过初步评审的单一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分别进行磋商。在磋商中，磋商的任何一方不得透露与磋商有关的其他</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的技术资料、价格和其他信息。竞争性磋商文件有实质性变动的，磋商小组将以书面形式通知所有参加磋商的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w:t>
      </w:r>
    </w:p>
    <w:p w14:paraId="458C40DE">
      <w:pPr>
        <w:spacing w:line="48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进行二次报价。</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须严格按照要求进行报价，</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所报价格高于</w:t>
      </w:r>
      <w:r>
        <w:rPr>
          <w:rFonts w:hint="eastAsia" w:ascii="宋体" w:hAnsi="宋体" w:cs="宋体"/>
          <w:color w:val="auto"/>
          <w:sz w:val="24"/>
          <w:szCs w:val="24"/>
          <w:highlight w:val="none"/>
          <w:lang w:eastAsia="zh-CN"/>
        </w:rPr>
        <w:t>最高限价</w:t>
      </w:r>
      <w:r>
        <w:rPr>
          <w:rFonts w:hint="eastAsia" w:ascii="宋体" w:hAnsi="宋体" w:cs="宋体"/>
          <w:color w:val="auto"/>
          <w:sz w:val="24"/>
          <w:szCs w:val="24"/>
          <w:highlight w:val="none"/>
        </w:rPr>
        <w:t>或低于</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认可的成本价，恶意竞标的，按无效响应处理。</w:t>
      </w:r>
    </w:p>
    <w:p w14:paraId="756BE38B">
      <w:pPr>
        <w:spacing w:line="48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（2）最终报价后，重大偏离不允许被修正，但磋商小组将允许修正报价中不构成重大偏离的地方，这些修正不会对其他实质上响应竞争性磋商文件要求的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的竞争地位产生不公正的影响。</w:t>
      </w:r>
    </w:p>
    <w:p w14:paraId="6E06BD86">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3、综合评分</w:t>
      </w:r>
    </w:p>
    <w:p w14:paraId="48B3000B">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最终报价结束后，磋商小组根据评分细则（评分标准）进行综合打分，以综合得分最高的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作为成交人或按综合得分由高到低的顺序推荐成交候选人。</w:t>
      </w:r>
    </w:p>
    <w:p w14:paraId="0C2260DD">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4、评审过程保密</w:t>
      </w:r>
    </w:p>
    <w:p w14:paraId="5EBD254A">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公开报价之后，直到签订合同止，凡是属于审查、澄清、评价和比较报价的有关资料以及成交意向等，均不向</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或者其他与评审无关的人员透露。</w:t>
      </w:r>
    </w:p>
    <w:p w14:paraId="13CFD733">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、特殊情况下的磋商方法：如出现</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达不到法定数量、最终报价全部超出项目预算、串通报价、全部不符合磋商文件要求以及</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互相诋毁，导致磋商小组无法磋商时，磋商小组有权停止磋商，否决所有报价，</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报请采购监督管理机构同意后可改用其它方式进行</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w:t>
      </w:r>
    </w:p>
    <w:p w14:paraId="5D9D5324">
      <w:pPr>
        <w:spacing w:line="480" w:lineRule="auto"/>
        <w:ind w:firstLine="482" w:firstLineChars="200"/>
        <w:rPr>
          <w:rFonts w:hint="eastAsia" w:ascii="宋体" w:hAnsi="宋体" w:cs="宋体"/>
          <w:b/>
          <w:bCs/>
          <w:color w:val="auto"/>
          <w:sz w:val="24"/>
          <w:szCs w:val="22"/>
          <w:highlight w:val="none"/>
        </w:rPr>
      </w:pPr>
      <w:bookmarkStart w:id="193" w:name="_Toc144974575"/>
      <w:bookmarkStart w:id="194" w:name="_Toc246996993"/>
      <w:bookmarkStart w:id="195" w:name="_Toc246996250"/>
      <w:bookmarkStart w:id="196" w:name="_Toc247085765"/>
      <w:bookmarkStart w:id="197" w:name="_Toc152045607"/>
      <w:bookmarkStart w:id="198" w:name="_Toc152042385"/>
      <w:bookmarkStart w:id="199" w:name="_Toc179632625"/>
      <w:bookmarkStart w:id="200" w:name="_Toc296602495"/>
      <w:r>
        <w:rPr>
          <w:rFonts w:hint="eastAsia" w:ascii="宋体" w:hAnsi="宋体" w:cs="宋体"/>
          <w:b/>
          <w:bCs/>
          <w:color w:val="auto"/>
          <w:sz w:val="24"/>
          <w:szCs w:val="22"/>
          <w:highlight w:val="none"/>
        </w:rPr>
        <w:t>3.</w:t>
      </w:r>
      <w:r>
        <w:rPr>
          <w:rFonts w:hint="eastAsia" w:ascii="宋体" w:hAnsi="宋体" w:cs="宋体"/>
          <w:b/>
          <w:bCs/>
          <w:color w:val="auto"/>
          <w:sz w:val="24"/>
          <w:szCs w:val="22"/>
          <w:highlight w:val="none"/>
          <w:lang w:val="en-US" w:eastAsia="zh-CN"/>
        </w:rPr>
        <w:t>2</w:t>
      </w:r>
      <w:r>
        <w:rPr>
          <w:rFonts w:hint="eastAsia" w:ascii="宋体" w:hAnsi="宋体" w:cs="宋体"/>
          <w:b/>
          <w:bCs/>
          <w:color w:val="auto"/>
          <w:sz w:val="24"/>
          <w:szCs w:val="22"/>
          <w:highlight w:val="none"/>
        </w:rPr>
        <w:t xml:space="preserve"> </w:t>
      </w:r>
      <w:r>
        <w:rPr>
          <w:rFonts w:hint="eastAsia" w:ascii="宋体" w:hAnsi="宋体" w:cs="宋体"/>
          <w:b/>
          <w:bCs/>
          <w:color w:val="auto"/>
          <w:sz w:val="24"/>
          <w:szCs w:val="22"/>
          <w:highlight w:val="none"/>
          <w:lang w:eastAsia="zh-CN"/>
        </w:rPr>
        <w:t>响应</w:t>
      </w:r>
      <w:r>
        <w:rPr>
          <w:rFonts w:hint="eastAsia" w:ascii="宋体" w:hAnsi="宋体" w:cs="宋体"/>
          <w:b/>
          <w:bCs/>
          <w:color w:val="auto"/>
          <w:sz w:val="24"/>
          <w:szCs w:val="22"/>
          <w:highlight w:val="none"/>
        </w:rPr>
        <w:t>文件的澄清</w:t>
      </w:r>
      <w:bookmarkEnd w:id="193"/>
      <w:r>
        <w:rPr>
          <w:rFonts w:hint="eastAsia" w:ascii="宋体" w:hAnsi="宋体" w:cs="宋体"/>
          <w:b/>
          <w:bCs/>
          <w:color w:val="auto"/>
          <w:sz w:val="24"/>
          <w:szCs w:val="22"/>
          <w:highlight w:val="none"/>
        </w:rPr>
        <w:t>和补正</w:t>
      </w:r>
      <w:bookmarkEnd w:id="194"/>
      <w:bookmarkEnd w:id="195"/>
      <w:bookmarkEnd w:id="196"/>
      <w:bookmarkEnd w:id="197"/>
      <w:bookmarkEnd w:id="198"/>
      <w:bookmarkEnd w:id="199"/>
      <w:bookmarkEnd w:id="200"/>
    </w:p>
    <w:p w14:paraId="1D6CEF03">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rPr>
        <w:t>.1在</w:t>
      </w:r>
      <w:r>
        <w:rPr>
          <w:rFonts w:hint="eastAsia" w:ascii="宋体" w:hAnsi="宋体" w:cs="宋体"/>
          <w:color w:val="auto"/>
          <w:sz w:val="24"/>
          <w:szCs w:val="22"/>
          <w:highlight w:val="none"/>
          <w:lang w:eastAsia="zh-CN"/>
        </w:rPr>
        <w:t>评审</w:t>
      </w:r>
      <w:r>
        <w:rPr>
          <w:rFonts w:hint="eastAsia" w:ascii="宋体" w:hAnsi="宋体" w:cs="宋体"/>
          <w:color w:val="auto"/>
          <w:sz w:val="24"/>
          <w:szCs w:val="22"/>
          <w:highlight w:val="none"/>
        </w:rPr>
        <w:t>过程中，</w:t>
      </w:r>
      <w:r>
        <w:rPr>
          <w:rFonts w:hint="eastAsia" w:ascii="宋体" w:hAnsi="宋体" w:cs="宋体"/>
          <w:color w:val="auto"/>
          <w:sz w:val="24"/>
          <w:szCs w:val="22"/>
          <w:highlight w:val="none"/>
          <w:lang w:eastAsia="zh-CN"/>
        </w:rPr>
        <w:t>磋商小组</w:t>
      </w:r>
      <w:r>
        <w:rPr>
          <w:rFonts w:hint="eastAsia" w:ascii="宋体" w:hAnsi="宋体" w:cs="宋体"/>
          <w:color w:val="auto"/>
          <w:sz w:val="24"/>
          <w:szCs w:val="22"/>
          <w:highlight w:val="none"/>
        </w:rPr>
        <w:t>可以书面形式要求</w:t>
      </w:r>
      <w:r>
        <w:rPr>
          <w:rFonts w:hint="eastAsia" w:ascii="宋体" w:hAnsi="宋体" w:cs="宋体"/>
          <w:color w:val="auto"/>
          <w:sz w:val="24"/>
          <w:szCs w:val="22"/>
          <w:highlight w:val="none"/>
          <w:lang w:eastAsia="zh-CN"/>
        </w:rPr>
        <w:t>供应商</w:t>
      </w:r>
      <w:r>
        <w:rPr>
          <w:rFonts w:hint="eastAsia" w:ascii="宋体" w:hAnsi="宋体" w:cs="宋体"/>
          <w:color w:val="auto"/>
          <w:sz w:val="24"/>
          <w:szCs w:val="22"/>
          <w:highlight w:val="none"/>
        </w:rPr>
        <w:t>对所提交</w:t>
      </w:r>
      <w:r>
        <w:rPr>
          <w:rFonts w:hint="eastAsia" w:ascii="宋体" w:hAnsi="宋体" w:cs="宋体"/>
          <w:color w:val="auto"/>
          <w:sz w:val="24"/>
          <w:szCs w:val="22"/>
          <w:highlight w:val="none"/>
          <w:lang w:eastAsia="zh-CN"/>
        </w:rPr>
        <w:t>响应</w:t>
      </w:r>
      <w:r>
        <w:rPr>
          <w:rFonts w:hint="eastAsia" w:ascii="宋体" w:hAnsi="宋体" w:cs="宋体"/>
          <w:color w:val="auto"/>
          <w:sz w:val="24"/>
          <w:szCs w:val="22"/>
          <w:highlight w:val="none"/>
        </w:rPr>
        <w:t>文件中不明确的内容进行书面澄清或说明，或者对细微偏差进行补正。</w:t>
      </w:r>
      <w:r>
        <w:rPr>
          <w:rFonts w:hint="eastAsia" w:ascii="宋体" w:hAnsi="宋体" w:cs="宋体"/>
          <w:color w:val="auto"/>
          <w:sz w:val="24"/>
          <w:szCs w:val="22"/>
          <w:highlight w:val="none"/>
          <w:lang w:eastAsia="zh-CN"/>
        </w:rPr>
        <w:t>磋商小组</w:t>
      </w:r>
      <w:r>
        <w:rPr>
          <w:rFonts w:hint="eastAsia" w:ascii="宋体" w:hAnsi="宋体" w:cs="宋体"/>
          <w:color w:val="auto"/>
          <w:sz w:val="24"/>
          <w:szCs w:val="22"/>
          <w:highlight w:val="none"/>
        </w:rPr>
        <w:t>不接受</w:t>
      </w:r>
      <w:r>
        <w:rPr>
          <w:rFonts w:hint="eastAsia" w:ascii="宋体" w:hAnsi="宋体" w:cs="宋体"/>
          <w:color w:val="auto"/>
          <w:sz w:val="24"/>
          <w:szCs w:val="22"/>
          <w:highlight w:val="none"/>
          <w:lang w:eastAsia="zh-CN"/>
        </w:rPr>
        <w:t>供应商</w:t>
      </w:r>
      <w:r>
        <w:rPr>
          <w:rFonts w:hint="eastAsia" w:ascii="宋体" w:hAnsi="宋体" w:cs="宋体"/>
          <w:color w:val="auto"/>
          <w:sz w:val="24"/>
          <w:szCs w:val="22"/>
          <w:highlight w:val="none"/>
        </w:rPr>
        <w:t>主动提出的澄清、说明或补正。</w:t>
      </w:r>
    </w:p>
    <w:p w14:paraId="65381AEA">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rPr>
        <w:t>.2 澄清、说明和补正不得改变</w:t>
      </w:r>
      <w:r>
        <w:rPr>
          <w:rFonts w:hint="eastAsia" w:ascii="宋体" w:hAnsi="宋体" w:cs="宋体"/>
          <w:color w:val="auto"/>
          <w:sz w:val="24"/>
          <w:szCs w:val="22"/>
          <w:highlight w:val="none"/>
          <w:lang w:eastAsia="zh-CN"/>
        </w:rPr>
        <w:t>响应</w:t>
      </w:r>
      <w:r>
        <w:rPr>
          <w:rFonts w:hint="eastAsia" w:ascii="宋体" w:hAnsi="宋体" w:cs="宋体"/>
          <w:color w:val="auto"/>
          <w:sz w:val="24"/>
          <w:szCs w:val="22"/>
          <w:highlight w:val="none"/>
        </w:rPr>
        <w:t>文件的实质性内容。</w:t>
      </w:r>
      <w:r>
        <w:rPr>
          <w:rFonts w:hint="eastAsia" w:ascii="宋体" w:hAnsi="宋体" w:cs="宋体"/>
          <w:color w:val="auto"/>
          <w:sz w:val="24"/>
          <w:szCs w:val="22"/>
          <w:highlight w:val="none"/>
          <w:lang w:eastAsia="zh-CN"/>
        </w:rPr>
        <w:t>供应商</w:t>
      </w:r>
      <w:r>
        <w:rPr>
          <w:rFonts w:hint="eastAsia" w:ascii="宋体" w:hAnsi="宋体" w:cs="宋体"/>
          <w:color w:val="auto"/>
          <w:sz w:val="24"/>
          <w:szCs w:val="22"/>
          <w:highlight w:val="none"/>
        </w:rPr>
        <w:t>的书面澄清、说明和补正属于</w:t>
      </w:r>
      <w:r>
        <w:rPr>
          <w:rFonts w:hint="eastAsia" w:ascii="宋体" w:hAnsi="宋体" w:cs="宋体"/>
          <w:color w:val="auto"/>
          <w:sz w:val="24"/>
          <w:szCs w:val="22"/>
          <w:highlight w:val="none"/>
          <w:lang w:eastAsia="zh-CN"/>
        </w:rPr>
        <w:t>响应</w:t>
      </w:r>
      <w:r>
        <w:rPr>
          <w:rFonts w:hint="eastAsia" w:ascii="宋体" w:hAnsi="宋体" w:cs="宋体"/>
          <w:color w:val="auto"/>
          <w:sz w:val="24"/>
          <w:szCs w:val="22"/>
          <w:highlight w:val="none"/>
        </w:rPr>
        <w:t>文件的组成部分。</w:t>
      </w:r>
    </w:p>
    <w:p w14:paraId="77FEA6DC">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rPr>
        <w:t xml:space="preserve">.3 </w:t>
      </w:r>
      <w:r>
        <w:rPr>
          <w:rFonts w:hint="eastAsia" w:ascii="宋体" w:hAnsi="宋体" w:cs="宋体"/>
          <w:color w:val="auto"/>
          <w:sz w:val="24"/>
          <w:szCs w:val="22"/>
          <w:highlight w:val="none"/>
          <w:lang w:eastAsia="zh-CN"/>
        </w:rPr>
        <w:t>磋商小组</w:t>
      </w:r>
      <w:r>
        <w:rPr>
          <w:rFonts w:hint="eastAsia" w:ascii="宋体" w:hAnsi="宋体" w:cs="宋体"/>
          <w:color w:val="auto"/>
          <w:sz w:val="24"/>
          <w:szCs w:val="22"/>
          <w:highlight w:val="none"/>
        </w:rPr>
        <w:t>对</w:t>
      </w:r>
      <w:r>
        <w:rPr>
          <w:rFonts w:hint="eastAsia" w:ascii="宋体" w:hAnsi="宋体" w:cs="宋体"/>
          <w:color w:val="auto"/>
          <w:sz w:val="24"/>
          <w:szCs w:val="22"/>
          <w:highlight w:val="none"/>
          <w:lang w:eastAsia="zh-CN"/>
        </w:rPr>
        <w:t>供应商</w:t>
      </w:r>
      <w:r>
        <w:rPr>
          <w:rFonts w:hint="eastAsia" w:ascii="宋体" w:hAnsi="宋体" w:cs="宋体"/>
          <w:color w:val="auto"/>
          <w:sz w:val="24"/>
          <w:szCs w:val="22"/>
          <w:highlight w:val="none"/>
        </w:rPr>
        <w:t>提交的澄清、说明或补正有疑问的，可以要求</w:t>
      </w:r>
      <w:r>
        <w:rPr>
          <w:rFonts w:hint="eastAsia" w:ascii="宋体" w:hAnsi="宋体" w:cs="宋体"/>
          <w:color w:val="auto"/>
          <w:sz w:val="24"/>
          <w:szCs w:val="22"/>
          <w:highlight w:val="none"/>
          <w:lang w:eastAsia="zh-CN"/>
        </w:rPr>
        <w:t>供应商</w:t>
      </w:r>
      <w:r>
        <w:rPr>
          <w:rFonts w:hint="eastAsia" w:ascii="宋体" w:hAnsi="宋体" w:cs="宋体"/>
          <w:color w:val="auto"/>
          <w:sz w:val="24"/>
          <w:szCs w:val="22"/>
          <w:highlight w:val="none"/>
        </w:rPr>
        <w:t>进一步澄清、说明或补正，直至满足要求。</w:t>
      </w:r>
    </w:p>
    <w:p w14:paraId="4B9124AC">
      <w:pPr>
        <w:spacing w:line="480" w:lineRule="auto"/>
        <w:ind w:firstLine="482" w:firstLineChars="200"/>
        <w:rPr>
          <w:rFonts w:hint="eastAsia" w:ascii="宋体" w:hAnsi="宋体" w:cs="宋体"/>
          <w:b/>
          <w:bCs/>
          <w:color w:val="auto"/>
          <w:sz w:val="24"/>
          <w:szCs w:val="22"/>
          <w:highlight w:val="none"/>
        </w:rPr>
      </w:pPr>
      <w:bookmarkStart w:id="201" w:name="_Toc246996994"/>
      <w:bookmarkStart w:id="202" w:name="_Toc296602496"/>
      <w:bookmarkStart w:id="203" w:name="_Toc246996251"/>
      <w:bookmarkStart w:id="204" w:name="_Toc152045608"/>
      <w:bookmarkStart w:id="205" w:name="_Toc144974576"/>
      <w:bookmarkStart w:id="206" w:name="_Toc152042386"/>
      <w:bookmarkStart w:id="207" w:name="_Toc179632626"/>
      <w:bookmarkStart w:id="208" w:name="_Toc247085766"/>
      <w:r>
        <w:rPr>
          <w:rFonts w:hint="eastAsia" w:ascii="宋体" w:hAnsi="宋体" w:cs="宋体"/>
          <w:b/>
          <w:bCs/>
          <w:color w:val="auto"/>
          <w:sz w:val="24"/>
          <w:szCs w:val="22"/>
          <w:highlight w:val="none"/>
        </w:rPr>
        <w:t>3.</w:t>
      </w:r>
      <w:r>
        <w:rPr>
          <w:rFonts w:hint="eastAsia" w:ascii="宋体" w:hAnsi="宋体" w:cs="宋体"/>
          <w:b/>
          <w:bCs/>
          <w:color w:val="auto"/>
          <w:sz w:val="24"/>
          <w:szCs w:val="22"/>
          <w:highlight w:val="none"/>
          <w:lang w:val="en-US" w:eastAsia="zh-CN"/>
        </w:rPr>
        <w:t>3</w:t>
      </w:r>
      <w:r>
        <w:rPr>
          <w:rFonts w:hint="eastAsia" w:ascii="宋体" w:hAnsi="宋体" w:cs="宋体"/>
          <w:b/>
          <w:bCs/>
          <w:color w:val="auto"/>
          <w:sz w:val="24"/>
          <w:szCs w:val="22"/>
          <w:highlight w:val="none"/>
          <w:lang w:eastAsia="zh-CN"/>
        </w:rPr>
        <w:t>评审</w:t>
      </w:r>
      <w:r>
        <w:rPr>
          <w:rFonts w:hint="eastAsia" w:ascii="宋体" w:hAnsi="宋体" w:cs="宋体"/>
          <w:b/>
          <w:bCs/>
          <w:color w:val="auto"/>
          <w:sz w:val="24"/>
          <w:szCs w:val="22"/>
          <w:highlight w:val="none"/>
        </w:rPr>
        <w:t>结果</w:t>
      </w:r>
      <w:bookmarkEnd w:id="201"/>
      <w:bookmarkEnd w:id="202"/>
      <w:bookmarkEnd w:id="203"/>
      <w:bookmarkEnd w:id="204"/>
      <w:bookmarkEnd w:id="205"/>
      <w:bookmarkEnd w:id="206"/>
      <w:bookmarkEnd w:id="207"/>
      <w:bookmarkEnd w:id="208"/>
    </w:p>
    <w:p w14:paraId="4930E971">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w:t>
      </w: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rPr>
        <w:t>.1</w:t>
      </w:r>
      <w:r>
        <w:rPr>
          <w:rFonts w:hint="eastAsia" w:ascii="宋体" w:hAnsi="宋体" w:cs="宋体"/>
          <w:color w:val="auto"/>
          <w:sz w:val="24"/>
          <w:szCs w:val="22"/>
          <w:highlight w:val="none"/>
          <w:lang w:eastAsia="zh-CN"/>
        </w:rPr>
        <w:t>磋商小组</w:t>
      </w:r>
      <w:r>
        <w:rPr>
          <w:rFonts w:hint="eastAsia" w:ascii="宋体" w:hAnsi="宋体" w:cs="宋体"/>
          <w:color w:val="auto"/>
          <w:sz w:val="24"/>
          <w:szCs w:val="22"/>
          <w:highlight w:val="none"/>
        </w:rPr>
        <w:t>按照得分由高到低的顺序推荐</w:t>
      </w:r>
      <w:r>
        <w:rPr>
          <w:rFonts w:hint="eastAsia" w:ascii="宋体" w:hAnsi="宋体" w:cs="宋体"/>
          <w:color w:val="auto"/>
          <w:sz w:val="24"/>
          <w:szCs w:val="22"/>
          <w:highlight w:val="none"/>
          <w:lang w:eastAsia="zh-CN"/>
        </w:rPr>
        <w:t>成交</w:t>
      </w:r>
      <w:r>
        <w:rPr>
          <w:rFonts w:hint="eastAsia" w:ascii="宋体" w:hAnsi="宋体" w:cs="宋体"/>
          <w:color w:val="auto"/>
          <w:sz w:val="24"/>
          <w:szCs w:val="22"/>
          <w:highlight w:val="none"/>
        </w:rPr>
        <w:t>候选人。</w:t>
      </w:r>
    </w:p>
    <w:p w14:paraId="6F2BBF15">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szCs w:val="22"/>
          <w:highlight w:val="none"/>
        </w:rPr>
        <w:t>3.</w:t>
      </w: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rPr>
        <w:t xml:space="preserve">.2 </w:t>
      </w:r>
      <w:r>
        <w:rPr>
          <w:rFonts w:hint="eastAsia" w:ascii="宋体" w:hAnsi="宋体" w:cs="宋体"/>
          <w:color w:val="auto"/>
          <w:sz w:val="24"/>
          <w:szCs w:val="22"/>
          <w:highlight w:val="none"/>
          <w:lang w:eastAsia="zh-CN"/>
        </w:rPr>
        <w:t>磋商小组</w:t>
      </w:r>
      <w:r>
        <w:rPr>
          <w:rFonts w:hint="eastAsia" w:ascii="宋体" w:hAnsi="宋体" w:cs="宋体"/>
          <w:color w:val="auto"/>
          <w:sz w:val="24"/>
          <w:szCs w:val="22"/>
          <w:highlight w:val="none"/>
        </w:rPr>
        <w:t>完成</w:t>
      </w:r>
      <w:r>
        <w:rPr>
          <w:rFonts w:hint="eastAsia" w:ascii="宋体" w:hAnsi="宋体" w:cs="宋体"/>
          <w:color w:val="auto"/>
          <w:sz w:val="24"/>
          <w:szCs w:val="22"/>
          <w:highlight w:val="none"/>
          <w:lang w:eastAsia="zh-CN"/>
        </w:rPr>
        <w:t>评审</w:t>
      </w:r>
      <w:r>
        <w:rPr>
          <w:rFonts w:hint="eastAsia" w:ascii="宋体" w:hAnsi="宋体" w:cs="宋体"/>
          <w:color w:val="auto"/>
          <w:sz w:val="24"/>
          <w:szCs w:val="22"/>
          <w:highlight w:val="none"/>
        </w:rPr>
        <w:t>后，应当向</w:t>
      </w:r>
      <w:r>
        <w:rPr>
          <w:rFonts w:hint="eastAsia" w:ascii="宋体" w:hAnsi="宋体" w:cs="宋体"/>
          <w:color w:val="auto"/>
          <w:sz w:val="24"/>
          <w:szCs w:val="22"/>
          <w:highlight w:val="none"/>
          <w:lang w:eastAsia="zh-CN"/>
        </w:rPr>
        <w:t>采购人</w:t>
      </w:r>
      <w:r>
        <w:rPr>
          <w:rFonts w:hint="eastAsia" w:ascii="宋体" w:hAnsi="宋体" w:cs="宋体"/>
          <w:color w:val="auto"/>
          <w:sz w:val="24"/>
          <w:szCs w:val="22"/>
          <w:highlight w:val="none"/>
        </w:rPr>
        <w:t>提交</w:t>
      </w:r>
      <w:r>
        <w:rPr>
          <w:rFonts w:hint="eastAsia" w:ascii="宋体" w:hAnsi="宋体" w:cs="宋体"/>
          <w:color w:val="auto"/>
          <w:sz w:val="24"/>
          <w:szCs w:val="22"/>
          <w:highlight w:val="none"/>
          <w:lang w:eastAsia="zh-CN"/>
        </w:rPr>
        <w:t>评审</w:t>
      </w:r>
      <w:r>
        <w:rPr>
          <w:rFonts w:hint="eastAsia" w:ascii="宋体" w:hAnsi="宋体" w:cs="宋体"/>
          <w:color w:val="auto"/>
          <w:sz w:val="24"/>
          <w:szCs w:val="22"/>
          <w:highlight w:val="none"/>
        </w:rPr>
        <w:t>报告。</w:t>
      </w:r>
    </w:p>
    <w:p w14:paraId="5A5BCC0C">
      <w:pPr>
        <w:pStyle w:val="2"/>
        <w:pageBreakBefore w:val="0"/>
        <w:kinsoku/>
        <w:overflowPunct/>
        <w:bidi w:val="0"/>
        <w:spacing w:line="500" w:lineRule="exact"/>
        <w:rPr>
          <w:rFonts w:hint="eastAsia"/>
          <w:highlight w:val="none"/>
          <w:lang w:eastAsia="zh-CN"/>
        </w:rPr>
      </w:pPr>
    </w:p>
    <w:p w14:paraId="4BB5EE97">
      <w:pPr>
        <w:rPr>
          <w:rFonts w:hint="eastAsia"/>
          <w:highlight w:val="none"/>
          <w:lang w:eastAsia="zh-CN"/>
        </w:rPr>
      </w:pPr>
    </w:p>
    <w:p w14:paraId="58D922F7">
      <w:pPr>
        <w:pStyle w:val="24"/>
        <w:rPr>
          <w:rFonts w:hint="eastAsia"/>
          <w:highlight w:val="none"/>
          <w:lang w:eastAsia="zh-CN"/>
        </w:rPr>
      </w:pPr>
    </w:p>
    <w:p w14:paraId="2179DEE5">
      <w:pPr>
        <w:pStyle w:val="25"/>
        <w:rPr>
          <w:rFonts w:hint="eastAsia"/>
          <w:highlight w:val="none"/>
          <w:lang w:eastAsia="zh-CN"/>
        </w:rPr>
      </w:pPr>
    </w:p>
    <w:p w14:paraId="17112F2B">
      <w:pPr>
        <w:rPr>
          <w:rFonts w:hint="eastAsia"/>
          <w:highlight w:val="none"/>
          <w:lang w:eastAsia="zh-CN"/>
        </w:rPr>
      </w:pPr>
    </w:p>
    <w:p w14:paraId="7D360510">
      <w:pPr>
        <w:pStyle w:val="24"/>
        <w:rPr>
          <w:rFonts w:hint="eastAsia"/>
          <w:highlight w:val="none"/>
          <w:lang w:eastAsia="zh-CN"/>
        </w:rPr>
      </w:pPr>
    </w:p>
    <w:p w14:paraId="5D4D6B2C">
      <w:pPr>
        <w:pStyle w:val="25"/>
        <w:rPr>
          <w:rFonts w:hint="eastAsia"/>
          <w:highlight w:val="none"/>
          <w:lang w:eastAsia="zh-CN"/>
        </w:rPr>
      </w:pPr>
    </w:p>
    <w:p w14:paraId="3E24C445">
      <w:pPr>
        <w:rPr>
          <w:rFonts w:hint="eastAsia"/>
          <w:highlight w:val="none"/>
          <w:lang w:eastAsia="zh-CN"/>
        </w:rPr>
      </w:pPr>
    </w:p>
    <w:p w14:paraId="57B99F41">
      <w:pPr>
        <w:pStyle w:val="24"/>
        <w:rPr>
          <w:rFonts w:hint="eastAsia"/>
          <w:highlight w:val="none"/>
          <w:lang w:eastAsia="zh-CN"/>
        </w:rPr>
      </w:pPr>
    </w:p>
    <w:p w14:paraId="5195BB8B">
      <w:pPr>
        <w:pStyle w:val="25"/>
        <w:rPr>
          <w:rFonts w:hint="eastAsia"/>
          <w:highlight w:val="none"/>
          <w:lang w:eastAsia="zh-CN"/>
        </w:rPr>
      </w:pPr>
    </w:p>
    <w:p w14:paraId="35425007">
      <w:pPr>
        <w:rPr>
          <w:rFonts w:hint="eastAsia"/>
          <w:highlight w:val="none"/>
          <w:lang w:eastAsia="zh-CN"/>
        </w:rPr>
      </w:pPr>
    </w:p>
    <w:p w14:paraId="10F3BF9C">
      <w:pPr>
        <w:pStyle w:val="24"/>
        <w:rPr>
          <w:rFonts w:hint="eastAsia"/>
          <w:highlight w:val="none"/>
          <w:lang w:eastAsia="zh-CN"/>
        </w:rPr>
      </w:pPr>
    </w:p>
    <w:p w14:paraId="16092E80">
      <w:pPr>
        <w:pStyle w:val="25"/>
        <w:rPr>
          <w:rFonts w:hint="eastAsia"/>
          <w:highlight w:val="none"/>
          <w:lang w:eastAsia="zh-CN"/>
        </w:rPr>
      </w:pPr>
    </w:p>
    <w:p w14:paraId="5BB7A0C0">
      <w:pPr>
        <w:rPr>
          <w:rFonts w:hint="eastAsia"/>
          <w:highlight w:val="none"/>
          <w:lang w:eastAsia="zh-CN"/>
        </w:rPr>
      </w:pPr>
    </w:p>
    <w:p w14:paraId="7E5884CE">
      <w:pPr>
        <w:pStyle w:val="24"/>
        <w:rPr>
          <w:rFonts w:hint="eastAsia"/>
          <w:highlight w:val="none"/>
          <w:lang w:eastAsia="zh-CN"/>
        </w:rPr>
      </w:pPr>
    </w:p>
    <w:p w14:paraId="43DC065F">
      <w:pPr>
        <w:pStyle w:val="25"/>
        <w:rPr>
          <w:rFonts w:hint="eastAsia"/>
          <w:highlight w:val="none"/>
          <w:lang w:eastAsia="zh-CN"/>
        </w:rPr>
      </w:pPr>
    </w:p>
    <w:p w14:paraId="5DC41A87">
      <w:pPr>
        <w:rPr>
          <w:rFonts w:hint="eastAsia"/>
          <w:highlight w:val="none"/>
          <w:lang w:eastAsia="zh-CN"/>
        </w:rPr>
      </w:pPr>
    </w:p>
    <w:p w14:paraId="2C6F8507">
      <w:pPr>
        <w:pStyle w:val="24"/>
        <w:rPr>
          <w:rFonts w:hint="eastAsia"/>
          <w:highlight w:val="none"/>
          <w:lang w:eastAsia="zh-CN"/>
        </w:rPr>
      </w:pPr>
    </w:p>
    <w:p w14:paraId="4C384B52">
      <w:pPr>
        <w:pStyle w:val="25"/>
        <w:rPr>
          <w:rFonts w:hint="eastAsia"/>
          <w:highlight w:val="none"/>
          <w:lang w:eastAsia="zh-CN"/>
        </w:rPr>
      </w:pPr>
    </w:p>
    <w:p w14:paraId="3F86221C">
      <w:pPr>
        <w:rPr>
          <w:rFonts w:hint="eastAsia"/>
          <w:highlight w:val="none"/>
          <w:lang w:eastAsia="zh-CN"/>
        </w:rPr>
      </w:pPr>
    </w:p>
    <w:p w14:paraId="7E844500">
      <w:pPr>
        <w:pStyle w:val="24"/>
        <w:rPr>
          <w:rFonts w:hint="eastAsia"/>
          <w:highlight w:val="none"/>
          <w:lang w:eastAsia="zh-CN"/>
        </w:rPr>
      </w:pPr>
    </w:p>
    <w:p w14:paraId="579BE208">
      <w:pPr>
        <w:rPr>
          <w:rFonts w:hint="eastAsia"/>
          <w:lang w:eastAsia="zh-CN"/>
        </w:rPr>
      </w:pPr>
    </w:p>
    <w:p w14:paraId="3FAEB138">
      <w:pPr>
        <w:rPr>
          <w:rFonts w:hint="eastAsia"/>
          <w:highlight w:val="none"/>
          <w:lang w:eastAsia="zh-CN"/>
        </w:rPr>
      </w:pPr>
    </w:p>
    <w:p w14:paraId="15FEC7D7">
      <w:pPr>
        <w:pStyle w:val="2"/>
        <w:pageBreakBefore w:val="0"/>
        <w:kinsoku/>
        <w:overflowPunct/>
        <w:bidi w:val="0"/>
        <w:spacing w:line="500" w:lineRule="exact"/>
        <w:rPr>
          <w:highlight w:val="none"/>
        </w:rPr>
      </w:pPr>
      <w:r>
        <w:rPr>
          <w:rFonts w:hint="eastAsia"/>
          <w:highlight w:val="none"/>
          <w:lang w:eastAsia="zh-CN"/>
        </w:rPr>
        <w:t>评审</w:t>
      </w:r>
      <w:r>
        <w:rPr>
          <w:rFonts w:hint="eastAsia"/>
          <w:highlight w:val="none"/>
        </w:rPr>
        <w:t>办法前附表</w:t>
      </w:r>
      <w:bookmarkEnd w:id="157"/>
      <w:bookmarkEnd w:id="158"/>
    </w:p>
    <w:tbl>
      <w:tblPr>
        <w:tblStyle w:val="26"/>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265"/>
        <w:gridCol w:w="2923"/>
        <w:gridCol w:w="5151"/>
      </w:tblGrid>
      <w:tr w14:paraId="0E0E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4" w:type="dxa"/>
            <w:gridSpan w:val="2"/>
            <w:vAlign w:val="center"/>
          </w:tcPr>
          <w:p w14:paraId="1DBE6DFA">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条款号</w:t>
            </w:r>
          </w:p>
        </w:tc>
        <w:tc>
          <w:tcPr>
            <w:tcW w:w="2923" w:type="dxa"/>
            <w:vAlign w:val="center"/>
          </w:tcPr>
          <w:p w14:paraId="68DDC5C4">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评审因素</w:t>
            </w:r>
          </w:p>
        </w:tc>
        <w:tc>
          <w:tcPr>
            <w:tcW w:w="5151" w:type="dxa"/>
            <w:vAlign w:val="center"/>
          </w:tcPr>
          <w:p w14:paraId="0656D273">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评审标准</w:t>
            </w:r>
          </w:p>
        </w:tc>
      </w:tr>
      <w:tr w14:paraId="7130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79" w:type="dxa"/>
            <w:vMerge w:val="restart"/>
            <w:vAlign w:val="center"/>
          </w:tcPr>
          <w:p w14:paraId="0CFA664D">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2.1.1</w:t>
            </w:r>
          </w:p>
        </w:tc>
        <w:tc>
          <w:tcPr>
            <w:tcW w:w="1265" w:type="dxa"/>
            <w:vMerge w:val="restart"/>
            <w:vAlign w:val="center"/>
          </w:tcPr>
          <w:p w14:paraId="1F9F44F8">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形式评审</w:t>
            </w:r>
          </w:p>
          <w:p w14:paraId="4C4E113E">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标   准</w:t>
            </w:r>
          </w:p>
        </w:tc>
        <w:tc>
          <w:tcPr>
            <w:tcW w:w="2923" w:type="dxa"/>
            <w:vAlign w:val="center"/>
          </w:tcPr>
          <w:p w14:paraId="444BABFC">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名称</w:t>
            </w:r>
          </w:p>
        </w:tc>
        <w:tc>
          <w:tcPr>
            <w:tcW w:w="5151" w:type="dxa"/>
            <w:vAlign w:val="center"/>
          </w:tcPr>
          <w:p w14:paraId="421ADE28">
            <w:pPr>
              <w:pageBreakBefore w:val="0"/>
              <w:kinsoku/>
              <w:overflowPunct/>
              <w:bidi w:val="0"/>
              <w:spacing w:line="500" w:lineRule="exact"/>
              <w:rPr>
                <w:rFonts w:ascii="宋体" w:hAnsi="宋体" w:cs="宋体"/>
                <w:sz w:val="21"/>
                <w:szCs w:val="21"/>
                <w:highlight w:val="none"/>
              </w:rPr>
            </w:pPr>
            <w:r>
              <w:rPr>
                <w:rFonts w:hint="eastAsia" w:ascii="宋体" w:hAnsi="宋体" w:cs="宋体"/>
                <w:sz w:val="21"/>
                <w:szCs w:val="21"/>
                <w:highlight w:val="none"/>
              </w:rPr>
              <w:t>与营业执照一致</w:t>
            </w:r>
          </w:p>
        </w:tc>
      </w:tr>
      <w:tr w14:paraId="3FD6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79" w:type="dxa"/>
            <w:vMerge w:val="continue"/>
            <w:vAlign w:val="center"/>
          </w:tcPr>
          <w:p w14:paraId="02D1CF2C">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3C3EACAE">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14941549">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响应函签字盖章</w:t>
            </w:r>
          </w:p>
        </w:tc>
        <w:tc>
          <w:tcPr>
            <w:tcW w:w="5151" w:type="dxa"/>
            <w:vAlign w:val="center"/>
          </w:tcPr>
          <w:p w14:paraId="053F0721">
            <w:pPr>
              <w:pageBreakBefore w:val="0"/>
              <w:kinsoku/>
              <w:overflowPunct/>
              <w:bidi w:val="0"/>
              <w:spacing w:line="500" w:lineRule="exact"/>
              <w:rPr>
                <w:rFonts w:ascii="宋体" w:hAnsi="宋体" w:cs="宋体"/>
                <w:sz w:val="21"/>
                <w:szCs w:val="21"/>
                <w:highlight w:val="none"/>
              </w:rPr>
            </w:pPr>
            <w:r>
              <w:rPr>
                <w:rFonts w:hint="eastAsia" w:ascii="宋体" w:hAnsi="宋体" w:cs="宋体"/>
                <w:sz w:val="21"/>
                <w:szCs w:val="21"/>
                <w:highlight w:val="none"/>
              </w:rPr>
              <w:t>符合竞争性磋商文件规定</w:t>
            </w:r>
          </w:p>
        </w:tc>
      </w:tr>
      <w:tr w14:paraId="6441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79" w:type="dxa"/>
            <w:vMerge w:val="continue"/>
            <w:vAlign w:val="center"/>
          </w:tcPr>
          <w:p w14:paraId="71F76B31">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61467F92">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7256A10E">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报价唯一</w:t>
            </w:r>
          </w:p>
        </w:tc>
        <w:tc>
          <w:tcPr>
            <w:tcW w:w="5151" w:type="dxa"/>
            <w:vAlign w:val="center"/>
          </w:tcPr>
          <w:p w14:paraId="47E3EEFB">
            <w:pPr>
              <w:pageBreakBefore w:val="0"/>
              <w:kinsoku/>
              <w:overflowPunct/>
              <w:bidi w:val="0"/>
              <w:spacing w:line="5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rPr>
              <w:t>只能有一个有效报价</w:t>
            </w:r>
            <w:r>
              <w:rPr>
                <w:rFonts w:hint="eastAsia" w:ascii="宋体" w:hAnsi="宋体" w:cs="宋体"/>
                <w:sz w:val="21"/>
                <w:szCs w:val="21"/>
                <w:highlight w:val="none"/>
                <w:lang w:eastAsia="zh-CN"/>
              </w:rPr>
              <w:t>，且不超过最高限价</w:t>
            </w:r>
          </w:p>
        </w:tc>
      </w:tr>
      <w:tr w14:paraId="3B00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79" w:type="dxa"/>
            <w:vMerge w:val="restart"/>
            <w:vAlign w:val="center"/>
          </w:tcPr>
          <w:p w14:paraId="6D0F4B23">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2.1.2</w:t>
            </w:r>
          </w:p>
        </w:tc>
        <w:tc>
          <w:tcPr>
            <w:tcW w:w="1265" w:type="dxa"/>
            <w:vMerge w:val="restart"/>
            <w:vAlign w:val="center"/>
          </w:tcPr>
          <w:p w14:paraId="0DE8FC42">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 xml:space="preserve">资格评审 </w:t>
            </w:r>
          </w:p>
          <w:p w14:paraId="75F9BA8B">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标  准</w:t>
            </w:r>
          </w:p>
        </w:tc>
        <w:tc>
          <w:tcPr>
            <w:tcW w:w="2923" w:type="dxa"/>
            <w:vAlign w:val="center"/>
          </w:tcPr>
          <w:p w14:paraId="7B0ABCBC">
            <w:pPr>
              <w:pageBreakBefore w:val="0"/>
              <w:kinsoku/>
              <w:overflowPunct/>
              <w:bidi w:val="0"/>
              <w:spacing w:line="500" w:lineRule="exact"/>
              <w:jc w:val="center"/>
              <w:rPr>
                <w:rFonts w:ascii="宋体" w:hAnsi="宋体" w:cs="宋体"/>
                <w:sz w:val="21"/>
                <w:szCs w:val="21"/>
                <w:highlight w:val="none"/>
              </w:rPr>
            </w:pPr>
            <w:r>
              <w:rPr>
                <w:rFonts w:hint="eastAsia" w:ascii="宋体" w:hAnsi="宋体" w:eastAsia="宋体" w:cs="宋体"/>
                <w:kern w:val="2"/>
                <w:sz w:val="21"/>
                <w:szCs w:val="21"/>
                <w:highlight w:val="none"/>
                <w:lang w:val="en-US" w:eastAsia="zh-CN" w:bidi="ar-SA"/>
              </w:rPr>
              <w:t>满足《中华人民共和国政府采购法》第二十二条规定</w:t>
            </w:r>
          </w:p>
        </w:tc>
        <w:tc>
          <w:tcPr>
            <w:tcW w:w="5151" w:type="dxa"/>
            <w:vAlign w:val="center"/>
          </w:tcPr>
          <w:p w14:paraId="6ECACF06">
            <w:pPr>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满足《中华人民共和国政府采购法》第二十二条规定，</w:t>
            </w:r>
            <w:r>
              <w:rPr>
                <w:rFonts w:hint="eastAsia" w:ascii="宋体" w:hAnsi="宋体" w:eastAsia="宋体" w:cs="宋体"/>
                <w:b/>
                <w:bCs/>
                <w:kern w:val="2"/>
                <w:sz w:val="21"/>
                <w:szCs w:val="21"/>
                <w:highlight w:val="none"/>
                <w:lang w:val="en-US" w:eastAsia="zh-CN" w:bidi="ar-SA"/>
              </w:rPr>
              <w:t>提供承诺书</w:t>
            </w:r>
          </w:p>
        </w:tc>
      </w:tr>
      <w:tr w14:paraId="123B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79" w:type="dxa"/>
            <w:vMerge w:val="continue"/>
            <w:vAlign w:val="center"/>
          </w:tcPr>
          <w:p w14:paraId="18F3C8C6">
            <w:pPr>
              <w:pageBreakBefore w:val="0"/>
              <w:kinsoku/>
              <w:overflowPunct/>
              <w:bidi w:val="0"/>
              <w:spacing w:line="500" w:lineRule="exact"/>
              <w:jc w:val="center"/>
              <w:rPr>
                <w:rFonts w:hint="eastAsia" w:ascii="宋体" w:hAnsi="宋体" w:cs="宋体"/>
                <w:sz w:val="21"/>
                <w:szCs w:val="21"/>
                <w:highlight w:val="none"/>
              </w:rPr>
            </w:pPr>
          </w:p>
        </w:tc>
        <w:tc>
          <w:tcPr>
            <w:tcW w:w="1265" w:type="dxa"/>
            <w:vMerge w:val="continue"/>
            <w:vAlign w:val="center"/>
          </w:tcPr>
          <w:p w14:paraId="364D163E">
            <w:pPr>
              <w:pageBreakBefore w:val="0"/>
              <w:kinsoku/>
              <w:overflowPunct/>
              <w:bidi w:val="0"/>
              <w:spacing w:line="500" w:lineRule="exact"/>
              <w:jc w:val="center"/>
              <w:rPr>
                <w:rFonts w:hint="eastAsia" w:ascii="宋体" w:hAnsi="宋体" w:cs="宋体"/>
                <w:sz w:val="21"/>
                <w:szCs w:val="21"/>
                <w:highlight w:val="none"/>
              </w:rPr>
            </w:pPr>
          </w:p>
        </w:tc>
        <w:tc>
          <w:tcPr>
            <w:tcW w:w="2923" w:type="dxa"/>
            <w:vAlign w:val="center"/>
          </w:tcPr>
          <w:p w14:paraId="315ACFAE">
            <w:pPr>
              <w:pStyle w:val="15"/>
              <w:spacing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中小企业声明函</w:t>
            </w:r>
          </w:p>
        </w:tc>
        <w:tc>
          <w:tcPr>
            <w:tcW w:w="5151" w:type="dxa"/>
            <w:vAlign w:val="center"/>
          </w:tcPr>
          <w:p w14:paraId="5053836F">
            <w:pPr>
              <w:pStyle w:val="15"/>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1.本项目专门面向中小企业采购，参加政府采购活动的中小企业应当提供《中小企业声明函》；</w:t>
            </w:r>
          </w:p>
          <w:p w14:paraId="32C9954E">
            <w:pPr>
              <w:pStyle w:val="15"/>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2.关于监狱企业：视同小微企业。须提供由省级以上监狱管理局、戒毒管理局（含新疆生产建设兵团）出具的属于监狱企业的证明文件；</w:t>
            </w:r>
          </w:p>
          <w:p w14:paraId="67CBAFA1">
            <w:pPr>
              <w:pStyle w:val="15"/>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3.关于残疾人福利性单位：视同小微企业。须提供完整的“残疾人福利性单位声明函”。</w:t>
            </w:r>
          </w:p>
        </w:tc>
      </w:tr>
      <w:tr w14:paraId="1E1F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79" w:type="dxa"/>
            <w:vMerge w:val="continue"/>
            <w:vAlign w:val="center"/>
          </w:tcPr>
          <w:p w14:paraId="12370F83">
            <w:pPr>
              <w:pageBreakBefore w:val="0"/>
              <w:kinsoku/>
              <w:overflowPunct/>
              <w:bidi w:val="0"/>
              <w:spacing w:line="500" w:lineRule="exact"/>
              <w:jc w:val="center"/>
              <w:rPr>
                <w:rFonts w:hint="eastAsia" w:ascii="宋体" w:hAnsi="宋体" w:cs="宋体"/>
                <w:sz w:val="21"/>
                <w:szCs w:val="21"/>
                <w:highlight w:val="none"/>
              </w:rPr>
            </w:pPr>
          </w:p>
        </w:tc>
        <w:tc>
          <w:tcPr>
            <w:tcW w:w="1265" w:type="dxa"/>
            <w:vMerge w:val="continue"/>
            <w:vAlign w:val="center"/>
          </w:tcPr>
          <w:p w14:paraId="2768A925">
            <w:pPr>
              <w:pageBreakBefore w:val="0"/>
              <w:kinsoku/>
              <w:overflowPunct/>
              <w:bidi w:val="0"/>
              <w:spacing w:line="500" w:lineRule="exact"/>
              <w:jc w:val="center"/>
              <w:rPr>
                <w:rFonts w:hint="eastAsia" w:ascii="宋体" w:hAnsi="宋体" w:cs="宋体"/>
                <w:sz w:val="21"/>
                <w:szCs w:val="21"/>
                <w:highlight w:val="none"/>
              </w:rPr>
            </w:pPr>
          </w:p>
        </w:tc>
        <w:tc>
          <w:tcPr>
            <w:tcW w:w="2923" w:type="dxa"/>
            <w:vAlign w:val="center"/>
          </w:tcPr>
          <w:p w14:paraId="3CBB7B50">
            <w:pPr>
              <w:pageBreakBefore w:val="0"/>
              <w:kinsoku/>
              <w:overflowPunct/>
              <w:bidi w:val="0"/>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营业执照</w:t>
            </w:r>
          </w:p>
        </w:tc>
        <w:tc>
          <w:tcPr>
            <w:tcW w:w="5151" w:type="dxa"/>
            <w:vAlign w:val="center"/>
          </w:tcPr>
          <w:p w14:paraId="5550B814">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符合第二章“供应商须知前附表”第12项的规定</w:t>
            </w:r>
          </w:p>
        </w:tc>
      </w:tr>
      <w:tr w14:paraId="3C52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9" w:type="dxa"/>
            <w:vMerge w:val="continue"/>
            <w:vAlign w:val="center"/>
          </w:tcPr>
          <w:p w14:paraId="074D52E6">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39E16F1B">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1915D970">
            <w:pPr>
              <w:pStyle w:val="15"/>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参加政府采购活动近3年内无行贿犯罪记录、无商业贿赂、无不正当竞争行为、无骗取中标、无严重违约及重大工程质量等问题的承诺书</w:t>
            </w:r>
          </w:p>
        </w:tc>
        <w:tc>
          <w:tcPr>
            <w:tcW w:w="5151" w:type="dxa"/>
            <w:vAlign w:val="center"/>
          </w:tcPr>
          <w:p w14:paraId="0D304550">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符合第二章“供应商须知前附表”第12项的规定</w:t>
            </w:r>
          </w:p>
        </w:tc>
      </w:tr>
      <w:tr w14:paraId="777D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9" w:type="dxa"/>
            <w:vMerge w:val="continue"/>
            <w:vAlign w:val="center"/>
          </w:tcPr>
          <w:p w14:paraId="2BCD7A04">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0D38065C">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6D18B9B8">
            <w:pPr>
              <w:pStyle w:val="15"/>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无商业贿赂和不正当竞争行为承诺书</w:t>
            </w:r>
          </w:p>
        </w:tc>
        <w:tc>
          <w:tcPr>
            <w:tcW w:w="5151" w:type="dxa"/>
            <w:vAlign w:val="center"/>
          </w:tcPr>
          <w:p w14:paraId="4B40FA0E">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符合第二章“供应商须知前附表”第12项的规定</w:t>
            </w:r>
          </w:p>
        </w:tc>
      </w:tr>
      <w:tr w14:paraId="2DF8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9" w:type="dxa"/>
            <w:vMerge w:val="continue"/>
            <w:vAlign w:val="center"/>
          </w:tcPr>
          <w:p w14:paraId="63E7D699">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182A8899">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7FA01A64">
            <w:pPr>
              <w:pStyle w:val="15"/>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信用查询</w:t>
            </w:r>
          </w:p>
        </w:tc>
        <w:tc>
          <w:tcPr>
            <w:tcW w:w="5151" w:type="dxa"/>
            <w:vAlign w:val="center"/>
          </w:tcPr>
          <w:p w14:paraId="70DDB9FE">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符合第二章“供应商须知前附表”第12项的规定</w:t>
            </w:r>
          </w:p>
        </w:tc>
      </w:tr>
      <w:tr w14:paraId="079A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restart"/>
            <w:vAlign w:val="center"/>
          </w:tcPr>
          <w:p w14:paraId="35FC9ED0">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2.1.3</w:t>
            </w:r>
          </w:p>
        </w:tc>
        <w:tc>
          <w:tcPr>
            <w:tcW w:w="1265" w:type="dxa"/>
            <w:vMerge w:val="restart"/>
            <w:vAlign w:val="center"/>
          </w:tcPr>
          <w:p w14:paraId="0603E181">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响 应 性</w:t>
            </w:r>
          </w:p>
          <w:p w14:paraId="1D15142F">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评审标准</w:t>
            </w:r>
          </w:p>
        </w:tc>
        <w:tc>
          <w:tcPr>
            <w:tcW w:w="2923" w:type="dxa"/>
            <w:vAlign w:val="center"/>
          </w:tcPr>
          <w:p w14:paraId="33299114">
            <w:pPr>
              <w:pStyle w:val="15"/>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hAnsi="宋体" w:cs="宋体"/>
                <w:kern w:val="2"/>
                <w:sz w:val="21"/>
                <w:szCs w:val="21"/>
                <w:highlight w:val="none"/>
                <w:lang w:val="en-US" w:eastAsia="zh-CN" w:bidi="ar-SA"/>
              </w:rPr>
              <w:t>磋商</w:t>
            </w:r>
            <w:r>
              <w:rPr>
                <w:rFonts w:hint="eastAsia" w:ascii="宋体" w:hAnsi="宋体" w:eastAsia="宋体" w:cs="宋体"/>
                <w:kern w:val="2"/>
                <w:sz w:val="21"/>
                <w:szCs w:val="21"/>
                <w:highlight w:val="none"/>
                <w:lang w:val="en-US" w:eastAsia="zh-CN" w:bidi="ar-SA"/>
              </w:rPr>
              <w:t>内容</w:t>
            </w:r>
          </w:p>
        </w:tc>
        <w:tc>
          <w:tcPr>
            <w:tcW w:w="5151" w:type="dxa"/>
            <w:vAlign w:val="center"/>
          </w:tcPr>
          <w:p w14:paraId="5EB5309B">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符合第二章“供应商须知前附表”规定</w:t>
            </w:r>
          </w:p>
        </w:tc>
      </w:tr>
      <w:tr w14:paraId="3C5E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14:paraId="5FA53F6B">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0D150FEF">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7EBF84DB">
            <w:pPr>
              <w:pStyle w:val="15"/>
              <w:pageBreakBefore w:val="0"/>
              <w:kinsoku/>
              <w:overflowPunct/>
              <w:bidi w:val="0"/>
              <w:spacing w:line="5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合同履行期限/交货期</w:t>
            </w:r>
          </w:p>
        </w:tc>
        <w:tc>
          <w:tcPr>
            <w:tcW w:w="5151" w:type="dxa"/>
            <w:vAlign w:val="center"/>
          </w:tcPr>
          <w:p w14:paraId="6C22F4C9">
            <w:pPr>
              <w:pageBreakBefore w:val="0"/>
              <w:kinsoku/>
              <w:overflowPunct/>
              <w:bidi w:val="0"/>
              <w:spacing w:line="500" w:lineRule="exact"/>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符合第二章“供应商须知前附表”规定</w:t>
            </w:r>
          </w:p>
        </w:tc>
      </w:tr>
      <w:tr w14:paraId="0B16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14:paraId="4B3A8B8C">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0AA0880E">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5D739142">
            <w:pPr>
              <w:pStyle w:val="15"/>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质量标准</w:t>
            </w:r>
          </w:p>
        </w:tc>
        <w:tc>
          <w:tcPr>
            <w:tcW w:w="5151" w:type="dxa"/>
            <w:vAlign w:val="center"/>
          </w:tcPr>
          <w:p w14:paraId="0DEC0AAB">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符合第二章“供应商须知前附表”规定</w:t>
            </w:r>
          </w:p>
        </w:tc>
      </w:tr>
      <w:tr w14:paraId="73AE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14:paraId="7639F36D">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4DC215FB">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229C9849">
            <w:pPr>
              <w:pStyle w:val="15"/>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hAnsi="宋体" w:cs="宋体"/>
                <w:kern w:val="2"/>
                <w:sz w:val="21"/>
                <w:szCs w:val="21"/>
                <w:highlight w:val="none"/>
                <w:lang w:val="en-US" w:eastAsia="zh-CN" w:bidi="ar-SA"/>
              </w:rPr>
              <w:t>质保期</w:t>
            </w:r>
          </w:p>
        </w:tc>
        <w:tc>
          <w:tcPr>
            <w:tcW w:w="5151" w:type="dxa"/>
            <w:vAlign w:val="center"/>
          </w:tcPr>
          <w:p w14:paraId="3AD9C597">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符合第二章“供应商须知前附表”规定</w:t>
            </w:r>
          </w:p>
        </w:tc>
      </w:tr>
      <w:tr w14:paraId="0826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14:paraId="41E5FAA6">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52C03554">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40FFFEB8">
            <w:pPr>
              <w:pStyle w:val="15"/>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磋商有效期</w:t>
            </w:r>
          </w:p>
        </w:tc>
        <w:tc>
          <w:tcPr>
            <w:tcW w:w="5151" w:type="dxa"/>
            <w:vAlign w:val="center"/>
          </w:tcPr>
          <w:p w14:paraId="47411A6D">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符合第二章“供应商须知前附表”规定</w:t>
            </w:r>
          </w:p>
        </w:tc>
      </w:tr>
      <w:tr w14:paraId="617A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14:paraId="17C59B19">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00637335">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050FA008">
            <w:pPr>
              <w:pStyle w:val="15"/>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hAnsi="宋体" w:cs="宋体"/>
                <w:kern w:val="2"/>
                <w:sz w:val="21"/>
                <w:szCs w:val="21"/>
                <w:highlight w:val="none"/>
                <w:lang w:val="en-US" w:eastAsia="zh-CN" w:bidi="ar-SA"/>
              </w:rPr>
              <w:t>磋商</w:t>
            </w:r>
            <w:r>
              <w:rPr>
                <w:rFonts w:hint="eastAsia" w:ascii="宋体" w:hAnsi="宋体" w:eastAsia="宋体" w:cs="宋体"/>
                <w:kern w:val="2"/>
                <w:sz w:val="21"/>
                <w:szCs w:val="21"/>
                <w:highlight w:val="none"/>
                <w:lang w:val="en-US" w:eastAsia="zh-CN" w:bidi="ar-SA"/>
              </w:rPr>
              <w:t>报价</w:t>
            </w:r>
          </w:p>
        </w:tc>
        <w:tc>
          <w:tcPr>
            <w:tcW w:w="5151" w:type="dxa"/>
            <w:vAlign w:val="center"/>
          </w:tcPr>
          <w:p w14:paraId="1053499E">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w:t>
            </w:r>
            <w:r>
              <w:rPr>
                <w:rFonts w:hint="eastAsia" w:ascii="宋体" w:hAnsi="宋体" w:cs="宋体"/>
                <w:kern w:val="2"/>
                <w:sz w:val="21"/>
                <w:szCs w:val="21"/>
                <w:highlight w:val="none"/>
                <w:lang w:val="en-US" w:eastAsia="zh-CN" w:bidi="ar-SA"/>
              </w:rPr>
              <w:t>的磋商</w:t>
            </w:r>
            <w:r>
              <w:rPr>
                <w:rFonts w:hint="eastAsia" w:ascii="宋体" w:hAnsi="宋体" w:eastAsia="宋体" w:cs="宋体"/>
                <w:kern w:val="2"/>
                <w:sz w:val="21"/>
                <w:szCs w:val="21"/>
                <w:highlight w:val="none"/>
                <w:lang w:val="en-US" w:eastAsia="zh-CN" w:bidi="ar-SA"/>
              </w:rPr>
              <w:t>报价不得高于采购人公布的最高限价数额，否则按照无效响应处理。</w:t>
            </w:r>
          </w:p>
        </w:tc>
      </w:tr>
      <w:tr w14:paraId="23C2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144" w:type="dxa"/>
            <w:gridSpan w:val="2"/>
            <w:vAlign w:val="center"/>
          </w:tcPr>
          <w:p w14:paraId="58F80373">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条款号</w:t>
            </w:r>
          </w:p>
        </w:tc>
        <w:tc>
          <w:tcPr>
            <w:tcW w:w="2923" w:type="dxa"/>
            <w:vAlign w:val="center"/>
          </w:tcPr>
          <w:p w14:paraId="0DDBEA7B">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条款内容</w:t>
            </w:r>
          </w:p>
        </w:tc>
        <w:tc>
          <w:tcPr>
            <w:tcW w:w="5151" w:type="dxa"/>
            <w:vAlign w:val="center"/>
          </w:tcPr>
          <w:p w14:paraId="092D7434">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编列内容</w:t>
            </w:r>
          </w:p>
        </w:tc>
      </w:tr>
      <w:tr w14:paraId="6A69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144" w:type="dxa"/>
            <w:gridSpan w:val="2"/>
            <w:vAlign w:val="center"/>
          </w:tcPr>
          <w:p w14:paraId="79F4EA87">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2.2.1</w:t>
            </w:r>
          </w:p>
        </w:tc>
        <w:tc>
          <w:tcPr>
            <w:tcW w:w="2923" w:type="dxa"/>
            <w:vAlign w:val="center"/>
          </w:tcPr>
          <w:p w14:paraId="4D22F1EA">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分值构成</w:t>
            </w:r>
          </w:p>
          <w:p w14:paraId="5D63A2E0">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（总分100分）</w:t>
            </w:r>
          </w:p>
        </w:tc>
        <w:tc>
          <w:tcPr>
            <w:tcW w:w="5151" w:type="dxa"/>
            <w:vAlign w:val="center"/>
          </w:tcPr>
          <w:p w14:paraId="5F67E0CD">
            <w:pPr>
              <w:pageBreakBefore w:val="0"/>
              <w:kinsoku/>
              <w:overflowPunct/>
              <w:bidi w:val="0"/>
              <w:spacing w:line="500" w:lineRule="exact"/>
              <w:rPr>
                <w:rFonts w:ascii="宋体" w:hAnsi="宋体" w:cs="宋体"/>
                <w:sz w:val="21"/>
                <w:szCs w:val="21"/>
                <w:highlight w:val="none"/>
              </w:rPr>
            </w:pPr>
            <w:r>
              <w:rPr>
                <w:rFonts w:hint="eastAsia" w:ascii="宋体" w:hAnsi="宋体" w:cs="宋体"/>
                <w:sz w:val="21"/>
                <w:szCs w:val="21"/>
                <w:highlight w:val="none"/>
              </w:rPr>
              <w:t>技术标：</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50</w:t>
            </w:r>
            <w:r>
              <w:rPr>
                <w:rFonts w:hint="eastAsia" w:ascii="宋体" w:hAnsi="宋体" w:cs="宋体"/>
                <w:sz w:val="21"/>
                <w:szCs w:val="21"/>
                <w:highlight w:val="none"/>
                <w:u w:val="single"/>
              </w:rPr>
              <w:t xml:space="preserve"> </w:t>
            </w:r>
            <w:r>
              <w:rPr>
                <w:rFonts w:hint="eastAsia" w:ascii="宋体" w:hAnsi="宋体" w:cs="宋体"/>
                <w:sz w:val="21"/>
                <w:szCs w:val="21"/>
                <w:highlight w:val="none"/>
              </w:rPr>
              <w:t>分</w:t>
            </w:r>
          </w:p>
          <w:p w14:paraId="01C16AA4">
            <w:pPr>
              <w:pageBreakBefore w:val="0"/>
              <w:kinsoku/>
              <w:overflowPunct/>
              <w:bidi w:val="0"/>
              <w:spacing w:line="500" w:lineRule="exact"/>
              <w:rPr>
                <w:rFonts w:ascii="宋体" w:hAnsi="宋体" w:cs="宋体"/>
                <w:sz w:val="21"/>
                <w:szCs w:val="21"/>
                <w:highlight w:val="none"/>
              </w:rPr>
            </w:pPr>
            <w:r>
              <w:rPr>
                <w:rFonts w:hint="eastAsia" w:ascii="宋体" w:hAnsi="宋体" w:cs="宋体"/>
                <w:sz w:val="21"/>
                <w:szCs w:val="21"/>
                <w:highlight w:val="none"/>
              </w:rPr>
              <w:t>商务标：</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30</w:t>
            </w:r>
            <w:r>
              <w:rPr>
                <w:rFonts w:hint="eastAsia" w:ascii="宋体" w:hAnsi="宋体" w:cs="宋体"/>
                <w:sz w:val="21"/>
                <w:szCs w:val="21"/>
                <w:highlight w:val="none"/>
                <w:u w:val="single"/>
              </w:rPr>
              <w:t xml:space="preserve"> </w:t>
            </w:r>
            <w:r>
              <w:rPr>
                <w:rFonts w:hint="eastAsia" w:ascii="宋体" w:hAnsi="宋体" w:cs="宋体"/>
                <w:sz w:val="21"/>
                <w:szCs w:val="21"/>
                <w:highlight w:val="none"/>
              </w:rPr>
              <w:t>分</w:t>
            </w:r>
          </w:p>
          <w:p w14:paraId="6A5CC1C9">
            <w:pPr>
              <w:pageBreakBefore w:val="0"/>
              <w:kinsoku/>
              <w:overflowPunct/>
              <w:bidi w:val="0"/>
              <w:spacing w:line="500" w:lineRule="exact"/>
              <w:rPr>
                <w:rFonts w:ascii="宋体" w:hAnsi="宋体" w:cs="宋体"/>
                <w:sz w:val="21"/>
                <w:szCs w:val="21"/>
                <w:highlight w:val="none"/>
              </w:rPr>
            </w:pPr>
            <w:r>
              <w:rPr>
                <w:rFonts w:hint="eastAsia" w:ascii="宋体" w:hAnsi="宋体" w:cs="宋体"/>
                <w:sz w:val="21"/>
                <w:szCs w:val="21"/>
                <w:highlight w:val="none"/>
              </w:rPr>
              <w:t>综合标：</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20</w:t>
            </w:r>
            <w:r>
              <w:rPr>
                <w:rFonts w:hint="eastAsia" w:ascii="宋体" w:hAnsi="宋体" w:cs="宋体"/>
                <w:sz w:val="21"/>
                <w:szCs w:val="21"/>
                <w:highlight w:val="none"/>
                <w:u w:val="single"/>
              </w:rPr>
              <w:t xml:space="preserve"> </w:t>
            </w:r>
            <w:r>
              <w:rPr>
                <w:rFonts w:hint="eastAsia" w:ascii="宋体" w:hAnsi="宋体" w:cs="宋体"/>
                <w:sz w:val="21"/>
                <w:szCs w:val="21"/>
                <w:highlight w:val="none"/>
              </w:rPr>
              <w:t>分</w:t>
            </w:r>
          </w:p>
        </w:tc>
      </w:tr>
      <w:tr w14:paraId="6EF4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144" w:type="dxa"/>
            <w:gridSpan w:val="2"/>
            <w:vAlign w:val="center"/>
          </w:tcPr>
          <w:p w14:paraId="4B3C2A7C">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条款号</w:t>
            </w:r>
          </w:p>
        </w:tc>
        <w:tc>
          <w:tcPr>
            <w:tcW w:w="2923" w:type="dxa"/>
            <w:vAlign w:val="center"/>
          </w:tcPr>
          <w:p w14:paraId="40B2261B">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评分因素</w:t>
            </w:r>
          </w:p>
        </w:tc>
        <w:tc>
          <w:tcPr>
            <w:tcW w:w="5151" w:type="dxa"/>
            <w:vAlign w:val="center"/>
          </w:tcPr>
          <w:p w14:paraId="08358A1A">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评分标准</w:t>
            </w:r>
          </w:p>
        </w:tc>
      </w:tr>
      <w:tr w14:paraId="7E11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79" w:type="dxa"/>
            <w:vMerge w:val="restart"/>
            <w:vAlign w:val="center"/>
          </w:tcPr>
          <w:p w14:paraId="6B996A08">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2.2.2</w:t>
            </w:r>
          </w:p>
          <w:p w14:paraId="458052B0">
            <w:pPr>
              <w:pageBreakBefore w:val="0"/>
              <w:kinsoku/>
              <w:overflowPunct/>
              <w:bidi w:val="0"/>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p>
        </w:tc>
        <w:tc>
          <w:tcPr>
            <w:tcW w:w="1265" w:type="dxa"/>
            <w:vMerge w:val="restart"/>
            <w:vAlign w:val="center"/>
          </w:tcPr>
          <w:p w14:paraId="2999D50B">
            <w:pPr>
              <w:pageBreakBefore w:val="0"/>
              <w:kinsoku/>
              <w:overflowPunct/>
              <w:bidi w:val="0"/>
              <w:spacing w:line="50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技术部分评分标准（</w:t>
            </w:r>
            <w:r>
              <w:rPr>
                <w:rFonts w:hint="eastAsia" w:ascii="宋体" w:hAnsi="宋体" w:cs="宋体"/>
                <w:sz w:val="21"/>
                <w:szCs w:val="21"/>
                <w:highlight w:val="none"/>
                <w:lang w:val="en-US" w:eastAsia="zh-CN"/>
              </w:rPr>
              <w:t>50分</w:t>
            </w:r>
            <w:r>
              <w:rPr>
                <w:rFonts w:hint="eastAsia" w:ascii="宋体" w:hAnsi="宋体" w:cs="宋体"/>
                <w:sz w:val="21"/>
                <w:szCs w:val="21"/>
                <w:highlight w:val="none"/>
                <w:lang w:eastAsia="zh-CN"/>
              </w:rPr>
              <w:t>）</w:t>
            </w:r>
          </w:p>
        </w:tc>
        <w:tc>
          <w:tcPr>
            <w:tcW w:w="2923" w:type="dxa"/>
            <w:vAlign w:val="center"/>
          </w:tcPr>
          <w:p w14:paraId="374ED469">
            <w:pPr>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技术响应程度（</w:t>
            </w:r>
            <w:r>
              <w:rPr>
                <w:rFonts w:hint="eastAsia" w:ascii="宋体" w:hAnsi="宋体" w:cs="宋体"/>
                <w:sz w:val="21"/>
                <w:szCs w:val="21"/>
                <w:highlight w:val="none"/>
                <w:lang w:val="en-US" w:eastAsia="zh-CN"/>
              </w:rPr>
              <w:t>10分</w:t>
            </w:r>
            <w:r>
              <w:rPr>
                <w:rFonts w:hint="eastAsia" w:ascii="宋体" w:hAnsi="宋体" w:cs="宋体"/>
                <w:sz w:val="21"/>
                <w:szCs w:val="21"/>
                <w:highlight w:val="none"/>
                <w:lang w:eastAsia="zh-CN"/>
              </w:rPr>
              <w:t>）</w:t>
            </w:r>
          </w:p>
        </w:tc>
        <w:tc>
          <w:tcPr>
            <w:tcW w:w="5151" w:type="dxa"/>
            <w:vAlign w:val="center"/>
          </w:tcPr>
          <w:p w14:paraId="70669DC1">
            <w:pPr>
              <w:pageBreakBefore w:val="0"/>
              <w:kinsoku/>
              <w:overflowPunct/>
              <w:bidi w:val="0"/>
              <w:spacing w:line="5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供应商所投货物的技术参数、性能指标能够全部满足</w:t>
            </w:r>
            <w:r>
              <w:rPr>
                <w:rFonts w:hint="eastAsia" w:ascii="宋体" w:hAnsi="宋体" w:cs="宋体"/>
                <w:kern w:val="2"/>
                <w:sz w:val="21"/>
                <w:szCs w:val="21"/>
                <w:highlight w:val="none"/>
                <w:lang w:val="en-US" w:eastAsia="zh-CN" w:bidi="ar-SA"/>
              </w:rPr>
              <w:t>或优于</w:t>
            </w:r>
            <w:r>
              <w:rPr>
                <w:rFonts w:hint="eastAsia" w:ascii="宋体" w:hAnsi="宋体" w:eastAsia="宋体" w:cs="宋体"/>
                <w:kern w:val="2"/>
                <w:sz w:val="21"/>
                <w:szCs w:val="21"/>
                <w:highlight w:val="none"/>
                <w:lang w:val="en-US" w:eastAsia="zh-CN" w:bidi="ar-SA"/>
              </w:rPr>
              <w:t>磋商文件要求得</w:t>
            </w:r>
            <w:r>
              <w:rPr>
                <w:rFonts w:hint="eastAsia" w:ascii="宋体" w:hAnsi="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分；技术</w:t>
            </w:r>
            <w:r>
              <w:rPr>
                <w:rFonts w:hint="eastAsia" w:ascii="宋体" w:hAnsi="宋体" w:cs="宋体"/>
                <w:kern w:val="2"/>
                <w:sz w:val="21"/>
                <w:szCs w:val="21"/>
                <w:highlight w:val="none"/>
                <w:lang w:val="en-US" w:eastAsia="zh-CN" w:bidi="ar-SA"/>
              </w:rPr>
              <w:t>参数</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性能指标低于</w:t>
            </w:r>
            <w:r>
              <w:rPr>
                <w:rFonts w:hint="eastAsia" w:ascii="宋体" w:hAnsi="宋体" w:eastAsia="宋体" w:cs="宋体"/>
                <w:kern w:val="2"/>
                <w:sz w:val="21"/>
                <w:szCs w:val="21"/>
                <w:highlight w:val="none"/>
                <w:lang w:val="en-US" w:eastAsia="zh-CN" w:bidi="ar-SA"/>
              </w:rPr>
              <w:t>磋商文件要求的，由磋商小组对所</w:t>
            </w:r>
            <w:r>
              <w:rPr>
                <w:rFonts w:hint="eastAsia" w:ascii="宋体" w:hAnsi="宋体" w:cs="宋体"/>
                <w:kern w:val="2"/>
                <w:sz w:val="21"/>
                <w:szCs w:val="21"/>
                <w:highlight w:val="none"/>
                <w:lang w:val="en-US" w:eastAsia="zh-CN" w:bidi="ar-SA"/>
              </w:rPr>
              <w:t>响应</w:t>
            </w:r>
            <w:r>
              <w:rPr>
                <w:rFonts w:hint="eastAsia" w:ascii="宋体" w:hAnsi="宋体" w:eastAsia="宋体" w:cs="宋体"/>
                <w:kern w:val="2"/>
                <w:sz w:val="21"/>
                <w:szCs w:val="21"/>
                <w:highlight w:val="none"/>
                <w:lang w:val="en-US" w:eastAsia="zh-CN" w:bidi="ar-SA"/>
              </w:rPr>
              <w:t>产品偏离内容进行</w:t>
            </w:r>
            <w:r>
              <w:rPr>
                <w:rFonts w:hint="eastAsia" w:ascii="宋体" w:hAnsi="宋体" w:cs="宋体"/>
                <w:kern w:val="2"/>
                <w:sz w:val="21"/>
                <w:szCs w:val="21"/>
                <w:highlight w:val="none"/>
                <w:lang w:val="en-US" w:eastAsia="zh-CN" w:bidi="ar-SA"/>
              </w:rPr>
              <w:t>扣分</w:t>
            </w:r>
            <w:r>
              <w:rPr>
                <w:rFonts w:hint="eastAsia" w:ascii="宋体" w:hAnsi="宋体" w:eastAsia="宋体" w:cs="宋体"/>
                <w:kern w:val="2"/>
                <w:sz w:val="21"/>
                <w:szCs w:val="21"/>
                <w:highlight w:val="none"/>
                <w:lang w:val="en-US" w:eastAsia="zh-CN" w:bidi="ar-SA"/>
              </w:rPr>
              <w:t>，每</w:t>
            </w:r>
            <w:r>
              <w:rPr>
                <w:rFonts w:hint="eastAsia" w:ascii="宋体" w:hAnsi="宋体" w:cs="宋体"/>
                <w:kern w:val="2"/>
                <w:sz w:val="21"/>
                <w:szCs w:val="21"/>
                <w:highlight w:val="none"/>
                <w:lang w:val="en-US" w:eastAsia="zh-CN" w:bidi="ar-SA"/>
              </w:rPr>
              <w:t>有</w:t>
            </w:r>
            <w:r>
              <w:rPr>
                <w:rFonts w:hint="eastAsia" w:ascii="宋体" w:hAnsi="宋体" w:eastAsia="宋体" w:cs="宋体"/>
                <w:kern w:val="2"/>
                <w:sz w:val="21"/>
                <w:szCs w:val="21"/>
                <w:highlight w:val="none"/>
                <w:lang w:val="en-US" w:eastAsia="zh-CN" w:bidi="ar-SA"/>
              </w:rPr>
              <w:t>一个</w:t>
            </w:r>
            <w:r>
              <w:rPr>
                <w:rFonts w:hint="eastAsia" w:ascii="宋体" w:hAnsi="宋体" w:cs="宋体"/>
                <w:kern w:val="2"/>
                <w:sz w:val="21"/>
                <w:szCs w:val="21"/>
                <w:highlight w:val="none"/>
                <w:lang w:val="en-US" w:eastAsia="zh-CN" w:bidi="ar-SA"/>
              </w:rPr>
              <w:t>负</w:t>
            </w:r>
            <w:r>
              <w:rPr>
                <w:rFonts w:hint="eastAsia" w:ascii="宋体" w:hAnsi="宋体" w:eastAsia="宋体" w:cs="宋体"/>
                <w:kern w:val="2"/>
                <w:sz w:val="21"/>
                <w:szCs w:val="21"/>
                <w:highlight w:val="none"/>
                <w:lang w:val="en-US" w:eastAsia="zh-CN" w:bidi="ar-SA"/>
              </w:rPr>
              <w:t>偏离</w:t>
            </w:r>
            <w:r>
              <w:rPr>
                <w:rFonts w:hint="eastAsia" w:ascii="宋体" w:hAnsi="宋体" w:cs="宋体"/>
                <w:kern w:val="2"/>
                <w:sz w:val="21"/>
                <w:szCs w:val="21"/>
                <w:highlight w:val="none"/>
                <w:lang w:val="en-US" w:eastAsia="zh-CN" w:bidi="ar-SA"/>
              </w:rPr>
              <w:t>扣1</w:t>
            </w:r>
            <w:r>
              <w:rPr>
                <w:rFonts w:hint="eastAsia" w:ascii="宋体" w:hAnsi="宋体" w:eastAsia="宋体" w:cs="宋体"/>
                <w:kern w:val="2"/>
                <w:sz w:val="21"/>
                <w:szCs w:val="21"/>
                <w:highlight w:val="none"/>
                <w:lang w:val="en-US" w:eastAsia="zh-CN" w:bidi="ar-SA"/>
              </w:rPr>
              <w:t>分，</w:t>
            </w:r>
            <w:r>
              <w:rPr>
                <w:rFonts w:hint="eastAsia" w:ascii="宋体" w:hAnsi="宋体" w:cs="宋体"/>
                <w:kern w:val="2"/>
                <w:sz w:val="21"/>
                <w:szCs w:val="21"/>
                <w:highlight w:val="none"/>
                <w:lang w:val="en-US" w:eastAsia="zh-CN" w:bidi="ar-SA"/>
              </w:rPr>
              <w:t>扣完为止</w:t>
            </w:r>
            <w:r>
              <w:rPr>
                <w:rFonts w:hint="eastAsia" w:ascii="宋体" w:hAnsi="宋体" w:eastAsia="宋体" w:cs="宋体"/>
                <w:kern w:val="2"/>
                <w:sz w:val="21"/>
                <w:szCs w:val="21"/>
                <w:highlight w:val="none"/>
                <w:lang w:val="en-US" w:eastAsia="zh-CN" w:bidi="ar-SA"/>
              </w:rPr>
              <w:t>。</w:t>
            </w:r>
          </w:p>
        </w:tc>
      </w:tr>
      <w:tr w14:paraId="642A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vMerge w:val="continue"/>
            <w:vAlign w:val="center"/>
          </w:tcPr>
          <w:p w14:paraId="6C4546E4">
            <w:pPr>
              <w:pageBreakBefore w:val="0"/>
              <w:kinsoku/>
              <w:overflowPunct/>
              <w:bidi w:val="0"/>
              <w:spacing w:line="500" w:lineRule="exact"/>
              <w:jc w:val="center"/>
              <w:rPr>
                <w:sz w:val="21"/>
                <w:szCs w:val="21"/>
                <w:highlight w:val="none"/>
              </w:rPr>
            </w:pPr>
          </w:p>
        </w:tc>
        <w:tc>
          <w:tcPr>
            <w:tcW w:w="1265" w:type="dxa"/>
            <w:vMerge w:val="continue"/>
            <w:vAlign w:val="center"/>
          </w:tcPr>
          <w:p w14:paraId="446AFB4F">
            <w:pPr>
              <w:pageBreakBefore w:val="0"/>
              <w:kinsoku/>
              <w:overflowPunct/>
              <w:bidi w:val="0"/>
              <w:spacing w:line="500" w:lineRule="exact"/>
              <w:jc w:val="center"/>
              <w:rPr>
                <w:sz w:val="21"/>
                <w:szCs w:val="21"/>
                <w:highlight w:val="none"/>
              </w:rPr>
            </w:pPr>
          </w:p>
        </w:tc>
        <w:tc>
          <w:tcPr>
            <w:tcW w:w="2923" w:type="dxa"/>
            <w:vAlign w:val="center"/>
          </w:tcPr>
          <w:p w14:paraId="5D9119F4">
            <w:pPr>
              <w:pageBreakBefore w:val="0"/>
              <w:kinsoku/>
              <w:overflowPunct/>
              <w:bidi w:val="0"/>
              <w:spacing w:line="50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安装方案（</w:t>
            </w:r>
            <w:r>
              <w:rPr>
                <w:rFonts w:hint="eastAsia" w:ascii="宋体" w:hAnsi="宋体" w:cs="宋体"/>
                <w:sz w:val="21"/>
                <w:szCs w:val="21"/>
                <w:highlight w:val="none"/>
                <w:lang w:val="en-US" w:eastAsia="zh-CN"/>
              </w:rPr>
              <w:t>8分</w:t>
            </w:r>
            <w:r>
              <w:rPr>
                <w:rFonts w:hint="eastAsia" w:ascii="宋体" w:hAnsi="宋体" w:cs="宋体"/>
                <w:sz w:val="21"/>
                <w:szCs w:val="21"/>
                <w:highlight w:val="none"/>
                <w:lang w:eastAsia="zh-CN"/>
              </w:rPr>
              <w:t>）</w:t>
            </w:r>
          </w:p>
        </w:tc>
        <w:tc>
          <w:tcPr>
            <w:tcW w:w="5151" w:type="dxa"/>
            <w:vAlign w:val="center"/>
          </w:tcPr>
          <w:p w14:paraId="3DB2A0A8">
            <w:pPr>
              <w:keepNext w:val="0"/>
              <w:keepLines w:val="0"/>
              <w:pageBreakBefore w:val="0"/>
              <w:widowControl/>
              <w:suppressLineNumbers w:val="0"/>
              <w:kinsoku/>
              <w:overflowPunct/>
              <w:bidi w:val="0"/>
              <w:spacing w:line="500" w:lineRule="exact"/>
              <w:jc w:val="left"/>
              <w:rPr>
                <w:rFonts w:ascii="宋体" w:hAnsi="宋体" w:cs="宋体"/>
                <w:sz w:val="21"/>
                <w:szCs w:val="21"/>
                <w:highlight w:val="none"/>
              </w:rPr>
            </w:pPr>
            <w:r>
              <w:rPr>
                <w:rFonts w:hint="eastAsia" w:ascii="宋体" w:hAnsi="宋体" w:eastAsia="宋体" w:cs="宋体"/>
                <w:color w:val="000000"/>
                <w:kern w:val="0"/>
                <w:sz w:val="21"/>
                <w:szCs w:val="21"/>
                <w:highlight w:val="none"/>
                <w:lang w:val="en-US" w:eastAsia="zh-CN" w:bidi="ar"/>
              </w:rPr>
              <w:t>提出完整的安装方案、应急方案；内容详实，科学、合理、安全，考虑周全措施到位，针对性强，完全能够满足</w:t>
            </w:r>
            <w:r>
              <w:rPr>
                <w:rFonts w:hint="eastAsia" w:ascii="宋体" w:hAnsi="宋体" w:cs="宋体"/>
                <w:color w:val="000000"/>
                <w:kern w:val="0"/>
                <w:sz w:val="21"/>
                <w:szCs w:val="21"/>
                <w:highlight w:val="none"/>
                <w:lang w:val="en-US" w:eastAsia="zh-CN" w:bidi="ar"/>
              </w:rPr>
              <w:t>采购</w:t>
            </w:r>
            <w:r>
              <w:rPr>
                <w:rFonts w:hint="eastAsia" w:ascii="宋体" w:hAnsi="宋体" w:eastAsia="宋体" w:cs="宋体"/>
                <w:color w:val="000000"/>
                <w:kern w:val="0"/>
                <w:sz w:val="21"/>
                <w:szCs w:val="21"/>
                <w:highlight w:val="none"/>
                <w:lang w:val="en-US" w:eastAsia="zh-CN" w:bidi="ar"/>
              </w:rPr>
              <w:t>的需要者</w:t>
            </w:r>
            <w:r>
              <w:rPr>
                <w:rFonts w:hint="eastAsia" w:ascii="宋体" w:hAnsi="宋体" w:cs="宋体"/>
                <w:color w:val="000000"/>
                <w:kern w:val="0"/>
                <w:sz w:val="21"/>
                <w:szCs w:val="21"/>
                <w:highlight w:val="none"/>
                <w:lang w:val="en-US" w:eastAsia="zh-CN" w:bidi="ar"/>
              </w:rPr>
              <w:t>，得8分；内容完整，基本科学、合理、安全，基本考虑周全，措施基本到位，可以满足采购的基本需要，但有个别细节需要进一步完善或提高者，得5分；内容差或者不完整得2分。未提供不得分；</w:t>
            </w:r>
          </w:p>
        </w:tc>
      </w:tr>
      <w:tr w14:paraId="1AE9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vMerge w:val="continue"/>
            <w:vAlign w:val="center"/>
          </w:tcPr>
          <w:p w14:paraId="3898E6FF">
            <w:pPr>
              <w:pageBreakBefore w:val="0"/>
              <w:kinsoku/>
              <w:overflowPunct/>
              <w:bidi w:val="0"/>
              <w:spacing w:line="500" w:lineRule="exact"/>
              <w:jc w:val="center"/>
              <w:rPr>
                <w:sz w:val="21"/>
                <w:szCs w:val="21"/>
                <w:highlight w:val="none"/>
              </w:rPr>
            </w:pPr>
          </w:p>
        </w:tc>
        <w:tc>
          <w:tcPr>
            <w:tcW w:w="1265" w:type="dxa"/>
            <w:vMerge w:val="continue"/>
            <w:vAlign w:val="center"/>
          </w:tcPr>
          <w:p w14:paraId="2D5B22B3">
            <w:pPr>
              <w:pageBreakBefore w:val="0"/>
              <w:kinsoku/>
              <w:overflowPunct/>
              <w:bidi w:val="0"/>
              <w:spacing w:line="500" w:lineRule="exact"/>
              <w:jc w:val="center"/>
              <w:rPr>
                <w:sz w:val="21"/>
                <w:szCs w:val="21"/>
                <w:highlight w:val="none"/>
              </w:rPr>
            </w:pPr>
          </w:p>
        </w:tc>
        <w:tc>
          <w:tcPr>
            <w:tcW w:w="2923" w:type="dxa"/>
            <w:vAlign w:val="center"/>
          </w:tcPr>
          <w:p w14:paraId="37892A2B">
            <w:pPr>
              <w:pageBreakBefore w:val="0"/>
              <w:kinsoku/>
              <w:overflowPunct/>
              <w:bidi w:val="0"/>
              <w:spacing w:line="50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质量保证措施</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8分</w:t>
            </w:r>
            <w:r>
              <w:rPr>
                <w:rFonts w:hint="eastAsia" w:ascii="宋体" w:hAnsi="宋体" w:cs="宋体"/>
                <w:sz w:val="21"/>
                <w:szCs w:val="21"/>
                <w:highlight w:val="none"/>
                <w:lang w:eastAsia="zh-CN"/>
              </w:rPr>
              <w:t>）</w:t>
            </w:r>
          </w:p>
        </w:tc>
        <w:tc>
          <w:tcPr>
            <w:tcW w:w="5151" w:type="dxa"/>
            <w:vAlign w:val="center"/>
          </w:tcPr>
          <w:p w14:paraId="14CD85F6">
            <w:pPr>
              <w:keepNext w:val="0"/>
              <w:keepLines w:val="0"/>
              <w:pageBreakBefore w:val="0"/>
              <w:widowControl/>
              <w:suppressLineNumbers w:val="0"/>
              <w:kinsoku/>
              <w:overflowPunct/>
              <w:bidi w:val="0"/>
              <w:spacing w:line="500" w:lineRule="exact"/>
              <w:jc w:val="left"/>
              <w:rPr>
                <w:rFonts w:hint="default"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详细说明本项目设备安装准备阶段、安装阶段、试运转阶段、现场安装质量、安装中临时事件及突发事件的处理情况；</w:t>
            </w:r>
            <w:r>
              <w:rPr>
                <w:rFonts w:hint="eastAsia" w:ascii="宋体" w:hAnsi="宋体" w:eastAsia="宋体" w:cs="宋体"/>
                <w:color w:val="000000"/>
                <w:kern w:val="0"/>
                <w:sz w:val="21"/>
                <w:szCs w:val="21"/>
                <w:highlight w:val="none"/>
                <w:lang w:val="en-US" w:eastAsia="zh-CN" w:bidi="ar"/>
              </w:rPr>
              <w:t>内容具体全面，可操作性强的，得</w:t>
            </w:r>
            <w:r>
              <w:rPr>
                <w:rFonts w:hint="eastAsia" w:ascii="宋体" w:hAnsi="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val="en-US" w:eastAsia="zh-CN" w:bidi="ar"/>
              </w:rPr>
              <w:t>分；内容片面的或可操作性不强的，得</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分；可操作性差的，得</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分；没有不得分</w:t>
            </w:r>
            <w:r>
              <w:rPr>
                <w:rFonts w:hint="default" w:ascii="宋体" w:hAnsi="宋体" w:eastAsia="宋体" w:cs="宋体"/>
                <w:color w:val="000000"/>
                <w:kern w:val="0"/>
                <w:sz w:val="21"/>
                <w:szCs w:val="21"/>
                <w:highlight w:val="none"/>
                <w:lang w:val="en-US" w:eastAsia="zh-CN" w:bidi="ar"/>
              </w:rPr>
              <w:t>。</w:t>
            </w:r>
          </w:p>
        </w:tc>
      </w:tr>
      <w:tr w14:paraId="24AE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vMerge w:val="continue"/>
            <w:vAlign w:val="center"/>
          </w:tcPr>
          <w:p w14:paraId="249DA82A">
            <w:pPr>
              <w:pageBreakBefore w:val="0"/>
              <w:kinsoku/>
              <w:overflowPunct/>
              <w:bidi w:val="0"/>
              <w:spacing w:line="500" w:lineRule="exact"/>
              <w:jc w:val="center"/>
              <w:rPr>
                <w:sz w:val="21"/>
                <w:szCs w:val="21"/>
                <w:highlight w:val="none"/>
              </w:rPr>
            </w:pPr>
          </w:p>
        </w:tc>
        <w:tc>
          <w:tcPr>
            <w:tcW w:w="1265" w:type="dxa"/>
            <w:vMerge w:val="continue"/>
            <w:vAlign w:val="center"/>
          </w:tcPr>
          <w:p w14:paraId="5D160F02">
            <w:pPr>
              <w:pageBreakBefore w:val="0"/>
              <w:kinsoku/>
              <w:overflowPunct/>
              <w:bidi w:val="0"/>
              <w:spacing w:line="500" w:lineRule="exact"/>
              <w:jc w:val="center"/>
              <w:rPr>
                <w:sz w:val="21"/>
                <w:szCs w:val="21"/>
                <w:highlight w:val="none"/>
              </w:rPr>
            </w:pPr>
          </w:p>
        </w:tc>
        <w:tc>
          <w:tcPr>
            <w:tcW w:w="2923" w:type="dxa"/>
            <w:vAlign w:val="center"/>
          </w:tcPr>
          <w:p w14:paraId="08B1F322">
            <w:pPr>
              <w:pageBreakBefore w:val="0"/>
              <w:kinsoku/>
              <w:overflowPunct/>
              <w:bidi w:val="0"/>
              <w:spacing w:line="50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实施计划（8分）</w:t>
            </w:r>
          </w:p>
        </w:tc>
        <w:tc>
          <w:tcPr>
            <w:tcW w:w="5151" w:type="dxa"/>
            <w:vAlign w:val="center"/>
          </w:tcPr>
          <w:p w14:paraId="6AB1D6AD">
            <w:pPr>
              <w:keepNext w:val="0"/>
              <w:keepLines w:val="0"/>
              <w:pageBreakBefore w:val="0"/>
              <w:widowControl/>
              <w:suppressLineNumbers w:val="0"/>
              <w:kinsoku/>
              <w:overflowPunct/>
              <w:bidi w:val="0"/>
              <w:spacing w:line="500" w:lineRule="exact"/>
              <w:jc w:val="left"/>
              <w:rPr>
                <w:rFonts w:hint="default"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提供实施计划方案，符合本项目实际情况，有完整的实施计划方案，且科学可行得</w:t>
            </w:r>
            <w:r>
              <w:rPr>
                <w:rFonts w:hint="eastAsia" w:ascii="宋体" w:hAnsi="宋体" w:cs="宋体"/>
                <w:color w:val="000000"/>
                <w:kern w:val="0"/>
                <w:sz w:val="21"/>
                <w:szCs w:val="21"/>
                <w:highlight w:val="none"/>
                <w:lang w:val="en-US" w:eastAsia="zh-CN" w:bidi="ar"/>
              </w:rPr>
              <w:t>8</w:t>
            </w:r>
            <w:r>
              <w:rPr>
                <w:rFonts w:hint="default" w:ascii="宋体" w:hAnsi="宋体" w:eastAsia="宋体" w:cs="宋体"/>
                <w:color w:val="000000"/>
                <w:kern w:val="0"/>
                <w:sz w:val="21"/>
                <w:szCs w:val="21"/>
                <w:highlight w:val="none"/>
                <w:lang w:val="en-US" w:eastAsia="zh-CN" w:bidi="ar"/>
              </w:rPr>
              <w:t>分。</w:t>
            </w:r>
          </w:p>
          <w:p w14:paraId="484807FD">
            <w:pPr>
              <w:keepNext w:val="0"/>
              <w:keepLines w:val="0"/>
              <w:pageBreakBefore w:val="0"/>
              <w:widowControl/>
              <w:suppressLineNumbers w:val="0"/>
              <w:kinsoku/>
              <w:overflowPunct/>
              <w:bidi w:val="0"/>
              <w:spacing w:line="500" w:lineRule="exact"/>
              <w:jc w:val="left"/>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提</w:t>
            </w:r>
            <w:r>
              <w:rPr>
                <w:rFonts w:hint="default" w:ascii="宋体" w:hAnsi="宋体" w:eastAsia="宋体" w:cs="宋体"/>
                <w:color w:val="000000"/>
                <w:kern w:val="0"/>
                <w:sz w:val="21"/>
                <w:szCs w:val="21"/>
                <w:highlight w:val="none"/>
                <w:lang w:val="en-US" w:eastAsia="zh-CN" w:bidi="ar"/>
              </w:rPr>
              <w:t>供提实施计划方案，基本符合本项目实际情况，有较完整实施计划方案，较科学可行得</w:t>
            </w:r>
            <w:r>
              <w:rPr>
                <w:rFonts w:hint="eastAsia" w:ascii="宋体" w:hAnsi="宋体" w:cs="宋体"/>
                <w:color w:val="000000"/>
                <w:kern w:val="0"/>
                <w:sz w:val="21"/>
                <w:szCs w:val="21"/>
                <w:highlight w:val="none"/>
                <w:lang w:val="en-US" w:eastAsia="zh-CN" w:bidi="ar"/>
              </w:rPr>
              <w:t>5</w:t>
            </w:r>
            <w:r>
              <w:rPr>
                <w:rFonts w:hint="default" w:ascii="宋体" w:hAnsi="宋体" w:eastAsia="宋体" w:cs="宋体"/>
                <w:color w:val="000000"/>
                <w:kern w:val="0"/>
                <w:sz w:val="21"/>
                <w:szCs w:val="21"/>
                <w:highlight w:val="none"/>
                <w:lang w:val="en-US" w:eastAsia="zh-CN" w:bidi="ar"/>
              </w:rPr>
              <w:t>分。</w:t>
            </w:r>
          </w:p>
          <w:p w14:paraId="33727EB1">
            <w:pPr>
              <w:keepNext w:val="0"/>
              <w:keepLines w:val="0"/>
              <w:pageBreakBefore w:val="0"/>
              <w:widowControl/>
              <w:suppressLineNumbers w:val="0"/>
              <w:kinsoku/>
              <w:overflowPunct/>
              <w:bidi w:val="0"/>
              <w:spacing w:line="500" w:lineRule="exact"/>
              <w:jc w:val="left"/>
              <w:rPr>
                <w:rFonts w:hint="default"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 xml:space="preserve"> 内容差或者不完整得</w:t>
            </w:r>
            <w:r>
              <w:rPr>
                <w:rFonts w:hint="eastAsia" w:ascii="宋体" w:hAnsi="宋体" w:cs="宋体"/>
                <w:color w:val="000000"/>
                <w:kern w:val="0"/>
                <w:sz w:val="21"/>
                <w:szCs w:val="21"/>
                <w:highlight w:val="none"/>
                <w:lang w:val="en-US" w:eastAsia="zh-CN" w:bidi="ar"/>
              </w:rPr>
              <w:t>2</w:t>
            </w:r>
            <w:r>
              <w:rPr>
                <w:rFonts w:hint="default" w:ascii="宋体" w:hAnsi="宋体" w:eastAsia="宋体" w:cs="宋体"/>
                <w:color w:val="000000"/>
                <w:kern w:val="0"/>
                <w:sz w:val="21"/>
                <w:szCs w:val="21"/>
                <w:highlight w:val="none"/>
                <w:lang w:val="en-US" w:eastAsia="zh-CN" w:bidi="ar"/>
              </w:rPr>
              <w:t>分，未提供不得分。</w:t>
            </w:r>
          </w:p>
        </w:tc>
      </w:tr>
      <w:tr w14:paraId="67E8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vMerge w:val="continue"/>
            <w:vAlign w:val="center"/>
          </w:tcPr>
          <w:p w14:paraId="4CA775CD">
            <w:pPr>
              <w:pageBreakBefore w:val="0"/>
              <w:kinsoku/>
              <w:overflowPunct/>
              <w:bidi w:val="0"/>
              <w:spacing w:line="500" w:lineRule="exact"/>
              <w:jc w:val="center"/>
              <w:rPr>
                <w:sz w:val="21"/>
                <w:szCs w:val="21"/>
                <w:highlight w:val="none"/>
              </w:rPr>
            </w:pPr>
          </w:p>
        </w:tc>
        <w:tc>
          <w:tcPr>
            <w:tcW w:w="1265" w:type="dxa"/>
            <w:vMerge w:val="continue"/>
            <w:vAlign w:val="center"/>
          </w:tcPr>
          <w:p w14:paraId="2B8EBBED">
            <w:pPr>
              <w:pageBreakBefore w:val="0"/>
              <w:kinsoku/>
              <w:overflowPunct/>
              <w:bidi w:val="0"/>
              <w:spacing w:line="500" w:lineRule="exact"/>
              <w:jc w:val="center"/>
              <w:rPr>
                <w:sz w:val="21"/>
                <w:szCs w:val="21"/>
                <w:highlight w:val="none"/>
              </w:rPr>
            </w:pPr>
          </w:p>
        </w:tc>
        <w:tc>
          <w:tcPr>
            <w:tcW w:w="2923" w:type="dxa"/>
            <w:vAlign w:val="center"/>
          </w:tcPr>
          <w:p w14:paraId="6A7D8D04">
            <w:pPr>
              <w:keepNext w:val="0"/>
              <w:keepLines w:val="0"/>
              <w:pageBreakBefore w:val="0"/>
              <w:widowControl/>
              <w:suppressLineNumbers w:val="0"/>
              <w:kinsoku/>
              <w:overflowPunct/>
              <w:bidi w:val="0"/>
              <w:spacing w:line="500" w:lineRule="exact"/>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运输供货保障方案（</w:t>
            </w:r>
            <w:r>
              <w:rPr>
                <w:rFonts w:hint="eastAsia" w:ascii="宋体" w:hAnsi="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val="en-US" w:eastAsia="zh-CN" w:bidi="ar"/>
              </w:rPr>
              <w:t>分）</w:t>
            </w:r>
          </w:p>
        </w:tc>
        <w:tc>
          <w:tcPr>
            <w:tcW w:w="5151" w:type="dxa"/>
            <w:vAlign w:val="center"/>
          </w:tcPr>
          <w:p w14:paraId="6531D07E">
            <w:pPr>
              <w:keepNext w:val="0"/>
              <w:keepLines w:val="0"/>
              <w:pageBreakBefore w:val="0"/>
              <w:widowControl/>
              <w:suppressLineNumbers w:val="0"/>
              <w:kinsoku/>
              <w:overflowPunct/>
              <w:bidi w:val="0"/>
              <w:spacing w:line="500" w:lineRule="exact"/>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有详细的供货保障方案，且具有明确的工作流程，措施科学、完整得</w:t>
            </w:r>
            <w:r>
              <w:rPr>
                <w:rFonts w:hint="eastAsia" w:ascii="宋体" w:hAnsi="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val="en-US" w:eastAsia="zh-CN" w:bidi="ar"/>
              </w:rPr>
              <w:t xml:space="preserve">分。 </w:t>
            </w:r>
          </w:p>
          <w:p w14:paraId="18EE0F7B">
            <w:pPr>
              <w:keepNext w:val="0"/>
              <w:keepLines w:val="0"/>
              <w:pageBreakBefore w:val="0"/>
              <w:widowControl/>
              <w:suppressLineNumbers w:val="0"/>
              <w:kinsoku/>
              <w:overflowPunct/>
              <w:bidi w:val="0"/>
              <w:spacing w:line="500" w:lineRule="exact"/>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有较详细的供货方案，但工作流程一般，措施较为科学得</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 xml:space="preserve">分。 </w:t>
            </w:r>
          </w:p>
          <w:p w14:paraId="4AF6EB8B">
            <w:pPr>
              <w:keepNext w:val="0"/>
              <w:keepLines w:val="0"/>
              <w:pageBreakBefore w:val="0"/>
              <w:widowControl/>
              <w:suppressLineNumbers w:val="0"/>
              <w:kinsoku/>
              <w:overflowPunct/>
              <w:bidi w:val="0"/>
              <w:spacing w:line="500" w:lineRule="exact"/>
              <w:jc w:val="left"/>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内容差或者不完整得</w:t>
            </w:r>
            <w:r>
              <w:rPr>
                <w:rFonts w:hint="eastAsia" w:ascii="宋体" w:hAnsi="宋体" w:cs="宋体"/>
                <w:color w:val="000000"/>
                <w:kern w:val="0"/>
                <w:sz w:val="21"/>
                <w:szCs w:val="21"/>
                <w:highlight w:val="none"/>
                <w:lang w:val="en-US" w:eastAsia="zh-CN" w:bidi="ar"/>
              </w:rPr>
              <w:t>2</w:t>
            </w:r>
            <w:r>
              <w:rPr>
                <w:rFonts w:hint="default" w:ascii="宋体" w:hAnsi="宋体" w:eastAsia="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 xml:space="preserve">分，未提供不得分。 </w:t>
            </w:r>
          </w:p>
        </w:tc>
      </w:tr>
      <w:tr w14:paraId="1675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vMerge w:val="continue"/>
            <w:vAlign w:val="center"/>
          </w:tcPr>
          <w:p w14:paraId="70C96C63">
            <w:pPr>
              <w:pageBreakBefore w:val="0"/>
              <w:kinsoku/>
              <w:overflowPunct/>
              <w:bidi w:val="0"/>
              <w:spacing w:line="500" w:lineRule="exact"/>
              <w:jc w:val="center"/>
              <w:rPr>
                <w:sz w:val="21"/>
                <w:szCs w:val="21"/>
                <w:highlight w:val="none"/>
              </w:rPr>
            </w:pPr>
          </w:p>
        </w:tc>
        <w:tc>
          <w:tcPr>
            <w:tcW w:w="1265" w:type="dxa"/>
            <w:vMerge w:val="continue"/>
            <w:vAlign w:val="center"/>
          </w:tcPr>
          <w:p w14:paraId="1718F99B">
            <w:pPr>
              <w:pageBreakBefore w:val="0"/>
              <w:kinsoku/>
              <w:overflowPunct/>
              <w:bidi w:val="0"/>
              <w:spacing w:line="500" w:lineRule="exact"/>
              <w:jc w:val="center"/>
              <w:rPr>
                <w:sz w:val="21"/>
                <w:szCs w:val="21"/>
                <w:highlight w:val="none"/>
              </w:rPr>
            </w:pPr>
          </w:p>
        </w:tc>
        <w:tc>
          <w:tcPr>
            <w:tcW w:w="2923" w:type="dxa"/>
            <w:vAlign w:val="center"/>
          </w:tcPr>
          <w:p w14:paraId="3BCC80C9">
            <w:pPr>
              <w:keepNext w:val="0"/>
              <w:keepLines w:val="0"/>
              <w:pageBreakBefore w:val="0"/>
              <w:widowControl/>
              <w:suppressLineNumbers w:val="0"/>
              <w:kinsoku/>
              <w:overflowPunct/>
              <w:bidi w:val="0"/>
              <w:spacing w:line="50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管理制度（8分）</w:t>
            </w:r>
          </w:p>
        </w:tc>
        <w:tc>
          <w:tcPr>
            <w:tcW w:w="5151" w:type="dxa"/>
            <w:vAlign w:val="center"/>
          </w:tcPr>
          <w:p w14:paraId="693C9AFA">
            <w:pPr>
              <w:keepNext w:val="0"/>
              <w:keepLines w:val="0"/>
              <w:pageBreakBefore w:val="0"/>
              <w:widowControl/>
              <w:suppressLineNumbers w:val="0"/>
              <w:kinsoku/>
              <w:overflowPunct/>
              <w:bidi w:val="0"/>
              <w:spacing w:line="5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编制的管理制度合理，能提高服务质量，切实可行的得 8分；</w:t>
            </w:r>
          </w:p>
          <w:p w14:paraId="6F0063F0">
            <w:pPr>
              <w:keepNext w:val="0"/>
              <w:keepLines w:val="0"/>
              <w:pageBreakBefore w:val="0"/>
              <w:widowControl/>
              <w:suppressLineNumbers w:val="0"/>
              <w:kinsoku/>
              <w:overflowPunct/>
              <w:bidi w:val="0"/>
              <w:spacing w:line="5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制度基本合理，能基本提高整体服务质量，基本可行的得5分。 </w:t>
            </w:r>
          </w:p>
          <w:p w14:paraId="035D6716">
            <w:pPr>
              <w:keepNext w:val="0"/>
              <w:keepLines w:val="0"/>
              <w:pageBreakBefore w:val="0"/>
              <w:widowControl/>
              <w:suppressLineNumbers w:val="0"/>
              <w:kinsoku/>
              <w:overflowPunct/>
              <w:bidi w:val="0"/>
              <w:spacing w:line="5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内容差或者不完整得2分，未提供不得分</w:t>
            </w:r>
          </w:p>
        </w:tc>
      </w:tr>
      <w:tr w14:paraId="5289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879" w:type="dxa"/>
            <w:vAlign w:val="center"/>
          </w:tcPr>
          <w:p w14:paraId="2004ADDB">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2.2.2</w:t>
            </w:r>
          </w:p>
          <w:p w14:paraId="5D7737BD">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(2)</w:t>
            </w:r>
          </w:p>
        </w:tc>
        <w:tc>
          <w:tcPr>
            <w:tcW w:w="1265" w:type="dxa"/>
            <w:vAlign w:val="center"/>
          </w:tcPr>
          <w:p w14:paraId="1B53FAE1">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lang w:eastAsia="zh-CN"/>
              </w:rPr>
              <w:t>磋商报价</w:t>
            </w:r>
            <w:r>
              <w:rPr>
                <w:rFonts w:hint="eastAsia" w:ascii="宋体" w:hAnsi="宋体" w:cs="宋体"/>
                <w:sz w:val="21"/>
                <w:szCs w:val="21"/>
                <w:highlight w:val="none"/>
              </w:rPr>
              <w:t>评分标准</w:t>
            </w:r>
          </w:p>
          <w:p w14:paraId="7E34FE9E">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30</w:t>
            </w:r>
            <w:r>
              <w:rPr>
                <w:rFonts w:hint="eastAsia" w:ascii="宋体" w:hAnsi="宋体" w:cs="宋体"/>
                <w:sz w:val="21"/>
                <w:szCs w:val="21"/>
                <w:highlight w:val="none"/>
              </w:rPr>
              <w:t>分）</w:t>
            </w:r>
          </w:p>
        </w:tc>
        <w:tc>
          <w:tcPr>
            <w:tcW w:w="2923" w:type="dxa"/>
            <w:vAlign w:val="center"/>
          </w:tcPr>
          <w:p w14:paraId="2A3858B8">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磋商报价</w:t>
            </w:r>
          </w:p>
        </w:tc>
        <w:tc>
          <w:tcPr>
            <w:tcW w:w="5151" w:type="dxa"/>
            <w:vAlign w:val="center"/>
          </w:tcPr>
          <w:p w14:paraId="46C927FF">
            <w:pPr>
              <w:pageBreakBefore w:val="0"/>
              <w:kinsoku/>
              <w:overflowPunct/>
              <w:bidi w:val="0"/>
              <w:spacing w:line="500" w:lineRule="exact"/>
              <w:jc w:val="left"/>
              <w:rPr>
                <w:rFonts w:hint="default"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sz w:val="21"/>
                <w:szCs w:val="21"/>
                <w:highlight w:val="none"/>
              </w:rPr>
              <w:t>综合评分法中的价格分统一采用低价优先法计算，即满足磋商文件要求且最后报价最低的</w:t>
            </w:r>
            <w:r>
              <w:rPr>
                <w:rFonts w:hint="eastAsia" w:cs="宋体" w:asciiTheme="minorEastAsia" w:hAnsiTheme="minorEastAsia" w:eastAsiaTheme="minorEastAsia"/>
                <w:sz w:val="21"/>
                <w:szCs w:val="21"/>
                <w:highlight w:val="none"/>
                <w:lang w:eastAsia="zh-CN"/>
              </w:rPr>
              <w:t>供应商</w:t>
            </w:r>
            <w:r>
              <w:rPr>
                <w:rFonts w:hint="eastAsia" w:cs="宋体" w:asciiTheme="minorEastAsia" w:hAnsiTheme="minorEastAsia" w:eastAsiaTheme="minorEastAsia"/>
                <w:sz w:val="21"/>
                <w:szCs w:val="21"/>
                <w:highlight w:val="none"/>
              </w:rPr>
              <w:t>的价格为磋商基准价，其价格分为满分。其他</w:t>
            </w:r>
            <w:r>
              <w:rPr>
                <w:rFonts w:hint="eastAsia" w:cs="宋体" w:asciiTheme="minorEastAsia" w:hAnsiTheme="minorEastAsia" w:eastAsiaTheme="minorEastAsia"/>
                <w:sz w:val="21"/>
                <w:szCs w:val="21"/>
                <w:highlight w:val="none"/>
                <w:lang w:eastAsia="zh-CN"/>
              </w:rPr>
              <w:t>供应商</w:t>
            </w:r>
            <w:r>
              <w:rPr>
                <w:rFonts w:hint="eastAsia" w:cs="宋体" w:asciiTheme="minorEastAsia" w:hAnsiTheme="minorEastAsia" w:eastAsiaTheme="minorEastAsia"/>
                <w:sz w:val="21"/>
                <w:szCs w:val="21"/>
                <w:highlight w:val="none"/>
              </w:rPr>
              <w:t>的价格分统一按照下列公式计算：磋商报价得分=（磋商基准价/最后磋商报价）×</w:t>
            </w:r>
            <w:r>
              <w:rPr>
                <w:rFonts w:hint="eastAsia" w:cs="宋体" w:asciiTheme="minorEastAsia" w:hAnsiTheme="minorEastAsia" w:eastAsiaTheme="minorEastAsia"/>
                <w:sz w:val="21"/>
                <w:szCs w:val="21"/>
                <w:highlight w:val="none"/>
                <w:lang w:val="en-US" w:eastAsia="zh-CN"/>
              </w:rPr>
              <w:t>30</w:t>
            </w:r>
          </w:p>
          <w:p w14:paraId="17ACC341">
            <w:pPr>
              <w:keepNext w:val="0"/>
              <w:keepLines w:val="0"/>
              <w:pageBreakBefore w:val="0"/>
              <w:widowControl/>
              <w:suppressLineNumbers w:val="0"/>
              <w:kinsoku/>
              <w:overflowPunct/>
              <w:bidi w:val="0"/>
              <w:spacing w:line="500" w:lineRule="exact"/>
              <w:jc w:val="left"/>
              <w:rPr>
                <w:rFonts w:hint="eastAsia" w:ascii="宋体" w:hAnsi="宋体" w:cs="宋体"/>
                <w:b/>
                <w:color w:val="000000"/>
                <w:kern w:val="0"/>
                <w:sz w:val="21"/>
                <w:szCs w:val="21"/>
                <w:highlight w:val="none"/>
                <w:lang w:val="en-US" w:eastAsia="zh-CN" w:bidi="ar"/>
              </w:rPr>
            </w:pPr>
            <w:r>
              <w:rPr>
                <w:rFonts w:hint="eastAsia" w:ascii="宋体" w:hAnsi="宋体" w:cs="宋体"/>
                <w:b/>
                <w:color w:val="000000"/>
                <w:kern w:val="0"/>
                <w:sz w:val="21"/>
                <w:szCs w:val="21"/>
                <w:highlight w:val="none"/>
                <w:lang w:val="en-US" w:eastAsia="zh-CN" w:bidi="ar"/>
              </w:rPr>
              <w:t>注：1、落实的政府采购政策：（1）本项目专门面向中小企业采购，不再进行价格扣除。参加政府采购活动的中小企业应当提供《中小企业声明函》；（2）关于监狱企业：视同小微企业。须提供由省级以上监狱管理局、戒毒管理局（含新疆生产建设兵团）出具的属于监狱企业的证明文件；（3）关于残疾人福利性单位：视同小微企业。须提供完整的“残疾人福利性单位声明函”。</w:t>
            </w:r>
          </w:p>
          <w:p w14:paraId="670F9BEA">
            <w:pPr>
              <w:keepNext w:val="0"/>
              <w:keepLines w:val="0"/>
              <w:pageBreakBefore w:val="0"/>
              <w:widowControl/>
              <w:suppressLineNumbers w:val="0"/>
              <w:kinsoku/>
              <w:overflowPunct/>
              <w:bidi w:val="0"/>
              <w:spacing w:line="500" w:lineRule="exact"/>
              <w:jc w:val="left"/>
              <w:rPr>
                <w:rFonts w:cs="宋体" w:asciiTheme="minorEastAsia" w:hAnsiTheme="minorEastAsia" w:eastAsiaTheme="minorEastAsia"/>
                <w:sz w:val="21"/>
                <w:szCs w:val="21"/>
                <w:highlight w:val="none"/>
              </w:rPr>
            </w:pPr>
            <w:r>
              <w:rPr>
                <w:rFonts w:hint="eastAsia" w:ascii="宋体" w:hAnsi="宋体" w:cs="宋体"/>
                <w:b/>
                <w:color w:val="000000"/>
                <w:kern w:val="0"/>
                <w:sz w:val="21"/>
                <w:szCs w:val="21"/>
                <w:highlight w:val="none"/>
                <w:lang w:val="en-US" w:eastAsia="zh-CN" w:bidi="ar"/>
              </w:rPr>
              <w:t xml:space="preserve">2、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 </w:t>
            </w:r>
          </w:p>
        </w:tc>
      </w:tr>
      <w:tr w14:paraId="23E1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79" w:type="dxa"/>
            <w:vMerge w:val="restart"/>
            <w:vAlign w:val="center"/>
          </w:tcPr>
          <w:p w14:paraId="216B865A">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2.2.2</w:t>
            </w:r>
          </w:p>
          <w:p w14:paraId="2D3C0933">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(3)</w:t>
            </w:r>
          </w:p>
        </w:tc>
        <w:tc>
          <w:tcPr>
            <w:tcW w:w="1265" w:type="dxa"/>
            <w:vMerge w:val="restart"/>
            <w:vAlign w:val="center"/>
          </w:tcPr>
          <w:p w14:paraId="7796911D">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lang w:eastAsia="zh-CN"/>
              </w:rPr>
              <w:t>综合部分评分标准</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20</w:t>
            </w:r>
            <w:r>
              <w:rPr>
                <w:rFonts w:hint="eastAsia" w:ascii="宋体" w:hAnsi="宋体" w:cs="宋体"/>
                <w:sz w:val="21"/>
                <w:szCs w:val="21"/>
                <w:highlight w:val="none"/>
              </w:rPr>
              <w:t>分）</w:t>
            </w:r>
          </w:p>
        </w:tc>
        <w:tc>
          <w:tcPr>
            <w:tcW w:w="2923" w:type="dxa"/>
            <w:vAlign w:val="center"/>
          </w:tcPr>
          <w:p w14:paraId="2512433C">
            <w:pPr>
              <w:pageBreakBefore w:val="0"/>
              <w:kinsoku/>
              <w:overflowPunct/>
              <w:bidi w:val="0"/>
              <w:spacing w:line="500" w:lineRule="exact"/>
              <w:jc w:val="center"/>
              <w:rPr>
                <w:rFonts w:ascii="宋体" w:hAnsi="宋体" w:cs="宋体"/>
                <w:bCs/>
                <w:sz w:val="21"/>
                <w:szCs w:val="21"/>
                <w:highlight w:val="none"/>
              </w:rPr>
            </w:pPr>
            <w:r>
              <w:rPr>
                <w:rFonts w:hint="eastAsia" w:ascii="宋体" w:hAnsi="宋体" w:cs="宋体"/>
                <w:bCs/>
                <w:sz w:val="21"/>
                <w:szCs w:val="21"/>
                <w:highlight w:val="none"/>
              </w:rPr>
              <w:t>企业业绩</w:t>
            </w:r>
          </w:p>
          <w:p w14:paraId="77FB99EB">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p>
        </w:tc>
        <w:tc>
          <w:tcPr>
            <w:tcW w:w="5151" w:type="dxa"/>
            <w:vAlign w:val="center"/>
          </w:tcPr>
          <w:p w14:paraId="3F5EE926">
            <w:pPr>
              <w:pageBreakBefore w:val="0"/>
              <w:kinsoku/>
              <w:overflowPunct/>
              <w:bidi w:val="0"/>
              <w:spacing w:line="500" w:lineRule="exact"/>
              <w:rPr>
                <w:rFonts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自20</w:t>
            </w:r>
            <w:r>
              <w:rPr>
                <w:rFonts w:hint="eastAsia" w:ascii="宋体" w:hAnsi="宋体" w:cs="宋体"/>
                <w:sz w:val="21"/>
                <w:szCs w:val="21"/>
                <w:highlight w:val="none"/>
                <w:lang w:val="en-US" w:eastAsia="zh-CN"/>
              </w:rPr>
              <w:t>22</w:t>
            </w:r>
            <w:r>
              <w:rPr>
                <w:rFonts w:hint="eastAsia" w:ascii="宋体" w:hAnsi="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cs="宋体"/>
                <w:sz w:val="21"/>
                <w:szCs w:val="21"/>
                <w:highlight w:val="none"/>
              </w:rPr>
              <w:t>月1日以来</w:t>
            </w:r>
            <w:r>
              <w:rPr>
                <w:rFonts w:ascii="宋体" w:hAnsi="宋体" w:cs="宋体"/>
                <w:sz w:val="21"/>
                <w:szCs w:val="21"/>
                <w:highlight w:val="none"/>
              </w:rPr>
              <w:t>完成</w:t>
            </w:r>
            <w:r>
              <w:rPr>
                <w:rFonts w:hint="eastAsia" w:ascii="宋体" w:hAnsi="宋体" w:cs="宋体"/>
                <w:sz w:val="21"/>
                <w:szCs w:val="21"/>
                <w:highlight w:val="none"/>
              </w:rPr>
              <w:t>过类似</w:t>
            </w:r>
            <w:r>
              <w:rPr>
                <w:rFonts w:hint="eastAsia" w:ascii="宋体" w:hAnsi="宋体" w:cs="宋体"/>
                <w:sz w:val="21"/>
                <w:szCs w:val="21"/>
                <w:highlight w:val="none"/>
                <w:lang w:eastAsia="zh-CN"/>
              </w:rPr>
              <w:t>项目</w:t>
            </w:r>
            <w:r>
              <w:rPr>
                <w:rFonts w:ascii="宋体" w:hAnsi="宋体" w:cs="宋体"/>
                <w:sz w:val="21"/>
                <w:szCs w:val="21"/>
                <w:highlight w:val="none"/>
              </w:rPr>
              <w:t>业绩</w:t>
            </w:r>
            <w:r>
              <w:rPr>
                <w:rFonts w:hint="eastAsia" w:ascii="宋体" w:hAnsi="宋体" w:cs="宋体"/>
                <w:sz w:val="21"/>
                <w:szCs w:val="21"/>
                <w:highlight w:val="none"/>
              </w:rPr>
              <w:t>的，每提供一项得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分，最多得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r>
              <w:rPr>
                <w:rFonts w:hint="eastAsia" w:ascii="宋体" w:hAnsi="宋体" w:cs="宋体"/>
                <w:b/>
                <w:bCs/>
                <w:sz w:val="21"/>
                <w:szCs w:val="21"/>
                <w:highlight w:val="none"/>
              </w:rPr>
              <w:t>（以中标通知书、合同协议书</w:t>
            </w:r>
            <w:r>
              <w:rPr>
                <w:rFonts w:hint="eastAsia" w:ascii="宋体" w:hAnsi="宋体" w:cs="宋体"/>
                <w:b/>
                <w:bCs/>
                <w:sz w:val="21"/>
                <w:szCs w:val="21"/>
                <w:highlight w:val="none"/>
                <w:lang w:eastAsia="zh-CN"/>
              </w:rPr>
              <w:t>为准，响应</w:t>
            </w:r>
            <w:r>
              <w:rPr>
                <w:rFonts w:hint="eastAsia" w:ascii="宋体" w:hAnsi="宋体" w:cs="宋体"/>
                <w:b/>
                <w:bCs/>
                <w:sz w:val="21"/>
                <w:szCs w:val="21"/>
                <w:highlight w:val="none"/>
              </w:rPr>
              <w:t>文件中附扫描件，否则不得分。）</w:t>
            </w:r>
          </w:p>
        </w:tc>
      </w:tr>
      <w:tr w14:paraId="5A89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79" w:type="dxa"/>
            <w:vMerge w:val="continue"/>
            <w:vAlign w:val="center"/>
          </w:tcPr>
          <w:p w14:paraId="6530FC3E">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0D0971C9">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556C633D">
            <w:pPr>
              <w:pageBreakBefore w:val="0"/>
              <w:kinsoku/>
              <w:overflowPunct/>
              <w:bidi w:val="0"/>
              <w:spacing w:line="500" w:lineRule="exact"/>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售后服务及技术支持（8分）</w:t>
            </w:r>
          </w:p>
        </w:tc>
        <w:tc>
          <w:tcPr>
            <w:tcW w:w="5151" w:type="dxa"/>
            <w:vAlign w:val="center"/>
          </w:tcPr>
          <w:p w14:paraId="01DEAE86">
            <w:pPr>
              <w:keepNext w:val="0"/>
              <w:keepLines w:val="0"/>
              <w:pageBreakBefore w:val="0"/>
              <w:widowControl/>
              <w:suppressLineNumbers w:val="0"/>
              <w:kinsoku/>
              <w:overflowPunct/>
              <w:bidi w:val="0"/>
              <w:spacing w:line="5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根据供应商提供的售后服务（包括人员配备、维修队伍、维护周期及维护流程等资料、服务响应时间等）、技术支持的内容、方式及时间等方面进行评审。</w:t>
            </w:r>
            <w:r>
              <w:rPr>
                <w:rFonts w:hint="eastAsia" w:ascii="宋体" w:hAnsi="宋体" w:eastAsia="宋体" w:cs="宋体"/>
                <w:color w:val="000000"/>
                <w:kern w:val="0"/>
                <w:sz w:val="21"/>
                <w:szCs w:val="21"/>
                <w:highlight w:val="none"/>
                <w:lang w:val="en-US" w:eastAsia="zh-CN" w:bidi="ar"/>
              </w:rPr>
              <w:t>内容具体全面，可操作性强的，得</w:t>
            </w:r>
            <w:r>
              <w:rPr>
                <w:rFonts w:hint="eastAsia" w:ascii="宋体" w:hAnsi="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val="en-US" w:eastAsia="zh-CN" w:bidi="ar"/>
              </w:rPr>
              <w:t>分；内容片面的或可</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操作性不强的，得</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分；可操作性差的，得</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分；没有不得分</w:t>
            </w:r>
          </w:p>
        </w:tc>
      </w:tr>
      <w:tr w14:paraId="64FA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79" w:type="dxa"/>
            <w:vMerge w:val="continue"/>
            <w:vAlign w:val="center"/>
          </w:tcPr>
          <w:p w14:paraId="42BFDAC1">
            <w:pPr>
              <w:pageBreakBefore w:val="0"/>
              <w:kinsoku/>
              <w:overflowPunct/>
              <w:bidi w:val="0"/>
              <w:spacing w:line="500" w:lineRule="exact"/>
            </w:pPr>
          </w:p>
        </w:tc>
        <w:tc>
          <w:tcPr>
            <w:tcW w:w="1265" w:type="dxa"/>
            <w:vMerge w:val="continue"/>
            <w:vAlign w:val="center"/>
          </w:tcPr>
          <w:p w14:paraId="6D37C2D8">
            <w:pPr>
              <w:pageBreakBefore w:val="0"/>
              <w:kinsoku/>
              <w:overflowPunct/>
              <w:bidi w:val="0"/>
              <w:spacing w:line="500" w:lineRule="exact"/>
            </w:pPr>
          </w:p>
        </w:tc>
        <w:tc>
          <w:tcPr>
            <w:tcW w:w="2923" w:type="dxa"/>
            <w:vAlign w:val="center"/>
          </w:tcPr>
          <w:p w14:paraId="5459988B">
            <w:pPr>
              <w:pageBreakBefore w:val="0"/>
              <w:kinsoku/>
              <w:overflowPunct/>
              <w:bidi w:val="0"/>
              <w:spacing w:line="500" w:lineRule="exact"/>
              <w:jc w:val="center"/>
            </w:pPr>
            <w:r>
              <w:rPr>
                <w:rFonts w:hint="eastAsia" w:ascii="宋体" w:hAnsi="宋体" w:cs="宋体"/>
                <w:sz w:val="21"/>
                <w:szCs w:val="21"/>
                <w:highlight w:val="none"/>
                <w:lang w:val="en-US" w:eastAsia="zh-CN"/>
              </w:rPr>
              <w:t>培训方案（8分）</w:t>
            </w:r>
          </w:p>
        </w:tc>
        <w:tc>
          <w:tcPr>
            <w:tcW w:w="5151" w:type="dxa"/>
            <w:vAlign w:val="center"/>
          </w:tcPr>
          <w:p w14:paraId="6EA9DB03">
            <w:pPr>
              <w:keepNext w:val="0"/>
              <w:keepLines w:val="0"/>
              <w:pageBreakBefore w:val="0"/>
              <w:widowControl/>
              <w:suppressLineNumbers w:val="0"/>
              <w:kinsoku/>
              <w:overflowPunct/>
              <w:bidi w:val="0"/>
              <w:spacing w:line="500" w:lineRule="exact"/>
              <w:jc w:val="left"/>
              <w:rPr>
                <w:rFonts w:hint="eastAsia" w:ascii="宋体" w:hAnsi="宋体" w:cs="宋体"/>
                <w:sz w:val="21"/>
                <w:szCs w:val="21"/>
                <w:highlight w:val="yellow"/>
                <w:lang w:val="en-US" w:eastAsia="zh-CN"/>
              </w:rPr>
            </w:pPr>
            <w:r>
              <w:rPr>
                <w:rFonts w:hint="default" w:ascii="宋体" w:hAnsi="宋体" w:eastAsia="宋体" w:cs="宋体"/>
                <w:color w:val="000000"/>
                <w:kern w:val="0"/>
                <w:sz w:val="21"/>
                <w:szCs w:val="21"/>
                <w:highlight w:val="none"/>
                <w:lang w:val="en-US" w:eastAsia="zh-CN" w:bidi="ar"/>
              </w:rPr>
              <w:t>根据</w:t>
            </w:r>
            <w:r>
              <w:rPr>
                <w:rFonts w:hint="eastAsia" w:ascii="宋体" w:hAnsi="宋体" w:cs="宋体"/>
                <w:color w:val="000000"/>
                <w:kern w:val="0"/>
                <w:sz w:val="21"/>
                <w:szCs w:val="21"/>
                <w:highlight w:val="none"/>
                <w:lang w:val="en-US" w:eastAsia="zh-CN" w:bidi="ar"/>
              </w:rPr>
              <w:t>供应商</w:t>
            </w:r>
            <w:r>
              <w:rPr>
                <w:rFonts w:hint="default" w:ascii="宋体" w:hAnsi="宋体" w:eastAsia="宋体" w:cs="宋体"/>
                <w:color w:val="000000"/>
                <w:kern w:val="0"/>
                <w:sz w:val="21"/>
                <w:szCs w:val="21"/>
                <w:highlight w:val="none"/>
                <w:lang w:val="en-US" w:eastAsia="zh-CN" w:bidi="ar"/>
              </w:rPr>
              <w:t>培训计划的合理性、全面性、对招标人有利程度打分。</w:t>
            </w:r>
            <w:r>
              <w:rPr>
                <w:rFonts w:hint="eastAsia" w:ascii="宋体" w:hAnsi="宋体" w:eastAsia="宋体" w:cs="宋体"/>
                <w:color w:val="000000"/>
                <w:kern w:val="0"/>
                <w:sz w:val="21"/>
                <w:szCs w:val="21"/>
                <w:highlight w:val="none"/>
                <w:lang w:val="en-US" w:eastAsia="zh-CN" w:bidi="ar"/>
              </w:rPr>
              <w:t>内容具体全面，可操作性强的，得</w:t>
            </w:r>
            <w:r>
              <w:rPr>
                <w:rFonts w:hint="eastAsia" w:ascii="宋体" w:hAnsi="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val="en-US" w:eastAsia="zh-CN" w:bidi="ar"/>
              </w:rPr>
              <w:t>分；内容片面的或可</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操作性不强的，得</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分；可操作性差的，得</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分；没有不得分。</w:t>
            </w:r>
          </w:p>
        </w:tc>
      </w:tr>
    </w:tbl>
    <w:p w14:paraId="108172B5">
      <w:pPr>
        <w:pageBreakBefore w:val="0"/>
        <w:kinsoku/>
        <w:overflowPunct/>
        <w:bidi w:val="0"/>
        <w:spacing w:line="500" w:lineRule="exact"/>
        <w:rPr>
          <w:rFonts w:hint="eastAsia"/>
          <w:highlight w:val="none"/>
        </w:rPr>
      </w:pPr>
    </w:p>
    <w:p w14:paraId="28F70120">
      <w:pPr>
        <w:pStyle w:val="24"/>
        <w:rPr>
          <w:rFonts w:hint="eastAsia"/>
          <w:highlight w:val="none"/>
        </w:rPr>
      </w:pPr>
    </w:p>
    <w:p w14:paraId="1189D138">
      <w:pPr>
        <w:bidi w:val="0"/>
        <w:rPr>
          <w:rFonts w:hint="eastAsia"/>
        </w:rPr>
      </w:pPr>
    </w:p>
    <w:p w14:paraId="5B772353">
      <w:pPr>
        <w:bidi w:val="0"/>
        <w:rPr>
          <w:rFonts w:hint="eastAsia"/>
        </w:rPr>
      </w:pPr>
    </w:p>
    <w:p w14:paraId="53DE625D">
      <w:pPr>
        <w:bidi w:val="0"/>
        <w:rPr>
          <w:rFonts w:hint="eastAsia"/>
        </w:rPr>
      </w:pPr>
    </w:p>
    <w:p w14:paraId="16732519">
      <w:pPr>
        <w:bidi w:val="0"/>
        <w:rPr>
          <w:rFonts w:hint="eastAsia"/>
        </w:rPr>
      </w:pPr>
    </w:p>
    <w:p w14:paraId="3E1A3E54">
      <w:pPr>
        <w:bidi w:val="0"/>
        <w:rPr>
          <w:rFonts w:hint="eastAsia"/>
        </w:rPr>
      </w:pPr>
    </w:p>
    <w:p w14:paraId="6C681D39">
      <w:pPr>
        <w:bidi w:val="0"/>
        <w:rPr>
          <w:rFonts w:hint="eastAsia"/>
        </w:rPr>
      </w:pPr>
    </w:p>
    <w:p w14:paraId="056CA9BB">
      <w:pPr>
        <w:bidi w:val="0"/>
        <w:rPr>
          <w:rFonts w:hint="eastAsia"/>
        </w:rPr>
      </w:pPr>
    </w:p>
    <w:p w14:paraId="4B81F896">
      <w:pPr>
        <w:bidi w:val="0"/>
        <w:rPr>
          <w:rFonts w:hint="eastAsia"/>
        </w:rPr>
      </w:pPr>
    </w:p>
    <w:p w14:paraId="397DE6FE">
      <w:pPr>
        <w:bidi w:val="0"/>
        <w:rPr>
          <w:rFonts w:hint="eastAsia"/>
        </w:rPr>
      </w:pPr>
    </w:p>
    <w:p w14:paraId="72B5E8A0">
      <w:pPr>
        <w:bidi w:val="0"/>
        <w:rPr>
          <w:rFonts w:hint="eastAsia"/>
        </w:rPr>
      </w:pPr>
    </w:p>
    <w:p w14:paraId="73F972D4">
      <w:pPr>
        <w:bidi w:val="0"/>
        <w:rPr>
          <w:rFonts w:hint="eastAsia"/>
        </w:rPr>
      </w:pPr>
    </w:p>
    <w:p w14:paraId="53E75912">
      <w:pPr>
        <w:bidi w:val="0"/>
        <w:rPr>
          <w:rFonts w:hint="eastAsia"/>
        </w:rPr>
      </w:pPr>
    </w:p>
    <w:p w14:paraId="67B38383">
      <w:pPr>
        <w:bidi w:val="0"/>
        <w:rPr>
          <w:rFonts w:hint="eastAsia"/>
        </w:rPr>
      </w:pPr>
    </w:p>
    <w:p w14:paraId="0C8DA80D">
      <w:pPr>
        <w:bidi w:val="0"/>
        <w:rPr>
          <w:rFonts w:hint="eastAsia"/>
        </w:rPr>
      </w:pPr>
    </w:p>
    <w:p w14:paraId="2F0980A0">
      <w:pPr>
        <w:bidi w:val="0"/>
        <w:rPr>
          <w:rFonts w:hint="eastAsia"/>
        </w:rPr>
      </w:pPr>
    </w:p>
    <w:p w14:paraId="13EF07C8">
      <w:pPr>
        <w:bidi w:val="0"/>
        <w:rPr>
          <w:rFonts w:hint="eastAsia"/>
        </w:rPr>
      </w:pPr>
    </w:p>
    <w:p w14:paraId="68818439">
      <w:pPr>
        <w:bidi w:val="0"/>
        <w:rPr>
          <w:rFonts w:hint="eastAsia"/>
        </w:rPr>
      </w:pPr>
    </w:p>
    <w:p w14:paraId="619A4968">
      <w:pPr>
        <w:pageBreakBefore w:val="0"/>
        <w:kinsoku/>
        <w:overflowPunct/>
        <w:bidi w:val="0"/>
        <w:spacing w:line="500" w:lineRule="exact"/>
        <w:jc w:val="center"/>
        <w:outlineLvl w:val="0"/>
        <w:rPr>
          <w:b/>
          <w:bCs/>
          <w:sz w:val="32"/>
          <w:szCs w:val="32"/>
          <w:highlight w:val="none"/>
        </w:rPr>
      </w:pPr>
      <w:bookmarkStart w:id="209" w:name="_Toc19153"/>
      <w:r>
        <w:rPr>
          <w:rFonts w:hint="eastAsia"/>
          <w:b/>
          <w:bCs/>
          <w:sz w:val="32"/>
          <w:szCs w:val="32"/>
          <w:highlight w:val="none"/>
        </w:rPr>
        <w:t>第五章</w:t>
      </w:r>
      <w:r>
        <w:rPr>
          <w:rFonts w:hint="eastAsia"/>
          <w:b/>
          <w:bCs/>
          <w:sz w:val="32"/>
          <w:szCs w:val="32"/>
          <w:highlight w:val="none"/>
          <w:lang w:val="en-US" w:eastAsia="zh-CN"/>
        </w:rPr>
        <w:t xml:space="preserve"> </w:t>
      </w:r>
      <w:r>
        <w:rPr>
          <w:rFonts w:hint="eastAsia"/>
          <w:b/>
          <w:bCs/>
          <w:sz w:val="32"/>
          <w:szCs w:val="32"/>
          <w:highlight w:val="none"/>
        </w:rPr>
        <w:t>合同条款及格式</w:t>
      </w:r>
      <w:bookmarkEnd w:id="209"/>
    </w:p>
    <w:p w14:paraId="536362DE">
      <w:pPr>
        <w:pStyle w:val="10"/>
        <w:pageBreakBefore w:val="0"/>
        <w:widowControl w:val="0"/>
        <w:tabs>
          <w:tab w:val="left" w:pos="3391"/>
        </w:tabs>
        <w:kinsoku/>
        <w:wordWrap/>
        <w:overflowPunct/>
        <w:topLinePunct w:val="0"/>
        <w:autoSpaceDE/>
        <w:autoSpaceDN/>
        <w:bidi w:val="0"/>
        <w:adjustRightInd/>
        <w:snapToGrid/>
        <w:spacing w:line="500" w:lineRule="exact"/>
        <w:ind w:left="400" w:right="124" w:rightChars="0"/>
        <w:jc w:val="center"/>
        <w:textAlignment w:val="auto"/>
        <w:rPr>
          <w:rFonts w:hint="eastAsia" w:asciiTheme="minorEastAsia" w:hAnsiTheme="minorEastAsia" w:eastAsiaTheme="minorEastAsia" w:cstheme="minorEastAsia"/>
          <w:kern w:val="2"/>
          <w:sz w:val="24"/>
          <w:szCs w:val="24"/>
          <w:highlight w:val="none"/>
          <w:lang w:val="en-US" w:eastAsia="zh-CN" w:bidi="ar-SA"/>
        </w:rPr>
      </w:pPr>
      <w:bookmarkStart w:id="210" w:name="_Toc517257919"/>
      <w:bookmarkEnd w:id="210"/>
      <w:bookmarkStart w:id="211" w:name="_Toc18319_WPSOffice_Level2"/>
      <w:bookmarkEnd w:id="211"/>
      <w:bookmarkStart w:id="212" w:name="_Toc522085799"/>
      <w:bookmarkEnd w:id="212"/>
      <w:bookmarkStart w:id="213" w:name="_Toc521998004"/>
      <w:bookmarkEnd w:id="213"/>
      <w:bookmarkStart w:id="214" w:name="_Toc512596662"/>
      <w:bookmarkEnd w:id="214"/>
      <w:bookmarkStart w:id="215" w:name="_Toc522798774"/>
      <w:bookmarkEnd w:id="215"/>
      <w:r>
        <w:rPr>
          <w:rFonts w:hint="eastAsia" w:asciiTheme="minorEastAsia" w:hAnsiTheme="minorEastAsia" w:eastAsiaTheme="minorEastAsia" w:cstheme="minorEastAsia"/>
          <w:kern w:val="2"/>
          <w:sz w:val="24"/>
          <w:szCs w:val="24"/>
          <w:highlight w:val="none"/>
          <w:lang w:val="en-US" w:eastAsia="zh-CN" w:bidi="ar-SA"/>
        </w:rPr>
        <w:t>（本格式仅供参考，具体合同以成交后甲乙双方签订合同为准）</w:t>
      </w:r>
    </w:p>
    <w:p w14:paraId="6E0106FB">
      <w:pPr>
        <w:pStyle w:val="11"/>
        <w:rPr>
          <w:rFonts w:hint="eastAsia" w:asciiTheme="minorEastAsia" w:hAnsiTheme="minorEastAsia" w:eastAsiaTheme="minorEastAsia" w:cstheme="minorEastAsia"/>
          <w:sz w:val="24"/>
          <w:szCs w:val="24"/>
          <w:highlight w:val="none"/>
          <w:lang w:val="en-US" w:eastAsia="zh-CN"/>
        </w:rPr>
      </w:pPr>
    </w:p>
    <w:p w14:paraId="418475CF">
      <w:pPr>
        <w:pStyle w:val="10"/>
        <w:pageBreakBefore w:val="0"/>
        <w:widowControl w:val="0"/>
        <w:kinsoku/>
        <w:wordWrap/>
        <w:overflowPunct/>
        <w:topLinePunct w:val="0"/>
        <w:autoSpaceDE/>
        <w:autoSpaceDN/>
        <w:bidi w:val="0"/>
        <w:adjustRightInd/>
        <w:snapToGrid/>
        <w:spacing w:before="134" w:line="500" w:lineRule="exact"/>
        <w:ind w:left="400" w:right="340" w:firstLine="42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甲方（全称）：</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w:t>
      </w:r>
    </w:p>
    <w:p w14:paraId="5C907A10">
      <w:pPr>
        <w:pStyle w:val="10"/>
        <w:pageBreakBefore w:val="0"/>
        <w:widowControl w:val="0"/>
        <w:kinsoku/>
        <w:wordWrap/>
        <w:overflowPunct/>
        <w:topLinePunct w:val="0"/>
        <w:autoSpaceDE/>
        <w:autoSpaceDN/>
        <w:bidi w:val="0"/>
        <w:adjustRightInd/>
        <w:snapToGrid/>
        <w:spacing w:before="134" w:line="500" w:lineRule="exact"/>
        <w:ind w:left="400" w:right="340" w:firstLine="42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乙方（全称）：</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lang w:val="en-US" w:eastAsia="zh-CN"/>
        </w:rPr>
        <w:t xml:space="preserve">           </w:t>
      </w:r>
    </w:p>
    <w:p w14:paraId="73A1DA51">
      <w:pPr>
        <w:pStyle w:val="10"/>
        <w:pageBreakBefore w:val="0"/>
        <w:widowControl w:val="0"/>
        <w:kinsoku/>
        <w:wordWrap/>
        <w:overflowPunct/>
        <w:topLinePunct w:val="0"/>
        <w:autoSpaceDE/>
        <w:autoSpaceDN/>
        <w:bidi w:val="0"/>
        <w:adjustRightInd/>
        <w:snapToGrid/>
        <w:spacing w:before="134" w:line="500" w:lineRule="exact"/>
        <w:ind w:left="400" w:right="340" w:firstLine="4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根据《中华人民共和国</w:t>
      </w:r>
      <w:r>
        <w:rPr>
          <w:rFonts w:hint="eastAsia" w:asciiTheme="minorEastAsia" w:hAnsiTheme="minorEastAsia" w:eastAsiaTheme="minorEastAsia" w:cstheme="minorEastAsia"/>
          <w:sz w:val="24"/>
          <w:szCs w:val="24"/>
          <w:highlight w:val="none"/>
          <w:lang w:eastAsia="zh-CN"/>
        </w:rPr>
        <w:t>民法典</w:t>
      </w:r>
      <w:r>
        <w:rPr>
          <w:rFonts w:hint="eastAsia" w:asciiTheme="minorEastAsia" w:hAnsiTheme="minorEastAsia" w:eastAsiaTheme="minorEastAsia" w:cstheme="minorEastAsia"/>
          <w:sz w:val="24"/>
          <w:szCs w:val="24"/>
          <w:highlight w:val="none"/>
        </w:rPr>
        <w:t>》及有关法律规定，遵循平等、自愿、公平和诚实信用的原则，双方就</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及有关事项协商一致，共同达成如下协议：</w:t>
      </w:r>
    </w:p>
    <w:p w14:paraId="6384110C">
      <w:pPr>
        <w:pStyle w:val="5"/>
        <w:pageBreakBefore w:val="0"/>
        <w:widowControl w:val="0"/>
        <w:tabs>
          <w:tab w:val="left" w:pos="7211"/>
        </w:tabs>
        <w:kinsoku/>
        <w:wordWrap/>
        <w:overflowPunct/>
        <w:topLinePunct w:val="0"/>
        <w:autoSpaceDE/>
        <w:autoSpaceDN/>
        <w:bidi w:val="0"/>
        <w:adjustRightInd/>
        <w:snapToGrid/>
        <w:spacing w:line="500" w:lineRule="exact"/>
        <w:ind w:left="4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第一条 合同文件</w:t>
      </w:r>
      <w:r>
        <w:rPr>
          <w:rFonts w:hint="eastAsia" w:asciiTheme="minorEastAsia" w:hAnsiTheme="minorEastAsia" w:eastAsiaTheme="minorEastAsia" w:cstheme="minorEastAsia"/>
          <w:sz w:val="24"/>
          <w:szCs w:val="24"/>
          <w:highlight w:val="none"/>
          <w:lang w:eastAsia="zh-CN"/>
        </w:rPr>
        <w:tab/>
      </w:r>
    </w:p>
    <w:p w14:paraId="38FF7D85">
      <w:pPr>
        <w:pStyle w:val="10"/>
        <w:pageBreakBefore w:val="0"/>
        <w:widowControl w:val="0"/>
        <w:kinsoku/>
        <w:wordWrap/>
        <w:overflowPunct/>
        <w:topLinePunct w:val="0"/>
        <w:autoSpaceDE/>
        <w:autoSpaceDN/>
        <w:bidi w:val="0"/>
        <w:adjustRightInd/>
        <w:snapToGrid/>
        <w:spacing w:before="134" w:line="500" w:lineRule="exact"/>
        <w:ind w:left="400" w:right="340" w:firstLine="4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下列与本次采购活动有关的文件及附件是本合同不可分割的组成部分，与本合同具有同等法律效力， 这些文件包括但不限于：</w:t>
      </w:r>
    </w:p>
    <w:p w14:paraId="7B424971">
      <w:pPr>
        <w:pStyle w:val="49"/>
        <w:pageBreakBefore w:val="0"/>
        <w:widowControl w:val="0"/>
        <w:numPr>
          <w:ilvl w:val="0"/>
          <w:numId w:val="3"/>
        </w:numPr>
        <w:tabs>
          <w:tab w:val="left" w:pos="1032"/>
        </w:tabs>
        <w:kinsoku/>
        <w:wordWrap/>
        <w:overflowPunct/>
        <w:topLinePunct w:val="0"/>
        <w:autoSpaceDE/>
        <w:autoSpaceDN/>
        <w:bidi w:val="0"/>
        <w:adjustRightInd/>
        <w:snapToGrid/>
        <w:spacing w:before="0" w:after="0" w:line="500" w:lineRule="exact"/>
        <w:ind w:left="1031" w:right="0" w:hanging="212"/>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磋商文件</w:t>
      </w:r>
    </w:p>
    <w:p w14:paraId="7B17CCDA">
      <w:pPr>
        <w:pStyle w:val="49"/>
        <w:pageBreakBefore w:val="0"/>
        <w:widowControl w:val="0"/>
        <w:numPr>
          <w:ilvl w:val="0"/>
          <w:numId w:val="3"/>
        </w:numPr>
        <w:tabs>
          <w:tab w:val="left" w:pos="1032"/>
        </w:tabs>
        <w:kinsoku/>
        <w:wordWrap/>
        <w:overflowPunct/>
        <w:topLinePunct w:val="0"/>
        <w:autoSpaceDE/>
        <w:autoSpaceDN/>
        <w:bidi w:val="0"/>
        <w:adjustRightInd/>
        <w:snapToGrid/>
        <w:spacing w:before="139" w:after="0" w:line="500" w:lineRule="exact"/>
        <w:ind w:left="1031" w:right="0" w:hanging="212"/>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响应文件</w:t>
      </w:r>
    </w:p>
    <w:p w14:paraId="012EEFD4">
      <w:pPr>
        <w:pStyle w:val="49"/>
        <w:pageBreakBefore w:val="0"/>
        <w:widowControl w:val="0"/>
        <w:numPr>
          <w:ilvl w:val="0"/>
          <w:numId w:val="3"/>
        </w:numPr>
        <w:tabs>
          <w:tab w:val="left" w:pos="1032"/>
        </w:tabs>
        <w:kinsoku/>
        <w:wordWrap/>
        <w:overflowPunct/>
        <w:topLinePunct w:val="0"/>
        <w:autoSpaceDE/>
        <w:autoSpaceDN/>
        <w:bidi w:val="0"/>
        <w:adjustRightInd/>
        <w:snapToGrid/>
        <w:spacing w:before="139"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乙方在</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时的书面承诺</w:t>
      </w:r>
    </w:p>
    <w:p w14:paraId="5BC873D6">
      <w:pPr>
        <w:pStyle w:val="49"/>
        <w:pageBreakBefore w:val="0"/>
        <w:widowControl w:val="0"/>
        <w:numPr>
          <w:ilvl w:val="0"/>
          <w:numId w:val="3"/>
        </w:numPr>
        <w:tabs>
          <w:tab w:val="left" w:pos="1032"/>
        </w:tabs>
        <w:kinsoku/>
        <w:wordWrap/>
        <w:overflowPunct/>
        <w:topLinePunct w:val="0"/>
        <w:autoSpaceDE/>
        <w:autoSpaceDN/>
        <w:bidi w:val="0"/>
        <w:adjustRightInd/>
        <w:snapToGrid/>
        <w:spacing w:before="139"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成交</w:t>
      </w:r>
      <w:r>
        <w:rPr>
          <w:rFonts w:hint="eastAsia" w:asciiTheme="minorEastAsia" w:hAnsiTheme="minorEastAsia" w:eastAsiaTheme="minorEastAsia" w:cstheme="minorEastAsia"/>
          <w:sz w:val="24"/>
          <w:szCs w:val="24"/>
          <w:highlight w:val="none"/>
        </w:rPr>
        <w:t>通知书</w:t>
      </w:r>
    </w:p>
    <w:p w14:paraId="24E9CE9D">
      <w:pPr>
        <w:pStyle w:val="49"/>
        <w:pageBreakBefore w:val="0"/>
        <w:widowControl w:val="0"/>
        <w:numPr>
          <w:ilvl w:val="0"/>
          <w:numId w:val="3"/>
        </w:numPr>
        <w:tabs>
          <w:tab w:val="left" w:pos="1032"/>
        </w:tabs>
        <w:kinsoku/>
        <w:wordWrap/>
        <w:overflowPunct/>
        <w:topLinePunct w:val="0"/>
        <w:autoSpaceDE/>
        <w:autoSpaceDN/>
        <w:bidi w:val="0"/>
        <w:adjustRightInd/>
        <w:snapToGrid/>
        <w:spacing w:before="141"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合同补充条款或说明</w:t>
      </w:r>
    </w:p>
    <w:p w14:paraId="4E882E79">
      <w:pPr>
        <w:pStyle w:val="49"/>
        <w:pageBreakBefore w:val="0"/>
        <w:widowControl w:val="0"/>
        <w:numPr>
          <w:ilvl w:val="0"/>
          <w:numId w:val="3"/>
        </w:numPr>
        <w:tabs>
          <w:tab w:val="left" w:pos="1032"/>
        </w:tabs>
        <w:kinsoku/>
        <w:wordWrap/>
        <w:overflowPunct/>
        <w:topLinePunct w:val="0"/>
        <w:autoSpaceDE/>
        <w:autoSpaceDN/>
        <w:bidi w:val="0"/>
        <w:adjustRightInd/>
        <w:snapToGrid/>
        <w:spacing w:before="139"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保密协议或条款</w:t>
      </w:r>
    </w:p>
    <w:p w14:paraId="473594B4">
      <w:pPr>
        <w:pStyle w:val="49"/>
        <w:pageBreakBefore w:val="0"/>
        <w:widowControl w:val="0"/>
        <w:numPr>
          <w:ilvl w:val="0"/>
          <w:numId w:val="3"/>
        </w:numPr>
        <w:tabs>
          <w:tab w:val="left" w:pos="1032"/>
        </w:tabs>
        <w:kinsoku/>
        <w:wordWrap/>
        <w:overflowPunct/>
        <w:topLinePunct w:val="0"/>
        <w:autoSpaceDE/>
        <w:autoSpaceDN/>
        <w:bidi w:val="0"/>
        <w:adjustRightInd/>
        <w:snapToGrid/>
        <w:spacing w:before="139" w:after="0" w:line="500" w:lineRule="exact"/>
        <w:ind w:left="400" w:right="4319" w:rightChars="0" w:firstLine="42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pacing w:val="-2"/>
          <w:sz w:val="24"/>
          <w:szCs w:val="24"/>
          <w:highlight w:val="none"/>
        </w:rPr>
        <w:t>相关附件</w:t>
      </w:r>
    </w:p>
    <w:p w14:paraId="4D89B349">
      <w:pPr>
        <w:pStyle w:val="49"/>
        <w:pageBreakBefore w:val="0"/>
        <w:widowControl w:val="0"/>
        <w:numPr>
          <w:ilvl w:val="0"/>
          <w:numId w:val="0"/>
        </w:numPr>
        <w:tabs>
          <w:tab w:val="left" w:pos="1032"/>
        </w:tabs>
        <w:kinsoku/>
        <w:wordWrap/>
        <w:overflowPunct/>
        <w:topLinePunct w:val="0"/>
        <w:autoSpaceDE/>
        <w:autoSpaceDN/>
        <w:bidi w:val="0"/>
        <w:adjustRightInd/>
        <w:snapToGrid/>
        <w:spacing w:before="139" w:after="0" w:line="500" w:lineRule="exact"/>
        <w:ind w:left="820" w:leftChars="0" w:right="4319" w:rightChars="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pacing w:val="-1"/>
          <w:sz w:val="24"/>
          <w:szCs w:val="24"/>
          <w:highlight w:val="none"/>
        </w:rPr>
        <w:t>第二条 合同标的</w:t>
      </w:r>
    </w:p>
    <w:p w14:paraId="28D22BBF">
      <w:pPr>
        <w:pStyle w:val="10"/>
        <w:pageBreakBefore w:val="0"/>
        <w:widowControl w:val="0"/>
        <w:kinsoku/>
        <w:wordWrap/>
        <w:overflowPunct/>
        <w:topLinePunct w:val="0"/>
        <w:autoSpaceDE/>
        <w:autoSpaceDN/>
        <w:bidi w:val="0"/>
        <w:adjustRightInd/>
        <w:snapToGrid/>
        <w:spacing w:line="500" w:lineRule="exact"/>
        <w:ind w:left="8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乙方根据甲方需求提供下列货物，货物名称、规格及数量等：</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1984"/>
        <w:gridCol w:w="1985"/>
        <w:gridCol w:w="1985"/>
        <w:gridCol w:w="1976"/>
      </w:tblGrid>
      <w:tr w14:paraId="539E1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jc w:val="center"/>
        </w:trPr>
        <w:tc>
          <w:tcPr>
            <w:tcW w:w="1984" w:type="dxa"/>
          </w:tcPr>
          <w:p w14:paraId="269BF744">
            <w:pPr>
              <w:pStyle w:val="44"/>
              <w:pageBreakBefore w:val="0"/>
              <w:widowControl w:val="0"/>
              <w:kinsoku/>
              <w:wordWrap/>
              <w:overflowPunct/>
              <w:topLinePunct w:val="0"/>
              <w:autoSpaceDE/>
              <w:autoSpaceDN/>
              <w:bidi w:val="0"/>
              <w:adjustRightInd/>
              <w:snapToGrid/>
              <w:spacing w:before="1" w:line="500" w:lineRule="exact"/>
              <w:ind w:left="550" w:right="542"/>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1984" w:type="dxa"/>
          </w:tcPr>
          <w:p w14:paraId="3FA4344A">
            <w:pPr>
              <w:pStyle w:val="44"/>
              <w:pageBreakBefore w:val="0"/>
              <w:widowControl w:val="0"/>
              <w:kinsoku/>
              <w:wordWrap/>
              <w:overflowPunct/>
              <w:topLinePunct w:val="0"/>
              <w:autoSpaceDE/>
              <w:autoSpaceDN/>
              <w:bidi w:val="0"/>
              <w:adjustRightInd/>
              <w:snapToGrid/>
              <w:spacing w:before="1" w:line="500" w:lineRule="exact"/>
              <w:ind w:right="543"/>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货物名称</w:t>
            </w:r>
          </w:p>
        </w:tc>
        <w:tc>
          <w:tcPr>
            <w:tcW w:w="1985" w:type="dxa"/>
          </w:tcPr>
          <w:p w14:paraId="0E090B75">
            <w:pPr>
              <w:pStyle w:val="44"/>
              <w:pageBreakBefore w:val="0"/>
              <w:widowControl w:val="0"/>
              <w:kinsoku/>
              <w:wordWrap/>
              <w:overflowPunct/>
              <w:topLinePunct w:val="0"/>
              <w:autoSpaceDE/>
              <w:autoSpaceDN/>
              <w:bidi w:val="0"/>
              <w:adjustRightInd/>
              <w:snapToGrid/>
              <w:spacing w:before="1" w:line="5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w:t>
            </w:r>
          </w:p>
        </w:tc>
        <w:tc>
          <w:tcPr>
            <w:tcW w:w="1985" w:type="dxa"/>
          </w:tcPr>
          <w:p w14:paraId="17519A43">
            <w:pPr>
              <w:pStyle w:val="44"/>
              <w:pageBreakBefore w:val="0"/>
              <w:widowControl w:val="0"/>
              <w:kinsoku/>
              <w:wordWrap/>
              <w:overflowPunct/>
              <w:topLinePunct w:val="0"/>
              <w:autoSpaceDE/>
              <w:autoSpaceDN/>
              <w:bidi w:val="0"/>
              <w:adjustRightInd/>
              <w:snapToGrid/>
              <w:spacing w:before="1" w:line="500" w:lineRule="exact"/>
              <w:ind w:right="755"/>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单价</w:t>
            </w:r>
          </w:p>
        </w:tc>
        <w:tc>
          <w:tcPr>
            <w:tcW w:w="1976" w:type="dxa"/>
          </w:tcPr>
          <w:p w14:paraId="72F2BE8C">
            <w:pPr>
              <w:pStyle w:val="44"/>
              <w:pageBreakBefore w:val="0"/>
              <w:widowControl w:val="0"/>
              <w:kinsoku/>
              <w:wordWrap/>
              <w:overflowPunct/>
              <w:topLinePunct w:val="0"/>
              <w:autoSpaceDE/>
              <w:autoSpaceDN/>
              <w:bidi w:val="0"/>
              <w:adjustRightInd/>
              <w:snapToGrid/>
              <w:spacing w:before="1" w:line="500" w:lineRule="exact"/>
              <w:ind w:right="749"/>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tc>
      </w:tr>
      <w:tr w14:paraId="02DAF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984" w:type="dxa"/>
          </w:tcPr>
          <w:p w14:paraId="5B0F735A">
            <w:pPr>
              <w:pStyle w:val="44"/>
              <w:pageBreakBefore w:val="0"/>
              <w:widowControl w:val="0"/>
              <w:kinsoku/>
              <w:wordWrap/>
              <w:overflowPunct/>
              <w:topLinePunct w:val="0"/>
              <w:autoSpaceDE/>
              <w:autoSpaceDN/>
              <w:bidi w:val="0"/>
              <w:adjustRightInd/>
              <w:snapToGrid/>
              <w:spacing w:line="500" w:lineRule="exact"/>
              <w:ind w:left="6"/>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w w:val="99"/>
                <w:sz w:val="24"/>
                <w:szCs w:val="24"/>
                <w:highlight w:val="none"/>
              </w:rPr>
              <w:t>1</w:t>
            </w:r>
          </w:p>
        </w:tc>
        <w:tc>
          <w:tcPr>
            <w:tcW w:w="1984" w:type="dxa"/>
          </w:tcPr>
          <w:p w14:paraId="7174F0B7">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3D4DFC95">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3E09DA7D">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76" w:type="dxa"/>
          </w:tcPr>
          <w:p w14:paraId="09E02523">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r>
      <w:tr w14:paraId="1CBA3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984" w:type="dxa"/>
          </w:tcPr>
          <w:p w14:paraId="0FA30267">
            <w:pPr>
              <w:pStyle w:val="44"/>
              <w:pageBreakBefore w:val="0"/>
              <w:widowControl w:val="0"/>
              <w:kinsoku/>
              <w:wordWrap/>
              <w:overflowPunct/>
              <w:topLinePunct w:val="0"/>
              <w:autoSpaceDE/>
              <w:autoSpaceDN/>
              <w:bidi w:val="0"/>
              <w:adjustRightInd/>
              <w:snapToGrid/>
              <w:spacing w:line="500" w:lineRule="exact"/>
              <w:ind w:left="6"/>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w w:val="99"/>
                <w:sz w:val="24"/>
                <w:szCs w:val="24"/>
                <w:highlight w:val="none"/>
              </w:rPr>
              <w:t>2</w:t>
            </w:r>
          </w:p>
        </w:tc>
        <w:tc>
          <w:tcPr>
            <w:tcW w:w="1984" w:type="dxa"/>
          </w:tcPr>
          <w:p w14:paraId="441AC690">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108FD901">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63B51446">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76" w:type="dxa"/>
          </w:tcPr>
          <w:p w14:paraId="3D65B574">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r>
      <w:tr w14:paraId="558E6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984" w:type="dxa"/>
          </w:tcPr>
          <w:p w14:paraId="2FF144BC">
            <w:pPr>
              <w:pStyle w:val="44"/>
              <w:pageBreakBefore w:val="0"/>
              <w:widowControl w:val="0"/>
              <w:kinsoku/>
              <w:wordWrap/>
              <w:overflowPunct/>
              <w:topLinePunct w:val="0"/>
              <w:autoSpaceDE/>
              <w:autoSpaceDN/>
              <w:bidi w:val="0"/>
              <w:adjustRightInd/>
              <w:snapToGrid/>
              <w:spacing w:before="1" w:line="500" w:lineRule="exact"/>
              <w:ind w:left="6"/>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w w:val="99"/>
                <w:sz w:val="24"/>
                <w:szCs w:val="24"/>
                <w:highlight w:val="none"/>
              </w:rPr>
              <w:t>3</w:t>
            </w:r>
          </w:p>
        </w:tc>
        <w:tc>
          <w:tcPr>
            <w:tcW w:w="1984" w:type="dxa"/>
          </w:tcPr>
          <w:p w14:paraId="5FCFC73E">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540DAF53">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156771A4">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76" w:type="dxa"/>
          </w:tcPr>
          <w:p w14:paraId="7B4F2A8C">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r>
      <w:tr w14:paraId="2F90B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984" w:type="dxa"/>
          </w:tcPr>
          <w:p w14:paraId="47F2D995">
            <w:pPr>
              <w:pStyle w:val="44"/>
              <w:pageBreakBefore w:val="0"/>
              <w:widowControl w:val="0"/>
              <w:kinsoku/>
              <w:wordWrap/>
              <w:overflowPunct/>
              <w:topLinePunct w:val="0"/>
              <w:autoSpaceDE/>
              <w:autoSpaceDN/>
              <w:bidi w:val="0"/>
              <w:adjustRightInd/>
              <w:snapToGrid/>
              <w:spacing w:line="500" w:lineRule="exact"/>
              <w:ind w:left="6"/>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w w:val="99"/>
                <w:sz w:val="24"/>
                <w:szCs w:val="24"/>
                <w:highlight w:val="none"/>
              </w:rPr>
              <w:t>4</w:t>
            </w:r>
          </w:p>
        </w:tc>
        <w:tc>
          <w:tcPr>
            <w:tcW w:w="1984" w:type="dxa"/>
          </w:tcPr>
          <w:p w14:paraId="5B66F0A2">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3FCB8997">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0B53DD49">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76" w:type="dxa"/>
          </w:tcPr>
          <w:p w14:paraId="4E9978D6">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r>
      <w:tr w14:paraId="35FFA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984" w:type="dxa"/>
          </w:tcPr>
          <w:p w14:paraId="04DA0C6C">
            <w:pPr>
              <w:pStyle w:val="44"/>
              <w:pageBreakBefore w:val="0"/>
              <w:widowControl w:val="0"/>
              <w:kinsoku/>
              <w:wordWrap/>
              <w:overflowPunct/>
              <w:topLinePunct w:val="0"/>
              <w:autoSpaceDE/>
              <w:autoSpaceDN/>
              <w:bidi w:val="0"/>
              <w:adjustRightInd/>
              <w:snapToGrid/>
              <w:spacing w:before="1" w:line="500" w:lineRule="exact"/>
              <w:ind w:left="6"/>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w w:val="99"/>
                <w:sz w:val="24"/>
                <w:szCs w:val="24"/>
                <w:highlight w:val="none"/>
              </w:rPr>
              <w:t>5</w:t>
            </w:r>
          </w:p>
        </w:tc>
        <w:tc>
          <w:tcPr>
            <w:tcW w:w="1984" w:type="dxa"/>
          </w:tcPr>
          <w:p w14:paraId="3F3C0629">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283B07B0">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5EF12553">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76" w:type="dxa"/>
          </w:tcPr>
          <w:p w14:paraId="47558839">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r>
      <w:tr w14:paraId="49EDE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984" w:type="dxa"/>
          </w:tcPr>
          <w:p w14:paraId="4A2B2D9D">
            <w:pPr>
              <w:pStyle w:val="44"/>
              <w:pageBreakBefore w:val="0"/>
              <w:widowControl w:val="0"/>
              <w:kinsoku/>
              <w:wordWrap/>
              <w:overflowPunct/>
              <w:topLinePunct w:val="0"/>
              <w:autoSpaceDE/>
              <w:autoSpaceDN/>
              <w:bidi w:val="0"/>
              <w:adjustRightInd/>
              <w:snapToGrid/>
              <w:spacing w:line="500" w:lineRule="exact"/>
              <w:ind w:left="549" w:right="543"/>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1984" w:type="dxa"/>
          </w:tcPr>
          <w:p w14:paraId="6A8C1394">
            <w:pPr>
              <w:pStyle w:val="44"/>
              <w:pageBreakBefore w:val="0"/>
              <w:widowControl w:val="0"/>
              <w:kinsoku/>
              <w:wordWrap/>
              <w:overflowPunct/>
              <w:topLinePunct w:val="0"/>
              <w:autoSpaceDE/>
              <w:autoSpaceDN/>
              <w:bidi w:val="0"/>
              <w:adjustRightInd/>
              <w:snapToGrid/>
              <w:spacing w:line="500" w:lineRule="exact"/>
              <w:ind w:left="550" w:right="542"/>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1985" w:type="dxa"/>
          </w:tcPr>
          <w:p w14:paraId="0D82E18D">
            <w:pPr>
              <w:pStyle w:val="44"/>
              <w:pageBreakBefore w:val="0"/>
              <w:widowControl w:val="0"/>
              <w:kinsoku/>
              <w:wordWrap/>
              <w:overflowPunct/>
              <w:topLinePunct w:val="0"/>
              <w:autoSpaceDE/>
              <w:autoSpaceDN/>
              <w:bidi w:val="0"/>
              <w:adjustRightInd/>
              <w:snapToGrid/>
              <w:spacing w:line="500" w:lineRule="exact"/>
              <w:ind w:left="834"/>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1985" w:type="dxa"/>
          </w:tcPr>
          <w:p w14:paraId="11EBF8E9">
            <w:pPr>
              <w:pStyle w:val="44"/>
              <w:pageBreakBefore w:val="0"/>
              <w:widowControl w:val="0"/>
              <w:kinsoku/>
              <w:wordWrap/>
              <w:overflowPunct/>
              <w:topLinePunct w:val="0"/>
              <w:autoSpaceDE/>
              <w:autoSpaceDN/>
              <w:bidi w:val="0"/>
              <w:adjustRightInd/>
              <w:snapToGrid/>
              <w:spacing w:line="500" w:lineRule="exact"/>
              <w:ind w:left="760" w:right="752"/>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1976" w:type="dxa"/>
          </w:tcPr>
          <w:p w14:paraId="25954DB7">
            <w:pPr>
              <w:pStyle w:val="44"/>
              <w:pageBreakBefore w:val="0"/>
              <w:widowControl w:val="0"/>
              <w:kinsoku/>
              <w:wordWrap/>
              <w:overflowPunct/>
              <w:topLinePunct w:val="0"/>
              <w:autoSpaceDE/>
              <w:autoSpaceDN/>
              <w:bidi w:val="0"/>
              <w:adjustRightInd/>
              <w:snapToGrid/>
              <w:spacing w:line="500" w:lineRule="exact"/>
              <w:ind w:left="756" w:right="749"/>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r>
      <w:tr w14:paraId="079D0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7938" w:type="dxa"/>
            <w:gridSpan w:val="4"/>
          </w:tcPr>
          <w:p w14:paraId="5D01526F">
            <w:pPr>
              <w:pStyle w:val="44"/>
              <w:pageBreakBefore w:val="0"/>
              <w:widowControl w:val="0"/>
              <w:kinsoku/>
              <w:wordWrap/>
              <w:overflowPunct/>
              <w:topLinePunct w:val="0"/>
              <w:autoSpaceDE/>
              <w:autoSpaceDN/>
              <w:bidi w:val="0"/>
              <w:adjustRightInd/>
              <w:snapToGrid/>
              <w:spacing w:line="500" w:lineRule="exact"/>
              <w:ind w:left="3423" w:right="3415"/>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合计（元）</w:t>
            </w:r>
          </w:p>
        </w:tc>
        <w:tc>
          <w:tcPr>
            <w:tcW w:w="1976" w:type="dxa"/>
          </w:tcPr>
          <w:p w14:paraId="66C80FBE">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r>
    </w:tbl>
    <w:p w14:paraId="41FDE789">
      <w:pPr>
        <w:pStyle w:val="5"/>
        <w:pageBreakBefore w:val="0"/>
        <w:widowControl w:val="0"/>
        <w:kinsoku/>
        <w:wordWrap/>
        <w:overflowPunct/>
        <w:topLinePunct w:val="0"/>
        <w:autoSpaceDE/>
        <w:autoSpaceDN/>
        <w:bidi w:val="0"/>
        <w:adjustRightInd/>
        <w:snapToGrid/>
        <w:spacing w:before="1" w:line="500" w:lineRule="exact"/>
        <w:ind w:left="4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第三条 合同总价款</w:t>
      </w:r>
    </w:p>
    <w:p w14:paraId="44167AC4">
      <w:pPr>
        <w:pStyle w:val="49"/>
        <w:pageBreakBefore w:val="0"/>
        <w:widowControl w:val="0"/>
        <w:numPr>
          <w:ilvl w:val="0"/>
          <w:numId w:val="4"/>
        </w:numPr>
        <w:tabs>
          <w:tab w:val="left" w:pos="1135"/>
          <w:tab w:val="left" w:pos="2499"/>
          <w:tab w:val="left" w:pos="4285"/>
        </w:tabs>
        <w:kinsoku/>
        <w:wordWrap/>
        <w:overflowPunct/>
        <w:topLinePunct w:val="0"/>
        <w:autoSpaceDE/>
        <w:autoSpaceDN/>
        <w:bidi w:val="0"/>
        <w:adjustRightInd/>
        <w:snapToGrid/>
        <w:spacing w:before="139" w:after="0" w:line="500" w:lineRule="exact"/>
        <w:ind w:left="820" w:right="830" w:rightChars="0" w:firstLine="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本合同项下总价款：￥</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元</w:t>
      </w:r>
      <w:r>
        <w:rPr>
          <w:rFonts w:hint="eastAsia" w:asciiTheme="minorEastAsia" w:hAnsiTheme="minorEastAsia" w:eastAsiaTheme="minorEastAsia" w:cstheme="minorEastAsia"/>
          <w:spacing w:val="-16"/>
          <w:sz w:val="24"/>
          <w:szCs w:val="24"/>
          <w:highlight w:val="none"/>
        </w:rPr>
        <w:t>。</w:t>
      </w:r>
      <w:r>
        <w:rPr>
          <w:rFonts w:hint="eastAsia" w:asciiTheme="minorEastAsia" w:hAnsiTheme="minorEastAsia" w:eastAsiaTheme="minorEastAsia" w:cstheme="minorEastAsia"/>
          <w:sz w:val="24"/>
          <w:szCs w:val="24"/>
          <w:highlight w:val="none"/>
        </w:rPr>
        <w:t>大写：</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元。</w:t>
      </w:r>
    </w:p>
    <w:p w14:paraId="33F2214E">
      <w:pPr>
        <w:pStyle w:val="49"/>
        <w:pageBreakBefore w:val="0"/>
        <w:widowControl w:val="0"/>
        <w:numPr>
          <w:ilvl w:val="0"/>
          <w:numId w:val="4"/>
        </w:numPr>
        <w:tabs>
          <w:tab w:val="left" w:pos="1032"/>
        </w:tabs>
        <w:kinsoku/>
        <w:wordWrap/>
        <w:overflowPunct/>
        <w:topLinePunct w:val="0"/>
        <w:autoSpaceDE/>
        <w:autoSpaceDN/>
        <w:bidi w:val="0"/>
        <w:adjustRightInd/>
        <w:snapToGrid/>
        <w:spacing w:before="0" w:after="0" w:line="500" w:lineRule="exact"/>
        <w:ind w:left="400" w:right="340" w:firstLine="42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本合同总价款包括</w:t>
      </w:r>
      <w:r>
        <w:rPr>
          <w:rFonts w:hint="eastAsia" w:ascii="宋体" w:hAnsi="宋体"/>
          <w:color w:val="auto"/>
          <w:sz w:val="24"/>
          <w:highlight w:val="none"/>
          <w:lang w:val="en-US" w:eastAsia="zh-CN"/>
        </w:rPr>
        <w:t>采购及安装、调试、验收、培训、质保期服务、与货物有关的运输和保险及其他伴随服务</w:t>
      </w:r>
      <w:r>
        <w:rPr>
          <w:rFonts w:hint="eastAsia" w:asciiTheme="minorEastAsia" w:hAnsiTheme="minorEastAsia" w:eastAsiaTheme="minorEastAsia" w:cstheme="minorEastAsia"/>
          <w:sz w:val="24"/>
          <w:szCs w:val="24"/>
          <w:highlight w:val="none"/>
        </w:rPr>
        <w:t>的售后服务一切税金和费用。</w:t>
      </w:r>
    </w:p>
    <w:p w14:paraId="068F8834">
      <w:pPr>
        <w:pStyle w:val="10"/>
        <w:pageBreakBefore w:val="0"/>
        <w:widowControl w:val="0"/>
        <w:kinsoku/>
        <w:wordWrap/>
        <w:overflowPunct/>
        <w:topLinePunct w:val="0"/>
        <w:autoSpaceDE/>
        <w:autoSpaceDN/>
        <w:bidi w:val="0"/>
        <w:adjustRightInd/>
        <w:snapToGrid/>
        <w:spacing w:line="500" w:lineRule="exact"/>
        <w:ind w:left="8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4.本合同执行期间合同总价款不变。</w:t>
      </w:r>
    </w:p>
    <w:p w14:paraId="5348CB90">
      <w:pPr>
        <w:pageBreakBefore w:val="0"/>
        <w:widowControl w:val="0"/>
        <w:kinsoku/>
        <w:wordWrap/>
        <w:overflowPunct/>
        <w:topLinePunct w:val="0"/>
        <w:autoSpaceDE/>
        <w:autoSpaceDN/>
        <w:bidi w:val="0"/>
        <w:adjustRightInd/>
        <w:snapToGrid/>
        <w:spacing w:before="42" w:line="500" w:lineRule="exact"/>
        <w:ind w:left="400" w:right="4390" w:rightChars="0" w:firstLine="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第四条 双方一般权利和义务</w:t>
      </w:r>
    </w:p>
    <w:p w14:paraId="4735BBEA">
      <w:pPr>
        <w:pageBreakBefore w:val="0"/>
        <w:widowControl w:val="0"/>
        <w:kinsoku/>
        <w:wordWrap/>
        <w:overflowPunct/>
        <w:topLinePunct w:val="0"/>
        <w:autoSpaceDE/>
        <w:autoSpaceDN/>
        <w:bidi w:val="0"/>
        <w:adjustRightInd/>
        <w:snapToGrid/>
        <w:spacing w:before="42" w:line="500" w:lineRule="exact"/>
        <w:ind w:left="400" w:right="4390" w:rightChars="0" w:firstLine="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1.甲方的义务</w:t>
      </w:r>
    </w:p>
    <w:p w14:paraId="4E4838EA">
      <w:pPr>
        <w:pStyle w:val="49"/>
        <w:pageBreakBefore w:val="0"/>
        <w:widowControl w:val="0"/>
        <w:numPr>
          <w:ilvl w:val="1"/>
          <w:numId w:val="5"/>
        </w:numPr>
        <w:tabs>
          <w:tab w:val="left" w:pos="1240"/>
          <w:tab w:val="left" w:pos="6174"/>
        </w:tabs>
        <w:kinsoku/>
        <w:wordWrap/>
        <w:overflowPunct/>
        <w:topLinePunct w:val="0"/>
        <w:autoSpaceDE/>
        <w:autoSpaceDN/>
        <w:bidi w:val="0"/>
        <w:adjustRightInd/>
        <w:snapToGrid/>
        <w:spacing w:before="0"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委托工作的具体范围和内容：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p>
    <w:p w14:paraId="7F21709B">
      <w:pPr>
        <w:pStyle w:val="49"/>
        <w:pageBreakBefore w:val="0"/>
        <w:widowControl w:val="0"/>
        <w:numPr>
          <w:ilvl w:val="1"/>
          <w:numId w:val="5"/>
        </w:numPr>
        <w:tabs>
          <w:tab w:val="left" w:pos="1240"/>
        </w:tabs>
        <w:kinsoku/>
        <w:wordWrap/>
        <w:overflowPunct/>
        <w:topLinePunct w:val="0"/>
        <w:autoSpaceDE/>
        <w:autoSpaceDN/>
        <w:bidi w:val="0"/>
        <w:adjustRightInd/>
        <w:snapToGrid/>
        <w:spacing w:before="139"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甲方应按约定的时间和要求完成下列工作：</w:t>
      </w:r>
    </w:p>
    <w:p w14:paraId="3B13EF9A">
      <w:pPr>
        <w:pStyle w:val="49"/>
        <w:pageBreakBefore w:val="0"/>
        <w:widowControl w:val="0"/>
        <w:numPr>
          <w:ilvl w:val="0"/>
          <w:numId w:val="6"/>
        </w:numPr>
        <w:tabs>
          <w:tab w:val="left" w:pos="1345"/>
        </w:tabs>
        <w:kinsoku/>
        <w:wordWrap/>
        <w:overflowPunct/>
        <w:topLinePunct w:val="0"/>
        <w:autoSpaceDE/>
        <w:autoSpaceDN/>
        <w:bidi w:val="0"/>
        <w:adjustRightInd/>
        <w:snapToGrid/>
        <w:spacing w:before="139"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向乙方提供保证履行合同所需的全部资料的时间：合同签订后 个工作日内 。</w:t>
      </w:r>
    </w:p>
    <w:p w14:paraId="671164A1">
      <w:pPr>
        <w:pStyle w:val="49"/>
        <w:pageBreakBefore w:val="0"/>
        <w:widowControl w:val="0"/>
        <w:numPr>
          <w:ilvl w:val="0"/>
          <w:numId w:val="6"/>
        </w:numPr>
        <w:tabs>
          <w:tab w:val="left" w:pos="1345"/>
          <w:tab w:val="left" w:pos="5859"/>
        </w:tabs>
        <w:kinsoku/>
        <w:wordWrap/>
        <w:overflowPunct/>
        <w:topLinePunct w:val="0"/>
        <w:autoSpaceDE/>
        <w:autoSpaceDN/>
        <w:bidi w:val="0"/>
        <w:adjustRightInd/>
        <w:snapToGrid/>
        <w:spacing w:before="139"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向乙方提供保证履行合同顺利完成的条件：</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w:t>
      </w:r>
    </w:p>
    <w:p w14:paraId="2DFB9064">
      <w:pPr>
        <w:pStyle w:val="49"/>
        <w:pageBreakBefore w:val="0"/>
        <w:widowControl w:val="0"/>
        <w:numPr>
          <w:ilvl w:val="0"/>
          <w:numId w:val="6"/>
        </w:numPr>
        <w:tabs>
          <w:tab w:val="left" w:pos="1345"/>
          <w:tab w:val="left" w:pos="4651"/>
        </w:tabs>
        <w:kinsoku/>
        <w:wordWrap/>
        <w:overflowPunct/>
        <w:topLinePunct w:val="0"/>
        <w:autoSpaceDE/>
        <w:autoSpaceDN/>
        <w:bidi w:val="0"/>
        <w:adjustRightInd/>
        <w:snapToGrid/>
        <w:spacing w:before="141"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需要与第三方协调的工作：</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p>
    <w:p w14:paraId="1B4AF667">
      <w:pPr>
        <w:pStyle w:val="49"/>
        <w:pageBreakBefore w:val="0"/>
        <w:widowControl w:val="0"/>
        <w:numPr>
          <w:ilvl w:val="0"/>
          <w:numId w:val="0"/>
        </w:numPr>
        <w:tabs>
          <w:tab w:val="left" w:pos="1240"/>
        </w:tabs>
        <w:kinsoku/>
        <w:wordWrap/>
        <w:overflowPunct/>
        <w:topLinePunct w:val="0"/>
        <w:autoSpaceDE/>
        <w:autoSpaceDN/>
        <w:bidi w:val="0"/>
        <w:adjustRightInd/>
        <w:snapToGrid/>
        <w:spacing w:before="0" w:after="0" w:line="500" w:lineRule="exact"/>
        <w:ind w:left="820" w:leftChars="0" w:right="0"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rPr>
        <w:t>甲方有义务保守履约合同过程中有关的商业秘密。</w:t>
      </w:r>
    </w:p>
    <w:p w14:paraId="70F2281A">
      <w:pPr>
        <w:pStyle w:val="49"/>
        <w:pageBreakBefore w:val="0"/>
        <w:widowControl w:val="0"/>
        <w:numPr>
          <w:ilvl w:val="0"/>
          <w:numId w:val="0"/>
        </w:numPr>
        <w:tabs>
          <w:tab w:val="left" w:pos="1240"/>
        </w:tabs>
        <w:kinsoku/>
        <w:wordWrap/>
        <w:overflowPunct/>
        <w:topLinePunct w:val="0"/>
        <w:autoSpaceDE/>
        <w:autoSpaceDN/>
        <w:bidi w:val="0"/>
        <w:adjustRightInd/>
        <w:snapToGrid/>
        <w:spacing w:before="139" w:after="0" w:line="500" w:lineRule="exact"/>
        <w:ind w:left="820" w:leftChars="0" w:right="462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w w:val="95"/>
          <w:sz w:val="24"/>
          <w:szCs w:val="24"/>
          <w:highlight w:val="none"/>
        </w:rPr>
        <w:t xml:space="preserve"> </w:t>
      </w:r>
      <w:r>
        <w:rPr>
          <w:rFonts w:hint="eastAsia" w:asciiTheme="minorEastAsia" w:hAnsiTheme="minorEastAsia" w:eastAsiaTheme="minorEastAsia" w:cstheme="minorEastAsia"/>
          <w:sz w:val="24"/>
          <w:szCs w:val="24"/>
          <w:highlight w:val="none"/>
        </w:rPr>
        <w:t>2.乙方的义务</w:t>
      </w:r>
    </w:p>
    <w:p w14:paraId="46CF9436">
      <w:pPr>
        <w:pStyle w:val="49"/>
        <w:pageBreakBefore w:val="0"/>
        <w:widowControl w:val="0"/>
        <w:numPr>
          <w:ilvl w:val="1"/>
          <w:numId w:val="7"/>
        </w:numPr>
        <w:tabs>
          <w:tab w:val="left" w:pos="1240"/>
        </w:tabs>
        <w:kinsoku/>
        <w:wordWrap/>
        <w:overflowPunct/>
        <w:topLinePunct w:val="0"/>
        <w:autoSpaceDE/>
        <w:autoSpaceDN/>
        <w:bidi w:val="0"/>
        <w:adjustRightInd/>
        <w:snapToGrid/>
        <w:spacing w:before="0"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乙方应按约定的时间和要求完全下列工作：</w:t>
      </w:r>
    </w:p>
    <w:p w14:paraId="5A130C9A">
      <w:pPr>
        <w:pStyle w:val="49"/>
        <w:pageBreakBefore w:val="0"/>
        <w:widowControl w:val="0"/>
        <w:numPr>
          <w:ilvl w:val="0"/>
          <w:numId w:val="8"/>
        </w:numPr>
        <w:tabs>
          <w:tab w:val="left" w:pos="1345"/>
          <w:tab w:val="left" w:pos="5125"/>
        </w:tabs>
        <w:kinsoku/>
        <w:wordWrap/>
        <w:overflowPunct/>
        <w:topLinePunct w:val="0"/>
        <w:autoSpaceDE/>
        <w:autoSpaceDN/>
        <w:bidi w:val="0"/>
        <w:adjustRightInd/>
        <w:snapToGrid/>
        <w:spacing w:before="141"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保证履行合同的内容和时间：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p>
    <w:p w14:paraId="4EA91C4A">
      <w:pPr>
        <w:pStyle w:val="49"/>
        <w:pageBreakBefore w:val="0"/>
        <w:widowControl w:val="0"/>
        <w:numPr>
          <w:ilvl w:val="0"/>
          <w:numId w:val="8"/>
        </w:numPr>
        <w:tabs>
          <w:tab w:val="left" w:pos="1345"/>
          <w:tab w:val="left" w:pos="6805"/>
        </w:tabs>
        <w:kinsoku/>
        <w:wordWrap/>
        <w:overflowPunct/>
        <w:topLinePunct w:val="0"/>
        <w:autoSpaceDE/>
        <w:autoSpaceDN/>
        <w:bidi w:val="0"/>
        <w:adjustRightInd/>
        <w:snapToGrid/>
        <w:spacing w:before="139"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为甲方提供的为保证履行合同的相关咨询服务：</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p>
    <w:p w14:paraId="2F407A46">
      <w:pPr>
        <w:pStyle w:val="49"/>
        <w:pageBreakBefore w:val="0"/>
        <w:widowControl w:val="0"/>
        <w:numPr>
          <w:ilvl w:val="0"/>
          <w:numId w:val="8"/>
        </w:numPr>
        <w:tabs>
          <w:tab w:val="left" w:pos="1345"/>
          <w:tab w:val="left" w:pos="4074"/>
        </w:tabs>
        <w:kinsoku/>
        <w:wordWrap/>
        <w:overflowPunct/>
        <w:topLinePunct w:val="0"/>
        <w:autoSpaceDE/>
        <w:autoSpaceDN/>
        <w:bidi w:val="0"/>
        <w:adjustRightInd/>
        <w:snapToGrid/>
        <w:spacing w:before="139"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应尽的其他义务：</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p>
    <w:p w14:paraId="6281C6A7">
      <w:pPr>
        <w:pStyle w:val="49"/>
        <w:pageBreakBefore w:val="0"/>
        <w:widowControl w:val="0"/>
        <w:numPr>
          <w:ilvl w:val="1"/>
          <w:numId w:val="7"/>
        </w:numPr>
        <w:tabs>
          <w:tab w:val="left" w:pos="1240"/>
        </w:tabs>
        <w:kinsoku/>
        <w:wordWrap/>
        <w:overflowPunct/>
        <w:topLinePunct w:val="0"/>
        <w:autoSpaceDE/>
        <w:autoSpaceDN/>
        <w:bidi w:val="0"/>
        <w:adjustRightInd/>
        <w:snapToGrid/>
        <w:spacing w:before="139"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乙方有义务保守履约合同过程中有关的商业秘密。</w:t>
      </w:r>
    </w:p>
    <w:p w14:paraId="40E5A4E0">
      <w:pPr>
        <w:pStyle w:val="49"/>
        <w:pageBreakBefore w:val="0"/>
        <w:widowControl w:val="0"/>
        <w:numPr>
          <w:ilvl w:val="0"/>
          <w:numId w:val="4"/>
        </w:numPr>
        <w:tabs>
          <w:tab w:val="left" w:pos="715"/>
        </w:tabs>
        <w:kinsoku/>
        <w:wordWrap/>
        <w:overflowPunct/>
        <w:topLinePunct w:val="0"/>
        <w:autoSpaceDE/>
        <w:autoSpaceDN/>
        <w:bidi w:val="0"/>
        <w:adjustRightInd/>
        <w:snapToGrid/>
        <w:spacing w:before="139" w:after="0" w:line="500" w:lineRule="exact"/>
        <w:ind w:left="714" w:right="0" w:hanging="31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甲方的权利</w:t>
      </w:r>
    </w:p>
    <w:p w14:paraId="11A3B857">
      <w:pPr>
        <w:pStyle w:val="49"/>
        <w:pageBreakBefore w:val="0"/>
        <w:widowControl w:val="0"/>
        <w:numPr>
          <w:ilvl w:val="1"/>
          <w:numId w:val="4"/>
        </w:numPr>
        <w:tabs>
          <w:tab w:val="left" w:pos="1240"/>
        </w:tabs>
        <w:kinsoku/>
        <w:wordWrap/>
        <w:overflowPunct/>
        <w:topLinePunct w:val="0"/>
        <w:autoSpaceDE/>
        <w:autoSpaceDN/>
        <w:bidi w:val="0"/>
        <w:adjustRightInd/>
        <w:snapToGrid/>
        <w:spacing w:before="139"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按合同约定，接收项目成果；</w:t>
      </w:r>
    </w:p>
    <w:p w14:paraId="2DA8F1A1">
      <w:pPr>
        <w:pStyle w:val="49"/>
        <w:pageBreakBefore w:val="0"/>
        <w:widowControl w:val="0"/>
        <w:numPr>
          <w:ilvl w:val="1"/>
          <w:numId w:val="4"/>
        </w:numPr>
        <w:tabs>
          <w:tab w:val="left" w:pos="1240"/>
        </w:tabs>
        <w:kinsoku/>
        <w:wordWrap/>
        <w:overflowPunct/>
        <w:topLinePunct w:val="0"/>
        <w:autoSpaceDE/>
        <w:autoSpaceDN/>
        <w:bidi w:val="0"/>
        <w:adjustRightInd/>
        <w:snapToGrid/>
        <w:spacing w:before="141"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向乙方询问履行合同工作进展情况和相关内容或提出不违反法律、行政法规的建议；</w:t>
      </w:r>
    </w:p>
    <w:p w14:paraId="11DA68F4">
      <w:pPr>
        <w:pStyle w:val="49"/>
        <w:pageBreakBefore w:val="0"/>
        <w:widowControl w:val="0"/>
        <w:numPr>
          <w:ilvl w:val="1"/>
          <w:numId w:val="4"/>
        </w:numPr>
        <w:tabs>
          <w:tab w:val="left" w:pos="1240"/>
        </w:tabs>
        <w:kinsoku/>
        <w:wordWrap/>
        <w:overflowPunct/>
        <w:topLinePunct w:val="0"/>
        <w:autoSpaceDE/>
        <w:autoSpaceDN/>
        <w:bidi w:val="0"/>
        <w:adjustRightInd/>
        <w:snapToGrid/>
        <w:spacing w:before="141"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与乙方协商，建议更换其不称职的工作人员；</w:t>
      </w:r>
    </w:p>
    <w:p w14:paraId="17EF2916">
      <w:pPr>
        <w:pStyle w:val="49"/>
        <w:pageBreakBefore w:val="0"/>
        <w:widowControl w:val="0"/>
        <w:numPr>
          <w:ilvl w:val="1"/>
          <w:numId w:val="4"/>
        </w:numPr>
        <w:tabs>
          <w:tab w:val="left" w:pos="1240"/>
        </w:tabs>
        <w:kinsoku/>
        <w:wordWrap/>
        <w:overflowPunct/>
        <w:topLinePunct w:val="0"/>
        <w:autoSpaceDE/>
        <w:autoSpaceDN/>
        <w:bidi w:val="0"/>
        <w:adjustRightInd/>
        <w:snapToGrid/>
        <w:spacing w:before="141"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本合同履行期间，由于乙方不履行合同约定的内容，给甲方造成损失或影响工作正常进行的，甲方有权终止本合同，并依法向乙方追索经济赔偿，直至追究法律责任；</w:t>
      </w:r>
    </w:p>
    <w:p w14:paraId="29FAB22B">
      <w:pPr>
        <w:pStyle w:val="49"/>
        <w:pageBreakBefore w:val="0"/>
        <w:widowControl w:val="0"/>
        <w:numPr>
          <w:ilvl w:val="1"/>
          <w:numId w:val="4"/>
        </w:numPr>
        <w:tabs>
          <w:tab w:val="left" w:pos="1240"/>
        </w:tabs>
        <w:kinsoku/>
        <w:wordWrap/>
        <w:overflowPunct/>
        <w:topLinePunct w:val="0"/>
        <w:autoSpaceDE/>
        <w:autoSpaceDN/>
        <w:bidi w:val="0"/>
        <w:adjustRightInd/>
        <w:snapToGrid/>
        <w:spacing w:before="1"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甲方有权利对乙方在合同履行期间的行为进行监督。</w:t>
      </w:r>
    </w:p>
    <w:p w14:paraId="17CEBCE6">
      <w:pPr>
        <w:pStyle w:val="49"/>
        <w:pageBreakBefore w:val="0"/>
        <w:widowControl w:val="0"/>
        <w:numPr>
          <w:ilvl w:val="0"/>
          <w:numId w:val="4"/>
        </w:numPr>
        <w:tabs>
          <w:tab w:val="left" w:pos="715"/>
        </w:tabs>
        <w:kinsoku/>
        <w:wordWrap/>
        <w:overflowPunct/>
        <w:topLinePunct w:val="0"/>
        <w:autoSpaceDE/>
        <w:autoSpaceDN/>
        <w:bidi w:val="0"/>
        <w:adjustRightInd/>
        <w:snapToGrid/>
        <w:spacing w:before="139" w:after="0" w:line="500" w:lineRule="exact"/>
        <w:ind w:left="714" w:right="0" w:hanging="31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乙方的权利</w:t>
      </w:r>
    </w:p>
    <w:p w14:paraId="27B12562">
      <w:pPr>
        <w:pStyle w:val="49"/>
        <w:pageBreakBefore w:val="0"/>
        <w:widowControl w:val="0"/>
        <w:numPr>
          <w:ilvl w:val="1"/>
          <w:numId w:val="4"/>
        </w:numPr>
        <w:tabs>
          <w:tab w:val="left" w:pos="1240"/>
        </w:tabs>
        <w:kinsoku/>
        <w:wordWrap/>
        <w:overflowPunct/>
        <w:topLinePunct w:val="0"/>
        <w:autoSpaceDE/>
        <w:autoSpaceDN/>
        <w:bidi w:val="0"/>
        <w:adjustRightInd/>
        <w:snapToGrid/>
        <w:spacing w:before="139"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按合同约定收取报酬；</w:t>
      </w:r>
    </w:p>
    <w:p w14:paraId="2FCBB734">
      <w:pPr>
        <w:pStyle w:val="49"/>
        <w:pageBreakBefore w:val="0"/>
        <w:widowControl w:val="0"/>
        <w:numPr>
          <w:ilvl w:val="1"/>
          <w:numId w:val="4"/>
        </w:numPr>
        <w:tabs>
          <w:tab w:val="left" w:pos="1240"/>
        </w:tabs>
        <w:kinsoku/>
        <w:wordWrap/>
        <w:overflowPunct/>
        <w:topLinePunct w:val="0"/>
        <w:autoSpaceDE/>
        <w:autoSpaceDN/>
        <w:bidi w:val="0"/>
        <w:adjustRightInd/>
        <w:snapToGrid/>
        <w:spacing w:before="139"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对履行合同中应由甲方做出的决定，乙方有权提出建议；</w:t>
      </w:r>
    </w:p>
    <w:p w14:paraId="7E2D7C71">
      <w:pPr>
        <w:pStyle w:val="49"/>
        <w:pageBreakBefore w:val="0"/>
        <w:widowControl w:val="0"/>
        <w:numPr>
          <w:ilvl w:val="1"/>
          <w:numId w:val="4"/>
        </w:numPr>
        <w:tabs>
          <w:tab w:val="left" w:pos="1240"/>
        </w:tabs>
        <w:kinsoku/>
        <w:wordWrap/>
        <w:overflowPunct/>
        <w:topLinePunct w:val="0"/>
        <w:autoSpaceDE/>
        <w:autoSpaceDN/>
        <w:bidi w:val="0"/>
        <w:adjustRightInd/>
        <w:snapToGrid/>
        <w:spacing w:before="139"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当甲方提供的资料不足或不明确时，有权要求甲方补足资料或作出明确的答复；</w:t>
      </w:r>
    </w:p>
    <w:p w14:paraId="79F321C4">
      <w:pPr>
        <w:pStyle w:val="49"/>
        <w:pageBreakBefore w:val="0"/>
        <w:widowControl w:val="0"/>
        <w:numPr>
          <w:ilvl w:val="1"/>
          <w:numId w:val="4"/>
        </w:numPr>
        <w:tabs>
          <w:tab w:val="left" w:pos="1240"/>
        </w:tabs>
        <w:kinsoku/>
        <w:wordWrap/>
        <w:overflowPunct/>
        <w:topLinePunct w:val="0"/>
        <w:autoSpaceDE/>
        <w:autoSpaceDN/>
        <w:bidi w:val="0"/>
        <w:adjustRightInd/>
        <w:snapToGrid/>
        <w:spacing w:before="139"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拒绝甲方提出的违反法律、行政法规的要求，并向甲方作出解释。 </w:t>
      </w:r>
    </w:p>
    <w:p w14:paraId="3DC2FEEA">
      <w:pPr>
        <w:pStyle w:val="49"/>
        <w:pageBreakBefore w:val="0"/>
        <w:widowControl w:val="0"/>
        <w:numPr>
          <w:ilvl w:val="0"/>
          <w:numId w:val="0"/>
        </w:numPr>
        <w:tabs>
          <w:tab w:val="left" w:pos="1240"/>
        </w:tabs>
        <w:kinsoku/>
        <w:wordWrap/>
        <w:overflowPunct/>
        <w:topLinePunct w:val="0"/>
        <w:autoSpaceDE/>
        <w:autoSpaceDN/>
        <w:bidi w:val="0"/>
        <w:adjustRightInd/>
        <w:snapToGrid/>
        <w:spacing w:before="139" w:after="0" w:line="500" w:lineRule="exact"/>
        <w:ind w:left="820" w:leftChars="0" w:right="3155" w:rightChars="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w w:val="95"/>
          <w:sz w:val="24"/>
          <w:szCs w:val="24"/>
          <w:highlight w:val="none"/>
        </w:rPr>
        <w:t xml:space="preserve"> </w:t>
      </w:r>
      <w:r>
        <w:rPr>
          <w:rFonts w:hint="eastAsia" w:asciiTheme="minorEastAsia" w:hAnsiTheme="minorEastAsia" w:eastAsiaTheme="minorEastAsia" w:cstheme="minorEastAsia"/>
          <w:b/>
          <w:spacing w:val="-1"/>
          <w:sz w:val="24"/>
          <w:szCs w:val="24"/>
          <w:highlight w:val="none"/>
        </w:rPr>
        <w:t>第五条 质量保证</w:t>
      </w:r>
    </w:p>
    <w:p w14:paraId="7C9F023A">
      <w:pPr>
        <w:pStyle w:val="49"/>
        <w:pageBreakBefore w:val="0"/>
        <w:widowControl w:val="0"/>
        <w:numPr>
          <w:ilvl w:val="0"/>
          <w:numId w:val="9"/>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乙方应保证甲方在使用该货物或其任何一部分时不受第三方提出侵犯其专利权、版权、商标权或其他权利的起诉。一旦出现侵权，索赔或诉讼，乙方应承担全部责任。</w:t>
      </w:r>
    </w:p>
    <w:p w14:paraId="6BB912E2">
      <w:pPr>
        <w:pStyle w:val="49"/>
        <w:pageBreakBefore w:val="0"/>
        <w:widowControl w:val="0"/>
        <w:numPr>
          <w:ilvl w:val="0"/>
          <w:numId w:val="9"/>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乙方保证货物是全新的、未使用过的，完全符合国家规范及甲乙双方确认的</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文件、本合同关于货物数量、质量的要求。货物符合实行国家“三包”规定的，应执行“三包”规定。</w:t>
      </w:r>
    </w:p>
    <w:p w14:paraId="5DEEB82F">
      <w:pPr>
        <w:pStyle w:val="49"/>
        <w:pageBreakBefore w:val="0"/>
        <w:widowControl w:val="0"/>
        <w:numPr>
          <w:ilvl w:val="0"/>
          <w:numId w:val="9"/>
        </w:numPr>
        <w:tabs>
          <w:tab w:val="left" w:pos="1032"/>
        </w:tabs>
        <w:kinsoku/>
        <w:wordWrap/>
        <w:overflowPunct/>
        <w:topLinePunct w:val="0"/>
        <w:autoSpaceDE/>
        <w:autoSpaceDN/>
        <w:bidi w:val="0"/>
        <w:adjustRightInd/>
        <w:snapToGrid/>
        <w:spacing w:before="132"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乙方提交的货物应符合</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文件中所记载的详细配置、技术参数、参数及性能，并应附有此类货物完整、详细的技术资料和说明文件。乙方提交的货物必须按照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文件的要求和</w:t>
      </w:r>
      <w:r>
        <w:rPr>
          <w:rFonts w:hint="eastAsia" w:asciiTheme="minorEastAsia" w:hAnsiTheme="minorEastAsia" w:eastAsiaTheme="minorEastAsia" w:cstheme="minorEastAsia"/>
          <w:sz w:val="24"/>
          <w:szCs w:val="24"/>
          <w:highlight w:val="none"/>
          <w:lang w:eastAsia="zh-CN"/>
        </w:rPr>
        <w:t>成交人响应</w:t>
      </w:r>
      <w:r>
        <w:rPr>
          <w:rFonts w:hint="eastAsia" w:asciiTheme="minorEastAsia" w:hAnsiTheme="minorEastAsia" w:eastAsiaTheme="minorEastAsia" w:cstheme="minorEastAsia"/>
          <w:sz w:val="24"/>
          <w:szCs w:val="24"/>
          <w:highlight w:val="none"/>
        </w:rPr>
        <w:t>文件的承诺，以约定标准进行制造、安装； 采购的进口产品应执行原产地国家有关部门最新颁布的相应正式标准并提供国家商检、海关报关等手续。</w:t>
      </w:r>
    </w:p>
    <w:p w14:paraId="6919774E">
      <w:pPr>
        <w:pStyle w:val="49"/>
        <w:pageBreakBefore w:val="0"/>
        <w:widowControl w:val="0"/>
        <w:numPr>
          <w:ilvl w:val="0"/>
          <w:numId w:val="9"/>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乙方应保证将货物按照国家或专业标准包装、确保货物安全无损运抵合同规定的交货地点，并进行安装、试运行。</w:t>
      </w:r>
    </w:p>
    <w:p w14:paraId="3FDAEE2C">
      <w:pPr>
        <w:pStyle w:val="10"/>
        <w:pageBreakBefore w:val="0"/>
        <w:widowControl w:val="0"/>
        <w:numPr>
          <w:ilvl w:val="0"/>
          <w:numId w:val="10"/>
        </w:numPr>
        <w:kinsoku/>
        <w:wordWrap/>
        <w:overflowPunct/>
        <w:topLinePunct w:val="0"/>
        <w:autoSpaceDE/>
        <w:autoSpaceDN/>
        <w:bidi w:val="0"/>
        <w:adjustRightInd/>
        <w:snapToGrid/>
        <w:spacing w:line="500" w:lineRule="exact"/>
        <w:ind w:left="400" w:right="539" w:rightChars="0" w:firstLine="420"/>
        <w:textAlignment w:val="auto"/>
        <w:rPr>
          <w:rFonts w:hint="eastAsia" w:asciiTheme="minorEastAsia" w:hAnsiTheme="minorEastAsia" w:eastAsiaTheme="minorEastAsia" w:cstheme="minorEastAsia"/>
          <w:w w:val="95"/>
          <w:sz w:val="24"/>
          <w:szCs w:val="24"/>
          <w:highlight w:val="none"/>
        </w:rPr>
      </w:pPr>
      <w:r>
        <w:rPr>
          <w:rFonts w:hint="eastAsia" w:asciiTheme="minorEastAsia" w:hAnsiTheme="minorEastAsia" w:eastAsiaTheme="minorEastAsia" w:cstheme="minorEastAsia"/>
          <w:w w:val="95"/>
          <w:sz w:val="24"/>
          <w:szCs w:val="24"/>
          <w:highlight w:val="none"/>
        </w:rPr>
        <w:t xml:space="preserve">乙方保证货物不存在危及人身及财产安全的产品缺陷，否则应承担全部法律责任。 </w:t>
      </w:r>
    </w:p>
    <w:p w14:paraId="78ED00F6">
      <w:pPr>
        <w:pStyle w:val="10"/>
        <w:pageBreakBefore w:val="0"/>
        <w:widowControl w:val="0"/>
        <w:numPr>
          <w:ilvl w:val="0"/>
          <w:numId w:val="0"/>
        </w:numPr>
        <w:kinsoku/>
        <w:wordWrap/>
        <w:overflowPunct/>
        <w:topLinePunct w:val="0"/>
        <w:autoSpaceDE/>
        <w:autoSpaceDN/>
        <w:bidi w:val="0"/>
        <w:adjustRightInd/>
        <w:snapToGrid/>
        <w:spacing w:line="500" w:lineRule="exact"/>
        <w:ind w:left="820" w:leftChars="0" w:right="1789" w:rightChars="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w w:val="95"/>
          <w:sz w:val="24"/>
          <w:szCs w:val="24"/>
          <w:highlight w:val="none"/>
        </w:rPr>
        <w:t xml:space="preserve"> </w:t>
      </w:r>
      <w:r>
        <w:rPr>
          <w:rFonts w:hint="eastAsia" w:asciiTheme="minorEastAsia" w:hAnsiTheme="minorEastAsia" w:eastAsiaTheme="minorEastAsia" w:cstheme="minorEastAsia"/>
          <w:b/>
          <w:spacing w:val="-1"/>
          <w:sz w:val="24"/>
          <w:szCs w:val="24"/>
          <w:highlight w:val="none"/>
        </w:rPr>
        <w:t>第六条 付款方式</w:t>
      </w:r>
    </w:p>
    <w:p w14:paraId="49E20083">
      <w:pPr>
        <w:pStyle w:val="49"/>
        <w:pageBreakBefore w:val="0"/>
        <w:widowControl w:val="0"/>
        <w:numPr>
          <w:ilvl w:val="0"/>
          <w:numId w:val="11"/>
        </w:numPr>
        <w:tabs>
          <w:tab w:val="left" w:pos="1032"/>
        </w:tabs>
        <w:kinsoku/>
        <w:wordWrap/>
        <w:overflowPunct/>
        <w:topLinePunct w:val="0"/>
        <w:autoSpaceDE/>
        <w:autoSpaceDN/>
        <w:bidi w:val="0"/>
        <w:adjustRightInd/>
        <w:snapToGrid/>
        <w:spacing w:before="0"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本合同项下所有款项均以人民币支付。</w:t>
      </w:r>
    </w:p>
    <w:p w14:paraId="14B63B42">
      <w:pPr>
        <w:pStyle w:val="49"/>
        <w:pageBreakBefore w:val="0"/>
        <w:widowControl w:val="0"/>
        <w:numPr>
          <w:ilvl w:val="0"/>
          <w:numId w:val="11"/>
        </w:numPr>
        <w:tabs>
          <w:tab w:val="left" w:pos="1032"/>
        </w:tabs>
        <w:kinsoku/>
        <w:wordWrap/>
        <w:overflowPunct/>
        <w:topLinePunct w:val="0"/>
        <w:autoSpaceDE/>
        <w:autoSpaceDN/>
        <w:bidi w:val="0"/>
        <w:adjustRightInd/>
        <w:snapToGrid/>
        <w:spacing w:before="137"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乙方向甲方提交下列文件材料，经甲方审核无误后支付采购价款：</w:t>
      </w:r>
    </w:p>
    <w:p w14:paraId="29CA7EF2">
      <w:pPr>
        <w:pStyle w:val="49"/>
        <w:pageBreakBefore w:val="0"/>
        <w:widowControl w:val="0"/>
        <w:numPr>
          <w:ilvl w:val="0"/>
          <w:numId w:val="12"/>
        </w:numPr>
        <w:tabs>
          <w:tab w:val="left" w:pos="1345"/>
        </w:tabs>
        <w:kinsoku/>
        <w:wordWrap/>
        <w:overflowPunct/>
        <w:topLinePunct w:val="0"/>
        <w:autoSpaceDE/>
        <w:autoSpaceDN/>
        <w:bidi w:val="0"/>
        <w:adjustRightInd/>
        <w:snapToGrid/>
        <w:spacing w:before="139"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经甲方确认的发票；</w:t>
      </w:r>
    </w:p>
    <w:p w14:paraId="4C282BDC">
      <w:pPr>
        <w:pStyle w:val="49"/>
        <w:pageBreakBefore w:val="0"/>
        <w:widowControl w:val="0"/>
        <w:numPr>
          <w:ilvl w:val="0"/>
          <w:numId w:val="12"/>
        </w:numPr>
        <w:tabs>
          <w:tab w:val="left" w:pos="1345"/>
        </w:tabs>
        <w:kinsoku/>
        <w:wordWrap/>
        <w:overflowPunct/>
        <w:topLinePunct w:val="0"/>
        <w:autoSpaceDE/>
        <w:autoSpaceDN/>
        <w:bidi w:val="0"/>
        <w:adjustRightInd/>
        <w:snapToGrid/>
        <w:spacing w:before="139"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经甲乙双方确认签署的《验收报告》（或按项目进度阶段性《验收报告》）；</w:t>
      </w:r>
    </w:p>
    <w:p w14:paraId="4A489112">
      <w:pPr>
        <w:pStyle w:val="49"/>
        <w:pageBreakBefore w:val="0"/>
        <w:widowControl w:val="0"/>
        <w:numPr>
          <w:ilvl w:val="0"/>
          <w:numId w:val="12"/>
        </w:numPr>
        <w:tabs>
          <w:tab w:val="left" w:pos="1345"/>
        </w:tabs>
        <w:kinsoku/>
        <w:wordWrap/>
        <w:overflowPunct/>
        <w:topLinePunct w:val="0"/>
        <w:autoSpaceDE/>
        <w:autoSpaceDN/>
        <w:bidi w:val="0"/>
        <w:adjustRightInd/>
        <w:snapToGrid/>
        <w:spacing w:before="142"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其他材料。</w:t>
      </w:r>
    </w:p>
    <w:p w14:paraId="6AC0C1AF">
      <w:pPr>
        <w:pStyle w:val="49"/>
        <w:pageBreakBefore w:val="0"/>
        <w:widowControl w:val="0"/>
        <w:numPr>
          <w:ilvl w:val="0"/>
          <w:numId w:val="11"/>
        </w:numPr>
        <w:tabs>
          <w:tab w:val="left" w:pos="1032"/>
        </w:tabs>
        <w:kinsoku/>
        <w:wordWrap/>
        <w:overflowPunct/>
        <w:topLinePunct w:val="0"/>
        <w:autoSpaceDE/>
        <w:autoSpaceDN/>
        <w:bidi w:val="0"/>
        <w:adjustRightInd/>
        <w:snapToGrid/>
        <w:spacing w:before="139"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款项的支付进度以采购文件的有关规定为准。如采购文件未作特别规定，则付款进度按如下约定履行：</w:t>
      </w:r>
    </w:p>
    <w:p w14:paraId="39BCC488">
      <w:pPr>
        <w:pageBreakBefore w:val="0"/>
        <w:widowControl w:val="0"/>
        <w:tabs>
          <w:tab w:val="left" w:pos="6385"/>
        </w:tabs>
        <w:kinsoku/>
        <w:wordWrap/>
        <w:overflowPunct/>
        <w:topLinePunct w:val="0"/>
        <w:autoSpaceDE/>
        <w:autoSpaceDN/>
        <w:bidi w:val="0"/>
        <w:adjustRightInd/>
        <w:snapToGrid/>
        <w:spacing w:before="0" w:line="500" w:lineRule="exact"/>
        <w:ind w:left="400" w:right="3889" w:firstLine="420"/>
        <w:jc w:val="left"/>
        <w:textAlignment w:val="auto"/>
        <w:rPr>
          <w:rFonts w:hint="eastAsia" w:asciiTheme="minorEastAsia" w:hAnsiTheme="minorEastAsia" w:eastAsiaTheme="minorEastAsia" w:cstheme="minorEastAsia"/>
          <w:spacing w:val="-17"/>
          <w:sz w:val="24"/>
          <w:szCs w:val="24"/>
          <w:highlight w:val="none"/>
          <w:u w:val="single"/>
          <w:lang w:val="en-US" w:eastAsia="zh-CN"/>
        </w:rPr>
      </w:pPr>
      <w:r>
        <w:rPr>
          <w:rFonts w:hint="eastAsia" w:asciiTheme="minorEastAsia" w:hAnsiTheme="minorEastAsia" w:eastAsiaTheme="minorEastAsia" w:cstheme="minorEastAsia"/>
          <w:sz w:val="24"/>
          <w:szCs w:val="24"/>
          <w:highlight w:val="none"/>
        </w:rPr>
        <w:t>付款方式：</w:t>
      </w:r>
      <w:r>
        <w:rPr>
          <w:rFonts w:hint="eastAsia" w:asciiTheme="minorEastAsia" w:hAnsiTheme="minorEastAsia" w:eastAsiaTheme="minorEastAsia" w:cstheme="minorEastAsia"/>
          <w:sz w:val="24"/>
          <w:szCs w:val="24"/>
          <w:highlight w:val="none"/>
          <w:u w:val="single"/>
          <w:lang w:val="en-US" w:eastAsia="zh-CN"/>
        </w:rPr>
        <w:t xml:space="preserve">                 </w:t>
      </w:r>
    </w:p>
    <w:p w14:paraId="3590BBF7">
      <w:pPr>
        <w:pageBreakBefore w:val="0"/>
        <w:widowControl w:val="0"/>
        <w:tabs>
          <w:tab w:val="left" w:pos="6385"/>
        </w:tabs>
        <w:kinsoku/>
        <w:wordWrap/>
        <w:overflowPunct/>
        <w:topLinePunct w:val="0"/>
        <w:autoSpaceDE/>
        <w:autoSpaceDN/>
        <w:bidi w:val="0"/>
        <w:adjustRightInd/>
        <w:snapToGrid/>
        <w:spacing w:before="0" w:line="500" w:lineRule="exact"/>
        <w:ind w:left="400" w:right="3889" w:firstLine="42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第七条</w:t>
      </w:r>
      <w:r>
        <w:rPr>
          <w:rFonts w:hint="eastAsia" w:asciiTheme="minorEastAsia" w:hAnsiTheme="minorEastAsia" w:eastAsiaTheme="minorEastAsia" w:cstheme="minorEastAsia"/>
          <w:b/>
          <w:spacing w:val="-2"/>
          <w:sz w:val="24"/>
          <w:szCs w:val="24"/>
          <w:highlight w:val="none"/>
        </w:rPr>
        <w:t xml:space="preserve"> </w:t>
      </w:r>
      <w:r>
        <w:rPr>
          <w:rFonts w:hint="eastAsia" w:asciiTheme="minorEastAsia" w:hAnsiTheme="minorEastAsia" w:eastAsiaTheme="minorEastAsia" w:cstheme="minorEastAsia"/>
          <w:b/>
          <w:sz w:val="24"/>
          <w:szCs w:val="24"/>
          <w:highlight w:val="none"/>
        </w:rPr>
        <w:t>交货和验收</w:t>
      </w:r>
    </w:p>
    <w:p w14:paraId="68248D45">
      <w:pPr>
        <w:pStyle w:val="49"/>
        <w:pageBreakBefore w:val="0"/>
        <w:widowControl w:val="0"/>
        <w:numPr>
          <w:ilvl w:val="0"/>
          <w:numId w:val="13"/>
        </w:numPr>
        <w:tabs>
          <w:tab w:val="left" w:pos="1032"/>
          <w:tab w:val="left" w:pos="4705"/>
        </w:tabs>
        <w:kinsoku/>
        <w:wordWrap/>
        <w:overflowPunct/>
        <w:topLinePunct w:val="0"/>
        <w:autoSpaceDE/>
        <w:autoSpaceDN/>
        <w:bidi w:val="0"/>
        <w:adjustRightInd/>
        <w:snapToGrid/>
        <w:spacing w:before="0" w:after="0" w:line="500" w:lineRule="exact"/>
        <w:ind w:left="820" w:right="5569" w:firstLine="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交货时间：</w:t>
      </w:r>
      <w:r>
        <w:rPr>
          <w:rFonts w:hint="eastAsia" w:asciiTheme="minorEastAsia" w:hAnsiTheme="minorEastAsia" w:eastAsiaTheme="minorEastAsia" w:cstheme="minorEastAsia"/>
          <w:sz w:val="24"/>
          <w:szCs w:val="24"/>
          <w:highlight w:val="none"/>
          <w:u w:val="single"/>
          <w:lang w:val="en-US" w:eastAsia="zh-CN"/>
        </w:rPr>
        <w:t xml:space="preserve">                        </w:t>
      </w:r>
    </w:p>
    <w:p w14:paraId="60F8EFA1">
      <w:pPr>
        <w:pStyle w:val="49"/>
        <w:pageBreakBefore w:val="0"/>
        <w:widowControl w:val="0"/>
        <w:numPr>
          <w:ilvl w:val="0"/>
          <w:numId w:val="13"/>
        </w:numPr>
        <w:tabs>
          <w:tab w:val="left" w:pos="1032"/>
          <w:tab w:val="left" w:pos="4705"/>
        </w:tabs>
        <w:kinsoku/>
        <w:wordWrap/>
        <w:overflowPunct/>
        <w:topLinePunct w:val="0"/>
        <w:autoSpaceDE/>
        <w:autoSpaceDN/>
        <w:bidi w:val="0"/>
        <w:adjustRightInd/>
        <w:snapToGrid/>
        <w:spacing w:before="0" w:after="0" w:line="500" w:lineRule="exact"/>
        <w:ind w:left="820" w:right="5569" w:firstLine="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交货地点：</w:t>
      </w:r>
      <w:r>
        <w:rPr>
          <w:rFonts w:hint="eastAsia" w:asciiTheme="minorEastAsia" w:hAnsiTheme="minorEastAsia" w:eastAsiaTheme="minorEastAsia" w:cstheme="minorEastAsia"/>
          <w:sz w:val="24"/>
          <w:szCs w:val="24"/>
          <w:highlight w:val="none"/>
          <w:u w:val="single"/>
          <w:lang w:val="en-US" w:eastAsia="zh-CN"/>
        </w:rPr>
        <w:t xml:space="preserve">              </w:t>
      </w:r>
    </w:p>
    <w:p w14:paraId="60E4FB42">
      <w:pPr>
        <w:pStyle w:val="49"/>
        <w:pageBreakBefore w:val="0"/>
        <w:widowControl w:val="0"/>
        <w:numPr>
          <w:ilvl w:val="0"/>
          <w:numId w:val="13"/>
        </w:numPr>
        <w:tabs>
          <w:tab w:val="left" w:pos="1032"/>
        </w:tabs>
        <w:kinsoku/>
        <w:wordWrap/>
        <w:overflowPunct/>
        <w:topLinePunct w:val="0"/>
        <w:autoSpaceDE/>
        <w:autoSpaceDN/>
        <w:bidi w:val="0"/>
        <w:adjustRightInd/>
        <w:snapToGrid/>
        <w:spacing w:before="0" w:after="0" w:line="500" w:lineRule="exact"/>
        <w:ind w:left="1031" w:right="0" w:hanging="212"/>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乙方应对提供的货物作出全面自查和整理，并列出清单，作为甲方验收和使用的技术条件依据，清单应随提供的验收资料交给甲方。</w:t>
      </w:r>
    </w:p>
    <w:p w14:paraId="099120D4">
      <w:pPr>
        <w:pStyle w:val="49"/>
        <w:pageBreakBefore w:val="0"/>
        <w:widowControl w:val="0"/>
        <w:numPr>
          <w:ilvl w:val="0"/>
          <w:numId w:val="13"/>
        </w:numPr>
        <w:tabs>
          <w:tab w:val="left" w:pos="1032"/>
        </w:tabs>
        <w:kinsoku/>
        <w:wordWrap/>
        <w:overflowPunct/>
        <w:topLinePunct w:val="0"/>
        <w:autoSpaceDE/>
        <w:autoSpaceDN/>
        <w:bidi w:val="0"/>
        <w:adjustRightInd/>
        <w:snapToGrid/>
        <w:spacing w:before="0" w:after="0" w:line="500" w:lineRule="exact"/>
        <w:ind w:left="1031" w:right="0" w:hanging="212"/>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乙方提供的货物应包括本合同“第一条 合同</w:t>
      </w:r>
      <w:r>
        <w:rPr>
          <w:rFonts w:hint="eastAsia" w:asciiTheme="minorEastAsia" w:hAnsiTheme="minorEastAsia" w:eastAsiaTheme="minorEastAsia" w:cstheme="minorEastAsia"/>
          <w:spacing w:val="-1"/>
          <w:sz w:val="24"/>
          <w:szCs w:val="24"/>
          <w:highlight w:val="none"/>
        </w:rPr>
        <w:t>文件”规定的全部货物及其附</w:t>
      </w:r>
      <w:r>
        <w:rPr>
          <w:rFonts w:hint="eastAsia" w:asciiTheme="minorEastAsia" w:hAnsiTheme="minorEastAsia" w:eastAsiaTheme="minorEastAsia" w:cstheme="minorEastAsia"/>
          <w:sz w:val="24"/>
          <w:szCs w:val="24"/>
          <w:highlight w:val="none"/>
        </w:rPr>
        <w:t>（辅）件、资料。</w:t>
      </w:r>
    </w:p>
    <w:p w14:paraId="7533E414">
      <w:pPr>
        <w:pStyle w:val="49"/>
        <w:pageBreakBefore w:val="0"/>
        <w:widowControl w:val="0"/>
        <w:numPr>
          <w:ilvl w:val="0"/>
          <w:numId w:val="13"/>
        </w:numPr>
        <w:tabs>
          <w:tab w:val="left" w:pos="1032"/>
        </w:tabs>
        <w:kinsoku/>
        <w:wordWrap/>
        <w:overflowPunct/>
        <w:topLinePunct w:val="0"/>
        <w:autoSpaceDE/>
        <w:autoSpaceDN/>
        <w:bidi w:val="0"/>
        <w:adjustRightInd/>
        <w:snapToGrid/>
        <w:spacing w:before="139" w:after="0" w:line="500" w:lineRule="exact"/>
        <w:ind w:left="400" w:right="337" w:firstLine="42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甲方应当在到货后的 个工作日内对货物进行验收。货物验收时，甲乙双方必须同时在场，双方共同</w:t>
      </w:r>
      <w:r>
        <w:rPr>
          <w:rFonts w:hint="eastAsia" w:asciiTheme="minorEastAsia" w:hAnsiTheme="minorEastAsia" w:eastAsiaTheme="minorEastAsia" w:cstheme="minorEastAsia"/>
          <w:spacing w:val="-1"/>
          <w:sz w:val="24"/>
          <w:szCs w:val="24"/>
          <w:highlight w:val="none"/>
        </w:rPr>
        <w:t>确认货物与本合同规定的生产厂家产地、品牌、规格型号、数量、质量、技术参数和性能等是否一致。乙</w:t>
      </w:r>
      <w:r>
        <w:rPr>
          <w:rFonts w:hint="eastAsia" w:asciiTheme="minorEastAsia" w:hAnsiTheme="minorEastAsia" w:eastAsiaTheme="minorEastAsia" w:cstheme="minorEastAsia"/>
          <w:sz w:val="24"/>
          <w:szCs w:val="24"/>
          <w:highlight w:val="none"/>
        </w:rPr>
        <w:t>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65EBEF4D">
      <w:pPr>
        <w:pStyle w:val="49"/>
        <w:pageBreakBefore w:val="0"/>
        <w:widowControl w:val="0"/>
        <w:numPr>
          <w:ilvl w:val="0"/>
          <w:numId w:val="13"/>
        </w:numPr>
        <w:tabs>
          <w:tab w:val="left" w:pos="1032"/>
        </w:tabs>
        <w:kinsoku/>
        <w:wordWrap/>
        <w:overflowPunct/>
        <w:topLinePunct w:val="0"/>
        <w:autoSpaceDE/>
        <w:autoSpaceDN/>
        <w:bidi w:val="0"/>
        <w:adjustRightInd/>
        <w:snapToGrid/>
        <w:spacing w:before="0" w:after="0" w:line="500" w:lineRule="exact"/>
        <w:ind w:left="400" w:right="231"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需要乙方对货物</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z w:val="24"/>
          <w:szCs w:val="24"/>
          <w:highlight w:val="none"/>
        </w:rPr>
        <w:t>包括软件）或系统进行安装调试的，甲乙双方应在货物安装调试完毕后的个工作日内进行运行效果验收。在验收之前，乙方需提前提交相应的调试计划（包括调试程序、环境、内容和检验标准、调试时间安排等</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z w:val="24"/>
          <w:szCs w:val="24"/>
          <w:highlight w:val="none"/>
        </w:rPr>
        <w:t>供甲方确认，乙方还应对所有检验验收调试的结果、步骤、原始数据等作妥善记录。如甲方要求，乙方应将记录提供给甲方。调试检验出现全部或部分未达到本合同所约定的技术指标，   甲方有权选择下列任一处理方式：</w:t>
      </w:r>
    </w:p>
    <w:p w14:paraId="0D014853">
      <w:pPr>
        <w:pStyle w:val="49"/>
        <w:pageBreakBefore w:val="0"/>
        <w:widowControl w:val="0"/>
        <w:numPr>
          <w:ilvl w:val="0"/>
          <w:numId w:val="13"/>
        </w:numPr>
        <w:tabs>
          <w:tab w:val="left" w:pos="1032"/>
        </w:tabs>
        <w:kinsoku/>
        <w:wordWrap/>
        <w:overflowPunct/>
        <w:topLinePunct w:val="0"/>
        <w:autoSpaceDE/>
        <w:autoSpaceDN/>
        <w:bidi w:val="0"/>
        <w:adjustRightInd/>
        <w:snapToGrid/>
        <w:spacing w:before="0" w:after="0" w:line="500" w:lineRule="exact"/>
        <w:ind w:left="400" w:right="231"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重新调试直至合格为止；</w:t>
      </w:r>
    </w:p>
    <w:p w14:paraId="1C1B173A">
      <w:pPr>
        <w:pStyle w:val="49"/>
        <w:pageBreakBefore w:val="0"/>
        <w:widowControl w:val="0"/>
        <w:numPr>
          <w:ilvl w:val="0"/>
          <w:numId w:val="13"/>
        </w:numPr>
        <w:tabs>
          <w:tab w:val="left" w:pos="1032"/>
        </w:tabs>
        <w:kinsoku/>
        <w:wordWrap/>
        <w:overflowPunct/>
        <w:topLinePunct w:val="0"/>
        <w:autoSpaceDE/>
        <w:autoSpaceDN/>
        <w:bidi w:val="0"/>
        <w:adjustRightInd/>
        <w:snapToGrid/>
        <w:spacing w:before="0" w:after="0" w:line="500" w:lineRule="exact"/>
        <w:ind w:left="400" w:right="231"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要求乙方对货物进行免费更换，然后重新调试直至合格为止。 甲方因乙方原因所产生的所有费用均由乙方负担。验收合格的，由双方共同签署《验收报告》。</w:t>
      </w:r>
    </w:p>
    <w:p w14:paraId="5259FB95">
      <w:pPr>
        <w:pStyle w:val="49"/>
        <w:pageBreakBefore w:val="0"/>
        <w:widowControl w:val="0"/>
        <w:numPr>
          <w:ilvl w:val="0"/>
          <w:numId w:val="13"/>
        </w:numPr>
        <w:tabs>
          <w:tab w:val="left" w:pos="1032"/>
        </w:tabs>
        <w:kinsoku/>
        <w:wordWrap/>
        <w:overflowPunct/>
        <w:topLinePunct w:val="0"/>
        <w:autoSpaceDE/>
        <w:autoSpaceDN/>
        <w:bidi w:val="0"/>
        <w:adjustRightInd/>
        <w:snapToGrid/>
        <w:spacing w:before="0" w:after="0" w:line="500" w:lineRule="exact"/>
        <w:ind w:left="400" w:right="231"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甲方可以聘请国家认可的第三方质量检测机构参与验收。</w:t>
      </w:r>
    </w:p>
    <w:p w14:paraId="03E8351D">
      <w:pPr>
        <w:pStyle w:val="49"/>
        <w:pageBreakBefore w:val="0"/>
        <w:widowControl w:val="0"/>
        <w:numPr>
          <w:ilvl w:val="0"/>
          <w:numId w:val="13"/>
        </w:numPr>
        <w:tabs>
          <w:tab w:val="left" w:pos="1032"/>
        </w:tabs>
        <w:kinsoku/>
        <w:wordWrap/>
        <w:overflowPunct/>
        <w:topLinePunct w:val="0"/>
        <w:autoSpaceDE/>
        <w:autoSpaceDN/>
        <w:bidi w:val="0"/>
        <w:adjustRightInd/>
        <w:snapToGrid/>
        <w:spacing w:before="0" w:after="0" w:line="500" w:lineRule="exact"/>
        <w:ind w:left="400" w:right="231"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w:t>
      </w:r>
    </w:p>
    <w:p w14:paraId="3960BE5F">
      <w:pPr>
        <w:pStyle w:val="49"/>
        <w:pageBreakBefore w:val="0"/>
        <w:widowControl w:val="0"/>
        <w:numPr>
          <w:ilvl w:val="0"/>
          <w:numId w:val="13"/>
        </w:numPr>
        <w:tabs>
          <w:tab w:val="left" w:pos="1032"/>
        </w:tabs>
        <w:kinsoku/>
        <w:wordWrap/>
        <w:overflowPunct/>
        <w:topLinePunct w:val="0"/>
        <w:autoSpaceDE/>
        <w:autoSpaceDN/>
        <w:bidi w:val="0"/>
        <w:adjustRightInd/>
        <w:snapToGrid/>
        <w:spacing w:before="0" w:after="0" w:line="500" w:lineRule="exact"/>
        <w:ind w:left="400" w:right="231"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乙方不能完整交付货物、附（辅）件和资料的，视为未按合同约定交货，乙方负责补齐，因此导致逾期交付的，由乙方承担相关的违约责任。</w:t>
      </w:r>
    </w:p>
    <w:p w14:paraId="3FF3A4F9">
      <w:pPr>
        <w:pStyle w:val="49"/>
        <w:pageBreakBefore w:val="0"/>
        <w:widowControl w:val="0"/>
        <w:numPr>
          <w:ilvl w:val="0"/>
          <w:numId w:val="13"/>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货物达不到本合同“第一条合同文件”规定的数量、质量要求和运行效果，甲方有权拒收，并可以解除合同；由此引起甲方损失及赔偿责任由乙方承担。</w:t>
      </w:r>
    </w:p>
    <w:p w14:paraId="0B4F7B23">
      <w:pPr>
        <w:pStyle w:val="49"/>
        <w:pageBreakBefore w:val="0"/>
        <w:widowControl w:val="0"/>
        <w:numPr>
          <w:ilvl w:val="0"/>
          <w:numId w:val="13"/>
        </w:numPr>
        <w:tabs>
          <w:tab w:val="left" w:pos="1137"/>
        </w:tabs>
        <w:kinsoku/>
        <w:wordWrap/>
        <w:overflowPunct/>
        <w:topLinePunct w:val="0"/>
        <w:autoSpaceDE/>
        <w:autoSpaceDN/>
        <w:bidi w:val="0"/>
        <w:adjustRightInd/>
        <w:snapToGrid/>
        <w:spacing w:before="0" w:after="0" w:line="500" w:lineRule="exact"/>
        <w:ind w:left="400" w:right="339"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如果合同双方对《验收报告》有分歧，双方须于出现分歧后 天内给对方书面声明，以陈述己方的理由及要求，并附有关证据。分歧应通过协商解决。</w:t>
      </w:r>
    </w:p>
    <w:p w14:paraId="675E8679">
      <w:pPr>
        <w:pStyle w:val="5"/>
        <w:pageBreakBefore w:val="0"/>
        <w:widowControl w:val="0"/>
        <w:kinsoku/>
        <w:wordWrap/>
        <w:overflowPunct/>
        <w:topLinePunct w:val="0"/>
        <w:autoSpaceDE/>
        <w:autoSpaceDN/>
        <w:bidi w:val="0"/>
        <w:adjustRightInd/>
        <w:snapToGrid/>
        <w:spacing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第九条 项目管理服务</w:t>
      </w:r>
    </w:p>
    <w:p w14:paraId="380CA574">
      <w:pPr>
        <w:pStyle w:val="10"/>
        <w:pageBreakBefore w:val="0"/>
        <w:widowControl w:val="0"/>
        <w:kinsoku/>
        <w:wordWrap/>
        <w:overflowPunct/>
        <w:topLinePunct w:val="0"/>
        <w:autoSpaceDE/>
        <w:autoSpaceDN/>
        <w:bidi w:val="0"/>
        <w:adjustRightInd/>
        <w:snapToGrid/>
        <w:spacing w:before="129" w:line="500" w:lineRule="exact"/>
        <w:ind w:left="400" w:right="340" w:firstLine="4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乙方应指定不少于一人全权全程负责本项目的商务服务，以及货物安装、调试、咨询、培训和售后等技术服务工作。</w:t>
      </w:r>
    </w:p>
    <w:p w14:paraId="0AF0823A">
      <w:pPr>
        <w:pageBreakBefore w:val="0"/>
        <w:widowControl w:val="0"/>
        <w:tabs>
          <w:tab w:val="left" w:pos="4179"/>
          <w:tab w:val="left" w:pos="7119"/>
        </w:tabs>
        <w:kinsoku/>
        <w:wordWrap/>
        <w:overflowPunct/>
        <w:topLinePunct w:val="0"/>
        <w:autoSpaceDE/>
        <w:autoSpaceDN/>
        <w:bidi w:val="0"/>
        <w:adjustRightInd/>
        <w:snapToGrid/>
        <w:spacing w:before="0" w:line="500" w:lineRule="exact"/>
        <w:ind w:left="400" w:right="3156" w:firstLine="420"/>
        <w:jc w:val="left"/>
        <w:textAlignment w:val="auto"/>
        <w:rPr>
          <w:rFonts w:hint="eastAsia" w:asciiTheme="minorEastAsia" w:hAnsiTheme="minorEastAsia" w:eastAsiaTheme="minorEastAsia" w:cstheme="minorEastAsia"/>
          <w:spacing w:val="-18"/>
          <w:sz w:val="24"/>
          <w:szCs w:val="24"/>
          <w:highlight w:val="none"/>
        </w:rPr>
      </w:pPr>
      <w:r>
        <w:rPr>
          <w:rFonts w:hint="eastAsia" w:asciiTheme="minorEastAsia" w:hAnsiTheme="minorEastAsia" w:eastAsiaTheme="minorEastAsia" w:cstheme="minorEastAsia"/>
          <w:sz w:val="24"/>
          <w:szCs w:val="24"/>
          <w:highlight w:val="none"/>
        </w:rPr>
        <w:t>项目负责人姓名：</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18"/>
          <w:sz w:val="24"/>
          <w:szCs w:val="24"/>
          <w:highlight w:val="none"/>
        </w:rPr>
        <w:t>。</w:t>
      </w:r>
    </w:p>
    <w:p w14:paraId="55A4E766">
      <w:pPr>
        <w:pageBreakBefore w:val="0"/>
        <w:widowControl w:val="0"/>
        <w:tabs>
          <w:tab w:val="left" w:pos="4179"/>
          <w:tab w:val="left" w:pos="7119"/>
        </w:tabs>
        <w:kinsoku/>
        <w:wordWrap/>
        <w:overflowPunct/>
        <w:topLinePunct w:val="0"/>
        <w:autoSpaceDE/>
        <w:autoSpaceDN/>
        <w:bidi w:val="0"/>
        <w:adjustRightInd/>
        <w:snapToGrid/>
        <w:spacing w:before="0" w:line="500" w:lineRule="exact"/>
        <w:ind w:left="400" w:right="3156" w:firstLine="42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第十条</w:t>
      </w:r>
      <w:r>
        <w:rPr>
          <w:rFonts w:hint="eastAsia" w:asciiTheme="minorEastAsia" w:hAnsiTheme="minorEastAsia" w:eastAsiaTheme="minorEastAsia" w:cstheme="minorEastAsia"/>
          <w:b/>
          <w:spacing w:val="-2"/>
          <w:sz w:val="24"/>
          <w:szCs w:val="24"/>
          <w:highlight w:val="none"/>
        </w:rPr>
        <w:t xml:space="preserve"> </w:t>
      </w:r>
      <w:r>
        <w:rPr>
          <w:rFonts w:hint="eastAsia" w:asciiTheme="minorEastAsia" w:hAnsiTheme="minorEastAsia" w:eastAsiaTheme="minorEastAsia" w:cstheme="minorEastAsia"/>
          <w:b/>
          <w:sz w:val="24"/>
          <w:szCs w:val="24"/>
          <w:highlight w:val="none"/>
        </w:rPr>
        <w:t>售后服务</w:t>
      </w:r>
    </w:p>
    <w:p w14:paraId="77F575A0">
      <w:pPr>
        <w:pStyle w:val="49"/>
        <w:pageBreakBefore w:val="0"/>
        <w:widowControl w:val="0"/>
        <w:numPr>
          <w:ilvl w:val="0"/>
          <w:numId w:val="14"/>
        </w:numPr>
        <w:tabs>
          <w:tab w:val="left" w:pos="1032"/>
        </w:tabs>
        <w:kinsoku/>
        <w:wordWrap/>
        <w:overflowPunct/>
        <w:topLinePunct w:val="0"/>
        <w:autoSpaceDE/>
        <w:autoSpaceDN/>
        <w:bidi w:val="0"/>
        <w:adjustRightInd/>
        <w:snapToGrid/>
        <w:spacing w:before="0" w:after="0" w:line="500" w:lineRule="exact"/>
        <w:ind w:left="400" w:right="339"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eastAsia="zh-CN"/>
        </w:rPr>
        <w:t>质保期</w:t>
      </w:r>
      <w:r>
        <w:rPr>
          <w:rFonts w:hint="eastAsia" w:asciiTheme="minorEastAsia" w:hAnsiTheme="minorEastAsia" w:eastAsiaTheme="minorEastAsia" w:cstheme="minorEastAsia"/>
          <w:spacing w:val="-2"/>
          <w:sz w:val="24"/>
          <w:szCs w:val="24"/>
          <w:highlight w:val="none"/>
        </w:rPr>
        <w:t>为自货物通过最终验收之日起</w:t>
      </w:r>
      <w:r>
        <w:rPr>
          <w:rFonts w:hint="eastAsia" w:asciiTheme="minorEastAsia" w:hAnsiTheme="minorEastAsia" w:eastAsiaTheme="minorEastAsia" w:cstheme="minorEastAsia"/>
          <w:spacing w:val="-2"/>
          <w:sz w:val="24"/>
          <w:szCs w:val="24"/>
          <w:highlight w:val="none"/>
          <w:u w:val="single"/>
        </w:rPr>
        <w:t xml:space="preserve"> </w:t>
      </w:r>
      <w:r>
        <w:rPr>
          <w:rFonts w:hint="eastAsia" w:asciiTheme="minorEastAsia" w:hAnsiTheme="minorEastAsia" w:eastAsiaTheme="minorEastAsia" w:cstheme="minorEastAsia"/>
          <w:spacing w:val="-2"/>
          <w:sz w:val="24"/>
          <w:szCs w:val="24"/>
          <w:highlight w:val="none"/>
          <w:u w:val="single"/>
          <w:lang w:val="en-US" w:eastAsia="zh-CN"/>
        </w:rPr>
        <w:t xml:space="preserve">       </w:t>
      </w:r>
      <w:r>
        <w:rPr>
          <w:rFonts w:hint="eastAsia" w:asciiTheme="minorEastAsia" w:hAnsiTheme="minorEastAsia" w:eastAsiaTheme="minorEastAsia" w:cstheme="minorEastAsia"/>
          <w:spacing w:val="-2"/>
          <w:sz w:val="24"/>
          <w:szCs w:val="24"/>
          <w:highlight w:val="none"/>
        </w:rPr>
        <w:t>个月。若国家有明确规定的质量保证期高于此质量保证期的，执行国家规定。</w:t>
      </w:r>
    </w:p>
    <w:p w14:paraId="64818BCE">
      <w:pPr>
        <w:pStyle w:val="49"/>
        <w:pageBreakBefore w:val="0"/>
        <w:widowControl w:val="0"/>
        <w:numPr>
          <w:ilvl w:val="0"/>
          <w:numId w:val="14"/>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在货物质保期内，乙方应对由于设计、工艺、质量</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z w:val="24"/>
          <w:szCs w:val="24"/>
          <w:highlight w:val="none"/>
        </w:rPr>
        <w:t>含环保节能要求）、材料和的缺陷而发生的任何不足或故障负责，并解决存在的问题。</w:t>
      </w:r>
    </w:p>
    <w:p w14:paraId="34A9B83C">
      <w:pPr>
        <w:pStyle w:val="49"/>
        <w:pageBreakBefore w:val="0"/>
        <w:widowControl w:val="0"/>
        <w:numPr>
          <w:ilvl w:val="0"/>
          <w:numId w:val="14"/>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对不符合本合同第四条规定要求的货物应立即进行调换，调换本身并不影响甲方就其损失向乙方索赔的权利。</w:t>
      </w:r>
    </w:p>
    <w:p w14:paraId="7785A577">
      <w:pPr>
        <w:pStyle w:val="49"/>
        <w:pageBreakBefore w:val="0"/>
        <w:widowControl w:val="0"/>
        <w:numPr>
          <w:ilvl w:val="0"/>
          <w:numId w:val="14"/>
        </w:numPr>
        <w:tabs>
          <w:tab w:val="left" w:pos="1032"/>
          <w:tab w:val="left" w:pos="7182"/>
        </w:tabs>
        <w:kinsoku/>
        <w:wordWrap/>
        <w:overflowPunct/>
        <w:topLinePunct w:val="0"/>
        <w:autoSpaceDE/>
        <w:autoSpaceDN/>
        <w:bidi w:val="0"/>
        <w:adjustRightInd/>
        <w:snapToGrid/>
        <w:spacing w:before="0" w:after="0" w:line="500" w:lineRule="exact"/>
        <w:ind w:left="400" w:right="337" w:firstLine="42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w:t>
      </w:r>
      <w:r>
        <w:rPr>
          <w:rFonts w:hint="eastAsia" w:asciiTheme="minorEastAsia" w:hAnsiTheme="minorEastAsia" w:eastAsiaTheme="minorEastAsia" w:cstheme="minorEastAsia"/>
          <w:spacing w:val="4"/>
          <w:sz w:val="24"/>
          <w:szCs w:val="24"/>
          <w:highlight w:val="none"/>
        </w:rPr>
        <w:t>物</w:t>
      </w:r>
      <w:r>
        <w:rPr>
          <w:rFonts w:hint="eastAsia" w:asciiTheme="minorEastAsia" w:hAnsiTheme="minorEastAsia" w:eastAsiaTheme="minorEastAsia" w:cstheme="minorEastAsia"/>
          <w:sz w:val="24"/>
          <w:szCs w:val="24"/>
          <w:highlight w:val="none"/>
        </w:rPr>
        <w:t>安装</w:t>
      </w:r>
      <w:r>
        <w:rPr>
          <w:rFonts w:hint="eastAsia" w:asciiTheme="minorEastAsia" w:hAnsiTheme="minorEastAsia" w:eastAsiaTheme="minorEastAsia" w:cstheme="minorEastAsia"/>
          <w:spacing w:val="4"/>
          <w:sz w:val="24"/>
          <w:szCs w:val="24"/>
          <w:highlight w:val="none"/>
        </w:rPr>
        <w:t>调</w:t>
      </w:r>
      <w:r>
        <w:rPr>
          <w:rFonts w:hint="eastAsia" w:asciiTheme="minorEastAsia" w:hAnsiTheme="minorEastAsia" w:eastAsiaTheme="minorEastAsia" w:cstheme="minorEastAsia"/>
          <w:sz w:val="24"/>
          <w:szCs w:val="24"/>
          <w:highlight w:val="none"/>
        </w:rPr>
        <w:t>试完</w:t>
      </w:r>
      <w:r>
        <w:rPr>
          <w:rFonts w:hint="eastAsia" w:asciiTheme="minorEastAsia" w:hAnsiTheme="minorEastAsia" w:eastAsiaTheme="minorEastAsia" w:cstheme="minorEastAsia"/>
          <w:spacing w:val="4"/>
          <w:sz w:val="24"/>
          <w:szCs w:val="24"/>
          <w:highlight w:val="none"/>
        </w:rPr>
        <w:t>成</w:t>
      </w:r>
      <w:r>
        <w:rPr>
          <w:rFonts w:hint="eastAsia" w:asciiTheme="minorEastAsia" w:hAnsiTheme="minorEastAsia" w:eastAsiaTheme="minorEastAsia" w:cstheme="minorEastAsia"/>
          <w:sz w:val="24"/>
          <w:szCs w:val="24"/>
          <w:highlight w:val="none"/>
        </w:rPr>
        <w:t>后，</w:t>
      </w:r>
      <w:r>
        <w:rPr>
          <w:rFonts w:hint="eastAsia" w:asciiTheme="minorEastAsia" w:hAnsiTheme="minorEastAsia" w:eastAsiaTheme="minorEastAsia" w:cstheme="minorEastAsia"/>
          <w:spacing w:val="4"/>
          <w:sz w:val="24"/>
          <w:szCs w:val="24"/>
          <w:highlight w:val="none"/>
        </w:rPr>
        <w:t>乙</w:t>
      </w:r>
      <w:r>
        <w:rPr>
          <w:rFonts w:hint="eastAsia" w:asciiTheme="minorEastAsia" w:hAnsiTheme="minorEastAsia" w:eastAsiaTheme="minorEastAsia" w:cstheme="minorEastAsia"/>
          <w:sz w:val="24"/>
          <w:szCs w:val="24"/>
          <w:highlight w:val="none"/>
        </w:rPr>
        <w:t>方应</w:t>
      </w:r>
      <w:r>
        <w:rPr>
          <w:rFonts w:hint="eastAsia" w:asciiTheme="minorEastAsia" w:hAnsiTheme="minorEastAsia" w:eastAsiaTheme="minorEastAsia" w:cstheme="minorEastAsia"/>
          <w:spacing w:val="4"/>
          <w:sz w:val="24"/>
          <w:szCs w:val="24"/>
          <w:highlight w:val="none"/>
        </w:rPr>
        <w:t>继</w:t>
      </w:r>
      <w:r>
        <w:rPr>
          <w:rFonts w:hint="eastAsia" w:asciiTheme="minorEastAsia" w:hAnsiTheme="minorEastAsia" w:eastAsiaTheme="minorEastAsia" w:cstheme="minorEastAsia"/>
          <w:sz w:val="24"/>
          <w:szCs w:val="24"/>
          <w:highlight w:val="none"/>
        </w:rPr>
        <w:t>续向</w:t>
      </w:r>
      <w:r>
        <w:rPr>
          <w:rFonts w:hint="eastAsia" w:asciiTheme="minorEastAsia" w:hAnsiTheme="minorEastAsia" w:eastAsiaTheme="minorEastAsia" w:cstheme="minorEastAsia"/>
          <w:spacing w:val="4"/>
          <w:sz w:val="24"/>
          <w:szCs w:val="24"/>
          <w:highlight w:val="none"/>
        </w:rPr>
        <w:t>甲</w:t>
      </w:r>
      <w:r>
        <w:rPr>
          <w:rFonts w:hint="eastAsia" w:asciiTheme="minorEastAsia" w:hAnsiTheme="minorEastAsia" w:eastAsiaTheme="minorEastAsia" w:cstheme="minorEastAsia"/>
          <w:sz w:val="24"/>
          <w:szCs w:val="24"/>
          <w:highlight w:val="none"/>
        </w:rPr>
        <w:t>方提</w:t>
      </w:r>
      <w:r>
        <w:rPr>
          <w:rFonts w:hint="eastAsia" w:asciiTheme="minorEastAsia" w:hAnsiTheme="minorEastAsia" w:eastAsiaTheme="minorEastAsia" w:cstheme="minorEastAsia"/>
          <w:spacing w:val="4"/>
          <w:sz w:val="24"/>
          <w:szCs w:val="24"/>
          <w:highlight w:val="none"/>
        </w:rPr>
        <w:t>供</w:t>
      </w:r>
      <w:r>
        <w:rPr>
          <w:rFonts w:hint="eastAsia" w:asciiTheme="minorEastAsia" w:hAnsiTheme="minorEastAsia" w:eastAsiaTheme="minorEastAsia" w:cstheme="minorEastAsia"/>
          <w:sz w:val="24"/>
          <w:szCs w:val="24"/>
          <w:highlight w:val="none"/>
        </w:rPr>
        <w:t>良好</w:t>
      </w:r>
      <w:r>
        <w:rPr>
          <w:rFonts w:hint="eastAsia" w:asciiTheme="minorEastAsia" w:hAnsiTheme="minorEastAsia" w:eastAsiaTheme="minorEastAsia" w:cstheme="minorEastAsia"/>
          <w:spacing w:val="4"/>
          <w:sz w:val="24"/>
          <w:szCs w:val="24"/>
          <w:highlight w:val="none"/>
        </w:rPr>
        <w:t>的</w:t>
      </w:r>
      <w:r>
        <w:rPr>
          <w:rFonts w:hint="eastAsia" w:asciiTheme="minorEastAsia" w:hAnsiTheme="minorEastAsia" w:eastAsiaTheme="minorEastAsia" w:cstheme="minorEastAsia"/>
          <w:sz w:val="24"/>
          <w:szCs w:val="24"/>
          <w:highlight w:val="none"/>
        </w:rPr>
        <w:t>技术</w:t>
      </w:r>
      <w:r>
        <w:rPr>
          <w:rFonts w:hint="eastAsia" w:asciiTheme="minorEastAsia" w:hAnsiTheme="minorEastAsia" w:eastAsiaTheme="minorEastAsia" w:cstheme="minorEastAsia"/>
          <w:spacing w:val="4"/>
          <w:sz w:val="24"/>
          <w:szCs w:val="24"/>
          <w:highlight w:val="none"/>
        </w:rPr>
        <w:t>支</w:t>
      </w:r>
      <w:r>
        <w:rPr>
          <w:rFonts w:hint="eastAsia" w:asciiTheme="minorEastAsia" w:hAnsiTheme="minorEastAsia" w:eastAsiaTheme="minorEastAsia" w:cstheme="minorEastAsia"/>
          <w:sz w:val="24"/>
          <w:szCs w:val="24"/>
          <w:highlight w:val="none"/>
        </w:rPr>
        <w:t>持。</w:t>
      </w:r>
      <w:r>
        <w:rPr>
          <w:rFonts w:hint="eastAsia" w:asciiTheme="minorEastAsia" w:hAnsiTheme="minorEastAsia" w:eastAsiaTheme="minorEastAsia" w:cstheme="minorEastAsia"/>
          <w:spacing w:val="4"/>
          <w:sz w:val="24"/>
          <w:szCs w:val="24"/>
          <w:highlight w:val="none"/>
        </w:rPr>
        <w:t>应</w:t>
      </w:r>
      <w:r>
        <w:rPr>
          <w:rFonts w:hint="eastAsia" w:asciiTheme="minorEastAsia" w:hAnsiTheme="minorEastAsia" w:eastAsiaTheme="minorEastAsia" w:cstheme="minorEastAsia"/>
          <w:sz w:val="24"/>
          <w:szCs w:val="24"/>
          <w:highlight w:val="none"/>
        </w:rPr>
        <w:t>当由</w:t>
      </w:r>
      <w:r>
        <w:rPr>
          <w:rFonts w:hint="eastAsia" w:asciiTheme="minorEastAsia" w:hAnsiTheme="minorEastAsia" w:eastAsiaTheme="minorEastAsia" w:cstheme="minorEastAsia"/>
          <w:spacing w:val="4"/>
          <w:sz w:val="24"/>
          <w:szCs w:val="24"/>
          <w:highlight w:val="none"/>
        </w:rPr>
        <w:t>专</w:t>
      </w:r>
      <w:r>
        <w:rPr>
          <w:rFonts w:hint="eastAsia" w:asciiTheme="minorEastAsia" w:hAnsiTheme="minorEastAsia" w:eastAsiaTheme="minorEastAsia" w:cstheme="minorEastAsia"/>
          <w:sz w:val="24"/>
          <w:szCs w:val="24"/>
          <w:highlight w:val="none"/>
        </w:rPr>
        <w:t>门队</w:t>
      </w:r>
      <w:r>
        <w:rPr>
          <w:rFonts w:hint="eastAsia" w:asciiTheme="minorEastAsia" w:hAnsiTheme="minorEastAsia" w:eastAsiaTheme="minorEastAsia" w:cstheme="minorEastAsia"/>
          <w:spacing w:val="4"/>
          <w:sz w:val="24"/>
          <w:szCs w:val="24"/>
          <w:highlight w:val="none"/>
        </w:rPr>
        <w:t>伍</w:t>
      </w:r>
      <w:r>
        <w:rPr>
          <w:rFonts w:hint="eastAsia" w:asciiTheme="minorEastAsia" w:hAnsiTheme="minorEastAsia" w:eastAsiaTheme="minorEastAsia" w:cstheme="minorEastAsia"/>
          <w:sz w:val="24"/>
          <w:szCs w:val="24"/>
          <w:highlight w:val="none"/>
        </w:rPr>
        <w:t>从事</w:t>
      </w:r>
      <w:r>
        <w:rPr>
          <w:rFonts w:hint="eastAsia" w:asciiTheme="minorEastAsia" w:hAnsiTheme="minorEastAsia" w:eastAsiaTheme="minorEastAsia" w:cstheme="minorEastAsia"/>
          <w:spacing w:val="4"/>
          <w:sz w:val="24"/>
          <w:szCs w:val="24"/>
          <w:highlight w:val="none"/>
        </w:rPr>
        <w:t>此</w:t>
      </w:r>
      <w:r>
        <w:rPr>
          <w:rFonts w:hint="eastAsia" w:asciiTheme="minorEastAsia" w:hAnsiTheme="minorEastAsia" w:eastAsiaTheme="minorEastAsia" w:cstheme="minorEastAsia"/>
          <w:sz w:val="24"/>
          <w:szCs w:val="24"/>
          <w:highlight w:val="none"/>
        </w:rPr>
        <w:t>项工</w:t>
      </w:r>
      <w:r>
        <w:rPr>
          <w:rFonts w:hint="eastAsia" w:asciiTheme="minorEastAsia" w:hAnsiTheme="minorEastAsia" w:eastAsiaTheme="minorEastAsia" w:cstheme="minorEastAsia"/>
          <w:spacing w:val="4"/>
          <w:sz w:val="24"/>
          <w:szCs w:val="24"/>
          <w:highlight w:val="none"/>
        </w:rPr>
        <w:t>作</w:t>
      </w:r>
      <w:r>
        <w:rPr>
          <w:rFonts w:hint="eastAsia" w:asciiTheme="minorEastAsia" w:hAnsiTheme="minorEastAsia" w:eastAsiaTheme="minorEastAsia" w:cstheme="minorEastAsia"/>
          <w:sz w:val="24"/>
          <w:szCs w:val="24"/>
          <w:highlight w:val="none"/>
        </w:rPr>
        <w:t>，并提供</w:t>
      </w:r>
      <w:r>
        <w:rPr>
          <w:rFonts w:hint="eastAsia" w:asciiTheme="minorEastAsia" w:hAnsiTheme="minorEastAsia" w:eastAsiaTheme="minorEastAsia" w:cstheme="minorEastAsia"/>
          <w:spacing w:val="4"/>
          <w:sz w:val="24"/>
          <w:szCs w:val="24"/>
          <w:highlight w:val="none"/>
        </w:rPr>
        <w:t>全</w:t>
      </w:r>
      <w:r>
        <w:rPr>
          <w:rFonts w:hint="eastAsia" w:asciiTheme="minorEastAsia" w:hAnsiTheme="minorEastAsia" w:eastAsiaTheme="minorEastAsia" w:cstheme="minorEastAsia"/>
          <w:sz w:val="24"/>
          <w:szCs w:val="24"/>
          <w:highlight w:val="none"/>
        </w:rPr>
        <w:t>天候的</w:t>
      </w:r>
      <w:r>
        <w:rPr>
          <w:rFonts w:hint="eastAsia" w:asciiTheme="minorEastAsia" w:hAnsiTheme="minorEastAsia" w:eastAsiaTheme="minorEastAsia" w:cstheme="minorEastAsia"/>
          <w:spacing w:val="4"/>
          <w:sz w:val="24"/>
          <w:szCs w:val="24"/>
          <w:highlight w:val="none"/>
        </w:rPr>
        <w:t>热</w:t>
      </w:r>
      <w:r>
        <w:rPr>
          <w:rFonts w:hint="eastAsia" w:asciiTheme="minorEastAsia" w:hAnsiTheme="minorEastAsia" w:eastAsiaTheme="minorEastAsia" w:cstheme="minorEastAsia"/>
          <w:sz w:val="24"/>
          <w:szCs w:val="24"/>
          <w:highlight w:val="none"/>
        </w:rPr>
        <w:t>线技术</w:t>
      </w:r>
      <w:r>
        <w:rPr>
          <w:rFonts w:hint="eastAsia" w:asciiTheme="minorEastAsia" w:hAnsiTheme="minorEastAsia" w:eastAsiaTheme="minorEastAsia" w:cstheme="minorEastAsia"/>
          <w:spacing w:val="4"/>
          <w:sz w:val="24"/>
          <w:szCs w:val="24"/>
          <w:highlight w:val="none"/>
        </w:rPr>
        <w:t>支</w:t>
      </w:r>
      <w:r>
        <w:rPr>
          <w:rFonts w:hint="eastAsia" w:asciiTheme="minorEastAsia" w:hAnsiTheme="minorEastAsia" w:eastAsiaTheme="minorEastAsia" w:cstheme="minorEastAsia"/>
          <w:sz w:val="24"/>
          <w:szCs w:val="24"/>
          <w:highlight w:val="none"/>
        </w:rPr>
        <w:t>持服务</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z w:val="24"/>
          <w:szCs w:val="24"/>
          <w:highlight w:val="none"/>
        </w:rPr>
        <w:t>应当对</w:t>
      </w:r>
      <w:r>
        <w:rPr>
          <w:rFonts w:hint="eastAsia" w:asciiTheme="minorEastAsia" w:hAnsiTheme="minorEastAsia" w:eastAsiaTheme="minorEastAsia" w:cstheme="minorEastAsia"/>
          <w:spacing w:val="4"/>
          <w:sz w:val="24"/>
          <w:szCs w:val="24"/>
          <w:highlight w:val="none"/>
        </w:rPr>
        <w:t>甲</w:t>
      </w:r>
      <w:r>
        <w:rPr>
          <w:rFonts w:hint="eastAsia" w:asciiTheme="minorEastAsia" w:hAnsiTheme="minorEastAsia" w:eastAsiaTheme="minorEastAsia" w:cstheme="minorEastAsia"/>
          <w:sz w:val="24"/>
          <w:szCs w:val="24"/>
          <w:highlight w:val="none"/>
        </w:rPr>
        <w:t>方所反</w:t>
      </w:r>
      <w:r>
        <w:rPr>
          <w:rFonts w:hint="eastAsia" w:asciiTheme="minorEastAsia" w:hAnsiTheme="minorEastAsia" w:eastAsiaTheme="minorEastAsia" w:cstheme="minorEastAsia"/>
          <w:spacing w:val="4"/>
          <w:sz w:val="24"/>
          <w:szCs w:val="24"/>
          <w:highlight w:val="none"/>
        </w:rPr>
        <w:t>映</w:t>
      </w:r>
      <w:r>
        <w:rPr>
          <w:rFonts w:hint="eastAsia" w:asciiTheme="minorEastAsia" w:hAnsiTheme="minorEastAsia" w:eastAsiaTheme="minorEastAsia" w:cstheme="minorEastAsia"/>
          <w:sz w:val="24"/>
          <w:szCs w:val="24"/>
          <w:highlight w:val="none"/>
        </w:rPr>
        <w:t>的任何</w:t>
      </w:r>
      <w:r>
        <w:rPr>
          <w:rFonts w:hint="eastAsia" w:asciiTheme="minorEastAsia" w:hAnsiTheme="minorEastAsia" w:eastAsiaTheme="minorEastAsia" w:cstheme="minorEastAsia"/>
          <w:spacing w:val="4"/>
          <w:sz w:val="24"/>
          <w:szCs w:val="24"/>
          <w:highlight w:val="none"/>
        </w:rPr>
        <w:t>问</w:t>
      </w:r>
      <w:r>
        <w:rPr>
          <w:rFonts w:hint="eastAsia" w:asciiTheme="minorEastAsia" w:hAnsiTheme="minorEastAsia" w:eastAsiaTheme="minorEastAsia" w:cstheme="minorEastAsia"/>
          <w:sz w:val="24"/>
          <w:szCs w:val="24"/>
          <w:highlight w:val="none"/>
        </w:rPr>
        <w:t>题在</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pacing w:val="4"/>
          <w:sz w:val="24"/>
          <w:szCs w:val="24"/>
          <w:highlight w:val="none"/>
        </w:rPr>
        <w:t>小</w:t>
      </w:r>
      <w:r>
        <w:rPr>
          <w:rFonts w:hint="eastAsia" w:asciiTheme="minorEastAsia" w:hAnsiTheme="minorEastAsia" w:eastAsiaTheme="minorEastAsia" w:cstheme="minorEastAsia"/>
          <w:sz w:val="24"/>
          <w:szCs w:val="24"/>
          <w:highlight w:val="none"/>
        </w:rPr>
        <w:t>时）之</w:t>
      </w:r>
      <w:r>
        <w:rPr>
          <w:rFonts w:hint="eastAsia" w:asciiTheme="minorEastAsia" w:hAnsiTheme="minorEastAsia" w:eastAsiaTheme="minorEastAsia" w:cstheme="minorEastAsia"/>
          <w:spacing w:val="4"/>
          <w:sz w:val="24"/>
          <w:szCs w:val="24"/>
          <w:highlight w:val="none"/>
        </w:rPr>
        <w:t>内</w:t>
      </w:r>
      <w:r>
        <w:rPr>
          <w:rFonts w:hint="eastAsia" w:asciiTheme="minorEastAsia" w:hAnsiTheme="minorEastAsia" w:eastAsiaTheme="minorEastAsia" w:cstheme="minorEastAsia"/>
          <w:sz w:val="24"/>
          <w:szCs w:val="24"/>
          <w:highlight w:val="none"/>
        </w:rPr>
        <w:t>做出及</w:t>
      </w:r>
      <w:r>
        <w:rPr>
          <w:rFonts w:hint="eastAsia" w:asciiTheme="minorEastAsia" w:hAnsiTheme="minorEastAsia" w:eastAsiaTheme="minorEastAsia" w:cstheme="minorEastAsia"/>
          <w:spacing w:val="4"/>
          <w:sz w:val="24"/>
          <w:szCs w:val="24"/>
          <w:highlight w:val="none"/>
        </w:rPr>
        <w:t>时</w:t>
      </w:r>
      <w:r>
        <w:rPr>
          <w:rFonts w:hint="eastAsia" w:asciiTheme="minorEastAsia" w:hAnsiTheme="minorEastAsia" w:eastAsiaTheme="minorEastAsia" w:cstheme="minorEastAsia"/>
          <w:sz w:val="24"/>
          <w:szCs w:val="24"/>
          <w:highlight w:val="none"/>
        </w:rPr>
        <w:t>响应</w:t>
      </w:r>
      <w:r>
        <w:rPr>
          <w:rFonts w:hint="eastAsia" w:asciiTheme="minorEastAsia" w:hAnsiTheme="minorEastAsia" w:eastAsiaTheme="minorEastAsia" w:cstheme="minorEastAsia"/>
          <w:spacing w:val="-11"/>
          <w:sz w:val="24"/>
          <w:szCs w:val="24"/>
          <w:highlight w:val="none"/>
        </w:rPr>
        <w:t xml:space="preserve">， </w:t>
      </w:r>
      <w:r>
        <w:rPr>
          <w:rFonts w:hint="eastAsia" w:asciiTheme="minorEastAsia" w:hAnsiTheme="minorEastAsia" w:eastAsiaTheme="minorEastAsia" w:cstheme="minorEastAsia"/>
          <w:sz w:val="24"/>
          <w:szCs w:val="24"/>
          <w:highlight w:val="none"/>
        </w:rPr>
        <w:t>在</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17"/>
          <w:sz w:val="24"/>
          <w:szCs w:val="24"/>
          <w:highlight w:val="none"/>
        </w:rPr>
        <w:t xml:space="preserve">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pacing w:val="4"/>
          <w:sz w:val="24"/>
          <w:szCs w:val="24"/>
          <w:highlight w:val="none"/>
        </w:rPr>
        <w:t>小</w:t>
      </w:r>
      <w:r>
        <w:rPr>
          <w:rFonts w:hint="eastAsia" w:asciiTheme="minorEastAsia" w:hAnsiTheme="minorEastAsia" w:eastAsiaTheme="minorEastAsia" w:cstheme="minorEastAsia"/>
          <w:sz w:val="24"/>
          <w:szCs w:val="24"/>
          <w:highlight w:val="none"/>
        </w:rPr>
        <w:t>时）之</w:t>
      </w:r>
      <w:r>
        <w:rPr>
          <w:rFonts w:hint="eastAsia" w:asciiTheme="minorEastAsia" w:hAnsiTheme="minorEastAsia" w:eastAsiaTheme="minorEastAsia" w:cstheme="minorEastAsia"/>
          <w:spacing w:val="4"/>
          <w:sz w:val="24"/>
          <w:szCs w:val="24"/>
          <w:highlight w:val="none"/>
        </w:rPr>
        <w:t>内</w:t>
      </w:r>
      <w:r>
        <w:rPr>
          <w:rFonts w:hint="eastAsia" w:asciiTheme="minorEastAsia" w:hAnsiTheme="minorEastAsia" w:eastAsiaTheme="minorEastAsia" w:cstheme="minorEastAsia"/>
          <w:sz w:val="24"/>
          <w:szCs w:val="24"/>
          <w:highlight w:val="none"/>
        </w:rPr>
        <w:t>赶到现</w:t>
      </w:r>
      <w:r>
        <w:rPr>
          <w:rFonts w:hint="eastAsia" w:asciiTheme="minorEastAsia" w:hAnsiTheme="minorEastAsia" w:eastAsiaTheme="minorEastAsia" w:cstheme="minorEastAsia"/>
          <w:spacing w:val="4"/>
          <w:sz w:val="24"/>
          <w:szCs w:val="24"/>
          <w:highlight w:val="none"/>
        </w:rPr>
        <w:t>场</w:t>
      </w:r>
      <w:r>
        <w:rPr>
          <w:rFonts w:hint="eastAsia" w:asciiTheme="minorEastAsia" w:hAnsiTheme="minorEastAsia" w:eastAsiaTheme="minorEastAsia" w:cstheme="minorEastAsia"/>
          <w:sz w:val="24"/>
          <w:szCs w:val="24"/>
          <w:highlight w:val="none"/>
        </w:rPr>
        <w:t>实地解决</w:t>
      </w:r>
      <w:r>
        <w:rPr>
          <w:rFonts w:hint="eastAsia" w:asciiTheme="minorEastAsia" w:hAnsiTheme="minorEastAsia" w:eastAsiaTheme="minorEastAsia" w:cstheme="minorEastAsia"/>
          <w:spacing w:val="4"/>
          <w:sz w:val="24"/>
          <w:szCs w:val="24"/>
          <w:highlight w:val="none"/>
        </w:rPr>
        <w:t>问</w:t>
      </w:r>
      <w:r>
        <w:rPr>
          <w:rFonts w:hint="eastAsia" w:asciiTheme="minorEastAsia" w:hAnsiTheme="minorEastAsia" w:eastAsiaTheme="minorEastAsia" w:cstheme="minorEastAsia"/>
          <w:sz w:val="24"/>
          <w:szCs w:val="24"/>
          <w:highlight w:val="none"/>
        </w:rPr>
        <w:t>题。若</w:t>
      </w:r>
      <w:r>
        <w:rPr>
          <w:rFonts w:hint="eastAsia" w:asciiTheme="minorEastAsia" w:hAnsiTheme="minorEastAsia" w:eastAsiaTheme="minorEastAsia" w:cstheme="minorEastAsia"/>
          <w:spacing w:val="4"/>
          <w:sz w:val="24"/>
          <w:szCs w:val="24"/>
          <w:highlight w:val="none"/>
        </w:rPr>
        <w:t>问</w:t>
      </w:r>
      <w:r>
        <w:rPr>
          <w:rFonts w:hint="eastAsia" w:asciiTheme="minorEastAsia" w:hAnsiTheme="minorEastAsia" w:eastAsiaTheme="minorEastAsia" w:cstheme="minorEastAsia"/>
          <w:sz w:val="24"/>
          <w:szCs w:val="24"/>
          <w:highlight w:val="none"/>
        </w:rPr>
        <w:t>题、故</w:t>
      </w:r>
      <w:r>
        <w:rPr>
          <w:rFonts w:hint="eastAsia" w:asciiTheme="minorEastAsia" w:hAnsiTheme="minorEastAsia" w:eastAsiaTheme="minorEastAsia" w:cstheme="minorEastAsia"/>
          <w:spacing w:val="4"/>
          <w:sz w:val="24"/>
          <w:szCs w:val="24"/>
          <w:highlight w:val="none"/>
        </w:rPr>
        <w:t>障</w:t>
      </w:r>
      <w:r>
        <w:rPr>
          <w:rFonts w:hint="eastAsia" w:asciiTheme="minorEastAsia" w:hAnsiTheme="minorEastAsia" w:eastAsiaTheme="minorEastAsia" w:cstheme="minorEastAsia"/>
          <w:sz w:val="24"/>
          <w:szCs w:val="24"/>
          <w:highlight w:val="none"/>
        </w:rPr>
        <w:t>在检修</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17"/>
          <w:sz w:val="24"/>
          <w:szCs w:val="24"/>
          <w:highlight w:val="none"/>
        </w:rPr>
        <w:t xml:space="preserve"> </w:t>
      </w:r>
      <w:r>
        <w:rPr>
          <w:rFonts w:hint="eastAsia" w:asciiTheme="minorEastAsia" w:hAnsiTheme="minorEastAsia" w:eastAsiaTheme="minorEastAsia" w:cstheme="minorEastAsia"/>
          <w:sz w:val="24"/>
          <w:szCs w:val="24"/>
          <w:highlight w:val="none"/>
        </w:rPr>
        <w:t>工作</w:t>
      </w:r>
      <w:r>
        <w:rPr>
          <w:rFonts w:hint="eastAsia" w:asciiTheme="minorEastAsia" w:hAnsiTheme="minorEastAsia" w:eastAsiaTheme="minorEastAsia" w:cstheme="minorEastAsia"/>
          <w:spacing w:val="4"/>
          <w:sz w:val="24"/>
          <w:szCs w:val="24"/>
          <w:highlight w:val="none"/>
        </w:rPr>
        <w:t>日</w:t>
      </w:r>
      <w:r>
        <w:rPr>
          <w:rFonts w:hint="eastAsia" w:asciiTheme="minorEastAsia" w:hAnsiTheme="minorEastAsia" w:eastAsiaTheme="minorEastAsia" w:cstheme="minorEastAsia"/>
          <w:sz w:val="24"/>
          <w:szCs w:val="24"/>
          <w:highlight w:val="none"/>
        </w:rPr>
        <w:t>（小时</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z w:val="24"/>
          <w:szCs w:val="24"/>
          <w:highlight w:val="none"/>
        </w:rPr>
        <w:t>后仍无</w:t>
      </w:r>
      <w:r>
        <w:rPr>
          <w:rFonts w:hint="eastAsia" w:asciiTheme="minorEastAsia" w:hAnsiTheme="minorEastAsia" w:eastAsiaTheme="minorEastAsia" w:cstheme="minorEastAsia"/>
          <w:spacing w:val="4"/>
          <w:sz w:val="24"/>
          <w:szCs w:val="24"/>
          <w:highlight w:val="none"/>
        </w:rPr>
        <w:t>法</w:t>
      </w:r>
      <w:r>
        <w:rPr>
          <w:rFonts w:hint="eastAsia" w:asciiTheme="minorEastAsia" w:hAnsiTheme="minorEastAsia" w:eastAsiaTheme="minorEastAsia" w:cstheme="minorEastAsia"/>
          <w:sz w:val="24"/>
          <w:szCs w:val="24"/>
          <w:highlight w:val="none"/>
        </w:rPr>
        <w:t>解决， 乙方应在</w:t>
      </w:r>
      <w:r>
        <w:rPr>
          <w:rFonts w:hint="eastAsia" w:asciiTheme="minorEastAsia" w:hAnsiTheme="minorEastAsia" w:eastAsiaTheme="minorEastAsia" w:cstheme="minorEastAsia"/>
          <w:spacing w:val="85"/>
          <w:sz w:val="24"/>
          <w:szCs w:val="24"/>
          <w:highlight w:val="none"/>
        </w:rPr>
        <w:t xml:space="preserve"> </w:t>
      </w:r>
      <w:r>
        <w:rPr>
          <w:rFonts w:hint="eastAsia" w:asciiTheme="minorEastAsia" w:hAnsiTheme="minorEastAsia" w:eastAsiaTheme="minorEastAsia" w:cstheme="minorEastAsia"/>
          <w:spacing w:val="-5"/>
          <w:sz w:val="24"/>
          <w:szCs w:val="24"/>
          <w:highlight w:val="none"/>
        </w:rPr>
        <w:t>日</w:t>
      </w:r>
      <w:r>
        <w:rPr>
          <w:rFonts w:hint="eastAsia" w:asciiTheme="minorEastAsia" w:hAnsiTheme="minorEastAsia" w:eastAsiaTheme="minorEastAsia" w:cstheme="minorEastAsia"/>
          <w:sz w:val="24"/>
          <w:szCs w:val="24"/>
          <w:highlight w:val="none"/>
        </w:rPr>
        <w:t>（小时</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z w:val="24"/>
          <w:szCs w:val="24"/>
          <w:highlight w:val="none"/>
        </w:rPr>
        <w:t>内免费提供不低于故障货物规格型号档次的备用货物供甲方使用</w:t>
      </w:r>
      <w:r>
        <w:rPr>
          <w:rFonts w:hint="eastAsia" w:asciiTheme="minorEastAsia" w:hAnsiTheme="minorEastAsia" w:eastAsiaTheme="minorEastAsia" w:cstheme="minorEastAsia"/>
          <w:spacing w:val="-5"/>
          <w:sz w:val="24"/>
          <w:szCs w:val="24"/>
          <w:highlight w:val="none"/>
        </w:rPr>
        <w:t>，</w:t>
      </w:r>
      <w:r>
        <w:rPr>
          <w:rFonts w:hint="eastAsia" w:asciiTheme="minorEastAsia" w:hAnsiTheme="minorEastAsia" w:eastAsiaTheme="minorEastAsia" w:cstheme="minorEastAsia"/>
          <w:sz w:val="24"/>
          <w:szCs w:val="24"/>
          <w:highlight w:val="none"/>
        </w:rPr>
        <w:t>直至故障货物修复。</w:t>
      </w:r>
    </w:p>
    <w:p w14:paraId="3DDF7FD1">
      <w:pPr>
        <w:pStyle w:val="49"/>
        <w:pageBreakBefore w:val="0"/>
        <w:widowControl w:val="0"/>
        <w:numPr>
          <w:ilvl w:val="0"/>
          <w:numId w:val="14"/>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乙方应当建立健全售后服务体系，确保货物正常运行。乙方应当遵守甲方的有关管理制度、操作规程。对于乙方违规操作造成甲方损失的，由乙方按照本合同第十二条的约定承担赔偿责任。</w:t>
      </w:r>
    </w:p>
    <w:p w14:paraId="0B9EA1E0">
      <w:pPr>
        <w:pStyle w:val="49"/>
        <w:pageBreakBefore w:val="0"/>
        <w:widowControl w:val="0"/>
        <w:numPr>
          <w:ilvl w:val="0"/>
          <w:numId w:val="14"/>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乙方应负责货物及主要部件、配件维修更换。质保期内，乙方对货物（人为故意损坏除外）</w:t>
      </w:r>
      <w:r>
        <w:rPr>
          <w:rFonts w:hint="eastAsia" w:asciiTheme="minorEastAsia" w:hAnsiTheme="minorEastAsia" w:eastAsiaTheme="minorEastAsia" w:cstheme="minorEastAsia"/>
          <w:spacing w:val="1"/>
          <w:sz w:val="24"/>
          <w:szCs w:val="24"/>
          <w:highlight w:val="none"/>
        </w:rPr>
        <w:t>提供全免费保修或免费更换；质保期后，收取维修成本费。</w:t>
      </w:r>
    </w:p>
    <w:p w14:paraId="77764441">
      <w:pPr>
        <w:pStyle w:val="49"/>
        <w:pageBreakBefore w:val="0"/>
        <w:widowControl w:val="0"/>
        <w:numPr>
          <w:ilvl w:val="0"/>
          <w:numId w:val="0"/>
        </w:numPr>
        <w:tabs>
          <w:tab w:val="left" w:pos="1032"/>
        </w:tabs>
        <w:kinsoku/>
        <w:wordWrap/>
        <w:overflowPunct/>
        <w:topLinePunct w:val="0"/>
        <w:autoSpaceDE/>
        <w:autoSpaceDN/>
        <w:bidi w:val="0"/>
        <w:adjustRightInd/>
        <w:snapToGrid/>
        <w:spacing w:before="0" w:after="0" w:line="500" w:lineRule="exact"/>
        <w:ind w:left="820" w:leftChars="0" w:right="340" w:rightChars="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第十一条 分包和转包</w:t>
      </w:r>
    </w:p>
    <w:p w14:paraId="3911DBD8">
      <w:pPr>
        <w:pStyle w:val="10"/>
        <w:pageBreakBefore w:val="0"/>
        <w:widowControl w:val="0"/>
        <w:kinsoku/>
        <w:wordWrap/>
        <w:overflowPunct/>
        <w:topLinePunct w:val="0"/>
        <w:autoSpaceDE/>
        <w:autoSpaceDN/>
        <w:bidi w:val="0"/>
        <w:adjustRightInd/>
        <w:snapToGrid/>
        <w:spacing w:line="500" w:lineRule="exact"/>
        <w:ind w:left="400" w:right="635" w:firstLine="420"/>
        <w:textAlignment w:val="auto"/>
        <w:rPr>
          <w:rFonts w:hint="eastAsia" w:asciiTheme="minorEastAsia" w:hAnsiTheme="minorEastAsia" w:eastAsiaTheme="minorEastAsia" w:cstheme="minorEastAsia"/>
          <w:w w:val="95"/>
          <w:sz w:val="24"/>
          <w:szCs w:val="24"/>
          <w:highlight w:val="none"/>
        </w:rPr>
      </w:pPr>
      <w:r>
        <w:rPr>
          <w:rFonts w:hint="eastAsia" w:asciiTheme="minorEastAsia" w:hAnsiTheme="minorEastAsia" w:eastAsiaTheme="minorEastAsia" w:cstheme="minorEastAsia"/>
          <w:kern w:val="2"/>
          <w:sz w:val="24"/>
          <w:szCs w:val="24"/>
          <w:highlight w:val="none"/>
          <w:lang w:val="zh-CN" w:eastAsia="zh-CN" w:bidi="zh-CN"/>
        </w:rPr>
        <w:t xml:space="preserve">除采购文件事先说明、且经甲方事先书面同意外，乙方不得分包、转包其应履行的合同义务。 </w:t>
      </w:r>
      <w:r>
        <w:rPr>
          <w:rFonts w:hint="eastAsia" w:asciiTheme="minorEastAsia" w:hAnsiTheme="minorEastAsia" w:eastAsiaTheme="minorEastAsia" w:cstheme="minorEastAsia"/>
          <w:w w:val="95"/>
          <w:sz w:val="24"/>
          <w:szCs w:val="24"/>
          <w:highlight w:val="none"/>
        </w:rPr>
        <w:t xml:space="preserve">  </w:t>
      </w:r>
    </w:p>
    <w:p w14:paraId="71242471">
      <w:pPr>
        <w:pStyle w:val="10"/>
        <w:pageBreakBefore w:val="0"/>
        <w:widowControl w:val="0"/>
        <w:kinsoku/>
        <w:wordWrap/>
        <w:overflowPunct/>
        <w:topLinePunct w:val="0"/>
        <w:autoSpaceDE/>
        <w:autoSpaceDN/>
        <w:bidi w:val="0"/>
        <w:adjustRightInd/>
        <w:snapToGrid/>
        <w:spacing w:line="500" w:lineRule="exact"/>
        <w:ind w:right="635" w:firstLine="478"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pacing w:val="-1"/>
          <w:sz w:val="24"/>
          <w:szCs w:val="24"/>
          <w:highlight w:val="none"/>
        </w:rPr>
        <w:t>第十二条 合同的生效</w:t>
      </w:r>
    </w:p>
    <w:p w14:paraId="3F1F5FC8">
      <w:pPr>
        <w:pStyle w:val="49"/>
        <w:pageBreakBefore w:val="0"/>
        <w:widowControl w:val="0"/>
        <w:numPr>
          <w:ilvl w:val="0"/>
          <w:numId w:val="15"/>
        </w:numPr>
        <w:tabs>
          <w:tab w:val="left" w:pos="1032"/>
        </w:tabs>
        <w:kinsoku/>
        <w:wordWrap/>
        <w:overflowPunct/>
        <w:topLinePunct w:val="0"/>
        <w:autoSpaceDE/>
        <w:autoSpaceDN/>
        <w:bidi w:val="0"/>
        <w:adjustRightInd/>
        <w:snapToGrid/>
        <w:spacing w:before="42"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本合同经甲乙双方或授权代表签订并加盖公章或合同专用章后生效。</w:t>
      </w:r>
    </w:p>
    <w:p w14:paraId="39D64E29">
      <w:pPr>
        <w:pStyle w:val="49"/>
        <w:pageBreakBefore w:val="0"/>
        <w:widowControl w:val="0"/>
        <w:numPr>
          <w:ilvl w:val="0"/>
          <w:numId w:val="15"/>
        </w:numPr>
        <w:tabs>
          <w:tab w:val="left" w:pos="1032"/>
        </w:tabs>
        <w:kinsoku/>
        <w:wordWrap/>
        <w:overflowPunct/>
        <w:topLinePunct w:val="0"/>
        <w:autoSpaceDE/>
        <w:autoSpaceDN/>
        <w:bidi w:val="0"/>
        <w:adjustRightInd/>
        <w:snapToGrid/>
        <w:spacing w:before="138" w:after="0" w:line="500" w:lineRule="exact"/>
        <w:ind w:left="400" w:right="337"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 xml:space="preserve">生效后，除《中华人民共和国政府采购法》第 </w:t>
      </w:r>
      <w:r>
        <w:rPr>
          <w:rFonts w:hint="eastAsia" w:asciiTheme="minorEastAsia" w:hAnsiTheme="minorEastAsia" w:eastAsiaTheme="minorEastAsia" w:cstheme="minorEastAsia"/>
          <w:sz w:val="24"/>
          <w:szCs w:val="24"/>
          <w:highlight w:val="none"/>
        </w:rPr>
        <w:t>49</w:t>
      </w:r>
      <w:r>
        <w:rPr>
          <w:rFonts w:hint="eastAsia" w:asciiTheme="minorEastAsia" w:hAnsiTheme="minorEastAsia" w:eastAsiaTheme="minorEastAsia" w:cstheme="minorEastAsia"/>
          <w:spacing w:val="-20"/>
          <w:sz w:val="24"/>
          <w:szCs w:val="24"/>
          <w:highlight w:val="none"/>
        </w:rPr>
        <w:t xml:space="preserve"> 条、第 </w:t>
      </w:r>
      <w:r>
        <w:rPr>
          <w:rFonts w:hint="eastAsia" w:asciiTheme="minorEastAsia" w:hAnsiTheme="minorEastAsia" w:eastAsiaTheme="minorEastAsia" w:cstheme="minorEastAsia"/>
          <w:sz w:val="24"/>
          <w:szCs w:val="24"/>
          <w:highlight w:val="none"/>
        </w:rPr>
        <w:t>50</w:t>
      </w:r>
      <w:r>
        <w:rPr>
          <w:rFonts w:hint="eastAsia" w:asciiTheme="minorEastAsia" w:hAnsiTheme="minorEastAsia" w:eastAsiaTheme="minorEastAsia" w:cstheme="minorEastAsia"/>
          <w:spacing w:val="-6"/>
          <w:sz w:val="24"/>
          <w:szCs w:val="24"/>
          <w:highlight w:val="none"/>
        </w:rPr>
        <w:t xml:space="preserve"> 条第二款规定的情形外，甲乙双方不得擅自变更、中止或终止合同。</w:t>
      </w:r>
    </w:p>
    <w:p w14:paraId="516601F8">
      <w:pPr>
        <w:pStyle w:val="5"/>
        <w:pageBreakBefore w:val="0"/>
        <w:widowControl w:val="0"/>
        <w:kinsoku/>
        <w:wordWrap/>
        <w:overflowPunct/>
        <w:topLinePunct w:val="0"/>
        <w:autoSpaceDE/>
        <w:autoSpaceDN/>
        <w:bidi w:val="0"/>
        <w:adjustRightInd/>
        <w:snapToGrid/>
        <w:spacing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第十三条 违约责任</w:t>
      </w:r>
    </w:p>
    <w:p w14:paraId="6A6FC9F6">
      <w:pPr>
        <w:pStyle w:val="49"/>
        <w:pageBreakBefore w:val="0"/>
        <w:widowControl w:val="0"/>
        <w:numPr>
          <w:ilvl w:val="0"/>
          <w:numId w:val="16"/>
        </w:numPr>
        <w:tabs>
          <w:tab w:val="left" w:pos="1032"/>
        </w:tabs>
        <w:kinsoku/>
        <w:wordWrap/>
        <w:overflowPunct/>
        <w:topLinePunct w:val="0"/>
        <w:autoSpaceDE/>
        <w:autoSpaceDN/>
        <w:bidi w:val="0"/>
        <w:adjustRightInd/>
        <w:snapToGrid/>
        <w:spacing w:before="139" w:after="0" w:line="500" w:lineRule="exact"/>
        <w:ind w:left="400" w:right="339" w:firstLine="42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乙方所交付的货物不符合本合同规定的，甲方有权拒收，乙方在得到甲方通知之日起</w:t>
      </w:r>
      <w:r>
        <w:rPr>
          <w:rFonts w:hint="eastAsia" w:asciiTheme="minorEastAsia" w:hAnsiTheme="minorEastAsia" w:eastAsiaTheme="minorEastAsia" w:cstheme="minorEastAsia"/>
          <w:spacing w:val="13"/>
          <w:sz w:val="24"/>
          <w:szCs w:val="24"/>
          <w:highlight w:val="none"/>
        </w:rPr>
        <w:t xml:space="preserve"> 个工作日内</w:t>
      </w:r>
      <w:r>
        <w:rPr>
          <w:rFonts w:hint="eastAsia" w:asciiTheme="minorEastAsia" w:hAnsiTheme="minorEastAsia" w:eastAsiaTheme="minorEastAsia" w:cstheme="minorEastAsia"/>
          <w:sz w:val="24"/>
          <w:szCs w:val="24"/>
          <w:highlight w:val="none"/>
        </w:rPr>
        <w:t>采取补救措施，逾期仍未采取有效措施的，甲方有权要求乙方赔偿因此造成的损失或扣留履约保证金；同时乙方应向甲方支付合同总价</w:t>
      </w:r>
      <w:r>
        <w:rPr>
          <w:rFonts w:hint="eastAsia" w:asciiTheme="minorEastAsia" w:hAnsiTheme="minorEastAsia" w:eastAsiaTheme="minorEastAsia" w:cstheme="minorEastAsia"/>
          <w:spacing w:val="13"/>
          <w:sz w:val="24"/>
          <w:szCs w:val="24"/>
          <w:highlight w:val="none"/>
        </w:rPr>
        <w:t xml:space="preserve"> ％的违约金。</w:t>
      </w:r>
    </w:p>
    <w:p w14:paraId="58BBC73A">
      <w:pPr>
        <w:pStyle w:val="49"/>
        <w:pageBreakBefore w:val="0"/>
        <w:widowControl w:val="0"/>
        <w:numPr>
          <w:ilvl w:val="0"/>
          <w:numId w:val="16"/>
        </w:numPr>
        <w:tabs>
          <w:tab w:val="left" w:pos="1032"/>
          <w:tab w:val="left" w:pos="7645"/>
        </w:tabs>
        <w:kinsoku/>
        <w:wordWrap/>
        <w:overflowPunct/>
        <w:topLinePunct w:val="0"/>
        <w:autoSpaceDE/>
        <w:autoSpaceDN/>
        <w:bidi w:val="0"/>
        <w:adjustRightInd/>
        <w:snapToGrid/>
        <w:spacing w:before="0"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甲方无正当理由拒收货物、拒付货款的，甲方应向乙方偿付拒付货款</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％的违约金。</w:t>
      </w:r>
    </w:p>
    <w:p w14:paraId="23EAE3CF">
      <w:pPr>
        <w:pStyle w:val="49"/>
        <w:pageBreakBefore w:val="0"/>
        <w:widowControl w:val="0"/>
        <w:numPr>
          <w:ilvl w:val="0"/>
          <w:numId w:val="16"/>
        </w:numPr>
        <w:tabs>
          <w:tab w:val="left" w:pos="1032"/>
          <w:tab w:val="left" w:pos="2994"/>
          <w:tab w:val="left" w:pos="9517"/>
        </w:tabs>
        <w:kinsoku/>
        <w:wordWrap/>
        <w:overflowPunct/>
        <w:topLinePunct w:val="0"/>
        <w:autoSpaceDE/>
        <w:autoSpaceDN/>
        <w:bidi w:val="0"/>
        <w:adjustRightInd/>
        <w:snapToGrid/>
        <w:spacing w:before="139" w:after="0" w:line="500" w:lineRule="exact"/>
        <w:ind w:left="400" w:right="234"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乙方无正当理由逾期交付货物的</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z w:val="24"/>
          <w:szCs w:val="24"/>
          <w:highlight w:val="none"/>
        </w:rPr>
        <w:t>每逾期</w:t>
      </w:r>
      <w:r>
        <w:rPr>
          <w:rFonts w:hint="eastAsia" w:asciiTheme="minorEastAsia" w:hAnsiTheme="minorEastAsia" w:eastAsiaTheme="minorEastAsia" w:cstheme="minorEastAsia"/>
          <w:spacing w:val="-58"/>
          <w:sz w:val="24"/>
          <w:szCs w:val="24"/>
          <w:highlight w:val="none"/>
        </w:rPr>
        <w:t xml:space="preserve"> </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pacing w:val="-56"/>
          <w:sz w:val="24"/>
          <w:szCs w:val="24"/>
          <w:highlight w:val="none"/>
        </w:rPr>
        <w:t xml:space="preserve"> </w:t>
      </w:r>
      <w:r>
        <w:rPr>
          <w:rFonts w:hint="eastAsia" w:asciiTheme="minorEastAsia" w:hAnsiTheme="minorEastAsia" w:eastAsiaTheme="minorEastAsia" w:cstheme="minorEastAsia"/>
          <w:sz w:val="24"/>
          <w:szCs w:val="24"/>
          <w:highlight w:val="none"/>
        </w:rPr>
        <w:t>天</w:t>
      </w:r>
      <w:r>
        <w:rPr>
          <w:rFonts w:hint="eastAsia" w:asciiTheme="minorEastAsia" w:hAnsiTheme="minorEastAsia" w:eastAsiaTheme="minorEastAsia" w:cstheme="minorEastAsia"/>
          <w:spacing w:val="-10"/>
          <w:sz w:val="24"/>
          <w:szCs w:val="24"/>
          <w:highlight w:val="none"/>
        </w:rPr>
        <w:t>，</w:t>
      </w:r>
      <w:r>
        <w:rPr>
          <w:rFonts w:hint="eastAsia" w:asciiTheme="minorEastAsia" w:hAnsiTheme="minorEastAsia" w:eastAsiaTheme="minorEastAsia" w:cstheme="minorEastAsia"/>
          <w:sz w:val="24"/>
          <w:szCs w:val="24"/>
          <w:highlight w:val="none"/>
        </w:rPr>
        <w:t>乙方向甲方偿付逾期交货部分货款总额的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‰的违约金</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rPr>
        <w:t>如乙方逾期交货达</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2"/>
          <w:sz w:val="24"/>
          <w:szCs w:val="24"/>
          <w:highlight w:val="none"/>
        </w:rPr>
        <w:t xml:space="preserve">天，甲方有权解除合同，甲方解除合同的通知自到达乙方时生效。在此情况下， </w:t>
      </w:r>
      <w:r>
        <w:rPr>
          <w:rFonts w:hint="eastAsia" w:asciiTheme="minorEastAsia" w:hAnsiTheme="minorEastAsia" w:eastAsiaTheme="minorEastAsia" w:cstheme="minorEastAsia"/>
          <w:w w:val="95"/>
          <w:sz w:val="24"/>
          <w:szCs w:val="24"/>
          <w:highlight w:val="none"/>
        </w:rPr>
        <w:t xml:space="preserve"> </w:t>
      </w:r>
      <w:r>
        <w:rPr>
          <w:rFonts w:hint="eastAsia" w:asciiTheme="minorEastAsia" w:hAnsiTheme="minorEastAsia" w:eastAsiaTheme="minorEastAsia" w:cstheme="minorEastAsia"/>
          <w:sz w:val="24"/>
          <w:szCs w:val="24"/>
          <w:highlight w:val="none"/>
        </w:rPr>
        <w:t>乙方给甲方造成的实际损失高于违约金的，对高出违约金的部分乙方应予以赔偿。</w:t>
      </w:r>
    </w:p>
    <w:p w14:paraId="718BAE11">
      <w:pPr>
        <w:pStyle w:val="49"/>
        <w:pageBreakBefore w:val="0"/>
        <w:widowControl w:val="0"/>
        <w:numPr>
          <w:ilvl w:val="0"/>
          <w:numId w:val="16"/>
        </w:numPr>
        <w:tabs>
          <w:tab w:val="left" w:pos="1032"/>
          <w:tab w:val="left" w:pos="4074"/>
          <w:tab w:val="left" w:pos="9114"/>
        </w:tabs>
        <w:kinsoku/>
        <w:wordWrap/>
        <w:overflowPunct/>
        <w:topLinePunct w:val="0"/>
        <w:autoSpaceDE/>
        <w:autoSpaceDN/>
        <w:bidi w:val="0"/>
        <w:adjustRightInd/>
        <w:snapToGrid/>
        <w:spacing w:before="0" w:after="0" w:line="500" w:lineRule="exact"/>
        <w:ind w:left="400" w:right="318"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甲方未按合同规定的期限向乙方支付货款的，每逾期</w:t>
      </w:r>
      <w:r>
        <w:rPr>
          <w:rFonts w:hint="eastAsia" w:asciiTheme="minorEastAsia" w:hAnsiTheme="minorEastAsia" w:eastAsiaTheme="minorEastAsia" w:cstheme="minorEastAsia"/>
          <w:spacing w:val="-54"/>
          <w:sz w:val="24"/>
          <w:szCs w:val="24"/>
          <w:highlight w:val="none"/>
        </w:rPr>
        <w:t xml:space="preserve"> </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pacing w:val="-58"/>
          <w:sz w:val="24"/>
          <w:szCs w:val="24"/>
          <w:highlight w:val="none"/>
        </w:rPr>
        <w:t xml:space="preserve"> </w:t>
      </w:r>
      <w:r>
        <w:rPr>
          <w:rFonts w:hint="eastAsia" w:asciiTheme="minorEastAsia" w:hAnsiTheme="minorEastAsia" w:eastAsiaTheme="minorEastAsia" w:cstheme="minorEastAsia"/>
          <w:sz w:val="24"/>
          <w:szCs w:val="24"/>
          <w:highlight w:val="none"/>
        </w:rPr>
        <w:t>天甲方向乙方偿付欠款总额的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‰违约金</w:t>
      </w:r>
      <w:r>
        <w:rPr>
          <w:rFonts w:hint="eastAsia" w:asciiTheme="minorEastAsia" w:hAnsiTheme="minorEastAsia" w:eastAsiaTheme="minorEastAsia" w:cstheme="minorEastAsia"/>
          <w:spacing w:val="-16"/>
          <w:sz w:val="24"/>
          <w:szCs w:val="24"/>
          <w:highlight w:val="none"/>
        </w:rPr>
        <w:t xml:space="preserve">， </w:t>
      </w:r>
      <w:r>
        <w:rPr>
          <w:rFonts w:hint="eastAsia" w:asciiTheme="minorEastAsia" w:hAnsiTheme="minorEastAsia" w:eastAsiaTheme="minorEastAsia" w:cstheme="minorEastAsia"/>
          <w:sz w:val="24"/>
          <w:szCs w:val="24"/>
          <w:highlight w:val="none"/>
        </w:rPr>
        <w:t>但累计违约金总额不超过欠款总额的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3D86B994">
      <w:pPr>
        <w:pStyle w:val="49"/>
        <w:pageBreakBefore w:val="0"/>
        <w:widowControl w:val="0"/>
        <w:numPr>
          <w:ilvl w:val="0"/>
          <w:numId w:val="16"/>
        </w:numPr>
        <w:tabs>
          <w:tab w:val="left" w:pos="1032"/>
        </w:tabs>
        <w:kinsoku/>
        <w:wordWrap/>
        <w:overflowPunct/>
        <w:topLinePunct w:val="0"/>
        <w:autoSpaceDE/>
        <w:autoSpaceDN/>
        <w:bidi w:val="0"/>
        <w:adjustRightInd/>
        <w:snapToGrid/>
        <w:spacing w:before="0" w:after="0" w:line="500" w:lineRule="exact"/>
        <w:ind w:left="400" w:right="337" w:firstLine="42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在乙方承诺的或国家规定的质量保证期内（取两者中最长的期限</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，如经乙方两次维修，货物仍不</w:t>
      </w:r>
      <w:r>
        <w:rPr>
          <w:rFonts w:hint="eastAsia" w:asciiTheme="minorEastAsia" w:hAnsiTheme="minorEastAsia" w:eastAsiaTheme="minorEastAsia" w:cstheme="minorEastAsia"/>
          <w:spacing w:val="-2"/>
          <w:sz w:val="24"/>
          <w:szCs w:val="24"/>
          <w:highlight w:val="none"/>
        </w:rPr>
        <w:t xml:space="preserve">能达到合同约定的质量要求、运行效果的，甲方有权要求乙方更换为全新合格货物并按本条第 </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pacing w:val="-9"/>
          <w:sz w:val="24"/>
          <w:szCs w:val="24"/>
          <w:highlight w:val="none"/>
        </w:rPr>
        <w:t xml:space="preserve"> 款处理， 同时，乙方还须赔偿甲方因此遭受的损失。</w:t>
      </w:r>
    </w:p>
    <w:p w14:paraId="1448349C">
      <w:pPr>
        <w:pStyle w:val="49"/>
        <w:pageBreakBefore w:val="0"/>
        <w:widowControl w:val="0"/>
        <w:numPr>
          <w:ilvl w:val="0"/>
          <w:numId w:val="16"/>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因乙方原因导致违约、本合同无法履行等情形造成甲方损失的，乙方除承担违约责任外还应支付甲方一切相关费用，包括但不限于诉讼费、保全费、鉴定费、律师费、交通费。</w:t>
      </w:r>
    </w:p>
    <w:p w14:paraId="4979B1EE">
      <w:pPr>
        <w:pStyle w:val="49"/>
        <w:pageBreakBefore w:val="0"/>
        <w:widowControl w:val="0"/>
        <w:numPr>
          <w:ilvl w:val="0"/>
          <w:numId w:val="16"/>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其它未尽事宜，以《</w:t>
      </w:r>
      <w:r>
        <w:rPr>
          <w:rFonts w:hint="eastAsia" w:asciiTheme="minorEastAsia" w:hAnsiTheme="minorEastAsia" w:eastAsiaTheme="minorEastAsia" w:cstheme="minorEastAsia"/>
          <w:sz w:val="24"/>
          <w:szCs w:val="24"/>
          <w:highlight w:val="none"/>
          <w:lang w:eastAsia="zh-CN"/>
        </w:rPr>
        <w:t>民法典</w:t>
      </w:r>
      <w:r>
        <w:rPr>
          <w:rFonts w:hint="eastAsia" w:asciiTheme="minorEastAsia" w:hAnsiTheme="minorEastAsia" w:eastAsiaTheme="minorEastAsia" w:cstheme="minorEastAsia"/>
          <w:sz w:val="24"/>
          <w:szCs w:val="24"/>
          <w:highlight w:val="none"/>
        </w:rPr>
        <w:t>》和《中华人民共和国政府采购法》等有关法律法规规定为准，无相关规定的，双方协商解决。</w:t>
      </w:r>
    </w:p>
    <w:p w14:paraId="7F4AAA9C">
      <w:pPr>
        <w:pStyle w:val="5"/>
        <w:pageBreakBefore w:val="0"/>
        <w:widowControl w:val="0"/>
        <w:kinsoku/>
        <w:wordWrap/>
        <w:overflowPunct/>
        <w:topLinePunct w:val="0"/>
        <w:autoSpaceDE/>
        <w:autoSpaceDN/>
        <w:bidi w:val="0"/>
        <w:adjustRightInd/>
        <w:snapToGrid/>
        <w:spacing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第十四条 不可抗力</w:t>
      </w:r>
    </w:p>
    <w:p w14:paraId="33DA944E">
      <w:pPr>
        <w:pStyle w:val="10"/>
        <w:pageBreakBefore w:val="0"/>
        <w:widowControl w:val="0"/>
        <w:kinsoku/>
        <w:wordWrap/>
        <w:overflowPunct/>
        <w:topLinePunct w:val="0"/>
        <w:autoSpaceDE/>
        <w:autoSpaceDN/>
        <w:bidi w:val="0"/>
        <w:adjustRightInd/>
        <w:snapToGrid/>
        <w:spacing w:before="135" w:line="500" w:lineRule="exact"/>
        <w:ind w:left="400" w:right="339" w:firstLine="42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甲、乙方中任何一方，因不可抗力不能按时或完全履行合同的，应及时通知对方，并在</w:t>
      </w:r>
      <w:r>
        <w:rPr>
          <w:rFonts w:hint="eastAsia" w:asciiTheme="minorEastAsia" w:hAnsiTheme="minorEastAsia" w:eastAsiaTheme="minorEastAsia" w:cstheme="minorEastAsia"/>
          <w:spacing w:val="82"/>
          <w:sz w:val="24"/>
          <w:szCs w:val="24"/>
          <w:highlight w:val="none"/>
          <w:u w:val="single"/>
        </w:rPr>
        <w:t xml:space="preserve"> </w:t>
      </w:r>
      <w:r>
        <w:rPr>
          <w:rFonts w:hint="eastAsia" w:asciiTheme="minorEastAsia" w:hAnsiTheme="minorEastAsia" w:eastAsiaTheme="minorEastAsia" w:cstheme="minorEastAsia"/>
          <w:sz w:val="24"/>
          <w:szCs w:val="24"/>
          <w:highlight w:val="none"/>
        </w:rPr>
        <w:t>个工作日内提供相应证明。未履行完合同部分是否继续履行、如何履行等问题，可由双方初步协商，并向主管部门和政府采购管理部门报告。确定为不可抗力原因造成的损失，免予承担责任。</w:t>
      </w:r>
    </w:p>
    <w:p w14:paraId="3C7FAF57">
      <w:pPr>
        <w:pStyle w:val="10"/>
        <w:pageBreakBefore w:val="0"/>
        <w:widowControl w:val="0"/>
        <w:kinsoku/>
        <w:wordWrap/>
        <w:overflowPunct/>
        <w:topLinePunct w:val="0"/>
        <w:autoSpaceDE/>
        <w:autoSpaceDN/>
        <w:bidi w:val="0"/>
        <w:adjustRightInd/>
        <w:snapToGrid/>
        <w:spacing w:line="500" w:lineRule="exact"/>
        <w:ind w:left="82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第十五条 争议的解决方式</w:t>
      </w:r>
    </w:p>
    <w:p w14:paraId="638EBEBD">
      <w:pPr>
        <w:pStyle w:val="49"/>
        <w:pageBreakBefore w:val="0"/>
        <w:widowControl w:val="0"/>
        <w:numPr>
          <w:ilvl w:val="0"/>
          <w:numId w:val="17"/>
        </w:numPr>
        <w:tabs>
          <w:tab w:val="left" w:pos="1032"/>
        </w:tabs>
        <w:kinsoku/>
        <w:wordWrap/>
        <w:overflowPunct/>
        <w:topLinePunct w:val="0"/>
        <w:autoSpaceDE/>
        <w:autoSpaceDN/>
        <w:bidi w:val="0"/>
        <w:adjustRightInd/>
        <w:snapToGrid/>
        <w:spacing w:before="139"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因货物的质量问题发生争议的，应当邀请国家认可的质量检测机构对货物质量进行鉴定。货物符合标准的，鉴定费由甲方承担；货物不符合质量要求的，鉴定费由乙方承担。</w:t>
      </w:r>
    </w:p>
    <w:p w14:paraId="4732824C">
      <w:pPr>
        <w:pStyle w:val="49"/>
        <w:pageBreakBefore w:val="0"/>
        <w:widowControl w:val="0"/>
        <w:numPr>
          <w:ilvl w:val="0"/>
          <w:numId w:val="17"/>
        </w:numPr>
        <w:tabs>
          <w:tab w:val="left" w:pos="1032"/>
        </w:tabs>
        <w:kinsoku/>
        <w:wordWrap/>
        <w:overflowPunct/>
        <w:topLinePunct w:val="0"/>
        <w:autoSpaceDE/>
        <w:autoSpaceDN/>
        <w:bidi w:val="0"/>
        <w:adjustRightInd/>
        <w:snapToGrid/>
        <w:spacing w:before="0"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在解释或者执行本合同的过程中发生争议时，双方应通过协商方式解决。</w:t>
      </w:r>
    </w:p>
    <w:p w14:paraId="0CBA8813">
      <w:pPr>
        <w:pStyle w:val="49"/>
        <w:pageBreakBefore w:val="0"/>
        <w:widowControl w:val="0"/>
        <w:numPr>
          <w:ilvl w:val="0"/>
          <w:numId w:val="17"/>
        </w:numPr>
        <w:tabs>
          <w:tab w:val="left" w:pos="1032"/>
          <w:tab w:val="left" w:pos="5334"/>
        </w:tabs>
        <w:kinsoku/>
        <w:wordWrap/>
        <w:overflowPunct/>
        <w:topLinePunct w:val="0"/>
        <w:autoSpaceDE/>
        <w:autoSpaceDN/>
        <w:bidi w:val="0"/>
        <w:adjustRightInd/>
        <w:snapToGrid/>
        <w:spacing w:before="139"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经协商不能解决的争议，双方可选择以下第</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种方式解决：</w:t>
      </w:r>
    </w:p>
    <w:p w14:paraId="7FDBCC34">
      <w:pPr>
        <w:pStyle w:val="10"/>
        <w:pageBreakBefore w:val="0"/>
        <w:widowControl w:val="0"/>
        <w:kinsoku/>
        <w:wordWrap/>
        <w:overflowPunct/>
        <w:topLinePunct w:val="0"/>
        <w:autoSpaceDE/>
        <w:autoSpaceDN/>
        <w:bidi w:val="0"/>
        <w:adjustRightInd/>
        <w:snapToGrid/>
        <w:spacing w:before="139" w:line="500" w:lineRule="exact"/>
        <w:ind w:left="8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①向</w:t>
      </w:r>
      <w:r>
        <w:rPr>
          <w:rFonts w:hint="eastAsia" w:asciiTheme="minorEastAsia" w:hAnsiTheme="minorEastAsia" w:eastAsiaTheme="minorEastAsia" w:cstheme="minorEastAsia"/>
          <w:sz w:val="24"/>
          <w:szCs w:val="24"/>
          <w:highlight w:val="none"/>
          <w:u w:val="single"/>
        </w:rPr>
        <w:t>项目所在地</w:t>
      </w:r>
      <w:r>
        <w:rPr>
          <w:rFonts w:hint="eastAsia" w:asciiTheme="minorEastAsia" w:hAnsiTheme="minorEastAsia" w:eastAsiaTheme="minorEastAsia" w:cstheme="minorEastAsia"/>
          <w:sz w:val="24"/>
          <w:szCs w:val="24"/>
          <w:highlight w:val="none"/>
        </w:rPr>
        <w:t>有管辖权的法院提起诉讼；</w:t>
      </w:r>
    </w:p>
    <w:p w14:paraId="792877C4">
      <w:pPr>
        <w:pStyle w:val="10"/>
        <w:pageBreakBefore w:val="0"/>
        <w:widowControl w:val="0"/>
        <w:tabs>
          <w:tab w:val="left" w:pos="1868"/>
        </w:tabs>
        <w:kinsoku/>
        <w:wordWrap/>
        <w:overflowPunct/>
        <w:topLinePunct w:val="0"/>
        <w:autoSpaceDE/>
        <w:autoSpaceDN/>
        <w:bidi w:val="0"/>
        <w:adjustRightInd/>
        <w:snapToGrid/>
        <w:spacing w:before="141" w:line="500" w:lineRule="exact"/>
        <w:ind w:left="8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②向</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仲裁委员会提出仲裁。</w:t>
      </w:r>
    </w:p>
    <w:p w14:paraId="48C6342C">
      <w:pPr>
        <w:pStyle w:val="49"/>
        <w:pageBreakBefore w:val="0"/>
        <w:widowControl w:val="0"/>
        <w:numPr>
          <w:ilvl w:val="0"/>
          <w:numId w:val="17"/>
        </w:numPr>
        <w:tabs>
          <w:tab w:val="left" w:pos="1032"/>
        </w:tabs>
        <w:kinsoku/>
        <w:wordWrap/>
        <w:overflowPunct/>
        <w:topLinePunct w:val="0"/>
        <w:autoSpaceDE/>
        <w:autoSpaceDN/>
        <w:bidi w:val="0"/>
        <w:adjustRightInd/>
        <w:snapToGrid/>
        <w:spacing w:before="139" w:after="0" w:line="500" w:lineRule="exact"/>
        <w:ind w:left="400" w:right="426" w:firstLine="42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在法院审理和仲裁期间，除有争议部分外，本合同其他部分可以履行的仍应按合同条款继续履行。</w:t>
      </w:r>
      <w:r>
        <w:rPr>
          <w:rFonts w:hint="eastAsia" w:asciiTheme="minorEastAsia" w:hAnsiTheme="minorEastAsia" w:eastAsiaTheme="minorEastAsia" w:cstheme="minorEastAsia"/>
          <w:w w:val="95"/>
          <w:sz w:val="24"/>
          <w:szCs w:val="24"/>
          <w:highlight w:val="none"/>
        </w:rPr>
        <w:t xml:space="preserve">   </w:t>
      </w:r>
    </w:p>
    <w:p w14:paraId="2F713F35">
      <w:pPr>
        <w:pStyle w:val="49"/>
        <w:pageBreakBefore w:val="0"/>
        <w:widowControl w:val="0"/>
        <w:numPr>
          <w:ilvl w:val="0"/>
          <w:numId w:val="0"/>
        </w:numPr>
        <w:tabs>
          <w:tab w:val="left" w:pos="1032"/>
        </w:tabs>
        <w:kinsoku/>
        <w:wordWrap/>
        <w:overflowPunct/>
        <w:topLinePunct w:val="0"/>
        <w:autoSpaceDE/>
        <w:autoSpaceDN/>
        <w:bidi w:val="0"/>
        <w:adjustRightInd/>
        <w:snapToGrid/>
        <w:spacing w:before="139" w:after="0" w:line="500" w:lineRule="exact"/>
        <w:ind w:left="820" w:leftChars="0" w:right="426" w:rightChars="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pacing w:val="-1"/>
          <w:sz w:val="24"/>
          <w:szCs w:val="24"/>
          <w:highlight w:val="none"/>
        </w:rPr>
        <w:t>第十六条 其他</w:t>
      </w:r>
    </w:p>
    <w:p w14:paraId="38182733">
      <w:pPr>
        <w:pStyle w:val="10"/>
        <w:pageBreakBefore w:val="0"/>
        <w:widowControl w:val="0"/>
        <w:kinsoku/>
        <w:wordWrap/>
        <w:overflowPunct/>
        <w:topLinePunct w:val="0"/>
        <w:autoSpaceDE/>
        <w:autoSpaceDN/>
        <w:bidi w:val="0"/>
        <w:adjustRightInd/>
        <w:snapToGrid/>
        <w:spacing w:line="500" w:lineRule="exact"/>
        <w:ind w:left="8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符合《中华人民共和国政府采购法》规定的，经双方协商，办理政府采购手续后，可签订</w:t>
      </w:r>
      <w:r>
        <w:rPr>
          <w:rFonts w:hint="eastAsia" w:asciiTheme="minorEastAsia" w:hAnsiTheme="minorEastAsia" w:eastAsiaTheme="minorEastAsia" w:cstheme="minorEastAsia"/>
          <w:kern w:val="2"/>
          <w:sz w:val="24"/>
          <w:szCs w:val="24"/>
          <w:highlight w:val="none"/>
          <w:lang w:val="zh-CN" w:eastAsia="zh-CN" w:bidi="zh-CN"/>
        </w:rPr>
        <w:t>补充合同，所签订的补充合同与本合同具有同等法律效力。</w:t>
      </w:r>
      <w:r>
        <w:rPr>
          <w:rFonts w:hint="eastAsia" w:asciiTheme="minorEastAsia" w:hAnsiTheme="minorEastAsia" w:eastAsiaTheme="minorEastAsia" w:cstheme="minorEastAsia"/>
          <w:w w:val="95"/>
          <w:sz w:val="24"/>
          <w:szCs w:val="24"/>
          <w:highlight w:val="none"/>
        </w:rPr>
        <w:t xml:space="preserve"> </w:t>
      </w:r>
      <w:r>
        <w:rPr>
          <w:rFonts w:hint="eastAsia" w:asciiTheme="minorEastAsia" w:hAnsiTheme="minorEastAsia" w:eastAsiaTheme="minorEastAsia" w:cstheme="minorEastAsia"/>
          <w:sz w:val="24"/>
          <w:szCs w:val="24"/>
          <w:highlight w:val="none"/>
        </w:rPr>
        <w:t>本合同一式</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份，甲、乙双方各执</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份。</w:t>
      </w:r>
    </w:p>
    <w:p w14:paraId="215119AE">
      <w:pPr>
        <w:pStyle w:val="10"/>
        <w:pageBreakBefore w:val="0"/>
        <w:widowControl w:val="0"/>
        <w:tabs>
          <w:tab w:val="left" w:pos="5334"/>
        </w:tabs>
        <w:kinsoku/>
        <w:wordWrap/>
        <w:overflowPunct/>
        <w:topLinePunct w:val="0"/>
        <w:autoSpaceDE/>
        <w:autoSpaceDN/>
        <w:bidi w:val="0"/>
        <w:adjustRightInd/>
        <w:snapToGrid/>
        <w:spacing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z w:val="24"/>
          <w:szCs w:val="24"/>
          <w:highlight w:val="none"/>
        </w:rPr>
        <w:t>方：</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乙 方：</w:t>
      </w:r>
    </w:p>
    <w:p w14:paraId="211F875F">
      <w:pPr>
        <w:pStyle w:val="10"/>
        <w:pageBreakBefore w:val="0"/>
        <w:widowControl w:val="0"/>
        <w:tabs>
          <w:tab w:val="left" w:pos="5334"/>
        </w:tabs>
        <w:kinsoku/>
        <w:wordWrap/>
        <w:overflowPunct/>
        <w:topLinePunct w:val="0"/>
        <w:autoSpaceDE/>
        <w:autoSpaceDN/>
        <w:bidi w:val="0"/>
        <w:adjustRightInd/>
        <w:snapToGrid/>
        <w:spacing w:before="139"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名称：（盖章）</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名称：（盖章）</w:t>
      </w:r>
    </w:p>
    <w:p w14:paraId="5E7D0C78">
      <w:pPr>
        <w:pStyle w:val="10"/>
        <w:pageBreakBefore w:val="0"/>
        <w:widowControl w:val="0"/>
        <w:tabs>
          <w:tab w:val="left" w:pos="5439"/>
        </w:tabs>
        <w:kinsoku/>
        <w:wordWrap/>
        <w:overflowPunct/>
        <w:topLinePunct w:val="0"/>
        <w:autoSpaceDE/>
        <w:autoSpaceDN/>
        <w:bidi w:val="0"/>
        <w:adjustRightInd/>
        <w:snapToGrid/>
        <w:spacing w:before="141"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地址：</w:t>
      </w:r>
    </w:p>
    <w:p w14:paraId="1447F4F9">
      <w:pPr>
        <w:pStyle w:val="10"/>
        <w:pageBreakBefore w:val="0"/>
        <w:widowControl w:val="0"/>
        <w:tabs>
          <w:tab w:val="left" w:pos="5334"/>
        </w:tabs>
        <w:kinsoku/>
        <w:wordWrap/>
        <w:overflowPunct/>
        <w:topLinePunct w:val="0"/>
        <w:autoSpaceDE/>
        <w:autoSpaceDN/>
        <w:bidi w:val="0"/>
        <w:adjustRightInd/>
        <w:snapToGrid/>
        <w:spacing w:before="139"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法定代表人（签字）：</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法定代表人（签字）：</w:t>
      </w:r>
    </w:p>
    <w:p w14:paraId="266D6BFE">
      <w:pPr>
        <w:pStyle w:val="10"/>
        <w:pageBreakBefore w:val="0"/>
        <w:widowControl w:val="0"/>
        <w:tabs>
          <w:tab w:val="left" w:pos="5334"/>
        </w:tabs>
        <w:kinsoku/>
        <w:wordWrap/>
        <w:overflowPunct/>
        <w:topLinePunct w:val="0"/>
        <w:autoSpaceDE/>
        <w:autoSpaceDN/>
        <w:bidi w:val="0"/>
        <w:adjustRightInd/>
        <w:snapToGrid/>
        <w:spacing w:before="139"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授权代表（签字）：</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授权代表（签字）：</w:t>
      </w:r>
    </w:p>
    <w:p w14:paraId="5EB1C5DC">
      <w:pPr>
        <w:pStyle w:val="10"/>
        <w:pageBreakBefore w:val="0"/>
        <w:widowControl w:val="0"/>
        <w:tabs>
          <w:tab w:val="left" w:pos="5334"/>
        </w:tabs>
        <w:kinsoku/>
        <w:wordWrap/>
        <w:overflowPunct/>
        <w:topLinePunct w:val="0"/>
        <w:autoSpaceDE/>
        <w:autoSpaceDN/>
        <w:bidi w:val="0"/>
        <w:adjustRightInd/>
        <w:snapToGrid/>
        <w:spacing w:before="139"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开户银行：</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w w:val="95"/>
          <w:sz w:val="24"/>
          <w:szCs w:val="24"/>
          <w:highlight w:val="none"/>
        </w:rPr>
        <w:t>开户银行：</w:t>
      </w:r>
    </w:p>
    <w:p w14:paraId="26E802C1">
      <w:pPr>
        <w:pStyle w:val="10"/>
        <w:pageBreakBefore w:val="0"/>
        <w:widowControl w:val="0"/>
        <w:tabs>
          <w:tab w:val="left" w:pos="5334"/>
        </w:tabs>
        <w:kinsoku/>
        <w:wordWrap/>
        <w:overflowPunct/>
        <w:topLinePunct w:val="0"/>
        <w:autoSpaceDE/>
        <w:autoSpaceDN/>
        <w:bidi w:val="0"/>
        <w:adjustRightInd/>
        <w:snapToGrid/>
        <w:spacing w:before="141"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银行帐号：</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w w:val="95"/>
          <w:sz w:val="24"/>
          <w:szCs w:val="24"/>
          <w:highlight w:val="none"/>
        </w:rPr>
        <w:t>银行帐号：</w:t>
      </w:r>
    </w:p>
    <w:p w14:paraId="5EB431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时</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z w:val="24"/>
          <w:szCs w:val="24"/>
          <w:highlight w:val="none"/>
        </w:rPr>
        <w:t>间：</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时 间：</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z w:val="24"/>
          <w:szCs w:val="24"/>
          <w:highlight w:val="none"/>
        </w:rPr>
        <w:t>年 月</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z w:val="24"/>
          <w:szCs w:val="24"/>
          <w:highlight w:val="none"/>
        </w:rPr>
        <w:t>日</w:t>
      </w:r>
    </w:p>
    <w:p w14:paraId="7A5C4DD7">
      <w:pPr>
        <w:pStyle w:val="2"/>
        <w:rPr>
          <w:rFonts w:hint="eastAsia" w:asciiTheme="minorEastAsia" w:hAnsiTheme="minorEastAsia" w:eastAsiaTheme="minorEastAsia" w:cstheme="minorEastAsia"/>
          <w:sz w:val="24"/>
          <w:szCs w:val="24"/>
          <w:highlight w:val="none"/>
        </w:rPr>
      </w:pPr>
    </w:p>
    <w:p w14:paraId="431E1CD8">
      <w:pPr>
        <w:rPr>
          <w:rFonts w:hint="eastAsia" w:asciiTheme="minorEastAsia" w:hAnsiTheme="minorEastAsia" w:eastAsiaTheme="minorEastAsia" w:cstheme="minorEastAsia"/>
          <w:sz w:val="24"/>
          <w:szCs w:val="24"/>
          <w:highlight w:val="none"/>
        </w:rPr>
      </w:pPr>
    </w:p>
    <w:p w14:paraId="3386F100">
      <w:pPr>
        <w:pStyle w:val="2"/>
        <w:rPr>
          <w:rFonts w:hint="eastAsia"/>
        </w:rPr>
      </w:pPr>
    </w:p>
    <w:p w14:paraId="5A92BFF4">
      <w:pPr>
        <w:pStyle w:val="23"/>
        <w:pageBreakBefore w:val="0"/>
        <w:widowControl w:val="0"/>
        <w:kinsoku/>
        <w:overflowPunct/>
        <w:bidi w:val="0"/>
        <w:spacing w:before="0" w:beforeAutospacing="0" w:after="0" w:afterAutospacing="0" w:line="500" w:lineRule="exact"/>
        <w:ind w:left="0" w:leftChars="0" w:firstLine="0" w:firstLineChars="0"/>
        <w:jc w:val="center"/>
        <w:outlineLvl w:val="0"/>
        <w:rPr>
          <w:rFonts w:cs="宋体"/>
          <w:kern w:val="44"/>
          <w:highlight w:val="none"/>
        </w:rPr>
      </w:pPr>
      <w:bookmarkStart w:id="216" w:name="_Toc22719"/>
      <w:bookmarkStart w:id="217" w:name="_Toc522798868"/>
      <w:bookmarkStart w:id="218" w:name="_Toc14920"/>
      <w:bookmarkStart w:id="219" w:name="_Toc19824_WPSOffice_Level1"/>
      <w:r>
        <w:rPr>
          <w:rFonts w:hint="eastAsia" w:cs="宋体"/>
          <w:b/>
          <w:kern w:val="2"/>
          <w:sz w:val="36"/>
          <w:szCs w:val="36"/>
          <w:highlight w:val="none"/>
        </w:rPr>
        <w:t>第六章  响应文件格式</w:t>
      </w:r>
      <w:bookmarkEnd w:id="216"/>
      <w:bookmarkEnd w:id="217"/>
      <w:bookmarkEnd w:id="218"/>
      <w:bookmarkEnd w:id="219"/>
    </w:p>
    <w:p w14:paraId="7CB28A52">
      <w:pPr>
        <w:pStyle w:val="23"/>
        <w:pageBreakBefore w:val="0"/>
        <w:widowControl w:val="0"/>
        <w:kinsoku/>
        <w:overflowPunct/>
        <w:bidi w:val="0"/>
        <w:spacing w:before="0" w:beforeAutospacing="0" w:after="0" w:afterAutospacing="0" w:line="500" w:lineRule="exact"/>
        <w:ind w:firstLine="480"/>
        <w:jc w:val="center"/>
        <w:rPr>
          <w:rFonts w:cs="宋体"/>
          <w:kern w:val="44"/>
          <w:highlight w:val="none"/>
        </w:rPr>
      </w:pPr>
    </w:p>
    <w:p w14:paraId="4B48969E">
      <w:pPr>
        <w:pStyle w:val="23"/>
        <w:pageBreakBefore w:val="0"/>
        <w:widowControl w:val="0"/>
        <w:kinsoku/>
        <w:overflowPunct/>
        <w:bidi w:val="0"/>
        <w:spacing w:before="0" w:beforeAutospacing="0" w:after="0" w:afterAutospacing="0" w:line="500" w:lineRule="exact"/>
        <w:ind w:firstLine="480"/>
        <w:jc w:val="center"/>
        <w:rPr>
          <w:rFonts w:cs="宋体"/>
          <w:kern w:val="44"/>
          <w:highlight w:val="none"/>
        </w:rPr>
      </w:pPr>
      <w:bookmarkStart w:id="220" w:name="_Toc512596667"/>
      <w:bookmarkEnd w:id="220"/>
      <w:bookmarkStart w:id="221" w:name="_Toc495930596"/>
      <w:bookmarkEnd w:id="221"/>
      <w:bookmarkStart w:id="222" w:name="_Toc465990924"/>
      <w:bookmarkEnd w:id="222"/>
      <w:bookmarkStart w:id="223" w:name="_Toc465991521"/>
      <w:bookmarkEnd w:id="223"/>
      <w:bookmarkStart w:id="224" w:name="_Toc466275364"/>
      <w:bookmarkEnd w:id="224"/>
      <w:bookmarkStart w:id="225" w:name="_Toc466278843"/>
      <w:bookmarkEnd w:id="225"/>
    </w:p>
    <w:p w14:paraId="659AE857">
      <w:pPr>
        <w:pStyle w:val="23"/>
        <w:pageBreakBefore w:val="0"/>
        <w:widowControl w:val="0"/>
        <w:kinsoku/>
        <w:overflowPunct/>
        <w:bidi w:val="0"/>
        <w:spacing w:before="0" w:beforeAutospacing="0" w:after="0" w:afterAutospacing="0" w:line="500" w:lineRule="exact"/>
        <w:ind w:firstLine="480"/>
        <w:jc w:val="center"/>
        <w:rPr>
          <w:rFonts w:cs="宋体"/>
          <w:kern w:val="44"/>
          <w:highlight w:val="none"/>
        </w:rPr>
      </w:pPr>
    </w:p>
    <w:p w14:paraId="37A002EE">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highlight w:val="none"/>
        </w:rPr>
      </w:pPr>
      <w:bookmarkStart w:id="226" w:name="_Toc5037_WPSOffice_Level1"/>
      <w:bookmarkEnd w:id="226"/>
      <w:bookmarkStart w:id="227" w:name="_Toc29700_WPSOffice_Level1"/>
      <w:bookmarkEnd w:id="227"/>
      <w:r>
        <w:rPr>
          <w:rFonts w:hint="eastAsia"/>
          <w:b/>
          <w:bCs/>
          <w:sz w:val="32"/>
          <w:szCs w:val="40"/>
          <w:highlight w:val="none"/>
          <w:lang w:eastAsia="zh-CN"/>
        </w:rPr>
        <w:t>（项目名称）</w:t>
      </w:r>
    </w:p>
    <w:p w14:paraId="660880D1">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highlight w:val="none"/>
        </w:rPr>
      </w:pPr>
      <w:bookmarkStart w:id="228" w:name="_Toc22178_WPSOffice_Level1"/>
      <w:bookmarkEnd w:id="228"/>
      <w:bookmarkStart w:id="229" w:name="_Toc6820_WPSOffice_Level1"/>
      <w:bookmarkEnd w:id="229"/>
      <w:bookmarkStart w:id="230" w:name="_Toc25124_WPSOffice_Level1"/>
      <w:bookmarkStart w:id="231" w:name="_Toc21510_WPSOffice_Level1"/>
      <w:bookmarkStart w:id="232" w:name="_Toc14055_WPSOffice_Level1"/>
      <w:bookmarkStart w:id="233" w:name="_Toc8895_WPSOffice_Level1"/>
      <w:bookmarkStart w:id="234" w:name="_Toc25794"/>
      <w:bookmarkStart w:id="235" w:name="_Toc11378_WPSOffice_Level1"/>
      <w:bookmarkStart w:id="236" w:name="_Toc12274_WPSOffice_Level1"/>
      <w:bookmarkStart w:id="237" w:name="_Toc8759_WPSOffice_Level1"/>
      <w:bookmarkStart w:id="238" w:name="_Toc32750_WPSOffice_Level1"/>
      <w:r>
        <w:rPr>
          <w:rFonts w:hint="eastAsia"/>
          <w:sz w:val="72"/>
          <w:szCs w:val="72"/>
          <w:highlight w:val="none"/>
          <w:lang w:eastAsia="zh-CN"/>
        </w:rPr>
        <w:t>响</w:t>
      </w:r>
      <w:r>
        <w:rPr>
          <w:rFonts w:hint="eastAsia"/>
          <w:sz w:val="72"/>
          <w:szCs w:val="72"/>
          <w:highlight w:val="none"/>
          <w:lang w:val="en-US" w:eastAsia="zh-CN"/>
        </w:rPr>
        <w:t xml:space="preserve"> </w:t>
      </w:r>
      <w:r>
        <w:rPr>
          <w:rFonts w:hint="eastAsia"/>
          <w:sz w:val="72"/>
          <w:szCs w:val="72"/>
          <w:highlight w:val="none"/>
          <w:lang w:eastAsia="zh-CN"/>
        </w:rPr>
        <w:t>应</w:t>
      </w:r>
      <w:r>
        <w:rPr>
          <w:rFonts w:hint="eastAsia"/>
          <w:sz w:val="72"/>
          <w:szCs w:val="72"/>
          <w:highlight w:val="none"/>
        </w:rPr>
        <w:t xml:space="preserve"> 文 件</w:t>
      </w:r>
      <w:bookmarkEnd w:id="230"/>
      <w:bookmarkEnd w:id="231"/>
      <w:bookmarkEnd w:id="232"/>
      <w:bookmarkEnd w:id="233"/>
      <w:bookmarkEnd w:id="234"/>
      <w:bookmarkEnd w:id="235"/>
      <w:bookmarkEnd w:id="236"/>
      <w:bookmarkEnd w:id="237"/>
      <w:bookmarkEnd w:id="238"/>
    </w:p>
    <w:p w14:paraId="4E1667D6">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highlight w:val="none"/>
        </w:rPr>
      </w:pPr>
      <w:bookmarkStart w:id="239" w:name="_Toc5903_WPSOffice_Level1"/>
      <w:bookmarkStart w:id="240" w:name="_Toc31929_WPSOffice_Level1"/>
      <w:bookmarkStart w:id="241" w:name="_Toc2652"/>
      <w:bookmarkStart w:id="242" w:name="_Toc28893_WPSOffice_Level1"/>
      <w:bookmarkStart w:id="243" w:name="_Toc23475_WPSOffice_Level1"/>
      <w:bookmarkStart w:id="244" w:name="_Toc10269_WPSOffice_Level1"/>
      <w:bookmarkStart w:id="245" w:name="_Toc21763_WPSOffice_Level1"/>
      <w:bookmarkStart w:id="246" w:name="_Toc11695_WPSOffice_Level1"/>
      <w:r>
        <w:rPr>
          <w:rFonts w:hint="eastAsia"/>
          <w:highlight w:val="none"/>
        </w:rPr>
        <w:t>项目编号：</w:t>
      </w:r>
      <w:bookmarkEnd w:id="239"/>
      <w:bookmarkEnd w:id="240"/>
      <w:bookmarkEnd w:id="241"/>
      <w:bookmarkEnd w:id="242"/>
      <w:bookmarkEnd w:id="243"/>
      <w:bookmarkEnd w:id="244"/>
      <w:bookmarkEnd w:id="245"/>
      <w:bookmarkEnd w:id="246"/>
    </w:p>
    <w:p w14:paraId="305EA169">
      <w:pPr>
        <w:pStyle w:val="25"/>
        <w:rPr>
          <w:highlight w:val="none"/>
        </w:rPr>
      </w:pPr>
    </w:p>
    <w:p w14:paraId="19EC1619">
      <w:pPr>
        <w:keepNext w:val="0"/>
        <w:keepLines w:val="0"/>
        <w:pageBreakBefore w:val="0"/>
        <w:widowControl w:val="0"/>
        <w:kinsoku/>
        <w:wordWrap/>
        <w:overflowPunct/>
        <w:topLinePunct w:val="0"/>
        <w:autoSpaceDE/>
        <w:autoSpaceDN/>
        <w:bidi w:val="0"/>
        <w:adjustRightInd/>
        <w:snapToGrid/>
        <w:spacing w:line="1000" w:lineRule="exact"/>
        <w:textAlignment w:val="auto"/>
        <w:rPr>
          <w:highlight w:val="none"/>
        </w:rPr>
      </w:pPr>
    </w:p>
    <w:p w14:paraId="653B3F4B">
      <w:pPr>
        <w:pageBreakBefore w:val="0"/>
        <w:kinsoku/>
        <w:overflowPunct/>
        <w:bidi w:val="0"/>
        <w:spacing w:line="500" w:lineRule="exact"/>
        <w:rPr>
          <w:highlight w:val="none"/>
        </w:rPr>
      </w:pPr>
    </w:p>
    <w:p w14:paraId="33B5A390">
      <w:pPr>
        <w:pageBreakBefore w:val="0"/>
        <w:kinsoku/>
        <w:overflowPunct/>
        <w:bidi w:val="0"/>
        <w:spacing w:line="500" w:lineRule="exact"/>
        <w:rPr>
          <w:highlight w:val="none"/>
        </w:rPr>
      </w:pPr>
    </w:p>
    <w:p w14:paraId="324858C2">
      <w:pPr>
        <w:pageBreakBefore w:val="0"/>
        <w:kinsoku/>
        <w:overflowPunct/>
        <w:bidi w:val="0"/>
        <w:spacing w:line="500" w:lineRule="exact"/>
        <w:rPr>
          <w:highlight w:val="none"/>
        </w:rPr>
      </w:pPr>
    </w:p>
    <w:p w14:paraId="69DE6408">
      <w:pPr>
        <w:pageBreakBefore w:val="0"/>
        <w:kinsoku/>
        <w:overflowPunct/>
        <w:bidi w:val="0"/>
        <w:spacing w:line="500" w:lineRule="exact"/>
        <w:rPr>
          <w:highlight w:val="none"/>
        </w:rPr>
      </w:pPr>
    </w:p>
    <w:p w14:paraId="5F007283">
      <w:pPr>
        <w:pageBreakBefore w:val="0"/>
        <w:kinsoku/>
        <w:overflowPunct/>
        <w:bidi w:val="0"/>
        <w:spacing w:line="500" w:lineRule="exact"/>
        <w:rPr>
          <w:highlight w:val="none"/>
        </w:rPr>
      </w:pPr>
    </w:p>
    <w:p w14:paraId="1C8BD675">
      <w:pPr>
        <w:pageBreakBefore w:val="0"/>
        <w:kinsoku/>
        <w:overflowPunct/>
        <w:bidi w:val="0"/>
        <w:spacing w:line="500" w:lineRule="exact"/>
        <w:rPr>
          <w:highlight w:val="none"/>
        </w:rPr>
      </w:pPr>
    </w:p>
    <w:p w14:paraId="71367C44">
      <w:pPr>
        <w:pageBreakBefore w:val="0"/>
        <w:kinsoku/>
        <w:overflowPunct/>
        <w:bidi w:val="0"/>
        <w:spacing w:line="500" w:lineRule="exact"/>
        <w:rPr>
          <w:highlight w:val="none"/>
        </w:rPr>
      </w:pPr>
    </w:p>
    <w:p w14:paraId="607F973A">
      <w:pPr>
        <w:pageBreakBefore w:val="0"/>
        <w:kinsoku/>
        <w:overflowPunct/>
        <w:bidi w:val="0"/>
        <w:spacing w:line="500" w:lineRule="exact"/>
        <w:ind w:firstLine="1400" w:firstLineChars="500"/>
        <w:rPr>
          <w:sz w:val="28"/>
          <w:szCs w:val="36"/>
          <w:highlight w:val="none"/>
        </w:rPr>
      </w:pPr>
      <w:bookmarkStart w:id="247" w:name="_Toc27065_WPSOffice_Level1"/>
      <w:bookmarkEnd w:id="247"/>
      <w:bookmarkStart w:id="248" w:name="_Toc3416_WPSOffice_Level1"/>
      <w:bookmarkEnd w:id="248"/>
      <w:bookmarkStart w:id="249" w:name="_Toc2595_WPSOffice_Level1"/>
      <w:bookmarkStart w:id="250" w:name="_Toc14241_WPSOffice_Level1"/>
      <w:bookmarkStart w:id="251" w:name="_Toc32011"/>
      <w:bookmarkStart w:id="252" w:name="_Toc24814_WPSOffice_Level1"/>
      <w:bookmarkStart w:id="253" w:name="_Toc21090_WPSOffice_Level1"/>
      <w:bookmarkStart w:id="254" w:name="_Toc28964_WPSOffice_Level1"/>
      <w:bookmarkStart w:id="255" w:name="_Toc7088_WPSOffice_Level1"/>
      <w:bookmarkStart w:id="256" w:name="_Toc24376_WPSOffice_Level1"/>
      <w:bookmarkStart w:id="257" w:name="_Toc1959_WPSOffice_Level1"/>
      <w:r>
        <w:rPr>
          <w:rFonts w:hint="eastAsia"/>
          <w:sz w:val="28"/>
          <w:szCs w:val="36"/>
          <w:highlight w:val="none"/>
        </w:rPr>
        <w:t>供应商名称：</w:t>
      </w:r>
      <w:bookmarkEnd w:id="249"/>
      <w:r>
        <w:rPr>
          <w:rFonts w:hint="eastAsia"/>
          <w:sz w:val="28"/>
          <w:szCs w:val="36"/>
          <w:highlight w:val="none"/>
        </w:rPr>
        <w:t>（盖单位公章）</w:t>
      </w:r>
      <w:bookmarkEnd w:id="250"/>
      <w:bookmarkEnd w:id="251"/>
      <w:bookmarkEnd w:id="252"/>
      <w:bookmarkEnd w:id="253"/>
      <w:bookmarkEnd w:id="254"/>
      <w:bookmarkEnd w:id="255"/>
      <w:bookmarkEnd w:id="256"/>
      <w:bookmarkEnd w:id="257"/>
    </w:p>
    <w:p w14:paraId="02ECE845">
      <w:pPr>
        <w:pageBreakBefore w:val="0"/>
        <w:kinsoku/>
        <w:overflowPunct/>
        <w:bidi w:val="0"/>
        <w:spacing w:line="500" w:lineRule="exact"/>
        <w:ind w:firstLine="1400" w:firstLineChars="500"/>
        <w:rPr>
          <w:sz w:val="28"/>
          <w:szCs w:val="36"/>
          <w:highlight w:val="none"/>
        </w:rPr>
      </w:pPr>
      <w:bookmarkStart w:id="258" w:name="_Toc2975_WPSOffice_Level1"/>
      <w:bookmarkEnd w:id="258"/>
      <w:bookmarkStart w:id="259" w:name="_Toc20308_WPSOffice_Level1"/>
      <w:bookmarkEnd w:id="259"/>
      <w:bookmarkStart w:id="260" w:name="_Toc24820_WPSOffice_Level1"/>
      <w:bookmarkStart w:id="261" w:name="_Toc5472_WPSOffice_Level1"/>
      <w:bookmarkStart w:id="262" w:name="_Toc18613"/>
      <w:bookmarkStart w:id="263" w:name="_Toc4544_WPSOffice_Level1"/>
      <w:bookmarkStart w:id="264" w:name="_Toc12215_WPSOffice_Level1"/>
      <w:bookmarkStart w:id="265" w:name="_Toc10432_WPSOffice_Level1"/>
      <w:bookmarkStart w:id="266" w:name="_Toc14430_WPSOffice_Level1"/>
      <w:bookmarkStart w:id="267" w:name="_Toc30725_WPSOffice_Level1"/>
      <w:bookmarkStart w:id="268" w:name="_Toc21945_WPSOffice_Level1"/>
      <w:r>
        <w:rPr>
          <w:rFonts w:hint="eastAsia"/>
          <w:sz w:val="28"/>
          <w:szCs w:val="36"/>
          <w:highlight w:val="none"/>
        </w:rPr>
        <w:t>法定代表人：</w:t>
      </w:r>
      <w:bookmarkEnd w:id="260"/>
      <w:r>
        <w:rPr>
          <w:rFonts w:hint="eastAsia"/>
          <w:sz w:val="28"/>
          <w:szCs w:val="36"/>
          <w:highlight w:val="none"/>
        </w:rPr>
        <w:t>（签章）</w:t>
      </w:r>
      <w:bookmarkEnd w:id="261"/>
      <w:bookmarkEnd w:id="262"/>
      <w:bookmarkEnd w:id="263"/>
      <w:bookmarkEnd w:id="264"/>
      <w:bookmarkEnd w:id="265"/>
      <w:bookmarkEnd w:id="266"/>
      <w:bookmarkEnd w:id="267"/>
      <w:bookmarkEnd w:id="268"/>
    </w:p>
    <w:p w14:paraId="2C779EA4">
      <w:pPr>
        <w:pageBreakBefore w:val="0"/>
        <w:kinsoku/>
        <w:overflowPunct/>
        <w:bidi w:val="0"/>
        <w:spacing w:line="500" w:lineRule="exact"/>
        <w:ind w:firstLine="1400" w:firstLineChars="500"/>
        <w:rPr>
          <w:rFonts w:cs="宋体"/>
          <w:sz w:val="28"/>
          <w:szCs w:val="40"/>
          <w:highlight w:val="none"/>
        </w:rPr>
      </w:pPr>
      <w:bookmarkStart w:id="269" w:name="_Toc8514_WPSOffice_Level1"/>
      <w:bookmarkStart w:id="270" w:name="_Toc3068_WPSOffice_Level1"/>
      <w:bookmarkStart w:id="271" w:name="_Toc32586_WPSOffice_Level1"/>
      <w:bookmarkStart w:id="272" w:name="_Toc753_WPSOffice_Level1"/>
      <w:bookmarkStart w:id="273" w:name="_Toc22775_WPSOffice_Level1"/>
      <w:bookmarkStart w:id="274" w:name="_Toc10800_WPSOffice_Level1"/>
      <w:bookmarkStart w:id="275" w:name="_Toc20484"/>
      <w:bookmarkStart w:id="276" w:name="_Toc15785_WPSOffice_Level1"/>
      <w:r>
        <w:rPr>
          <w:rFonts w:hint="eastAsia"/>
          <w:sz w:val="28"/>
          <w:szCs w:val="36"/>
          <w:highlight w:val="none"/>
        </w:rPr>
        <w:t>日    期：</w:t>
      </w:r>
      <w:bookmarkStart w:id="277" w:name="_Toc1553_WPSOffice_Level1"/>
      <w:bookmarkEnd w:id="277"/>
      <w:bookmarkStart w:id="278" w:name="_Toc28129_WPSOffice_Level1"/>
      <w:bookmarkEnd w:id="278"/>
      <w:bookmarkStart w:id="279" w:name="_Toc4820_WPSOffice_Level1"/>
      <w:r>
        <w:rPr>
          <w:rFonts w:hint="eastAsia"/>
          <w:sz w:val="28"/>
          <w:szCs w:val="36"/>
          <w:highlight w:val="none"/>
          <w:lang w:val="en-US" w:eastAsia="zh-CN"/>
        </w:rPr>
        <w:t xml:space="preserve">  </w:t>
      </w:r>
      <w:r>
        <w:rPr>
          <w:rFonts w:hint="eastAsia"/>
          <w:sz w:val="28"/>
          <w:szCs w:val="36"/>
          <w:highlight w:val="none"/>
        </w:rPr>
        <w:t>年</w:t>
      </w:r>
      <w:bookmarkEnd w:id="279"/>
      <w:r>
        <w:rPr>
          <w:rFonts w:hint="eastAsia"/>
          <w:sz w:val="28"/>
          <w:szCs w:val="36"/>
          <w:highlight w:val="none"/>
          <w:lang w:val="en-US" w:eastAsia="zh-CN"/>
        </w:rPr>
        <w:t xml:space="preserve">  </w:t>
      </w:r>
      <w:r>
        <w:rPr>
          <w:rFonts w:hint="eastAsia"/>
          <w:sz w:val="28"/>
          <w:szCs w:val="36"/>
          <w:highlight w:val="none"/>
        </w:rPr>
        <w:t>月</w:t>
      </w:r>
      <w:r>
        <w:rPr>
          <w:rFonts w:hint="eastAsia"/>
          <w:sz w:val="28"/>
          <w:szCs w:val="36"/>
          <w:highlight w:val="none"/>
          <w:lang w:val="en-US" w:eastAsia="zh-CN"/>
        </w:rPr>
        <w:t xml:space="preserve">  </w:t>
      </w:r>
      <w:r>
        <w:rPr>
          <w:rFonts w:hint="eastAsia"/>
          <w:sz w:val="28"/>
          <w:szCs w:val="36"/>
          <w:highlight w:val="none"/>
        </w:rPr>
        <w:t>日</w:t>
      </w:r>
      <w:bookmarkEnd w:id="269"/>
      <w:bookmarkEnd w:id="270"/>
      <w:bookmarkEnd w:id="271"/>
      <w:bookmarkEnd w:id="272"/>
      <w:bookmarkEnd w:id="273"/>
      <w:bookmarkEnd w:id="274"/>
      <w:bookmarkEnd w:id="275"/>
      <w:bookmarkEnd w:id="276"/>
    </w:p>
    <w:p w14:paraId="1297EE7A">
      <w:pPr>
        <w:pageBreakBefore w:val="0"/>
        <w:kinsoku/>
        <w:overflowPunct/>
        <w:bidi w:val="0"/>
        <w:spacing w:line="500" w:lineRule="exact"/>
        <w:rPr>
          <w:rFonts w:ascii="宋体" w:hAnsi="宋体" w:cs="宋体"/>
          <w:sz w:val="36"/>
          <w:szCs w:val="36"/>
          <w:highlight w:val="none"/>
        </w:rPr>
        <w:sectPr>
          <w:pgSz w:w="11915" w:h="16840"/>
          <w:pgMar w:top="1417" w:right="1134" w:bottom="1417" w:left="1417" w:header="720" w:footer="720" w:gutter="0"/>
          <w:pgNumType w:fmt="decimal"/>
          <w:cols w:space="720" w:num="1"/>
          <w:rtlGutter w:val="0"/>
          <w:docGrid w:type="lines" w:linePitch="312" w:charSpace="0"/>
        </w:sectPr>
      </w:pPr>
    </w:p>
    <w:p w14:paraId="3BD8A142">
      <w:pPr>
        <w:pStyle w:val="2"/>
        <w:pageBreakBefore w:val="0"/>
        <w:widowControl/>
        <w:tabs>
          <w:tab w:val="left" w:pos="0"/>
        </w:tabs>
        <w:kinsoku/>
        <w:overflowPunct/>
        <w:bidi w:val="0"/>
        <w:spacing w:line="500" w:lineRule="exact"/>
        <w:rPr>
          <w:rFonts w:cs="宋体"/>
          <w:bCs/>
          <w:sz w:val="36"/>
          <w:szCs w:val="36"/>
          <w:highlight w:val="none"/>
        </w:rPr>
      </w:pPr>
      <w:bookmarkStart w:id="280" w:name="_Toc497301908"/>
      <w:bookmarkEnd w:id="280"/>
      <w:bookmarkStart w:id="281" w:name="_Toc522798779"/>
      <w:bookmarkEnd w:id="281"/>
      <w:bookmarkStart w:id="282" w:name="_Toc521998007"/>
      <w:bookmarkEnd w:id="282"/>
      <w:bookmarkStart w:id="283" w:name="_Toc3483_WPSOffice_Level1"/>
      <w:bookmarkEnd w:id="283"/>
      <w:bookmarkStart w:id="284" w:name="_Toc32240_WPSOffice_Level1"/>
      <w:bookmarkEnd w:id="284"/>
      <w:bookmarkStart w:id="285" w:name="_Toc522085803"/>
      <w:bookmarkEnd w:id="285"/>
      <w:bookmarkStart w:id="286" w:name="_Toc14477_WPSOffice_Level1"/>
      <w:bookmarkEnd w:id="286"/>
      <w:bookmarkStart w:id="287" w:name="_Toc517257925"/>
      <w:bookmarkEnd w:id="287"/>
      <w:bookmarkStart w:id="288" w:name="_Toc512596668"/>
      <w:bookmarkEnd w:id="288"/>
      <w:bookmarkStart w:id="289" w:name="_Toc522798869"/>
      <w:bookmarkStart w:id="290" w:name="_Toc7451_WPSOffice_Level1"/>
      <w:bookmarkStart w:id="291" w:name="_Toc13553_WPSOffice_Level1"/>
      <w:bookmarkStart w:id="292" w:name="_Toc22965_WPSOffice_Level1"/>
      <w:bookmarkStart w:id="293" w:name="_Toc32752_WPSOffice_Level1"/>
      <w:bookmarkStart w:id="294" w:name="_Toc2481"/>
      <w:bookmarkStart w:id="295" w:name="_Toc22556_WPSOffice_Level1"/>
      <w:bookmarkStart w:id="296" w:name="_Toc120_WPSOffice_Level1"/>
      <w:bookmarkStart w:id="297" w:name="_Toc12_WPSOffice_Level1"/>
      <w:r>
        <w:rPr>
          <w:rFonts w:hint="eastAsia" w:cs="宋体"/>
          <w:bCs/>
          <w:sz w:val="36"/>
          <w:szCs w:val="36"/>
          <w:highlight w:val="none"/>
        </w:rPr>
        <w:t>目</w:t>
      </w:r>
      <w:bookmarkEnd w:id="289"/>
      <w:r>
        <w:rPr>
          <w:rFonts w:hint="eastAsia" w:cs="宋体"/>
          <w:bCs/>
          <w:sz w:val="36"/>
          <w:szCs w:val="36"/>
          <w:highlight w:val="none"/>
        </w:rPr>
        <w:t xml:space="preserve">    录</w:t>
      </w:r>
      <w:bookmarkEnd w:id="290"/>
      <w:bookmarkEnd w:id="291"/>
      <w:bookmarkEnd w:id="292"/>
      <w:bookmarkEnd w:id="293"/>
      <w:bookmarkEnd w:id="294"/>
      <w:bookmarkEnd w:id="295"/>
      <w:bookmarkEnd w:id="296"/>
      <w:bookmarkEnd w:id="297"/>
    </w:p>
    <w:p w14:paraId="1BDABAEA">
      <w:pPr>
        <w:pageBreakBefore w:val="0"/>
        <w:kinsoku/>
        <w:overflowPunct/>
        <w:bidi w:val="0"/>
        <w:spacing w:line="500" w:lineRule="exact"/>
        <w:jc w:val="center"/>
        <w:rPr>
          <w:rFonts w:ascii="宋体" w:hAnsi="宋体" w:cs="宋体"/>
          <w:b/>
          <w:sz w:val="28"/>
          <w:szCs w:val="28"/>
          <w:highlight w:val="none"/>
        </w:rPr>
      </w:pPr>
    </w:p>
    <w:p w14:paraId="46E6D3A7">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8"/>
          <w:highlight w:val="none"/>
        </w:rPr>
      </w:pPr>
      <w:bookmarkStart w:id="298" w:name="_Toc10351_WPSOffice_Level1"/>
      <w:bookmarkEnd w:id="298"/>
    </w:p>
    <w:p w14:paraId="5969AC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sz w:val="22"/>
          <w:szCs w:val="28"/>
          <w:highlight w:val="none"/>
          <w:lang w:eastAsia="zh-CN"/>
        </w:rPr>
        <w:sectPr>
          <w:pgSz w:w="11915" w:h="16840"/>
          <w:pgMar w:top="1417" w:right="1134" w:bottom="1417" w:left="1417" w:header="720" w:footer="720" w:gutter="0"/>
          <w:pgNumType w:fmt="decimal"/>
          <w:cols w:space="720" w:num="1"/>
          <w:rtlGutter w:val="0"/>
          <w:docGrid w:type="lines" w:linePitch="312" w:charSpace="0"/>
        </w:sectPr>
      </w:pPr>
      <w:bookmarkStart w:id="299" w:name="_Toc9063_WPSOffice_Level1"/>
      <w:bookmarkEnd w:id="299"/>
      <w:bookmarkStart w:id="300" w:name="_Toc497301909"/>
      <w:bookmarkEnd w:id="300"/>
      <w:bookmarkStart w:id="301" w:name="_Toc521998008"/>
      <w:bookmarkEnd w:id="301"/>
      <w:bookmarkStart w:id="302" w:name="_Toc26459_WPSOffice_Level1"/>
      <w:bookmarkEnd w:id="302"/>
      <w:bookmarkStart w:id="303" w:name="_Toc522085804"/>
      <w:bookmarkEnd w:id="303"/>
      <w:bookmarkStart w:id="304" w:name="_Toc465990925"/>
      <w:bookmarkEnd w:id="304"/>
      <w:bookmarkStart w:id="305" w:name="_Toc522798780"/>
      <w:bookmarkEnd w:id="305"/>
      <w:bookmarkStart w:id="306" w:name="_Toc11242"/>
      <w:bookmarkStart w:id="307" w:name="_Toc26377_WPSOffice_Level1"/>
      <w:bookmarkStart w:id="308" w:name="_Toc13748_WPSOffice_Level1"/>
      <w:bookmarkStart w:id="309" w:name="_Toc25167_WPSOffice_Level1"/>
      <w:bookmarkStart w:id="310" w:name="_Toc26136_WPSOffice_Level1"/>
      <w:bookmarkStart w:id="311" w:name="_Toc11744_WPSOffice_Level1"/>
      <w:bookmarkStart w:id="312" w:name="_Toc21240_WPSOffice_Level1"/>
      <w:bookmarkStart w:id="313" w:name="_Toc32115_WPSOffice_Level1"/>
      <w:bookmarkStart w:id="314" w:name="_Toc522798870"/>
      <w:r>
        <w:rPr>
          <w:rFonts w:hint="eastAsia"/>
          <w:sz w:val="22"/>
          <w:szCs w:val="28"/>
          <w:highlight w:val="none"/>
          <w:lang w:eastAsia="zh-CN"/>
        </w:rPr>
        <w:t>（</w:t>
      </w:r>
      <w:r>
        <w:rPr>
          <w:rFonts w:hint="eastAsia"/>
          <w:sz w:val="22"/>
          <w:szCs w:val="28"/>
          <w:highlight w:val="none"/>
          <w:lang w:val="en-US" w:eastAsia="zh-CN"/>
        </w:rPr>
        <w:t>格式自拟</w:t>
      </w:r>
      <w:r>
        <w:rPr>
          <w:rFonts w:hint="eastAsia"/>
          <w:sz w:val="22"/>
          <w:szCs w:val="28"/>
          <w:highlight w:val="none"/>
          <w:lang w:eastAsia="zh-CN"/>
        </w:rPr>
        <w:t>）</w:t>
      </w:r>
    </w:p>
    <w:p w14:paraId="7C96F175">
      <w:pPr>
        <w:pageBreakBefore w:val="0"/>
        <w:kinsoku/>
        <w:overflowPunct/>
        <w:bidi w:val="0"/>
        <w:spacing w:line="500" w:lineRule="exact"/>
        <w:ind w:left="420"/>
        <w:jc w:val="center"/>
        <w:outlineLvl w:val="0"/>
        <w:rPr>
          <w:rFonts w:ascii="宋体" w:hAnsi="宋体" w:cs="宋体"/>
          <w:b/>
          <w:sz w:val="30"/>
          <w:szCs w:val="30"/>
          <w:highlight w:val="none"/>
        </w:rPr>
      </w:pPr>
      <w:bookmarkStart w:id="315" w:name="_Toc20182"/>
      <w:r>
        <w:rPr>
          <w:rFonts w:hint="eastAsia" w:ascii="宋体" w:hAnsi="宋体" w:cs="宋体"/>
          <w:b/>
          <w:sz w:val="30"/>
          <w:szCs w:val="30"/>
          <w:highlight w:val="none"/>
        </w:rPr>
        <w:t>一、</w:t>
      </w:r>
      <w:r>
        <w:rPr>
          <w:rFonts w:hint="eastAsia" w:ascii="宋体" w:hAnsi="宋体" w:cs="宋体"/>
          <w:b/>
          <w:sz w:val="30"/>
          <w:szCs w:val="30"/>
          <w:highlight w:val="none"/>
          <w:lang w:eastAsia="zh-CN"/>
        </w:rPr>
        <w:t>响应</w:t>
      </w:r>
      <w:r>
        <w:rPr>
          <w:rFonts w:hint="eastAsia" w:ascii="宋体" w:hAnsi="宋体" w:cs="宋体"/>
          <w:b/>
          <w:sz w:val="30"/>
          <w:szCs w:val="30"/>
          <w:highlight w:val="none"/>
        </w:rPr>
        <w:t>函及</w:t>
      </w:r>
      <w:r>
        <w:rPr>
          <w:rFonts w:hint="eastAsia" w:ascii="宋体" w:hAnsi="宋体" w:cs="宋体"/>
          <w:b/>
          <w:sz w:val="30"/>
          <w:szCs w:val="30"/>
          <w:highlight w:val="none"/>
          <w:lang w:eastAsia="zh-CN"/>
        </w:rPr>
        <w:t>响应</w:t>
      </w:r>
      <w:r>
        <w:rPr>
          <w:rFonts w:hint="eastAsia" w:ascii="宋体" w:hAnsi="宋体" w:cs="宋体"/>
          <w:b/>
          <w:sz w:val="30"/>
          <w:szCs w:val="30"/>
          <w:highlight w:val="none"/>
        </w:rPr>
        <w:t>函附录</w:t>
      </w:r>
      <w:bookmarkEnd w:id="306"/>
      <w:bookmarkEnd w:id="307"/>
      <w:bookmarkEnd w:id="308"/>
      <w:bookmarkEnd w:id="309"/>
      <w:bookmarkEnd w:id="310"/>
      <w:bookmarkEnd w:id="311"/>
      <w:bookmarkEnd w:id="312"/>
      <w:bookmarkEnd w:id="313"/>
      <w:bookmarkEnd w:id="314"/>
      <w:bookmarkEnd w:id="315"/>
    </w:p>
    <w:p w14:paraId="61282D9E">
      <w:pPr>
        <w:pageBreakBefore w:val="0"/>
        <w:kinsoku/>
        <w:overflowPunct/>
        <w:bidi w:val="0"/>
        <w:spacing w:line="500" w:lineRule="exact"/>
        <w:jc w:val="center"/>
        <w:rPr>
          <w:rFonts w:ascii="宋体" w:hAnsi="宋体" w:cs="宋体"/>
          <w:b/>
          <w:sz w:val="28"/>
          <w:szCs w:val="28"/>
          <w:highlight w:val="none"/>
        </w:rPr>
      </w:pPr>
      <w:bookmarkStart w:id="316" w:name="_Toc5021_WPSOffice_Level2"/>
      <w:bookmarkEnd w:id="316"/>
      <w:r>
        <w:rPr>
          <w:rFonts w:hint="eastAsia" w:ascii="宋体" w:hAnsi="宋体" w:cs="宋体"/>
          <w:b/>
          <w:sz w:val="28"/>
          <w:szCs w:val="28"/>
          <w:highlight w:val="none"/>
        </w:rPr>
        <w:t>（一）</w:t>
      </w:r>
      <w:r>
        <w:rPr>
          <w:rFonts w:hint="eastAsia" w:ascii="宋体" w:hAnsi="宋体" w:cs="宋体"/>
          <w:b/>
          <w:sz w:val="28"/>
          <w:szCs w:val="28"/>
          <w:highlight w:val="none"/>
          <w:lang w:eastAsia="zh-CN"/>
        </w:rPr>
        <w:t>响应</w:t>
      </w:r>
      <w:r>
        <w:rPr>
          <w:rFonts w:hint="eastAsia" w:ascii="宋体" w:hAnsi="宋体" w:cs="宋体"/>
          <w:b/>
          <w:sz w:val="28"/>
          <w:szCs w:val="28"/>
          <w:highlight w:val="none"/>
        </w:rPr>
        <w:t xml:space="preserve">函  </w:t>
      </w:r>
    </w:p>
    <w:p w14:paraId="04769EC0">
      <w:pPr>
        <w:pageBreakBefore w:val="0"/>
        <w:kinsoku/>
        <w:overflowPunct/>
        <w:bidi w:val="0"/>
        <w:spacing w:line="500" w:lineRule="exact"/>
        <w:rPr>
          <w:rFonts w:ascii="宋体" w:hAnsi="宋体" w:cs="宋体"/>
          <w:b/>
          <w:sz w:val="24"/>
          <w:highlight w:val="none"/>
          <w:u w:val="single"/>
        </w:rPr>
      </w:pPr>
      <w:bookmarkStart w:id="317" w:name="_Toc30282_WPSOffice_Level2"/>
      <w:bookmarkEnd w:id="317"/>
      <w:r>
        <w:rPr>
          <w:rFonts w:hint="eastAsia" w:ascii="宋体" w:hAnsi="宋体" w:cs="宋体"/>
          <w:sz w:val="24"/>
          <w:highlight w:val="none"/>
          <w:u w:val="single"/>
          <w:lang w:eastAsia="zh-CN"/>
        </w:rPr>
        <w:t>（采购人名称）</w:t>
      </w:r>
      <w:r>
        <w:rPr>
          <w:rFonts w:hint="eastAsia" w:ascii="宋体" w:hAnsi="宋体" w:cs="宋体"/>
          <w:sz w:val="24"/>
          <w:highlight w:val="none"/>
          <w:u w:val="single"/>
        </w:rPr>
        <w:t>：</w:t>
      </w:r>
    </w:p>
    <w:p w14:paraId="51FF32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08" w:leftChars="0" w:firstLine="480" w:firstLineChars="200"/>
        <w:textAlignment w:val="auto"/>
        <w:rPr>
          <w:rFonts w:ascii="宋体" w:hAnsi="Courier New"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我方已仔细研究了</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lang w:eastAsia="zh-CN"/>
        </w:rPr>
        <w:t>（项目名称）</w:t>
      </w:r>
      <w:r>
        <w:rPr>
          <w:rFonts w:hint="eastAsia" w:ascii="宋体" w:hAnsi="宋体" w:cs="宋体"/>
          <w:sz w:val="24"/>
          <w:highlight w:val="none"/>
        </w:rPr>
        <w:t>竞争性磋商文件的全部内容，对本项目愿意以人民币</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（大写）</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（小写）元的</w:t>
      </w:r>
      <w:r>
        <w:rPr>
          <w:rFonts w:hint="eastAsia" w:ascii="宋体" w:hAnsi="宋体" w:cs="宋体"/>
          <w:sz w:val="24"/>
          <w:highlight w:val="none"/>
          <w:lang w:eastAsia="zh-CN"/>
        </w:rPr>
        <w:t>磋商</w:t>
      </w:r>
      <w:r>
        <w:rPr>
          <w:rFonts w:hint="eastAsia" w:ascii="宋体" w:hAnsi="宋体" w:cs="宋体"/>
          <w:sz w:val="24"/>
          <w:highlight w:val="none"/>
        </w:rPr>
        <w:t>报价，合同履行期限</w:t>
      </w:r>
      <w:r>
        <w:rPr>
          <w:rFonts w:hint="eastAsia" w:ascii="宋体" w:hAnsi="宋体" w:cs="宋体"/>
          <w:sz w:val="24"/>
          <w:highlight w:val="none"/>
          <w:lang w:val="en-US" w:eastAsia="zh-CN"/>
        </w:rPr>
        <w:t>/交货期</w:t>
      </w:r>
      <w:r>
        <w:rPr>
          <w:rFonts w:hint="eastAsia" w:ascii="宋体" w:hAnsi="宋体" w:cs="宋体"/>
          <w:sz w:val="24"/>
          <w:highlight w:val="none"/>
        </w:rPr>
        <w:t>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，质量标准</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质保期</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并按合同约定完成货物供应和履行相关义务。</w:t>
      </w:r>
    </w:p>
    <w:p w14:paraId="033D6555">
      <w:pPr>
        <w:pageBreakBefore w:val="0"/>
        <w:kinsoku/>
        <w:overflowPunct/>
        <w:bidi w:val="0"/>
        <w:spacing w:line="500" w:lineRule="exact"/>
        <w:ind w:left="403"/>
        <w:rPr>
          <w:rFonts w:ascii="宋体" w:hAnsi="Courier New" w:cs="宋体"/>
          <w:sz w:val="24"/>
          <w:highlight w:val="none"/>
        </w:rPr>
      </w:pPr>
      <w:r>
        <w:rPr>
          <w:rFonts w:hint="eastAsia" w:ascii="宋体" w:hAnsi="宋体" w:cs="宋体"/>
          <w:sz w:val="24"/>
          <w:highlight w:val="none"/>
        </w:rPr>
        <w:t>2.我方响应竞争性磋商文件的全部要求。</w:t>
      </w:r>
    </w:p>
    <w:p w14:paraId="167F35FD">
      <w:pPr>
        <w:pageBreakBefore w:val="0"/>
        <w:kinsoku/>
        <w:overflowPunct/>
        <w:bidi w:val="0"/>
        <w:spacing w:line="500" w:lineRule="exact"/>
        <w:ind w:left="403"/>
        <w:rPr>
          <w:rFonts w:ascii="宋体" w:hAnsi="Courier New" w:cs="宋体"/>
          <w:sz w:val="24"/>
          <w:highlight w:val="none"/>
        </w:rPr>
      </w:pPr>
      <w:r>
        <w:rPr>
          <w:rFonts w:hint="eastAsia" w:ascii="宋体" w:hAnsi="宋体" w:cs="宋体"/>
          <w:sz w:val="24"/>
          <w:highlight w:val="none"/>
        </w:rPr>
        <w:t>3.我方承诺在竞争性磋商文件规定的</w:t>
      </w:r>
      <w:r>
        <w:rPr>
          <w:rFonts w:hint="eastAsia" w:ascii="宋体" w:hAnsi="宋体" w:cs="宋体"/>
          <w:sz w:val="24"/>
          <w:highlight w:val="none"/>
          <w:lang w:eastAsia="zh-CN"/>
        </w:rPr>
        <w:t>磋商</w:t>
      </w:r>
      <w:r>
        <w:rPr>
          <w:rFonts w:hint="eastAsia" w:ascii="宋体" w:hAnsi="宋体" w:cs="宋体"/>
          <w:sz w:val="24"/>
          <w:highlight w:val="none"/>
        </w:rPr>
        <w:t>有效期内不撤销响应文件。</w:t>
      </w:r>
    </w:p>
    <w:p w14:paraId="70879538">
      <w:pPr>
        <w:pageBreakBefore w:val="0"/>
        <w:kinsoku/>
        <w:overflowPunct/>
        <w:bidi w:val="0"/>
        <w:spacing w:line="500" w:lineRule="exact"/>
        <w:ind w:left="403"/>
        <w:rPr>
          <w:rFonts w:ascii="宋体" w:hAnsi="Courier New" w:cs="宋体"/>
          <w:sz w:val="24"/>
          <w:highlight w:val="none"/>
        </w:rPr>
      </w:pPr>
      <w:r>
        <w:rPr>
          <w:rFonts w:hint="eastAsia" w:ascii="宋体" w:hAnsi="宋体" w:cs="宋体"/>
          <w:sz w:val="24"/>
          <w:highlight w:val="none"/>
        </w:rPr>
        <w:t>4.如我方成交，我方承诺：</w:t>
      </w:r>
    </w:p>
    <w:p w14:paraId="05C53F12">
      <w:pPr>
        <w:pageBreakBefore w:val="0"/>
        <w:kinsoku/>
        <w:overflowPunct/>
        <w:bidi w:val="0"/>
        <w:spacing w:line="500" w:lineRule="exact"/>
        <w:ind w:left="420" w:leftChars="200"/>
        <w:rPr>
          <w:rFonts w:ascii="宋体" w:hAnsi="Courier New" w:cs="宋体"/>
          <w:sz w:val="24"/>
          <w:highlight w:val="none"/>
        </w:rPr>
      </w:pPr>
      <w:r>
        <w:rPr>
          <w:rFonts w:hint="eastAsia" w:ascii="宋体" w:hAnsi="宋体" w:cs="宋体"/>
          <w:sz w:val="24"/>
          <w:highlight w:val="none"/>
        </w:rPr>
        <w:t>（</w:t>
      </w:r>
      <w:r>
        <w:rPr>
          <w:rFonts w:hint="eastAsia" w:ascii="宋体" w:hAnsi="Courier New" w:cs="宋体"/>
          <w:sz w:val="24"/>
          <w:highlight w:val="none"/>
        </w:rPr>
        <w:t>1）在收到成交通知书后，在成交通知书规定的期限内与你方签订合同；</w:t>
      </w:r>
    </w:p>
    <w:p w14:paraId="1552A845">
      <w:pPr>
        <w:pageBreakBefore w:val="0"/>
        <w:kinsoku/>
        <w:overflowPunct/>
        <w:bidi w:val="0"/>
        <w:spacing w:line="500" w:lineRule="exact"/>
        <w:ind w:left="420" w:leftChars="200"/>
        <w:rPr>
          <w:rFonts w:ascii="宋体" w:hAnsi="Courier New" w:cs="宋体"/>
          <w:sz w:val="24"/>
          <w:highlight w:val="none"/>
        </w:rPr>
      </w:pPr>
      <w:r>
        <w:rPr>
          <w:rFonts w:hint="eastAsia" w:ascii="宋体" w:hAnsi="宋体" w:cs="宋体"/>
          <w:sz w:val="24"/>
          <w:highlight w:val="none"/>
        </w:rPr>
        <w:t>（</w:t>
      </w:r>
      <w:r>
        <w:rPr>
          <w:rFonts w:hint="eastAsia" w:ascii="宋体" w:hAnsi="Courier New" w:cs="宋体"/>
          <w:sz w:val="24"/>
          <w:highlight w:val="none"/>
        </w:rPr>
        <w:t>2）在签订合同时不向你方提出附加条件；</w:t>
      </w:r>
    </w:p>
    <w:p w14:paraId="1FFCD709">
      <w:pPr>
        <w:pageBreakBefore w:val="0"/>
        <w:kinsoku/>
        <w:overflowPunct/>
        <w:bidi w:val="0"/>
        <w:spacing w:line="500" w:lineRule="exact"/>
        <w:ind w:left="420" w:leftChars="200"/>
        <w:rPr>
          <w:rFonts w:ascii="宋体" w:hAnsi="Courier New" w:cs="宋体"/>
          <w:sz w:val="24"/>
          <w:highlight w:val="none"/>
        </w:rPr>
      </w:pPr>
      <w:r>
        <w:rPr>
          <w:rFonts w:hint="eastAsia" w:ascii="宋体" w:hAnsi="宋体" w:cs="宋体"/>
          <w:sz w:val="24"/>
          <w:highlight w:val="none"/>
        </w:rPr>
        <w:t>（</w:t>
      </w:r>
      <w:r>
        <w:rPr>
          <w:rFonts w:hint="eastAsia" w:ascii="宋体" w:hAnsi="Courier New" w:cs="宋体"/>
          <w:sz w:val="24"/>
          <w:highlight w:val="none"/>
          <w:lang w:val="en-US" w:eastAsia="zh-CN"/>
        </w:rPr>
        <w:t>3</w:t>
      </w:r>
      <w:r>
        <w:rPr>
          <w:rFonts w:hint="eastAsia" w:ascii="宋体" w:hAnsi="Courier New" w:cs="宋体"/>
          <w:sz w:val="24"/>
          <w:highlight w:val="none"/>
        </w:rPr>
        <w:t>）在合同约定的期限内完成合同规定的全部义务。</w:t>
      </w:r>
    </w:p>
    <w:p w14:paraId="61B6D95E">
      <w:pPr>
        <w:pageBreakBefore w:val="0"/>
        <w:kinsoku/>
        <w:overflowPunct/>
        <w:bidi w:val="0"/>
        <w:spacing w:line="500" w:lineRule="exact"/>
        <w:ind w:left="403"/>
        <w:rPr>
          <w:rFonts w:ascii="宋体" w:hAnsi="Courier New" w:cs="宋体"/>
          <w:sz w:val="24"/>
          <w:highlight w:val="none"/>
        </w:rPr>
      </w:pPr>
      <w:r>
        <w:rPr>
          <w:rFonts w:hint="eastAsia" w:ascii="宋体" w:hAnsi="宋体" w:cs="宋体"/>
          <w:sz w:val="24"/>
          <w:highlight w:val="none"/>
        </w:rPr>
        <w:t>5.我方在此声明，所递交的响应文件及有关资料内容完整、真实和准确，且不存在第二章</w:t>
      </w:r>
      <w:r>
        <w:rPr>
          <w:rFonts w:hint="eastAsia" w:ascii="宋体" w:hAnsi="Courier New" w:cs="宋体"/>
          <w:sz w:val="24"/>
          <w:highlight w:val="none"/>
        </w:rPr>
        <w:t>“</w:t>
      </w:r>
      <w:r>
        <w:rPr>
          <w:rFonts w:hint="eastAsia" w:ascii="宋体" w:hAnsi="宋体" w:cs="宋体"/>
          <w:sz w:val="24"/>
          <w:highlight w:val="none"/>
        </w:rPr>
        <w:t>供应商须知</w:t>
      </w:r>
      <w:r>
        <w:rPr>
          <w:rFonts w:hint="eastAsia" w:ascii="Courier New" w:hAnsi="Courier New" w:cs="Courier New"/>
          <w:sz w:val="24"/>
          <w:highlight w:val="none"/>
        </w:rPr>
        <w:t>”</w:t>
      </w:r>
      <w:r>
        <w:rPr>
          <w:rFonts w:hint="eastAsia" w:ascii="宋体" w:hAnsi="宋体" w:cs="宋体"/>
          <w:sz w:val="24"/>
          <w:highlight w:val="none"/>
        </w:rPr>
        <w:t>规定的任何一种情形。</w:t>
      </w:r>
    </w:p>
    <w:p w14:paraId="0E667BF1">
      <w:pPr>
        <w:pageBreakBefore w:val="0"/>
        <w:kinsoku/>
        <w:overflowPunct/>
        <w:bidi w:val="0"/>
        <w:spacing w:line="500" w:lineRule="exact"/>
        <w:ind w:left="403"/>
        <w:rPr>
          <w:rFonts w:ascii="宋体" w:hAnsi="Courier New" w:cs="宋体"/>
          <w:sz w:val="24"/>
          <w:highlight w:val="none"/>
        </w:rPr>
      </w:pPr>
      <w:r>
        <w:rPr>
          <w:rFonts w:hint="eastAsia" w:ascii="宋体" w:hAnsi="Courier New" w:cs="宋体"/>
          <w:sz w:val="24"/>
          <w:highlight w:val="none"/>
        </w:rPr>
        <w:t>6.</w:t>
      </w:r>
      <w:r>
        <w:rPr>
          <w:rFonts w:hint="eastAsia" w:ascii="宋体" w:hAnsi="宋体" w:cs="宋体"/>
          <w:sz w:val="24"/>
          <w:highlight w:val="none"/>
        </w:rPr>
        <w:t>（其他补充说明）</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p w14:paraId="687D56DA">
      <w:pPr>
        <w:pageBreakBefore w:val="0"/>
        <w:kinsoku/>
        <w:overflowPunct/>
        <w:bidi w:val="0"/>
        <w:spacing w:line="500" w:lineRule="exact"/>
        <w:ind w:left="105"/>
        <w:rPr>
          <w:rFonts w:ascii="宋体" w:hAnsi="Courier New" w:cs="宋体"/>
          <w:sz w:val="24"/>
          <w:highlight w:val="none"/>
        </w:rPr>
      </w:pPr>
    </w:p>
    <w:p w14:paraId="4EE7EB6B">
      <w:pPr>
        <w:pStyle w:val="11"/>
        <w:pageBreakBefore w:val="0"/>
        <w:kinsoku/>
        <w:overflowPunct/>
        <w:bidi w:val="0"/>
        <w:spacing w:line="500" w:lineRule="exact"/>
        <w:rPr>
          <w:rFonts w:hAnsi="Courier New"/>
          <w:color w:val="auto"/>
          <w:highlight w:val="none"/>
        </w:rPr>
      </w:pPr>
    </w:p>
    <w:p w14:paraId="66FEECD0">
      <w:pPr>
        <w:pStyle w:val="25"/>
        <w:pageBreakBefore w:val="0"/>
        <w:kinsoku/>
        <w:overflowPunct/>
        <w:bidi w:val="0"/>
        <w:spacing w:line="500" w:lineRule="exact"/>
        <w:ind w:left="0" w:leftChars="0" w:firstLine="0" w:firstLineChars="0"/>
        <w:rPr>
          <w:sz w:val="24"/>
          <w:highlight w:val="none"/>
        </w:rPr>
      </w:pPr>
    </w:p>
    <w:p w14:paraId="223117F2">
      <w:pPr>
        <w:pageBreakBefore w:val="0"/>
        <w:kinsoku/>
        <w:overflowPunct/>
        <w:bidi w:val="0"/>
        <w:spacing w:line="500" w:lineRule="exact"/>
        <w:rPr>
          <w:highlight w:val="none"/>
        </w:rPr>
      </w:pPr>
    </w:p>
    <w:p w14:paraId="51FC962A">
      <w:pPr>
        <w:pageBreakBefore w:val="0"/>
        <w:kinsoku/>
        <w:overflowPunct/>
        <w:bidi w:val="0"/>
        <w:spacing w:line="500" w:lineRule="exact"/>
        <w:ind w:firstLine="4080" w:firstLineChars="1700"/>
        <w:jc w:val="left"/>
        <w:rPr>
          <w:rFonts w:ascii="宋体" w:hAnsi="Courier New" w:cs="宋体"/>
          <w:sz w:val="24"/>
          <w:highlight w:val="none"/>
        </w:rPr>
      </w:pPr>
      <w:r>
        <w:rPr>
          <w:rFonts w:hint="eastAsia" w:ascii="宋体" w:hAnsi="宋体" w:cs="宋体"/>
          <w:sz w:val="24"/>
          <w:highlight w:val="none"/>
        </w:rPr>
        <w:t>供应商名称：（盖单位公章）</w:t>
      </w:r>
    </w:p>
    <w:p w14:paraId="20A7AFF5">
      <w:pPr>
        <w:pageBreakBefore w:val="0"/>
        <w:kinsoku/>
        <w:overflowPunct/>
        <w:bidi w:val="0"/>
        <w:spacing w:line="500" w:lineRule="exact"/>
        <w:ind w:firstLine="4080" w:firstLineChars="1700"/>
        <w:jc w:val="left"/>
        <w:rPr>
          <w:rFonts w:ascii="宋体" w:hAnsi="Courier New" w:cs="宋体"/>
          <w:sz w:val="24"/>
          <w:highlight w:val="none"/>
        </w:rPr>
      </w:pPr>
      <w:r>
        <w:rPr>
          <w:rFonts w:hint="eastAsia" w:ascii="宋体" w:hAnsi="宋体" w:cs="宋体"/>
          <w:sz w:val="24"/>
          <w:highlight w:val="none"/>
        </w:rPr>
        <w:t>法定代表人：（签章）</w:t>
      </w:r>
    </w:p>
    <w:p w14:paraId="2DB982C6">
      <w:pPr>
        <w:pageBreakBefore w:val="0"/>
        <w:kinsoku/>
        <w:overflowPunct/>
        <w:bidi w:val="0"/>
        <w:spacing w:line="500" w:lineRule="exact"/>
        <w:ind w:firstLine="4080" w:firstLineChars="1700"/>
        <w:jc w:val="left"/>
        <w:rPr>
          <w:rFonts w:ascii="宋体" w:hAnsi="Courier New" w:cs="宋体"/>
          <w:sz w:val="24"/>
          <w:highlight w:val="none"/>
        </w:rPr>
      </w:pPr>
      <w:r>
        <w:rPr>
          <w:rFonts w:hint="eastAsia" w:ascii="宋体" w:hAnsi="宋体" w:cs="宋体"/>
          <w:sz w:val="24"/>
          <w:highlight w:val="none"/>
        </w:rPr>
        <w:t>地      址：</w:t>
      </w:r>
      <w:bookmarkStart w:id="448" w:name="_GoBack"/>
      <w:bookmarkEnd w:id="448"/>
    </w:p>
    <w:p w14:paraId="0BB456E3">
      <w:pPr>
        <w:pageBreakBefore w:val="0"/>
        <w:kinsoku/>
        <w:overflowPunct/>
        <w:bidi w:val="0"/>
        <w:spacing w:line="500" w:lineRule="exact"/>
        <w:ind w:firstLine="4080" w:firstLineChars="1700"/>
        <w:jc w:val="left"/>
        <w:rPr>
          <w:rFonts w:ascii="宋体" w:hAnsi="Courier New" w:cs="宋体"/>
          <w:sz w:val="24"/>
          <w:highlight w:val="none"/>
        </w:rPr>
      </w:pPr>
      <w:r>
        <w:rPr>
          <w:rFonts w:hint="eastAsia" w:ascii="宋体" w:hAnsi="宋体" w:cs="宋体"/>
          <w:sz w:val="24"/>
          <w:highlight w:val="none"/>
        </w:rPr>
        <w:t>电      话：</w:t>
      </w:r>
    </w:p>
    <w:p w14:paraId="4DCABC59">
      <w:pPr>
        <w:pageBreakBefore w:val="0"/>
        <w:kinsoku/>
        <w:overflowPunct/>
        <w:bidi w:val="0"/>
        <w:spacing w:line="500" w:lineRule="exact"/>
        <w:ind w:firstLine="4080" w:firstLineChars="1700"/>
        <w:jc w:val="left"/>
        <w:rPr>
          <w:rFonts w:ascii="宋体" w:hAnsi="Courier New" w:cs="宋体"/>
          <w:sz w:val="24"/>
          <w:highlight w:val="none"/>
        </w:rPr>
      </w:pPr>
      <w:r>
        <w:rPr>
          <w:rFonts w:hint="eastAsia" w:ascii="宋体" w:hAnsi="宋体" w:cs="宋体"/>
          <w:sz w:val="24"/>
          <w:highlight w:val="none"/>
        </w:rPr>
        <w:t>邮      箱：</w:t>
      </w:r>
    </w:p>
    <w:p w14:paraId="53552E20">
      <w:pPr>
        <w:pageBreakBefore w:val="0"/>
        <w:kinsoku/>
        <w:overflowPunct/>
        <w:bidi w:val="0"/>
        <w:spacing w:line="500" w:lineRule="exact"/>
        <w:ind w:firstLine="4080" w:firstLineChars="1700"/>
        <w:jc w:val="left"/>
        <w:rPr>
          <w:rFonts w:ascii="宋体" w:hAnsi="Courier New" w:cs="宋体"/>
          <w:sz w:val="24"/>
          <w:highlight w:val="none"/>
        </w:rPr>
      </w:pPr>
      <w:r>
        <w:rPr>
          <w:rFonts w:hint="eastAsia" w:ascii="宋体" w:hAnsi="Courier New" w:cs="宋体"/>
          <w:sz w:val="24"/>
          <w:highlight w:val="none"/>
        </w:rPr>
        <w:t xml:space="preserve">日      期：  </w:t>
      </w:r>
      <w:r>
        <w:rPr>
          <w:rFonts w:hint="eastAsia" w:ascii="宋体" w:hAnsi="宋体" w:cs="宋体"/>
          <w:sz w:val="24"/>
          <w:highlight w:val="none"/>
        </w:rPr>
        <w:t>年月日</w:t>
      </w:r>
    </w:p>
    <w:p w14:paraId="2E79D862">
      <w:pPr>
        <w:pStyle w:val="47"/>
        <w:pageBreakBefore w:val="0"/>
        <w:kinsoku/>
        <w:overflowPunct/>
        <w:bidi w:val="0"/>
        <w:spacing w:line="500" w:lineRule="exact"/>
        <w:jc w:val="center"/>
        <w:rPr>
          <w:rFonts w:ascii="宋体" w:hAnsi="宋体" w:cs="宋体"/>
          <w:b/>
          <w:sz w:val="28"/>
          <w:szCs w:val="28"/>
          <w:highlight w:val="none"/>
        </w:rPr>
      </w:pPr>
      <w:r>
        <w:rPr>
          <w:rFonts w:hint="eastAsia" w:ascii="宋体" w:hAnsi="Courier New"/>
          <w:sz w:val="24"/>
          <w:szCs w:val="24"/>
          <w:highlight w:val="none"/>
        </w:rPr>
        <w:br w:type="page"/>
      </w:r>
      <w:bookmarkStart w:id="318" w:name="_Toc12360_WPSOffice_Level2"/>
      <w:bookmarkEnd w:id="318"/>
      <w:r>
        <w:rPr>
          <w:rFonts w:hint="eastAsia" w:ascii="宋体" w:hAnsi="宋体" w:cs="宋体"/>
          <w:b/>
          <w:sz w:val="28"/>
          <w:szCs w:val="28"/>
          <w:highlight w:val="none"/>
        </w:rPr>
        <w:t>（二）</w:t>
      </w:r>
      <w:r>
        <w:rPr>
          <w:rFonts w:hint="eastAsia" w:ascii="宋体" w:hAnsi="宋体" w:cs="宋体"/>
          <w:b/>
          <w:sz w:val="28"/>
          <w:szCs w:val="28"/>
          <w:highlight w:val="none"/>
          <w:lang w:eastAsia="zh-CN"/>
        </w:rPr>
        <w:t>响应</w:t>
      </w:r>
      <w:r>
        <w:rPr>
          <w:rFonts w:hint="eastAsia" w:ascii="宋体" w:hAnsi="宋体" w:cs="宋体"/>
          <w:b/>
          <w:sz w:val="28"/>
          <w:szCs w:val="28"/>
          <w:highlight w:val="none"/>
        </w:rPr>
        <w:t>函附录</w:t>
      </w:r>
    </w:p>
    <w:p w14:paraId="5B079AEE">
      <w:pPr>
        <w:pStyle w:val="11"/>
        <w:pageBreakBefore w:val="0"/>
        <w:kinsoku/>
        <w:overflowPunct/>
        <w:bidi w:val="0"/>
        <w:spacing w:line="500" w:lineRule="exact"/>
        <w:rPr>
          <w:rFonts w:hAnsi="宋体"/>
          <w:color w:val="auto"/>
          <w:highlight w:val="none"/>
        </w:rPr>
      </w:pPr>
    </w:p>
    <w:tbl>
      <w:tblPr>
        <w:tblStyle w:val="26"/>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6916"/>
      </w:tblGrid>
      <w:tr w14:paraId="28E7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8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C21BFD">
            <w:pPr>
              <w:pageBreakBefore w:val="0"/>
              <w:widowControl/>
              <w:kinsoku/>
              <w:overflowPunct/>
              <w:bidi w:val="0"/>
              <w:spacing w:line="500" w:lineRule="exact"/>
              <w:jc w:val="center"/>
              <w:textAlignment w:val="center"/>
              <w:rPr>
                <w:rFonts w:ascii="宋体" w:hAnsi="宋体" w:cs="宋体"/>
                <w:sz w:val="24"/>
                <w:highlight w:val="none"/>
              </w:rPr>
            </w:pPr>
            <w:r>
              <w:rPr>
                <w:rFonts w:hint="eastAsia" w:ascii="宋体" w:hAnsi="宋体" w:cs="宋体"/>
                <w:kern w:val="0"/>
                <w:sz w:val="24"/>
                <w:highlight w:val="none"/>
              </w:rPr>
              <w:t>项目名称</w:t>
            </w:r>
          </w:p>
        </w:tc>
        <w:tc>
          <w:tcPr>
            <w:tcW w:w="6916"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42C9917">
            <w:pPr>
              <w:pageBreakBefore w:val="0"/>
              <w:kinsoku/>
              <w:overflowPunct/>
              <w:bidi w:val="0"/>
              <w:spacing w:line="500" w:lineRule="exact"/>
              <w:jc w:val="center"/>
              <w:rPr>
                <w:rFonts w:ascii="宋体" w:hAnsi="宋体" w:cs="宋体"/>
                <w:sz w:val="24"/>
                <w:highlight w:val="none"/>
              </w:rPr>
            </w:pPr>
          </w:p>
        </w:tc>
      </w:tr>
      <w:tr w14:paraId="34D3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15B899">
            <w:pPr>
              <w:pageBreakBefore w:val="0"/>
              <w:widowControl/>
              <w:kinsoku/>
              <w:overflowPunct/>
              <w:bidi w:val="0"/>
              <w:spacing w:line="500" w:lineRule="exact"/>
              <w:jc w:val="center"/>
              <w:textAlignment w:val="center"/>
              <w:rPr>
                <w:rFonts w:ascii="宋体" w:hAnsi="宋体" w:cs="宋体"/>
                <w:sz w:val="24"/>
                <w:highlight w:val="none"/>
              </w:rPr>
            </w:pPr>
            <w:r>
              <w:rPr>
                <w:rFonts w:hint="eastAsia" w:ascii="宋体" w:hAnsi="宋体" w:cs="宋体"/>
                <w:kern w:val="0"/>
                <w:sz w:val="24"/>
                <w:highlight w:val="none"/>
              </w:rPr>
              <w:t>供应商名称</w:t>
            </w:r>
          </w:p>
        </w:tc>
        <w:tc>
          <w:tcPr>
            <w:tcW w:w="6916"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2C4B20D9">
            <w:pPr>
              <w:pageBreakBefore w:val="0"/>
              <w:kinsoku/>
              <w:overflowPunct/>
              <w:bidi w:val="0"/>
              <w:spacing w:line="500" w:lineRule="exact"/>
              <w:jc w:val="center"/>
              <w:rPr>
                <w:rFonts w:ascii="宋体" w:hAnsi="宋体" w:cs="宋体"/>
                <w:sz w:val="24"/>
                <w:highlight w:val="none"/>
              </w:rPr>
            </w:pPr>
          </w:p>
        </w:tc>
      </w:tr>
      <w:tr w14:paraId="6D60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8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FB6B1D">
            <w:pPr>
              <w:pageBreakBefore w:val="0"/>
              <w:widowControl/>
              <w:kinsoku/>
              <w:overflowPunct/>
              <w:bidi w:val="0"/>
              <w:spacing w:line="500" w:lineRule="exact"/>
              <w:jc w:val="center"/>
              <w:textAlignment w:val="center"/>
              <w:rPr>
                <w:rFonts w:ascii="宋体" w:hAnsi="宋体" w:cs="宋体"/>
                <w:sz w:val="24"/>
                <w:highlight w:val="none"/>
              </w:rPr>
            </w:pPr>
            <w:r>
              <w:rPr>
                <w:rFonts w:hint="eastAsia" w:ascii="宋体" w:hAnsi="宋体" w:cs="宋体"/>
                <w:kern w:val="0"/>
                <w:sz w:val="24"/>
                <w:highlight w:val="none"/>
              </w:rPr>
              <w:t>磋商内容</w:t>
            </w:r>
          </w:p>
        </w:tc>
        <w:tc>
          <w:tcPr>
            <w:tcW w:w="6916"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6F30ABE">
            <w:pPr>
              <w:pageBreakBefore w:val="0"/>
              <w:kinsoku/>
              <w:overflowPunct/>
              <w:bidi w:val="0"/>
              <w:spacing w:line="500" w:lineRule="exact"/>
              <w:jc w:val="center"/>
              <w:rPr>
                <w:rFonts w:ascii="宋体" w:hAnsi="宋体" w:cs="宋体"/>
                <w:sz w:val="24"/>
                <w:highlight w:val="none"/>
              </w:rPr>
            </w:pPr>
          </w:p>
        </w:tc>
      </w:tr>
      <w:tr w14:paraId="6B2A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59" w:type="dxa"/>
            <w:vMerge w:val="restart"/>
            <w:tcBorders>
              <w:top w:val="nil"/>
              <w:left w:val="single" w:color="auto" w:sz="4" w:space="0"/>
              <w:bottom w:val="single" w:color="auto" w:sz="4" w:space="0"/>
              <w:right w:val="single" w:color="auto" w:sz="4" w:space="0"/>
            </w:tcBorders>
            <w:tcMar>
              <w:top w:w="15" w:type="dxa"/>
              <w:left w:w="15" w:type="dxa"/>
              <w:bottom w:w="15" w:type="dxa"/>
              <w:right w:w="15" w:type="dxa"/>
            </w:tcMar>
            <w:vAlign w:val="center"/>
          </w:tcPr>
          <w:p w14:paraId="316A27A5">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磋商报价</w:t>
            </w:r>
          </w:p>
        </w:tc>
        <w:tc>
          <w:tcPr>
            <w:tcW w:w="6916" w:type="dxa"/>
            <w:vMerge w:val="restart"/>
            <w:tcBorders>
              <w:top w:val="nil"/>
              <w:left w:val="nil"/>
              <w:bottom w:val="single" w:color="auto" w:sz="4" w:space="0"/>
              <w:right w:val="single" w:color="auto" w:sz="4" w:space="0"/>
            </w:tcBorders>
            <w:tcMar>
              <w:top w:w="15" w:type="dxa"/>
              <w:left w:w="15" w:type="dxa"/>
              <w:bottom w:w="15" w:type="dxa"/>
              <w:right w:w="15" w:type="dxa"/>
            </w:tcMar>
            <w:vAlign w:val="center"/>
          </w:tcPr>
          <w:p w14:paraId="3141AA4C">
            <w:pPr>
              <w:pageBreakBefore w:val="0"/>
              <w:kinsoku/>
              <w:overflowPunct/>
              <w:bidi w:val="0"/>
              <w:spacing w:line="500" w:lineRule="exact"/>
              <w:rPr>
                <w:rFonts w:ascii="宋体" w:hAnsi="宋体" w:cs="宋体"/>
                <w:sz w:val="24"/>
                <w:highlight w:val="none"/>
                <w:u w:val="single"/>
              </w:rPr>
            </w:pPr>
            <w:r>
              <w:rPr>
                <w:rFonts w:hint="eastAsia" w:ascii="宋体" w:hAnsi="宋体" w:cs="宋体"/>
                <w:sz w:val="24"/>
                <w:highlight w:val="none"/>
              </w:rPr>
              <w:t>大写：</w:t>
            </w:r>
          </w:p>
          <w:p w14:paraId="215D1E8F">
            <w:pPr>
              <w:pStyle w:val="23"/>
              <w:pageBreakBefore w:val="0"/>
              <w:widowControl w:val="0"/>
              <w:kinsoku/>
              <w:overflowPunct/>
              <w:autoSpaceDE w:val="0"/>
              <w:autoSpaceDN w:val="0"/>
              <w:bidi w:val="0"/>
              <w:spacing w:before="0" w:beforeAutospacing="0" w:after="0" w:afterAutospacing="0" w:line="500" w:lineRule="exact"/>
              <w:ind w:firstLine="0" w:firstLineChars="0"/>
              <w:rPr>
                <w:rFonts w:cs="宋体"/>
                <w:highlight w:val="none"/>
              </w:rPr>
            </w:pPr>
          </w:p>
          <w:p w14:paraId="0881622B">
            <w:pPr>
              <w:pStyle w:val="23"/>
              <w:pageBreakBefore w:val="0"/>
              <w:widowControl w:val="0"/>
              <w:kinsoku/>
              <w:overflowPunct/>
              <w:autoSpaceDE w:val="0"/>
              <w:autoSpaceDN w:val="0"/>
              <w:bidi w:val="0"/>
              <w:spacing w:before="0" w:beforeAutospacing="0" w:after="0" w:afterAutospacing="0" w:line="500" w:lineRule="exact"/>
              <w:ind w:firstLine="0" w:firstLineChars="0"/>
              <w:rPr>
                <w:rFonts w:cs="宋体"/>
                <w:highlight w:val="none"/>
                <w:u w:val="single"/>
              </w:rPr>
            </w:pPr>
            <w:r>
              <w:rPr>
                <w:rFonts w:hint="eastAsia" w:cs="宋体"/>
                <w:highlight w:val="none"/>
              </w:rPr>
              <w:t>小写：</w:t>
            </w:r>
            <w:r>
              <w:rPr>
                <w:rFonts w:hint="eastAsia" w:cs="宋体"/>
                <w:highlight w:val="none"/>
                <w:lang w:val="en-US" w:eastAsia="zh-CN"/>
              </w:rPr>
              <w:t xml:space="preserve">           </w:t>
            </w:r>
            <w:r>
              <w:rPr>
                <w:rFonts w:hint="eastAsia" w:cs="宋体"/>
                <w:highlight w:val="none"/>
              </w:rPr>
              <w:t>元</w:t>
            </w:r>
          </w:p>
        </w:tc>
      </w:tr>
      <w:tr w14:paraId="6DAA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59" w:type="dxa"/>
            <w:vMerge w:val="continue"/>
            <w:tcBorders>
              <w:top w:val="nil"/>
              <w:left w:val="single" w:color="auto" w:sz="4" w:space="0"/>
              <w:bottom w:val="single" w:color="auto" w:sz="4" w:space="0"/>
              <w:right w:val="single" w:color="auto" w:sz="4" w:space="0"/>
            </w:tcBorders>
            <w:tcMar>
              <w:top w:w="15" w:type="dxa"/>
              <w:left w:w="15" w:type="dxa"/>
              <w:bottom w:w="15" w:type="dxa"/>
              <w:right w:w="15" w:type="dxa"/>
            </w:tcMar>
            <w:vAlign w:val="center"/>
          </w:tcPr>
          <w:p w14:paraId="1E9F0943">
            <w:pPr>
              <w:pageBreakBefore w:val="0"/>
              <w:kinsoku/>
              <w:overflowPunct/>
              <w:bidi w:val="0"/>
              <w:spacing w:line="500" w:lineRule="exact"/>
              <w:rPr>
                <w:rFonts w:ascii="宋体" w:hAnsi="宋体" w:cs="宋体"/>
                <w:sz w:val="20"/>
                <w:szCs w:val="20"/>
                <w:highlight w:val="none"/>
              </w:rPr>
            </w:pPr>
          </w:p>
        </w:tc>
        <w:tc>
          <w:tcPr>
            <w:tcW w:w="6916" w:type="dxa"/>
            <w:vMerge w:val="continue"/>
            <w:tcBorders>
              <w:top w:val="nil"/>
              <w:left w:val="nil"/>
              <w:bottom w:val="single" w:color="auto" w:sz="4" w:space="0"/>
              <w:right w:val="single" w:color="auto" w:sz="4" w:space="0"/>
            </w:tcBorders>
            <w:tcMar>
              <w:top w:w="15" w:type="dxa"/>
              <w:left w:w="15" w:type="dxa"/>
              <w:bottom w:w="15" w:type="dxa"/>
              <w:right w:w="15" w:type="dxa"/>
            </w:tcMar>
            <w:vAlign w:val="center"/>
          </w:tcPr>
          <w:p w14:paraId="62B115E3">
            <w:pPr>
              <w:pageBreakBefore w:val="0"/>
              <w:kinsoku/>
              <w:overflowPunct/>
              <w:bidi w:val="0"/>
              <w:spacing w:line="500" w:lineRule="exact"/>
              <w:rPr>
                <w:rFonts w:ascii="宋体" w:hAnsi="宋体" w:cs="宋体"/>
                <w:sz w:val="20"/>
                <w:szCs w:val="20"/>
                <w:highlight w:val="none"/>
              </w:rPr>
            </w:pPr>
          </w:p>
        </w:tc>
      </w:tr>
      <w:tr w14:paraId="4E36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859" w:type="dxa"/>
            <w:vMerge w:val="continue"/>
            <w:tcBorders>
              <w:top w:val="nil"/>
              <w:left w:val="single" w:color="auto" w:sz="4" w:space="0"/>
              <w:bottom w:val="single" w:color="auto" w:sz="4" w:space="0"/>
              <w:right w:val="single" w:color="auto" w:sz="4" w:space="0"/>
            </w:tcBorders>
            <w:tcMar>
              <w:top w:w="15" w:type="dxa"/>
              <w:left w:w="15" w:type="dxa"/>
              <w:bottom w:w="15" w:type="dxa"/>
              <w:right w:w="15" w:type="dxa"/>
            </w:tcMar>
            <w:vAlign w:val="center"/>
          </w:tcPr>
          <w:p w14:paraId="104C8FD2">
            <w:pPr>
              <w:pageBreakBefore w:val="0"/>
              <w:kinsoku/>
              <w:overflowPunct/>
              <w:bidi w:val="0"/>
              <w:spacing w:line="500" w:lineRule="exact"/>
              <w:rPr>
                <w:rFonts w:ascii="宋体" w:hAnsi="宋体" w:cs="宋体"/>
                <w:sz w:val="20"/>
                <w:szCs w:val="20"/>
                <w:highlight w:val="none"/>
              </w:rPr>
            </w:pPr>
          </w:p>
        </w:tc>
        <w:tc>
          <w:tcPr>
            <w:tcW w:w="6916" w:type="dxa"/>
            <w:vMerge w:val="continue"/>
            <w:tcBorders>
              <w:top w:val="nil"/>
              <w:left w:val="nil"/>
              <w:bottom w:val="single" w:color="auto" w:sz="4" w:space="0"/>
              <w:right w:val="single" w:color="auto" w:sz="4" w:space="0"/>
            </w:tcBorders>
            <w:tcMar>
              <w:top w:w="15" w:type="dxa"/>
              <w:left w:w="15" w:type="dxa"/>
              <w:bottom w:w="15" w:type="dxa"/>
              <w:right w:w="15" w:type="dxa"/>
            </w:tcMar>
            <w:vAlign w:val="center"/>
          </w:tcPr>
          <w:p w14:paraId="6DAFA699">
            <w:pPr>
              <w:pageBreakBefore w:val="0"/>
              <w:kinsoku/>
              <w:overflowPunct/>
              <w:bidi w:val="0"/>
              <w:spacing w:line="500" w:lineRule="exact"/>
              <w:rPr>
                <w:rFonts w:ascii="宋体" w:hAnsi="宋体" w:cs="宋体"/>
                <w:sz w:val="20"/>
                <w:szCs w:val="20"/>
                <w:highlight w:val="none"/>
              </w:rPr>
            </w:pPr>
          </w:p>
        </w:tc>
      </w:tr>
      <w:tr w14:paraId="479D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8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58819C">
            <w:pPr>
              <w:pageBreakBefore w:val="0"/>
              <w:widowControl/>
              <w:kinsoku/>
              <w:overflowPunct/>
              <w:bidi w:val="0"/>
              <w:spacing w:line="500" w:lineRule="exact"/>
              <w:jc w:val="center"/>
              <w:textAlignment w:val="center"/>
              <w:rPr>
                <w:rFonts w:hint="eastAsia" w:ascii="宋体" w:hAnsi="宋体" w:eastAsia="宋体" w:cs="宋体"/>
                <w:sz w:val="24"/>
                <w:highlight w:val="none"/>
                <w:lang w:val="en-US" w:eastAsia="zh-CN"/>
              </w:rPr>
            </w:pPr>
            <w:r>
              <w:rPr>
                <w:rFonts w:hint="eastAsia" w:ascii="宋体" w:hAnsi="宋体" w:cs="宋体"/>
                <w:sz w:val="24"/>
                <w:highlight w:val="none"/>
              </w:rPr>
              <w:t>合同履行期限</w:t>
            </w:r>
            <w:r>
              <w:rPr>
                <w:rFonts w:hint="eastAsia" w:ascii="宋体" w:hAnsi="宋体" w:cs="宋体"/>
                <w:sz w:val="24"/>
                <w:highlight w:val="none"/>
                <w:lang w:val="en-US" w:eastAsia="zh-CN"/>
              </w:rPr>
              <w:t>/交货期</w:t>
            </w:r>
          </w:p>
        </w:tc>
        <w:tc>
          <w:tcPr>
            <w:tcW w:w="6916"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45ADD72">
            <w:pPr>
              <w:pageBreakBefore w:val="0"/>
              <w:kinsoku/>
              <w:overflowPunct/>
              <w:bidi w:val="0"/>
              <w:spacing w:line="500" w:lineRule="exact"/>
              <w:jc w:val="center"/>
              <w:rPr>
                <w:rFonts w:ascii="宋体" w:hAnsi="宋体" w:cs="宋体"/>
                <w:sz w:val="24"/>
                <w:highlight w:val="none"/>
              </w:rPr>
            </w:pPr>
          </w:p>
        </w:tc>
      </w:tr>
      <w:tr w14:paraId="027E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95B4EF">
            <w:pPr>
              <w:pageBreakBefore w:val="0"/>
              <w:widowControl/>
              <w:kinsoku/>
              <w:overflowPunct/>
              <w:bidi w:val="0"/>
              <w:spacing w:line="500" w:lineRule="exact"/>
              <w:jc w:val="center"/>
              <w:textAlignment w:val="center"/>
              <w:rPr>
                <w:rFonts w:ascii="宋体" w:hAnsi="宋体" w:cs="宋体"/>
                <w:sz w:val="24"/>
                <w:highlight w:val="none"/>
              </w:rPr>
            </w:pPr>
            <w:r>
              <w:rPr>
                <w:rFonts w:hint="eastAsia" w:ascii="宋体" w:hAnsi="宋体" w:cs="宋体"/>
                <w:sz w:val="24"/>
                <w:highlight w:val="none"/>
              </w:rPr>
              <w:t>质量标准</w:t>
            </w:r>
          </w:p>
        </w:tc>
        <w:tc>
          <w:tcPr>
            <w:tcW w:w="6916"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7B42683">
            <w:pPr>
              <w:pageBreakBefore w:val="0"/>
              <w:kinsoku/>
              <w:overflowPunct/>
              <w:bidi w:val="0"/>
              <w:spacing w:line="500" w:lineRule="exact"/>
              <w:jc w:val="left"/>
              <w:rPr>
                <w:rFonts w:ascii="宋体" w:hAnsi="宋体" w:cs="宋体"/>
                <w:sz w:val="24"/>
                <w:highlight w:val="none"/>
              </w:rPr>
            </w:pPr>
          </w:p>
        </w:tc>
      </w:tr>
      <w:tr w14:paraId="6D2F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F440A7">
            <w:pPr>
              <w:pageBreakBefore w:val="0"/>
              <w:widowControl/>
              <w:kinsoku/>
              <w:overflowPunct/>
              <w:bidi w:val="0"/>
              <w:spacing w:line="500" w:lineRule="exact"/>
              <w:jc w:val="center"/>
              <w:textAlignment w:val="center"/>
              <w:rPr>
                <w:rFonts w:hint="eastAsia" w:ascii="宋体" w:hAnsi="宋体" w:eastAsia="宋体" w:cs="宋体"/>
                <w:sz w:val="24"/>
                <w:highlight w:val="none"/>
                <w:lang w:eastAsia="zh-CN"/>
              </w:rPr>
            </w:pPr>
            <w:r>
              <w:rPr>
                <w:rFonts w:hint="eastAsia" w:ascii="宋体" w:hAnsi="宋体" w:cs="宋体"/>
                <w:sz w:val="24"/>
                <w:highlight w:val="none"/>
                <w:lang w:eastAsia="zh-CN"/>
              </w:rPr>
              <w:t>质保期</w:t>
            </w:r>
          </w:p>
        </w:tc>
        <w:tc>
          <w:tcPr>
            <w:tcW w:w="6916"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E7BE93D">
            <w:pPr>
              <w:pageBreakBefore w:val="0"/>
              <w:kinsoku/>
              <w:overflowPunct/>
              <w:bidi w:val="0"/>
              <w:spacing w:line="500" w:lineRule="exact"/>
              <w:jc w:val="left"/>
              <w:rPr>
                <w:rFonts w:ascii="宋体" w:hAnsi="宋体" w:cs="宋体"/>
                <w:sz w:val="24"/>
                <w:highlight w:val="none"/>
              </w:rPr>
            </w:pPr>
          </w:p>
        </w:tc>
      </w:tr>
      <w:tr w14:paraId="6B8B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414785">
            <w:pPr>
              <w:pageBreakBefore w:val="0"/>
              <w:widowControl/>
              <w:kinsoku/>
              <w:overflowPunct/>
              <w:bidi w:val="0"/>
              <w:spacing w:line="500" w:lineRule="exact"/>
              <w:jc w:val="center"/>
              <w:textAlignment w:val="center"/>
              <w:rPr>
                <w:rFonts w:ascii="宋体" w:hAnsi="宋体" w:cs="宋体"/>
                <w:sz w:val="24"/>
                <w:highlight w:val="none"/>
              </w:rPr>
            </w:pPr>
            <w:r>
              <w:rPr>
                <w:rFonts w:hint="eastAsia" w:ascii="宋体" w:hAnsi="宋体" w:cs="宋体"/>
                <w:kern w:val="0"/>
                <w:sz w:val="24"/>
                <w:highlight w:val="none"/>
                <w:lang w:eastAsia="zh-CN"/>
              </w:rPr>
              <w:t>磋商</w:t>
            </w:r>
            <w:r>
              <w:rPr>
                <w:rFonts w:hint="eastAsia" w:ascii="宋体" w:hAnsi="宋体" w:cs="宋体"/>
                <w:kern w:val="0"/>
                <w:sz w:val="24"/>
                <w:highlight w:val="none"/>
              </w:rPr>
              <w:t>有效期</w:t>
            </w:r>
          </w:p>
        </w:tc>
        <w:tc>
          <w:tcPr>
            <w:tcW w:w="6916"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A94A49A">
            <w:pPr>
              <w:pageBreakBefore w:val="0"/>
              <w:widowControl/>
              <w:kinsoku/>
              <w:overflowPunct/>
              <w:bidi w:val="0"/>
              <w:spacing w:line="500" w:lineRule="exact"/>
              <w:jc w:val="left"/>
              <w:textAlignment w:val="center"/>
              <w:rPr>
                <w:rFonts w:ascii="宋体" w:hAnsi="宋体" w:cs="宋体"/>
                <w:sz w:val="24"/>
                <w:highlight w:val="none"/>
              </w:rPr>
            </w:pPr>
          </w:p>
        </w:tc>
      </w:tr>
      <w:tr w14:paraId="1487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8775"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67B4172">
            <w:pPr>
              <w:pageBreakBefore w:val="0"/>
              <w:widowControl/>
              <w:kinsoku/>
              <w:overflowPunct/>
              <w:bidi w:val="0"/>
              <w:spacing w:line="500" w:lineRule="exact"/>
              <w:textAlignment w:val="top"/>
              <w:rPr>
                <w:rFonts w:ascii="宋体" w:hAnsi="宋体" w:cs="宋体"/>
                <w:sz w:val="24"/>
                <w:highlight w:val="none"/>
              </w:rPr>
            </w:pPr>
            <w:r>
              <w:rPr>
                <w:rFonts w:hint="eastAsia" w:ascii="宋体" w:hAnsi="宋体" w:cs="宋体"/>
                <w:kern w:val="0"/>
                <w:sz w:val="24"/>
                <w:highlight w:val="none"/>
              </w:rPr>
              <w:t>备注：</w:t>
            </w:r>
          </w:p>
        </w:tc>
      </w:tr>
    </w:tbl>
    <w:p w14:paraId="1D4A17F2">
      <w:pPr>
        <w:pageBreakBefore w:val="0"/>
        <w:kinsoku/>
        <w:overflowPunct/>
        <w:autoSpaceDE w:val="0"/>
        <w:autoSpaceDN w:val="0"/>
        <w:bidi w:val="0"/>
        <w:adjustRightInd w:val="0"/>
        <w:spacing w:line="500" w:lineRule="exact"/>
        <w:ind w:firstLine="480" w:firstLineChars="200"/>
        <w:rPr>
          <w:rFonts w:ascii="宋体" w:hAnsi="宋体" w:cs="宋体"/>
          <w:sz w:val="24"/>
          <w:highlight w:val="none"/>
        </w:rPr>
      </w:pPr>
      <w:r>
        <w:rPr>
          <w:rFonts w:hint="eastAsia" w:ascii="宋体" w:hAnsi="宋体" w:cs="宋体"/>
          <w:sz w:val="24"/>
          <w:highlight w:val="none"/>
          <w:lang w:eastAsia="zh-CN"/>
        </w:rPr>
        <w:t>磋商</w:t>
      </w:r>
      <w:r>
        <w:rPr>
          <w:rFonts w:hint="eastAsia" w:ascii="宋体" w:hAnsi="宋体" w:cs="宋体"/>
          <w:sz w:val="24"/>
          <w:highlight w:val="none"/>
        </w:rPr>
        <w:t>报价是指采购人指定地点交货的，包括基于交货发生的各种税费、运费及保险费、运杂费、安装费、检验费以及伴随的消耗材料、备品备件</w:t>
      </w:r>
      <w:r>
        <w:rPr>
          <w:rFonts w:hint="eastAsia" w:ascii="宋体" w:hAnsi="宋体" w:cs="宋体"/>
          <w:sz w:val="24"/>
          <w:highlight w:val="none"/>
          <w:lang w:val="en-US" w:eastAsia="zh-CN"/>
        </w:rPr>
        <w:t>等</w:t>
      </w:r>
      <w:r>
        <w:rPr>
          <w:rFonts w:hint="eastAsia" w:ascii="宋体" w:hAnsi="宋体" w:cs="宋体"/>
          <w:sz w:val="24"/>
          <w:highlight w:val="none"/>
        </w:rPr>
        <w:t xml:space="preserve">总报价。                        </w:t>
      </w:r>
    </w:p>
    <w:p w14:paraId="27C6CD5A">
      <w:pPr>
        <w:pageBreakBefore w:val="0"/>
        <w:kinsoku/>
        <w:overflowPunct/>
        <w:autoSpaceDE w:val="0"/>
        <w:autoSpaceDN w:val="0"/>
        <w:bidi w:val="0"/>
        <w:adjustRightInd w:val="0"/>
        <w:spacing w:line="500" w:lineRule="exact"/>
        <w:ind w:firstLine="4200" w:firstLineChars="1750"/>
        <w:rPr>
          <w:rFonts w:ascii="宋体" w:hAnsi="宋体" w:cs="宋体"/>
          <w:sz w:val="24"/>
          <w:highlight w:val="none"/>
          <w:u w:val="single"/>
        </w:rPr>
      </w:pPr>
      <w:r>
        <w:rPr>
          <w:rFonts w:hint="eastAsia" w:ascii="宋体" w:hAnsi="宋体" w:cs="宋体"/>
          <w:sz w:val="24"/>
          <w:highlight w:val="none"/>
        </w:rPr>
        <w:t>供应商名称：（盖单位公章）</w:t>
      </w:r>
    </w:p>
    <w:p w14:paraId="7C808019">
      <w:pPr>
        <w:pageBreakBefore w:val="0"/>
        <w:kinsoku/>
        <w:overflowPunct/>
        <w:autoSpaceDE w:val="0"/>
        <w:autoSpaceDN w:val="0"/>
        <w:bidi w:val="0"/>
        <w:adjustRightInd w:val="0"/>
        <w:spacing w:line="500" w:lineRule="exact"/>
        <w:rPr>
          <w:rFonts w:ascii="宋体" w:hAnsi="宋体" w:cs="宋体"/>
          <w:sz w:val="24"/>
          <w:highlight w:val="none"/>
          <w:u w:val="single"/>
        </w:rPr>
      </w:pPr>
      <w:r>
        <w:rPr>
          <w:rFonts w:hint="eastAsia" w:ascii="宋体" w:hAnsi="宋体" w:cs="宋体"/>
          <w:sz w:val="24"/>
          <w:highlight w:val="none"/>
        </w:rPr>
        <w:t xml:space="preserve">                                   法定代表人：（签章）</w:t>
      </w:r>
    </w:p>
    <w:p w14:paraId="508D5F02">
      <w:pPr>
        <w:pStyle w:val="11"/>
        <w:pageBreakBefore w:val="0"/>
        <w:kinsoku/>
        <w:overflowPunct/>
        <w:bidi w:val="0"/>
        <w:spacing w:line="500" w:lineRule="exact"/>
        <w:ind w:firstLine="240" w:firstLineChars="100"/>
        <w:rPr>
          <w:rFonts w:hint="eastAsia" w:hAnsi="宋体"/>
          <w:color w:val="auto"/>
          <w:highlight w:val="none"/>
        </w:rPr>
      </w:pPr>
      <w:r>
        <w:rPr>
          <w:rFonts w:hint="eastAsia" w:hAnsi="宋体"/>
          <w:color w:val="auto"/>
          <w:highlight w:val="none"/>
        </w:rPr>
        <w:t xml:space="preserve">                                 日      期：</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74FAB3B4"/>
    <w:p w14:paraId="1009FE5A">
      <w:pPr>
        <w:pageBreakBefore w:val="0"/>
        <w:tabs>
          <w:tab w:val="left" w:pos="0"/>
        </w:tabs>
        <w:kinsoku/>
        <w:overflowPunct/>
        <w:bidi w:val="0"/>
        <w:spacing w:line="500" w:lineRule="exact"/>
        <w:jc w:val="left"/>
        <w:rPr>
          <w:rFonts w:ascii="宋体" w:hAnsi="宋体" w:cs="宋体"/>
          <w:b/>
          <w:sz w:val="24"/>
          <w:highlight w:val="none"/>
        </w:rPr>
      </w:pPr>
      <w:r>
        <w:rPr>
          <w:rFonts w:hint="eastAsia" w:ascii="宋体" w:hAnsi="宋体" w:cs="宋体"/>
          <w:b/>
          <w:sz w:val="24"/>
          <w:highlight w:val="none"/>
        </w:rPr>
        <w:t>附件：报价明细表</w:t>
      </w:r>
    </w:p>
    <w:p w14:paraId="710AE37E">
      <w:pPr>
        <w:pStyle w:val="24"/>
        <w:pageBreakBefore w:val="0"/>
        <w:kinsoku/>
        <w:overflowPunct/>
        <w:bidi w:val="0"/>
        <w:spacing w:line="500" w:lineRule="exact"/>
        <w:ind w:firstLine="6195" w:firstLineChars="2950"/>
        <w:rPr>
          <w:rFonts w:ascii="宋体" w:hAnsi="宋体" w:eastAsia="宋体" w:cs="宋体"/>
          <w:sz w:val="21"/>
          <w:szCs w:val="21"/>
          <w:highlight w:val="none"/>
        </w:rPr>
      </w:pPr>
    </w:p>
    <w:p w14:paraId="480E3AEE">
      <w:pPr>
        <w:pStyle w:val="24"/>
        <w:pageBreakBefore w:val="0"/>
        <w:kinsoku/>
        <w:overflowPunct/>
        <w:bidi w:val="0"/>
        <w:spacing w:line="500" w:lineRule="exact"/>
        <w:ind w:firstLine="6195" w:firstLineChars="2950"/>
        <w:rPr>
          <w:rFonts w:ascii="宋体" w:hAnsi="宋体" w:eastAsia="宋体" w:cs="宋体"/>
          <w:sz w:val="21"/>
          <w:szCs w:val="21"/>
          <w:highlight w:val="none"/>
        </w:rPr>
      </w:pPr>
    </w:p>
    <w:p w14:paraId="4204CE5F">
      <w:pPr>
        <w:pStyle w:val="24"/>
        <w:pageBreakBefore w:val="0"/>
        <w:kinsoku/>
        <w:overflowPunct/>
        <w:bidi w:val="0"/>
        <w:spacing w:line="500" w:lineRule="exact"/>
        <w:ind w:firstLine="6195" w:firstLineChars="2950"/>
        <w:rPr>
          <w:rFonts w:ascii="宋体" w:hAnsi="宋体" w:eastAsia="宋体" w:cs="宋体"/>
          <w:sz w:val="21"/>
          <w:szCs w:val="21"/>
          <w:highlight w:val="none"/>
        </w:rPr>
      </w:pPr>
      <w:r>
        <w:rPr>
          <w:rFonts w:hint="eastAsia" w:ascii="宋体" w:hAnsi="宋体" w:eastAsia="宋体" w:cs="宋体"/>
          <w:sz w:val="21"/>
          <w:szCs w:val="21"/>
          <w:highlight w:val="none"/>
        </w:rPr>
        <w:t>金额单位：元（人民币）</w:t>
      </w:r>
    </w:p>
    <w:tbl>
      <w:tblPr>
        <w:tblStyle w:val="26"/>
        <w:tblW w:w="4966" w:type="pct"/>
        <w:jc w:val="center"/>
        <w:tblLayout w:type="autofit"/>
        <w:tblCellMar>
          <w:top w:w="0" w:type="dxa"/>
          <w:left w:w="108" w:type="dxa"/>
          <w:bottom w:w="0" w:type="dxa"/>
          <w:right w:w="108" w:type="dxa"/>
        </w:tblCellMar>
      </w:tblPr>
      <w:tblGrid>
        <w:gridCol w:w="716"/>
        <w:gridCol w:w="1048"/>
        <w:gridCol w:w="1678"/>
        <w:gridCol w:w="1009"/>
        <w:gridCol w:w="1009"/>
        <w:gridCol w:w="1009"/>
        <w:gridCol w:w="1009"/>
        <w:gridCol w:w="1009"/>
        <w:gridCol w:w="1028"/>
      </w:tblGrid>
      <w:tr w14:paraId="56A2E319">
        <w:tblPrEx>
          <w:tblCellMar>
            <w:top w:w="0" w:type="dxa"/>
            <w:left w:w="108" w:type="dxa"/>
            <w:bottom w:w="0" w:type="dxa"/>
            <w:right w:w="108" w:type="dxa"/>
          </w:tblCellMar>
        </w:tblPrEx>
        <w:trPr>
          <w:trHeight w:val="1348"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4AF8DE66">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序号</w:t>
            </w:r>
          </w:p>
        </w:tc>
        <w:tc>
          <w:tcPr>
            <w:tcW w:w="551" w:type="pct"/>
            <w:tcBorders>
              <w:top w:val="single" w:color="000000" w:sz="4" w:space="0"/>
              <w:left w:val="nil"/>
              <w:bottom w:val="single" w:color="000000" w:sz="4" w:space="0"/>
              <w:right w:val="single" w:color="000000" w:sz="4" w:space="0"/>
            </w:tcBorders>
            <w:vAlign w:val="center"/>
          </w:tcPr>
          <w:p w14:paraId="227D66F9">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名称</w:t>
            </w:r>
          </w:p>
        </w:tc>
        <w:tc>
          <w:tcPr>
            <w:tcW w:w="881" w:type="pct"/>
            <w:tcBorders>
              <w:top w:val="single" w:color="000000" w:sz="4" w:space="0"/>
              <w:left w:val="nil"/>
              <w:bottom w:val="single" w:color="000000" w:sz="4" w:space="0"/>
              <w:right w:val="single" w:color="auto" w:sz="4" w:space="0"/>
            </w:tcBorders>
            <w:vAlign w:val="center"/>
          </w:tcPr>
          <w:p w14:paraId="1BFAA048">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品牌</w:t>
            </w:r>
          </w:p>
          <w:p w14:paraId="75B3BE9B">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（或制造商名称）</w:t>
            </w:r>
          </w:p>
        </w:tc>
        <w:tc>
          <w:tcPr>
            <w:tcW w:w="530" w:type="pct"/>
            <w:tcBorders>
              <w:top w:val="single" w:color="000000" w:sz="4" w:space="0"/>
              <w:left w:val="single" w:color="auto" w:sz="4" w:space="0"/>
              <w:bottom w:val="single" w:color="000000" w:sz="4" w:space="0"/>
              <w:right w:val="single" w:color="000000" w:sz="4" w:space="0"/>
            </w:tcBorders>
            <w:vAlign w:val="center"/>
          </w:tcPr>
          <w:p w14:paraId="44C6F448">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技术</w:t>
            </w:r>
          </w:p>
          <w:p w14:paraId="60DED888">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参数</w:t>
            </w:r>
          </w:p>
        </w:tc>
        <w:tc>
          <w:tcPr>
            <w:tcW w:w="530" w:type="pct"/>
            <w:tcBorders>
              <w:top w:val="single" w:color="000000" w:sz="4" w:space="0"/>
              <w:left w:val="nil"/>
              <w:bottom w:val="single" w:color="000000" w:sz="4" w:space="0"/>
              <w:right w:val="single" w:color="000000" w:sz="4" w:space="0"/>
            </w:tcBorders>
            <w:vAlign w:val="center"/>
          </w:tcPr>
          <w:p w14:paraId="0120D1C7">
            <w:pPr>
              <w:pageBreakBefore w:val="0"/>
              <w:widowControl/>
              <w:kinsoku/>
              <w:overflowPunct/>
              <w:bidi w:val="0"/>
              <w:snapToGrid w:val="0"/>
              <w:spacing w:line="500" w:lineRule="exact"/>
              <w:jc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eastAsia="zh-CN"/>
              </w:rPr>
              <w:t>单位</w:t>
            </w:r>
          </w:p>
        </w:tc>
        <w:tc>
          <w:tcPr>
            <w:tcW w:w="530" w:type="pct"/>
            <w:tcBorders>
              <w:top w:val="single" w:color="000000" w:sz="4" w:space="0"/>
              <w:left w:val="nil"/>
              <w:bottom w:val="single" w:color="000000" w:sz="4" w:space="0"/>
              <w:right w:val="single" w:color="000000" w:sz="4" w:space="0"/>
            </w:tcBorders>
            <w:vAlign w:val="center"/>
          </w:tcPr>
          <w:p w14:paraId="6452DBE4">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数量</w:t>
            </w:r>
          </w:p>
        </w:tc>
        <w:tc>
          <w:tcPr>
            <w:tcW w:w="530" w:type="pct"/>
            <w:tcBorders>
              <w:top w:val="single" w:color="000000" w:sz="4" w:space="0"/>
              <w:left w:val="nil"/>
              <w:bottom w:val="single" w:color="000000" w:sz="4" w:space="0"/>
              <w:right w:val="single" w:color="000000" w:sz="4" w:space="0"/>
            </w:tcBorders>
            <w:vAlign w:val="center"/>
          </w:tcPr>
          <w:p w14:paraId="79F31909">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单价</w:t>
            </w:r>
          </w:p>
        </w:tc>
        <w:tc>
          <w:tcPr>
            <w:tcW w:w="530" w:type="pct"/>
            <w:tcBorders>
              <w:top w:val="single" w:color="000000" w:sz="4" w:space="0"/>
              <w:left w:val="nil"/>
              <w:bottom w:val="single" w:color="000000" w:sz="4" w:space="0"/>
              <w:right w:val="single" w:color="000000" w:sz="4" w:space="0"/>
            </w:tcBorders>
            <w:vAlign w:val="center"/>
          </w:tcPr>
          <w:p w14:paraId="425A0835">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小计</w:t>
            </w:r>
          </w:p>
        </w:tc>
        <w:tc>
          <w:tcPr>
            <w:tcW w:w="538" w:type="pct"/>
            <w:tcBorders>
              <w:top w:val="single" w:color="000000" w:sz="4" w:space="0"/>
              <w:left w:val="nil"/>
              <w:bottom w:val="single" w:color="000000" w:sz="4" w:space="0"/>
              <w:right w:val="single" w:color="000000" w:sz="4" w:space="0"/>
            </w:tcBorders>
            <w:vAlign w:val="center"/>
          </w:tcPr>
          <w:p w14:paraId="74E24564">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其他</w:t>
            </w:r>
          </w:p>
        </w:tc>
      </w:tr>
      <w:tr w14:paraId="350A279F">
        <w:tblPrEx>
          <w:tblCellMar>
            <w:top w:w="0" w:type="dxa"/>
            <w:left w:w="108" w:type="dxa"/>
            <w:bottom w:w="0" w:type="dxa"/>
            <w:right w:w="108" w:type="dxa"/>
          </w:tblCellMar>
        </w:tblPrEx>
        <w:trPr>
          <w:trHeight w:val="785"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24C0404F">
            <w:pPr>
              <w:pageBreakBefore w:val="0"/>
              <w:widowControl/>
              <w:kinsoku/>
              <w:overflowPunct/>
              <w:bidi w:val="0"/>
              <w:spacing w:line="500" w:lineRule="exact"/>
              <w:jc w:val="left"/>
              <w:rPr>
                <w:rFonts w:ascii="宋体" w:hAnsi="宋体" w:cs="宋体"/>
                <w:kern w:val="0"/>
                <w:sz w:val="22"/>
                <w:szCs w:val="22"/>
                <w:highlight w:val="none"/>
              </w:rPr>
            </w:pPr>
            <w:r>
              <w:rPr>
                <w:rFonts w:hint="eastAsia" w:ascii="宋体" w:hAnsi="宋体" w:cs="宋体"/>
                <w:kern w:val="0"/>
                <w:sz w:val="22"/>
                <w:szCs w:val="22"/>
                <w:highlight w:val="none"/>
              </w:rPr>
              <w:t>1</w:t>
            </w:r>
          </w:p>
        </w:tc>
        <w:tc>
          <w:tcPr>
            <w:tcW w:w="551" w:type="pct"/>
            <w:tcBorders>
              <w:top w:val="single" w:color="000000" w:sz="4" w:space="0"/>
              <w:left w:val="nil"/>
              <w:bottom w:val="single" w:color="000000" w:sz="4" w:space="0"/>
              <w:right w:val="single" w:color="000000" w:sz="4" w:space="0"/>
            </w:tcBorders>
            <w:vAlign w:val="center"/>
          </w:tcPr>
          <w:p w14:paraId="3BA5FFF4">
            <w:pPr>
              <w:pageBreakBefore w:val="0"/>
              <w:widowControl/>
              <w:kinsoku/>
              <w:overflowPunct/>
              <w:bidi w:val="0"/>
              <w:spacing w:line="500" w:lineRule="exact"/>
              <w:jc w:val="left"/>
              <w:rPr>
                <w:rFonts w:ascii="宋体" w:hAnsi="宋体" w:cs="宋体"/>
                <w:kern w:val="0"/>
                <w:sz w:val="22"/>
                <w:szCs w:val="22"/>
                <w:highlight w:val="none"/>
              </w:rPr>
            </w:pPr>
          </w:p>
        </w:tc>
        <w:tc>
          <w:tcPr>
            <w:tcW w:w="881" w:type="pct"/>
            <w:tcBorders>
              <w:top w:val="single" w:color="000000" w:sz="4" w:space="0"/>
              <w:left w:val="nil"/>
              <w:bottom w:val="single" w:color="000000" w:sz="4" w:space="0"/>
              <w:right w:val="single" w:color="auto" w:sz="4" w:space="0"/>
            </w:tcBorders>
            <w:vAlign w:val="center"/>
          </w:tcPr>
          <w:p w14:paraId="0F98C415">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single" w:color="auto" w:sz="4" w:space="0"/>
              <w:bottom w:val="single" w:color="000000" w:sz="4" w:space="0"/>
              <w:right w:val="single" w:color="000000" w:sz="4" w:space="0"/>
            </w:tcBorders>
            <w:vAlign w:val="center"/>
          </w:tcPr>
          <w:p w14:paraId="46077A33">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0E712E40">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31C647EE">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172DA5C4">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7C84F617">
            <w:pPr>
              <w:pageBreakBefore w:val="0"/>
              <w:widowControl/>
              <w:kinsoku/>
              <w:overflowPunct/>
              <w:bidi w:val="0"/>
              <w:spacing w:line="500" w:lineRule="exact"/>
              <w:jc w:val="left"/>
              <w:rPr>
                <w:rFonts w:ascii="宋体" w:hAnsi="宋体" w:cs="宋体"/>
                <w:kern w:val="0"/>
                <w:sz w:val="22"/>
                <w:szCs w:val="22"/>
                <w:highlight w:val="none"/>
              </w:rPr>
            </w:pPr>
          </w:p>
        </w:tc>
        <w:tc>
          <w:tcPr>
            <w:tcW w:w="538" w:type="pct"/>
            <w:tcBorders>
              <w:top w:val="single" w:color="000000" w:sz="4" w:space="0"/>
              <w:left w:val="nil"/>
              <w:bottom w:val="single" w:color="000000" w:sz="4" w:space="0"/>
              <w:right w:val="single" w:color="000000" w:sz="4" w:space="0"/>
            </w:tcBorders>
            <w:vAlign w:val="center"/>
          </w:tcPr>
          <w:p w14:paraId="1FB7D114">
            <w:pPr>
              <w:pageBreakBefore w:val="0"/>
              <w:widowControl/>
              <w:kinsoku/>
              <w:overflowPunct/>
              <w:bidi w:val="0"/>
              <w:spacing w:line="500" w:lineRule="exact"/>
              <w:jc w:val="left"/>
              <w:rPr>
                <w:rFonts w:ascii="宋体" w:hAnsi="宋体" w:cs="宋体"/>
                <w:kern w:val="0"/>
                <w:sz w:val="22"/>
                <w:szCs w:val="22"/>
                <w:highlight w:val="none"/>
              </w:rPr>
            </w:pPr>
          </w:p>
        </w:tc>
      </w:tr>
      <w:tr w14:paraId="4A5B1500">
        <w:tblPrEx>
          <w:tblCellMar>
            <w:top w:w="0" w:type="dxa"/>
            <w:left w:w="108" w:type="dxa"/>
            <w:bottom w:w="0" w:type="dxa"/>
            <w:right w:w="108" w:type="dxa"/>
          </w:tblCellMar>
        </w:tblPrEx>
        <w:trPr>
          <w:trHeight w:val="785"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18BBC0E1">
            <w:pPr>
              <w:pageBreakBefore w:val="0"/>
              <w:widowControl/>
              <w:kinsoku/>
              <w:overflowPunct/>
              <w:bidi w:val="0"/>
              <w:spacing w:line="500" w:lineRule="exact"/>
              <w:jc w:val="left"/>
              <w:rPr>
                <w:rFonts w:ascii="宋体" w:hAnsi="宋体" w:cs="宋体"/>
                <w:kern w:val="0"/>
                <w:sz w:val="22"/>
                <w:szCs w:val="22"/>
                <w:highlight w:val="none"/>
              </w:rPr>
            </w:pPr>
            <w:r>
              <w:rPr>
                <w:rFonts w:hint="eastAsia" w:ascii="宋体" w:hAnsi="宋体" w:cs="宋体"/>
                <w:kern w:val="0"/>
                <w:sz w:val="22"/>
                <w:szCs w:val="22"/>
                <w:highlight w:val="none"/>
              </w:rPr>
              <w:t>2</w:t>
            </w:r>
          </w:p>
        </w:tc>
        <w:tc>
          <w:tcPr>
            <w:tcW w:w="551" w:type="pct"/>
            <w:tcBorders>
              <w:top w:val="single" w:color="000000" w:sz="4" w:space="0"/>
              <w:left w:val="nil"/>
              <w:bottom w:val="single" w:color="000000" w:sz="4" w:space="0"/>
              <w:right w:val="single" w:color="000000" w:sz="4" w:space="0"/>
            </w:tcBorders>
            <w:vAlign w:val="center"/>
          </w:tcPr>
          <w:p w14:paraId="78F23461">
            <w:pPr>
              <w:pageBreakBefore w:val="0"/>
              <w:widowControl/>
              <w:kinsoku/>
              <w:overflowPunct/>
              <w:bidi w:val="0"/>
              <w:spacing w:line="500" w:lineRule="exact"/>
              <w:jc w:val="left"/>
              <w:rPr>
                <w:rFonts w:ascii="宋体" w:hAnsi="宋体" w:cs="宋体"/>
                <w:kern w:val="0"/>
                <w:sz w:val="22"/>
                <w:szCs w:val="22"/>
                <w:highlight w:val="none"/>
              </w:rPr>
            </w:pPr>
          </w:p>
        </w:tc>
        <w:tc>
          <w:tcPr>
            <w:tcW w:w="881" w:type="pct"/>
            <w:tcBorders>
              <w:top w:val="single" w:color="000000" w:sz="4" w:space="0"/>
              <w:left w:val="nil"/>
              <w:bottom w:val="single" w:color="000000" w:sz="4" w:space="0"/>
              <w:right w:val="single" w:color="auto" w:sz="4" w:space="0"/>
            </w:tcBorders>
            <w:vAlign w:val="center"/>
          </w:tcPr>
          <w:p w14:paraId="604ECF3E">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single" w:color="auto" w:sz="4" w:space="0"/>
              <w:bottom w:val="single" w:color="000000" w:sz="4" w:space="0"/>
              <w:right w:val="single" w:color="000000" w:sz="4" w:space="0"/>
            </w:tcBorders>
            <w:vAlign w:val="center"/>
          </w:tcPr>
          <w:p w14:paraId="78D1E2F6">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0EFA45BC">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5C7DD611">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01BA214F">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23B62662">
            <w:pPr>
              <w:pageBreakBefore w:val="0"/>
              <w:widowControl/>
              <w:kinsoku/>
              <w:overflowPunct/>
              <w:bidi w:val="0"/>
              <w:spacing w:line="500" w:lineRule="exact"/>
              <w:jc w:val="left"/>
              <w:rPr>
                <w:rFonts w:ascii="宋体" w:hAnsi="宋体" w:cs="宋体"/>
                <w:kern w:val="0"/>
                <w:sz w:val="22"/>
                <w:szCs w:val="22"/>
                <w:highlight w:val="none"/>
              </w:rPr>
            </w:pPr>
          </w:p>
        </w:tc>
        <w:tc>
          <w:tcPr>
            <w:tcW w:w="538" w:type="pct"/>
            <w:tcBorders>
              <w:top w:val="single" w:color="000000" w:sz="4" w:space="0"/>
              <w:left w:val="nil"/>
              <w:bottom w:val="single" w:color="000000" w:sz="4" w:space="0"/>
              <w:right w:val="single" w:color="000000" w:sz="4" w:space="0"/>
            </w:tcBorders>
            <w:vAlign w:val="center"/>
          </w:tcPr>
          <w:p w14:paraId="700CACD2">
            <w:pPr>
              <w:pageBreakBefore w:val="0"/>
              <w:widowControl/>
              <w:kinsoku/>
              <w:overflowPunct/>
              <w:bidi w:val="0"/>
              <w:spacing w:line="500" w:lineRule="exact"/>
              <w:jc w:val="left"/>
              <w:rPr>
                <w:rFonts w:ascii="宋体" w:hAnsi="宋体" w:cs="宋体"/>
                <w:kern w:val="0"/>
                <w:sz w:val="22"/>
                <w:szCs w:val="22"/>
                <w:highlight w:val="none"/>
              </w:rPr>
            </w:pPr>
          </w:p>
        </w:tc>
      </w:tr>
      <w:tr w14:paraId="6CEC1F86">
        <w:tblPrEx>
          <w:tblCellMar>
            <w:top w:w="0" w:type="dxa"/>
            <w:left w:w="108" w:type="dxa"/>
            <w:bottom w:w="0" w:type="dxa"/>
            <w:right w:w="108" w:type="dxa"/>
          </w:tblCellMar>
        </w:tblPrEx>
        <w:trPr>
          <w:trHeight w:val="785"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2B68E33F">
            <w:pPr>
              <w:pageBreakBefore w:val="0"/>
              <w:widowControl/>
              <w:kinsoku/>
              <w:overflowPunct/>
              <w:bidi w:val="0"/>
              <w:spacing w:line="500" w:lineRule="exact"/>
              <w:jc w:val="left"/>
              <w:rPr>
                <w:rFonts w:ascii="宋体" w:hAnsi="宋体" w:cs="宋体"/>
                <w:kern w:val="0"/>
                <w:sz w:val="22"/>
                <w:szCs w:val="22"/>
                <w:highlight w:val="none"/>
              </w:rPr>
            </w:pPr>
            <w:r>
              <w:rPr>
                <w:rFonts w:hint="eastAsia" w:ascii="宋体" w:hAnsi="宋体" w:cs="宋体"/>
                <w:kern w:val="0"/>
                <w:sz w:val="22"/>
                <w:szCs w:val="22"/>
                <w:highlight w:val="none"/>
              </w:rPr>
              <w:t>3</w:t>
            </w:r>
          </w:p>
        </w:tc>
        <w:tc>
          <w:tcPr>
            <w:tcW w:w="551" w:type="pct"/>
            <w:tcBorders>
              <w:top w:val="single" w:color="000000" w:sz="4" w:space="0"/>
              <w:left w:val="nil"/>
              <w:bottom w:val="single" w:color="000000" w:sz="4" w:space="0"/>
              <w:right w:val="single" w:color="000000" w:sz="4" w:space="0"/>
            </w:tcBorders>
            <w:vAlign w:val="center"/>
          </w:tcPr>
          <w:p w14:paraId="7A1816AB">
            <w:pPr>
              <w:pageBreakBefore w:val="0"/>
              <w:widowControl/>
              <w:kinsoku/>
              <w:overflowPunct/>
              <w:bidi w:val="0"/>
              <w:spacing w:line="500" w:lineRule="exact"/>
              <w:jc w:val="left"/>
              <w:rPr>
                <w:rFonts w:ascii="宋体" w:hAnsi="宋体" w:cs="宋体"/>
                <w:kern w:val="0"/>
                <w:sz w:val="22"/>
                <w:szCs w:val="22"/>
                <w:highlight w:val="none"/>
              </w:rPr>
            </w:pPr>
          </w:p>
        </w:tc>
        <w:tc>
          <w:tcPr>
            <w:tcW w:w="881" w:type="pct"/>
            <w:tcBorders>
              <w:top w:val="single" w:color="000000" w:sz="4" w:space="0"/>
              <w:left w:val="nil"/>
              <w:bottom w:val="single" w:color="000000" w:sz="4" w:space="0"/>
              <w:right w:val="single" w:color="auto" w:sz="4" w:space="0"/>
            </w:tcBorders>
            <w:vAlign w:val="center"/>
          </w:tcPr>
          <w:p w14:paraId="32EF8BE7">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single" w:color="auto" w:sz="4" w:space="0"/>
              <w:bottom w:val="single" w:color="000000" w:sz="4" w:space="0"/>
              <w:right w:val="single" w:color="000000" w:sz="4" w:space="0"/>
            </w:tcBorders>
            <w:vAlign w:val="center"/>
          </w:tcPr>
          <w:p w14:paraId="0D0C4C6A">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79E5685C">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6D5959D5">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0D96B75E">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46346E98">
            <w:pPr>
              <w:pageBreakBefore w:val="0"/>
              <w:widowControl/>
              <w:kinsoku/>
              <w:overflowPunct/>
              <w:bidi w:val="0"/>
              <w:spacing w:line="500" w:lineRule="exact"/>
              <w:jc w:val="left"/>
              <w:rPr>
                <w:rFonts w:ascii="宋体" w:hAnsi="宋体" w:cs="宋体"/>
                <w:kern w:val="0"/>
                <w:sz w:val="22"/>
                <w:szCs w:val="22"/>
                <w:highlight w:val="none"/>
              </w:rPr>
            </w:pPr>
          </w:p>
        </w:tc>
        <w:tc>
          <w:tcPr>
            <w:tcW w:w="538" w:type="pct"/>
            <w:tcBorders>
              <w:top w:val="single" w:color="000000" w:sz="4" w:space="0"/>
              <w:left w:val="nil"/>
              <w:bottom w:val="single" w:color="000000" w:sz="4" w:space="0"/>
              <w:right w:val="single" w:color="000000" w:sz="4" w:space="0"/>
            </w:tcBorders>
            <w:vAlign w:val="center"/>
          </w:tcPr>
          <w:p w14:paraId="4E5B9993">
            <w:pPr>
              <w:pageBreakBefore w:val="0"/>
              <w:widowControl/>
              <w:kinsoku/>
              <w:overflowPunct/>
              <w:bidi w:val="0"/>
              <w:spacing w:line="500" w:lineRule="exact"/>
              <w:jc w:val="left"/>
              <w:rPr>
                <w:rFonts w:ascii="宋体" w:hAnsi="宋体" w:cs="宋体"/>
                <w:kern w:val="0"/>
                <w:sz w:val="22"/>
                <w:szCs w:val="22"/>
                <w:highlight w:val="none"/>
              </w:rPr>
            </w:pPr>
          </w:p>
        </w:tc>
      </w:tr>
      <w:tr w14:paraId="030B6AA7">
        <w:tblPrEx>
          <w:tblCellMar>
            <w:top w:w="0" w:type="dxa"/>
            <w:left w:w="108" w:type="dxa"/>
            <w:bottom w:w="0" w:type="dxa"/>
            <w:right w:w="108" w:type="dxa"/>
          </w:tblCellMar>
        </w:tblPrEx>
        <w:trPr>
          <w:trHeight w:val="785"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030CE85D">
            <w:pPr>
              <w:pageBreakBefore w:val="0"/>
              <w:widowControl/>
              <w:kinsoku/>
              <w:overflowPunct/>
              <w:bidi w:val="0"/>
              <w:spacing w:line="500" w:lineRule="exact"/>
              <w:jc w:val="left"/>
              <w:rPr>
                <w:rFonts w:ascii="宋体" w:hAnsi="宋体" w:cs="宋体"/>
                <w:kern w:val="0"/>
                <w:sz w:val="22"/>
                <w:szCs w:val="22"/>
                <w:highlight w:val="none"/>
              </w:rPr>
            </w:pPr>
            <w:r>
              <w:rPr>
                <w:rFonts w:ascii="宋体" w:hAnsi="宋体" w:cs="宋体"/>
                <w:kern w:val="0"/>
                <w:sz w:val="22"/>
                <w:szCs w:val="22"/>
                <w:highlight w:val="none"/>
              </w:rPr>
              <w:t>……</w:t>
            </w:r>
          </w:p>
        </w:tc>
        <w:tc>
          <w:tcPr>
            <w:tcW w:w="551" w:type="pct"/>
            <w:tcBorders>
              <w:top w:val="single" w:color="000000" w:sz="4" w:space="0"/>
              <w:left w:val="nil"/>
              <w:bottom w:val="single" w:color="000000" w:sz="4" w:space="0"/>
              <w:right w:val="single" w:color="000000" w:sz="4" w:space="0"/>
            </w:tcBorders>
            <w:vAlign w:val="center"/>
          </w:tcPr>
          <w:p w14:paraId="1417C722">
            <w:pPr>
              <w:pageBreakBefore w:val="0"/>
              <w:widowControl/>
              <w:kinsoku/>
              <w:overflowPunct/>
              <w:bidi w:val="0"/>
              <w:spacing w:line="500" w:lineRule="exact"/>
              <w:jc w:val="left"/>
              <w:rPr>
                <w:rFonts w:ascii="宋体" w:hAnsi="宋体" w:cs="宋体"/>
                <w:kern w:val="0"/>
                <w:sz w:val="22"/>
                <w:szCs w:val="22"/>
                <w:highlight w:val="none"/>
              </w:rPr>
            </w:pPr>
          </w:p>
        </w:tc>
        <w:tc>
          <w:tcPr>
            <w:tcW w:w="881" w:type="pct"/>
            <w:tcBorders>
              <w:top w:val="single" w:color="000000" w:sz="4" w:space="0"/>
              <w:left w:val="nil"/>
              <w:bottom w:val="single" w:color="000000" w:sz="4" w:space="0"/>
              <w:right w:val="single" w:color="auto" w:sz="4" w:space="0"/>
            </w:tcBorders>
            <w:vAlign w:val="center"/>
          </w:tcPr>
          <w:p w14:paraId="11B6E748">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single" w:color="auto" w:sz="4" w:space="0"/>
              <w:bottom w:val="single" w:color="000000" w:sz="4" w:space="0"/>
              <w:right w:val="single" w:color="000000" w:sz="4" w:space="0"/>
            </w:tcBorders>
            <w:vAlign w:val="center"/>
          </w:tcPr>
          <w:p w14:paraId="206B5F42">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103F447C">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1B65CFD2">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785A8CAB">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5A183AC4">
            <w:pPr>
              <w:pageBreakBefore w:val="0"/>
              <w:widowControl/>
              <w:kinsoku/>
              <w:overflowPunct/>
              <w:bidi w:val="0"/>
              <w:spacing w:line="500" w:lineRule="exact"/>
              <w:jc w:val="left"/>
              <w:rPr>
                <w:rFonts w:ascii="宋体" w:hAnsi="宋体" w:cs="宋体"/>
                <w:kern w:val="0"/>
                <w:sz w:val="22"/>
                <w:szCs w:val="22"/>
                <w:highlight w:val="none"/>
              </w:rPr>
            </w:pPr>
          </w:p>
        </w:tc>
        <w:tc>
          <w:tcPr>
            <w:tcW w:w="538" w:type="pct"/>
            <w:tcBorders>
              <w:top w:val="single" w:color="000000" w:sz="4" w:space="0"/>
              <w:left w:val="nil"/>
              <w:bottom w:val="single" w:color="000000" w:sz="4" w:space="0"/>
              <w:right w:val="single" w:color="000000" w:sz="4" w:space="0"/>
            </w:tcBorders>
            <w:vAlign w:val="center"/>
          </w:tcPr>
          <w:p w14:paraId="68AD24B3">
            <w:pPr>
              <w:pageBreakBefore w:val="0"/>
              <w:widowControl/>
              <w:kinsoku/>
              <w:overflowPunct/>
              <w:bidi w:val="0"/>
              <w:spacing w:line="500" w:lineRule="exact"/>
              <w:jc w:val="left"/>
              <w:rPr>
                <w:rFonts w:ascii="宋体" w:hAnsi="宋体" w:cs="宋体"/>
                <w:kern w:val="0"/>
                <w:sz w:val="22"/>
                <w:szCs w:val="22"/>
                <w:highlight w:val="none"/>
              </w:rPr>
            </w:pPr>
          </w:p>
        </w:tc>
      </w:tr>
      <w:tr w14:paraId="45FC73D3">
        <w:tblPrEx>
          <w:tblCellMar>
            <w:top w:w="0" w:type="dxa"/>
            <w:left w:w="108" w:type="dxa"/>
            <w:bottom w:w="0" w:type="dxa"/>
            <w:right w:w="108" w:type="dxa"/>
          </w:tblCellMar>
        </w:tblPrEx>
        <w:trPr>
          <w:trHeight w:val="785"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1466A00C">
            <w:pPr>
              <w:pageBreakBefore w:val="0"/>
              <w:widowControl/>
              <w:kinsoku/>
              <w:overflowPunct/>
              <w:bidi w:val="0"/>
              <w:spacing w:line="500" w:lineRule="exact"/>
              <w:jc w:val="left"/>
              <w:rPr>
                <w:rFonts w:ascii="宋体" w:hAnsi="宋体" w:cs="宋体"/>
                <w:kern w:val="0"/>
                <w:sz w:val="22"/>
                <w:szCs w:val="22"/>
                <w:highlight w:val="none"/>
              </w:rPr>
            </w:pPr>
          </w:p>
        </w:tc>
        <w:tc>
          <w:tcPr>
            <w:tcW w:w="551" w:type="pct"/>
            <w:tcBorders>
              <w:top w:val="single" w:color="000000" w:sz="4" w:space="0"/>
              <w:left w:val="nil"/>
              <w:bottom w:val="single" w:color="000000" w:sz="4" w:space="0"/>
              <w:right w:val="single" w:color="000000" w:sz="4" w:space="0"/>
            </w:tcBorders>
            <w:vAlign w:val="center"/>
          </w:tcPr>
          <w:p w14:paraId="025D7431">
            <w:pPr>
              <w:pageBreakBefore w:val="0"/>
              <w:widowControl/>
              <w:kinsoku/>
              <w:overflowPunct/>
              <w:bidi w:val="0"/>
              <w:snapToGrid w:val="0"/>
              <w:spacing w:line="500" w:lineRule="exact"/>
              <w:jc w:val="center"/>
              <w:rPr>
                <w:rFonts w:ascii="宋体" w:hAnsi="宋体" w:cs="宋体"/>
                <w:kern w:val="0"/>
                <w:sz w:val="22"/>
                <w:szCs w:val="22"/>
                <w:highlight w:val="none"/>
              </w:rPr>
            </w:pPr>
          </w:p>
        </w:tc>
        <w:tc>
          <w:tcPr>
            <w:tcW w:w="881" w:type="pct"/>
            <w:tcBorders>
              <w:top w:val="single" w:color="000000" w:sz="4" w:space="0"/>
              <w:left w:val="nil"/>
              <w:bottom w:val="single" w:color="000000" w:sz="4" w:space="0"/>
              <w:right w:val="single" w:color="auto" w:sz="4" w:space="0"/>
            </w:tcBorders>
            <w:vAlign w:val="center"/>
          </w:tcPr>
          <w:p w14:paraId="0B146E7A">
            <w:pPr>
              <w:pageBreakBefore w:val="0"/>
              <w:widowControl/>
              <w:kinsoku/>
              <w:overflowPunct/>
              <w:bidi w:val="0"/>
              <w:snapToGrid w:val="0"/>
              <w:spacing w:line="500" w:lineRule="exact"/>
              <w:jc w:val="center"/>
              <w:rPr>
                <w:rFonts w:ascii="宋体" w:hAnsi="宋体" w:cs="宋体"/>
                <w:kern w:val="0"/>
                <w:sz w:val="22"/>
                <w:szCs w:val="22"/>
                <w:highlight w:val="none"/>
              </w:rPr>
            </w:pPr>
          </w:p>
        </w:tc>
        <w:tc>
          <w:tcPr>
            <w:tcW w:w="530" w:type="pct"/>
            <w:tcBorders>
              <w:top w:val="single" w:color="000000" w:sz="4" w:space="0"/>
              <w:left w:val="single" w:color="auto" w:sz="4" w:space="0"/>
              <w:bottom w:val="single" w:color="000000" w:sz="4" w:space="0"/>
              <w:right w:val="single" w:color="000000" w:sz="4" w:space="0"/>
            </w:tcBorders>
            <w:vAlign w:val="center"/>
          </w:tcPr>
          <w:p w14:paraId="4D0F8A21">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06FCBC7B">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686909B8">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111BF721">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16562D71">
            <w:pPr>
              <w:pageBreakBefore w:val="0"/>
              <w:widowControl/>
              <w:kinsoku/>
              <w:overflowPunct/>
              <w:bidi w:val="0"/>
              <w:spacing w:line="500" w:lineRule="exact"/>
              <w:jc w:val="left"/>
              <w:rPr>
                <w:rFonts w:ascii="宋体" w:hAnsi="宋体" w:cs="宋体"/>
                <w:kern w:val="0"/>
                <w:sz w:val="22"/>
                <w:szCs w:val="22"/>
                <w:highlight w:val="none"/>
              </w:rPr>
            </w:pPr>
          </w:p>
        </w:tc>
        <w:tc>
          <w:tcPr>
            <w:tcW w:w="538" w:type="pct"/>
            <w:tcBorders>
              <w:top w:val="single" w:color="000000" w:sz="4" w:space="0"/>
              <w:left w:val="nil"/>
              <w:bottom w:val="single" w:color="000000" w:sz="4" w:space="0"/>
              <w:right w:val="single" w:color="000000" w:sz="4" w:space="0"/>
            </w:tcBorders>
            <w:vAlign w:val="center"/>
          </w:tcPr>
          <w:p w14:paraId="64565457">
            <w:pPr>
              <w:pageBreakBefore w:val="0"/>
              <w:widowControl/>
              <w:kinsoku/>
              <w:overflowPunct/>
              <w:bidi w:val="0"/>
              <w:spacing w:line="500" w:lineRule="exact"/>
              <w:jc w:val="left"/>
              <w:rPr>
                <w:rFonts w:ascii="宋体" w:hAnsi="宋体" w:cs="宋体"/>
                <w:kern w:val="0"/>
                <w:sz w:val="22"/>
                <w:szCs w:val="22"/>
                <w:highlight w:val="none"/>
              </w:rPr>
            </w:pPr>
          </w:p>
        </w:tc>
      </w:tr>
      <w:tr w14:paraId="2138D3C9">
        <w:tblPrEx>
          <w:tblCellMar>
            <w:top w:w="0" w:type="dxa"/>
            <w:left w:w="108" w:type="dxa"/>
            <w:bottom w:w="0" w:type="dxa"/>
            <w:right w:w="108" w:type="dxa"/>
          </w:tblCellMar>
        </w:tblPrEx>
        <w:trPr>
          <w:trHeight w:val="1348" w:hRule="atLeast"/>
          <w:jc w:val="center"/>
        </w:trPr>
        <w:tc>
          <w:tcPr>
            <w:tcW w:w="1810" w:type="pct"/>
            <w:gridSpan w:val="3"/>
            <w:tcBorders>
              <w:top w:val="single" w:color="000000" w:sz="4" w:space="0"/>
              <w:left w:val="single" w:color="000000" w:sz="4" w:space="0"/>
              <w:bottom w:val="single" w:color="000000" w:sz="4" w:space="0"/>
              <w:right w:val="single" w:color="auto" w:sz="4" w:space="0"/>
            </w:tcBorders>
            <w:vAlign w:val="center"/>
          </w:tcPr>
          <w:p w14:paraId="7981D14A">
            <w:pPr>
              <w:pageBreakBefore w:val="0"/>
              <w:widowControl/>
              <w:kinsoku/>
              <w:overflowPunct/>
              <w:bidi w:val="0"/>
              <w:snapToGrid w:val="0"/>
              <w:spacing w:before="100" w:beforeAutospacing="1" w:after="100" w:afterAutospacing="1" w:line="500" w:lineRule="exact"/>
              <w:ind w:right="-330"/>
              <w:jc w:val="center"/>
              <w:rPr>
                <w:rFonts w:ascii="宋体" w:hAnsi="宋体" w:cs="宋体"/>
                <w:kern w:val="0"/>
                <w:sz w:val="22"/>
                <w:szCs w:val="22"/>
                <w:highlight w:val="none"/>
              </w:rPr>
            </w:pPr>
            <w:r>
              <w:rPr>
                <w:rFonts w:hint="eastAsia" w:ascii="宋体" w:hAnsi="宋体" w:cs="宋体"/>
                <w:sz w:val="22"/>
                <w:szCs w:val="22"/>
                <w:highlight w:val="none"/>
              </w:rPr>
              <w:t>报价金额合计</w:t>
            </w:r>
          </w:p>
        </w:tc>
        <w:tc>
          <w:tcPr>
            <w:tcW w:w="3189" w:type="pct"/>
            <w:gridSpan w:val="6"/>
            <w:tcBorders>
              <w:top w:val="single" w:color="000000" w:sz="4" w:space="0"/>
              <w:left w:val="single" w:color="auto" w:sz="4" w:space="0"/>
              <w:bottom w:val="single" w:color="000000" w:sz="4" w:space="0"/>
              <w:right w:val="single" w:color="000000" w:sz="4" w:space="0"/>
            </w:tcBorders>
            <w:vAlign w:val="center"/>
          </w:tcPr>
          <w:p w14:paraId="50F29A8A">
            <w:pPr>
              <w:pageBreakBefore w:val="0"/>
              <w:kinsoku/>
              <w:overflowPunct/>
              <w:bidi w:val="0"/>
              <w:spacing w:line="500" w:lineRule="exact"/>
              <w:rPr>
                <w:rFonts w:ascii="宋体" w:hAnsi="宋体" w:cs="宋体"/>
                <w:sz w:val="22"/>
                <w:szCs w:val="22"/>
                <w:highlight w:val="none"/>
              </w:rPr>
            </w:pPr>
            <w:r>
              <w:rPr>
                <w:rFonts w:hint="eastAsia" w:ascii="宋体" w:hAnsi="宋体" w:cs="宋体"/>
                <w:sz w:val="22"/>
                <w:szCs w:val="22"/>
                <w:highlight w:val="none"/>
              </w:rPr>
              <w:t>大写：</w:t>
            </w:r>
          </w:p>
          <w:p w14:paraId="5A0CC678">
            <w:pPr>
              <w:pageBreakBefore w:val="0"/>
              <w:kinsoku/>
              <w:overflowPunct/>
              <w:bidi w:val="0"/>
              <w:spacing w:line="500" w:lineRule="exact"/>
              <w:rPr>
                <w:rFonts w:ascii="宋体" w:hAnsi="宋体" w:cs="宋体"/>
                <w:sz w:val="22"/>
                <w:szCs w:val="22"/>
                <w:highlight w:val="none"/>
              </w:rPr>
            </w:pPr>
          </w:p>
          <w:p w14:paraId="74F43243">
            <w:pPr>
              <w:pageBreakBefore w:val="0"/>
              <w:kinsoku/>
              <w:overflowPunct/>
              <w:bidi w:val="0"/>
              <w:spacing w:line="500" w:lineRule="exact"/>
              <w:rPr>
                <w:rFonts w:ascii="宋体" w:hAnsi="宋体" w:cs="宋体"/>
                <w:kern w:val="0"/>
                <w:sz w:val="22"/>
                <w:szCs w:val="22"/>
                <w:highlight w:val="none"/>
              </w:rPr>
            </w:pPr>
            <w:r>
              <w:rPr>
                <w:rFonts w:hint="eastAsia" w:ascii="宋体" w:hAnsi="宋体" w:cs="宋体"/>
                <w:sz w:val="22"/>
                <w:szCs w:val="22"/>
                <w:highlight w:val="none"/>
              </w:rPr>
              <w:t>小写：</w:t>
            </w:r>
          </w:p>
        </w:tc>
      </w:tr>
      <w:tr w14:paraId="1F3CAB33">
        <w:tblPrEx>
          <w:tblCellMar>
            <w:top w:w="0" w:type="dxa"/>
            <w:left w:w="108" w:type="dxa"/>
            <w:bottom w:w="0" w:type="dxa"/>
            <w:right w:w="108" w:type="dxa"/>
          </w:tblCellMar>
        </w:tblPrEx>
        <w:trPr>
          <w:trHeight w:val="837"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3678CC28">
            <w:pPr>
              <w:pageBreakBefore w:val="0"/>
              <w:widowControl/>
              <w:kinsoku/>
              <w:overflowPunct/>
              <w:bidi w:val="0"/>
              <w:snapToGrid w:val="0"/>
              <w:spacing w:before="100" w:beforeAutospacing="1" w:after="100" w:afterAutospacing="1" w:line="500" w:lineRule="exact"/>
              <w:ind w:right="-330"/>
              <w:rPr>
                <w:rFonts w:hint="eastAsia" w:ascii="宋体" w:hAnsi="宋体" w:cs="宋体"/>
                <w:b/>
                <w:kern w:val="0"/>
                <w:sz w:val="22"/>
                <w:szCs w:val="22"/>
                <w:highlight w:val="none"/>
              </w:rPr>
            </w:pPr>
            <w:r>
              <w:rPr>
                <w:rFonts w:hint="eastAsia" w:ascii="宋体" w:hAnsi="宋体" w:cs="宋体"/>
                <w:b/>
                <w:kern w:val="0"/>
                <w:sz w:val="22"/>
                <w:szCs w:val="22"/>
                <w:highlight w:val="none"/>
              </w:rPr>
              <w:t xml:space="preserve">备注： </w:t>
            </w:r>
          </w:p>
        </w:tc>
      </w:tr>
    </w:tbl>
    <w:p w14:paraId="6217D470">
      <w:pPr>
        <w:pageBreakBefore w:val="0"/>
        <w:kinsoku/>
        <w:overflowPunct/>
        <w:bidi w:val="0"/>
        <w:spacing w:line="500" w:lineRule="exact"/>
        <w:ind w:right="420"/>
        <w:jc w:val="center"/>
        <w:rPr>
          <w:rFonts w:ascii="宋体" w:hAnsi="宋体" w:cs="宋体"/>
          <w:sz w:val="24"/>
          <w:highlight w:val="none"/>
        </w:rPr>
      </w:pPr>
    </w:p>
    <w:p w14:paraId="7C3FFF8D">
      <w:pPr>
        <w:pageBreakBefore w:val="0"/>
        <w:kinsoku/>
        <w:overflowPunct/>
        <w:bidi w:val="0"/>
        <w:spacing w:line="500" w:lineRule="exact"/>
        <w:jc w:val="right"/>
        <w:rPr>
          <w:rFonts w:hint="eastAsia"/>
          <w:highlight w:val="none"/>
        </w:rPr>
      </w:pPr>
      <w:bookmarkStart w:id="319" w:name="_Toc4992_WPSOffice_Level1"/>
      <w:bookmarkStart w:id="320" w:name="_Toc29202"/>
      <w:bookmarkStart w:id="321" w:name="_Toc32487"/>
      <w:r>
        <w:rPr>
          <w:rFonts w:hint="eastAsia" w:ascii="宋体" w:hAnsi="宋体" w:cs="宋体"/>
          <w:highlight w:val="none"/>
          <w:lang w:val="en-US" w:eastAsia="zh-CN"/>
        </w:rPr>
        <w:t xml:space="preserve">                </w:t>
      </w:r>
      <w:r>
        <w:rPr>
          <w:rFonts w:hint="eastAsia"/>
          <w:highlight w:val="none"/>
          <w:lang w:val="en-US" w:eastAsia="zh-CN"/>
        </w:rPr>
        <w:t xml:space="preserve">     </w:t>
      </w:r>
      <w:r>
        <w:rPr>
          <w:rFonts w:hint="eastAsia"/>
          <w:highlight w:val="none"/>
        </w:rPr>
        <w:t>供应商名称：</w:t>
      </w:r>
      <w:bookmarkEnd w:id="319"/>
      <w:bookmarkEnd w:id="320"/>
      <w:r>
        <w:rPr>
          <w:rFonts w:hint="eastAsia"/>
          <w:highlight w:val="none"/>
        </w:rPr>
        <w:t>（盖单位公章）</w:t>
      </w:r>
      <w:bookmarkEnd w:id="321"/>
    </w:p>
    <w:p w14:paraId="5FF2039A">
      <w:pPr>
        <w:pageBreakBefore w:val="0"/>
        <w:kinsoku/>
        <w:overflowPunct/>
        <w:bidi w:val="0"/>
        <w:spacing w:line="500" w:lineRule="exact"/>
        <w:jc w:val="right"/>
        <w:rPr>
          <w:highlight w:val="none"/>
        </w:rPr>
      </w:pPr>
    </w:p>
    <w:p w14:paraId="1D781513">
      <w:pPr>
        <w:pageBreakBefore w:val="0"/>
        <w:kinsoku/>
        <w:overflowPunct/>
        <w:bidi w:val="0"/>
        <w:spacing w:line="500" w:lineRule="exact"/>
        <w:jc w:val="right"/>
        <w:rPr>
          <w:highlight w:val="none"/>
        </w:rPr>
      </w:pPr>
      <w:bookmarkStart w:id="322" w:name="_Toc2424"/>
      <w:bookmarkStart w:id="323" w:name="_Toc25724_WPSOffice_Level1"/>
      <w:r>
        <w:rPr>
          <w:rFonts w:hint="eastAsia"/>
          <w:highlight w:val="none"/>
        </w:rPr>
        <w:t xml:space="preserve">               </w:t>
      </w:r>
      <w:bookmarkStart w:id="324" w:name="_Toc6632"/>
      <w:r>
        <w:rPr>
          <w:rFonts w:hint="eastAsia"/>
          <w:highlight w:val="none"/>
        </w:rPr>
        <w:t>法定代表人：</w:t>
      </w:r>
      <w:bookmarkEnd w:id="322"/>
      <w:bookmarkEnd w:id="323"/>
      <w:r>
        <w:rPr>
          <w:rFonts w:hint="eastAsia"/>
          <w:highlight w:val="none"/>
        </w:rPr>
        <w:t>（盖章）</w:t>
      </w:r>
      <w:bookmarkEnd w:id="324"/>
    </w:p>
    <w:p w14:paraId="69FB954A">
      <w:pPr>
        <w:pageBreakBefore w:val="0"/>
        <w:kinsoku/>
        <w:overflowPunct/>
        <w:bidi w:val="0"/>
        <w:spacing w:line="500" w:lineRule="exact"/>
        <w:jc w:val="right"/>
        <w:rPr>
          <w:highlight w:val="none"/>
        </w:rPr>
      </w:pPr>
    </w:p>
    <w:p w14:paraId="302726DE">
      <w:pPr>
        <w:pageBreakBefore w:val="0"/>
        <w:kinsoku/>
        <w:overflowPunct/>
        <w:bidi w:val="0"/>
        <w:spacing w:line="500" w:lineRule="exact"/>
        <w:jc w:val="right"/>
        <w:rPr>
          <w:rFonts w:hint="eastAsia"/>
          <w:highlight w:val="none"/>
        </w:rPr>
      </w:pPr>
      <w:r>
        <w:rPr>
          <w:rFonts w:hint="eastAsia"/>
          <w:highlight w:val="none"/>
        </w:rPr>
        <w:t xml:space="preserve">                                 日      期：</w:t>
      </w:r>
      <w:r>
        <w:rPr>
          <w:rFonts w:hint="eastAsia"/>
          <w:highlight w:val="none"/>
          <w:lang w:val="en-US" w:eastAsia="zh-CN"/>
        </w:rPr>
        <w:t xml:space="preserve">  </w:t>
      </w:r>
      <w:r>
        <w:rPr>
          <w:rFonts w:hint="eastAsia"/>
          <w:highlight w:val="none"/>
        </w:rPr>
        <w:t>年</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rFonts w:hint="eastAsia"/>
          <w:highlight w:val="none"/>
        </w:rPr>
        <w:t>日</w:t>
      </w:r>
    </w:p>
    <w:p w14:paraId="2C58C7A6">
      <w:pPr>
        <w:pStyle w:val="25"/>
        <w:rPr>
          <w:rFonts w:hint="eastAsia"/>
          <w:highlight w:val="none"/>
        </w:rPr>
      </w:pPr>
    </w:p>
    <w:p w14:paraId="023451EF">
      <w:pPr>
        <w:rPr>
          <w:highlight w:val="none"/>
        </w:rPr>
      </w:pPr>
    </w:p>
    <w:p w14:paraId="48A95E09">
      <w:pPr>
        <w:pageBreakBefore w:val="0"/>
        <w:kinsoku/>
        <w:overflowPunct/>
        <w:bidi w:val="0"/>
        <w:spacing w:line="500" w:lineRule="exact"/>
        <w:ind w:left="420"/>
        <w:jc w:val="center"/>
        <w:outlineLvl w:val="0"/>
        <w:rPr>
          <w:rFonts w:ascii="宋体" w:hAnsi="宋体" w:cs="宋体"/>
          <w:b/>
          <w:sz w:val="30"/>
          <w:szCs w:val="30"/>
          <w:highlight w:val="none"/>
        </w:rPr>
      </w:pPr>
      <w:bookmarkStart w:id="325" w:name="_Toc2616"/>
      <w:r>
        <w:rPr>
          <w:rFonts w:hint="eastAsia" w:ascii="宋体" w:hAnsi="宋体" w:cs="宋体"/>
          <w:b/>
          <w:sz w:val="30"/>
          <w:szCs w:val="30"/>
          <w:highlight w:val="none"/>
        </w:rPr>
        <w:t>二、技术参数一览表</w:t>
      </w:r>
      <w:bookmarkEnd w:id="325"/>
    </w:p>
    <w:p w14:paraId="5C4CCB00">
      <w:pPr>
        <w:pageBreakBefore w:val="0"/>
        <w:kinsoku/>
        <w:overflowPunct/>
        <w:autoSpaceDE w:val="0"/>
        <w:autoSpaceDN w:val="0"/>
        <w:bidi w:val="0"/>
        <w:spacing w:line="500" w:lineRule="exact"/>
        <w:rPr>
          <w:rFonts w:ascii="宋体" w:hAnsi="宋体" w:cs="宋体"/>
          <w:sz w:val="22"/>
          <w:szCs w:val="22"/>
          <w:highlight w:val="none"/>
        </w:rPr>
      </w:pPr>
      <w:r>
        <w:rPr>
          <w:rFonts w:hint="eastAsia" w:ascii="宋体" w:hAnsi="宋体" w:cs="宋体"/>
          <w:sz w:val="22"/>
          <w:szCs w:val="22"/>
          <w:highlight w:val="none"/>
        </w:rPr>
        <w:t>供应商名称：</w:t>
      </w:r>
    </w:p>
    <w:p w14:paraId="3B57BE80">
      <w:pPr>
        <w:pageBreakBefore w:val="0"/>
        <w:kinsoku/>
        <w:overflowPunct/>
        <w:autoSpaceDE w:val="0"/>
        <w:autoSpaceDN w:val="0"/>
        <w:bidi w:val="0"/>
        <w:spacing w:line="500" w:lineRule="exact"/>
        <w:rPr>
          <w:rFonts w:ascii="宋体" w:hAnsi="宋体" w:cs="宋体"/>
          <w:sz w:val="22"/>
          <w:szCs w:val="22"/>
          <w:highlight w:val="none"/>
          <w:u w:val="single"/>
        </w:rPr>
      </w:pPr>
      <w:r>
        <w:rPr>
          <w:rFonts w:hint="eastAsia" w:ascii="宋体" w:hAnsi="宋体" w:cs="宋体"/>
          <w:sz w:val="22"/>
          <w:szCs w:val="22"/>
          <w:highlight w:val="none"/>
        </w:rPr>
        <w:t>项目编号：</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648"/>
        <w:gridCol w:w="2321"/>
        <w:gridCol w:w="1313"/>
        <w:gridCol w:w="1315"/>
        <w:gridCol w:w="2116"/>
      </w:tblGrid>
      <w:tr w14:paraId="5529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04D0EDB6">
            <w:pPr>
              <w:pageBreakBefore w:val="0"/>
              <w:widowControl/>
              <w:kinsoku/>
              <w:overflowPunct/>
              <w:bidi w:val="0"/>
              <w:spacing w:line="500" w:lineRule="exact"/>
              <w:jc w:val="center"/>
              <w:rPr>
                <w:rFonts w:ascii="宋体" w:hAnsi="宋体" w:cs="宋体"/>
                <w:sz w:val="22"/>
                <w:szCs w:val="22"/>
                <w:highlight w:val="none"/>
              </w:rPr>
            </w:pPr>
            <w:r>
              <w:rPr>
                <w:rFonts w:hint="eastAsia" w:ascii="宋体" w:hAnsi="宋体" w:cs="宋体"/>
                <w:sz w:val="22"/>
                <w:szCs w:val="22"/>
                <w:highlight w:val="none"/>
              </w:rPr>
              <w:t>序号</w:t>
            </w:r>
          </w:p>
        </w:tc>
        <w:tc>
          <w:tcPr>
            <w:tcW w:w="860" w:type="pct"/>
            <w:tcBorders>
              <w:top w:val="single" w:color="auto" w:sz="4" w:space="0"/>
              <w:left w:val="nil"/>
              <w:bottom w:val="single" w:color="auto" w:sz="4" w:space="0"/>
              <w:right w:val="single" w:color="auto" w:sz="4" w:space="0"/>
            </w:tcBorders>
            <w:vAlign w:val="center"/>
          </w:tcPr>
          <w:p w14:paraId="0D898AF8">
            <w:pPr>
              <w:pageBreakBefore w:val="0"/>
              <w:widowControl/>
              <w:kinsoku/>
              <w:overflowPunct/>
              <w:bidi w:val="0"/>
              <w:spacing w:line="500" w:lineRule="exact"/>
              <w:jc w:val="center"/>
              <w:rPr>
                <w:rFonts w:ascii="宋体" w:hAnsi="宋体" w:cs="宋体"/>
                <w:sz w:val="22"/>
                <w:szCs w:val="22"/>
                <w:highlight w:val="none"/>
              </w:rPr>
            </w:pPr>
            <w:r>
              <w:rPr>
                <w:rFonts w:hint="eastAsia" w:ascii="宋体" w:hAnsi="宋体" w:cs="宋体"/>
                <w:sz w:val="22"/>
                <w:szCs w:val="22"/>
                <w:highlight w:val="none"/>
              </w:rPr>
              <w:t>名称</w:t>
            </w:r>
          </w:p>
        </w:tc>
        <w:tc>
          <w:tcPr>
            <w:tcW w:w="1211" w:type="pct"/>
            <w:tcBorders>
              <w:top w:val="single" w:color="auto" w:sz="4" w:space="0"/>
              <w:left w:val="nil"/>
              <w:bottom w:val="single" w:color="auto" w:sz="4" w:space="0"/>
              <w:right w:val="single" w:color="auto" w:sz="4" w:space="0"/>
            </w:tcBorders>
            <w:vAlign w:val="center"/>
          </w:tcPr>
          <w:p w14:paraId="420E9169">
            <w:pPr>
              <w:pageBreakBefore w:val="0"/>
              <w:widowControl/>
              <w:kinsoku/>
              <w:overflowPunct/>
              <w:bidi w:val="0"/>
              <w:spacing w:line="500" w:lineRule="exact"/>
              <w:ind w:firstLine="110" w:firstLineChars="50"/>
              <w:jc w:val="center"/>
              <w:rPr>
                <w:rFonts w:hint="eastAsia" w:ascii="宋体" w:hAnsi="宋体" w:cs="宋体"/>
                <w:sz w:val="22"/>
                <w:szCs w:val="22"/>
                <w:highlight w:val="none"/>
                <w:lang w:eastAsia="zh-CN"/>
              </w:rPr>
            </w:pPr>
            <w:r>
              <w:rPr>
                <w:rFonts w:hint="eastAsia" w:ascii="宋体" w:hAnsi="宋体" w:cs="宋体"/>
                <w:sz w:val="22"/>
                <w:szCs w:val="22"/>
                <w:highlight w:val="none"/>
                <w:lang w:eastAsia="zh-CN"/>
              </w:rPr>
              <w:t>技术参数</w:t>
            </w:r>
          </w:p>
        </w:tc>
        <w:tc>
          <w:tcPr>
            <w:tcW w:w="685" w:type="pct"/>
            <w:tcBorders>
              <w:top w:val="single" w:color="auto" w:sz="4" w:space="0"/>
              <w:left w:val="nil"/>
              <w:bottom w:val="single" w:color="auto" w:sz="4" w:space="0"/>
              <w:right w:val="single" w:color="auto" w:sz="4" w:space="0"/>
            </w:tcBorders>
            <w:vAlign w:val="center"/>
          </w:tcPr>
          <w:p w14:paraId="58805B1B">
            <w:pPr>
              <w:pageBreakBefore w:val="0"/>
              <w:widowControl/>
              <w:kinsoku/>
              <w:overflowPunct/>
              <w:bidi w:val="0"/>
              <w:spacing w:line="500" w:lineRule="exact"/>
              <w:jc w:val="center"/>
              <w:rPr>
                <w:rFonts w:ascii="宋体" w:hAnsi="宋体" w:cs="宋体"/>
                <w:sz w:val="22"/>
                <w:szCs w:val="22"/>
                <w:highlight w:val="none"/>
              </w:rPr>
            </w:pPr>
            <w:r>
              <w:rPr>
                <w:rFonts w:hint="eastAsia" w:ascii="宋体" w:hAnsi="宋体" w:cs="宋体"/>
                <w:sz w:val="22"/>
                <w:szCs w:val="22"/>
                <w:highlight w:val="none"/>
              </w:rPr>
              <w:t>单位</w:t>
            </w:r>
          </w:p>
        </w:tc>
        <w:tc>
          <w:tcPr>
            <w:tcW w:w="686" w:type="pct"/>
            <w:tcBorders>
              <w:top w:val="single" w:color="auto" w:sz="4" w:space="0"/>
              <w:left w:val="nil"/>
              <w:bottom w:val="single" w:color="auto" w:sz="4" w:space="0"/>
              <w:right w:val="single" w:color="auto" w:sz="4" w:space="0"/>
            </w:tcBorders>
            <w:vAlign w:val="center"/>
          </w:tcPr>
          <w:p w14:paraId="3B427F4D">
            <w:pPr>
              <w:pageBreakBefore w:val="0"/>
              <w:kinsoku/>
              <w:overflowPunct/>
              <w:autoSpaceDE w:val="0"/>
              <w:autoSpaceDN w:val="0"/>
              <w:bidi w:val="0"/>
              <w:spacing w:line="500" w:lineRule="exact"/>
              <w:jc w:val="center"/>
              <w:rPr>
                <w:rFonts w:ascii="宋体" w:hAnsi="宋体" w:cs="宋体"/>
                <w:sz w:val="22"/>
                <w:szCs w:val="22"/>
                <w:highlight w:val="none"/>
              </w:rPr>
            </w:pPr>
            <w:r>
              <w:rPr>
                <w:rFonts w:hint="eastAsia" w:ascii="宋体" w:hAnsi="宋体" w:cs="宋体"/>
                <w:sz w:val="22"/>
                <w:szCs w:val="22"/>
                <w:highlight w:val="none"/>
              </w:rPr>
              <w:t>数量</w:t>
            </w:r>
          </w:p>
        </w:tc>
        <w:tc>
          <w:tcPr>
            <w:tcW w:w="1104" w:type="pct"/>
            <w:tcBorders>
              <w:top w:val="single" w:color="auto" w:sz="4" w:space="0"/>
              <w:left w:val="nil"/>
              <w:bottom w:val="single" w:color="auto" w:sz="4" w:space="0"/>
              <w:right w:val="single" w:color="auto" w:sz="4" w:space="0"/>
            </w:tcBorders>
            <w:vAlign w:val="center"/>
          </w:tcPr>
          <w:p w14:paraId="1C2E0C7C">
            <w:pPr>
              <w:pageBreakBefore w:val="0"/>
              <w:widowControl/>
              <w:kinsoku/>
              <w:overflowPunct/>
              <w:bidi w:val="0"/>
              <w:spacing w:line="500" w:lineRule="exact"/>
              <w:jc w:val="center"/>
              <w:rPr>
                <w:rFonts w:ascii="宋体" w:hAnsi="宋体" w:cs="宋体"/>
                <w:sz w:val="22"/>
                <w:szCs w:val="22"/>
                <w:highlight w:val="none"/>
              </w:rPr>
            </w:pPr>
            <w:r>
              <w:rPr>
                <w:rFonts w:hint="eastAsia" w:ascii="宋体" w:hAnsi="宋体" w:cs="宋体"/>
                <w:sz w:val="22"/>
                <w:szCs w:val="22"/>
                <w:highlight w:val="none"/>
              </w:rPr>
              <w:t>生产厂家</w:t>
            </w:r>
          </w:p>
        </w:tc>
      </w:tr>
      <w:tr w14:paraId="532F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51" w:type="pct"/>
            <w:tcBorders>
              <w:top w:val="single" w:color="auto" w:sz="4" w:space="0"/>
              <w:left w:val="single" w:color="auto" w:sz="4" w:space="0"/>
              <w:bottom w:val="single" w:color="auto" w:sz="4" w:space="0"/>
              <w:right w:val="single" w:color="auto" w:sz="4" w:space="0"/>
            </w:tcBorders>
          </w:tcPr>
          <w:p w14:paraId="46CD60AA">
            <w:pPr>
              <w:pageBreakBefore w:val="0"/>
              <w:kinsoku/>
              <w:overflowPunct/>
              <w:autoSpaceDE w:val="0"/>
              <w:autoSpaceDN w:val="0"/>
              <w:bidi w:val="0"/>
              <w:spacing w:line="500" w:lineRule="exact"/>
              <w:jc w:val="center"/>
              <w:rPr>
                <w:rFonts w:ascii="宋体" w:hAnsi="宋体" w:cs="宋体"/>
                <w:sz w:val="22"/>
                <w:szCs w:val="22"/>
                <w:highlight w:val="none"/>
              </w:rPr>
            </w:pPr>
          </w:p>
        </w:tc>
        <w:tc>
          <w:tcPr>
            <w:tcW w:w="860" w:type="pct"/>
            <w:tcBorders>
              <w:top w:val="single" w:color="auto" w:sz="4" w:space="0"/>
              <w:left w:val="nil"/>
              <w:bottom w:val="single" w:color="auto" w:sz="4" w:space="0"/>
              <w:right w:val="single" w:color="auto" w:sz="4" w:space="0"/>
            </w:tcBorders>
            <w:vAlign w:val="center"/>
          </w:tcPr>
          <w:p w14:paraId="49A44397">
            <w:pPr>
              <w:pageBreakBefore w:val="0"/>
              <w:kinsoku/>
              <w:overflowPunct/>
              <w:autoSpaceDE w:val="0"/>
              <w:autoSpaceDN w:val="0"/>
              <w:bidi w:val="0"/>
              <w:spacing w:line="500" w:lineRule="exact"/>
              <w:jc w:val="center"/>
              <w:rPr>
                <w:rFonts w:ascii="宋体" w:hAnsi="宋体" w:cs="宋体"/>
                <w:sz w:val="22"/>
                <w:szCs w:val="22"/>
                <w:highlight w:val="none"/>
              </w:rPr>
            </w:pPr>
          </w:p>
        </w:tc>
        <w:tc>
          <w:tcPr>
            <w:tcW w:w="1211" w:type="pct"/>
            <w:tcBorders>
              <w:top w:val="single" w:color="auto" w:sz="4" w:space="0"/>
              <w:left w:val="nil"/>
              <w:bottom w:val="single" w:color="auto" w:sz="4" w:space="0"/>
              <w:right w:val="single" w:color="auto" w:sz="4" w:space="0"/>
            </w:tcBorders>
            <w:vAlign w:val="center"/>
          </w:tcPr>
          <w:p w14:paraId="0A12316F">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5" w:type="pct"/>
            <w:tcBorders>
              <w:top w:val="single" w:color="auto" w:sz="4" w:space="0"/>
              <w:left w:val="nil"/>
              <w:bottom w:val="single" w:color="auto" w:sz="4" w:space="0"/>
              <w:right w:val="single" w:color="auto" w:sz="4" w:space="0"/>
            </w:tcBorders>
            <w:vAlign w:val="center"/>
          </w:tcPr>
          <w:p w14:paraId="5F2BBE99">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6" w:type="pct"/>
            <w:tcBorders>
              <w:top w:val="single" w:color="auto" w:sz="4" w:space="0"/>
              <w:left w:val="nil"/>
              <w:bottom w:val="single" w:color="auto" w:sz="4" w:space="0"/>
              <w:right w:val="single" w:color="auto" w:sz="4" w:space="0"/>
            </w:tcBorders>
            <w:vAlign w:val="center"/>
          </w:tcPr>
          <w:p w14:paraId="044F1E3A">
            <w:pPr>
              <w:pageBreakBefore w:val="0"/>
              <w:kinsoku/>
              <w:overflowPunct/>
              <w:autoSpaceDE w:val="0"/>
              <w:autoSpaceDN w:val="0"/>
              <w:bidi w:val="0"/>
              <w:spacing w:line="500" w:lineRule="exact"/>
              <w:jc w:val="center"/>
              <w:rPr>
                <w:rFonts w:ascii="宋体" w:hAnsi="宋体" w:cs="宋体"/>
                <w:sz w:val="22"/>
                <w:szCs w:val="22"/>
                <w:highlight w:val="none"/>
              </w:rPr>
            </w:pPr>
          </w:p>
        </w:tc>
        <w:tc>
          <w:tcPr>
            <w:tcW w:w="1104" w:type="pct"/>
            <w:tcBorders>
              <w:top w:val="single" w:color="auto" w:sz="4" w:space="0"/>
              <w:left w:val="nil"/>
              <w:bottom w:val="single" w:color="auto" w:sz="4" w:space="0"/>
              <w:right w:val="single" w:color="auto" w:sz="4" w:space="0"/>
            </w:tcBorders>
            <w:vAlign w:val="center"/>
          </w:tcPr>
          <w:p w14:paraId="63EB70A1">
            <w:pPr>
              <w:pageBreakBefore w:val="0"/>
              <w:kinsoku/>
              <w:overflowPunct/>
              <w:autoSpaceDE w:val="0"/>
              <w:autoSpaceDN w:val="0"/>
              <w:bidi w:val="0"/>
              <w:spacing w:line="500" w:lineRule="exact"/>
              <w:jc w:val="center"/>
              <w:rPr>
                <w:rFonts w:ascii="宋体" w:hAnsi="宋体" w:cs="宋体"/>
                <w:sz w:val="22"/>
                <w:szCs w:val="22"/>
                <w:highlight w:val="none"/>
              </w:rPr>
            </w:pPr>
          </w:p>
        </w:tc>
      </w:tr>
      <w:tr w14:paraId="00B6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1" w:type="pct"/>
            <w:tcBorders>
              <w:top w:val="single" w:color="auto" w:sz="4" w:space="0"/>
              <w:left w:val="single" w:color="auto" w:sz="4" w:space="0"/>
              <w:bottom w:val="single" w:color="auto" w:sz="4" w:space="0"/>
              <w:right w:val="single" w:color="auto" w:sz="4" w:space="0"/>
            </w:tcBorders>
          </w:tcPr>
          <w:p w14:paraId="4C3DDC98">
            <w:pPr>
              <w:pageBreakBefore w:val="0"/>
              <w:kinsoku/>
              <w:overflowPunct/>
              <w:autoSpaceDE w:val="0"/>
              <w:autoSpaceDN w:val="0"/>
              <w:bidi w:val="0"/>
              <w:spacing w:line="500" w:lineRule="exact"/>
              <w:jc w:val="center"/>
              <w:rPr>
                <w:rFonts w:ascii="宋体" w:hAnsi="宋体" w:cs="宋体"/>
                <w:sz w:val="22"/>
                <w:szCs w:val="22"/>
                <w:highlight w:val="none"/>
              </w:rPr>
            </w:pPr>
          </w:p>
        </w:tc>
        <w:tc>
          <w:tcPr>
            <w:tcW w:w="860" w:type="pct"/>
            <w:tcBorders>
              <w:top w:val="single" w:color="auto" w:sz="4" w:space="0"/>
              <w:left w:val="nil"/>
              <w:bottom w:val="single" w:color="auto" w:sz="4" w:space="0"/>
              <w:right w:val="single" w:color="auto" w:sz="4" w:space="0"/>
            </w:tcBorders>
            <w:vAlign w:val="center"/>
          </w:tcPr>
          <w:p w14:paraId="60477E79">
            <w:pPr>
              <w:pageBreakBefore w:val="0"/>
              <w:kinsoku/>
              <w:overflowPunct/>
              <w:autoSpaceDE w:val="0"/>
              <w:autoSpaceDN w:val="0"/>
              <w:bidi w:val="0"/>
              <w:spacing w:line="500" w:lineRule="exact"/>
              <w:jc w:val="center"/>
              <w:rPr>
                <w:rFonts w:ascii="宋体" w:hAnsi="宋体" w:cs="宋体"/>
                <w:sz w:val="22"/>
                <w:szCs w:val="22"/>
                <w:highlight w:val="none"/>
              </w:rPr>
            </w:pPr>
          </w:p>
        </w:tc>
        <w:tc>
          <w:tcPr>
            <w:tcW w:w="1211" w:type="pct"/>
            <w:tcBorders>
              <w:top w:val="single" w:color="auto" w:sz="4" w:space="0"/>
              <w:left w:val="nil"/>
              <w:bottom w:val="single" w:color="auto" w:sz="4" w:space="0"/>
              <w:right w:val="single" w:color="auto" w:sz="4" w:space="0"/>
            </w:tcBorders>
            <w:vAlign w:val="center"/>
          </w:tcPr>
          <w:p w14:paraId="0A4EFA21">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5" w:type="pct"/>
            <w:tcBorders>
              <w:top w:val="single" w:color="auto" w:sz="4" w:space="0"/>
              <w:left w:val="nil"/>
              <w:bottom w:val="single" w:color="auto" w:sz="4" w:space="0"/>
              <w:right w:val="single" w:color="auto" w:sz="4" w:space="0"/>
            </w:tcBorders>
            <w:vAlign w:val="center"/>
          </w:tcPr>
          <w:p w14:paraId="4F1F3B3D">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6" w:type="pct"/>
            <w:tcBorders>
              <w:top w:val="single" w:color="auto" w:sz="4" w:space="0"/>
              <w:left w:val="nil"/>
              <w:bottom w:val="single" w:color="auto" w:sz="4" w:space="0"/>
              <w:right w:val="single" w:color="auto" w:sz="4" w:space="0"/>
            </w:tcBorders>
            <w:vAlign w:val="center"/>
          </w:tcPr>
          <w:p w14:paraId="715789CD">
            <w:pPr>
              <w:pageBreakBefore w:val="0"/>
              <w:kinsoku/>
              <w:overflowPunct/>
              <w:autoSpaceDE w:val="0"/>
              <w:autoSpaceDN w:val="0"/>
              <w:bidi w:val="0"/>
              <w:spacing w:line="500" w:lineRule="exact"/>
              <w:jc w:val="center"/>
              <w:rPr>
                <w:rFonts w:ascii="宋体" w:hAnsi="宋体" w:cs="宋体"/>
                <w:sz w:val="22"/>
                <w:szCs w:val="22"/>
                <w:highlight w:val="none"/>
              </w:rPr>
            </w:pPr>
          </w:p>
        </w:tc>
        <w:tc>
          <w:tcPr>
            <w:tcW w:w="1104" w:type="pct"/>
            <w:tcBorders>
              <w:top w:val="single" w:color="auto" w:sz="4" w:space="0"/>
              <w:left w:val="nil"/>
              <w:bottom w:val="single" w:color="auto" w:sz="4" w:space="0"/>
              <w:right w:val="single" w:color="auto" w:sz="4" w:space="0"/>
            </w:tcBorders>
            <w:vAlign w:val="center"/>
          </w:tcPr>
          <w:p w14:paraId="103F8D92">
            <w:pPr>
              <w:pageBreakBefore w:val="0"/>
              <w:kinsoku/>
              <w:overflowPunct/>
              <w:autoSpaceDE w:val="0"/>
              <w:autoSpaceDN w:val="0"/>
              <w:bidi w:val="0"/>
              <w:spacing w:line="500" w:lineRule="exact"/>
              <w:jc w:val="center"/>
              <w:rPr>
                <w:rFonts w:ascii="宋体" w:hAnsi="宋体" w:cs="宋体"/>
                <w:sz w:val="22"/>
                <w:szCs w:val="22"/>
                <w:highlight w:val="none"/>
              </w:rPr>
            </w:pPr>
          </w:p>
        </w:tc>
      </w:tr>
      <w:tr w14:paraId="393A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1" w:type="pct"/>
            <w:tcBorders>
              <w:top w:val="single" w:color="auto" w:sz="4" w:space="0"/>
              <w:left w:val="single" w:color="auto" w:sz="4" w:space="0"/>
              <w:bottom w:val="single" w:color="auto" w:sz="4" w:space="0"/>
              <w:right w:val="single" w:color="auto" w:sz="4" w:space="0"/>
            </w:tcBorders>
          </w:tcPr>
          <w:p w14:paraId="6E97E090">
            <w:pPr>
              <w:pageBreakBefore w:val="0"/>
              <w:kinsoku/>
              <w:overflowPunct/>
              <w:autoSpaceDE w:val="0"/>
              <w:autoSpaceDN w:val="0"/>
              <w:bidi w:val="0"/>
              <w:spacing w:line="500" w:lineRule="exact"/>
              <w:jc w:val="center"/>
              <w:rPr>
                <w:rFonts w:ascii="宋体" w:hAnsi="宋体" w:cs="宋体"/>
                <w:sz w:val="22"/>
                <w:szCs w:val="22"/>
                <w:highlight w:val="none"/>
              </w:rPr>
            </w:pPr>
          </w:p>
        </w:tc>
        <w:tc>
          <w:tcPr>
            <w:tcW w:w="860" w:type="pct"/>
            <w:tcBorders>
              <w:top w:val="single" w:color="auto" w:sz="4" w:space="0"/>
              <w:left w:val="nil"/>
              <w:bottom w:val="single" w:color="auto" w:sz="4" w:space="0"/>
              <w:right w:val="single" w:color="auto" w:sz="4" w:space="0"/>
            </w:tcBorders>
            <w:vAlign w:val="center"/>
          </w:tcPr>
          <w:p w14:paraId="7C6F8FB0">
            <w:pPr>
              <w:pageBreakBefore w:val="0"/>
              <w:kinsoku/>
              <w:overflowPunct/>
              <w:autoSpaceDE w:val="0"/>
              <w:autoSpaceDN w:val="0"/>
              <w:bidi w:val="0"/>
              <w:spacing w:line="500" w:lineRule="exact"/>
              <w:jc w:val="center"/>
              <w:rPr>
                <w:rFonts w:ascii="宋体" w:hAnsi="宋体" w:cs="宋体"/>
                <w:sz w:val="22"/>
                <w:szCs w:val="22"/>
                <w:highlight w:val="none"/>
              </w:rPr>
            </w:pPr>
          </w:p>
        </w:tc>
        <w:tc>
          <w:tcPr>
            <w:tcW w:w="1211" w:type="pct"/>
            <w:tcBorders>
              <w:top w:val="single" w:color="auto" w:sz="4" w:space="0"/>
              <w:left w:val="nil"/>
              <w:bottom w:val="single" w:color="auto" w:sz="4" w:space="0"/>
              <w:right w:val="single" w:color="auto" w:sz="4" w:space="0"/>
            </w:tcBorders>
            <w:vAlign w:val="center"/>
          </w:tcPr>
          <w:p w14:paraId="4F3584B0">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5" w:type="pct"/>
            <w:tcBorders>
              <w:top w:val="single" w:color="auto" w:sz="4" w:space="0"/>
              <w:left w:val="nil"/>
              <w:bottom w:val="single" w:color="auto" w:sz="4" w:space="0"/>
              <w:right w:val="single" w:color="auto" w:sz="4" w:space="0"/>
            </w:tcBorders>
            <w:vAlign w:val="center"/>
          </w:tcPr>
          <w:p w14:paraId="211CFBC2">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6" w:type="pct"/>
            <w:tcBorders>
              <w:top w:val="single" w:color="auto" w:sz="4" w:space="0"/>
              <w:left w:val="nil"/>
              <w:bottom w:val="single" w:color="auto" w:sz="4" w:space="0"/>
              <w:right w:val="single" w:color="auto" w:sz="4" w:space="0"/>
            </w:tcBorders>
            <w:vAlign w:val="center"/>
          </w:tcPr>
          <w:p w14:paraId="6AB7AE36">
            <w:pPr>
              <w:pageBreakBefore w:val="0"/>
              <w:kinsoku/>
              <w:overflowPunct/>
              <w:autoSpaceDE w:val="0"/>
              <w:autoSpaceDN w:val="0"/>
              <w:bidi w:val="0"/>
              <w:spacing w:line="500" w:lineRule="exact"/>
              <w:jc w:val="center"/>
              <w:rPr>
                <w:rFonts w:ascii="宋体" w:hAnsi="宋体" w:cs="宋体"/>
                <w:sz w:val="22"/>
                <w:szCs w:val="22"/>
                <w:highlight w:val="none"/>
              </w:rPr>
            </w:pPr>
          </w:p>
        </w:tc>
        <w:tc>
          <w:tcPr>
            <w:tcW w:w="1104" w:type="pct"/>
            <w:tcBorders>
              <w:top w:val="single" w:color="auto" w:sz="4" w:space="0"/>
              <w:left w:val="nil"/>
              <w:bottom w:val="single" w:color="auto" w:sz="4" w:space="0"/>
              <w:right w:val="single" w:color="auto" w:sz="4" w:space="0"/>
            </w:tcBorders>
            <w:vAlign w:val="center"/>
          </w:tcPr>
          <w:p w14:paraId="7A87EA64">
            <w:pPr>
              <w:pageBreakBefore w:val="0"/>
              <w:kinsoku/>
              <w:overflowPunct/>
              <w:autoSpaceDE w:val="0"/>
              <w:autoSpaceDN w:val="0"/>
              <w:bidi w:val="0"/>
              <w:spacing w:line="500" w:lineRule="exact"/>
              <w:jc w:val="center"/>
              <w:rPr>
                <w:rFonts w:ascii="宋体" w:hAnsi="宋体" w:cs="宋体"/>
                <w:sz w:val="22"/>
                <w:szCs w:val="22"/>
                <w:highlight w:val="none"/>
              </w:rPr>
            </w:pPr>
          </w:p>
        </w:tc>
      </w:tr>
      <w:tr w14:paraId="0CAD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1" w:type="pct"/>
            <w:tcBorders>
              <w:top w:val="single" w:color="auto" w:sz="4" w:space="0"/>
              <w:left w:val="single" w:color="auto" w:sz="4" w:space="0"/>
              <w:bottom w:val="single" w:color="auto" w:sz="4" w:space="0"/>
              <w:right w:val="single" w:color="auto" w:sz="4" w:space="0"/>
            </w:tcBorders>
          </w:tcPr>
          <w:p w14:paraId="082C27C9">
            <w:pPr>
              <w:pageBreakBefore w:val="0"/>
              <w:kinsoku/>
              <w:overflowPunct/>
              <w:autoSpaceDE w:val="0"/>
              <w:autoSpaceDN w:val="0"/>
              <w:bidi w:val="0"/>
              <w:spacing w:line="500" w:lineRule="exact"/>
              <w:jc w:val="center"/>
              <w:rPr>
                <w:rFonts w:ascii="宋体" w:hAnsi="宋体" w:cs="宋体"/>
                <w:sz w:val="22"/>
                <w:szCs w:val="22"/>
                <w:highlight w:val="none"/>
              </w:rPr>
            </w:pPr>
          </w:p>
        </w:tc>
        <w:tc>
          <w:tcPr>
            <w:tcW w:w="860" w:type="pct"/>
            <w:tcBorders>
              <w:top w:val="single" w:color="auto" w:sz="4" w:space="0"/>
              <w:left w:val="nil"/>
              <w:bottom w:val="single" w:color="auto" w:sz="4" w:space="0"/>
              <w:right w:val="single" w:color="auto" w:sz="4" w:space="0"/>
            </w:tcBorders>
            <w:vAlign w:val="center"/>
          </w:tcPr>
          <w:p w14:paraId="6DEC5067">
            <w:pPr>
              <w:pageBreakBefore w:val="0"/>
              <w:kinsoku/>
              <w:overflowPunct/>
              <w:autoSpaceDE w:val="0"/>
              <w:autoSpaceDN w:val="0"/>
              <w:bidi w:val="0"/>
              <w:spacing w:line="500" w:lineRule="exact"/>
              <w:jc w:val="center"/>
              <w:rPr>
                <w:rFonts w:ascii="宋体" w:hAnsi="宋体" w:cs="宋体"/>
                <w:sz w:val="22"/>
                <w:szCs w:val="22"/>
                <w:highlight w:val="none"/>
              </w:rPr>
            </w:pPr>
          </w:p>
        </w:tc>
        <w:tc>
          <w:tcPr>
            <w:tcW w:w="1211" w:type="pct"/>
            <w:tcBorders>
              <w:top w:val="single" w:color="auto" w:sz="4" w:space="0"/>
              <w:left w:val="nil"/>
              <w:bottom w:val="single" w:color="auto" w:sz="4" w:space="0"/>
              <w:right w:val="single" w:color="auto" w:sz="4" w:space="0"/>
            </w:tcBorders>
            <w:vAlign w:val="center"/>
          </w:tcPr>
          <w:p w14:paraId="5ECD15DF">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5" w:type="pct"/>
            <w:tcBorders>
              <w:top w:val="single" w:color="auto" w:sz="4" w:space="0"/>
              <w:left w:val="nil"/>
              <w:bottom w:val="single" w:color="auto" w:sz="4" w:space="0"/>
              <w:right w:val="single" w:color="auto" w:sz="4" w:space="0"/>
            </w:tcBorders>
            <w:vAlign w:val="center"/>
          </w:tcPr>
          <w:p w14:paraId="79F013AF">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6" w:type="pct"/>
            <w:tcBorders>
              <w:top w:val="single" w:color="auto" w:sz="4" w:space="0"/>
              <w:left w:val="nil"/>
              <w:bottom w:val="single" w:color="auto" w:sz="4" w:space="0"/>
              <w:right w:val="single" w:color="auto" w:sz="4" w:space="0"/>
            </w:tcBorders>
            <w:vAlign w:val="center"/>
          </w:tcPr>
          <w:p w14:paraId="03B93258">
            <w:pPr>
              <w:pageBreakBefore w:val="0"/>
              <w:kinsoku/>
              <w:overflowPunct/>
              <w:autoSpaceDE w:val="0"/>
              <w:autoSpaceDN w:val="0"/>
              <w:bidi w:val="0"/>
              <w:spacing w:line="500" w:lineRule="exact"/>
              <w:jc w:val="center"/>
              <w:rPr>
                <w:rFonts w:ascii="宋体" w:hAnsi="宋体" w:cs="宋体"/>
                <w:sz w:val="22"/>
                <w:szCs w:val="22"/>
                <w:highlight w:val="none"/>
              </w:rPr>
            </w:pPr>
          </w:p>
        </w:tc>
        <w:tc>
          <w:tcPr>
            <w:tcW w:w="1104" w:type="pct"/>
            <w:tcBorders>
              <w:top w:val="single" w:color="auto" w:sz="4" w:space="0"/>
              <w:left w:val="nil"/>
              <w:bottom w:val="single" w:color="auto" w:sz="4" w:space="0"/>
              <w:right w:val="single" w:color="auto" w:sz="4" w:space="0"/>
            </w:tcBorders>
            <w:vAlign w:val="center"/>
          </w:tcPr>
          <w:p w14:paraId="4814CA32">
            <w:pPr>
              <w:pageBreakBefore w:val="0"/>
              <w:kinsoku/>
              <w:overflowPunct/>
              <w:autoSpaceDE w:val="0"/>
              <w:autoSpaceDN w:val="0"/>
              <w:bidi w:val="0"/>
              <w:spacing w:line="500" w:lineRule="exact"/>
              <w:jc w:val="center"/>
              <w:rPr>
                <w:rFonts w:ascii="宋体" w:hAnsi="宋体" w:cs="宋体"/>
                <w:sz w:val="22"/>
                <w:szCs w:val="22"/>
                <w:highlight w:val="none"/>
              </w:rPr>
            </w:pPr>
          </w:p>
        </w:tc>
      </w:tr>
      <w:tr w14:paraId="3BED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1" w:type="pct"/>
            <w:tcBorders>
              <w:top w:val="single" w:color="auto" w:sz="4" w:space="0"/>
              <w:left w:val="single" w:color="auto" w:sz="4" w:space="0"/>
              <w:bottom w:val="single" w:color="auto" w:sz="4" w:space="0"/>
              <w:right w:val="single" w:color="auto" w:sz="4" w:space="0"/>
            </w:tcBorders>
          </w:tcPr>
          <w:p w14:paraId="756DF040">
            <w:pPr>
              <w:pageBreakBefore w:val="0"/>
              <w:kinsoku/>
              <w:overflowPunct/>
              <w:autoSpaceDE w:val="0"/>
              <w:autoSpaceDN w:val="0"/>
              <w:bidi w:val="0"/>
              <w:spacing w:line="500" w:lineRule="exact"/>
              <w:jc w:val="center"/>
              <w:rPr>
                <w:rFonts w:ascii="宋体" w:hAnsi="宋体" w:cs="宋体"/>
                <w:sz w:val="22"/>
                <w:szCs w:val="22"/>
                <w:highlight w:val="none"/>
              </w:rPr>
            </w:pPr>
          </w:p>
        </w:tc>
        <w:tc>
          <w:tcPr>
            <w:tcW w:w="860" w:type="pct"/>
            <w:tcBorders>
              <w:top w:val="single" w:color="auto" w:sz="4" w:space="0"/>
              <w:left w:val="nil"/>
              <w:bottom w:val="single" w:color="auto" w:sz="4" w:space="0"/>
              <w:right w:val="single" w:color="auto" w:sz="4" w:space="0"/>
            </w:tcBorders>
            <w:vAlign w:val="center"/>
          </w:tcPr>
          <w:p w14:paraId="2E4ED6C6">
            <w:pPr>
              <w:pageBreakBefore w:val="0"/>
              <w:kinsoku/>
              <w:overflowPunct/>
              <w:autoSpaceDE w:val="0"/>
              <w:autoSpaceDN w:val="0"/>
              <w:bidi w:val="0"/>
              <w:spacing w:line="500" w:lineRule="exact"/>
              <w:jc w:val="center"/>
              <w:rPr>
                <w:rFonts w:ascii="宋体" w:hAnsi="宋体" w:cs="宋体"/>
                <w:sz w:val="22"/>
                <w:szCs w:val="22"/>
                <w:highlight w:val="none"/>
              </w:rPr>
            </w:pPr>
          </w:p>
        </w:tc>
        <w:tc>
          <w:tcPr>
            <w:tcW w:w="1211" w:type="pct"/>
            <w:tcBorders>
              <w:top w:val="single" w:color="auto" w:sz="4" w:space="0"/>
              <w:left w:val="nil"/>
              <w:bottom w:val="single" w:color="auto" w:sz="4" w:space="0"/>
              <w:right w:val="single" w:color="auto" w:sz="4" w:space="0"/>
            </w:tcBorders>
            <w:vAlign w:val="center"/>
          </w:tcPr>
          <w:p w14:paraId="45520685">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5" w:type="pct"/>
            <w:tcBorders>
              <w:top w:val="single" w:color="auto" w:sz="4" w:space="0"/>
              <w:left w:val="nil"/>
              <w:bottom w:val="single" w:color="auto" w:sz="4" w:space="0"/>
              <w:right w:val="single" w:color="auto" w:sz="4" w:space="0"/>
            </w:tcBorders>
            <w:vAlign w:val="center"/>
          </w:tcPr>
          <w:p w14:paraId="5C7BA9A4">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6" w:type="pct"/>
            <w:tcBorders>
              <w:top w:val="single" w:color="auto" w:sz="4" w:space="0"/>
              <w:left w:val="nil"/>
              <w:bottom w:val="single" w:color="auto" w:sz="4" w:space="0"/>
              <w:right w:val="single" w:color="auto" w:sz="4" w:space="0"/>
            </w:tcBorders>
            <w:vAlign w:val="center"/>
          </w:tcPr>
          <w:p w14:paraId="1EF4DC91">
            <w:pPr>
              <w:pageBreakBefore w:val="0"/>
              <w:kinsoku/>
              <w:overflowPunct/>
              <w:autoSpaceDE w:val="0"/>
              <w:autoSpaceDN w:val="0"/>
              <w:bidi w:val="0"/>
              <w:spacing w:line="500" w:lineRule="exact"/>
              <w:jc w:val="center"/>
              <w:rPr>
                <w:rFonts w:ascii="宋体" w:hAnsi="宋体" w:cs="宋体"/>
                <w:sz w:val="22"/>
                <w:szCs w:val="22"/>
                <w:highlight w:val="none"/>
              </w:rPr>
            </w:pPr>
          </w:p>
        </w:tc>
        <w:tc>
          <w:tcPr>
            <w:tcW w:w="1104" w:type="pct"/>
            <w:tcBorders>
              <w:top w:val="single" w:color="auto" w:sz="4" w:space="0"/>
              <w:left w:val="nil"/>
              <w:bottom w:val="single" w:color="auto" w:sz="4" w:space="0"/>
              <w:right w:val="single" w:color="auto" w:sz="4" w:space="0"/>
            </w:tcBorders>
            <w:vAlign w:val="center"/>
          </w:tcPr>
          <w:p w14:paraId="3B90E929">
            <w:pPr>
              <w:pageBreakBefore w:val="0"/>
              <w:kinsoku/>
              <w:overflowPunct/>
              <w:autoSpaceDE w:val="0"/>
              <w:autoSpaceDN w:val="0"/>
              <w:bidi w:val="0"/>
              <w:spacing w:line="500" w:lineRule="exact"/>
              <w:jc w:val="center"/>
              <w:rPr>
                <w:rFonts w:ascii="宋体" w:hAnsi="宋体" w:cs="宋体"/>
                <w:sz w:val="22"/>
                <w:szCs w:val="22"/>
                <w:highlight w:val="none"/>
              </w:rPr>
            </w:pPr>
          </w:p>
        </w:tc>
      </w:tr>
      <w:tr w14:paraId="5BCD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1" w:type="pct"/>
            <w:tcBorders>
              <w:top w:val="single" w:color="auto" w:sz="4" w:space="0"/>
              <w:left w:val="single" w:color="auto" w:sz="4" w:space="0"/>
              <w:bottom w:val="single" w:color="auto" w:sz="4" w:space="0"/>
              <w:right w:val="single" w:color="auto" w:sz="4" w:space="0"/>
            </w:tcBorders>
          </w:tcPr>
          <w:p w14:paraId="0A659C9D">
            <w:pPr>
              <w:pageBreakBefore w:val="0"/>
              <w:kinsoku/>
              <w:overflowPunct/>
              <w:autoSpaceDE w:val="0"/>
              <w:autoSpaceDN w:val="0"/>
              <w:bidi w:val="0"/>
              <w:spacing w:line="500" w:lineRule="exact"/>
              <w:jc w:val="center"/>
              <w:rPr>
                <w:rFonts w:ascii="宋体" w:hAnsi="宋体" w:cs="宋体"/>
                <w:sz w:val="22"/>
                <w:szCs w:val="22"/>
                <w:highlight w:val="none"/>
              </w:rPr>
            </w:pPr>
          </w:p>
        </w:tc>
        <w:tc>
          <w:tcPr>
            <w:tcW w:w="860" w:type="pct"/>
            <w:tcBorders>
              <w:top w:val="single" w:color="auto" w:sz="4" w:space="0"/>
              <w:left w:val="nil"/>
              <w:bottom w:val="single" w:color="auto" w:sz="4" w:space="0"/>
              <w:right w:val="single" w:color="auto" w:sz="4" w:space="0"/>
            </w:tcBorders>
            <w:vAlign w:val="center"/>
          </w:tcPr>
          <w:p w14:paraId="27CD4A19">
            <w:pPr>
              <w:pageBreakBefore w:val="0"/>
              <w:kinsoku/>
              <w:overflowPunct/>
              <w:autoSpaceDE w:val="0"/>
              <w:autoSpaceDN w:val="0"/>
              <w:bidi w:val="0"/>
              <w:spacing w:line="500" w:lineRule="exact"/>
              <w:jc w:val="center"/>
              <w:rPr>
                <w:rFonts w:ascii="宋体" w:hAnsi="宋体" w:cs="宋体"/>
                <w:sz w:val="22"/>
                <w:szCs w:val="22"/>
                <w:highlight w:val="none"/>
              </w:rPr>
            </w:pPr>
          </w:p>
        </w:tc>
        <w:tc>
          <w:tcPr>
            <w:tcW w:w="1211" w:type="pct"/>
            <w:tcBorders>
              <w:top w:val="single" w:color="auto" w:sz="4" w:space="0"/>
              <w:left w:val="nil"/>
              <w:bottom w:val="single" w:color="auto" w:sz="4" w:space="0"/>
              <w:right w:val="single" w:color="auto" w:sz="4" w:space="0"/>
            </w:tcBorders>
            <w:vAlign w:val="center"/>
          </w:tcPr>
          <w:p w14:paraId="7BDE7D7C">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5" w:type="pct"/>
            <w:tcBorders>
              <w:top w:val="single" w:color="auto" w:sz="4" w:space="0"/>
              <w:left w:val="nil"/>
              <w:bottom w:val="single" w:color="auto" w:sz="4" w:space="0"/>
              <w:right w:val="single" w:color="auto" w:sz="4" w:space="0"/>
            </w:tcBorders>
            <w:vAlign w:val="center"/>
          </w:tcPr>
          <w:p w14:paraId="17AD0835">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6" w:type="pct"/>
            <w:tcBorders>
              <w:top w:val="single" w:color="auto" w:sz="4" w:space="0"/>
              <w:left w:val="nil"/>
              <w:bottom w:val="single" w:color="auto" w:sz="4" w:space="0"/>
              <w:right w:val="single" w:color="auto" w:sz="4" w:space="0"/>
            </w:tcBorders>
            <w:vAlign w:val="center"/>
          </w:tcPr>
          <w:p w14:paraId="35AF646C">
            <w:pPr>
              <w:pageBreakBefore w:val="0"/>
              <w:kinsoku/>
              <w:overflowPunct/>
              <w:autoSpaceDE w:val="0"/>
              <w:autoSpaceDN w:val="0"/>
              <w:bidi w:val="0"/>
              <w:spacing w:line="500" w:lineRule="exact"/>
              <w:jc w:val="center"/>
              <w:rPr>
                <w:rFonts w:ascii="宋体" w:hAnsi="宋体" w:cs="宋体"/>
                <w:sz w:val="22"/>
                <w:szCs w:val="22"/>
                <w:highlight w:val="none"/>
              </w:rPr>
            </w:pPr>
          </w:p>
        </w:tc>
        <w:tc>
          <w:tcPr>
            <w:tcW w:w="1104" w:type="pct"/>
            <w:tcBorders>
              <w:top w:val="single" w:color="auto" w:sz="4" w:space="0"/>
              <w:left w:val="nil"/>
              <w:bottom w:val="single" w:color="auto" w:sz="4" w:space="0"/>
              <w:right w:val="single" w:color="auto" w:sz="4" w:space="0"/>
            </w:tcBorders>
            <w:vAlign w:val="center"/>
          </w:tcPr>
          <w:p w14:paraId="2BA1631C">
            <w:pPr>
              <w:pageBreakBefore w:val="0"/>
              <w:kinsoku/>
              <w:overflowPunct/>
              <w:autoSpaceDE w:val="0"/>
              <w:autoSpaceDN w:val="0"/>
              <w:bidi w:val="0"/>
              <w:spacing w:line="500" w:lineRule="exact"/>
              <w:jc w:val="center"/>
              <w:rPr>
                <w:rFonts w:ascii="宋体" w:hAnsi="宋体" w:cs="宋体"/>
                <w:sz w:val="22"/>
                <w:szCs w:val="22"/>
                <w:highlight w:val="none"/>
              </w:rPr>
            </w:pPr>
          </w:p>
        </w:tc>
      </w:tr>
      <w:tr w14:paraId="2860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1" w:type="pct"/>
            <w:tcBorders>
              <w:top w:val="single" w:color="auto" w:sz="4" w:space="0"/>
              <w:left w:val="single" w:color="auto" w:sz="4" w:space="0"/>
              <w:bottom w:val="single" w:color="auto" w:sz="4" w:space="0"/>
              <w:right w:val="single" w:color="auto" w:sz="4" w:space="0"/>
            </w:tcBorders>
          </w:tcPr>
          <w:p w14:paraId="79963150">
            <w:pPr>
              <w:pageBreakBefore w:val="0"/>
              <w:kinsoku/>
              <w:overflowPunct/>
              <w:autoSpaceDE w:val="0"/>
              <w:autoSpaceDN w:val="0"/>
              <w:bidi w:val="0"/>
              <w:spacing w:line="500" w:lineRule="exact"/>
              <w:jc w:val="center"/>
              <w:rPr>
                <w:rFonts w:ascii="宋体" w:hAnsi="宋体" w:cs="宋体"/>
                <w:sz w:val="22"/>
                <w:szCs w:val="22"/>
                <w:highlight w:val="none"/>
              </w:rPr>
            </w:pPr>
          </w:p>
        </w:tc>
        <w:tc>
          <w:tcPr>
            <w:tcW w:w="860" w:type="pct"/>
            <w:tcBorders>
              <w:top w:val="single" w:color="auto" w:sz="4" w:space="0"/>
              <w:left w:val="nil"/>
              <w:bottom w:val="single" w:color="auto" w:sz="4" w:space="0"/>
              <w:right w:val="single" w:color="auto" w:sz="4" w:space="0"/>
            </w:tcBorders>
            <w:vAlign w:val="center"/>
          </w:tcPr>
          <w:p w14:paraId="1736DF6F">
            <w:pPr>
              <w:pageBreakBefore w:val="0"/>
              <w:kinsoku/>
              <w:overflowPunct/>
              <w:autoSpaceDE w:val="0"/>
              <w:autoSpaceDN w:val="0"/>
              <w:bidi w:val="0"/>
              <w:spacing w:line="500" w:lineRule="exact"/>
              <w:jc w:val="center"/>
              <w:rPr>
                <w:rFonts w:ascii="宋体" w:hAnsi="宋体" w:cs="宋体"/>
                <w:sz w:val="22"/>
                <w:szCs w:val="22"/>
                <w:highlight w:val="none"/>
              </w:rPr>
            </w:pPr>
          </w:p>
        </w:tc>
        <w:tc>
          <w:tcPr>
            <w:tcW w:w="1211" w:type="pct"/>
            <w:tcBorders>
              <w:top w:val="single" w:color="auto" w:sz="4" w:space="0"/>
              <w:left w:val="nil"/>
              <w:bottom w:val="single" w:color="auto" w:sz="4" w:space="0"/>
              <w:right w:val="single" w:color="auto" w:sz="4" w:space="0"/>
            </w:tcBorders>
            <w:vAlign w:val="center"/>
          </w:tcPr>
          <w:p w14:paraId="2778FD26">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5" w:type="pct"/>
            <w:tcBorders>
              <w:top w:val="single" w:color="auto" w:sz="4" w:space="0"/>
              <w:left w:val="nil"/>
              <w:bottom w:val="single" w:color="auto" w:sz="4" w:space="0"/>
              <w:right w:val="single" w:color="auto" w:sz="4" w:space="0"/>
            </w:tcBorders>
            <w:vAlign w:val="center"/>
          </w:tcPr>
          <w:p w14:paraId="6BF10522">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6" w:type="pct"/>
            <w:tcBorders>
              <w:top w:val="single" w:color="auto" w:sz="4" w:space="0"/>
              <w:left w:val="nil"/>
              <w:bottom w:val="single" w:color="auto" w:sz="4" w:space="0"/>
              <w:right w:val="single" w:color="auto" w:sz="4" w:space="0"/>
            </w:tcBorders>
            <w:vAlign w:val="center"/>
          </w:tcPr>
          <w:p w14:paraId="26D728B4">
            <w:pPr>
              <w:pageBreakBefore w:val="0"/>
              <w:kinsoku/>
              <w:overflowPunct/>
              <w:autoSpaceDE w:val="0"/>
              <w:autoSpaceDN w:val="0"/>
              <w:bidi w:val="0"/>
              <w:spacing w:line="500" w:lineRule="exact"/>
              <w:jc w:val="center"/>
              <w:rPr>
                <w:rFonts w:ascii="宋体" w:hAnsi="宋体" w:cs="宋体"/>
                <w:sz w:val="22"/>
                <w:szCs w:val="22"/>
                <w:highlight w:val="none"/>
              </w:rPr>
            </w:pPr>
          </w:p>
        </w:tc>
        <w:tc>
          <w:tcPr>
            <w:tcW w:w="1104" w:type="pct"/>
            <w:tcBorders>
              <w:top w:val="single" w:color="auto" w:sz="4" w:space="0"/>
              <w:left w:val="nil"/>
              <w:bottom w:val="single" w:color="auto" w:sz="4" w:space="0"/>
              <w:right w:val="single" w:color="auto" w:sz="4" w:space="0"/>
            </w:tcBorders>
            <w:vAlign w:val="center"/>
          </w:tcPr>
          <w:p w14:paraId="4CED6C2A">
            <w:pPr>
              <w:pageBreakBefore w:val="0"/>
              <w:kinsoku/>
              <w:overflowPunct/>
              <w:autoSpaceDE w:val="0"/>
              <w:autoSpaceDN w:val="0"/>
              <w:bidi w:val="0"/>
              <w:spacing w:line="500" w:lineRule="exact"/>
              <w:jc w:val="center"/>
              <w:rPr>
                <w:rFonts w:ascii="宋体" w:hAnsi="宋体" w:cs="宋体"/>
                <w:sz w:val="22"/>
                <w:szCs w:val="22"/>
                <w:highlight w:val="none"/>
              </w:rPr>
            </w:pPr>
          </w:p>
        </w:tc>
      </w:tr>
      <w:tr w14:paraId="7C76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51" w:type="pct"/>
            <w:tcBorders>
              <w:top w:val="single" w:color="auto" w:sz="4" w:space="0"/>
              <w:left w:val="single" w:color="auto" w:sz="4" w:space="0"/>
              <w:bottom w:val="single" w:color="auto" w:sz="4" w:space="0"/>
              <w:right w:val="single" w:color="auto" w:sz="4" w:space="0"/>
            </w:tcBorders>
          </w:tcPr>
          <w:p w14:paraId="5381854B">
            <w:pPr>
              <w:pageBreakBefore w:val="0"/>
              <w:kinsoku/>
              <w:overflowPunct/>
              <w:autoSpaceDE w:val="0"/>
              <w:autoSpaceDN w:val="0"/>
              <w:bidi w:val="0"/>
              <w:spacing w:line="500" w:lineRule="exact"/>
              <w:jc w:val="center"/>
              <w:rPr>
                <w:rFonts w:ascii="宋体" w:hAnsi="宋体" w:cs="宋体"/>
                <w:sz w:val="22"/>
                <w:szCs w:val="22"/>
                <w:highlight w:val="none"/>
              </w:rPr>
            </w:pPr>
          </w:p>
        </w:tc>
        <w:tc>
          <w:tcPr>
            <w:tcW w:w="860" w:type="pct"/>
            <w:tcBorders>
              <w:top w:val="single" w:color="auto" w:sz="4" w:space="0"/>
              <w:left w:val="nil"/>
              <w:bottom w:val="single" w:color="auto" w:sz="4" w:space="0"/>
              <w:right w:val="single" w:color="auto" w:sz="4" w:space="0"/>
            </w:tcBorders>
            <w:vAlign w:val="center"/>
          </w:tcPr>
          <w:p w14:paraId="326D3597">
            <w:pPr>
              <w:pageBreakBefore w:val="0"/>
              <w:kinsoku/>
              <w:overflowPunct/>
              <w:autoSpaceDE w:val="0"/>
              <w:autoSpaceDN w:val="0"/>
              <w:bidi w:val="0"/>
              <w:spacing w:line="500" w:lineRule="exact"/>
              <w:jc w:val="center"/>
              <w:rPr>
                <w:rFonts w:ascii="宋体" w:hAnsi="宋体" w:cs="宋体"/>
                <w:sz w:val="22"/>
                <w:szCs w:val="22"/>
                <w:highlight w:val="none"/>
              </w:rPr>
            </w:pPr>
          </w:p>
        </w:tc>
        <w:tc>
          <w:tcPr>
            <w:tcW w:w="1211" w:type="pct"/>
            <w:tcBorders>
              <w:top w:val="single" w:color="auto" w:sz="4" w:space="0"/>
              <w:left w:val="nil"/>
              <w:bottom w:val="single" w:color="auto" w:sz="4" w:space="0"/>
              <w:right w:val="single" w:color="auto" w:sz="4" w:space="0"/>
            </w:tcBorders>
            <w:vAlign w:val="center"/>
          </w:tcPr>
          <w:p w14:paraId="772A9A57">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5" w:type="pct"/>
            <w:tcBorders>
              <w:top w:val="single" w:color="auto" w:sz="4" w:space="0"/>
              <w:left w:val="nil"/>
              <w:bottom w:val="single" w:color="auto" w:sz="4" w:space="0"/>
              <w:right w:val="single" w:color="auto" w:sz="4" w:space="0"/>
            </w:tcBorders>
            <w:vAlign w:val="center"/>
          </w:tcPr>
          <w:p w14:paraId="6F8CD817">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6" w:type="pct"/>
            <w:tcBorders>
              <w:top w:val="single" w:color="auto" w:sz="4" w:space="0"/>
              <w:left w:val="nil"/>
              <w:bottom w:val="single" w:color="auto" w:sz="4" w:space="0"/>
              <w:right w:val="single" w:color="auto" w:sz="4" w:space="0"/>
            </w:tcBorders>
            <w:vAlign w:val="center"/>
          </w:tcPr>
          <w:p w14:paraId="2C170F86">
            <w:pPr>
              <w:pageBreakBefore w:val="0"/>
              <w:kinsoku/>
              <w:overflowPunct/>
              <w:autoSpaceDE w:val="0"/>
              <w:autoSpaceDN w:val="0"/>
              <w:bidi w:val="0"/>
              <w:spacing w:line="500" w:lineRule="exact"/>
              <w:jc w:val="center"/>
              <w:rPr>
                <w:rFonts w:ascii="宋体" w:hAnsi="宋体" w:cs="宋体"/>
                <w:sz w:val="22"/>
                <w:szCs w:val="22"/>
                <w:highlight w:val="none"/>
              </w:rPr>
            </w:pPr>
          </w:p>
        </w:tc>
        <w:tc>
          <w:tcPr>
            <w:tcW w:w="1104" w:type="pct"/>
            <w:tcBorders>
              <w:top w:val="single" w:color="auto" w:sz="4" w:space="0"/>
              <w:left w:val="nil"/>
              <w:bottom w:val="single" w:color="auto" w:sz="4" w:space="0"/>
              <w:right w:val="single" w:color="auto" w:sz="4" w:space="0"/>
            </w:tcBorders>
            <w:vAlign w:val="center"/>
          </w:tcPr>
          <w:p w14:paraId="251B549A">
            <w:pPr>
              <w:pageBreakBefore w:val="0"/>
              <w:kinsoku/>
              <w:overflowPunct/>
              <w:autoSpaceDE w:val="0"/>
              <w:autoSpaceDN w:val="0"/>
              <w:bidi w:val="0"/>
              <w:spacing w:line="500" w:lineRule="exact"/>
              <w:jc w:val="center"/>
              <w:rPr>
                <w:rFonts w:ascii="宋体" w:hAnsi="宋体" w:cs="宋体"/>
                <w:sz w:val="22"/>
                <w:szCs w:val="22"/>
                <w:highlight w:val="none"/>
              </w:rPr>
            </w:pPr>
          </w:p>
        </w:tc>
      </w:tr>
    </w:tbl>
    <w:p w14:paraId="4B3ECD05">
      <w:pPr>
        <w:pageBreakBefore w:val="0"/>
        <w:kinsoku/>
        <w:overflowPunct/>
        <w:autoSpaceDE w:val="0"/>
        <w:autoSpaceDN w:val="0"/>
        <w:bidi w:val="0"/>
        <w:spacing w:line="500" w:lineRule="exact"/>
        <w:rPr>
          <w:rFonts w:ascii="宋体" w:hAnsi="宋体" w:cs="宋体"/>
          <w:sz w:val="22"/>
          <w:szCs w:val="22"/>
          <w:highlight w:val="none"/>
        </w:rPr>
      </w:pPr>
    </w:p>
    <w:p w14:paraId="259052FA">
      <w:pPr>
        <w:pageBreakBefore w:val="0"/>
        <w:kinsoku/>
        <w:overflowPunct/>
        <w:autoSpaceDE w:val="0"/>
        <w:autoSpaceDN w:val="0"/>
        <w:bidi w:val="0"/>
        <w:spacing w:line="500" w:lineRule="exact"/>
        <w:rPr>
          <w:rFonts w:ascii="宋体" w:hAnsi="宋体" w:cs="宋体"/>
          <w:sz w:val="22"/>
          <w:szCs w:val="22"/>
          <w:highlight w:val="none"/>
        </w:rPr>
      </w:pPr>
    </w:p>
    <w:p w14:paraId="00D35BDD">
      <w:pPr>
        <w:pageBreakBefore w:val="0"/>
        <w:kinsoku/>
        <w:overflowPunct/>
        <w:autoSpaceDE w:val="0"/>
        <w:autoSpaceDN w:val="0"/>
        <w:bidi w:val="0"/>
        <w:spacing w:line="500" w:lineRule="exact"/>
        <w:rPr>
          <w:rFonts w:ascii="宋体" w:hAnsi="宋体" w:cs="宋体"/>
          <w:sz w:val="24"/>
          <w:highlight w:val="none"/>
        </w:rPr>
      </w:pPr>
    </w:p>
    <w:p w14:paraId="0F5282C9">
      <w:pPr>
        <w:pageBreakBefore w:val="0"/>
        <w:kinsoku/>
        <w:overflowPunct/>
        <w:autoSpaceDE w:val="0"/>
        <w:autoSpaceDN w:val="0"/>
        <w:bidi w:val="0"/>
        <w:spacing w:line="500" w:lineRule="exact"/>
        <w:ind w:firstLine="3600" w:firstLineChars="1500"/>
        <w:rPr>
          <w:rFonts w:ascii="宋体" w:hAnsi="宋体" w:cs="宋体"/>
          <w:sz w:val="24"/>
          <w:highlight w:val="none"/>
        </w:rPr>
      </w:pPr>
    </w:p>
    <w:p w14:paraId="2DBD07B2">
      <w:pPr>
        <w:pageBreakBefore w:val="0"/>
        <w:kinsoku/>
        <w:overflowPunct/>
        <w:autoSpaceDE w:val="0"/>
        <w:autoSpaceDN w:val="0"/>
        <w:bidi w:val="0"/>
        <w:spacing w:line="500" w:lineRule="exact"/>
        <w:ind w:firstLine="4320" w:firstLineChars="1800"/>
        <w:rPr>
          <w:rFonts w:ascii="宋体" w:hAnsi="宋体" w:cs="宋体"/>
          <w:sz w:val="24"/>
          <w:highlight w:val="none"/>
        </w:rPr>
      </w:pPr>
      <w:r>
        <w:rPr>
          <w:rFonts w:hint="eastAsia" w:ascii="宋体" w:hAnsi="宋体" w:cs="宋体"/>
          <w:sz w:val="24"/>
          <w:highlight w:val="none"/>
        </w:rPr>
        <w:t>供应商名称：（盖单位章）</w:t>
      </w:r>
    </w:p>
    <w:p w14:paraId="51B2EA13">
      <w:pPr>
        <w:pageBreakBefore w:val="0"/>
        <w:kinsoku/>
        <w:overflowPunct/>
        <w:autoSpaceDE w:val="0"/>
        <w:autoSpaceDN w:val="0"/>
        <w:bidi w:val="0"/>
        <w:spacing w:line="500" w:lineRule="exact"/>
        <w:ind w:firstLine="4320" w:firstLineChars="1800"/>
        <w:rPr>
          <w:rFonts w:ascii="宋体" w:hAnsi="宋体" w:cs="宋体"/>
          <w:sz w:val="24"/>
          <w:highlight w:val="none"/>
        </w:rPr>
      </w:pPr>
      <w:r>
        <w:rPr>
          <w:rFonts w:hint="eastAsia" w:ascii="宋体" w:hAnsi="宋体" w:cs="宋体"/>
          <w:sz w:val="24"/>
          <w:highlight w:val="none"/>
        </w:rPr>
        <w:t>法定代表人：（签章）</w:t>
      </w:r>
    </w:p>
    <w:p w14:paraId="1B8AD368">
      <w:pPr>
        <w:pStyle w:val="11"/>
        <w:pageBreakBefore w:val="0"/>
        <w:kinsoku/>
        <w:overflowPunct/>
        <w:bidi w:val="0"/>
        <w:spacing w:line="500" w:lineRule="exact"/>
        <w:ind w:firstLine="240" w:firstLineChars="100"/>
        <w:rPr>
          <w:rFonts w:hAnsi="宋体"/>
          <w:color w:val="auto"/>
          <w:highlight w:val="none"/>
        </w:rPr>
      </w:pPr>
      <w:r>
        <w:rPr>
          <w:rFonts w:hint="eastAsia" w:hAnsi="宋体"/>
          <w:color w:val="auto"/>
          <w:highlight w:val="none"/>
        </w:rPr>
        <w:t xml:space="preserve">                                  日      期：年月日</w:t>
      </w:r>
    </w:p>
    <w:p w14:paraId="3C260649">
      <w:pPr>
        <w:pageBreakBefore w:val="0"/>
        <w:kinsoku/>
        <w:overflowPunct/>
        <w:autoSpaceDE w:val="0"/>
        <w:autoSpaceDN w:val="0"/>
        <w:bidi w:val="0"/>
        <w:spacing w:line="500" w:lineRule="exact"/>
        <w:ind w:firstLine="3360" w:firstLineChars="1400"/>
        <w:rPr>
          <w:rFonts w:ascii="宋体" w:hAnsi="宋体" w:cs="宋体"/>
          <w:sz w:val="24"/>
          <w:highlight w:val="none"/>
        </w:rPr>
      </w:pPr>
    </w:p>
    <w:p w14:paraId="31284527">
      <w:pPr>
        <w:pageBreakBefore w:val="0"/>
        <w:kinsoku/>
        <w:overflowPunct/>
        <w:bidi w:val="0"/>
        <w:spacing w:line="500" w:lineRule="exact"/>
        <w:rPr>
          <w:highlight w:val="none"/>
        </w:rPr>
      </w:pPr>
    </w:p>
    <w:p w14:paraId="05F2CFA1">
      <w:pPr>
        <w:pStyle w:val="23"/>
        <w:pageBreakBefore w:val="0"/>
        <w:widowControl w:val="0"/>
        <w:kinsoku/>
        <w:overflowPunct/>
        <w:bidi w:val="0"/>
        <w:spacing w:before="0" w:beforeAutospacing="0" w:after="0" w:afterAutospacing="0" w:line="500" w:lineRule="exact"/>
        <w:ind w:firstLine="241" w:firstLineChars="100"/>
        <w:jc w:val="both"/>
        <w:rPr>
          <w:rFonts w:cs="宋体"/>
          <w:b/>
          <w:bCs/>
          <w:highlight w:val="none"/>
        </w:rPr>
      </w:pPr>
      <w:r>
        <w:rPr>
          <w:rFonts w:hint="eastAsia" w:cs="宋体"/>
          <w:b/>
          <w:bCs/>
          <w:kern w:val="2"/>
          <w:highlight w:val="none"/>
        </w:rPr>
        <w:t>附表：技术参数偏离表</w:t>
      </w:r>
    </w:p>
    <w:p w14:paraId="60E4E57D">
      <w:pPr>
        <w:pStyle w:val="23"/>
        <w:pageBreakBefore w:val="0"/>
        <w:widowControl w:val="0"/>
        <w:kinsoku/>
        <w:overflowPunct/>
        <w:autoSpaceDE w:val="0"/>
        <w:autoSpaceDN w:val="0"/>
        <w:bidi w:val="0"/>
        <w:spacing w:before="0" w:beforeAutospacing="0" w:after="0" w:afterAutospacing="0" w:line="500" w:lineRule="exact"/>
        <w:ind w:firstLine="480"/>
        <w:rPr>
          <w:rFonts w:cs="宋体"/>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872"/>
        <w:gridCol w:w="1872"/>
        <w:gridCol w:w="1872"/>
        <w:gridCol w:w="1112"/>
        <w:gridCol w:w="1550"/>
      </w:tblGrid>
      <w:tr w14:paraId="4684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007A599">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序号</w:t>
            </w:r>
          </w:p>
        </w:tc>
        <w:tc>
          <w:tcPr>
            <w:tcW w:w="1872" w:type="dxa"/>
            <w:tcBorders>
              <w:top w:val="single" w:color="auto" w:sz="4" w:space="0"/>
              <w:left w:val="nil"/>
              <w:bottom w:val="single" w:color="auto" w:sz="4" w:space="0"/>
              <w:right w:val="single" w:color="auto" w:sz="4" w:space="0"/>
            </w:tcBorders>
            <w:vAlign w:val="center"/>
          </w:tcPr>
          <w:p w14:paraId="21B0896C">
            <w:pPr>
              <w:pageBreakBefore w:val="0"/>
              <w:kinsoku/>
              <w:overflowPunct/>
              <w:bidi w:val="0"/>
              <w:spacing w:line="500" w:lineRule="exact"/>
              <w:jc w:val="center"/>
              <w:rPr>
                <w:rFonts w:ascii="宋体" w:hAnsi="宋体" w:cs="宋体"/>
                <w:sz w:val="24"/>
                <w:highlight w:val="none"/>
              </w:rPr>
            </w:pPr>
            <w:r>
              <w:rPr>
                <w:rFonts w:hint="eastAsia" w:ascii="宋体" w:hAnsi="宋体" w:cs="宋体"/>
                <w:sz w:val="22"/>
                <w:szCs w:val="22"/>
                <w:highlight w:val="none"/>
              </w:rPr>
              <w:t>名称</w:t>
            </w:r>
          </w:p>
        </w:tc>
        <w:tc>
          <w:tcPr>
            <w:tcW w:w="1872" w:type="dxa"/>
            <w:tcBorders>
              <w:top w:val="single" w:color="auto" w:sz="4" w:space="0"/>
              <w:left w:val="nil"/>
              <w:bottom w:val="single" w:color="auto" w:sz="4" w:space="0"/>
              <w:right w:val="single" w:color="auto" w:sz="4" w:space="0"/>
            </w:tcBorders>
            <w:vAlign w:val="center"/>
          </w:tcPr>
          <w:p w14:paraId="0857B987">
            <w:pPr>
              <w:pageBreakBefore w:val="0"/>
              <w:kinsoku/>
              <w:overflowPunct/>
              <w:bidi w:val="0"/>
              <w:spacing w:line="500" w:lineRule="exact"/>
              <w:jc w:val="center"/>
              <w:rPr>
                <w:rFonts w:ascii="宋体" w:hAnsi="宋体" w:cs="宋体"/>
                <w:sz w:val="22"/>
                <w:szCs w:val="22"/>
                <w:highlight w:val="none"/>
              </w:rPr>
            </w:pPr>
            <w:r>
              <w:rPr>
                <w:rFonts w:hint="eastAsia" w:ascii="宋体" w:hAnsi="宋体" w:cs="宋体"/>
                <w:sz w:val="22"/>
                <w:szCs w:val="22"/>
                <w:highlight w:val="none"/>
              </w:rPr>
              <w:t>竞争性磋商文件要求</w:t>
            </w:r>
          </w:p>
          <w:p w14:paraId="78B938E8">
            <w:pPr>
              <w:pageBreakBefore w:val="0"/>
              <w:kinsoku/>
              <w:overflowPunct/>
              <w:bidi w:val="0"/>
              <w:spacing w:line="500" w:lineRule="exact"/>
              <w:jc w:val="center"/>
              <w:rPr>
                <w:rFonts w:ascii="宋体" w:hAnsi="宋体" w:cs="宋体"/>
                <w:sz w:val="24"/>
                <w:highlight w:val="none"/>
              </w:rPr>
            </w:pPr>
            <w:r>
              <w:rPr>
                <w:rFonts w:hint="eastAsia" w:ascii="宋体" w:hAnsi="宋体" w:cs="宋体"/>
                <w:sz w:val="22"/>
                <w:szCs w:val="22"/>
                <w:highlight w:val="none"/>
              </w:rPr>
              <w:t>技术参数</w:t>
            </w:r>
          </w:p>
        </w:tc>
        <w:tc>
          <w:tcPr>
            <w:tcW w:w="1872" w:type="dxa"/>
            <w:tcBorders>
              <w:top w:val="single" w:color="auto" w:sz="4" w:space="0"/>
              <w:left w:val="nil"/>
              <w:bottom w:val="single" w:color="auto" w:sz="4" w:space="0"/>
              <w:right w:val="single" w:color="auto" w:sz="4" w:space="0"/>
            </w:tcBorders>
            <w:vAlign w:val="center"/>
          </w:tcPr>
          <w:p w14:paraId="549CD51F">
            <w:pPr>
              <w:pageBreakBefore w:val="0"/>
              <w:kinsoku/>
              <w:overflowPunct/>
              <w:bidi w:val="0"/>
              <w:spacing w:line="500" w:lineRule="exact"/>
              <w:jc w:val="center"/>
              <w:rPr>
                <w:rFonts w:ascii="宋体" w:hAnsi="宋体" w:cs="宋体"/>
                <w:sz w:val="22"/>
                <w:szCs w:val="22"/>
                <w:highlight w:val="none"/>
              </w:rPr>
            </w:pPr>
            <w:r>
              <w:rPr>
                <w:rFonts w:hint="eastAsia" w:ascii="宋体" w:hAnsi="宋体" w:cs="宋体"/>
                <w:sz w:val="22"/>
                <w:szCs w:val="22"/>
                <w:highlight w:val="none"/>
              </w:rPr>
              <w:t>响应实际</w:t>
            </w:r>
            <w:r>
              <w:rPr>
                <w:rFonts w:hint="eastAsia" w:ascii="宋体" w:hAnsi="宋体" w:cs="宋体"/>
                <w:sz w:val="22"/>
                <w:szCs w:val="22"/>
                <w:highlight w:val="none"/>
                <w:lang w:eastAsia="zh-CN"/>
              </w:rPr>
              <w:t>技术</w:t>
            </w:r>
            <w:r>
              <w:rPr>
                <w:rFonts w:hint="eastAsia" w:ascii="宋体" w:hAnsi="宋体" w:cs="宋体"/>
                <w:sz w:val="22"/>
                <w:szCs w:val="22"/>
                <w:highlight w:val="none"/>
              </w:rPr>
              <w:t>参数</w:t>
            </w:r>
          </w:p>
          <w:p w14:paraId="4537B06C">
            <w:pPr>
              <w:pageBreakBefore w:val="0"/>
              <w:kinsoku/>
              <w:overflowPunct/>
              <w:bidi w:val="0"/>
              <w:spacing w:line="500" w:lineRule="exact"/>
              <w:jc w:val="center"/>
              <w:rPr>
                <w:rFonts w:ascii="宋体" w:hAnsi="宋体" w:cs="宋体"/>
                <w:sz w:val="24"/>
                <w:highlight w:val="none"/>
              </w:rPr>
            </w:pPr>
            <w:r>
              <w:rPr>
                <w:rFonts w:hint="eastAsia" w:ascii="宋体" w:hAnsi="宋体" w:cs="宋体"/>
                <w:sz w:val="22"/>
                <w:szCs w:val="22"/>
                <w:highlight w:val="none"/>
              </w:rPr>
              <w:t>(供应商应按响应货物/服务实际数据填写)</w:t>
            </w:r>
          </w:p>
        </w:tc>
        <w:tc>
          <w:tcPr>
            <w:tcW w:w="1112" w:type="dxa"/>
            <w:tcBorders>
              <w:top w:val="single" w:color="auto" w:sz="4" w:space="0"/>
              <w:left w:val="nil"/>
              <w:bottom w:val="single" w:color="auto" w:sz="4" w:space="0"/>
              <w:right w:val="single" w:color="auto" w:sz="4" w:space="0"/>
            </w:tcBorders>
            <w:vAlign w:val="center"/>
          </w:tcPr>
          <w:p w14:paraId="4C4A68D9">
            <w:pPr>
              <w:pageBreakBefore w:val="0"/>
              <w:kinsoku/>
              <w:overflowPunct/>
              <w:bidi w:val="0"/>
              <w:spacing w:line="500" w:lineRule="exact"/>
              <w:jc w:val="center"/>
              <w:rPr>
                <w:rFonts w:ascii="宋体" w:hAnsi="宋体" w:cs="宋体"/>
                <w:sz w:val="24"/>
                <w:highlight w:val="none"/>
              </w:rPr>
            </w:pPr>
            <w:r>
              <w:rPr>
                <w:rFonts w:hint="eastAsia" w:ascii="宋体" w:hAnsi="宋体" w:cs="宋体"/>
                <w:sz w:val="22"/>
                <w:szCs w:val="22"/>
                <w:highlight w:val="none"/>
              </w:rPr>
              <w:t>是否偏离（无偏离/正偏离/负偏离）</w:t>
            </w:r>
          </w:p>
        </w:tc>
        <w:tc>
          <w:tcPr>
            <w:tcW w:w="1550" w:type="dxa"/>
            <w:tcBorders>
              <w:top w:val="single" w:color="auto" w:sz="4" w:space="0"/>
              <w:left w:val="nil"/>
              <w:bottom w:val="single" w:color="auto" w:sz="4" w:space="0"/>
              <w:right w:val="single" w:color="auto" w:sz="4" w:space="0"/>
            </w:tcBorders>
            <w:vAlign w:val="center"/>
          </w:tcPr>
          <w:p w14:paraId="1D740502">
            <w:pPr>
              <w:pageBreakBefore w:val="0"/>
              <w:kinsoku/>
              <w:overflowPunct/>
              <w:bidi w:val="0"/>
              <w:spacing w:line="500" w:lineRule="exact"/>
              <w:jc w:val="center"/>
              <w:rPr>
                <w:rFonts w:ascii="宋体" w:hAnsi="宋体" w:cs="宋体"/>
                <w:sz w:val="22"/>
                <w:szCs w:val="22"/>
                <w:highlight w:val="none"/>
              </w:rPr>
            </w:pPr>
            <w:r>
              <w:rPr>
                <w:rFonts w:hint="eastAsia" w:ascii="宋体" w:hAnsi="宋体" w:cs="宋体"/>
                <w:sz w:val="22"/>
                <w:szCs w:val="22"/>
                <w:highlight w:val="none"/>
              </w:rPr>
              <w:t>偏离</w:t>
            </w:r>
          </w:p>
          <w:p w14:paraId="2C5F0E8B">
            <w:pPr>
              <w:pageBreakBefore w:val="0"/>
              <w:kinsoku/>
              <w:overflowPunct/>
              <w:bidi w:val="0"/>
              <w:spacing w:line="500" w:lineRule="exact"/>
              <w:jc w:val="center"/>
              <w:rPr>
                <w:rFonts w:ascii="宋体" w:hAnsi="宋体" w:cs="宋体"/>
                <w:sz w:val="24"/>
                <w:highlight w:val="none"/>
              </w:rPr>
            </w:pPr>
            <w:r>
              <w:rPr>
                <w:rFonts w:hint="eastAsia" w:ascii="宋体" w:hAnsi="宋体" w:cs="宋体"/>
                <w:sz w:val="22"/>
                <w:szCs w:val="22"/>
                <w:highlight w:val="none"/>
              </w:rPr>
              <w:t>简述</w:t>
            </w:r>
          </w:p>
        </w:tc>
      </w:tr>
      <w:tr w14:paraId="77D7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0223F36">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1</w:t>
            </w:r>
          </w:p>
        </w:tc>
        <w:tc>
          <w:tcPr>
            <w:tcW w:w="1872" w:type="dxa"/>
            <w:tcBorders>
              <w:top w:val="single" w:color="auto" w:sz="4" w:space="0"/>
              <w:left w:val="nil"/>
              <w:bottom w:val="single" w:color="auto" w:sz="4" w:space="0"/>
              <w:right w:val="single" w:color="auto" w:sz="4" w:space="0"/>
            </w:tcBorders>
            <w:vAlign w:val="center"/>
          </w:tcPr>
          <w:p w14:paraId="09E27659">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7C7A93CB">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31F2AE16">
            <w:pPr>
              <w:pageBreakBefore w:val="0"/>
              <w:kinsoku/>
              <w:overflowPunct/>
              <w:bidi w:val="0"/>
              <w:spacing w:line="500" w:lineRule="exact"/>
              <w:jc w:val="center"/>
              <w:rPr>
                <w:rFonts w:ascii="宋体" w:hAnsi="宋体" w:cs="宋体"/>
                <w:sz w:val="24"/>
                <w:highlight w:val="none"/>
              </w:rPr>
            </w:pPr>
          </w:p>
        </w:tc>
        <w:tc>
          <w:tcPr>
            <w:tcW w:w="1112" w:type="dxa"/>
            <w:tcBorders>
              <w:top w:val="single" w:color="auto" w:sz="4" w:space="0"/>
              <w:left w:val="nil"/>
              <w:bottom w:val="single" w:color="auto" w:sz="4" w:space="0"/>
              <w:right w:val="single" w:color="auto" w:sz="4" w:space="0"/>
            </w:tcBorders>
            <w:vAlign w:val="center"/>
          </w:tcPr>
          <w:p w14:paraId="1E3C2A5D">
            <w:pPr>
              <w:pageBreakBefore w:val="0"/>
              <w:kinsoku/>
              <w:overflowPunct/>
              <w:bidi w:val="0"/>
              <w:spacing w:line="500" w:lineRule="exact"/>
              <w:jc w:val="center"/>
              <w:rPr>
                <w:rFonts w:ascii="宋体" w:hAnsi="宋体" w:cs="宋体"/>
                <w:sz w:val="24"/>
                <w:highlight w:val="none"/>
              </w:rPr>
            </w:pPr>
          </w:p>
        </w:tc>
        <w:tc>
          <w:tcPr>
            <w:tcW w:w="1550" w:type="dxa"/>
            <w:tcBorders>
              <w:top w:val="single" w:color="auto" w:sz="4" w:space="0"/>
              <w:left w:val="nil"/>
              <w:bottom w:val="single" w:color="auto" w:sz="4" w:space="0"/>
              <w:right w:val="single" w:color="auto" w:sz="4" w:space="0"/>
            </w:tcBorders>
            <w:vAlign w:val="center"/>
          </w:tcPr>
          <w:p w14:paraId="6D64F8F0">
            <w:pPr>
              <w:pageBreakBefore w:val="0"/>
              <w:kinsoku/>
              <w:overflowPunct/>
              <w:bidi w:val="0"/>
              <w:spacing w:line="500" w:lineRule="exact"/>
              <w:jc w:val="center"/>
              <w:rPr>
                <w:rFonts w:ascii="宋体" w:hAnsi="宋体" w:cs="宋体"/>
                <w:sz w:val="24"/>
                <w:highlight w:val="none"/>
              </w:rPr>
            </w:pPr>
          </w:p>
        </w:tc>
      </w:tr>
      <w:tr w14:paraId="6E29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6F85B91">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2</w:t>
            </w:r>
          </w:p>
        </w:tc>
        <w:tc>
          <w:tcPr>
            <w:tcW w:w="1872" w:type="dxa"/>
            <w:tcBorders>
              <w:top w:val="single" w:color="auto" w:sz="4" w:space="0"/>
              <w:left w:val="nil"/>
              <w:bottom w:val="single" w:color="auto" w:sz="4" w:space="0"/>
              <w:right w:val="single" w:color="auto" w:sz="4" w:space="0"/>
            </w:tcBorders>
            <w:vAlign w:val="center"/>
          </w:tcPr>
          <w:p w14:paraId="293922EB">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5BC23086">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658DF82E">
            <w:pPr>
              <w:pageBreakBefore w:val="0"/>
              <w:kinsoku/>
              <w:overflowPunct/>
              <w:bidi w:val="0"/>
              <w:spacing w:line="500" w:lineRule="exact"/>
              <w:jc w:val="center"/>
              <w:rPr>
                <w:rFonts w:ascii="宋体" w:hAnsi="宋体" w:cs="宋体"/>
                <w:sz w:val="24"/>
                <w:highlight w:val="none"/>
              </w:rPr>
            </w:pPr>
          </w:p>
        </w:tc>
        <w:tc>
          <w:tcPr>
            <w:tcW w:w="1112" w:type="dxa"/>
            <w:tcBorders>
              <w:top w:val="single" w:color="auto" w:sz="4" w:space="0"/>
              <w:left w:val="nil"/>
              <w:bottom w:val="single" w:color="auto" w:sz="4" w:space="0"/>
              <w:right w:val="single" w:color="auto" w:sz="4" w:space="0"/>
            </w:tcBorders>
            <w:vAlign w:val="center"/>
          </w:tcPr>
          <w:p w14:paraId="639FE8C9">
            <w:pPr>
              <w:pageBreakBefore w:val="0"/>
              <w:kinsoku/>
              <w:overflowPunct/>
              <w:bidi w:val="0"/>
              <w:spacing w:line="500" w:lineRule="exact"/>
              <w:jc w:val="center"/>
              <w:rPr>
                <w:rFonts w:ascii="宋体" w:hAnsi="宋体" w:cs="宋体"/>
                <w:sz w:val="24"/>
                <w:highlight w:val="none"/>
              </w:rPr>
            </w:pPr>
          </w:p>
        </w:tc>
        <w:tc>
          <w:tcPr>
            <w:tcW w:w="1550" w:type="dxa"/>
            <w:tcBorders>
              <w:top w:val="single" w:color="auto" w:sz="4" w:space="0"/>
              <w:left w:val="nil"/>
              <w:bottom w:val="single" w:color="auto" w:sz="4" w:space="0"/>
              <w:right w:val="single" w:color="auto" w:sz="4" w:space="0"/>
            </w:tcBorders>
            <w:vAlign w:val="center"/>
          </w:tcPr>
          <w:p w14:paraId="737A96B8">
            <w:pPr>
              <w:pageBreakBefore w:val="0"/>
              <w:kinsoku/>
              <w:overflowPunct/>
              <w:bidi w:val="0"/>
              <w:spacing w:line="500" w:lineRule="exact"/>
              <w:jc w:val="center"/>
              <w:rPr>
                <w:rFonts w:ascii="宋体" w:hAnsi="宋体" w:cs="宋体"/>
                <w:sz w:val="24"/>
                <w:highlight w:val="none"/>
              </w:rPr>
            </w:pPr>
          </w:p>
        </w:tc>
      </w:tr>
      <w:tr w14:paraId="5DBB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0AC1E37">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3</w:t>
            </w:r>
          </w:p>
        </w:tc>
        <w:tc>
          <w:tcPr>
            <w:tcW w:w="1872" w:type="dxa"/>
            <w:tcBorders>
              <w:top w:val="single" w:color="auto" w:sz="4" w:space="0"/>
              <w:left w:val="nil"/>
              <w:bottom w:val="single" w:color="auto" w:sz="4" w:space="0"/>
              <w:right w:val="single" w:color="auto" w:sz="4" w:space="0"/>
            </w:tcBorders>
            <w:vAlign w:val="center"/>
          </w:tcPr>
          <w:p w14:paraId="317B6DD2">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5FEDF3CD">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438578AB">
            <w:pPr>
              <w:pageBreakBefore w:val="0"/>
              <w:kinsoku/>
              <w:overflowPunct/>
              <w:bidi w:val="0"/>
              <w:spacing w:line="500" w:lineRule="exact"/>
              <w:jc w:val="center"/>
              <w:rPr>
                <w:rFonts w:ascii="宋体" w:hAnsi="宋体" w:cs="宋体"/>
                <w:sz w:val="24"/>
                <w:highlight w:val="none"/>
              </w:rPr>
            </w:pPr>
          </w:p>
        </w:tc>
        <w:tc>
          <w:tcPr>
            <w:tcW w:w="1112" w:type="dxa"/>
            <w:tcBorders>
              <w:top w:val="single" w:color="auto" w:sz="4" w:space="0"/>
              <w:left w:val="nil"/>
              <w:bottom w:val="single" w:color="auto" w:sz="4" w:space="0"/>
              <w:right w:val="single" w:color="auto" w:sz="4" w:space="0"/>
            </w:tcBorders>
            <w:vAlign w:val="center"/>
          </w:tcPr>
          <w:p w14:paraId="4308A938">
            <w:pPr>
              <w:pageBreakBefore w:val="0"/>
              <w:kinsoku/>
              <w:overflowPunct/>
              <w:bidi w:val="0"/>
              <w:spacing w:line="500" w:lineRule="exact"/>
              <w:jc w:val="center"/>
              <w:rPr>
                <w:rFonts w:ascii="宋体" w:hAnsi="宋体" w:cs="宋体"/>
                <w:sz w:val="24"/>
                <w:highlight w:val="none"/>
              </w:rPr>
            </w:pPr>
          </w:p>
        </w:tc>
        <w:tc>
          <w:tcPr>
            <w:tcW w:w="1550" w:type="dxa"/>
            <w:tcBorders>
              <w:top w:val="single" w:color="auto" w:sz="4" w:space="0"/>
              <w:left w:val="nil"/>
              <w:bottom w:val="single" w:color="auto" w:sz="4" w:space="0"/>
              <w:right w:val="single" w:color="auto" w:sz="4" w:space="0"/>
            </w:tcBorders>
            <w:vAlign w:val="center"/>
          </w:tcPr>
          <w:p w14:paraId="0895ECA2">
            <w:pPr>
              <w:pageBreakBefore w:val="0"/>
              <w:kinsoku/>
              <w:overflowPunct/>
              <w:bidi w:val="0"/>
              <w:spacing w:line="500" w:lineRule="exact"/>
              <w:jc w:val="center"/>
              <w:rPr>
                <w:rFonts w:ascii="宋体" w:hAnsi="宋体" w:cs="宋体"/>
                <w:sz w:val="24"/>
                <w:highlight w:val="none"/>
              </w:rPr>
            </w:pPr>
          </w:p>
        </w:tc>
      </w:tr>
      <w:tr w14:paraId="7233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2690959">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w:t>
            </w:r>
          </w:p>
        </w:tc>
        <w:tc>
          <w:tcPr>
            <w:tcW w:w="1872" w:type="dxa"/>
            <w:tcBorders>
              <w:top w:val="single" w:color="auto" w:sz="4" w:space="0"/>
              <w:left w:val="nil"/>
              <w:bottom w:val="single" w:color="auto" w:sz="4" w:space="0"/>
              <w:right w:val="single" w:color="auto" w:sz="4" w:space="0"/>
            </w:tcBorders>
            <w:vAlign w:val="center"/>
          </w:tcPr>
          <w:p w14:paraId="0F4DA2D3">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52CA7888">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4295C36B">
            <w:pPr>
              <w:pageBreakBefore w:val="0"/>
              <w:kinsoku/>
              <w:overflowPunct/>
              <w:bidi w:val="0"/>
              <w:spacing w:line="500" w:lineRule="exact"/>
              <w:jc w:val="center"/>
              <w:rPr>
                <w:rFonts w:ascii="宋体" w:hAnsi="宋体" w:cs="宋体"/>
                <w:sz w:val="24"/>
                <w:highlight w:val="none"/>
              </w:rPr>
            </w:pPr>
          </w:p>
        </w:tc>
        <w:tc>
          <w:tcPr>
            <w:tcW w:w="1112" w:type="dxa"/>
            <w:tcBorders>
              <w:top w:val="single" w:color="auto" w:sz="4" w:space="0"/>
              <w:left w:val="nil"/>
              <w:bottom w:val="single" w:color="auto" w:sz="4" w:space="0"/>
              <w:right w:val="single" w:color="auto" w:sz="4" w:space="0"/>
            </w:tcBorders>
            <w:vAlign w:val="center"/>
          </w:tcPr>
          <w:p w14:paraId="6C07A35D">
            <w:pPr>
              <w:pageBreakBefore w:val="0"/>
              <w:kinsoku/>
              <w:overflowPunct/>
              <w:bidi w:val="0"/>
              <w:spacing w:line="500" w:lineRule="exact"/>
              <w:jc w:val="center"/>
              <w:rPr>
                <w:rFonts w:ascii="宋体" w:hAnsi="宋体" w:cs="宋体"/>
                <w:sz w:val="24"/>
                <w:highlight w:val="none"/>
              </w:rPr>
            </w:pPr>
          </w:p>
        </w:tc>
        <w:tc>
          <w:tcPr>
            <w:tcW w:w="1550" w:type="dxa"/>
            <w:tcBorders>
              <w:top w:val="single" w:color="auto" w:sz="4" w:space="0"/>
              <w:left w:val="nil"/>
              <w:bottom w:val="single" w:color="auto" w:sz="4" w:space="0"/>
              <w:right w:val="single" w:color="auto" w:sz="4" w:space="0"/>
            </w:tcBorders>
            <w:vAlign w:val="center"/>
          </w:tcPr>
          <w:p w14:paraId="55CA2796">
            <w:pPr>
              <w:pageBreakBefore w:val="0"/>
              <w:kinsoku/>
              <w:overflowPunct/>
              <w:bidi w:val="0"/>
              <w:spacing w:line="500" w:lineRule="exact"/>
              <w:jc w:val="center"/>
              <w:rPr>
                <w:rFonts w:ascii="宋体" w:hAnsi="宋体" w:cs="宋体"/>
                <w:sz w:val="24"/>
                <w:highlight w:val="none"/>
              </w:rPr>
            </w:pPr>
          </w:p>
        </w:tc>
      </w:tr>
      <w:tr w14:paraId="207E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737E311">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28C2775D">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1448B0A4">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5DC66DAF">
            <w:pPr>
              <w:pageBreakBefore w:val="0"/>
              <w:kinsoku/>
              <w:overflowPunct/>
              <w:bidi w:val="0"/>
              <w:spacing w:line="500" w:lineRule="exact"/>
              <w:jc w:val="center"/>
              <w:rPr>
                <w:rFonts w:ascii="宋体" w:hAnsi="宋体" w:cs="宋体"/>
                <w:sz w:val="24"/>
                <w:highlight w:val="none"/>
              </w:rPr>
            </w:pPr>
          </w:p>
        </w:tc>
        <w:tc>
          <w:tcPr>
            <w:tcW w:w="1112" w:type="dxa"/>
            <w:tcBorders>
              <w:top w:val="single" w:color="auto" w:sz="4" w:space="0"/>
              <w:left w:val="nil"/>
              <w:bottom w:val="single" w:color="auto" w:sz="4" w:space="0"/>
              <w:right w:val="single" w:color="auto" w:sz="4" w:space="0"/>
            </w:tcBorders>
            <w:vAlign w:val="center"/>
          </w:tcPr>
          <w:p w14:paraId="77DA2010">
            <w:pPr>
              <w:pageBreakBefore w:val="0"/>
              <w:kinsoku/>
              <w:overflowPunct/>
              <w:bidi w:val="0"/>
              <w:spacing w:line="500" w:lineRule="exact"/>
              <w:jc w:val="center"/>
              <w:rPr>
                <w:rFonts w:ascii="宋体" w:hAnsi="宋体" w:cs="宋体"/>
                <w:sz w:val="24"/>
                <w:highlight w:val="none"/>
              </w:rPr>
            </w:pPr>
          </w:p>
        </w:tc>
        <w:tc>
          <w:tcPr>
            <w:tcW w:w="1550" w:type="dxa"/>
            <w:tcBorders>
              <w:top w:val="single" w:color="auto" w:sz="4" w:space="0"/>
              <w:left w:val="nil"/>
              <w:bottom w:val="single" w:color="auto" w:sz="4" w:space="0"/>
              <w:right w:val="single" w:color="auto" w:sz="4" w:space="0"/>
            </w:tcBorders>
            <w:vAlign w:val="center"/>
          </w:tcPr>
          <w:p w14:paraId="2F61428D">
            <w:pPr>
              <w:pageBreakBefore w:val="0"/>
              <w:kinsoku/>
              <w:overflowPunct/>
              <w:bidi w:val="0"/>
              <w:spacing w:line="500" w:lineRule="exact"/>
              <w:jc w:val="center"/>
              <w:rPr>
                <w:rFonts w:ascii="宋体" w:hAnsi="宋体" w:cs="宋体"/>
                <w:sz w:val="24"/>
                <w:highlight w:val="none"/>
              </w:rPr>
            </w:pPr>
          </w:p>
        </w:tc>
      </w:tr>
      <w:tr w14:paraId="2E57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01B7770">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34F80C11">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617DE9F6">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5A1EAC4A">
            <w:pPr>
              <w:pageBreakBefore w:val="0"/>
              <w:kinsoku/>
              <w:overflowPunct/>
              <w:bidi w:val="0"/>
              <w:spacing w:line="500" w:lineRule="exact"/>
              <w:jc w:val="center"/>
              <w:rPr>
                <w:rFonts w:ascii="宋体" w:hAnsi="宋体" w:cs="宋体"/>
                <w:sz w:val="24"/>
                <w:highlight w:val="none"/>
              </w:rPr>
            </w:pPr>
          </w:p>
        </w:tc>
        <w:tc>
          <w:tcPr>
            <w:tcW w:w="1112" w:type="dxa"/>
            <w:tcBorders>
              <w:top w:val="single" w:color="auto" w:sz="4" w:space="0"/>
              <w:left w:val="nil"/>
              <w:bottom w:val="single" w:color="auto" w:sz="4" w:space="0"/>
              <w:right w:val="single" w:color="auto" w:sz="4" w:space="0"/>
            </w:tcBorders>
            <w:vAlign w:val="center"/>
          </w:tcPr>
          <w:p w14:paraId="463E9FD3">
            <w:pPr>
              <w:pageBreakBefore w:val="0"/>
              <w:kinsoku/>
              <w:overflowPunct/>
              <w:bidi w:val="0"/>
              <w:spacing w:line="500" w:lineRule="exact"/>
              <w:jc w:val="center"/>
              <w:rPr>
                <w:rFonts w:ascii="宋体" w:hAnsi="宋体" w:cs="宋体"/>
                <w:sz w:val="24"/>
                <w:highlight w:val="none"/>
              </w:rPr>
            </w:pPr>
          </w:p>
        </w:tc>
        <w:tc>
          <w:tcPr>
            <w:tcW w:w="1550" w:type="dxa"/>
            <w:tcBorders>
              <w:top w:val="single" w:color="auto" w:sz="4" w:space="0"/>
              <w:left w:val="nil"/>
              <w:bottom w:val="single" w:color="auto" w:sz="4" w:space="0"/>
              <w:right w:val="single" w:color="auto" w:sz="4" w:space="0"/>
            </w:tcBorders>
            <w:vAlign w:val="center"/>
          </w:tcPr>
          <w:p w14:paraId="0FBAA46D">
            <w:pPr>
              <w:pageBreakBefore w:val="0"/>
              <w:kinsoku/>
              <w:overflowPunct/>
              <w:bidi w:val="0"/>
              <w:spacing w:line="500" w:lineRule="exact"/>
              <w:jc w:val="center"/>
              <w:rPr>
                <w:rFonts w:ascii="宋体" w:hAnsi="宋体" w:cs="宋体"/>
                <w:sz w:val="24"/>
                <w:highlight w:val="none"/>
              </w:rPr>
            </w:pPr>
          </w:p>
        </w:tc>
      </w:tr>
    </w:tbl>
    <w:p w14:paraId="2B12DB53">
      <w:pPr>
        <w:pStyle w:val="23"/>
        <w:pageBreakBefore w:val="0"/>
        <w:widowControl w:val="0"/>
        <w:kinsoku/>
        <w:overflowPunct/>
        <w:autoSpaceDE w:val="0"/>
        <w:autoSpaceDN w:val="0"/>
        <w:bidi w:val="0"/>
        <w:spacing w:before="0" w:beforeAutospacing="0" w:after="0" w:afterAutospacing="0" w:line="500" w:lineRule="exact"/>
        <w:ind w:firstLine="480"/>
        <w:rPr>
          <w:rFonts w:cs="宋体"/>
          <w:highlight w:val="none"/>
        </w:rPr>
      </w:pPr>
    </w:p>
    <w:p w14:paraId="3F1E3DED">
      <w:pPr>
        <w:pStyle w:val="23"/>
        <w:pageBreakBefore w:val="0"/>
        <w:widowControl w:val="0"/>
        <w:kinsoku/>
        <w:overflowPunct/>
        <w:autoSpaceDE w:val="0"/>
        <w:autoSpaceDN w:val="0"/>
        <w:bidi w:val="0"/>
        <w:spacing w:before="0" w:beforeAutospacing="0" w:after="0" w:afterAutospacing="0" w:line="500" w:lineRule="exact"/>
        <w:ind w:firstLine="480"/>
        <w:rPr>
          <w:rFonts w:cs="宋体"/>
          <w:highlight w:val="none"/>
        </w:rPr>
      </w:pPr>
    </w:p>
    <w:p w14:paraId="4E712B8C">
      <w:pPr>
        <w:pStyle w:val="23"/>
        <w:pageBreakBefore w:val="0"/>
        <w:widowControl w:val="0"/>
        <w:kinsoku/>
        <w:overflowPunct/>
        <w:autoSpaceDE w:val="0"/>
        <w:autoSpaceDN w:val="0"/>
        <w:bidi w:val="0"/>
        <w:spacing w:before="0" w:beforeAutospacing="0" w:after="0" w:afterAutospacing="0" w:line="500" w:lineRule="exact"/>
        <w:ind w:left="0" w:leftChars="0" w:firstLine="0" w:firstLineChars="0"/>
        <w:rPr>
          <w:rFonts w:cs="宋体"/>
          <w:highlight w:val="none"/>
        </w:rPr>
      </w:pPr>
    </w:p>
    <w:p w14:paraId="3269FFA1">
      <w:pPr>
        <w:pageBreakBefore w:val="0"/>
        <w:kinsoku/>
        <w:wordWrap w:val="0"/>
        <w:overflowPunct/>
        <w:bidi w:val="0"/>
        <w:spacing w:line="500" w:lineRule="exact"/>
        <w:jc w:val="right"/>
        <w:rPr>
          <w:rFonts w:ascii="宋体" w:hAnsi="宋体" w:cs="宋体"/>
          <w:sz w:val="24"/>
          <w:highlight w:val="none"/>
        </w:rPr>
      </w:pPr>
      <w:r>
        <w:rPr>
          <w:rFonts w:hint="eastAsia" w:ascii="宋体" w:hAnsi="宋体" w:cs="宋体"/>
          <w:sz w:val="24"/>
          <w:highlight w:val="none"/>
        </w:rPr>
        <w:t>供应商名称：（盖单位章）</w:t>
      </w:r>
    </w:p>
    <w:p w14:paraId="5B6522EA">
      <w:pPr>
        <w:pageBreakBefore w:val="0"/>
        <w:kinsoku/>
        <w:wordWrap w:val="0"/>
        <w:overflowPunct/>
        <w:bidi w:val="0"/>
        <w:spacing w:line="500" w:lineRule="exact"/>
        <w:ind w:right="480" w:firstLine="240" w:firstLineChars="100"/>
        <w:jc w:val="right"/>
        <w:rPr>
          <w:rFonts w:hAnsi="宋体"/>
          <w:color w:val="auto"/>
          <w:highlight w:val="none"/>
        </w:rPr>
      </w:pPr>
      <w:r>
        <w:rPr>
          <w:rFonts w:hint="eastAsia" w:ascii="宋体" w:hAnsi="宋体" w:cs="宋体"/>
          <w:sz w:val="24"/>
          <w:highlight w:val="none"/>
        </w:rPr>
        <w:t>法定代表人：（签章）</w:t>
      </w:r>
    </w:p>
    <w:p w14:paraId="4A1B1414">
      <w:pPr>
        <w:pageBreakBefore w:val="0"/>
        <w:kinsoku/>
        <w:overflowPunct/>
        <w:bidi w:val="0"/>
        <w:spacing w:line="500" w:lineRule="exact"/>
        <w:jc w:val="center"/>
        <w:rPr>
          <w:rFonts w:hint="eastAsia" w:eastAsia="宋体"/>
          <w:highlight w:val="none"/>
          <w:lang w:eastAsia="zh-CN"/>
        </w:rPr>
      </w:pPr>
      <w:bookmarkStart w:id="326" w:name="_Toc497301910"/>
      <w:bookmarkEnd w:id="326"/>
      <w:bookmarkStart w:id="327" w:name="_Toc14118_WPSOffice_Level1"/>
      <w:bookmarkEnd w:id="327"/>
      <w:bookmarkStart w:id="328" w:name="_Toc521998009"/>
      <w:bookmarkEnd w:id="328"/>
      <w:bookmarkStart w:id="329" w:name="_Toc522085805"/>
      <w:bookmarkEnd w:id="329"/>
      <w:bookmarkStart w:id="330" w:name="_Toc465990926"/>
      <w:bookmarkEnd w:id="330"/>
      <w:bookmarkStart w:id="331" w:name="_Toc522798781"/>
      <w:bookmarkEnd w:id="331"/>
      <w:bookmarkStart w:id="332" w:name="_Toc10504_WPSOffice_Level1"/>
      <w:bookmarkEnd w:id="332"/>
      <w:bookmarkStart w:id="333" w:name="_Toc522798871"/>
      <w:bookmarkEnd w:id="333"/>
      <w:bookmarkStart w:id="334" w:name="_Toc10964_WPSOffice_Level1"/>
      <w:bookmarkStart w:id="335" w:name="_Toc30370_WPSOffice_Level1"/>
      <w:bookmarkStart w:id="336" w:name="_Toc9086_WPSOffice_Level1"/>
      <w:bookmarkStart w:id="337" w:name="_Toc25331_WPSOffice_Level1"/>
      <w:bookmarkStart w:id="338" w:name="_Toc10817_WPSOffice_Level1"/>
      <w:bookmarkStart w:id="339" w:name="_Toc218"/>
      <w:bookmarkStart w:id="340" w:name="_Toc18494_WPSOffice_Level1"/>
      <w:bookmarkStart w:id="341" w:name="_Toc11316_WPSOffice_Level1"/>
      <w:bookmarkStart w:id="342" w:name="_Toc14849_WPSOffice_Level1"/>
      <w:r>
        <w:rPr>
          <w:rFonts w:hint="eastAsia"/>
          <w:highlight w:val="none"/>
          <w:lang w:val="en-US" w:eastAsia="zh-CN"/>
        </w:rPr>
        <w:t xml:space="preserve">                                           </w:t>
      </w:r>
    </w:p>
    <w:p w14:paraId="3F4D90C4">
      <w:pPr>
        <w:pageBreakBefore w:val="0"/>
        <w:kinsoku/>
        <w:overflowPunct/>
        <w:bidi w:val="0"/>
        <w:spacing w:line="500" w:lineRule="exact"/>
        <w:rPr>
          <w:highlight w:val="none"/>
        </w:rPr>
      </w:pPr>
    </w:p>
    <w:p w14:paraId="341C967C">
      <w:pPr>
        <w:pageBreakBefore w:val="0"/>
        <w:kinsoku/>
        <w:overflowPunct/>
        <w:bidi w:val="0"/>
        <w:spacing w:line="500" w:lineRule="exact"/>
        <w:rPr>
          <w:highlight w:val="none"/>
        </w:rPr>
      </w:pPr>
    </w:p>
    <w:p w14:paraId="64A50F74">
      <w:pPr>
        <w:pStyle w:val="25"/>
        <w:rPr>
          <w:highlight w:val="none"/>
        </w:rPr>
      </w:pPr>
    </w:p>
    <w:p w14:paraId="4B0F4D78">
      <w:pPr>
        <w:rPr>
          <w:highlight w:val="none"/>
        </w:rPr>
      </w:pPr>
    </w:p>
    <w:p w14:paraId="01952057">
      <w:pPr>
        <w:pStyle w:val="23"/>
        <w:pageBreakBefore w:val="0"/>
        <w:widowControl w:val="0"/>
        <w:kinsoku/>
        <w:overflowPunct/>
        <w:bidi w:val="0"/>
        <w:spacing w:before="0" w:beforeAutospacing="0" w:after="0" w:afterAutospacing="0" w:line="500" w:lineRule="exact"/>
        <w:ind w:firstLine="241" w:firstLineChars="100"/>
        <w:jc w:val="both"/>
        <w:rPr>
          <w:rFonts w:hint="eastAsia" w:cs="宋体"/>
          <w:b/>
          <w:bCs/>
          <w:kern w:val="2"/>
          <w:highlight w:val="none"/>
          <w:lang w:eastAsia="zh-CN"/>
        </w:rPr>
      </w:pPr>
      <w:bookmarkStart w:id="343" w:name="_Toc1670"/>
      <w:r>
        <w:rPr>
          <w:rFonts w:hint="eastAsia" w:cs="宋体"/>
          <w:b/>
          <w:bCs/>
          <w:kern w:val="2"/>
          <w:highlight w:val="none"/>
          <w:lang w:eastAsia="zh-CN"/>
        </w:rPr>
        <w:t>附表：商务响应表</w:t>
      </w:r>
    </w:p>
    <w:p w14:paraId="58C01C47">
      <w:pPr>
        <w:pageBreakBefore w:val="0"/>
        <w:kinsoku/>
        <w:overflowPunct/>
        <w:bidi w:val="0"/>
        <w:snapToGrid w:val="0"/>
        <w:spacing w:line="500" w:lineRule="exact"/>
        <w:rPr>
          <w:rFonts w:hint="eastAsia" w:ascii="宋体" w:hAnsi="宋体" w:cs="宋体"/>
          <w:sz w:val="24"/>
          <w:highlight w:val="none"/>
        </w:rPr>
      </w:pPr>
    </w:p>
    <w:p w14:paraId="7BFD37E9">
      <w:pPr>
        <w:pageBreakBefore w:val="0"/>
        <w:kinsoku/>
        <w:overflowPunct/>
        <w:bidi w:val="0"/>
        <w:snapToGrid w:val="0"/>
        <w:spacing w:line="500" w:lineRule="exact"/>
        <w:rPr>
          <w:rFonts w:ascii="宋体" w:hAnsi="宋体" w:cs="宋体"/>
          <w:sz w:val="24"/>
          <w:highlight w:val="none"/>
          <w:u w:val="single"/>
        </w:rPr>
      </w:pPr>
      <w:r>
        <w:rPr>
          <w:rFonts w:hint="eastAsia" w:ascii="宋体" w:hAnsi="宋体" w:cs="宋体"/>
          <w:sz w:val="24"/>
          <w:highlight w:val="none"/>
        </w:rPr>
        <w:t>供应商名称：</w:t>
      </w:r>
    </w:p>
    <w:p w14:paraId="018798D8">
      <w:pPr>
        <w:pageBreakBefore w:val="0"/>
        <w:kinsoku/>
        <w:overflowPunct/>
        <w:bidi w:val="0"/>
        <w:snapToGrid w:val="0"/>
        <w:spacing w:line="500" w:lineRule="exact"/>
        <w:rPr>
          <w:rFonts w:ascii="宋体" w:hAnsi="宋体" w:cs="宋体"/>
          <w:sz w:val="24"/>
          <w:highlight w:val="none"/>
        </w:rPr>
      </w:pPr>
      <w:r>
        <w:rPr>
          <w:rFonts w:hint="eastAsia" w:ascii="宋体" w:hAnsi="宋体" w:cs="宋体"/>
          <w:sz w:val="24"/>
          <w:highlight w:val="none"/>
        </w:rPr>
        <w:t>项目编号：</w:t>
      </w:r>
    </w:p>
    <w:tbl>
      <w:tblPr>
        <w:tblStyle w:val="26"/>
        <w:tblW w:w="4996"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287"/>
        <w:gridCol w:w="1555"/>
        <w:gridCol w:w="2044"/>
        <w:gridCol w:w="2189"/>
        <w:gridCol w:w="2497"/>
      </w:tblGrid>
      <w:tr w14:paraId="34706E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672" w:type="pct"/>
            <w:tcBorders>
              <w:top w:val="single" w:color="auto" w:sz="4" w:space="0"/>
              <w:left w:val="single" w:color="auto" w:sz="4" w:space="0"/>
              <w:bottom w:val="single" w:color="auto" w:sz="4" w:space="0"/>
              <w:right w:val="single" w:color="auto" w:sz="4" w:space="0"/>
            </w:tcBorders>
            <w:vAlign w:val="center"/>
          </w:tcPr>
          <w:p w14:paraId="52E3F5CA">
            <w:pPr>
              <w:pageBreakBefore w:val="0"/>
              <w:kinsoku/>
              <w:overflowPunct/>
              <w:bidi w:val="0"/>
              <w:snapToGrid w:val="0"/>
              <w:spacing w:line="50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30AAC16F">
            <w:pPr>
              <w:pageBreakBefore w:val="0"/>
              <w:kinsoku/>
              <w:overflowPunct/>
              <w:bidi w:val="0"/>
              <w:snapToGrid w:val="0"/>
              <w:spacing w:line="500" w:lineRule="exact"/>
              <w:jc w:val="center"/>
              <w:rPr>
                <w:rFonts w:ascii="宋体" w:hAnsi="宋体" w:cs="宋体"/>
                <w:sz w:val="24"/>
                <w:highlight w:val="none"/>
              </w:rPr>
            </w:pPr>
            <w:r>
              <w:rPr>
                <w:rFonts w:hint="eastAsia" w:ascii="宋体" w:hAnsi="宋体" w:cs="宋体"/>
                <w:sz w:val="24"/>
                <w:highlight w:val="none"/>
              </w:rPr>
              <w:t>项目</w:t>
            </w:r>
          </w:p>
        </w:tc>
        <w:tc>
          <w:tcPr>
            <w:tcW w:w="1067" w:type="pct"/>
            <w:tcBorders>
              <w:top w:val="single" w:color="auto" w:sz="4" w:space="0"/>
              <w:left w:val="single" w:color="auto" w:sz="4" w:space="0"/>
              <w:bottom w:val="single" w:color="auto" w:sz="4" w:space="0"/>
              <w:right w:val="single" w:color="auto" w:sz="4" w:space="0"/>
            </w:tcBorders>
            <w:vAlign w:val="center"/>
          </w:tcPr>
          <w:p w14:paraId="68A10FB0">
            <w:pPr>
              <w:pageBreakBefore w:val="0"/>
              <w:kinsoku/>
              <w:overflowPunct/>
              <w:bidi w:val="0"/>
              <w:snapToGrid w:val="0"/>
              <w:spacing w:line="500" w:lineRule="exact"/>
              <w:jc w:val="center"/>
              <w:rPr>
                <w:rFonts w:ascii="宋体" w:hAnsi="宋体" w:cs="宋体"/>
                <w:sz w:val="24"/>
                <w:highlight w:val="none"/>
              </w:rPr>
            </w:pPr>
            <w:r>
              <w:rPr>
                <w:rFonts w:hint="eastAsia" w:ascii="宋体" w:hAnsi="宋体" w:cs="宋体"/>
                <w:sz w:val="24"/>
                <w:highlight w:val="none"/>
                <w:lang w:eastAsia="zh-CN"/>
              </w:rPr>
              <w:t>竞争性磋商</w:t>
            </w:r>
            <w:r>
              <w:rPr>
                <w:rFonts w:hint="eastAsia" w:ascii="宋体" w:hAnsi="宋体" w:cs="宋体"/>
                <w:sz w:val="24"/>
                <w:highlight w:val="none"/>
              </w:rPr>
              <w:t>文件要求</w:t>
            </w:r>
          </w:p>
        </w:tc>
        <w:tc>
          <w:tcPr>
            <w:tcW w:w="1143" w:type="pct"/>
            <w:tcBorders>
              <w:top w:val="single" w:color="auto" w:sz="4" w:space="0"/>
              <w:left w:val="single" w:color="auto" w:sz="4" w:space="0"/>
              <w:bottom w:val="single" w:color="auto" w:sz="4" w:space="0"/>
              <w:right w:val="single" w:color="auto" w:sz="4" w:space="0"/>
            </w:tcBorders>
            <w:vAlign w:val="center"/>
          </w:tcPr>
          <w:p w14:paraId="2E0E0B1A">
            <w:pPr>
              <w:pageBreakBefore w:val="0"/>
              <w:kinsoku/>
              <w:overflowPunct/>
              <w:bidi w:val="0"/>
              <w:snapToGrid w:val="0"/>
              <w:spacing w:line="500" w:lineRule="exact"/>
              <w:jc w:val="center"/>
              <w:rPr>
                <w:rFonts w:ascii="宋体" w:hAnsi="宋体" w:cs="宋体"/>
                <w:sz w:val="24"/>
                <w:highlight w:val="none"/>
              </w:rPr>
            </w:pPr>
            <w:r>
              <w:rPr>
                <w:rFonts w:hint="eastAsia" w:ascii="宋体" w:hAnsi="宋体" w:cs="宋体"/>
                <w:sz w:val="24"/>
                <w:highlight w:val="none"/>
              </w:rPr>
              <w:t>是否响应</w:t>
            </w:r>
          </w:p>
        </w:tc>
        <w:tc>
          <w:tcPr>
            <w:tcW w:w="1304" w:type="pct"/>
            <w:tcBorders>
              <w:top w:val="single" w:color="auto" w:sz="4" w:space="0"/>
              <w:left w:val="single" w:color="auto" w:sz="4" w:space="0"/>
              <w:bottom w:val="single" w:color="auto" w:sz="4" w:space="0"/>
              <w:right w:val="single" w:color="auto" w:sz="4" w:space="0"/>
            </w:tcBorders>
            <w:vAlign w:val="center"/>
          </w:tcPr>
          <w:p w14:paraId="1DFDFD94">
            <w:pPr>
              <w:pageBreakBefore w:val="0"/>
              <w:kinsoku/>
              <w:overflowPunct/>
              <w:bidi w:val="0"/>
              <w:snapToGrid w:val="0"/>
              <w:spacing w:line="500" w:lineRule="exact"/>
              <w:jc w:val="center"/>
              <w:rPr>
                <w:rFonts w:ascii="宋体" w:hAnsi="宋体" w:cs="宋体"/>
                <w:sz w:val="24"/>
                <w:highlight w:val="none"/>
              </w:rPr>
            </w:pPr>
            <w:r>
              <w:rPr>
                <w:rFonts w:hint="eastAsia" w:ascii="宋体" w:hAnsi="宋体" w:cs="宋体"/>
                <w:sz w:val="24"/>
                <w:highlight w:val="none"/>
              </w:rPr>
              <w:t>供应商的承诺或说明</w:t>
            </w:r>
          </w:p>
        </w:tc>
      </w:tr>
      <w:tr w14:paraId="255F08D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1242" w:type="dxa"/>
            <w:tcBorders>
              <w:top w:val="single" w:color="auto" w:sz="4" w:space="0"/>
              <w:left w:val="single" w:color="auto" w:sz="4" w:space="0"/>
              <w:bottom w:val="single" w:color="auto" w:sz="4" w:space="0"/>
              <w:right w:val="single" w:color="auto" w:sz="4" w:space="0"/>
            </w:tcBorders>
            <w:vAlign w:val="center"/>
          </w:tcPr>
          <w:p w14:paraId="5B0F7304">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1</w:t>
            </w:r>
          </w:p>
        </w:tc>
        <w:tc>
          <w:tcPr>
            <w:tcW w:w="812" w:type="pct"/>
            <w:tcBorders>
              <w:top w:val="single" w:color="auto" w:sz="4" w:space="0"/>
              <w:left w:val="single" w:color="auto" w:sz="4" w:space="0"/>
              <w:bottom w:val="single" w:color="auto" w:sz="4" w:space="0"/>
              <w:right w:val="single" w:color="auto" w:sz="4" w:space="0"/>
            </w:tcBorders>
            <w:vAlign w:val="center"/>
          </w:tcPr>
          <w:p w14:paraId="5B0E982F">
            <w:pPr>
              <w:pageBreakBefore w:val="0"/>
              <w:kinsoku/>
              <w:overflowPunct/>
              <w:bidi w:val="0"/>
              <w:snapToGrid w:val="0"/>
              <w:spacing w:line="500" w:lineRule="exact"/>
              <w:jc w:val="center"/>
              <w:rPr>
                <w:rFonts w:ascii="宋体" w:hAnsi="宋体" w:cs="宋体"/>
                <w:sz w:val="24"/>
                <w:highlight w:val="none"/>
              </w:rPr>
            </w:pPr>
          </w:p>
        </w:tc>
        <w:tc>
          <w:tcPr>
            <w:tcW w:w="1067" w:type="pct"/>
            <w:tcBorders>
              <w:top w:val="single" w:color="auto" w:sz="4" w:space="0"/>
              <w:left w:val="single" w:color="auto" w:sz="4" w:space="0"/>
              <w:bottom w:val="single" w:color="auto" w:sz="4" w:space="0"/>
              <w:right w:val="single" w:color="auto" w:sz="4" w:space="0"/>
            </w:tcBorders>
            <w:vAlign w:val="center"/>
          </w:tcPr>
          <w:p w14:paraId="7864E720">
            <w:pPr>
              <w:pageBreakBefore w:val="0"/>
              <w:kinsoku/>
              <w:overflowPunct/>
              <w:bidi w:val="0"/>
              <w:spacing w:line="500" w:lineRule="exact"/>
              <w:jc w:val="center"/>
              <w:rPr>
                <w:rFonts w:ascii="宋体" w:hAnsi="宋体" w:cs="宋体"/>
                <w:sz w:val="24"/>
                <w:highlight w:val="none"/>
              </w:rPr>
            </w:pPr>
          </w:p>
        </w:tc>
        <w:tc>
          <w:tcPr>
            <w:tcW w:w="1143" w:type="pct"/>
            <w:tcBorders>
              <w:top w:val="single" w:color="auto" w:sz="4" w:space="0"/>
              <w:left w:val="single" w:color="auto" w:sz="4" w:space="0"/>
              <w:bottom w:val="single" w:color="auto" w:sz="4" w:space="0"/>
              <w:right w:val="single" w:color="auto" w:sz="4" w:space="0"/>
            </w:tcBorders>
            <w:vAlign w:val="center"/>
          </w:tcPr>
          <w:p w14:paraId="6825090C">
            <w:pPr>
              <w:pageBreakBefore w:val="0"/>
              <w:kinsoku/>
              <w:overflowPunct/>
              <w:bidi w:val="0"/>
              <w:spacing w:line="500" w:lineRule="exact"/>
              <w:jc w:val="center"/>
              <w:rPr>
                <w:rFonts w:ascii="宋体" w:hAnsi="宋体" w:cs="宋体"/>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37469357">
            <w:pPr>
              <w:pageBreakBefore w:val="0"/>
              <w:kinsoku/>
              <w:overflowPunct/>
              <w:bidi w:val="0"/>
              <w:spacing w:line="500" w:lineRule="exact"/>
              <w:jc w:val="center"/>
              <w:rPr>
                <w:rFonts w:ascii="宋体" w:hAnsi="宋体" w:cs="宋体"/>
                <w:sz w:val="24"/>
                <w:highlight w:val="none"/>
              </w:rPr>
            </w:pPr>
          </w:p>
        </w:tc>
      </w:tr>
      <w:tr w14:paraId="4B884C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1242" w:type="dxa"/>
            <w:tcBorders>
              <w:top w:val="single" w:color="auto" w:sz="4" w:space="0"/>
              <w:left w:val="single" w:color="auto" w:sz="4" w:space="0"/>
              <w:bottom w:val="single" w:color="auto" w:sz="4" w:space="0"/>
              <w:right w:val="single" w:color="auto" w:sz="4" w:space="0"/>
            </w:tcBorders>
            <w:vAlign w:val="center"/>
          </w:tcPr>
          <w:p w14:paraId="6EAF14F7">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2</w:t>
            </w:r>
          </w:p>
        </w:tc>
        <w:tc>
          <w:tcPr>
            <w:tcW w:w="812" w:type="pct"/>
            <w:tcBorders>
              <w:top w:val="single" w:color="auto" w:sz="4" w:space="0"/>
              <w:left w:val="single" w:color="auto" w:sz="4" w:space="0"/>
              <w:bottom w:val="single" w:color="auto" w:sz="4" w:space="0"/>
              <w:right w:val="single" w:color="auto" w:sz="4" w:space="0"/>
            </w:tcBorders>
            <w:vAlign w:val="center"/>
          </w:tcPr>
          <w:p w14:paraId="73E6C754">
            <w:pPr>
              <w:pageBreakBefore w:val="0"/>
              <w:kinsoku/>
              <w:overflowPunct/>
              <w:bidi w:val="0"/>
              <w:snapToGrid w:val="0"/>
              <w:spacing w:line="500" w:lineRule="exact"/>
              <w:jc w:val="center"/>
              <w:rPr>
                <w:rFonts w:ascii="宋体" w:hAnsi="宋体" w:cs="宋体"/>
                <w:sz w:val="24"/>
                <w:highlight w:val="none"/>
              </w:rPr>
            </w:pPr>
          </w:p>
        </w:tc>
        <w:tc>
          <w:tcPr>
            <w:tcW w:w="1067" w:type="pct"/>
            <w:tcBorders>
              <w:top w:val="single" w:color="auto" w:sz="4" w:space="0"/>
              <w:left w:val="single" w:color="auto" w:sz="4" w:space="0"/>
              <w:bottom w:val="single" w:color="auto" w:sz="4" w:space="0"/>
              <w:right w:val="single" w:color="auto" w:sz="4" w:space="0"/>
            </w:tcBorders>
            <w:vAlign w:val="center"/>
          </w:tcPr>
          <w:p w14:paraId="407A9972">
            <w:pPr>
              <w:pageBreakBefore w:val="0"/>
              <w:kinsoku/>
              <w:overflowPunct/>
              <w:bidi w:val="0"/>
              <w:spacing w:line="500" w:lineRule="exact"/>
              <w:jc w:val="center"/>
              <w:rPr>
                <w:rFonts w:ascii="宋体" w:hAnsi="宋体" w:cs="宋体"/>
                <w:sz w:val="24"/>
                <w:highlight w:val="none"/>
              </w:rPr>
            </w:pPr>
          </w:p>
        </w:tc>
        <w:tc>
          <w:tcPr>
            <w:tcW w:w="1143" w:type="pct"/>
            <w:tcBorders>
              <w:top w:val="single" w:color="auto" w:sz="4" w:space="0"/>
              <w:left w:val="single" w:color="auto" w:sz="4" w:space="0"/>
              <w:bottom w:val="single" w:color="auto" w:sz="4" w:space="0"/>
              <w:right w:val="single" w:color="auto" w:sz="4" w:space="0"/>
            </w:tcBorders>
            <w:vAlign w:val="center"/>
          </w:tcPr>
          <w:p w14:paraId="2A7E6D43">
            <w:pPr>
              <w:pageBreakBefore w:val="0"/>
              <w:kinsoku/>
              <w:overflowPunct/>
              <w:bidi w:val="0"/>
              <w:spacing w:line="500" w:lineRule="exact"/>
              <w:jc w:val="center"/>
              <w:rPr>
                <w:rFonts w:ascii="宋体" w:hAnsi="宋体" w:cs="宋体"/>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51EE99E7">
            <w:pPr>
              <w:pageBreakBefore w:val="0"/>
              <w:kinsoku/>
              <w:overflowPunct/>
              <w:bidi w:val="0"/>
              <w:spacing w:line="500" w:lineRule="exact"/>
              <w:ind w:right="-107" w:rightChars="-51"/>
              <w:jc w:val="center"/>
              <w:rPr>
                <w:rFonts w:ascii="宋体" w:hAnsi="宋体" w:cs="宋体"/>
                <w:sz w:val="24"/>
                <w:highlight w:val="none"/>
              </w:rPr>
            </w:pPr>
          </w:p>
        </w:tc>
      </w:tr>
      <w:tr w14:paraId="78CD60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1242" w:type="dxa"/>
            <w:tcBorders>
              <w:top w:val="single" w:color="auto" w:sz="4" w:space="0"/>
              <w:left w:val="single" w:color="auto" w:sz="4" w:space="0"/>
              <w:bottom w:val="single" w:color="auto" w:sz="4" w:space="0"/>
              <w:right w:val="single" w:color="auto" w:sz="4" w:space="0"/>
            </w:tcBorders>
            <w:vAlign w:val="center"/>
          </w:tcPr>
          <w:p w14:paraId="4A82E8A6">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3</w:t>
            </w:r>
          </w:p>
        </w:tc>
        <w:tc>
          <w:tcPr>
            <w:tcW w:w="812" w:type="pct"/>
            <w:tcBorders>
              <w:top w:val="single" w:color="auto" w:sz="4" w:space="0"/>
              <w:left w:val="single" w:color="auto" w:sz="4" w:space="0"/>
              <w:bottom w:val="single" w:color="auto" w:sz="4" w:space="0"/>
              <w:right w:val="single" w:color="auto" w:sz="4" w:space="0"/>
            </w:tcBorders>
            <w:vAlign w:val="center"/>
          </w:tcPr>
          <w:p w14:paraId="1F48827B">
            <w:pPr>
              <w:pageBreakBefore w:val="0"/>
              <w:kinsoku/>
              <w:overflowPunct/>
              <w:bidi w:val="0"/>
              <w:snapToGrid w:val="0"/>
              <w:spacing w:line="500" w:lineRule="exact"/>
              <w:jc w:val="center"/>
              <w:rPr>
                <w:rFonts w:ascii="宋体" w:hAnsi="宋体" w:cs="宋体"/>
                <w:sz w:val="24"/>
                <w:highlight w:val="none"/>
              </w:rPr>
            </w:pPr>
          </w:p>
        </w:tc>
        <w:tc>
          <w:tcPr>
            <w:tcW w:w="1067" w:type="pct"/>
            <w:tcBorders>
              <w:top w:val="single" w:color="auto" w:sz="4" w:space="0"/>
              <w:left w:val="single" w:color="auto" w:sz="4" w:space="0"/>
              <w:bottom w:val="single" w:color="auto" w:sz="4" w:space="0"/>
              <w:right w:val="single" w:color="auto" w:sz="4" w:space="0"/>
            </w:tcBorders>
            <w:vAlign w:val="center"/>
          </w:tcPr>
          <w:p w14:paraId="6448D746">
            <w:pPr>
              <w:pageBreakBefore w:val="0"/>
              <w:kinsoku/>
              <w:overflowPunct/>
              <w:bidi w:val="0"/>
              <w:spacing w:line="500" w:lineRule="exact"/>
              <w:jc w:val="center"/>
              <w:rPr>
                <w:rFonts w:ascii="宋体" w:hAnsi="宋体" w:cs="宋体"/>
                <w:sz w:val="24"/>
                <w:highlight w:val="none"/>
              </w:rPr>
            </w:pPr>
          </w:p>
        </w:tc>
        <w:tc>
          <w:tcPr>
            <w:tcW w:w="1143" w:type="pct"/>
            <w:tcBorders>
              <w:top w:val="single" w:color="auto" w:sz="4" w:space="0"/>
              <w:left w:val="single" w:color="auto" w:sz="4" w:space="0"/>
              <w:bottom w:val="single" w:color="auto" w:sz="4" w:space="0"/>
              <w:right w:val="single" w:color="auto" w:sz="4" w:space="0"/>
            </w:tcBorders>
            <w:vAlign w:val="center"/>
          </w:tcPr>
          <w:p w14:paraId="53F5AFB4">
            <w:pPr>
              <w:pageBreakBefore w:val="0"/>
              <w:kinsoku/>
              <w:overflowPunct/>
              <w:bidi w:val="0"/>
              <w:spacing w:line="500" w:lineRule="exact"/>
              <w:jc w:val="center"/>
              <w:rPr>
                <w:rFonts w:ascii="宋体" w:hAnsi="宋体" w:cs="宋体"/>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07D6BBA9">
            <w:pPr>
              <w:pageBreakBefore w:val="0"/>
              <w:kinsoku/>
              <w:overflowPunct/>
              <w:bidi w:val="0"/>
              <w:spacing w:line="500" w:lineRule="exact"/>
              <w:jc w:val="center"/>
              <w:rPr>
                <w:rFonts w:ascii="宋体" w:hAnsi="宋体" w:cs="宋体"/>
                <w:sz w:val="24"/>
                <w:highlight w:val="none"/>
              </w:rPr>
            </w:pPr>
          </w:p>
        </w:tc>
      </w:tr>
      <w:tr w14:paraId="05EA88C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1242" w:type="dxa"/>
            <w:tcBorders>
              <w:top w:val="single" w:color="auto" w:sz="4" w:space="0"/>
              <w:left w:val="single" w:color="auto" w:sz="4" w:space="0"/>
              <w:bottom w:val="single" w:color="auto" w:sz="4" w:space="0"/>
              <w:right w:val="single" w:color="auto" w:sz="4" w:space="0"/>
            </w:tcBorders>
            <w:vAlign w:val="center"/>
          </w:tcPr>
          <w:p w14:paraId="69D59060">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w:t>
            </w:r>
          </w:p>
        </w:tc>
        <w:tc>
          <w:tcPr>
            <w:tcW w:w="812" w:type="pct"/>
            <w:tcBorders>
              <w:top w:val="single" w:color="auto" w:sz="4" w:space="0"/>
              <w:left w:val="single" w:color="auto" w:sz="4" w:space="0"/>
              <w:bottom w:val="single" w:color="auto" w:sz="4" w:space="0"/>
              <w:right w:val="single" w:color="auto" w:sz="4" w:space="0"/>
            </w:tcBorders>
            <w:vAlign w:val="center"/>
          </w:tcPr>
          <w:p w14:paraId="2DF51154">
            <w:pPr>
              <w:pageBreakBefore w:val="0"/>
              <w:kinsoku/>
              <w:overflowPunct/>
              <w:bidi w:val="0"/>
              <w:snapToGrid w:val="0"/>
              <w:spacing w:line="500" w:lineRule="exact"/>
              <w:jc w:val="center"/>
              <w:rPr>
                <w:rFonts w:ascii="宋体" w:hAnsi="宋体" w:cs="宋体"/>
                <w:sz w:val="24"/>
                <w:highlight w:val="none"/>
              </w:rPr>
            </w:pPr>
          </w:p>
        </w:tc>
        <w:tc>
          <w:tcPr>
            <w:tcW w:w="1067" w:type="pct"/>
            <w:tcBorders>
              <w:top w:val="single" w:color="auto" w:sz="4" w:space="0"/>
              <w:left w:val="single" w:color="auto" w:sz="4" w:space="0"/>
              <w:bottom w:val="single" w:color="auto" w:sz="4" w:space="0"/>
              <w:right w:val="single" w:color="auto" w:sz="4" w:space="0"/>
            </w:tcBorders>
            <w:vAlign w:val="center"/>
          </w:tcPr>
          <w:p w14:paraId="351EC08D">
            <w:pPr>
              <w:pageBreakBefore w:val="0"/>
              <w:kinsoku/>
              <w:overflowPunct/>
              <w:bidi w:val="0"/>
              <w:spacing w:line="500" w:lineRule="exact"/>
              <w:jc w:val="center"/>
              <w:rPr>
                <w:rFonts w:ascii="宋体" w:hAnsi="宋体" w:cs="宋体"/>
                <w:sz w:val="24"/>
                <w:highlight w:val="none"/>
              </w:rPr>
            </w:pPr>
          </w:p>
        </w:tc>
        <w:tc>
          <w:tcPr>
            <w:tcW w:w="1143" w:type="pct"/>
            <w:tcBorders>
              <w:top w:val="single" w:color="auto" w:sz="4" w:space="0"/>
              <w:left w:val="single" w:color="auto" w:sz="4" w:space="0"/>
              <w:bottom w:val="single" w:color="auto" w:sz="4" w:space="0"/>
              <w:right w:val="single" w:color="auto" w:sz="4" w:space="0"/>
            </w:tcBorders>
            <w:vAlign w:val="center"/>
          </w:tcPr>
          <w:p w14:paraId="0FDE65F0">
            <w:pPr>
              <w:pageBreakBefore w:val="0"/>
              <w:kinsoku/>
              <w:overflowPunct/>
              <w:bidi w:val="0"/>
              <w:spacing w:line="500" w:lineRule="exact"/>
              <w:jc w:val="center"/>
              <w:rPr>
                <w:rFonts w:ascii="宋体" w:hAnsi="宋体" w:cs="宋体"/>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4EEE449D">
            <w:pPr>
              <w:pageBreakBefore w:val="0"/>
              <w:kinsoku/>
              <w:overflowPunct/>
              <w:bidi w:val="0"/>
              <w:spacing w:line="500" w:lineRule="exact"/>
              <w:jc w:val="center"/>
              <w:rPr>
                <w:rFonts w:ascii="宋体" w:hAnsi="宋体" w:cs="宋体"/>
                <w:sz w:val="24"/>
                <w:highlight w:val="none"/>
              </w:rPr>
            </w:pPr>
          </w:p>
        </w:tc>
      </w:tr>
      <w:tr w14:paraId="6B1B51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672" w:type="pct"/>
            <w:tcBorders>
              <w:top w:val="single" w:color="auto" w:sz="4" w:space="0"/>
              <w:left w:val="single" w:color="auto" w:sz="4" w:space="0"/>
              <w:bottom w:val="single" w:color="auto" w:sz="4" w:space="0"/>
              <w:right w:val="single" w:color="auto" w:sz="4" w:space="0"/>
            </w:tcBorders>
            <w:vAlign w:val="center"/>
          </w:tcPr>
          <w:p w14:paraId="1275E94F">
            <w:pPr>
              <w:pageBreakBefore w:val="0"/>
              <w:kinsoku/>
              <w:overflowPunct/>
              <w:bidi w:val="0"/>
              <w:snapToGrid w:val="0"/>
              <w:spacing w:line="500" w:lineRule="exact"/>
              <w:jc w:val="center"/>
              <w:rPr>
                <w:rFonts w:ascii="宋体" w:hAnsi="宋体" w:cs="宋体"/>
                <w:sz w:val="24"/>
                <w:highlight w:val="none"/>
              </w:rPr>
            </w:pPr>
          </w:p>
        </w:tc>
        <w:tc>
          <w:tcPr>
            <w:tcW w:w="812" w:type="pct"/>
            <w:tcBorders>
              <w:top w:val="single" w:color="auto" w:sz="4" w:space="0"/>
              <w:left w:val="single" w:color="auto" w:sz="4" w:space="0"/>
              <w:bottom w:val="single" w:color="auto" w:sz="4" w:space="0"/>
              <w:right w:val="single" w:color="auto" w:sz="4" w:space="0"/>
            </w:tcBorders>
            <w:vAlign w:val="center"/>
          </w:tcPr>
          <w:p w14:paraId="47E8AB2A">
            <w:pPr>
              <w:pageBreakBefore w:val="0"/>
              <w:kinsoku/>
              <w:overflowPunct/>
              <w:bidi w:val="0"/>
              <w:snapToGrid w:val="0"/>
              <w:spacing w:line="500" w:lineRule="exact"/>
              <w:jc w:val="center"/>
              <w:rPr>
                <w:rFonts w:ascii="宋体" w:hAnsi="宋体" w:cs="宋体"/>
                <w:sz w:val="24"/>
                <w:highlight w:val="none"/>
              </w:rPr>
            </w:pPr>
          </w:p>
        </w:tc>
        <w:tc>
          <w:tcPr>
            <w:tcW w:w="1067" w:type="pct"/>
            <w:tcBorders>
              <w:top w:val="single" w:color="auto" w:sz="4" w:space="0"/>
              <w:left w:val="single" w:color="auto" w:sz="4" w:space="0"/>
              <w:bottom w:val="single" w:color="auto" w:sz="4" w:space="0"/>
              <w:right w:val="single" w:color="auto" w:sz="4" w:space="0"/>
            </w:tcBorders>
            <w:vAlign w:val="center"/>
          </w:tcPr>
          <w:p w14:paraId="4718C709">
            <w:pPr>
              <w:pageBreakBefore w:val="0"/>
              <w:kinsoku/>
              <w:overflowPunct/>
              <w:bidi w:val="0"/>
              <w:spacing w:line="500" w:lineRule="exact"/>
              <w:jc w:val="center"/>
              <w:rPr>
                <w:rFonts w:ascii="宋体" w:hAnsi="宋体" w:cs="宋体"/>
                <w:sz w:val="24"/>
                <w:highlight w:val="none"/>
              </w:rPr>
            </w:pPr>
          </w:p>
        </w:tc>
        <w:tc>
          <w:tcPr>
            <w:tcW w:w="1143" w:type="pct"/>
            <w:tcBorders>
              <w:top w:val="single" w:color="auto" w:sz="4" w:space="0"/>
              <w:left w:val="single" w:color="auto" w:sz="4" w:space="0"/>
              <w:bottom w:val="single" w:color="auto" w:sz="4" w:space="0"/>
              <w:right w:val="single" w:color="auto" w:sz="4" w:space="0"/>
            </w:tcBorders>
            <w:vAlign w:val="center"/>
          </w:tcPr>
          <w:p w14:paraId="140FA6DE">
            <w:pPr>
              <w:pageBreakBefore w:val="0"/>
              <w:kinsoku/>
              <w:overflowPunct/>
              <w:bidi w:val="0"/>
              <w:spacing w:line="500" w:lineRule="exact"/>
              <w:jc w:val="center"/>
              <w:rPr>
                <w:rFonts w:ascii="宋体" w:hAnsi="宋体" w:cs="宋体"/>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4E099B74">
            <w:pPr>
              <w:pageBreakBefore w:val="0"/>
              <w:kinsoku/>
              <w:overflowPunct/>
              <w:bidi w:val="0"/>
              <w:spacing w:line="500" w:lineRule="exact"/>
              <w:jc w:val="center"/>
              <w:rPr>
                <w:rFonts w:ascii="宋体" w:hAnsi="宋体" w:cs="宋体"/>
                <w:sz w:val="24"/>
                <w:highlight w:val="none"/>
              </w:rPr>
            </w:pPr>
          </w:p>
        </w:tc>
      </w:tr>
      <w:tr w14:paraId="3F554A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672" w:type="pct"/>
            <w:tcBorders>
              <w:top w:val="single" w:color="auto" w:sz="4" w:space="0"/>
              <w:left w:val="single" w:color="auto" w:sz="4" w:space="0"/>
              <w:bottom w:val="single" w:color="auto" w:sz="4" w:space="0"/>
              <w:right w:val="single" w:color="auto" w:sz="4" w:space="0"/>
            </w:tcBorders>
            <w:vAlign w:val="center"/>
          </w:tcPr>
          <w:p w14:paraId="5375020D">
            <w:pPr>
              <w:pageBreakBefore w:val="0"/>
              <w:kinsoku/>
              <w:overflowPunct/>
              <w:bidi w:val="0"/>
              <w:snapToGrid w:val="0"/>
              <w:spacing w:line="500" w:lineRule="exact"/>
              <w:jc w:val="center"/>
              <w:rPr>
                <w:rFonts w:ascii="宋体" w:hAnsi="宋体" w:cs="宋体"/>
                <w:sz w:val="24"/>
                <w:highlight w:val="none"/>
              </w:rPr>
            </w:pPr>
          </w:p>
        </w:tc>
        <w:tc>
          <w:tcPr>
            <w:tcW w:w="812" w:type="pct"/>
            <w:tcBorders>
              <w:top w:val="single" w:color="auto" w:sz="4" w:space="0"/>
              <w:left w:val="single" w:color="auto" w:sz="4" w:space="0"/>
              <w:bottom w:val="single" w:color="auto" w:sz="4" w:space="0"/>
              <w:right w:val="single" w:color="auto" w:sz="4" w:space="0"/>
            </w:tcBorders>
            <w:vAlign w:val="center"/>
          </w:tcPr>
          <w:p w14:paraId="42E9F67B">
            <w:pPr>
              <w:pageBreakBefore w:val="0"/>
              <w:kinsoku/>
              <w:overflowPunct/>
              <w:bidi w:val="0"/>
              <w:snapToGrid w:val="0"/>
              <w:spacing w:line="500" w:lineRule="exact"/>
              <w:jc w:val="center"/>
              <w:rPr>
                <w:rFonts w:ascii="宋体" w:hAnsi="宋体" w:cs="宋体"/>
                <w:sz w:val="24"/>
                <w:highlight w:val="none"/>
              </w:rPr>
            </w:pPr>
          </w:p>
        </w:tc>
        <w:tc>
          <w:tcPr>
            <w:tcW w:w="1067" w:type="pct"/>
            <w:tcBorders>
              <w:top w:val="single" w:color="auto" w:sz="4" w:space="0"/>
              <w:left w:val="single" w:color="auto" w:sz="4" w:space="0"/>
              <w:bottom w:val="single" w:color="auto" w:sz="4" w:space="0"/>
              <w:right w:val="single" w:color="auto" w:sz="4" w:space="0"/>
            </w:tcBorders>
            <w:vAlign w:val="center"/>
          </w:tcPr>
          <w:p w14:paraId="15322D11">
            <w:pPr>
              <w:pageBreakBefore w:val="0"/>
              <w:kinsoku/>
              <w:overflowPunct/>
              <w:bidi w:val="0"/>
              <w:spacing w:line="500" w:lineRule="exact"/>
              <w:jc w:val="center"/>
              <w:rPr>
                <w:rFonts w:ascii="宋体" w:hAnsi="宋体" w:cs="宋体"/>
                <w:sz w:val="24"/>
                <w:highlight w:val="none"/>
              </w:rPr>
            </w:pPr>
          </w:p>
        </w:tc>
        <w:tc>
          <w:tcPr>
            <w:tcW w:w="1143" w:type="pct"/>
            <w:tcBorders>
              <w:top w:val="single" w:color="auto" w:sz="4" w:space="0"/>
              <w:left w:val="single" w:color="auto" w:sz="4" w:space="0"/>
              <w:bottom w:val="single" w:color="auto" w:sz="4" w:space="0"/>
              <w:right w:val="single" w:color="auto" w:sz="4" w:space="0"/>
            </w:tcBorders>
            <w:vAlign w:val="center"/>
          </w:tcPr>
          <w:p w14:paraId="5F9E314D">
            <w:pPr>
              <w:pageBreakBefore w:val="0"/>
              <w:kinsoku/>
              <w:overflowPunct/>
              <w:bidi w:val="0"/>
              <w:spacing w:line="500" w:lineRule="exact"/>
              <w:jc w:val="center"/>
              <w:rPr>
                <w:rFonts w:ascii="宋体" w:hAnsi="宋体" w:cs="宋体"/>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3B2AD360">
            <w:pPr>
              <w:pageBreakBefore w:val="0"/>
              <w:kinsoku/>
              <w:overflowPunct/>
              <w:bidi w:val="0"/>
              <w:spacing w:line="500" w:lineRule="exact"/>
              <w:jc w:val="center"/>
              <w:rPr>
                <w:rFonts w:ascii="宋体" w:hAnsi="宋体" w:cs="宋体"/>
                <w:sz w:val="24"/>
                <w:highlight w:val="none"/>
              </w:rPr>
            </w:pPr>
          </w:p>
        </w:tc>
      </w:tr>
      <w:tr w14:paraId="1E2998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672" w:type="pct"/>
            <w:tcBorders>
              <w:top w:val="single" w:color="auto" w:sz="4" w:space="0"/>
              <w:left w:val="single" w:color="auto" w:sz="4" w:space="0"/>
              <w:bottom w:val="single" w:color="auto" w:sz="4" w:space="0"/>
              <w:right w:val="single" w:color="auto" w:sz="4" w:space="0"/>
            </w:tcBorders>
            <w:vAlign w:val="center"/>
          </w:tcPr>
          <w:p w14:paraId="208F7002">
            <w:pPr>
              <w:pageBreakBefore w:val="0"/>
              <w:kinsoku/>
              <w:overflowPunct/>
              <w:bidi w:val="0"/>
              <w:snapToGrid w:val="0"/>
              <w:spacing w:line="500" w:lineRule="exact"/>
              <w:jc w:val="center"/>
              <w:rPr>
                <w:rFonts w:hint="eastAsia" w:ascii="宋体" w:hAnsi="宋体" w:cs="宋体"/>
                <w:sz w:val="24"/>
                <w:highlight w:val="none"/>
              </w:rPr>
            </w:pPr>
          </w:p>
        </w:tc>
        <w:tc>
          <w:tcPr>
            <w:tcW w:w="812" w:type="pct"/>
            <w:tcBorders>
              <w:top w:val="single" w:color="auto" w:sz="4" w:space="0"/>
              <w:left w:val="single" w:color="auto" w:sz="4" w:space="0"/>
              <w:bottom w:val="single" w:color="auto" w:sz="4" w:space="0"/>
              <w:right w:val="single" w:color="auto" w:sz="4" w:space="0"/>
            </w:tcBorders>
            <w:vAlign w:val="center"/>
          </w:tcPr>
          <w:p w14:paraId="14F8A8DF">
            <w:pPr>
              <w:pageBreakBefore w:val="0"/>
              <w:kinsoku/>
              <w:overflowPunct/>
              <w:bidi w:val="0"/>
              <w:snapToGrid w:val="0"/>
              <w:spacing w:line="500" w:lineRule="exact"/>
              <w:jc w:val="center"/>
              <w:rPr>
                <w:rFonts w:ascii="宋体" w:hAnsi="宋体" w:cs="宋体"/>
                <w:sz w:val="24"/>
                <w:highlight w:val="none"/>
              </w:rPr>
            </w:pPr>
          </w:p>
        </w:tc>
        <w:tc>
          <w:tcPr>
            <w:tcW w:w="1067" w:type="pct"/>
            <w:tcBorders>
              <w:top w:val="single" w:color="auto" w:sz="4" w:space="0"/>
              <w:left w:val="single" w:color="auto" w:sz="4" w:space="0"/>
              <w:bottom w:val="single" w:color="auto" w:sz="4" w:space="0"/>
              <w:right w:val="single" w:color="auto" w:sz="4" w:space="0"/>
            </w:tcBorders>
            <w:vAlign w:val="center"/>
          </w:tcPr>
          <w:p w14:paraId="4AFE9CBC">
            <w:pPr>
              <w:pageBreakBefore w:val="0"/>
              <w:kinsoku/>
              <w:overflowPunct/>
              <w:bidi w:val="0"/>
              <w:spacing w:line="500" w:lineRule="exact"/>
              <w:jc w:val="center"/>
              <w:rPr>
                <w:rFonts w:ascii="宋体" w:hAnsi="宋体" w:cs="宋体"/>
                <w:sz w:val="24"/>
                <w:highlight w:val="none"/>
              </w:rPr>
            </w:pPr>
          </w:p>
        </w:tc>
        <w:tc>
          <w:tcPr>
            <w:tcW w:w="1143" w:type="pct"/>
            <w:tcBorders>
              <w:top w:val="single" w:color="auto" w:sz="4" w:space="0"/>
              <w:left w:val="single" w:color="auto" w:sz="4" w:space="0"/>
              <w:bottom w:val="single" w:color="auto" w:sz="4" w:space="0"/>
              <w:right w:val="single" w:color="auto" w:sz="4" w:space="0"/>
            </w:tcBorders>
            <w:vAlign w:val="center"/>
          </w:tcPr>
          <w:p w14:paraId="0F3310EA">
            <w:pPr>
              <w:pageBreakBefore w:val="0"/>
              <w:kinsoku/>
              <w:overflowPunct/>
              <w:bidi w:val="0"/>
              <w:spacing w:line="500" w:lineRule="exact"/>
              <w:jc w:val="center"/>
              <w:rPr>
                <w:rFonts w:ascii="宋体" w:hAnsi="宋体" w:cs="宋体"/>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5C00FE4C">
            <w:pPr>
              <w:pageBreakBefore w:val="0"/>
              <w:kinsoku/>
              <w:overflowPunct/>
              <w:bidi w:val="0"/>
              <w:spacing w:line="500" w:lineRule="exact"/>
              <w:jc w:val="center"/>
              <w:rPr>
                <w:rFonts w:ascii="宋体" w:hAnsi="宋体" w:cs="宋体"/>
                <w:sz w:val="24"/>
                <w:highlight w:val="none"/>
              </w:rPr>
            </w:pPr>
          </w:p>
        </w:tc>
      </w:tr>
    </w:tbl>
    <w:p w14:paraId="546213FF">
      <w:pPr>
        <w:pageBreakBefore w:val="0"/>
        <w:widowControl/>
        <w:kinsoku/>
        <w:overflowPunct/>
        <w:bidi w:val="0"/>
        <w:spacing w:line="500" w:lineRule="exact"/>
        <w:rPr>
          <w:rFonts w:ascii="宋体" w:hAnsi="宋体"/>
          <w:kern w:val="0"/>
          <w:sz w:val="28"/>
          <w:szCs w:val="28"/>
          <w:highlight w:val="none"/>
        </w:rPr>
      </w:pPr>
    </w:p>
    <w:p w14:paraId="7212CBC5">
      <w:pPr>
        <w:pageBreakBefore w:val="0"/>
        <w:kinsoku/>
        <w:wordWrap w:val="0"/>
        <w:overflowPunct/>
        <w:bidi w:val="0"/>
        <w:spacing w:line="500" w:lineRule="exact"/>
        <w:jc w:val="right"/>
        <w:rPr>
          <w:rFonts w:ascii="宋体" w:hAnsi="宋体" w:cs="宋体"/>
          <w:sz w:val="24"/>
          <w:highlight w:val="none"/>
        </w:rPr>
      </w:pPr>
      <w:r>
        <w:rPr>
          <w:rFonts w:hint="eastAsia" w:ascii="宋体" w:hAnsi="宋体" w:cs="宋体"/>
          <w:sz w:val="24"/>
          <w:highlight w:val="none"/>
        </w:rPr>
        <w:t>供应商名称：（盖单位章）</w:t>
      </w:r>
    </w:p>
    <w:p w14:paraId="16A9679A">
      <w:pPr>
        <w:pageBreakBefore w:val="0"/>
        <w:kinsoku/>
        <w:wordWrap w:val="0"/>
        <w:overflowPunct/>
        <w:bidi w:val="0"/>
        <w:spacing w:line="500" w:lineRule="exact"/>
        <w:ind w:right="480" w:firstLine="240" w:firstLineChars="100"/>
        <w:jc w:val="right"/>
        <w:rPr>
          <w:rFonts w:ascii="宋体" w:hAnsi="宋体" w:cs="宋体"/>
          <w:sz w:val="24"/>
          <w:highlight w:val="none"/>
        </w:rPr>
      </w:pPr>
      <w:r>
        <w:rPr>
          <w:rFonts w:hint="eastAsia" w:ascii="宋体" w:hAnsi="宋体" w:cs="宋体"/>
          <w:sz w:val="24"/>
          <w:highlight w:val="none"/>
        </w:rPr>
        <w:t>法定代表人：（签章）</w:t>
      </w:r>
    </w:p>
    <w:p w14:paraId="4046BBA4">
      <w:pPr>
        <w:pageBreakBefore w:val="0"/>
        <w:widowControl/>
        <w:kinsoku/>
        <w:overflowPunct/>
        <w:bidi w:val="0"/>
        <w:spacing w:line="500" w:lineRule="exact"/>
        <w:jc w:val="left"/>
        <w:rPr>
          <w:rFonts w:ascii="宋体" w:hAnsi="宋体"/>
          <w:b/>
          <w:bCs/>
          <w:kern w:val="0"/>
          <w:sz w:val="24"/>
          <w:szCs w:val="24"/>
          <w:highlight w:val="none"/>
        </w:rPr>
      </w:pPr>
    </w:p>
    <w:p w14:paraId="16012303">
      <w:pPr>
        <w:pageBreakBefore w:val="0"/>
        <w:widowControl/>
        <w:kinsoku/>
        <w:overflowPunct/>
        <w:bidi w:val="0"/>
        <w:spacing w:line="500" w:lineRule="exact"/>
        <w:jc w:val="left"/>
        <w:rPr>
          <w:rFonts w:ascii="宋体" w:hAnsi="宋体"/>
          <w:b/>
          <w:bCs/>
          <w:kern w:val="0"/>
          <w:sz w:val="24"/>
          <w:szCs w:val="24"/>
          <w:highlight w:val="none"/>
        </w:rPr>
      </w:pPr>
      <w:r>
        <w:rPr>
          <w:rFonts w:ascii="宋体" w:hAnsi="宋体"/>
          <w:b/>
          <w:bCs/>
          <w:kern w:val="0"/>
          <w:sz w:val="24"/>
          <w:szCs w:val="24"/>
          <w:highlight w:val="none"/>
        </w:rPr>
        <w:br w:type="page"/>
      </w:r>
    </w:p>
    <w:p w14:paraId="52C180AB">
      <w:pPr>
        <w:pageBreakBefore w:val="0"/>
        <w:kinsoku/>
        <w:overflowPunct/>
        <w:bidi w:val="0"/>
        <w:spacing w:line="500" w:lineRule="exact"/>
        <w:rPr>
          <w:rFonts w:hint="eastAsia"/>
          <w:highlight w:val="none"/>
          <w:lang w:eastAsia="zh-CN"/>
        </w:rPr>
      </w:pPr>
    </w:p>
    <w:p w14:paraId="7C2AAFEA">
      <w:pPr>
        <w:pageBreakBefore w:val="0"/>
        <w:kinsoku/>
        <w:overflowPunct/>
        <w:bidi w:val="0"/>
        <w:spacing w:line="500" w:lineRule="exact"/>
        <w:ind w:left="420"/>
        <w:jc w:val="center"/>
        <w:outlineLvl w:val="0"/>
        <w:rPr>
          <w:rFonts w:ascii="宋体" w:hAnsi="宋体" w:cs="宋体"/>
          <w:b/>
          <w:sz w:val="30"/>
          <w:szCs w:val="30"/>
          <w:highlight w:val="none"/>
        </w:rPr>
      </w:pPr>
      <w:r>
        <w:rPr>
          <w:rFonts w:hint="eastAsia" w:ascii="宋体" w:hAnsi="宋体" w:cs="宋体"/>
          <w:b/>
          <w:sz w:val="30"/>
          <w:szCs w:val="30"/>
          <w:highlight w:val="none"/>
        </w:rPr>
        <w:t>三、法定代表人身份证明</w:t>
      </w:r>
      <w:bookmarkEnd w:id="334"/>
      <w:bookmarkEnd w:id="335"/>
      <w:bookmarkEnd w:id="336"/>
      <w:bookmarkEnd w:id="337"/>
      <w:bookmarkEnd w:id="338"/>
      <w:bookmarkEnd w:id="339"/>
      <w:bookmarkEnd w:id="340"/>
      <w:bookmarkEnd w:id="341"/>
      <w:bookmarkEnd w:id="342"/>
      <w:bookmarkEnd w:id="343"/>
    </w:p>
    <w:p w14:paraId="550E400D">
      <w:pPr>
        <w:pageBreakBefore w:val="0"/>
        <w:kinsoku/>
        <w:overflowPunct/>
        <w:bidi w:val="0"/>
        <w:spacing w:line="500" w:lineRule="exact"/>
        <w:jc w:val="center"/>
        <w:rPr>
          <w:rFonts w:ascii="宋体" w:hAnsi="宋体" w:cs="宋体"/>
          <w:sz w:val="24"/>
          <w:highlight w:val="none"/>
        </w:rPr>
      </w:pPr>
    </w:p>
    <w:p w14:paraId="25DAD506">
      <w:pPr>
        <w:pageBreakBefore w:val="0"/>
        <w:kinsoku/>
        <w:overflowPunct/>
        <w:bidi w:val="0"/>
        <w:spacing w:line="500" w:lineRule="exact"/>
        <w:ind w:left="718" w:leftChars="342"/>
        <w:rPr>
          <w:rFonts w:ascii="宋体" w:hAnsi="宋体" w:cs="宋体"/>
          <w:sz w:val="24"/>
          <w:highlight w:val="none"/>
          <w:u w:val="single"/>
        </w:rPr>
      </w:pPr>
      <w:r>
        <w:rPr>
          <w:rFonts w:hint="eastAsia" w:ascii="宋体" w:hAnsi="宋体" w:cs="宋体"/>
          <w:sz w:val="24"/>
          <w:highlight w:val="none"/>
        </w:rPr>
        <w:t>供应商名称：</w:t>
      </w:r>
    </w:p>
    <w:p w14:paraId="7A7CAD89">
      <w:pPr>
        <w:pageBreakBefore w:val="0"/>
        <w:kinsoku/>
        <w:overflowPunct/>
        <w:bidi w:val="0"/>
        <w:spacing w:line="500" w:lineRule="exact"/>
        <w:ind w:left="718" w:leftChars="342"/>
        <w:rPr>
          <w:rFonts w:ascii="宋体" w:hAnsi="宋体" w:cs="宋体"/>
          <w:sz w:val="24"/>
          <w:highlight w:val="none"/>
        </w:rPr>
      </w:pPr>
      <w:r>
        <w:rPr>
          <w:rFonts w:hint="eastAsia" w:ascii="宋体" w:hAnsi="宋体" w:cs="宋体"/>
          <w:sz w:val="24"/>
          <w:highlight w:val="none"/>
        </w:rPr>
        <w:t>单位性质：</w:t>
      </w:r>
    </w:p>
    <w:p w14:paraId="3C5714A3">
      <w:pPr>
        <w:pageBreakBefore w:val="0"/>
        <w:kinsoku/>
        <w:overflowPunct/>
        <w:bidi w:val="0"/>
        <w:spacing w:line="500" w:lineRule="exact"/>
        <w:ind w:left="718" w:leftChars="342"/>
        <w:rPr>
          <w:rFonts w:ascii="宋体" w:hAnsi="宋体" w:cs="宋体"/>
          <w:sz w:val="24"/>
          <w:highlight w:val="none"/>
        </w:rPr>
      </w:pPr>
      <w:r>
        <w:rPr>
          <w:rFonts w:hint="eastAsia" w:ascii="宋体" w:hAnsi="宋体" w:cs="宋体"/>
          <w:sz w:val="24"/>
          <w:highlight w:val="none"/>
        </w:rPr>
        <w:t>地    址：</w:t>
      </w:r>
    </w:p>
    <w:p w14:paraId="7FD16924">
      <w:pPr>
        <w:pageBreakBefore w:val="0"/>
        <w:kinsoku/>
        <w:overflowPunct/>
        <w:bidi w:val="0"/>
        <w:spacing w:line="500" w:lineRule="exact"/>
        <w:ind w:left="718" w:leftChars="342"/>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14:paraId="16B4CCF4">
      <w:pPr>
        <w:pageBreakBefore w:val="0"/>
        <w:kinsoku/>
        <w:overflowPunct/>
        <w:bidi w:val="0"/>
        <w:spacing w:line="500" w:lineRule="exact"/>
        <w:ind w:left="718" w:leftChars="342"/>
        <w:rPr>
          <w:rFonts w:ascii="宋体" w:hAnsi="宋体" w:cs="宋体"/>
          <w:sz w:val="24"/>
          <w:highlight w:val="none"/>
        </w:rPr>
      </w:pPr>
      <w:r>
        <w:rPr>
          <w:rFonts w:hint="eastAsia" w:ascii="宋体" w:hAnsi="宋体" w:cs="宋体"/>
          <w:sz w:val="24"/>
          <w:highlight w:val="none"/>
        </w:rPr>
        <w:t>经营期限：</w:t>
      </w:r>
    </w:p>
    <w:p w14:paraId="4CEED934">
      <w:pPr>
        <w:pageBreakBefore w:val="0"/>
        <w:kinsoku/>
        <w:overflowPunct/>
        <w:bidi w:val="0"/>
        <w:spacing w:line="500" w:lineRule="exact"/>
        <w:ind w:left="718" w:leftChars="342"/>
        <w:rPr>
          <w:rFonts w:ascii="宋体" w:hAnsi="宋体" w:cs="宋体"/>
          <w:sz w:val="24"/>
          <w:highlight w:val="none"/>
        </w:rPr>
      </w:pPr>
      <w:r>
        <w:rPr>
          <w:rFonts w:hint="eastAsia" w:ascii="宋体" w:hAnsi="宋体" w:cs="宋体"/>
          <w:sz w:val="24"/>
          <w:highlight w:val="none"/>
        </w:rPr>
        <w:t>姓名：性别：年龄：职务：</w:t>
      </w:r>
    </w:p>
    <w:p w14:paraId="465E41AE">
      <w:pPr>
        <w:pageBreakBefore w:val="0"/>
        <w:kinsoku/>
        <w:overflowPunct/>
        <w:bidi w:val="0"/>
        <w:spacing w:line="500" w:lineRule="exact"/>
        <w:ind w:left="718" w:leftChars="342"/>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（供应商单位名称）的法定代表人。</w:t>
      </w:r>
    </w:p>
    <w:p w14:paraId="39DEBEFE">
      <w:pPr>
        <w:pageBreakBefore w:val="0"/>
        <w:kinsoku/>
        <w:overflowPunct/>
        <w:bidi w:val="0"/>
        <w:spacing w:line="500" w:lineRule="exact"/>
        <w:ind w:left="718" w:leftChars="342"/>
        <w:rPr>
          <w:rFonts w:ascii="宋体" w:hAnsi="宋体" w:cs="宋体"/>
          <w:sz w:val="24"/>
          <w:highlight w:val="none"/>
        </w:rPr>
      </w:pPr>
      <w:r>
        <w:rPr>
          <w:rFonts w:hint="eastAsia" w:ascii="宋体" w:hAnsi="宋体" w:cs="宋体"/>
          <w:sz w:val="24"/>
          <w:highlight w:val="none"/>
        </w:rPr>
        <w:t>特此证明。</w:t>
      </w:r>
    </w:p>
    <w:p w14:paraId="131B743D">
      <w:pPr>
        <w:pageBreakBefore w:val="0"/>
        <w:kinsoku/>
        <w:overflowPunct/>
        <w:bidi w:val="0"/>
        <w:spacing w:line="500" w:lineRule="exact"/>
        <w:rPr>
          <w:rFonts w:ascii="宋体" w:hAnsi="宋体" w:cs="宋体"/>
          <w:sz w:val="24"/>
          <w:highlight w:val="none"/>
        </w:rPr>
      </w:pPr>
    </w:p>
    <w:p w14:paraId="138B4228">
      <w:pPr>
        <w:pageBreakBefore w:val="0"/>
        <w:kinsoku/>
        <w:overflowPunct/>
        <w:bidi w:val="0"/>
        <w:spacing w:line="500" w:lineRule="exact"/>
        <w:ind w:left="718" w:leftChars="342"/>
        <w:rPr>
          <w:rFonts w:ascii="宋体" w:hAnsi="宋体" w:cs="宋体"/>
          <w:sz w:val="24"/>
          <w:highlight w:val="none"/>
        </w:rPr>
      </w:pPr>
      <w:r>
        <w:rPr>
          <w:rFonts w:hint="eastAsia" w:ascii="宋体" w:hAnsi="宋体" w:cs="宋体"/>
          <w:sz w:val="24"/>
          <w:highlight w:val="none"/>
        </w:rPr>
        <w:t>附：法定代表人身份证扫描件</w:t>
      </w:r>
    </w:p>
    <w:p w14:paraId="6D6F8378">
      <w:pPr>
        <w:pageBreakBefore w:val="0"/>
        <w:kinsoku/>
        <w:overflowPunct/>
        <w:bidi w:val="0"/>
        <w:spacing w:line="500" w:lineRule="exact"/>
        <w:rPr>
          <w:rFonts w:ascii="宋体" w:hAnsi="宋体" w:cs="宋体"/>
          <w:sz w:val="24"/>
          <w:highlight w:val="none"/>
        </w:rPr>
      </w:pPr>
    </w:p>
    <w:p w14:paraId="60E3BBBB">
      <w:pPr>
        <w:pageBreakBefore w:val="0"/>
        <w:kinsoku/>
        <w:overflowPunct/>
        <w:bidi w:val="0"/>
        <w:spacing w:line="500" w:lineRule="exact"/>
        <w:rPr>
          <w:rFonts w:ascii="宋体" w:hAnsi="宋体" w:cs="宋体"/>
          <w:sz w:val="24"/>
          <w:highlight w:val="none"/>
        </w:rPr>
      </w:pPr>
    </w:p>
    <w:p w14:paraId="0A5BC389">
      <w:pPr>
        <w:pageBreakBefore w:val="0"/>
        <w:kinsoku/>
        <w:overflowPunct/>
        <w:bidi w:val="0"/>
        <w:spacing w:line="500" w:lineRule="exact"/>
        <w:ind w:left="4808" w:leftChars="1957" w:hanging="698" w:hangingChars="291"/>
        <w:rPr>
          <w:rFonts w:ascii="宋体" w:hAnsi="宋体" w:cs="宋体"/>
          <w:sz w:val="24"/>
          <w:highlight w:val="none"/>
        </w:rPr>
      </w:pPr>
    </w:p>
    <w:p w14:paraId="55A446C9">
      <w:pPr>
        <w:pageBreakBefore w:val="0"/>
        <w:kinsoku/>
        <w:overflowPunct/>
        <w:bidi w:val="0"/>
        <w:spacing w:line="500" w:lineRule="exact"/>
        <w:ind w:left="4808" w:leftChars="1957" w:hanging="698" w:hangingChars="291"/>
        <w:rPr>
          <w:rFonts w:ascii="宋体" w:hAnsi="宋体" w:cs="宋体"/>
          <w:sz w:val="24"/>
          <w:highlight w:val="none"/>
        </w:rPr>
      </w:pPr>
    </w:p>
    <w:p w14:paraId="63F35B3C">
      <w:pPr>
        <w:pageBreakBefore w:val="0"/>
        <w:kinsoku/>
        <w:overflowPunct/>
        <w:bidi w:val="0"/>
        <w:spacing w:line="500" w:lineRule="exact"/>
        <w:ind w:left="4808" w:leftChars="1957" w:hanging="698" w:hangingChars="291"/>
        <w:rPr>
          <w:rFonts w:ascii="宋体" w:hAnsi="宋体" w:cs="宋体"/>
          <w:sz w:val="24"/>
          <w:highlight w:val="none"/>
        </w:rPr>
      </w:pPr>
    </w:p>
    <w:p w14:paraId="21BA3D37">
      <w:pPr>
        <w:pageBreakBefore w:val="0"/>
        <w:kinsoku/>
        <w:overflowPunct/>
        <w:bidi w:val="0"/>
        <w:spacing w:line="500" w:lineRule="exact"/>
        <w:ind w:left="4808" w:leftChars="1957" w:hanging="698" w:hangingChars="291"/>
        <w:rPr>
          <w:rFonts w:ascii="宋体" w:hAnsi="宋体" w:cs="宋体"/>
          <w:sz w:val="24"/>
          <w:highlight w:val="none"/>
        </w:rPr>
      </w:pPr>
    </w:p>
    <w:p w14:paraId="54FBE80E">
      <w:pPr>
        <w:pageBreakBefore w:val="0"/>
        <w:kinsoku/>
        <w:overflowPunct/>
        <w:bidi w:val="0"/>
        <w:spacing w:line="500" w:lineRule="exact"/>
        <w:ind w:left="4808" w:leftChars="1957" w:hanging="698" w:hangingChars="291"/>
        <w:rPr>
          <w:rFonts w:ascii="宋体" w:hAnsi="宋体" w:cs="宋体"/>
          <w:sz w:val="24"/>
          <w:highlight w:val="none"/>
        </w:rPr>
      </w:pPr>
      <w:r>
        <w:rPr>
          <w:rFonts w:hint="eastAsia" w:ascii="宋体" w:hAnsi="宋体" w:cs="宋体"/>
          <w:sz w:val="24"/>
          <w:highlight w:val="none"/>
        </w:rPr>
        <w:t>供应商名称：（盖单位章）</w:t>
      </w:r>
    </w:p>
    <w:p w14:paraId="6CC8C9A8">
      <w:pPr>
        <w:pageBreakBefore w:val="0"/>
        <w:kinsoku/>
        <w:overflowPunct/>
        <w:bidi w:val="0"/>
        <w:spacing w:line="500" w:lineRule="exact"/>
        <w:ind w:left="4828" w:leftChars="2299" w:firstLine="501" w:firstLineChars="209"/>
        <w:rPr>
          <w:rFonts w:ascii="宋体" w:hAnsi="宋体" w:cs="宋体"/>
          <w:sz w:val="24"/>
          <w:highlight w:val="none"/>
          <w:u w:val="single"/>
        </w:rPr>
      </w:pPr>
    </w:p>
    <w:p w14:paraId="60ABF4D0">
      <w:pPr>
        <w:pageBreakBefore w:val="0"/>
        <w:kinsoku/>
        <w:overflowPunct/>
        <w:bidi w:val="0"/>
        <w:spacing w:line="500" w:lineRule="exact"/>
        <w:ind w:left="4828" w:leftChars="2299" w:firstLine="501" w:firstLineChars="209"/>
        <w:rPr>
          <w:rFonts w:ascii="宋体" w:hAnsi="宋体" w:cs="宋体"/>
          <w:b/>
          <w:sz w:val="28"/>
          <w:szCs w:val="28"/>
          <w:highlight w:val="none"/>
        </w:rPr>
        <w:sectPr>
          <w:pgSz w:w="11915" w:h="16840"/>
          <w:pgMar w:top="1417" w:right="1134" w:bottom="1417" w:left="1417" w:header="720" w:footer="720" w:gutter="0"/>
          <w:pgNumType w:fmt="decimal"/>
          <w:cols w:space="720" w:num="1"/>
          <w:rtlGutter w:val="0"/>
          <w:docGrid w:type="lines" w:linePitch="312" w:charSpace="0"/>
        </w:sectPr>
      </w:pPr>
      <w:r>
        <w:rPr>
          <w:rFonts w:hint="eastAsia" w:ascii="宋体" w:hAnsi="宋体" w:cs="宋体"/>
          <w:sz w:val="24"/>
          <w:highlight w:val="none"/>
        </w:rPr>
        <w:t>年月日</w:t>
      </w:r>
    </w:p>
    <w:p w14:paraId="338DBF63">
      <w:pPr>
        <w:pageBreakBefore w:val="0"/>
        <w:kinsoku/>
        <w:overflowPunct/>
        <w:bidi w:val="0"/>
        <w:spacing w:line="500" w:lineRule="exact"/>
        <w:jc w:val="center"/>
        <w:outlineLvl w:val="0"/>
        <w:rPr>
          <w:rFonts w:ascii="宋体" w:hAnsi="宋体" w:cs="宋体"/>
          <w:b/>
          <w:sz w:val="30"/>
          <w:szCs w:val="30"/>
          <w:highlight w:val="none"/>
        </w:rPr>
      </w:pPr>
      <w:bookmarkStart w:id="344" w:name="_Toc522798782"/>
      <w:bookmarkEnd w:id="344"/>
      <w:bookmarkStart w:id="345" w:name="_Toc522085808"/>
      <w:bookmarkEnd w:id="345"/>
      <w:bookmarkStart w:id="346" w:name="_Toc522085806"/>
      <w:bookmarkEnd w:id="346"/>
      <w:bookmarkStart w:id="347" w:name="_Toc522798873"/>
      <w:bookmarkEnd w:id="347"/>
      <w:bookmarkStart w:id="348" w:name="_Toc29831_WPSOffice_Level1"/>
      <w:bookmarkEnd w:id="348"/>
      <w:bookmarkStart w:id="349" w:name="_Toc497301912"/>
      <w:bookmarkEnd w:id="349"/>
      <w:bookmarkStart w:id="350" w:name="_Toc522798784"/>
      <w:bookmarkEnd w:id="350"/>
      <w:bookmarkStart w:id="351" w:name="_Toc11216_WPSOffice_Level1"/>
      <w:bookmarkEnd w:id="351"/>
      <w:bookmarkStart w:id="352" w:name="_Toc19289_WPSOffice_Level1"/>
      <w:bookmarkEnd w:id="352"/>
      <w:bookmarkStart w:id="353" w:name="_Toc522085807"/>
      <w:bookmarkEnd w:id="353"/>
      <w:bookmarkStart w:id="354" w:name="_Toc1100_WPSOffice_Level1"/>
      <w:bookmarkEnd w:id="354"/>
      <w:bookmarkStart w:id="355" w:name="_Toc521998010"/>
      <w:bookmarkEnd w:id="355"/>
      <w:bookmarkStart w:id="356" w:name="_Toc497301915"/>
      <w:bookmarkEnd w:id="356"/>
      <w:bookmarkStart w:id="357" w:name="_Toc9668_WPSOffice_Level1"/>
      <w:bookmarkEnd w:id="357"/>
      <w:bookmarkStart w:id="358" w:name="_Toc522798874"/>
      <w:bookmarkEnd w:id="358"/>
      <w:bookmarkStart w:id="359" w:name="_Toc497301911"/>
      <w:bookmarkEnd w:id="359"/>
      <w:bookmarkStart w:id="360" w:name="_Toc14173_WPSOffice_Level1"/>
      <w:bookmarkEnd w:id="360"/>
      <w:bookmarkStart w:id="361" w:name="_Toc6592_WPSOffice_Level1"/>
      <w:bookmarkEnd w:id="361"/>
      <w:bookmarkStart w:id="362" w:name="_Toc9989_WPSOffice_Level1"/>
      <w:bookmarkEnd w:id="362"/>
      <w:bookmarkStart w:id="363" w:name="_Toc522798783"/>
      <w:bookmarkEnd w:id="363"/>
      <w:bookmarkStart w:id="364" w:name="_Toc465990928"/>
      <w:bookmarkEnd w:id="364"/>
      <w:bookmarkStart w:id="365" w:name="_Toc465990927"/>
      <w:bookmarkEnd w:id="365"/>
      <w:bookmarkStart w:id="366" w:name="_Toc28375_WPSOffice_Level1"/>
      <w:bookmarkEnd w:id="366"/>
      <w:bookmarkStart w:id="367" w:name="_Toc12265_WPSOffice_Level1"/>
      <w:bookmarkStart w:id="368" w:name="_Toc10677"/>
      <w:bookmarkStart w:id="369" w:name="_Toc26307_WPSOffice_Level1"/>
      <w:bookmarkStart w:id="370" w:name="_Toc17311_WPSOffice_Level1"/>
      <w:bookmarkStart w:id="371" w:name="_Toc521998012"/>
      <w:bookmarkStart w:id="372" w:name="_Toc16255_WPSOffice_Level1"/>
      <w:bookmarkStart w:id="373" w:name="_Toc3509_WPSOffice_Level1"/>
      <w:bookmarkStart w:id="374" w:name="_Toc32033"/>
      <w:bookmarkStart w:id="375" w:name="_Toc20284_WPSOffice_Level1"/>
      <w:bookmarkStart w:id="376" w:name="_Toc28468_WPSOffice_Level1"/>
      <w:r>
        <w:rPr>
          <w:rFonts w:hint="eastAsia" w:ascii="宋体" w:hAnsi="宋体" w:cs="宋体"/>
          <w:b/>
          <w:sz w:val="30"/>
          <w:szCs w:val="30"/>
          <w:highlight w:val="none"/>
          <w:lang w:eastAsia="zh-CN"/>
        </w:rPr>
        <w:t>四</w:t>
      </w:r>
      <w:r>
        <w:rPr>
          <w:rFonts w:hint="eastAsia" w:ascii="宋体" w:hAnsi="宋体" w:cs="宋体"/>
          <w:b/>
          <w:sz w:val="30"/>
          <w:szCs w:val="30"/>
          <w:highlight w:val="none"/>
        </w:rPr>
        <w:t>、资格审查资料</w:t>
      </w:r>
      <w:bookmarkEnd w:id="367"/>
      <w:bookmarkEnd w:id="368"/>
      <w:bookmarkEnd w:id="369"/>
      <w:bookmarkEnd w:id="370"/>
      <w:bookmarkEnd w:id="371"/>
      <w:bookmarkEnd w:id="372"/>
      <w:bookmarkEnd w:id="373"/>
      <w:bookmarkEnd w:id="374"/>
      <w:bookmarkEnd w:id="375"/>
      <w:bookmarkEnd w:id="376"/>
    </w:p>
    <w:p w14:paraId="6C31C5BA">
      <w:pPr>
        <w:pageBreakBefore w:val="0"/>
        <w:kinsoku/>
        <w:overflowPunct/>
        <w:bidi w:val="0"/>
        <w:spacing w:line="500" w:lineRule="exact"/>
        <w:jc w:val="center"/>
        <w:rPr>
          <w:rFonts w:ascii="宋体" w:hAnsi="宋体" w:cs="宋体"/>
          <w:b/>
          <w:sz w:val="24"/>
          <w:highlight w:val="none"/>
        </w:rPr>
      </w:pPr>
      <w:bookmarkStart w:id="377" w:name="_Toc18334_WPSOffice_Level2"/>
      <w:bookmarkEnd w:id="377"/>
      <w:bookmarkStart w:id="378" w:name="_Toc6366_WPSOffice_Level2"/>
      <w:r>
        <w:rPr>
          <w:rFonts w:hint="eastAsia" w:ascii="宋体" w:hAnsi="宋体" w:cs="宋体"/>
          <w:b/>
          <w:sz w:val="24"/>
          <w:highlight w:val="none"/>
        </w:rPr>
        <w:t>（一）基本情况表</w:t>
      </w:r>
      <w:bookmarkEnd w:id="378"/>
    </w:p>
    <w:p w14:paraId="7EAA9628">
      <w:pPr>
        <w:pageBreakBefore w:val="0"/>
        <w:kinsoku/>
        <w:overflowPunct/>
        <w:bidi w:val="0"/>
        <w:spacing w:line="500" w:lineRule="exact"/>
        <w:rPr>
          <w:rFonts w:ascii="宋体" w:hAnsi="宋体" w:cs="宋体"/>
          <w:szCs w:val="21"/>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1279"/>
        <w:gridCol w:w="1850"/>
        <w:gridCol w:w="1280"/>
        <w:gridCol w:w="2183"/>
      </w:tblGrid>
      <w:tr w14:paraId="4AE4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629658E2">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供应商名称</w:t>
            </w:r>
          </w:p>
        </w:tc>
        <w:tc>
          <w:tcPr>
            <w:tcW w:w="6592" w:type="dxa"/>
            <w:gridSpan w:val="4"/>
            <w:tcBorders>
              <w:top w:val="single" w:color="auto" w:sz="4" w:space="0"/>
              <w:left w:val="nil"/>
              <w:bottom w:val="single" w:color="auto" w:sz="4" w:space="0"/>
              <w:right w:val="single" w:color="auto" w:sz="4" w:space="0"/>
            </w:tcBorders>
            <w:vAlign w:val="center"/>
          </w:tcPr>
          <w:p w14:paraId="5918B6D8">
            <w:pPr>
              <w:pageBreakBefore w:val="0"/>
              <w:kinsoku/>
              <w:overflowPunct/>
              <w:autoSpaceDE w:val="0"/>
              <w:autoSpaceDN w:val="0"/>
              <w:bidi w:val="0"/>
              <w:adjustRightInd w:val="0"/>
              <w:spacing w:line="500" w:lineRule="exact"/>
              <w:jc w:val="center"/>
              <w:rPr>
                <w:rFonts w:ascii="宋体" w:hAnsi="宋体" w:cs="宋体"/>
                <w:sz w:val="24"/>
                <w:highlight w:val="none"/>
              </w:rPr>
            </w:pPr>
          </w:p>
        </w:tc>
      </w:tr>
      <w:tr w14:paraId="294C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16FEC360">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注册资金</w:t>
            </w:r>
          </w:p>
        </w:tc>
        <w:tc>
          <w:tcPr>
            <w:tcW w:w="3129" w:type="dxa"/>
            <w:gridSpan w:val="2"/>
            <w:tcBorders>
              <w:top w:val="single" w:color="auto" w:sz="4" w:space="0"/>
              <w:left w:val="nil"/>
              <w:bottom w:val="single" w:color="auto" w:sz="4" w:space="0"/>
              <w:right w:val="single" w:color="auto" w:sz="4" w:space="0"/>
            </w:tcBorders>
            <w:vAlign w:val="center"/>
          </w:tcPr>
          <w:p w14:paraId="085623DA">
            <w:pPr>
              <w:pageBreakBefore w:val="0"/>
              <w:kinsoku/>
              <w:overflowPunct/>
              <w:autoSpaceDE w:val="0"/>
              <w:autoSpaceDN w:val="0"/>
              <w:bidi w:val="0"/>
              <w:adjustRightInd w:val="0"/>
              <w:spacing w:line="500" w:lineRule="exact"/>
              <w:jc w:val="center"/>
              <w:rPr>
                <w:rFonts w:ascii="宋体" w:hAnsi="宋体" w:cs="宋体"/>
                <w:sz w:val="24"/>
                <w:highlight w:val="none"/>
              </w:rPr>
            </w:pPr>
          </w:p>
        </w:tc>
        <w:tc>
          <w:tcPr>
            <w:tcW w:w="1280" w:type="dxa"/>
            <w:tcBorders>
              <w:top w:val="single" w:color="auto" w:sz="4" w:space="0"/>
              <w:left w:val="nil"/>
              <w:bottom w:val="single" w:color="auto" w:sz="4" w:space="0"/>
              <w:right w:val="single" w:color="auto" w:sz="4" w:space="0"/>
            </w:tcBorders>
            <w:vAlign w:val="center"/>
          </w:tcPr>
          <w:p w14:paraId="24010A68">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成立时间</w:t>
            </w:r>
          </w:p>
        </w:tc>
        <w:tc>
          <w:tcPr>
            <w:tcW w:w="2183" w:type="dxa"/>
            <w:tcBorders>
              <w:top w:val="single" w:color="auto" w:sz="4" w:space="0"/>
              <w:left w:val="nil"/>
              <w:bottom w:val="single" w:color="auto" w:sz="4" w:space="0"/>
              <w:right w:val="single" w:color="auto" w:sz="4" w:space="0"/>
            </w:tcBorders>
            <w:vAlign w:val="center"/>
          </w:tcPr>
          <w:p w14:paraId="685A93CA">
            <w:pPr>
              <w:pageBreakBefore w:val="0"/>
              <w:kinsoku/>
              <w:overflowPunct/>
              <w:autoSpaceDE w:val="0"/>
              <w:autoSpaceDN w:val="0"/>
              <w:bidi w:val="0"/>
              <w:adjustRightInd w:val="0"/>
              <w:spacing w:line="500" w:lineRule="exact"/>
              <w:jc w:val="center"/>
              <w:rPr>
                <w:rFonts w:ascii="宋体" w:hAnsi="宋体" w:cs="宋体"/>
                <w:sz w:val="24"/>
                <w:highlight w:val="none"/>
              </w:rPr>
            </w:pPr>
          </w:p>
        </w:tc>
      </w:tr>
      <w:tr w14:paraId="7DCD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0818BE01">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注册地址</w:t>
            </w:r>
          </w:p>
        </w:tc>
        <w:tc>
          <w:tcPr>
            <w:tcW w:w="6592" w:type="dxa"/>
            <w:gridSpan w:val="4"/>
            <w:tcBorders>
              <w:top w:val="single" w:color="auto" w:sz="4" w:space="0"/>
              <w:left w:val="nil"/>
              <w:bottom w:val="single" w:color="auto" w:sz="4" w:space="0"/>
              <w:right w:val="single" w:color="auto" w:sz="4" w:space="0"/>
            </w:tcBorders>
            <w:vAlign w:val="center"/>
          </w:tcPr>
          <w:p w14:paraId="15313098">
            <w:pPr>
              <w:pageBreakBefore w:val="0"/>
              <w:kinsoku/>
              <w:overflowPunct/>
              <w:autoSpaceDE w:val="0"/>
              <w:autoSpaceDN w:val="0"/>
              <w:bidi w:val="0"/>
              <w:adjustRightInd w:val="0"/>
              <w:spacing w:line="500" w:lineRule="exact"/>
              <w:jc w:val="center"/>
              <w:rPr>
                <w:rFonts w:ascii="宋体" w:hAnsi="宋体" w:cs="宋体"/>
                <w:sz w:val="24"/>
                <w:highlight w:val="none"/>
              </w:rPr>
            </w:pPr>
          </w:p>
        </w:tc>
      </w:tr>
      <w:tr w14:paraId="2C31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5B7161ED">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邮政编码</w:t>
            </w:r>
          </w:p>
        </w:tc>
        <w:tc>
          <w:tcPr>
            <w:tcW w:w="3129" w:type="dxa"/>
            <w:gridSpan w:val="2"/>
            <w:tcBorders>
              <w:top w:val="single" w:color="auto" w:sz="4" w:space="0"/>
              <w:left w:val="nil"/>
              <w:bottom w:val="single" w:color="auto" w:sz="4" w:space="0"/>
              <w:right w:val="single" w:color="auto" w:sz="4" w:space="0"/>
            </w:tcBorders>
            <w:vAlign w:val="center"/>
          </w:tcPr>
          <w:p w14:paraId="08FBF3EE">
            <w:pPr>
              <w:pageBreakBefore w:val="0"/>
              <w:kinsoku/>
              <w:overflowPunct/>
              <w:autoSpaceDE w:val="0"/>
              <w:autoSpaceDN w:val="0"/>
              <w:bidi w:val="0"/>
              <w:adjustRightInd w:val="0"/>
              <w:spacing w:line="500" w:lineRule="exact"/>
              <w:jc w:val="center"/>
              <w:rPr>
                <w:rFonts w:ascii="宋体" w:hAnsi="宋体" w:cs="宋体"/>
                <w:sz w:val="24"/>
                <w:highlight w:val="none"/>
              </w:rPr>
            </w:pPr>
          </w:p>
        </w:tc>
        <w:tc>
          <w:tcPr>
            <w:tcW w:w="1280" w:type="dxa"/>
            <w:tcBorders>
              <w:top w:val="single" w:color="auto" w:sz="4" w:space="0"/>
              <w:left w:val="nil"/>
              <w:bottom w:val="single" w:color="auto" w:sz="4" w:space="0"/>
              <w:right w:val="single" w:color="auto" w:sz="4" w:space="0"/>
            </w:tcBorders>
            <w:vAlign w:val="center"/>
          </w:tcPr>
          <w:p w14:paraId="2AD6C1AD">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员工总数</w:t>
            </w:r>
          </w:p>
        </w:tc>
        <w:tc>
          <w:tcPr>
            <w:tcW w:w="2183" w:type="dxa"/>
            <w:tcBorders>
              <w:top w:val="single" w:color="auto" w:sz="4" w:space="0"/>
              <w:left w:val="nil"/>
              <w:bottom w:val="single" w:color="auto" w:sz="4" w:space="0"/>
              <w:right w:val="single" w:color="auto" w:sz="4" w:space="0"/>
            </w:tcBorders>
            <w:vAlign w:val="center"/>
          </w:tcPr>
          <w:p w14:paraId="3A7B2FBA">
            <w:pPr>
              <w:pageBreakBefore w:val="0"/>
              <w:kinsoku/>
              <w:overflowPunct/>
              <w:autoSpaceDE w:val="0"/>
              <w:autoSpaceDN w:val="0"/>
              <w:bidi w:val="0"/>
              <w:adjustRightInd w:val="0"/>
              <w:spacing w:line="500" w:lineRule="exact"/>
              <w:jc w:val="center"/>
              <w:rPr>
                <w:rFonts w:ascii="宋体" w:hAnsi="宋体" w:cs="宋体"/>
                <w:sz w:val="24"/>
                <w:highlight w:val="none"/>
              </w:rPr>
            </w:pPr>
          </w:p>
        </w:tc>
      </w:tr>
      <w:tr w14:paraId="229A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07" w:type="dxa"/>
            <w:vMerge w:val="restart"/>
            <w:tcBorders>
              <w:top w:val="nil"/>
              <w:left w:val="single" w:color="auto" w:sz="4" w:space="0"/>
              <w:bottom w:val="single" w:color="auto" w:sz="4" w:space="0"/>
              <w:right w:val="single" w:color="auto" w:sz="4" w:space="0"/>
            </w:tcBorders>
            <w:vAlign w:val="center"/>
          </w:tcPr>
          <w:p w14:paraId="7A98F4BC">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联系方式</w:t>
            </w:r>
          </w:p>
        </w:tc>
        <w:tc>
          <w:tcPr>
            <w:tcW w:w="1279" w:type="dxa"/>
            <w:tcBorders>
              <w:top w:val="single" w:color="auto" w:sz="4" w:space="0"/>
              <w:left w:val="nil"/>
              <w:bottom w:val="single" w:color="auto" w:sz="4" w:space="0"/>
              <w:right w:val="single" w:color="auto" w:sz="4" w:space="0"/>
            </w:tcBorders>
            <w:vAlign w:val="center"/>
          </w:tcPr>
          <w:p w14:paraId="05DE014F">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联系人</w:t>
            </w:r>
          </w:p>
        </w:tc>
        <w:tc>
          <w:tcPr>
            <w:tcW w:w="1850" w:type="dxa"/>
            <w:tcBorders>
              <w:top w:val="single" w:color="auto" w:sz="4" w:space="0"/>
              <w:left w:val="nil"/>
              <w:bottom w:val="single" w:color="auto" w:sz="4" w:space="0"/>
              <w:right w:val="single" w:color="auto" w:sz="4" w:space="0"/>
            </w:tcBorders>
            <w:vAlign w:val="center"/>
          </w:tcPr>
          <w:p w14:paraId="53AF711D">
            <w:pPr>
              <w:pageBreakBefore w:val="0"/>
              <w:kinsoku/>
              <w:overflowPunct/>
              <w:autoSpaceDE w:val="0"/>
              <w:autoSpaceDN w:val="0"/>
              <w:bidi w:val="0"/>
              <w:adjustRightInd w:val="0"/>
              <w:spacing w:line="500" w:lineRule="exact"/>
              <w:jc w:val="center"/>
              <w:rPr>
                <w:rFonts w:ascii="宋体" w:hAnsi="宋体" w:cs="宋体"/>
                <w:sz w:val="24"/>
                <w:highlight w:val="none"/>
              </w:rPr>
            </w:pPr>
          </w:p>
        </w:tc>
        <w:tc>
          <w:tcPr>
            <w:tcW w:w="1280" w:type="dxa"/>
            <w:tcBorders>
              <w:top w:val="single" w:color="auto" w:sz="4" w:space="0"/>
              <w:left w:val="nil"/>
              <w:bottom w:val="single" w:color="auto" w:sz="4" w:space="0"/>
              <w:right w:val="single" w:color="auto" w:sz="4" w:space="0"/>
            </w:tcBorders>
            <w:vAlign w:val="center"/>
          </w:tcPr>
          <w:p w14:paraId="5C350C91">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电话</w:t>
            </w:r>
          </w:p>
        </w:tc>
        <w:tc>
          <w:tcPr>
            <w:tcW w:w="2183" w:type="dxa"/>
            <w:tcBorders>
              <w:top w:val="single" w:color="auto" w:sz="4" w:space="0"/>
              <w:left w:val="nil"/>
              <w:bottom w:val="single" w:color="auto" w:sz="4" w:space="0"/>
              <w:right w:val="single" w:color="auto" w:sz="4" w:space="0"/>
            </w:tcBorders>
            <w:vAlign w:val="center"/>
          </w:tcPr>
          <w:p w14:paraId="44E91849">
            <w:pPr>
              <w:pageBreakBefore w:val="0"/>
              <w:kinsoku/>
              <w:overflowPunct/>
              <w:autoSpaceDE w:val="0"/>
              <w:autoSpaceDN w:val="0"/>
              <w:bidi w:val="0"/>
              <w:adjustRightInd w:val="0"/>
              <w:spacing w:line="500" w:lineRule="exact"/>
              <w:jc w:val="center"/>
              <w:rPr>
                <w:rFonts w:ascii="宋体" w:hAnsi="宋体" w:cs="宋体"/>
                <w:sz w:val="24"/>
                <w:highlight w:val="none"/>
              </w:rPr>
            </w:pPr>
          </w:p>
        </w:tc>
      </w:tr>
      <w:tr w14:paraId="2DAD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607" w:type="dxa"/>
            <w:vMerge w:val="continue"/>
            <w:tcBorders>
              <w:top w:val="nil"/>
              <w:left w:val="single" w:color="auto" w:sz="4" w:space="0"/>
              <w:bottom w:val="single" w:color="auto" w:sz="4" w:space="0"/>
              <w:right w:val="single" w:color="auto" w:sz="4" w:space="0"/>
            </w:tcBorders>
            <w:vAlign w:val="center"/>
          </w:tcPr>
          <w:p w14:paraId="5645C54E">
            <w:pPr>
              <w:pageBreakBefore w:val="0"/>
              <w:kinsoku/>
              <w:overflowPunct/>
              <w:bidi w:val="0"/>
              <w:spacing w:line="500" w:lineRule="exact"/>
              <w:rPr>
                <w:rFonts w:ascii="宋体" w:hAnsi="宋体" w:cs="宋体"/>
                <w:sz w:val="20"/>
                <w:szCs w:val="20"/>
                <w:highlight w:val="none"/>
              </w:rPr>
            </w:pPr>
          </w:p>
        </w:tc>
        <w:tc>
          <w:tcPr>
            <w:tcW w:w="1279" w:type="dxa"/>
            <w:tcBorders>
              <w:top w:val="single" w:color="auto" w:sz="4" w:space="0"/>
              <w:left w:val="nil"/>
              <w:bottom w:val="single" w:color="auto" w:sz="4" w:space="0"/>
              <w:right w:val="single" w:color="auto" w:sz="4" w:space="0"/>
            </w:tcBorders>
            <w:vAlign w:val="center"/>
          </w:tcPr>
          <w:p w14:paraId="1D275E2B">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传真</w:t>
            </w:r>
          </w:p>
        </w:tc>
        <w:tc>
          <w:tcPr>
            <w:tcW w:w="1850" w:type="dxa"/>
            <w:tcBorders>
              <w:top w:val="single" w:color="auto" w:sz="4" w:space="0"/>
              <w:left w:val="nil"/>
              <w:bottom w:val="single" w:color="auto" w:sz="4" w:space="0"/>
              <w:right w:val="single" w:color="auto" w:sz="4" w:space="0"/>
            </w:tcBorders>
            <w:vAlign w:val="center"/>
          </w:tcPr>
          <w:p w14:paraId="56F8841B">
            <w:pPr>
              <w:pageBreakBefore w:val="0"/>
              <w:kinsoku/>
              <w:overflowPunct/>
              <w:autoSpaceDE w:val="0"/>
              <w:autoSpaceDN w:val="0"/>
              <w:bidi w:val="0"/>
              <w:adjustRightInd w:val="0"/>
              <w:spacing w:line="500" w:lineRule="exact"/>
              <w:jc w:val="center"/>
              <w:rPr>
                <w:rFonts w:ascii="宋体" w:hAnsi="宋体" w:cs="宋体"/>
                <w:sz w:val="24"/>
                <w:highlight w:val="none"/>
              </w:rPr>
            </w:pPr>
          </w:p>
        </w:tc>
        <w:tc>
          <w:tcPr>
            <w:tcW w:w="1280" w:type="dxa"/>
            <w:tcBorders>
              <w:top w:val="single" w:color="auto" w:sz="4" w:space="0"/>
              <w:left w:val="nil"/>
              <w:bottom w:val="single" w:color="auto" w:sz="4" w:space="0"/>
              <w:right w:val="single" w:color="auto" w:sz="4" w:space="0"/>
            </w:tcBorders>
            <w:vAlign w:val="center"/>
          </w:tcPr>
          <w:p w14:paraId="572322D6">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网址</w:t>
            </w:r>
          </w:p>
        </w:tc>
        <w:tc>
          <w:tcPr>
            <w:tcW w:w="2183" w:type="dxa"/>
            <w:tcBorders>
              <w:top w:val="single" w:color="auto" w:sz="4" w:space="0"/>
              <w:left w:val="nil"/>
              <w:bottom w:val="single" w:color="auto" w:sz="4" w:space="0"/>
              <w:right w:val="single" w:color="auto" w:sz="4" w:space="0"/>
            </w:tcBorders>
            <w:vAlign w:val="center"/>
          </w:tcPr>
          <w:p w14:paraId="4887CADE">
            <w:pPr>
              <w:pageBreakBefore w:val="0"/>
              <w:kinsoku/>
              <w:overflowPunct/>
              <w:autoSpaceDE w:val="0"/>
              <w:autoSpaceDN w:val="0"/>
              <w:bidi w:val="0"/>
              <w:adjustRightInd w:val="0"/>
              <w:spacing w:line="500" w:lineRule="exact"/>
              <w:jc w:val="center"/>
              <w:rPr>
                <w:rFonts w:ascii="宋体" w:hAnsi="宋体" w:cs="宋体"/>
                <w:sz w:val="24"/>
                <w:highlight w:val="none"/>
              </w:rPr>
            </w:pPr>
          </w:p>
        </w:tc>
      </w:tr>
      <w:tr w14:paraId="60F3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788B8C80">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法定代表人</w:t>
            </w:r>
          </w:p>
        </w:tc>
        <w:tc>
          <w:tcPr>
            <w:tcW w:w="1279" w:type="dxa"/>
            <w:tcBorders>
              <w:top w:val="single" w:color="auto" w:sz="4" w:space="0"/>
              <w:left w:val="nil"/>
              <w:bottom w:val="single" w:color="auto" w:sz="4" w:space="0"/>
              <w:right w:val="single" w:color="auto" w:sz="4" w:space="0"/>
            </w:tcBorders>
            <w:vAlign w:val="center"/>
          </w:tcPr>
          <w:p w14:paraId="244B4BF5">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姓名</w:t>
            </w:r>
          </w:p>
        </w:tc>
        <w:tc>
          <w:tcPr>
            <w:tcW w:w="1850" w:type="dxa"/>
            <w:tcBorders>
              <w:top w:val="single" w:color="auto" w:sz="4" w:space="0"/>
              <w:left w:val="nil"/>
              <w:bottom w:val="single" w:color="auto" w:sz="4" w:space="0"/>
              <w:right w:val="single" w:color="auto" w:sz="4" w:space="0"/>
            </w:tcBorders>
            <w:vAlign w:val="center"/>
          </w:tcPr>
          <w:p w14:paraId="24BB1B41">
            <w:pPr>
              <w:pageBreakBefore w:val="0"/>
              <w:kinsoku/>
              <w:overflowPunct/>
              <w:autoSpaceDE w:val="0"/>
              <w:autoSpaceDN w:val="0"/>
              <w:bidi w:val="0"/>
              <w:adjustRightInd w:val="0"/>
              <w:spacing w:line="500" w:lineRule="exact"/>
              <w:jc w:val="center"/>
              <w:rPr>
                <w:rFonts w:ascii="宋体" w:hAnsi="宋体" w:cs="宋体"/>
                <w:sz w:val="24"/>
                <w:highlight w:val="none"/>
              </w:rPr>
            </w:pPr>
          </w:p>
        </w:tc>
        <w:tc>
          <w:tcPr>
            <w:tcW w:w="1280" w:type="dxa"/>
            <w:tcBorders>
              <w:top w:val="single" w:color="auto" w:sz="4" w:space="0"/>
              <w:left w:val="nil"/>
              <w:bottom w:val="single" w:color="auto" w:sz="4" w:space="0"/>
              <w:right w:val="single" w:color="auto" w:sz="4" w:space="0"/>
            </w:tcBorders>
            <w:vAlign w:val="center"/>
          </w:tcPr>
          <w:p w14:paraId="563E6A91">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电话</w:t>
            </w:r>
          </w:p>
        </w:tc>
        <w:tc>
          <w:tcPr>
            <w:tcW w:w="2183" w:type="dxa"/>
            <w:tcBorders>
              <w:top w:val="single" w:color="auto" w:sz="4" w:space="0"/>
              <w:left w:val="nil"/>
              <w:bottom w:val="single" w:color="auto" w:sz="4" w:space="0"/>
              <w:right w:val="single" w:color="auto" w:sz="4" w:space="0"/>
            </w:tcBorders>
            <w:vAlign w:val="center"/>
          </w:tcPr>
          <w:p w14:paraId="4055C2E5">
            <w:pPr>
              <w:pageBreakBefore w:val="0"/>
              <w:kinsoku/>
              <w:overflowPunct/>
              <w:autoSpaceDE w:val="0"/>
              <w:autoSpaceDN w:val="0"/>
              <w:bidi w:val="0"/>
              <w:adjustRightInd w:val="0"/>
              <w:spacing w:line="500" w:lineRule="exact"/>
              <w:jc w:val="center"/>
              <w:rPr>
                <w:rFonts w:ascii="宋体" w:hAnsi="宋体" w:cs="宋体"/>
                <w:sz w:val="24"/>
                <w:highlight w:val="none"/>
              </w:rPr>
            </w:pPr>
          </w:p>
        </w:tc>
      </w:tr>
      <w:tr w14:paraId="58DB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46451D17">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组织结构</w:t>
            </w:r>
          </w:p>
        </w:tc>
        <w:tc>
          <w:tcPr>
            <w:tcW w:w="6592" w:type="dxa"/>
            <w:gridSpan w:val="4"/>
            <w:tcBorders>
              <w:top w:val="single" w:color="auto" w:sz="4" w:space="0"/>
              <w:left w:val="nil"/>
              <w:bottom w:val="single" w:color="auto" w:sz="4" w:space="0"/>
              <w:right w:val="single" w:color="auto" w:sz="4" w:space="0"/>
            </w:tcBorders>
            <w:vAlign w:val="center"/>
          </w:tcPr>
          <w:p w14:paraId="1CEB164A">
            <w:pPr>
              <w:pageBreakBefore w:val="0"/>
              <w:kinsoku/>
              <w:overflowPunct/>
              <w:autoSpaceDE w:val="0"/>
              <w:autoSpaceDN w:val="0"/>
              <w:bidi w:val="0"/>
              <w:adjustRightInd w:val="0"/>
              <w:spacing w:line="500" w:lineRule="exact"/>
              <w:jc w:val="left"/>
              <w:rPr>
                <w:rFonts w:ascii="宋体" w:hAnsi="宋体" w:cs="宋体"/>
                <w:sz w:val="24"/>
                <w:highlight w:val="none"/>
              </w:rPr>
            </w:pPr>
          </w:p>
        </w:tc>
      </w:tr>
      <w:tr w14:paraId="696C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54067B87">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近三年营业额</w:t>
            </w:r>
          </w:p>
        </w:tc>
        <w:tc>
          <w:tcPr>
            <w:tcW w:w="6592" w:type="dxa"/>
            <w:gridSpan w:val="4"/>
            <w:tcBorders>
              <w:top w:val="single" w:color="auto" w:sz="4" w:space="0"/>
              <w:left w:val="nil"/>
              <w:bottom w:val="single" w:color="auto" w:sz="4" w:space="0"/>
              <w:right w:val="single" w:color="auto" w:sz="4" w:space="0"/>
            </w:tcBorders>
            <w:vAlign w:val="center"/>
          </w:tcPr>
          <w:p w14:paraId="4E411B6E">
            <w:pPr>
              <w:pageBreakBefore w:val="0"/>
              <w:kinsoku/>
              <w:overflowPunct/>
              <w:autoSpaceDE w:val="0"/>
              <w:autoSpaceDN w:val="0"/>
              <w:bidi w:val="0"/>
              <w:adjustRightInd w:val="0"/>
              <w:spacing w:line="500" w:lineRule="exact"/>
              <w:jc w:val="left"/>
              <w:rPr>
                <w:rFonts w:ascii="宋体" w:hAnsi="宋体" w:cs="宋体"/>
                <w:sz w:val="24"/>
                <w:highlight w:val="none"/>
              </w:rPr>
            </w:pPr>
          </w:p>
        </w:tc>
      </w:tr>
      <w:tr w14:paraId="5AD2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45186CAA">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经营范围</w:t>
            </w:r>
          </w:p>
        </w:tc>
        <w:tc>
          <w:tcPr>
            <w:tcW w:w="6592" w:type="dxa"/>
            <w:gridSpan w:val="4"/>
            <w:tcBorders>
              <w:top w:val="single" w:color="auto" w:sz="4" w:space="0"/>
              <w:left w:val="nil"/>
              <w:bottom w:val="single" w:color="auto" w:sz="4" w:space="0"/>
              <w:right w:val="single" w:color="auto" w:sz="4" w:space="0"/>
            </w:tcBorders>
            <w:vAlign w:val="center"/>
          </w:tcPr>
          <w:p w14:paraId="6D6E531A">
            <w:pPr>
              <w:pageBreakBefore w:val="0"/>
              <w:kinsoku/>
              <w:overflowPunct/>
              <w:autoSpaceDE w:val="0"/>
              <w:autoSpaceDN w:val="0"/>
              <w:bidi w:val="0"/>
              <w:adjustRightInd w:val="0"/>
              <w:spacing w:line="500" w:lineRule="exact"/>
              <w:jc w:val="left"/>
              <w:rPr>
                <w:rFonts w:ascii="宋体" w:hAnsi="宋体" w:cs="宋体"/>
                <w:sz w:val="24"/>
                <w:highlight w:val="none"/>
              </w:rPr>
            </w:pPr>
          </w:p>
        </w:tc>
      </w:tr>
      <w:tr w14:paraId="7A55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3A321108">
            <w:pPr>
              <w:pageBreakBefore w:val="0"/>
              <w:kinsoku/>
              <w:overflowPunct/>
              <w:bidi w:val="0"/>
              <w:adjustRightInd w:val="0"/>
              <w:snapToGrid w:val="0"/>
              <w:spacing w:line="500" w:lineRule="exact"/>
              <w:jc w:val="center"/>
              <w:rPr>
                <w:rFonts w:ascii="宋体" w:hAnsi="宋体" w:cs="宋体"/>
                <w:sz w:val="24"/>
                <w:highlight w:val="none"/>
              </w:rPr>
            </w:pPr>
            <w:r>
              <w:rPr>
                <w:rFonts w:hint="eastAsia" w:ascii="宋体" w:hAnsi="宋体" w:cs="宋体"/>
                <w:kern w:val="0"/>
                <w:sz w:val="24"/>
                <w:highlight w:val="none"/>
              </w:rPr>
              <w:t>备注</w:t>
            </w:r>
          </w:p>
        </w:tc>
        <w:tc>
          <w:tcPr>
            <w:tcW w:w="6592" w:type="dxa"/>
            <w:gridSpan w:val="4"/>
            <w:tcBorders>
              <w:top w:val="single" w:color="auto" w:sz="4" w:space="0"/>
              <w:left w:val="nil"/>
              <w:bottom w:val="single" w:color="auto" w:sz="4" w:space="0"/>
              <w:right w:val="single" w:color="auto" w:sz="4" w:space="0"/>
            </w:tcBorders>
            <w:vAlign w:val="center"/>
          </w:tcPr>
          <w:p w14:paraId="1FA99DBB">
            <w:pPr>
              <w:pageBreakBefore w:val="0"/>
              <w:kinsoku/>
              <w:overflowPunct/>
              <w:bidi w:val="0"/>
              <w:adjustRightInd w:val="0"/>
              <w:snapToGrid w:val="0"/>
              <w:spacing w:line="500" w:lineRule="exact"/>
              <w:jc w:val="center"/>
              <w:rPr>
                <w:rFonts w:ascii="宋体" w:hAnsi="宋体" w:cs="宋体"/>
                <w:sz w:val="24"/>
                <w:highlight w:val="none"/>
              </w:rPr>
            </w:pPr>
          </w:p>
        </w:tc>
      </w:tr>
    </w:tbl>
    <w:p w14:paraId="3FB9A1A8">
      <w:pPr>
        <w:pageBreakBefore w:val="0"/>
        <w:kinsoku/>
        <w:overflowPunct/>
        <w:bidi w:val="0"/>
        <w:spacing w:line="500" w:lineRule="exact"/>
        <w:ind w:firstLine="120" w:firstLineChars="50"/>
        <w:rPr>
          <w:rFonts w:ascii="宋体" w:hAnsi="宋体" w:cs="宋体"/>
          <w:szCs w:val="21"/>
          <w:highlight w:val="none"/>
        </w:rPr>
      </w:pPr>
      <w:r>
        <w:rPr>
          <w:rFonts w:hint="eastAsia" w:ascii="宋体" w:hAnsi="宋体" w:cs="宋体"/>
          <w:sz w:val="24"/>
          <w:highlight w:val="none"/>
        </w:rPr>
        <w:t>后附：营业执照副本和第二章“供应商须知”前附表</w:t>
      </w:r>
      <w:r>
        <w:rPr>
          <w:rFonts w:hint="eastAsia" w:ascii="宋体" w:hAnsi="宋体" w:cs="宋体"/>
          <w:sz w:val="24"/>
          <w:highlight w:val="none"/>
          <w:lang w:val="en-US" w:eastAsia="zh-CN"/>
        </w:rPr>
        <w:t>12</w:t>
      </w:r>
      <w:r>
        <w:rPr>
          <w:rFonts w:hint="eastAsia" w:ascii="宋体" w:hAnsi="宋体" w:cs="宋体"/>
          <w:sz w:val="24"/>
          <w:highlight w:val="none"/>
        </w:rPr>
        <w:t>款规定的其他资料。</w:t>
      </w:r>
    </w:p>
    <w:p w14:paraId="14A9B960">
      <w:pPr>
        <w:pageBreakBefore w:val="0"/>
        <w:kinsoku/>
        <w:overflowPunct/>
        <w:bidi w:val="0"/>
        <w:spacing w:line="500" w:lineRule="exact"/>
        <w:rPr>
          <w:rFonts w:ascii="宋体" w:hAnsi="宋体" w:cs="宋体"/>
          <w:b/>
          <w:sz w:val="24"/>
          <w:highlight w:val="none"/>
        </w:rPr>
        <w:sectPr>
          <w:pgSz w:w="11915" w:h="16840"/>
          <w:pgMar w:top="1417" w:right="1134" w:bottom="1417" w:left="1417" w:header="720" w:footer="720" w:gutter="0"/>
          <w:pgNumType w:fmt="decimal"/>
          <w:cols w:space="720" w:num="1"/>
          <w:rtlGutter w:val="0"/>
          <w:docGrid w:type="lines" w:linePitch="312" w:charSpace="0"/>
        </w:sectPr>
      </w:pPr>
    </w:p>
    <w:p w14:paraId="3AC5F412">
      <w:pPr>
        <w:pageBreakBefore w:val="0"/>
        <w:kinsoku/>
        <w:overflowPunct/>
        <w:bidi w:val="0"/>
        <w:spacing w:line="500" w:lineRule="exact"/>
        <w:jc w:val="center"/>
        <w:rPr>
          <w:rFonts w:ascii="黑体" w:hAnsi="宋体" w:eastAsia="黑体" w:cs="黑体"/>
          <w:sz w:val="24"/>
          <w:highlight w:val="none"/>
        </w:rPr>
      </w:pPr>
      <w:bookmarkStart w:id="379" w:name="page81"/>
      <w:bookmarkEnd w:id="379"/>
      <w:bookmarkStart w:id="380" w:name="_Toc912_WPSOffice_Level2"/>
      <w:bookmarkEnd w:id="380"/>
      <w:bookmarkStart w:id="381" w:name="_Toc25207_WPSOffice_Level2"/>
      <w:bookmarkEnd w:id="381"/>
      <w:bookmarkStart w:id="382" w:name="_Toc25882_WPSOffice_Level2"/>
      <w:bookmarkStart w:id="383" w:name="_Toc28371_WPSOffice_Level2"/>
      <w:r>
        <w:rPr>
          <w:rFonts w:hint="eastAsia" w:ascii="宋体" w:hAnsi="宋体" w:cs="宋体"/>
          <w:b/>
          <w:sz w:val="24"/>
          <w:highlight w:val="none"/>
        </w:rPr>
        <w:t>（二）近年财务状况表</w:t>
      </w:r>
      <w:bookmarkEnd w:id="382"/>
    </w:p>
    <w:p w14:paraId="59EE3F93">
      <w:pPr>
        <w:pageBreakBefore w:val="0"/>
        <w:kinsoku/>
        <w:overflowPunct/>
        <w:bidi w:val="0"/>
        <w:spacing w:line="500" w:lineRule="exact"/>
        <w:rPr>
          <w:rFonts w:ascii="宋体" w:hAnsi="宋体"/>
          <w:color w:val="auto"/>
          <w:sz w:val="24"/>
          <w:highlight w:val="none"/>
        </w:rPr>
      </w:pPr>
      <w:r>
        <w:rPr>
          <w:rFonts w:hint="eastAsia" w:ascii="宋体" w:hAnsi="宋体"/>
          <w:color w:val="auto"/>
          <w:sz w:val="24"/>
          <w:highlight w:val="none"/>
        </w:rPr>
        <w:t>备注：</w:t>
      </w:r>
      <w:r>
        <w:rPr>
          <w:rFonts w:hint="eastAsia" w:ascii="宋体" w:hAnsi="宋体"/>
          <w:color w:val="auto"/>
          <w:sz w:val="24"/>
          <w:highlight w:val="none"/>
          <w:lang w:eastAsia="zh-CN"/>
        </w:rPr>
        <w:t>在此附</w:t>
      </w:r>
      <w:r>
        <w:rPr>
          <w:rFonts w:hint="eastAsia" w:ascii="宋体" w:hAnsi="宋体"/>
          <w:color w:val="auto"/>
          <w:sz w:val="24"/>
          <w:highlight w:val="none"/>
          <w:lang w:val="en-US" w:eastAsia="zh-CN"/>
        </w:rPr>
        <w:t>2023年度</w:t>
      </w:r>
      <w:r>
        <w:rPr>
          <w:rFonts w:hint="eastAsia" w:ascii="宋体" w:hAnsi="宋体"/>
          <w:color w:val="auto"/>
          <w:sz w:val="24"/>
          <w:highlight w:val="none"/>
          <w:lang w:eastAsia="zh-CN"/>
        </w:rPr>
        <w:t>财务状况表或</w:t>
      </w:r>
      <w:r>
        <w:rPr>
          <w:rFonts w:hint="eastAsia" w:ascii="宋体" w:hAnsi="宋体"/>
          <w:color w:val="auto"/>
          <w:sz w:val="24"/>
          <w:highlight w:val="none"/>
        </w:rPr>
        <w:t>具有良好商业信誉及财务会计制度的承诺书。</w:t>
      </w:r>
    </w:p>
    <w:p w14:paraId="4960BAC5">
      <w:pPr>
        <w:pageBreakBefore w:val="0"/>
        <w:kinsoku/>
        <w:overflowPunct/>
        <w:bidi w:val="0"/>
        <w:spacing w:line="500" w:lineRule="exact"/>
        <w:rPr>
          <w:sz w:val="24"/>
          <w:highlight w:val="none"/>
        </w:rPr>
      </w:pPr>
    </w:p>
    <w:p w14:paraId="2C1ADAA7">
      <w:pPr>
        <w:pageBreakBefore w:val="0"/>
        <w:kinsoku/>
        <w:overflowPunct/>
        <w:bidi w:val="0"/>
        <w:spacing w:line="500" w:lineRule="exact"/>
        <w:jc w:val="center"/>
        <w:rPr>
          <w:rFonts w:ascii="宋体" w:hAnsi="宋体" w:cs="宋体"/>
          <w:b/>
          <w:sz w:val="24"/>
          <w:highlight w:val="none"/>
        </w:rPr>
      </w:pPr>
    </w:p>
    <w:p w14:paraId="5B328E46">
      <w:pPr>
        <w:pageBreakBefore w:val="0"/>
        <w:kinsoku/>
        <w:overflowPunct/>
        <w:bidi w:val="0"/>
        <w:spacing w:line="500" w:lineRule="exact"/>
        <w:jc w:val="center"/>
        <w:rPr>
          <w:rFonts w:ascii="宋体" w:hAnsi="宋体" w:cs="宋体"/>
          <w:b/>
          <w:sz w:val="24"/>
          <w:highlight w:val="none"/>
        </w:rPr>
      </w:pPr>
    </w:p>
    <w:p w14:paraId="40AE3E2C">
      <w:pPr>
        <w:pageBreakBefore w:val="0"/>
        <w:kinsoku/>
        <w:overflowPunct/>
        <w:bidi w:val="0"/>
        <w:spacing w:line="500" w:lineRule="exact"/>
        <w:jc w:val="center"/>
        <w:rPr>
          <w:rFonts w:ascii="宋体" w:hAnsi="宋体" w:cs="宋体"/>
          <w:b/>
          <w:sz w:val="24"/>
          <w:highlight w:val="none"/>
        </w:rPr>
      </w:pPr>
    </w:p>
    <w:p w14:paraId="4EF4A4B4">
      <w:pPr>
        <w:pageBreakBefore w:val="0"/>
        <w:kinsoku/>
        <w:overflowPunct/>
        <w:bidi w:val="0"/>
        <w:spacing w:line="500" w:lineRule="exact"/>
        <w:jc w:val="center"/>
        <w:rPr>
          <w:rFonts w:ascii="宋体" w:hAnsi="宋体" w:cs="宋体"/>
          <w:b/>
          <w:sz w:val="24"/>
          <w:highlight w:val="none"/>
        </w:rPr>
      </w:pPr>
    </w:p>
    <w:p w14:paraId="5E43280A">
      <w:pPr>
        <w:pageBreakBefore w:val="0"/>
        <w:kinsoku/>
        <w:overflowPunct/>
        <w:bidi w:val="0"/>
        <w:spacing w:line="500" w:lineRule="exact"/>
        <w:jc w:val="center"/>
        <w:rPr>
          <w:rFonts w:ascii="宋体" w:hAnsi="宋体" w:cs="宋体"/>
          <w:b/>
          <w:sz w:val="24"/>
          <w:highlight w:val="none"/>
        </w:rPr>
      </w:pPr>
    </w:p>
    <w:p w14:paraId="2C57BA62">
      <w:pPr>
        <w:pageBreakBefore w:val="0"/>
        <w:kinsoku/>
        <w:overflowPunct/>
        <w:bidi w:val="0"/>
        <w:spacing w:line="500" w:lineRule="exact"/>
        <w:jc w:val="center"/>
        <w:rPr>
          <w:rFonts w:ascii="宋体" w:hAnsi="宋体" w:cs="宋体"/>
          <w:b/>
          <w:sz w:val="24"/>
          <w:highlight w:val="none"/>
        </w:rPr>
      </w:pPr>
    </w:p>
    <w:p w14:paraId="35BB5E8E">
      <w:pPr>
        <w:pageBreakBefore w:val="0"/>
        <w:kinsoku/>
        <w:overflowPunct/>
        <w:bidi w:val="0"/>
        <w:spacing w:line="500" w:lineRule="exact"/>
        <w:jc w:val="center"/>
        <w:rPr>
          <w:rFonts w:ascii="宋体" w:hAnsi="宋体" w:cs="宋体"/>
          <w:b/>
          <w:sz w:val="24"/>
          <w:highlight w:val="none"/>
        </w:rPr>
      </w:pPr>
    </w:p>
    <w:p w14:paraId="56327B04">
      <w:pPr>
        <w:pageBreakBefore w:val="0"/>
        <w:kinsoku/>
        <w:overflowPunct/>
        <w:bidi w:val="0"/>
        <w:spacing w:line="500" w:lineRule="exact"/>
        <w:jc w:val="center"/>
        <w:rPr>
          <w:rFonts w:ascii="宋体" w:hAnsi="宋体" w:cs="宋体"/>
          <w:b/>
          <w:sz w:val="24"/>
          <w:highlight w:val="none"/>
        </w:rPr>
      </w:pPr>
    </w:p>
    <w:p w14:paraId="10BD4EF1">
      <w:pPr>
        <w:pageBreakBefore w:val="0"/>
        <w:kinsoku/>
        <w:overflowPunct/>
        <w:bidi w:val="0"/>
        <w:spacing w:line="500" w:lineRule="exact"/>
        <w:jc w:val="center"/>
        <w:rPr>
          <w:rFonts w:ascii="宋体" w:hAnsi="宋体" w:cs="宋体"/>
          <w:b/>
          <w:sz w:val="24"/>
          <w:highlight w:val="none"/>
        </w:rPr>
      </w:pPr>
    </w:p>
    <w:p w14:paraId="7929E8CA">
      <w:pPr>
        <w:pageBreakBefore w:val="0"/>
        <w:kinsoku/>
        <w:overflowPunct/>
        <w:bidi w:val="0"/>
        <w:spacing w:line="500" w:lineRule="exact"/>
        <w:jc w:val="center"/>
        <w:rPr>
          <w:rFonts w:ascii="宋体" w:hAnsi="宋体" w:cs="宋体"/>
          <w:b/>
          <w:sz w:val="24"/>
          <w:highlight w:val="none"/>
        </w:rPr>
      </w:pPr>
    </w:p>
    <w:p w14:paraId="51713420">
      <w:pPr>
        <w:pageBreakBefore w:val="0"/>
        <w:kinsoku/>
        <w:overflowPunct/>
        <w:bidi w:val="0"/>
        <w:spacing w:line="500" w:lineRule="exact"/>
        <w:jc w:val="center"/>
        <w:rPr>
          <w:rFonts w:ascii="宋体" w:hAnsi="宋体" w:cs="宋体"/>
          <w:b/>
          <w:sz w:val="24"/>
          <w:highlight w:val="none"/>
        </w:rPr>
      </w:pPr>
    </w:p>
    <w:p w14:paraId="679330AB">
      <w:pPr>
        <w:pageBreakBefore w:val="0"/>
        <w:kinsoku/>
        <w:overflowPunct/>
        <w:bidi w:val="0"/>
        <w:spacing w:line="500" w:lineRule="exact"/>
        <w:jc w:val="center"/>
        <w:rPr>
          <w:rFonts w:ascii="宋体" w:hAnsi="宋体" w:cs="宋体"/>
          <w:b/>
          <w:sz w:val="24"/>
          <w:highlight w:val="none"/>
        </w:rPr>
      </w:pPr>
    </w:p>
    <w:p w14:paraId="35160B1A">
      <w:pPr>
        <w:pageBreakBefore w:val="0"/>
        <w:kinsoku/>
        <w:overflowPunct/>
        <w:bidi w:val="0"/>
        <w:spacing w:line="500" w:lineRule="exact"/>
        <w:jc w:val="center"/>
        <w:rPr>
          <w:rFonts w:ascii="宋体" w:hAnsi="宋体" w:cs="宋体"/>
          <w:b/>
          <w:sz w:val="24"/>
          <w:highlight w:val="none"/>
        </w:rPr>
      </w:pPr>
    </w:p>
    <w:p w14:paraId="3BAD2F90">
      <w:pPr>
        <w:pageBreakBefore w:val="0"/>
        <w:kinsoku/>
        <w:overflowPunct/>
        <w:bidi w:val="0"/>
        <w:spacing w:line="500" w:lineRule="exact"/>
        <w:jc w:val="center"/>
        <w:rPr>
          <w:rFonts w:ascii="宋体" w:hAnsi="宋体" w:cs="宋体"/>
          <w:b/>
          <w:sz w:val="24"/>
          <w:highlight w:val="none"/>
        </w:rPr>
      </w:pPr>
    </w:p>
    <w:p w14:paraId="5CCB53DE">
      <w:pPr>
        <w:pageBreakBefore w:val="0"/>
        <w:kinsoku/>
        <w:overflowPunct/>
        <w:bidi w:val="0"/>
        <w:spacing w:line="500" w:lineRule="exact"/>
        <w:jc w:val="center"/>
        <w:rPr>
          <w:rFonts w:ascii="宋体" w:hAnsi="宋体" w:cs="宋体"/>
          <w:b/>
          <w:sz w:val="24"/>
          <w:highlight w:val="none"/>
        </w:rPr>
      </w:pPr>
    </w:p>
    <w:p w14:paraId="474B33A4">
      <w:pPr>
        <w:pageBreakBefore w:val="0"/>
        <w:kinsoku/>
        <w:overflowPunct/>
        <w:bidi w:val="0"/>
        <w:spacing w:line="500" w:lineRule="exact"/>
        <w:jc w:val="center"/>
        <w:rPr>
          <w:rFonts w:ascii="宋体" w:hAnsi="宋体" w:cs="宋体"/>
          <w:b/>
          <w:sz w:val="24"/>
          <w:highlight w:val="none"/>
        </w:rPr>
      </w:pPr>
    </w:p>
    <w:p w14:paraId="04070C89">
      <w:pPr>
        <w:pageBreakBefore w:val="0"/>
        <w:kinsoku/>
        <w:overflowPunct/>
        <w:bidi w:val="0"/>
        <w:spacing w:line="500" w:lineRule="exact"/>
        <w:jc w:val="center"/>
        <w:rPr>
          <w:rFonts w:ascii="宋体" w:hAnsi="宋体" w:cs="宋体"/>
          <w:b/>
          <w:sz w:val="24"/>
          <w:highlight w:val="none"/>
        </w:rPr>
      </w:pPr>
    </w:p>
    <w:p w14:paraId="52C7295C">
      <w:pPr>
        <w:pageBreakBefore w:val="0"/>
        <w:kinsoku/>
        <w:overflowPunct/>
        <w:bidi w:val="0"/>
        <w:spacing w:line="500" w:lineRule="exact"/>
        <w:jc w:val="center"/>
        <w:rPr>
          <w:rFonts w:ascii="宋体" w:hAnsi="宋体" w:cs="宋体"/>
          <w:b/>
          <w:sz w:val="24"/>
          <w:highlight w:val="none"/>
        </w:rPr>
      </w:pPr>
    </w:p>
    <w:p w14:paraId="40B508BD">
      <w:pPr>
        <w:pageBreakBefore w:val="0"/>
        <w:kinsoku/>
        <w:overflowPunct/>
        <w:bidi w:val="0"/>
        <w:spacing w:line="500" w:lineRule="exact"/>
        <w:jc w:val="center"/>
        <w:rPr>
          <w:rFonts w:ascii="宋体" w:hAnsi="宋体" w:cs="宋体"/>
          <w:b/>
          <w:sz w:val="24"/>
          <w:highlight w:val="none"/>
        </w:rPr>
      </w:pPr>
    </w:p>
    <w:p w14:paraId="78E405F7">
      <w:pPr>
        <w:pageBreakBefore w:val="0"/>
        <w:kinsoku/>
        <w:overflowPunct/>
        <w:bidi w:val="0"/>
        <w:spacing w:line="500" w:lineRule="exact"/>
        <w:jc w:val="center"/>
        <w:rPr>
          <w:rFonts w:ascii="宋体" w:hAnsi="宋体" w:cs="宋体"/>
          <w:b/>
          <w:sz w:val="24"/>
          <w:highlight w:val="none"/>
        </w:rPr>
      </w:pPr>
    </w:p>
    <w:p w14:paraId="728F40E9">
      <w:pPr>
        <w:pageBreakBefore w:val="0"/>
        <w:kinsoku/>
        <w:overflowPunct/>
        <w:bidi w:val="0"/>
        <w:spacing w:line="500" w:lineRule="exact"/>
        <w:jc w:val="center"/>
        <w:rPr>
          <w:rFonts w:ascii="宋体" w:hAnsi="宋体" w:cs="宋体"/>
          <w:b/>
          <w:sz w:val="24"/>
          <w:highlight w:val="none"/>
        </w:rPr>
      </w:pPr>
    </w:p>
    <w:p w14:paraId="7373FBA3">
      <w:pPr>
        <w:pageBreakBefore w:val="0"/>
        <w:kinsoku/>
        <w:overflowPunct/>
        <w:bidi w:val="0"/>
        <w:spacing w:line="500" w:lineRule="exact"/>
        <w:jc w:val="both"/>
        <w:rPr>
          <w:rFonts w:ascii="宋体" w:hAnsi="宋体" w:cs="宋体"/>
          <w:b/>
          <w:sz w:val="24"/>
          <w:highlight w:val="none"/>
        </w:rPr>
      </w:pPr>
    </w:p>
    <w:p w14:paraId="099D6404">
      <w:pPr>
        <w:pStyle w:val="24"/>
        <w:rPr>
          <w:rFonts w:ascii="宋体" w:hAnsi="宋体" w:cs="宋体"/>
          <w:b/>
          <w:sz w:val="24"/>
          <w:highlight w:val="none"/>
        </w:rPr>
      </w:pPr>
    </w:p>
    <w:p w14:paraId="25D4E6EE">
      <w:pPr>
        <w:pStyle w:val="25"/>
        <w:rPr>
          <w:highlight w:val="none"/>
        </w:rPr>
      </w:pPr>
    </w:p>
    <w:p w14:paraId="30C196B9">
      <w:pPr>
        <w:pageBreakBefore w:val="0"/>
        <w:kinsoku/>
        <w:overflowPunct/>
        <w:bidi w:val="0"/>
        <w:spacing w:line="500" w:lineRule="exact"/>
        <w:jc w:val="center"/>
        <w:rPr>
          <w:rFonts w:ascii="宋体" w:hAnsi="宋体" w:cs="宋体"/>
          <w:b/>
          <w:sz w:val="24"/>
          <w:highlight w:val="none"/>
        </w:rPr>
      </w:pPr>
      <w:r>
        <w:rPr>
          <w:rFonts w:hint="eastAsia" w:ascii="宋体" w:hAnsi="宋体" w:cs="宋体"/>
          <w:b/>
          <w:sz w:val="24"/>
          <w:highlight w:val="none"/>
        </w:rPr>
        <w:t>（三）近三年完成的类似项目情况表</w:t>
      </w:r>
      <w:bookmarkEnd w:id="383"/>
    </w:p>
    <w:tbl>
      <w:tblPr>
        <w:tblStyle w:val="26"/>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6778"/>
      </w:tblGrid>
      <w:tr w14:paraId="5D2A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2C9D2BB7">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项目名称</w:t>
            </w:r>
          </w:p>
        </w:tc>
        <w:tc>
          <w:tcPr>
            <w:tcW w:w="6778" w:type="dxa"/>
            <w:tcBorders>
              <w:top w:val="single" w:color="auto" w:sz="4" w:space="0"/>
              <w:left w:val="nil"/>
              <w:bottom w:val="single" w:color="auto" w:sz="4" w:space="0"/>
              <w:right w:val="single" w:color="auto" w:sz="4" w:space="0"/>
            </w:tcBorders>
          </w:tcPr>
          <w:p w14:paraId="1FB68B0B">
            <w:pPr>
              <w:pageBreakBefore w:val="0"/>
              <w:kinsoku/>
              <w:overflowPunct/>
              <w:topLinePunct/>
              <w:bidi w:val="0"/>
              <w:spacing w:line="500" w:lineRule="exact"/>
              <w:rPr>
                <w:rFonts w:ascii="宋体" w:hAnsi="宋体" w:cs="宋体"/>
                <w:sz w:val="24"/>
                <w:highlight w:val="none"/>
              </w:rPr>
            </w:pPr>
          </w:p>
        </w:tc>
      </w:tr>
      <w:tr w14:paraId="1ADE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7044303D">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项目所在地</w:t>
            </w:r>
          </w:p>
        </w:tc>
        <w:tc>
          <w:tcPr>
            <w:tcW w:w="6778" w:type="dxa"/>
            <w:tcBorders>
              <w:top w:val="single" w:color="auto" w:sz="4" w:space="0"/>
              <w:left w:val="nil"/>
              <w:bottom w:val="single" w:color="auto" w:sz="4" w:space="0"/>
              <w:right w:val="single" w:color="auto" w:sz="4" w:space="0"/>
            </w:tcBorders>
          </w:tcPr>
          <w:p w14:paraId="6335BFA5">
            <w:pPr>
              <w:pageBreakBefore w:val="0"/>
              <w:kinsoku/>
              <w:overflowPunct/>
              <w:topLinePunct/>
              <w:bidi w:val="0"/>
              <w:spacing w:line="500" w:lineRule="exact"/>
              <w:rPr>
                <w:rFonts w:ascii="宋体" w:hAnsi="宋体" w:cs="宋体"/>
                <w:sz w:val="24"/>
                <w:highlight w:val="none"/>
              </w:rPr>
            </w:pPr>
          </w:p>
        </w:tc>
      </w:tr>
      <w:tr w14:paraId="720C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76A83820">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采购人名称</w:t>
            </w:r>
          </w:p>
        </w:tc>
        <w:tc>
          <w:tcPr>
            <w:tcW w:w="6778" w:type="dxa"/>
            <w:tcBorders>
              <w:top w:val="single" w:color="auto" w:sz="4" w:space="0"/>
              <w:left w:val="nil"/>
              <w:bottom w:val="single" w:color="auto" w:sz="4" w:space="0"/>
              <w:right w:val="single" w:color="auto" w:sz="4" w:space="0"/>
            </w:tcBorders>
          </w:tcPr>
          <w:p w14:paraId="3443AF51">
            <w:pPr>
              <w:pageBreakBefore w:val="0"/>
              <w:kinsoku/>
              <w:overflowPunct/>
              <w:topLinePunct/>
              <w:bidi w:val="0"/>
              <w:spacing w:line="500" w:lineRule="exact"/>
              <w:rPr>
                <w:rFonts w:ascii="宋体" w:hAnsi="宋体" w:cs="宋体"/>
                <w:sz w:val="24"/>
                <w:highlight w:val="none"/>
              </w:rPr>
            </w:pPr>
          </w:p>
        </w:tc>
      </w:tr>
      <w:tr w14:paraId="3887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37476A51">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采购人地址</w:t>
            </w:r>
          </w:p>
        </w:tc>
        <w:tc>
          <w:tcPr>
            <w:tcW w:w="6778" w:type="dxa"/>
            <w:tcBorders>
              <w:top w:val="single" w:color="auto" w:sz="4" w:space="0"/>
              <w:left w:val="nil"/>
              <w:bottom w:val="single" w:color="auto" w:sz="4" w:space="0"/>
              <w:right w:val="single" w:color="auto" w:sz="4" w:space="0"/>
            </w:tcBorders>
          </w:tcPr>
          <w:p w14:paraId="2226F97D">
            <w:pPr>
              <w:pageBreakBefore w:val="0"/>
              <w:kinsoku/>
              <w:overflowPunct/>
              <w:topLinePunct/>
              <w:bidi w:val="0"/>
              <w:spacing w:line="500" w:lineRule="exact"/>
              <w:rPr>
                <w:rFonts w:ascii="宋体" w:hAnsi="宋体" w:cs="宋体"/>
                <w:sz w:val="24"/>
                <w:highlight w:val="none"/>
              </w:rPr>
            </w:pPr>
          </w:p>
        </w:tc>
      </w:tr>
      <w:tr w14:paraId="1397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7A9551E8">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采购人电话</w:t>
            </w:r>
          </w:p>
        </w:tc>
        <w:tc>
          <w:tcPr>
            <w:tcW w:w="6778" w:type="dxa"/>
            <w:tcBorders>
              <w:top w:val="single" w:color="auto" w:sz="4" w:space="0"/>
              <w:left w:val="nil"/>
              <w:bottom w:val="single" w:color="auto" w:sz="4" w:space="0"/>
              <w:right w:val="single" w:color="auto" w:sz="4" w:space="0"/>
            </w:tcBorders>
          </w:tcPr>
          <w:p w14:paraId="4A58F94A">
            <w:pPr>
              <w:pageBreakBefore w:val="0"/>
              <w:kinsoku/>
              <w:overflowPunct/>
              <w:topLinePunct/>
              <w:bidi w:val="0"/>
              <w:spacing w:line="500" w:lineRule="exact"/>
              <w:rPr>
                <w:rFonts w:ascii="宋体" w:hAnsi="宋体" w:cs="宋体"/>
                <w:sz w:val="24"/>
                <w:highlight w:val="none"/>
              </w:rPr>
            </w:pPr>
          </w:p>
        </w:tc>
      </w:tr>
      <w:tr w14:paraId="6CD5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3391F80E">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合同价格</w:t>
            </w:r>
          </w:p>
        </w:tc>
        <w:tc>
          <w:tcPr>
            <w:tcW w:w="6778" w:type="dxa"/>
            <w:tcBorders>
              <w:top w:val="single" w:color="auto" w:sz="4" w:space="0"/>
              <w:left w:val="nil"/>
              <w:bottom w:val="single" w:color="auto" w:sz="4" w:space="0"/>
              <w:right w:val="single" w:color="auto" w:sz="4" w:space="0"/>
            </w:tcBorders>
          </w:tcPr>
          <w:p w14:paraId="6659FE12">
            <w:pPr>
              <w:pageBreakBefore w:val="0"/>
              <w:kinsoku/>
              <w:overflowPunct/>
              <w:topLinePunct/>
              <w:bidi w:val="0"/>
              <w:spacing w:line="500" w:lineRule="exact"/>
              <w:rPr>
                <w:rFonts w:ascii="宋体" w:hAnsi="宋体" w:cs="宋体"/>
                <w:sz w:val="24"/>
                <w:highlight w:val="none"/>
              </w:rPr>
            </w:pPr>
          </w:p>
        </w:tc>
      </w:tr>
      <w:tr w14:paraId="07DC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02359BD2">
            <w:pPr>
              <w:pageBreakBefore w:val="0"/>
              <w:kinsoku/>
              <w:overflowPunct/>
              <w:topLinePunct/>
              <w:bidi w:val="0"/>
              <w:spacing w:line="50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交货期</w:t>
            </w:r>
          </w:p>
        </w:tc>
        <w:tc>
          <w:tcPr>
            <w:tcW w:w="6778" w:type="dxa"/>
            <w:tcBorders>
              <w:top w:val="single" w:color="auto" w:sz="4" w:space="0"/>
              <w:left w:val="nil"/>
              <w:bottom w:val="single" w:color="auto" w:sz="4" w:space="0"/>
              <w:right w:val="single" w:color="auto" w:sz="4" w:space="0"/>
            </w:tcBorders>
            <w:vAlign w:val="center"/>
          </w:tcPr>
          <w:p w14:paraId="472F28DC">
            <w:pPr>
              <w:pageBreakBefore w:val="0"/>
              <w:kinsoku/>
              <w:overflowPunct/>
              <w:topLinePunct/>
              <w:bidi w:val="0"/>
              <w:spacing w:line="500" w:lineRule="exact"/>
              <w:jc w:val="center"/>
              <w:rPr>
                <w:rFonts w:ascii="宋体" w:hAnsi="宋体" w:cs="宋体"/>
                <w:sz w:val="24"/>
                <w:highlight w:val="none"/>
              </w:rPr>
            </w:pPr>
          </w:p>
        </w:tc>
      </w:tr>
      <w:tr w14:paraId="5A65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5D9BCD49">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采购内容</w:t>
            </w:r>
          </w:p>
        </w:tc>
        <w:tc>
          <w:tcPr>
            <w:tcW w:w="6778" w:type="dxa"/>
            <w:tcBorders>
              <w:top w:val="single" w:color="auto" w:sz="4" w:space="0"/>
              <w:left w:val="nil"/>
              <w:bottom w:val="single" w:color="auto" w:sz="4" w:space="0"/>
              <w:right w:val="single" w:color="auto" w:sz="4" w:space="0"/>
            </w:tcBorders>
          </w:tcPr>
          <w:p w14:paraId="6E58C719">
            <w:pPr>
              <w:pageBreakBefore w:val="0"/>
              <w:kinsoku/>
              <w:overflowPunct/>
              <w:topLinePunct/>
              <w:bidi w:val="0"/>
              <w:spacing w:line="500" w:lineRule="exact"/>
              <w:rPr>
                <w:rFonts w:ascii="宋体" w:hAnsi="宋体" w:cs="宋体"/>
                <w:sz w:val="24"/>
                <w:highlight w:val="none"/>
              </w:rPr>
            </w:pPr>
          </w:p>
        </w:tc>
      </w:tr>
      <w:tr w14:paraId="059D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4DB0A56B">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质量</w:t>
            </w:r>
          </w:p>
        </w:tc>
        <w:tc>
          <w:tcPr>
            <w:tcW w:w="6778" w:type="dxa"/>
            <w:tcBorders>
              <w:top w:val="single" w:color="auto" w:sz="4" w:space="0"/>
              <w:left w:val="nil"/>
              <w:bottom w:val="single" w:color="auto" w:sz="4" w:space="0"/>
              <w:right w:val="single" w:color="auto" w:sz="4" w:space="0"/>
            </w:tcBorders>
          </w:tcPr>
          <w:p w14:paraId="43AE80CB">
            <w:pPr>
              <w:pageBreakBefore w:val="0"/>
              <w:kinsoku/>
              <w:overflowPunct/>
              <w:topLinePunct/>
              <w:bidi w:val="0"/>
              <w:spacing w:line="500" w:lineRule="exact"/>
              <w:rPr>
                <w:rFonts w:ascii="宋体" w:hAnsi="宋体" w:cs="宋体"/>
                <w:sz w:val="24"/>
                <w:highlight w:val="none"/>
              </w:rPr>
            </w:pPr>
          </w:p>
        </w:tc>
      </w:tr>
      <w:tr w14:paraId="6863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147F10EA">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备注</w:t>
            </w:r>
          </w:p>
        </w:tc>
        <w:tc>
          <w:tcPr>
            <w:tcW w:w="6778" w:type="dxa"/>
            <w:tcBorders>
              <w:top w:val="single" w:color="auto" w:sz="4" w:space="0"/>
              <w:left w:val="nil"/>
              <w:bottom w:val="single" w:color="auto" w:sz="4" w:space="0"/>
              <w:right w:val="single" w:color="auto" w:sz="4" w:space="0"/>
            </w:tcBorders>
          </w:tcPr>
          <w:p w14:paraId="65A1496F">
            <w:pPr>
              <w:pageBreakBefore w:val="0"/>
              <w:kinsoku/>
              <w:overflowPunct/>
              <w:topLinePunct/>
              <w:bidi w:val="0"/>
              <w:spacing w:line="500" w:lineRule="exact"/>
              <w:rPr>
                <w:rFonts w:ascii="宋体" w:hAnsi="宋体" w:cs="宋体"/>
                <w:sz w:val="24"/>
                <w:highlight w:val="none"/>
              </w:rPr>
            </w:pPr>
          </w:p>
        </w:tc>
      </w:tr>
    </w:tbl>
    <w:p w14:paraId="4669EAC2">
      <w:pPr>
        <w:pageBreakBefore w:val="0"/>
        <w:kinsoku/>
        <w:overflowPunct/>
        <w:bidi w:val="0"/>
        <w:spacing w:line="500" w:lineRule="exact"/>
        <w:rPr>
          <w:rFonts w:hint="eastAsia" w:ascii="宋体" w:hAnsi="宋体" w:cs="宋体"/>
          <w:sz w:val="24"/>
          <w:highlight w:val="none"/>
        </w:rPr>
      </w:pPr>
      <w:r>
        <w:rPr>
          <w:rFonts w:hint="eastAsia" w:ascii="宋体" w:hAnsi="宋体" w:cs="宋体"/>
          <w:sz w:val="24"/>
          <w:highlight w:val="none"/>
        </w:rPr>
        <w:t>注：后附证明材料。</w:t>
      </w:r>
    </w:p>
    <w:p w14:paraId="1BEF28E6">
      <w:pPr>
        <w:pageBreakBefore w:val="0"/>
        <w:kinsoku/>
        <w:overflowPunct/>
        <w:bidi w:val="0"/>
        <w:spacing w:line="500" w:lineRule="exact"/>
        <w:rPr>
          <w:highlight w:val="none"/>
        </w:rPr>
      </w:pPr>
    </w:p>
    <w:p w14:paraId="312F2055">
      <w:pPr>
        <w:pageBreakBefore w:val="0"/>
        <w:kinsoku/>
        <w:overflowPunct/>
        <w:bidi w:val="0"/>
        <w:spacing w:line="500" w:lineRule="exact"/>
        <w:rPr>
          <w:highlight w:val="none"/>
        </w:rPr>
      </w:pPr>
    </w:p>
    <w:p w14:paraId="253EF1A4">
      <w:pPr>
        <w:pageBreakBefore w:val="0"/>
        <w:kinsoku/>
        <w:overflowPunct/>
        <w:bidi w:val="0"/>
        <w:spacing w:line="500" w:lineRule="exact"/>
        <w:rPr>
          <w:highlight w:val="none"/>
        </w:rPr>
      </w:pPr>
    </w:p>
    <w:p w14:paraId="666A92D1">
      <w:pPr>
        <w:pageBreakBefore w:val="0"/>
        <w:kinsoku/>
        <w:overflowPunct/>
        <w:bidi w:val="0"/>
        <w:spacing w:line="500" w:lineRule="exact"/>
        <w:rPr>
          <w:highlight w:val="none"/>
        </w:rPr>
      </w:pPr>
    </w:p>
    <w:p w14:paraId="0454806B">
      <w:pPr>
        <w:pageBreakBefore w:val="0"/>
        <w:kinsoku/>
        <w:overflowPunct/>
        <w:bidi w:val="0"/>
        <w:spacing w:line="500" w:lineRule="exact"/>
        <w:rPr>
          <w:highlight w:val="none"/>
        </w:rPr>
      </w:pPr>
    </w:p>
    <w:p w14:paraId="4E1DC7E3">
      <w:pPr>
        <w:pageBreakBefore w:val="0"/>
        <w:kinsoku/>
        <w:overflowPunct/>
        <w:bidi w:val="0"/>
        <w:spacing w:line="500" w:lineRule="exact"/>
        <w:rPr>
          <w:rFonts w:ascii="宋体" w:hAnsi="宋体" w:cs="宋体"/>
          <w:szCs w:val="21"/>
          <w:highlight w:val="none"/>
        </w:rPr>
      </w:pPr>
    </w:p>
    <w:p w14:paraId="787F7500">
      <w:pPr>
        <w:pageBreakBefore w:val="0"/>
        <w:kinsoku/>
        <w:overflowPunct/>
        <w:autoSpaceDE w:val="0"/>
        <w:autoSpaceDN w:val="0"/>
        <w:bidi w:val="0"/>
        <w:snapToGrid w:val="0"/>
        <w:spacing w:line="500" w:lineRule="exact"/>
        <w:jc w:val="center"/>
        <w:rPr>
          <w:rFonts w:ascii="Times New Roman" w:hAnsi="Times New Roman"/>
          <w:b/>
          <w:sz w:val="24"/>
          <w:highlight w:val="none"/>
        </w:rPr>
      </w:pPr>
      <w:bookmarkStart w:id="384" w:name="page84"/>
      <w:bookmarkEnd w:id="384"/>
      <w:bookmarkStart w:id="385" w:name="_Toc24310_WPSOffice_Level1"/>
      <w:bookmarkStart w:id="386" w:name="_Toc9414_WPSOffice_Level1"/>
      <w:bookmarkStart w:id="387" w:name="_Toc30046_WPSOffice_Level1"/>
      <w:bookmarkStart w:id="388" w:name="_Toc522798875"/>
      <w:r>
        <w:rPr>
          <w:rFonts w:hint="eastAsia" w:ascii="Times New Roman" w:hAnsi="Times New Roman"/>
          <w:b/>
          <w:sz w:val="24"/>
          <w:highlight w:val="none"/>
        </w:rPr>
        <w:t>（四）</w:t>
      </w:r>
      <w:r>
        <w:rPr>
          <w:rFonts w:hint="eastAsia" w:ascii="宋体" w:hAnsi="宋体" w:cs="宋体"/>
          <w:b/>
          <w:sz w:val="24"/>
          <w:highlight w:val="none"/>
        </w:rPr>
        <w:t>近三年发生的诉讼及仲裁情况</w:t>
      </w:r>
    </w:p>
    <w:p w14:paraId="09052157">
      <w:pPr>
        <w:pageBreakBefore w:val="0"/>
        <w:kinsoku/>
        <w:overflowPunct/>
        <w:autoSpaceDE w:val="0"/>
        <w:autoSpaceDN w:val="0"/>
        <w:bidi w:val="0"/>
        <w:snapToGrid w:val="0"/>
        <w:spacing w:line="500" w:lineRule="exact"/>
        <w:ind w:left="561" w:firstLine="480" w:firstLineChars="200"/>
        <w:jc w:val="left"/>
        <w:rPr>
          <w:rFonts w:ascii="宋体" w:hAnsi="宋体" w:cs="宋体"/>
          <w:b/>
          <w:kern w:val="0"/>
          <w:sz w:val="24"/>
          <w:highlight w:val="none"/>
        </w:rPr>
      </w:pPr>
      <w:r>
        <w:rPr>
          <w:rFonts w:hint="eastAsia" w:ascii="宋体" w:hAnsi="宋体" w:cs="宋体"/>
          <w:kern w:val="0"/>
          <w:sz w:val="24"/>
          <w:highlight w:val="none"/>
        </w:rPr>
        <w:t>“近年发生的诉讼及仲裁情况”及应附的一些相关材料，包括判决、裁决等法律文件的复印件，应按时间先后次序编排相关文件。</w:t>
      </w:r>
      <w:r>
        <w:rPr>
          <w:rFonts w:hint="eastAsia" w:ascii="宋体" w:hAnsi="宋体" w:cs="宋体"/>
          <w:b/>
          <w:kern w:val="0"/>
          <w:sz w:val="24"/>
          <w:highlight w:val="none"/>
        </w:rPr>
        <w:t>有一项填一份材料，没有的就直接写“无”。</w:t>
      </w:r>
    </w:p>
    <w:p w14:paraId="6A03E7F7">
      <w:pPr>
        <w:pageBreakBefore w:val="0"/>
        <w:kinsoku/>
        <w:overflowPunct/>
        <w:bidi w:val="0"/>
        <w:spacing w:line="500" w:lineRule="exact"/>
        <w:rPr>
          <w:highlight w:val="none"/>
        </w:rPr>
      </w:pPr>
    </w:p>
    <w:p w14:paraId="34B67FF8">
      <w:pPr>
        <w:pageBreakBefore w:val="0"/>
        <w:kinsoku/>
        <w:overflowPunct/>
        <w:bidi w:val="0"/>
        <w:spacing w:line="500" w:lineRule="exact"/>
        <w:rPr>
          <w:highlight w:val="none"/>
        </w:rPr>
      </w:pPr>
    </w:p>
    <w:p w14:paraId="35EBF974">
      <w:pPr>
        <w:pageBreakBefore w:val="0"/>
        <w:kinsoku/>
        <w:overflowPunct/>
        <w:bidi w:val="0"/>
        <w:spacing w:line="500" w:lineRule="exact"/>
        <w:rPr>
          <w:highlight w:val="none"/>
        </w:rPr>
      </w:pPr>
    </w:p>
    <w:p w14:paraId="4E8E60FF">
      <w:pPr>
        <w:pageBreakBefore w:val="0"/>
        <w:kinsoku/>
        <w:overflowPunct/>
        <w:bidi w:val="0"/>
        <w:spacing w:line="500" w:lineRule="exact"/>
        <w:rPr>
          <w:highlight w:val="none"/>
        </w:rPr>
      </w:pPr>
      <w:bookmarkStart w:id="389" w:name="_Toc25873_WPSOffice_Level1"/>
      <w:bookmarkStart w:id="390" w:name="_Toc13936_WPSOffice_Level1"/>
      <w:bookmarkStart w:id="391" w:name="_Toc6140_WPSOffice_Level1"/>
      <w:bookmarkStart w:id="392" w:name="_Toc21138"/>
      <w:bookmarkStart w:id="393" w:name="_Toc15427_WPSOffice_Level1"/>
    </w:p>
    <w:p w14:paraId="7B303B18">
      <w:pPr>
        <w:pageBreakBefore w:val="0"/>
        <w:kinsoku/>
        <w:overflowPunct/>
        <w:bidi w:val="0"/>
        <w:spacing w:line="500" w:lineRule="exact"/>
        <w:rPr>
          <w:highlight w:val="none"/>
        </w:rPr>
      </w:pPr>
    </w:p>
    <w:p w14:paraId="65124FBE">
      <w:pPr>
        <w:pageBreakBefore w:val="0"/>
        <w:kinsoku/>
        <w:overflowPunct/>
        <w:bidi w:val="0"/>
        <w:spacing w:line="500" w:lineRule="exact"/>
        <w:rPr>
          <w:highlight w:val="none"/>
        </w:rPr>
      </w:pPr>
    </w:p>
    <w:p w14:paraId="67D9677C">
      <w:pPr>
        <w:pageBreakBefore w:val="0"/>
        <w:kinsoku/>
        <w:overflowPunct/>
        <w:bidi w:val="0"/>
        <w:spacing w:line="500" w:lineRule="exact"/>
        <w:rPr>
          <w:highlight w:val="none"/>
        </w:rPr>
      </w:pPr>
    </w:p>
    <w:p w14:paraId="6C3F8858">
      <w:pPr>
        <w:pageBreakBefore w:val="0"/>
        <w:kinsoku/>
        <w:overflowPunct/>
        <w:bidi w:val="0"/>
        <w:spacing w:line="500" w:lineRule="exact"/>
        <w:rPr>
          <w:highlight w:val="none"/>
        </w:rPr>
      </w:pPr>
    </w:p>
    <w:p w14:paraId="70AD4E24">
      <w:pPr>
        <w:pageBreakBefore w:val="0"/>
        <w:kinsoku/>
        <w:overflowPunct/>
        <w:bidi w:val="0"/>
        <w:spacing w:line="500" w:lineRule="exact"/>
        <w:rPr>
          <w:highlight w:val="none"/>
        </w:rPr>
      </w:pPr>
    </w:p>
    <w:p w14:paraId="50C59EBF">
      <w:pPr>
        <w:pageBreakBefore w:val="0"/>
        <w:kinsoku/>
        <w:overflowPunct/>
        <w:bidi w:val="0"/>
        <w:spacing w:line="500" w:lineRule="exact"/>
        <w:rPr>
          <w:highlight w:val="none"/>
        </w:rPr>
      </w:pPr>
    </w:p>
    <w:p w14:paraId="219266AA">
      <w:pPr>
        <w:pageBreakBefore w:val="0"/>
        <w:kinsoku/>
        <w:overflowPunct/>
        <w:bidi w:val="0"/>
        <w:spacing w:line="500" w:lineRule="exact"/>
        <w:rPr>
          <w:highlight w:val="none"/>
        </w:rPr>
      </w:pPr>
    </w:p>
    <w:p w14:paraId="73A75DA5">
      <w:pPr>
        <w:pageBreakBefore w:val="0"/>
        <w:kinsoku/>
        <w:overflowPunct/>
        <w:bidi w:val="0"/>
        <w:spacing w:line="500" w:lineRule="exact"/>
        <w:rPr>
          <w:highlight w:val="none"/>
        </w:rPr>
      </w:pPr>
    </w:p>
    <w:p w14:paraId="40DFA235">
      <w:pPr>
        <w:pageBreakBefore w:val="0"/>
        <w:kinsoku/>
        <w:overflowPunct/>
        <w:bidi w:val="0"/>
        <w:spacing w:line="500" w:lineRule="exact"/>
        <w:rPr>
          <w:highlight w:val="none"/>
        </w:rPr>
      </w:pPr>
    </w:p>
    <w:p w14:paraId="08EC8390">
      <w:pPr>
        <w:pageBreakBefore w:val="0"/>
        <w:kinsoku/>
        <w:overflowPunct/>
        <w:bidi w:val="0"/>
        <w:spacing w:line="500" w:lineRule="exact"/>
        <w:rPr>
          <w:highlight w:val="none"/>
        </w:rPr>
      </w:pPr>
    </w:p>
    <w:p w14:paraId="20BC0E2D">
      <w:pPr>
        <w:pageBreakBefore w:val="0"/>
        <w:kinsoku/>
        <w:overflowPunct/>
        <w:bidi w:val="0"/>
        <w:spacing w:line="500" w:lineRule="exact"/>
        <w:rPr>
          <w:highlight w:val="none"/>
        </w:rPr>
      </w:pPr>
    </w:p>
    <w:p w14:paraId="6B1D825F">
      <w:pPr>
        <w:pageBreakBefore w:val="0"/>
        <w:kinsoku/>
        <w:overflowPunct/>
        <w:bidi w:val="0"/>
        <w:spacing w:line="500" w:lineRule="exact"/>
        <w:rPr>
          <w:highlight w:val="none"/>
        </w:rPr>
      </w:pPr>
    </w:p>
    <w:p w14:paraId="0213687A">
      <w:pPr>
        <w:pageBreakBefore w:val="0"/>
        <w:kinsoku/>
        <w:overflowPunct/>
        <w:bidi w:val="0"/>
        <w:spacing w:line="500" w:lineRule="exact"/>
        <w:rPr>
          <w:highlight w:val="none"/>
        </w:rPr>
      </w:pPr>
    </w:p>
    <w:p w14:paraId="45C109D1">
      <w:pPr>
        <w:pageBreakBefore w:val="0"/>
        <w:kinsoku/>
        <w:overflowPunct/>
        <w:bidi w:val="0"/>
        <w:spacing w:line="500" w:lineRule="exact"/>
        <w:rPr>
          <w:highlight w:val="none"/>
        </w:rPr>
      </w:pPr>
    </w:p>
    <w:p w14:paraId="230B371C">
      <w:pPr>
        <w:pageBreakBefore w:val="0"/>
        <w:kinsoku/>
        <w:overflowPunct/>
        <w:bidi w:val="0"/>
        <w:spacing w:line="500" w:lineRule="exact"/>
        <w:rPr>
          <w:highlight w:val="none"/>
        </w:rPr>
      </w:pPr>
    </w:p>
    <w:p w14:paraId="0850030B">
      <w:pPr>
        <w:pageBreakBefore w:val="0"/>
        <w:kinsoku/>
        <w:overflowPunct/>
        <w:bidi w:val="0"/>
        <w:spacing w:line="500" w:lineRule="exact"/>
        <w:rPr>
          <w:highlight w:val="none"/>
        </w:rPr>
      </w:pPr>
    </w:p>
    <w:p w14:paraId="58F21A15">
      <w:pPr>
        <w:pageBreakBefore w:val="0"/>
        <w:kinsoku/>
        <w:overflowPunct/>
        <w:bidi w:val="0"/>
        <w:spacing w:line="500" w:lineRule="exact"/>
        <w:rPr>
          <w:highlight w:val="none"/>
        </w:rPr>
      </w:pPr>
    </w:p>
    <w:p w14:paraId="4D37638A">
      <w:pPr>
        <w:pageBreakBefore w:val="0"/>
        <w:kinsoku/>
        <w:overflowPunct/>
        <w:bidi w:val="0"/>
        <w:spacing w:line="500" w:lineRule="exact"/>
        <w:rPr>
          <w:highlight w:val="none"/>
        </w:rPr>
      </w:pPr>
    </w:p>
    <w:p w14:paraId="73BF98F6">
      <w:pPr>
        <w:pageBreakBefore w:val="0"/>
        <w:kinsoku/>
        <w:overflowPunct/>
        <w:bidi w:val="0"/>
        <w:spacing w:line="500" w:lineRule="exact"/>
        <w:rPr>
          <w:highlight w:val="none"/>
        </w:rPr>
      </w:pPr>
    </w:p>
    <w:p w14:paraId="0B8E4EAD">
      <w:pPr>
        <w:pageBreakBefore w:val="0"/>
        <w:kinsoku/>
        <w:overflowPunct/>
        <w:bidi w:val="0"/>
        <w:spacing w:line="500" w:lineRule="exact"/>
        <w:ind w:left="420"/>
        <w:jc w:val="center"/>
        <w:outlineLvl w:val="0"/>
        <w:rPr>
          <w:rFonts w:ascii="宋体" w:hAnsi="宋体" w:cs="宋体"/>
          <w:b/>
          <w:sz w:val="30"/>
          <w:szCs w:val="30"/>
          <w:highlight w:val="none"/>
        </w:rPr>
      </w:pPr>
      <w:bookmarkStart w:id="394" w:name="_Toc11406"/>
      <w:r>
        <w:rPr>
          <w:rFonts w:hint="eastAsia" w:ascii="宋体" w:hAnsi="宋体" w:cs="宋体"/>
          <w:b/>
          <w:sz w:val="30"/>
          <w:szCs w:val="30"/>
          <w:highlight w:val="none"/>
          <w:lang w:eastAsia="zh-CN"/>
        </w:rPr>
        <w:t>五</w:t>
      </w:r>
      <w:r>
        <w:rPr>
          <w:rFonts w:hint="eastAsia" w:ascii="宋体" w:hAnsi="宋体" w:cs="宋体"/>
          <w:b/>
          <w:sz w:val="30"/>
          <w:szCs w:val="30"/>
          <w:highlight w:val="none"/>
        </w:rPr>
        <w:t>、</w:t>
      </w:r>
      <w:r>
        <w:rPr>
          <w:rFonts w:hint="eastAsia" w:ascii="宋体" w:hAnsi="宋体" w:cs="宋体"/>
          <w:b/>
          <w:sz w:val="30"/>
          <w:szCs w:val="30"/>
          <w:highlight w:val="none"/>
          <w:lang w:eastAsia="zh-CN"/>
        </w:rPr>
        <w:t>技术</w:t>
      </w:r>
      <w:r>
        <w:rPr>
          <w:rFonts w:hint="eastAsia" w:ascii="宋体" w:hAnsi="宋体" w:cs="宋体"/>
          <w:b/>
          <w:sz w:val="30"/>
          <w:szCs w:val="30"/>
          <w:highlight w:val="none"/>
        </w:rPr>
        <w:t>方案</w:t>
      </w:r>
      <w:bookmarkEnd w:id="385"/>
      <w:bookmarkEnd w:id="386"/>
      <w:bookmarkEnd w:id="387"/>
      <w:bookmarkEnd w:id="388"/>
      <w:bookmarkEnd w:id="389"/>
      <w:bookmarkEnd w:id="390"/>
      <w:bookmarkEnd w:id="391"/>
      <w:bookmarkEnd w:id="392"/>
      <w:bookmarkEnd w:id="393"/>
      <w:bookmarkEnd w:id="394"/>
    </w:p>
    <w:p w14:paraId="685B515A">
      <w:pPr>
        <w:pageBreakBefore w:val="0"/>
        <w:kinsoku/>
        <w:overflowPunct/>
        <w:bidi w:val="0"/>
        <w:spacing w:line="500" w:lineRule="exact"/>
        <w:jc w:val="center"/>
        <w:rPr>
          <w:rFonts w:ascii="宋体" w:hAnsi="宋体" w:cs="宋体"/>
          <w:szCs w:val="21"/>
          <w:highlight w:val="none"/>
        </w:rPr>
      </w:pPr>
    </w:p>
    <w:p w14:paraId="63730ED1">
      <w:pPr>
        <w:pageBreakBefore w:val="0"/>
        <w:kinsoku/>
        <w:overflowPunct/>
        <w:bidi w:val="0"/>
        <w:spacing w:line="500" w:lineRule="exact"/>
        <w:jc w:val="center"/>
        <w:rPr>
          <w:rFonts w:hint="eastAsia"/>
          <w:b/>
          <w:bCs/>
          <w:sz w:val="24"/>
          <w:szCs w:val="22"/>
          <w:highlight w:val="none"/>
          <w:lang w:val="en-US" w:eastAsia="zh-CN"/>
        </w:rPr>
      </w:pPr>
      <w:r>
        <w:rPr>
          <w:rFonts w:hint="eastAsia"/>
          <w:b/>
          <w:bCs/>
          <w:sz w:val="24"/>
          <w:szCs w:val="22"/>
          <w:highlight w:val="none"/>
          <w:lang w:val="en-US" w:eastAsia="zh-CN"/>
        </w:rPr>
        <w:t>（包含但不限于供货方案、质量保证措施等）</w:t>
      </w:r>
    </w:p>
    <w:p w14:paraId="43C109A6">
      <w:pPr>
        <w:pageBreakBefore w:val="0"/>
        <w:kinsoku/>
        <w:overflowPunct/>
        <w:bidi w:val="0"/>
        <w:spacing w:line="500" w:lineRule="exact"/>
        <w:rPr>
          <w:rFonts w:ascii="宋体" w:hAnsi="宋体" w:cs="宋体"/>
          <w:highlight w:val="none"/>
        </w:rPr>
      </w:pPr>
    </w:p>
    <w:p w14:paraId="16FA8AA3">
      <w:pPr>
        <w:pageBreakBefore w:val="0"/>
        <w:kinsoku/>
        <w:overflowPunct/>
        <w:bidi w:val="0"/>
        <w:spacing w:line="500" w:lineRule="exact"/>
        <w:rPr>
          <w:rFonts w:ascii="宋体" w:hAnsi="宋体" w:cs="宋体"/>
          <w:highlight w:val="none"/>
        </w:rPr>
      </w:pPr>
    </w:p>
    <w:p w14:paraId="6E0EF1C9">
      <w:pPr>
        <w:pageBreakBefore w:val="0"/>
        <w:kinsoku/>
        <w:overflowPunct/>
        <w:bidi w:val="0"/>
        <w:spacing w:line="500" w:lineRule="exact"/>
        <w:rPr>
          <w:rFonts w:ascii="宋体" w:hAnsi="宋体" w:cs="宋体"/>
          <w:highlight w:val="none"/>
        </w:rPr>
      </w:pPr>
    </w:p>
    <w:p w14:paraId="10D897BF">
      <w:pPr>
        <w:pageBreakBefore w:val="0"/>
        <w:kinsoku/>
        <w:overflowPunct/>
        <w:bidi w:val="0"/>
        <w:spacing w:line="500" w:lineRule="exact"/>
        <w:rPr>
          <w:rFonts w:ascii="宋体" w:hAnsi="宋体" w:cs="宋体"/>
          <w:highlight w:val="none"/>
        </w:rPr>
      </w:pPr>
      <w:bookmarkStart w:id="395" w:name="page89"/>
      <w:bookmarkEnd w:id="395"/>
    </w:p>
    <w:p w14:paraId="55B86AA9">
      <w:pPr>
        <w:pStyle w:val="3"/>
        <w:pageBreakBefore w:val="0"/>
        <w:kinsoku/>
        <w:overflowPunct/>
        <w:bidi w:val="0"/>
        <w:spacing w:line="500" w:lineRule="exact"/>
        <w:rPr>
          <w:rFonts w:ascii="宋体" w:hAnsi="宋体" w:cs="宋体"/>
          <w:b/>
          <w:sz w:val="30"/>
          <w:szCs w:val="30"/>
          <w:highlight w:val="none"/>
        </w:rPr>
      </w:pPr>
      <w:r>
        <w:rPr>
          <w:rFonts w:hint="eastAsia" w:ascii="宋体" w:hAnsi="宋体" w:cs="宋体"/>
          <w:b/>
          <w:sz w:val="30"/>
          <w:szCs w:val="30"/>
          <w:highlight w:val="none"/>
        </w:rPr>
        <w:br w:type="page"/>
      </w:r>
      <w:bookmarkStart w:id="396" w:name="_Toc11279_WPSOffice_Level1"/>
      <w:bookmarkEnd w:id="396"/>
      <w:bookmarkStart w:id="397" w:name="_Toc1256_WPSOffice_Level1"/>
      <w:bookmarkEnd w:id="397"/>
      <w:bookmarkStart w:id="398" w:name="_Toc522798786"/>
      <w:bookmarkEnd w:id="398"/>
      <w:bookmarkStart w:id="399" w:name="_Toc521998014"/>
      <w:bookmarkEnd w:id="399"/>
      <w:bookmarkStart w:id="400" w:name="_Toc522085810"/>
      <w:bookmarkEnd w:id="400"/>
      <w:bookmarkStart w:id="401" w:name="_Toc19584_WPSOffice_Level1"/>
      <w:bookmarkEnd w:id="401"/>
      <w:bookmarkStart w:id="402" w:name="_Toc9122"/>
      <w:bookmarkStart w:id="403" w:name="_Toc522798876"/>
      <w:bookmarkStart w:id="404" w:name="_Toc6136_WPSOffice_Level1"/>
      <w:bookmarkStart w:id="405" w:name="_Toc4672_WPSOffice_Level1"/>
      <w:bookmarkStart w:id="406" w:name="_Toc19510_WPSOffice_Level1"/>
      <w:bookmarkStart w:id="407" w:name="_Toc1254_WPSOffice_Level1"/>
      <w:bookmarkStart w:id="408" w:name="_Toc7619_WPSOffice_Level1"/>
      <w:bookmarkStart w:id="409" w:name="_Toc31485_WPSOffice_Level1"/>
      <w:bookmarkStart w:id="410" w:name="_Toc7115_WPSOffice_Level1"/>
      <w:r>
        <w:rPr>
          <w:rFonts w:hint="eastAsia" w:ascii="宋体" w:hAnsi="宋体" w:cs="宋体"/>
          <w:b/>
          <w:sz w:val="30"/>
          <w:szCs w:val="30"/>
          <w:highlight w:val="none"/>
          <w:lang w:eastAsia="zh-CN"/>
        </w:rPr>
        <w:t>六、售后服务</w:t>
      </w:r>
      <w:bookmarkEnd w:id="402"/>
      <w:bookmarkEnd w:id="403"/>
      <w:bookmarkEnd w:id="404"/>
      <w:bookmarkEnd w:id="405"/>
      <w:bookmarkEnd w:id="406"/>
      <w:bookmarkEnd w:id="407"/>
      <w:bookmarkEnd w:id="408"/>
      <w:bookmarkEnd w:id="409"/>
      <w:bookmarkEnd w:id="410"/>
      <w:r>
        <w:rPr>
          <w:rFonts w:hint="eastAsia" w:ascii="宋体" w:hAnsi="宋体" w:cs="宋体"/>
          <w:b/>
          <w:sz w:val="30"/>
          <w:szCs w:val="30"/>
          <w:highlight w:val="none"/>
          <w:lang w:eastAsia="zh-CN"/>
        </w:rPr>
        <w:t>承诺</w:t>
      </w:r>
    </w:p>
    <w:p w14:paraId="4D974A13">
      <w:pPr>
        <w:pStyle w:val="11"/>
        <w:pageBreakBefore w:val="0"/>
        <w:kinsoku/>
        <w:overflowPunct/>
        <w:bidi w:val="0"/>
        <w:spacing w:line="500" w:lineRule="exact"/>
        <w:jc w:val="center"/>
        <w:rPr>
          <w:rFonts w:hAnsi="宋体"/>
          <w:color w:val="auto"/>
          <w:highlight w:val="none"/>
        </w:rPr>
      </w:pPr>
      <w:r>
        <w:rPr>
          <w:rFonts w:hint="eastAsia" w:hAnsi="宋体"/>
          <w:color w:val="auto"/>
          <w:highlight w:val="none"/>
        </w:rPr>
        <w:t xml:space="preserve">     （根据项目情况格式自拟）</w:t>
      </w:r>
    </w:p>
    <w:p w14:paraId="462343AB">
      <w:pPr>
        <w:pageBreakBefore w:val="0"/>
        <w:kinsoku/>
        <w:overflowPunct/>
        <w:bidi w:val="0"/>
        <w:spacing w:line="500" w:lineRule="exact"/>
        <w:rPr>
          <w:rFonts w:ascii="宋体" w:hAnsi="宋体" w:cs="宋体"/>
          <w:szCs w:val="21"/>
          <w:highlight w:val="none"/>
        </w:rPr>
      </w:pPr>
    </w:p>
    <w:p w14:paraId="0FAE9B99">
      <w:pPr>
        <w:pageBreakBefore w:val="0"/>
        <w:kinsoku/>
        <w:overflowPunct/>
        <w:bidi w:val="0"/>
        <w:spacing w:line="500" w:lineRule="exact"/>
        <w:rPr>
          <w:rFonts w:ascii="宋体" w:hAnsi="宋体" w:cs="宋体"/>
          <w:highlight w:val="none"/>
        </w:rPr>
      </w:pPr>
    </w:p>
    <w:p w14:paraId="6C4F1824">
      <w:pPr>
        <w:pageBreakBefore w:val="0"/>
        <w:kinsoku/>
        <w:overflowPunct/>
        <w:bidi w:val="0"/>
        <w:spacing w:line="500" w:lineRule="exact"/>
        <w:rPr>
          <w:rFonts w:ascii="宋体" w:hAnsi="宋体" w:cs="宋体"/>
          <w:highlight w:val="none"/>
        </w:rPr>
      </w:pPr>
    </w:p>
    <w:p w14:paraId="465F7C6C">
      <w:pPr>
        <w:pageBreakBefore w:val="0"/>
        <w:kinsoku/>
        <w:overflowPunct/>
        <w:bidi w:val="0"/>
        <w:spacing w:line="500" w:lineRule="exact"/>
        <w:rPr>
          <w:rFonts w:ascii="宋体" w:hAnsi="宋体" w:cs="宋体"/>
          <w:highlight w:val="none"/>
        </w:rPr>
      </w:pPr>
    </w:p>
    <w:p w14:paraId="0E9D0331">
      <w:pPr>
        <w:pageBreakBefore w:val="0"/>
        <w:kinsoku/>
        <w:overflowPunct/>
        <w:bidi w:val="0"/>
        <w:spacing w:line="500" w:lineRule="exact"/>
        <w:rPr>
          <w:rFonts w:ascii="宋体" w:hAnsi="宋体" w:cs="宋体"/>
          <w:highlight w:val="none"/>
        </w:rPr>
      </w:pPr>
    </w:p>
    <w:p w14:paraId="064F5C96">
      <w:pPr>
        <w:pageBreakBefore w:val="0"/>
        <w:kinsoku/>
        <w:overflowPunct/>
        <w:bidi w:val="0"/>
        <w:spacing w:line="500" w:lineRule="exact"/>
        <w:rPr>
          <w:rFonts w:ascii="宋体" w:hAnsi="宋体" w:cs="宋体"/>
          <w:highlight w:val="none"/>
        </w:rPr>
      </w:pPr>
      <w:bookmarkStart w:id="411" w:name="page90"/>
      <w:bookmarkEnd w:id="411"/>
    </w:p>
    <w:p w14:paraId="20D26C6D">
      <w:pPr>
        <w:pStyle w:val="3"/>
        <w:pageBreakBefore w:val="0"/>
        <w:kinsoku/>
        <w:overflowPunct/>
        <w:bidi w:val="0"/>
        <w:spacing w:line="500" w:lineRule="exact"/>
        <w:rPr>
          <w:rFonts w:cs="宋体"/>
          <w:b/>
          <w:iCs/>
          <w:szCs w:val="28"/>
          <w:highlight w:val="none"/>
        </w:rPr>
      </w:pPr>
      <w:r>
        <w:rPr>
          <w:rFonts w:hint="eastAsia" w:ascii="宋体" w:hAnsi="宋体" w:cs="宋体"/>
          <w:b/>
          <w:sz w:val="30"/>
          <w:szCs w:val="30"/>
          <w:highlight w:val="none"/>
        </w:rPr>
        <w:br w:type="page"/>
      </w:r>
      <w:bookmarkStart w:id="412" w:name="_Toc497301919"/>
      <w:bookmarkEnd w:id="412"/>
      <w:bookmarkStart w:id="413" w:name="_Toc19622_WPSOffice_Level1"/>
      <w:bookmarkEnd w:id="413"/>
      <w:bookmarkStart w:id="414" w:name="_Toc521998015"/>
      <w:bookmarkEnd w:id="414"/>
      <w:bookmarkStart w:id="415" w:name="_Toc12759_WPSOffice_Level1"/>
      <w:bookmarkEnd w:id="415"/>
      <w:bookmarkStart w:id="416" w:name="_Toc522798787"/>
      <w:bookmarkEnd w:id="416"/>
      <w:bookmarkStart w:id="417" w:name="_Toc32431_WPSOffice_Level1"/>
      <w:bookmarkEnd w:id="417"/>
      <w:bookmarkStart w:id="418" w:name="_Toc522085811"/>
      <w:bookmarkEnd w:id="418"/>
      <w:bookmarkStart w:id="419" w:name="_Toc16232_WPSOffice_Level1"/>
      <w:bookmarkStart w:id="420" w:name="_Toc23309_WPSOffice_Level1"/>
      <w:bookmarkStart w:id="421" w:name="_Toc31647_WPSOffice_Level1"/>
      <w:bookmarkStart w:id="422" w:name="_Toc522798877"/>
      <w:bookmarkStart w:id="423" w:name="_Toc8448_WPSOffice_Level1"/>
      <w:bookmarkStart w:id="424" w:name="_Toc32188"/>
      <w:bookmarkStart w:id="425" w:name="_Toc12859_WPSOffice_Level1"/>
      <w:bookmarkStart w:id="426" w:name="_Toc4039_WPSOffice_Level1"/>
      <w:bookmarkStart w:id="427" w:name="_Toc5367_WPSOffice_Level1"/>
      <w:r>
        <w:rPr>
          <w:rFonts w:hint="eastAsia" w:ascii="宋体" w:hAnsi="宋体" w:cs="宋体"/>
          <w:b/>
          <w:sz w:val="30"/>
          <w:szCs w:val="30"/>
          <w:highlight w:val="none"/>
          <w:lang w:val="en-US" w:eastAsia="zh-CN"/>
        </w:rPr>
        <w:t>七</w:t>
      </w:r>
      <w:r>
        <w:rPr>
          <w:rFonts w:hint="eastAsia" w:ascii="宋体" w:hAnsi="宋体" w:cs="宋体"/>
          <w:b/>
          <w:sz w:val="30"/>
          <w:szCs w:val="30"/>
          <w:highlight w:val="none"/>
          <w:lang w:eastAsia="zh-CN"/>
        </w:rPr>
        <w:t>、</w:t>
      </w:r>
      <w:bookmarkEnd w:id="419"/>
      <w:bookmarkEnd w:id="420"/>
      <w:bookmarkEnd w:id="421"/>
      <w:bookmarkEnd w:id="422"/>
      <w:bookmarkEnd w:id="423"/>
      <w:bookmarkEnd w:id="424"/>
      <w:bookmarkEnd w:id="425"/>
      <w:bookmarkEnd w:id="426"/>
      <w:bookmarkEnd w:id="427"/>
      <w:bookmarkStart w:id="428" w:name="_Toc11081_WPSOffice_Level1"/>
      <w:bookmarkEnd w:id="428"/>
      <w:bookmarkStart w:id="429" w:name="_Toc3143_WPSOffice_Level1"/>
      <w:bookmarkEnd w:id="429"/>
      <w:bookmarkStart w:id="430" w:name="_Toc7416"/>
      <w:r>
        <w:rPr>
          <w:rFonts w:hint="eastAsia" w:cs="宋体"/>
          <w:b/>
          <w:iCs/>
          <w:szCs w:val="28"/>
          <w:highlight w:val="none"/>
        </w:rPr>
        <w:t>中小微企业声明函</w:t>
      </w:r>
      <w:bookmarkEnd w:id="430"/>
    </w:p>
    <w:p w14:paraId="16DA6B8F">
      <w:pPr>
        <w:pageBreakBefore w:val="0"/>
        <w:kinsoku/>
        <w:overflowPunct/>
        <w:bidi w:val="0"/>
        <w:spacing w:line="500" w:lineRule="exact"/>
        <w:ind w:firstLine="480" w:firstLineChars="200"/>
        <w:rPr>
          <w:rFonts w:ascii="宋体" w:hAnsi="宋体" w:cs="宋体"/>
          <w:bCs/>
          <w:iCs/>
          <w:sz w:val="24"/>
          <w:highlight w:val="none"/>
        </w:rPr>
      </w:pPr>
      <w:r>
        <w:rPr>
          <w:rFonts w:hint="eastAsia" w:ascii="宋体" w:hAnsi="宋体" w:cs="宋体"/>
          <w:bCs/>
          <w:iCs/>
          <w:sz w:val="24"/>
          <w:highlight w:val="none"/>
        </w:rPr>
        <w:t>本公司（联合体）</w:t>
      </w:r>
      <w:r>
        <w:rPr>
          <w:rFonts w:hint="eastAsia" w:ascii="宋体" w:hAnsi="宋体" w:cs="宋体"/>
          <w:bCs/>
          <w:iCs/>
          <w:sz w:val="24"/>
          <w:highlight w:val="none"/>
          <w:u w:val="single"/>
          <w:lang w:val="en-US" w:eastAsia="zh-CN"/>
        </w:rPr>
        <w:t xml:space="preserve">              </w:t>
      </w:r>
      <w:r>
        <w:rPr>
          <w:rFonts w:hint="eastAsia" w:ascii="宋体" w:hAnsi="宋体" w:cs="宋体"/>
          <w:bCs/>
          <w:iCs/>
          <w:sz w:val="24"/>
          <w:highlight w:val="none"/>
        </w:rPr>
        <w:t>郑重声明， 根据《政府采购促进中小企业发展管理办法》（财库﹝ 2020﹞ 46 号） 的规定， 本公司（联合体） 参加</w:t>
      </w:r>
      <w:r>
        <w:rPr>
          <w:rFonts w:hint="eastAsia" w:ascii="宋体" w:hAnsi="宋体" w:cs="宋体"/>
          <w:bCs/>
          <w:iCs/>
          <w:sz w:val="24"/>
          <w:highlight w:val="none"/>
          <w:u w:val="single"/>
        </w:rPr>
        <w:t>（单位名称）</w:t>
      </w:r>
      <w:r>
        <w:rPr>
          <w:rFonts w:hint="eastAsia" w:ascii="宋体" w:hAnsi="宋体" w:cs="宋体"/>
          <w:bCs/>
          <w:iCs/>
          <w:sz w:val="24"/>
          <w:highlight w:val="none"/>
        </w:rPr>
        <w:t>的</w:t>
      </w:r>
      <w:r>
        <w:rPr>
          <w:rFonts w:hint="eastAsia" w:ascii="宋体" w:hAnsi="宋体" w:cs="宋体"/>
          <w:bCs/>
          <w:iCs/>
          <w:sz w:val="24"/>
          <w:highlight w:val="none"/>
          <w:u w:val="single"/>
          <w:lang w:eastAsia="zh-CN"/>
        </w:rPr>
        <w:t>（项目名称）</w:t>
      </w:r>
      <w:r>
        <w:rPr>
          <w:rFonts w:hint="eastAsia" w:ascii="宋体" w:hAnsi="宋体" w:cs="宋体"/>
          <w:bCs/>
          <w:iCs/>
          <w:sz w:val="24"/>
          <w:highlight w:val="none"/>
        </w:rPr>
        <w:t xml:space="preserve"> 采购活动， 提供的货物全部由符合政策要求的中小企业制造。 相关企业（含联合体中的中小企业、 签订分包意向协议的中小企业）的具体情况如下：</w:t>
      </w:r>
    </w:p>
    <w:p w14:paraId="18BCC16F">
      <w:pPr>
        <w:pageBreakBefore w:val="0"/>
        <w:kinsoku/>
        <w:overflowPunct/>
        <w:bidi w:val="0"/>
        <w:spacing w:line="500" w:lineRule="exact"/>
        <w:ind w:firstLine="480" w:firstLineChars="200"/>
        <w:rPr>
          <w:rFonts w:ascii="宋体" w:hAnsi="宋体" w:cs="宋体"/>
          <w:bCs/>
          <w:iCs/>
          <w:sz w:val="24"/>
          <w:highlight w:val="none"/>
        </w:rPr>
      </w:pPr>
      <w:r>
        <w:rPr>
          <w:rFonts w:hint="eastAsia" w:ascii="宋体" w:hAnsi="宋体" w:cs="宋体"/>
          <w:bCs/>
          <w:iCs/>
          <w:sz w:val="24"/>
          <w:highlight w:val="none"/>
        </w:rPr>
        <w:t xml:space="preserve">1. </w:t>
      </w:r>
      <w:r>
        <w:rPr>
          <w:rFonts w:hint="eastAsia" w:ascii="宋体" w:hAnsi="宋体" w:cs="宋体"/>
          <w:bCs/>
          <w:iCs/>
          <w:sz w:val="24"/>
          <w:highlight w:val="none"/>
          <w:u w:val="single"/>
        </w:rPr>
        <w:t>（标的名称）</w:t>
      </w:r>
      <w:r>
        <w:rPr>
          <w:rFonts w:hint="eastAsia" w:ascii="宋体" w:hAnsi="宋体" w:cs="宋体"/>
          <w:bCs/>
          <w:iCs/>
          <w:sz w:val="24"/>
          <w:highlight w:val="none"/>
        </w:rPr>
        <w:t xml:space="preserve"> ， 属于</w:t>
      </w:r>
      <w:r>
        <w:rPr>
          <w:rFonts w:hint="eastAsia" w:ascii="宋体" w:hAnsi="宋体" w:cs="宋体"/>
          <w:bCs/>
          <w:iCs/>
          <w:sz w:val="24"/>
          <w:highlight w:val="none"/>
          <w:u w:val="single"/>
        </w:rPr>
        <w:t>（采购文件中明确的所属行业）</w:t>
      </w:r>
      <w:r>
        <w:rPr>
          <w:rFonts w:hint="eastAsia" w:ascii="宋体" w:hAnsi="宋体" w:cs="宋体"/>
          <w:bCs/>
          <w:iCs/>
          <w:sz w:val="24"/>
          <w:highlight w:val="none"/>
        </w:rPr>
        <w:t>行业； 制造商为</w:t>
      </w:r>
      <w:r>
        <w:rPr>
          <w:rFonts w:hint="eastAsia" w:ascii="宋体" w:hAnsi="宋体" w:cs="宋体"/>
          <w:bCs/>
          <w:iCs/>
          <w:sz w:val="24"/>
          <w:highlight w:val="none"/>
          <w:u w:val="single"/>
        </w:rPr>
        <w:t>（ 企业名称）</w:t>
      </w:r>
      <w:r>
        <w:rPr>
          <w:rFonts w:hint="eastAsia" w:ascii="宋体" w:hAnsi="宋体" w:cs="宋体"/>
          <w:bCs/>
          <w:iCs/>
          <w:sz w:val="24"/>
          <w:highlight w:val="none"/>
        </w:rPr>
        <w:t>， 从业人员</w:t>
      </w:r>
      <w:r>
        <w:rPr>
          <w:rFonts w:hint="eastAsia" w:ascii="宋体" w:hAnsi="宋体" w:cs="宋体"/>
          <w:bCs/>
          <w:iCs/>
          <w:sz w:val="24"/>
          <w:highlight w:val="none"/>
          <w:u w:val="single"/>
        </w:rPr>
        <w:t xml:space="preserve">   </w:t>
      </w:r>
      <w:r>
        <w:rPr>
          <w:rFonts w:hint="eastAsia" w:ascii="宋体" w:hAnsi="宋体" w:cs="宋体"/>
          <w:bCs/>
          <w:iCs/>
          <w:sz w:val="24"/>
          <w:highlight w:val="none"/>
        </w:rPr>
        <w:t>人， 营业收入为</w:t>
      </w:r>
      <w:r>
        <w:rPr>
          <w:rFonts w:hint="eastAsia" w:ascii="宋体" w:hAnsi="宋体" w:cs="宋体"/>
          <w:bCs/>
          <w:iCs/>
          <w:sz w:val="24"/>
          <w:highlight w:val="none"/>
          <w:u w:val="single"/>
        </w:rPr>
        <w:t xml:space="preserve">   </w:t>
      </w:r>
      <w:r>
        <w:rPr>
          <w:rFonts w:hint="eastAsia" w:ascii="宋体" w:hAnsi="宋体" w:cs="宋体"/>
          <w:bCs/>
          <w:iCs/>
          <w:sz w:val="24"/>
          <w:highlight w:val="none"/>
        </w:rPr>
        <w:t>万元， 资产总额为</w:t>
      </w:r>
      <w:r>
        <w:rPr>
          <w:rFonts w:hint="eastAsia" w:ascii="宋体" w:hAnsi="宋体" w:cs="宋体"/>
          <w:bCs/>
          <w:iCs/>
          <w:sz w:val="24"/>
          <w:highlight w:val="none"/>
          <w:u w:val="single"/>
        </w:rPr>
        <w:t xml:space="preserve">   </w:t>
      </w:r>
      <w:r>
        <w:rPr>
          <w:rFonts w:hint="eastAsia" w:ascii="宋体" w:hAnsi="宋体" w:cs="宋体"/>
          <w:bCs/>
          <w:iCs/>
          <w:sz w:val="24"/>
          <w:highlight w:val="none"/>
        </w:rPr>
        <w:t>万元， 属于</w:t>
      </w:r>
      <w:r>
        <w:rPr>
          <w:rFonts w:hint="eastAsia" w:ascii="宋体" w:hAnsi="宋体" w:cs="宋体"/>
          <w:bCs/>
          <w:iCs/>
          <w:sz w:val="24"/>
          <w:highlight w:val="none"/>
          <w:u w:val="single"/>
        </w:rPr>
        <w:t>（中型企业、 小型企业、 微型企业）</w:t>
      </w:r>
      <w:r>
        <w:rPr>
          <w:rFonts w:hint="eastAsia" w:ascii="宋体" w:hAnsi="宋体" w:cs="宋体"/>
          <w:bCs/>
          <w:iCs/>
          <w:sz w:val="24"/>
          <w:highlight w:val="none"/>
        </w:rPr>
        <w:t>；</w:t>
      </w:r>
    </w:p>
    <w:p w14:paraId="69D5A256">
      <w:pPr>
        <w:pageBreakBefore w:val="0"/>
        <w:kinsoku/>
        <w:overflowPunct/>
        <w:bidi w:val="0"/>
        <w:spacing w:line="500" w:lineRule="exact"/>
        <w:ind w:firstLine="480" w:firstLineChars="200"/>
        <w:rPr>
          <w:rFonts w:ascii="宋体" w:hAnsi="宋体" w:cs="宋体"/>
          <w:bCs/>
          <w:iCs/>
          <w:sz w:val="24"/>
          <w:highlight w:val="none"/>
        </w:rPr>
      </w:pPr>
      <w:r>
        <w:rPr>
          <w:rFonts w:hint="eastAsia" w:ascii="宋体" w:hAnsi="宋体" w:cs="宋体"/>
          <w:bCs/>
          <w:iCs/>
          <w:sz w:val="24"/>
          <w:highlight w:val="none"/>
        </w:rPr>
        <w:t xml:space="preserve">2. </w:t>
      </w:r>
      <w:r>
        <w:rPr>
          <w:rFonts w:hint="eastAsia" w:ascii="宋体" w:hAnsi="宋体" w:cs="宋体"/>
          <w:bCs/>
          <w:iCs/>
          <w:sz w:val="24"/>
          <w:highlight w:val="none"/>
          <w:u w:val="single"/>
        </w:rPr>
        <w:t xml:space="preserve">（标的名称） </w:t>
      </w:r>
      <w:r>
        <w:rPr>
          <w:rFonts w:hint="eastAsia" w:ascii="宋体" w:hAnsi="宋体" w:cs="宋体"/>
          <w:bCs/>
          <w:iCs/>
          <w:sz w:val="24"/>
          <w:highlight w:val="none"/>
        </w:rPr>
        <w:t>， 属于</w:t>
      </w:r>
      <w:r>
        <w:rPr>
          <w:rFonts w:hint="eastAsia" w:ascii="宋体" w:hAnsi="宋体" w:cs="宋体"/>
          <w:bCs/>
          <w:iCs/>
          <w:sz w:val="24"/>
          <w:highlight w:val="none"/>
          <w:u w:val="single"/>
        </w:rPr>
        <w:t>（采购文件中明确的所属行业）</w:t>
      </w:r>
      <w:r>
        <w:rPr>
          <w:rFonts w:hint="eastAsia" w:ascii="宋体" w:hAnsi="宋体" w:cs="宋体"/>
          <w:bCs/>
          <w:iCs/>
          <w:sz w:val="24"/>
          <w:highlight w:val="none"/>
        </w:rPr>
        <w:t>行业； 制造商为</w:t>
      </w:r>
      <w:r>
        <w:rPr>
          <w:rFonts w:hint="eastAsia" w:ascii="宋体" w:hAnsi="宋体" w:cs="宋体"/>
          <w:bCs/>
          <w:iCs/>
          <w:sz w:val="24"/>
          <w:highlight w:val="none"/>
          <w:u w:val="single"/>
        </w:rPr>
        <w:t>（ 企业名称）</w:t>
      </w:r>
      <w:r>
        <w:rPr>
          <w:rFonts w:hint="eastAsia" w:ascii="宋体" w:hAnsi="宋体" w:cs="宋体"/>
          <w:bCs/>
          <w:iCs/>
          <w:sz w:val="24"/>
          <w:highlight w:val="none"/>
        </w:rPr>
        <w:t>， 从业人员</w:t>
      </w:r>
      <w:r>
        <w:rPr>
          <w:rFonts w:hint="eastAsia" w:ascii="宋体" w:hAnsi="宋体" w:cs="宋体"/>
          <w:bCs/>
          <w:iCs/>
          <w:sz w:val="24"/>
          <w:highlight w:val="none"/>
          <w:u w:val="single"/>
        </w:rPr>
        <w:t xml:space="preserve">   </w:t>
      </w:r>
      <w:r>
        <w:rPr>
          <w:rFonts w:hint="eastAsia" w:ascii="宋体" w:hAnsi="宋体" w:cs="宋体"/>
          <w:bCs/>
          <w:iCs/>
          <w:sz w:val="24"/>
          <w:highlight w:val="none"/>
        </w:rPr>
        <w:t>人， 营业收入为</w:t>
      </w:r>
      <w:r>
        <w:rPr>
          <w:rFonts w:hint="eastAsia" w:ascii="宋体" w:hAnsi="宋体" w:cs="宋体"/>
          <w:bCs/>
          <w:iCs/>
          <w:sz w:val="24"/>
          <w:highlight w:val="none"/>
          <w:u w:val="single"/>
        </w:rPr>
        <w:t xml:space="preserve">   </w:t>
      </w:r>
      <w:r>
        <w:rPr>
          <w:rFonts w:hint="eastAsia" w:ascii="宋体" w:hAnsi="宋体" w:cs="宋体"/>
          <w:bCs/>
          <w:iCs/>
          <w:sz w:val="24"/>
          <w:highlight w:val="none"/>
        </w:rPr>
        <w:t>万元， 资产总额为</w:t>
      </w:r>
      <w:r>
        <w:rPr>
          <w:rFonts w:hint="eastAsia" w:ascii="宋体" w:hAnsi="宋体" w:cs="宋体"/>
          <w:bCs/>
          <w:iCs/>
          <w:sz w:val="24"/>
          <w:highlight w:val="none"/>
          <w:u w:val="single"/>
        </w:rPr>
        <w:t xml:space="preserve">   </w:t>
      </w:r>
      <w:r>
        <w:rPr>
          <w:rFonts w:hint="eastAsia" w:ascii="宋体" w:hAnsi="宋体" w:cs="宋体"/>
          <w:bCs/>
          <w:iCs/>
          <w:sz w:val="24"/>
          <w:highlight w:val="none"/>
        </w:rPr>
        <w:t>万元， 属于</w:t>
      </w:r>
      <w:r>
        <w:rPr>
          <w:rFonts w:hint="eastAsia" w:ascii="宋体" w:hAnsi="宋体" w:cs="宋体"/>
          <w:bCs/>
          <w:iCs/>
          <w:sz w:val="24"/>
          <w:highlight w:val="none"/>
          <w:u w:val="single"/>
        </w:rPr>
        <w:t>（中型企业、 小型企业、 微型企业）</w:t>
      </w:r>
      <w:r>
        <w:rPr>
          <w:rFonts w:hint="eastAsia" w:ascii="宋体" w:hAnsi="宋体" w:cs="宋体"/>
          <w:bCs/>
          <w:iCs/>
          <w:sz w:val="24"/>
          <w:highlight w:val="none"/>
        </w:rPr>
        <w:t>；</w:t>
      </w:r>
    </w:p>
    <w:p w14:paraId="40C752C7">
      <w:pPr>
        <w:pageBreakBefore w:val="0"/>
        <w:kinsoku/>
        <w:overflowPunct/>
        <w:bidi w:val="0"/>
        <w:spacing w:line="500" w:lineRule="exact"/>
        <w:ind w:firstLine="480" w:firstLineChars="200"/>
        <w:rPr>
          <w:rFonts w:ascii="宋体" w:hAnsi="宋体" w:cs="宋体"/>
          <w:bCs/>
          <w:iCs/>
          <w:sz w:val="24"/>
          <w:highlight w:val="none"/>
        </w:rPr>
      </w:pPr>
      <w:r>
        <w:rPr>
          <w:rFonts w:hint="eastAsia" w:ascii="宋体" w:hAnsi="宋体" w:cs="宋体"/>
          <w:bCs/>
          <w:iCs/>
          <w:sz w:val="24"/>
          <w:highlight w:val="none"/>
        </w:rPr>
        <w:t>……</w:t>
      </w:r>
    </w:p>
    <w:p w14:paraId="4097B234">
      <w:pPr>
        <w:pageBreakBefore w:val="0"/>
        <w:kinsoku/>
        <w:overflowPunct/>
        <w:bidi w:val="0"/>
        <w:spacing w:line="500" w:lineRule="exact"/>
        <w:ind w:firstLine="480" w:firstLineChars="200"/>
        <w:rPr>
          <w:rFonts w:ascii="宋体" w:hAnsi="宋体" w:cs="宋体"/>
          <w:bCs/>
          <w:iCs/>
          <w:sz w:val="24"/>
          <w:highlight w:val="none"/>
        </w:rPr>
      </w:pPr>
      <w:r>
        <w:rPr>
          <w:rFonts w:hint="eastAsia" w:ascii="宋体" w:hAnsi="宋体" w:cs="宋体"/>
          <w:bCs/>
          <w:iCs/>
          <w:sz w:val="24"/>
          <w:highlight w:val="none"/>
        </w:rPr>
        <w:t>以上企业， 不属于大企业的分支机构，不存在控股股东为大企业的情形， 也不存在与大企业的负责人为同一人的情形。</w:t>
      </w:r>
    </w:p>
    <w:p w14:paraId="2EEBBF5D">
      <w:pPr>
        <w:pageBreakBefore w:val="0"/>
        <w:kinsoku/>
        <w:overflowPunct/>
        <w:bidi w:val="0"/>
        <w:spacing w:line="500" w:lineRule="exact"/>
        <w:ind w:firstLine="480" w:firstLineChars="200"/>
        <w:rPr>
          <w:rFonts w:ascii="宋体" w:hAnsi="宋体" w:cs="宋体"/>
          <w:bCs/>
          <w:iCs/>
          <w:sz w:val="24"/>
          <w:highlight w:val="none"/>
        </w:rPr>
      </w:pPr>
      <w:r>
        <w:rPr>
          <w:rFonts w:hint="eastAsia" w:ascii="宋体" w:hAnsi="宋体" w:cs="宋体"/>
          <w:bCs/>
          <w:iCs/>
          <w:sz w:val="24"/>
          <w:highlight w:val="none"/>
        </w:rPr>
        <w:t>本企业对上述声明内容的真实性负责。如有虚假， 将依法承担相应责任。</w:t>
      </w:r>
    </w:p>
    <w:p w14:paraId="43A48DB6">
      <w:pPr>
        <w:pageBreakBefore w:val="0"/>
        <w:kinsoku/>
        <w:overflowPunct/>
        <w:bidi w:val="0"/>
        <w:spacing w:line="500" w:lineRule="exact"/>
        <w:ind w:firstLine="480" w:firstLineChars="200"/>
        <w:rPr>
          <w:rFonts w:ascii="宋体" w:hAnsi="宋体" w:cs="宋体"/>
          <w:bCs/>
          <w:iCs/>
          <w:sz w:val="24"/>
          <w:highlight w:val="none"/>
        </w:rPr>
      </w:pPr>
      <w:r>
        <w:rPr>
          <w:rFonts w:hint="eastAsia" w:ascii="宋体" w:hAnsi="宋体" w:cs="宋体"/>
          <w:bCs/>
          <w:iCs/>
          <w:sz w:val="24"/>
          <w:highlight w:val="none"/>
        </w:rPr>
        <w:t>企业名称（盖章）：</w:t>
      </w:r>
    </w:p>
    <w:p w14:paraId="20172570">
      <w:pPr>
        <w:pageBreakBefore w:val="0"/>
        <w:kinsoku/>
        <w:overflowPunct/>
        <w:bidi w:val="0"/>
        <w:spacing w:line="500" w:lineRule="exact"/>
        <w:ind w:firstLine="480" w:firstLineChars="200"/>
      </w:pPr>
      <w:r>
        <w:rPr>
          <w:rFonts w:hint="eastAsia" w:ascii="宋体" w:hAnsi="宋体" w:cs="宋体"/>
          <w:bCs/>
          <w:iCs/>
          <w:sz w:val="24"/>
          <w:highlight w:val="none"/>
        </w:rPr>
        <w:t>日 期：</w:t>
      </w:r>
    </w:p>
    <w:p w14:paraId="1268AB4A">
      <w:pPr>
        <w:spacing w:line="360" w:lineRule="auto"/>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注：从业人员、营业收入、资产总额填报上一年度数据，无上一年度数据的新成立企业可不填报。</w:t>
      </w:r>
    </w:p>
    <w:p w14:paraId="01C886C0">
      <w:pPr>
        <w:pStyle w:val="25"/>
        <w:rPr>
          <w:rFonts w:hint="eastAsia"/>
        </w:rPr>
      </w:pPr>
    </w:p>
    <w:p w14:paraId="3FE4C783">
      <w:pPr>
        <w:pStyle w:val="10"/>
        <w:pageBreakBefore w:val="0"/>
        <w:kinsoku/>
        <w:overflowPunct/>
        <w:bidi w:val="0"/>
        <w:spacing w:line="500" w:lineRule="exact"/>
        <w:rPr>
          <w:sz w:val="24"/>
          <w:highlight w:val="none"/>
        </w:rPr>
      </w:pPr>
      <w:r>
        <w:rPr>
          <w:rFonts w:hint="eastAsia" w:ascii="宋体" w:hAnsi="宋体" w:eastAsia="宋体" w:cs="宋体"/>
          <w:b/>
          <w:color w:val="auto"/>
          <w:sz w:val="24"/>
          <w:szCs w:val="24"/>
        </w:rPr>
        <w:t>（</w:t>
      </w:r>
      <w:r>
        <w:rPr>
          <w:rFonts w:hint="eastAsia" w:ascii="宋体" w:hAnsi="宋体" w:eastAsia="宋体" w:cs="宋体"/>
          <w:b/>
          <w:color w:val="auto"/>
          <w:sz w:val="24"/>
          <w:szCs w:val="24"/>
          <w:highlight w:val="none"/>
        </w:rPr>
        <w:t>提醒：</w:t>
      </w:r>
      <w:r>
        <w:rPr>
          <w:rFonts w:hint="eastAsia" w:ascii="宋体" w:hAnsi="宋体" w:eastAsia="宋体" w:cs="宋体"/>
          <w:b/>
          <w:color w:val="auto"/>
          <w:sz w:val="24"/>
          <w:szCs w:val="24"/>
          <w:highlight w:val="none"/>
          <w:lang w:val="en-US" w:eastAsia="zh-CN"/>
        </w:rPr>
        <w:t>1.本项目专门面向中小企业采购，</w:t>
      </w:r>
      <w:r>
        <w:rPr>
          <w:rFonts w:hint="eastAsia" w:ascii="宋体" w:hAnsi="宋体" w:eastAsia="宋体" w:cs="宋体"/>
          <w:b/>
          <w:color w:val="auto"/>
          <w:sz w:val="24"/>
          <w:szCs w:val="24"/>
          <w:highlight w:val="none"/>
        </w:rPr>
        <w:t>参加政府采购活动的中小企业</w:t>
      </w:r>
      <w:r>
        <w:rPr>
          <w:rFonts w:hint="eastAsia" w:ascii="宋体" w:hAnsi="宋体" w:cs="宋体"/>
          <w:b/>
          <w:color w:val="auto"/>
          <w:sz w:val="24"/>
          <w:szCs w:val="24"/>
          <w:highlight w:val="none"/>
          <w:lang w:eastAsia="zh-CN"/>
        </w:rPr>
        <w:t>须</w:t>
      </w:r>
      <w:r>
        <w:rPr>
          <w:rFonts w:hint="eastAsia" w:ascii="宋体" w:hAnsi="宋体" w:eastAsia="宋体" w:cs="宋体"/>
          <w:b/>
          <w:color w:val="auto"/>
          <w:sz w:val="24"/>
          <w:szCs w:val="24"/>
          <w:highlight w:val="none"/>
        </w:rPr>
        <w:t>提供《中小企业声明函》</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关于监狱企业：视同小微企业。须提供由省级以上监狱管理局、戒毒管理局（含新疆生产建设兵团）出具的属于监狱企业的证明文件；3.关于残疾人福利性单位：视同小微企业。须提供完整的“残疾人福利性单位声明函”。4.本项目对应的中小企业划分标准所属行业为：工业）。</w:t>
      </w:r>
    </w:p>
    <w:p w14:paraId="33554F33">
      <w:pPr>
        <w:pStyle w:val="10"/>
        <w:pageBreakBefore w:val="0"/>
        <w:kinsoku/>
        <w:overflowPunct/>
        <w:bidi w:val="0"/>
        <w:spacing w:line="500" w:lineRule="exact"/>
        <w:jc w:val="center"/>
        <w:rPr>
          <w:b/>
          <w:bCs/>
          <w:sz w:val="24"/>
          <w:highlight w:val="none"/>
        </w:rPr>
      </w:pPr>
    </w:p>
    <w:p w14:paraId="5E410C9A">
      <w:pPr>
        <w:pStyle w:val="2"/>
        <w:pageBreakBefore w:val="0"/>
        <w:widowControl/>
        <w:kinsoku/>
        <w:overflowPunct/>
        <w:bidi w:val="0"/>
        <w:spacing w:before="160" w:after="160" w:line="500" w:lineRule="exact"/>
        <w:rPr>
          <w:rFonts w:hint="eastAsia" w:cs="宋体"/>
          <w:b/>
          <w:iCs/>
          <w:szCs w:val="28"/>
          <w:highlight w:val="none"/>
        </w:rPr>
      </w:pPr>
      <w:bookmarkStart w:id="431" w:name="_Toc10802"/>
      <w:bookmarkStart w:id="432" w:name="_Toc14656"/>
      <w:bookmarkStart w:id="433" w:name="_Toc15388"/>
      <w:bookmarkStart w:id="434" w:name="_Toc7278"/>
      <w:bookmarkStart w:id="435" w:name="_Toc24343"/>
      <w:bookmarkStart w:id="436" w:name="OLE_LINK13"/>
      <w:bookmarkStart w:id="437" w:name="_Toc3686"/>
      <w:bookmarkStart w:id="438" w:name="_Toc1407"/>
      <w:bookmarkStart w:id="439" w:name="_Toc25719"/>
      <w:bookmarkStart w:id="440" w:name="_Toc23527"/>
      <w:bookmarkStart w:id="441" w:name="_Toc22084"/>
      <w:bookmarkStart w:id="442" w:name="_Toc14029"/>
      <w:bookmarkStart w:id="443" w:name="_Toc21261"/>
      <w:bookmarkStart w:id="444" w:name="_Toc18758"/>
      <w:bookmarkStart w:id="445" w:name="OLE_LINK14"/>
      <w:bookmarkStart w:id="446" w:name="_Toc22816"/>
      <w:bookmarkStart w:id="447" w:name="_Toc25504"/>
      <w:r>
        <w:rPr>
          <w:rFonts w:hint="eastAsia" w:cs="宋体"/>
          <w:b/>
          <w:iCs/>
          <w:szCs w:val="28"/>
          <w:highlight w:val="none"/>
        </w:rPr>
        <w:t>残疾人福利性单位声明函</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17EA4B34">
      <w:pPr>
        <w:pageBreakBefore w:val="0"/>
        <w:kinsoku/>
        <w:overflowPunct/>
        <w:bidi w:val="0"/>
        <w:spacing w:line="500" w:lineRule="exact"/>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本单位郑重声明，根据《财政部 民政部 中国残疾人联合会关于促进残疾人就业政府采购政策的通知》（财库</w:t>
      </w:r>
      <w:r>
        <w:rPr>
          <w:rFonts w:hint="eastAsia" w:ascii="宋体" w:hAnsi="宋体" w:eastAsia="宋体" w:cs="宋体"/>
          <w:color w:val="auto"/>
          <w:highlight w:val="none"/>
        </w:rPr>
        <w:t>〔2017〕141</w:t>
      </w:r>
      <w:r>
        <w:rPr>
          <w:rFonts w:hint="eastAsia" w:ascii="宋体" w:hAnsi="宋体" w:eastAsia="宋体" w:cs="宋体"/>
          <w:color w:val="auto"/>
          <w:spacing w:val="6"/>
          <w:highlight w:val="none"/>
        </w:rPr>
        <w:t>号）的规定，本单位为符合条件的残疾人福利性单位，且本单位参加</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单位的</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47B3AE74">
      <w:pPr>
        <w:pageBreakBefore w:val="0"/>
        <w:kinsoku/>
        <w:overflowPunct/>
        <w:bidi w:val="0"/>
        <w:spacing w:line="500" w:lineRule="exact"/>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本单位对上述声明的真实性负责。如有虚假，将依法承担相应责任。</w:t>
      </w:r>
    </w:p>
    <w:p w14:paraId="4749253F">
      <w:pPr>
        <w:pageBreakBefore w:val="0"/>
        <w:kinsoku/>
        <w:overflowPunct/>
        <w:bidi w:val="0"/>
        <w:spacing w:line="500" w:lineRule="exact"/>
        <w:ind w:firstLine="444" w:firstLineChars="200"/>
        <w:rPr>
          <w:rFonts w:hint="eastAsia" w:ascii="宋体" w:hAnsi="宋体" w:eastAsia="宋体" w:cs="宋体"/>
          <w:color w:val="auto"/>
          <w:spacing w:val="6"/>
          <w:highlight w:val="none"/>
        </w:rPr>
      </w:pPr>
    </w:p>
    <w:p w14:paraId="40B46553">
      <w:pPr>
        <w:pageBreakBefore w:val="0"/>
        <w:tabs>
          <w:tab w:val="left" w:pos="4860"/>
        </w:tabs>
        <w:kinsoku/>
        <w:overflowPunct/>
        <w:bidi w:val="0"/>
        <w:spacing w:line="500" w:lineRule="exact"/>
        <w:ind w:right="1560" w:firstLine="444" w:firstLineChars="200"/>
        <w:jc w:val="center"/>
        <w:rPr>
          <w:rFonts w:hint="eastAsia" w:ascii="宋体" w:hAnsi="宋体" w:eastAsia="宋体" w:cs="宋体"/>
          <w:color w:val="auto"/>
          <w:spacing w:val="6"/>
          <w:highlight w:val="none"/>
          <w:u w:val="single"/>
        </w:rPr>
      </w:pPr>
      <w:r>
        <w:rPr>
          <w:rFonts w:hint="eastAsia" w:ascii="宋体" w:hAnsi="宋体" w:eastAsia="宋体" w:cs="宋体"/>
          <w:color w:val="auto"/>
          <w:spacing w:val="6"/>
          <w:highlight w:val="none"/>
        </w:rPr>
        <w:t xml:space="preserve">               单位名称（盖章）：</w:t>
      </w:r>
      <w:r>
        <w:rPr>
          <w:rFonts w:hint="eastAsia" w:ascii="宋体" w:hAnsi="宋体" w:eastAsia="宋体" w:cs="宋体"/>
          <w:color w:val="auto"/>
          <w:spacing w:val="6"/>
          <w:highlight w:val="none"/>
          <w:u w:val="single"/>
        </w:rPr>
        <w:t xml:space="preserve">                </w:t>
      </w:r>
    </w:p>
    <w:p w14:paraId="14FFABA5">
      <w:pPr>
        <w:pageBreakBefore w:val="0"/>
        <w:tabs>
          <w:tab w:val="left" w:pos="4860"/>
        </w:tabs>
        <w:kinsoku/>
        <w:overflowPunct/>
        <w:bidi w:val="0"/>
        <w:spacing w:line="500" w:lineRule="exact"/>
        <w:ind w:right="1560" w:firstLine="444" w:firstLineChars="20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       日  期：</w:t>
      </w:r>
    </w:p>
    <w:p w14:paraId="7C3D8855">
      <w:pPr>
        <w:pageBreakBefore w:val="0"/>
        <w:tabs>
          <w:tab w:val="left" w:pos="840"/>
        </w:tabs>
        <w:kinsoku/>
        <w:overflowPunct/>
        <w:autoSpaceDE w:val="0"/>
        <w:autoSpaceDN w:val="0"/>
        <w:bidi w:val="0"/>
        <w:adjustRightInd w:val="0"/>
        <w:spacing w:line="500" w:lineRule="exact"/>
        <w:jc w:val="center"/>
        <w:rPr>
          <w:rFonts w:hint="eastAsia" w:ascii="宋体" w:hAnsi="宋体" w:eastAsia="宋体" w:cs="宋体"/>
          <w:b/>
          <w:color w:val="auto"/>
          <w:sz w:val="24"/>
          <w:highlight w:val="none"/>
        </w:rPr>
      </w:pPr>
    </w:p>
    <w:p w14:paraId="04D2E62A">
      <w:pPr>
        <w:pageBreakBefore w:val="0"/>
        <w:widowControl/>
        <w:kinsoku/>
        <w:overflowPunct/>
        <w:bidi w:val="0"/>
        <w:spacing w:line="500" w:lineRule="exact"/>
        <w:rPr>
          <w:rFonts w:hint="eastAsia" w:ascii="宋体" w:hAnsi="宋体" w:eastAsia="宋体" w:cs="宋体"/>
          <w:b/>
          <w:color w:val="auto"/>
          <w:highlight w:val="none"/>
        </w:rPr>
      </w:pPr>
      <w:r>
        <w:rPr>
          <w:rFonts w:hint="eastAsia" w:ascii="宋体" w:hAnsi="宋体" w:eastAsia="宋体" w:cs="宋体"/>
          <w:b/>
          <w:color w:val="auto"/>
          <w:highlight w:val="none"/>
        </w:rPr>
        <w:t>（提醒：如果供应商</w:t>
      </w:r>
      <w:r>
        <w:rPr>
          <w:rFonts w:hint="eastAsia" w:ascii="宋体" w:hAnsi="宋体" w:eastAsia="宋体" w:cs="宋体"/>
          <w:b/>
          <w:color w:val="auto"/>
          <w:spacing w:val="10"/>
          <w:kern w:val="0"/>
          <w:highlight w:val="none"/>
        </w:rPr>
        <w:t>不是残疾人福利性单位</w:t>
      </w:r>
      <w:r>
        <w:rPr>
          <w:rFonts w:hint="eastAsia" w:ascii="宋体" w:hAnsi="宋体" w:eastAsia="宋体" w:cs="宋体"/>
          <w:b/>
          <w:color w:val="auto"/>
          <w:highlight w:val="none"/>
        </w:rPr>
        <w:t>，则不需要提供《残疾人福利性单位声明函》。否则，因此导致虚假投标的后果由供应商自行承担。）</w:t>
      </w:r>
    </w:p>
    <w:p w14:paraId="2DB7E050">
      <w:pPr>
        <w:pageBreakBefore w:val="0"/>
        <w:tabs>
          <w:tab w:val="left" w:pos="840"/>
        </w:tabs>
        <w:kinsoku/>
        <w:overflowPunct/>
        <w:autoSpaceDE w:val="0"/>
        <w:autoSpaceDN w:val="0"/>
        <w:bidi w:val="0"/>
        <w:adjustRightInd w:val="0"/>
        <w:spacing w:line="500" w:lineRule="exact"/>
        <w:rPr>
          <w:rFonts w:hint="eastAsia" w:ascii="宋体" w:hAnsi="宋体" w:eastAsia="宋体" w:cs="宋体"/>
          <w:b/>
          <w:color w:val="auto"/>
          <w:sz w:val="24"/>
          <w:highlight w:val="none"/>
        </w:rPr>
      </w:pPr>
    </w:p>
    <w:p w14:paraId="7EE89599">
      <w:pPr>
        <w:pageBreakBefore w:val="0"/>
        <w:kinsoku/>
        <w:overflowPunct/>
        <w:bidi w:val="0"/>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《财政部民政部中国残疾人联合会关于促进残疾人就业政府采购政策的通知》（财库2017〔141〕号）的规定：</w:t>
      </w:r>
    </w:p>
    <w:p w14:paraId="7B2E34AB">
      <w:pPr>
        <w:pageBreakBefore w:val="0"/>
        <w:kinsoku/>
        <w:overflowPunct/>
        <w:bidi w:val="0"/>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享受政府采购支持政策的残疾人福利性单位应当同时满足以下条件：</w:t>
      </w:r>
    </w:p>
    <w:p w14:paraId="4365340C">
      <w:pPr>
        <w:pageBreakBefore w:val="0"/>
        <w:kinsoku/>
        <w:overflowPunct/>
        <w:bidi w:val="0"/>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（1）安置的残疾人占本单位在职职工人数的比例不低于25%（含25%），并且安置的残疾人人数不少于10人（含10人）；</w:t>
      </w:r>
    </w:p>
    <w:p w14:paraId="16D10008">
      <w:pPr>
        <w:pageBreakBefore w:val="0"/>
        <w:kinsoku/>
        <w:overflowPunct/>
        <w:bidi w:val="0"/>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（2）依法与安置的每位残疾人签订了一年以上（含一年）的劳动合同或服务协议；</w:t>
      </w:r>
    </w:p>
    <w:p w14:paraId="46D5C4B1">
      <w:pPr>
        <w:pageBreakBefore w:val="0"/>
        <w:kinsoku/>
        <w:overflowPunct/>
        <w:bidi w:val="0"/>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（3）为安置的每位残疾人按月足额缴纳了基本养老保险、基本医疗保险、失业保险、工伤保险和生育保险等社会保险费；</w:t>
      </w:r>
    </w:p>
    <w:p w14:paraId="6B00586F">
      <w:pPr>
        <w:pageBreakBefore w:val="0"/>
        <w:kinsoku/>
        <w:overflowPunct/>
        <w:bidi w:val="0"/>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（4）通过银行等金融机构向安置的每位残疾人，按月支付了不低于单位所在区县适用的经省级人民政府批准的月最低工资标准的工资；</w:t>
      </w:r>
    </w:p>
    <w:p w14:paraId="12B1482F">
      <w:pPr>
        <w:pageBreakBefore w:val="0"/>
        <w:kinsoku/>
        <w:overflowPunct/>
        <w:bidi w:val="0"/>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（5）提供本单位制造的货物、承担的工程或者服务（以下简称产品），或者提供其他残疾人福利性单位制造的货物（不包括使用非残疾人福利性单位注册商标的货物）。</w:t>
      </w:r>
    </w:p>
    <w:p w14:paraId="2A0BCD13">
      <w:pPr>
        <w:pageBreakBefore w:val="0"/>
        <w:kinsoku/>
        <w:overflowPunct/>
        <w:bidi w:val="0"/>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 成交人为残疾人福利性单位的，采购人或者其委托的采购代理机构应当随成交、成交结果同时公告其《残疾人福利性单位声明函》，接受社会监督。   </w:t>
      </w:r>
    </w:p>
    <w:p w14:paraId="7F7858D7">
      <w:pPr>
        <w:pStyle w:val="25"/>
        <w:pageBreakBefore w:val="0"/>
        <w:kinsoku/>
        <w:overflowPunct/>
        <w:bidi w:val="0"/>
        <w:spacing w:line="500" w:lineRule="exact"/>
        <w:rPr>
          <w:b/>
          <w:bCs/>
          <w:sz w:val="28"/>
          <w:szCs w:val="28"/>
          <w:highlight w:val="none"/>
        </w:rPr>
      </w:pPr>
    </w:p>
    <w:p w14:paraId="27D1A071">
      <w:pPr>
        <w:pStyle w:val="2"/>
        <w:pageBreakBefore w:val="0"/>
        <w:numPr>
          <w:ilvl w:val="1"/>
          <w:numId w:val="0"/>
        </w:numPr>
        <w:kinsoku/>
        <w:wordWrap w:val="0"/>
        <w:overflowPunct/>
        <w:topLinePunct/>
        <w:bidi w:val="0"/>
        <w:spacing w:before="0" w:after="0" w:line="500" w:lineRule="exact"/>
        <w:jc w:val="center"/>
        <w:rPr>
          <w:rFonts w:hint="eastAsia" w:ascii="宋体" w:hAnsi="宋体" w:eastAsia="宋体" w:cs="宋体"/>
          <w:szCs w:val="24"/>
          <w:highlight w:val="none"/>
        </w:rPr>
      </w:pPr>
      <w:r>
        <w:rPr>
          <w:rFonts w:hint="eastAsia" w:ascii="宋体" w:hAnsi="宋体" w:eastAsia="宋体" w:cs="宋体"/>
          <w:szCs w:val="24"/>
          <w:highlight w:val="none"/>
        </w:rPr>
        <w:t xml:space="preserve"> 监狱企业证明文件</w:t>
      </w:r>
    </w:p>
    <w:p w14:paraId="423AFFC1">
      <w:pPr>
        <w:pageBreakBefore w:val="0"/>
        <w:kinsoku/>
        <w:overflowPunct/>
        <w:bidi w:val="0"/>
        <w:spacing w:before="120" w:beforeLines="50" w:after="240" w:afterLines="100" w:line="500" w:lineRule="exact"/>
        <w:rPr>
          <w:rFonts w:hint="eastAsia" w:ascii="宋体" w:hAnsi="宋体" w:cs="宋体"/>
          <w:highlight w:val="none"/>
        </w:rPr>
      </w:pPr>
      <w:r>
        <w:rPr>
          <w:rFonts w:hint="eastAsia" w:ascii="宋体" w:hAnsi="宋体" w:cs="宋体"/>
          <w:highlight w:val="none"/>
        </w:rPr>
        <w:t>（监狱企业参加政府采购活动时，应当提供由省级以上监狱管理局、戒毒管理局(含新疆生产建</w:t>
      </w:r>
    </w:p>
    <w:p w14:paraId="5F3E563D">
      <w:pPr>
        <w:pageBreakBefore w:val="0"/>
        <w:kinsoku/>
        <w:overflowPunct/>
        <w:bidi w:val="0"/>
        <w:spacing w:before="120" w:beforeLines="50" w:after="240" w:afterLines="100" w:line="500" w:lineRule="exact"/>
        <w:rPr>
          <w:rFonts w:hint="eastAsia" w:ascii="宋体" w:hAnsi="宋体" w:cs="宋体"/>
          <w:highlight w:val="none"/>
        </w:rPr>
      </w:pPr>
      <w:r>
        <w:rPr>
          <w:rFonts w:hint="eastAsia" w:ascii="宋体" w:hAnsi="宋体" w:cs="宋体"/>
          <w:highlight w:val="none"/>
        </w:rPr>
        <w:t>设兵团)出具的属于监狱企业的证明文件。</w:t>
      </w:r>
    </w:p>
    <w:p w14:paraId="0E3A8E88">
      <w:pPr>
        <w:pageBreakBefore w:val="0"/>
        <w:kinsoku/>
        <w:overflowPunct/>
        <w:bidi w:val="0"/>
        <w:spacing w:line="500" w:lineRule="exact"/>
        <w:rPr>
          <w:highlight w:val="none"/>
        </w:rPr>
      </w:pPr>
    </w:p>
    <w:p w14:paraId="5BACD1ED">
      <w:pPr>
        <w:pageBreakBefore w:val="0"/>
        <w:kinsoku/>
        <w:overflowPunct/>
        <w:bidi w:val="0"/>
        <w:spacing w:line="500" w:lineRule="exact"/>
        <w:rPr>
          <w:highlight w:val="none"/>
        </w:rPr>
      </w:pPr>
    </w:p>
    <w:p w14:paraId="08DF4B62">
      <w:pPr>
        <w:pageBreakBefore w:val="0"/>
        <w:kinsoku/>
        <w:overflowPunct/>
        <w:bidi w:val="0"/>
        <w:spacing w:line="500" w:lineRule="exact"/>
        <w:rPr>
          <w:highlight w:val="none"/>
        </w:rPr>
      </w:pPr>
    </w:p>
    <w:p w14:paraId="683907C8">
      <w:pPr>
        <w:pageBreakBefore w:val="0"/>
        <w:kinsoku/>
        <w:overflowPunct/>
        <w:bidi w:val="0"/>
        <w:spacing w:line="500" w:lineRule="exact"/>
        <w:rPr>
          <w:highlight w:val="none"/>
        </w:rPr>
      </w:pPr>
    </w:p>
    <w:p w14:paraId="4F1A6BB2">
      <w:pPr>
        <w:pageBreakBefore w:val="0"/>
        <w:kinsoku/>
        <w:overflowPunct/>
        <w:bidi w:val="0"/>
        <w:spacing w:line="500" w:lineRule="exact"/>
        <w:rPr>
          <w:highlight w:val="none"/>
        </w:rPr>
      </w:pPr>
    </w:p>
    <w:p w14:paraId="1C76F151">
      <w:pPr>
        <w:pageBreakBefore w:val="0"/>
        <w:kinsoku/>
        <w:overflowPunct/>
        <w:bidi w:val="0"/>
        <w:spacing w:line="500" w:lineRule="exact"/>
        <w:rPr>
          <w:highlight w:val="none"/>
        </w:rPr>
      </w:pPr>
    </w:p>
    <w:p w14:paraId="20A9CE0D">
      <w:pPr>
        <w:pageBreakBefore w:val="0"/>
        <w:kinsoku/>
        <w:overflowPunct/>
        <w:bidi w:val="0"/>
        <w:spacing w:line="500" w:lineRule="exact"/>
        <w:rPr>
          <w:highlight w:val="none"/>
        </w:rPr>
      </w:pPr>
    </w:p>
    <w:p w14:paraId="0AA58F92">
      <w:pPr>
        <w:pageBreakBefore w:val="0"/>
        <w:kinsoku/>
        <w:overflowPunct/>
        <w:bidi w:val="0"/>
        <w:spacing w:line="500" w:lineRule="exact"/>
        <w:rPr>
          <w:highlight w:val="none"/>
        </w:rPr>
      </w:pPr>
    </w:p>
    <w:p w14:paraId="06D9D151">
      <w:pPr>
        <w:pageBreakBefore w:val="0"/>
        <w:kinsoku/>
        <w:overflowPunct/>
        <w:bidi w:val="0"/>
        <w:spacing w:line="500" w:lineRule="exact"/>
        <w:rPr>
          <w:highlight w:val="none"/>
        </w:rPr>
      </w:pPr>
    </w:p>
    <w:p w14:paraId="75119C57">
      <w:pPr>
        <w:pageBreakBefore w:val="0"/>
        <w:kinsoku/>
        <w:overflowPunct/>
        <w:bidi w:val="0"/>
        <w:spacing w:line="500" w:lineRule="exact"/>
        <w:rPr>
          <w:highlight w:val="none"/>
        </w:rPr>
      </w:pPr>
    </w:p>
    <w:p w14:paraId="3003F05C">
      <w:pPr>
        <w:pageBreakBefore w:val="0"/>
        <w:kinsoku/>
        <w:overflowPunct/>
        <w:bidi w:val="0"/>
        <w:spacing w:line="500" w:lineRule="exact"/>
        <w:rPr>
          <w:highlight w:val="none"/>
        </w:rPr>
      </w:pPr>
    </w:p>
    <w:p w14:paraId="746D1B73">
      <w:pPr>
        <w:pageBreakBefore w:val="0"/>
        <w:kinsoku/>
        <w:overflowPunct/>
        <w:bidi w:val="0"/>
        <w:spacing w:line="500" w:lineRule="exact"/>
        <w:rPr>
          <w:highlight w:val="none"/>
        </w:rPr>
      </w:pPr>
    </w:p>
    <w:p w14:paraId="1FC9FEB2">
      <w:pPr>
        <w:pageBreakBefore w:val="0"/>
        <w:kinsoku/>
        <w:overflowPunct/>
        <w:bidi w:val="0"/>
        <w:spacing w:line="500" w:lineRule="exact"/>
        <w:rPr>
          <w:highlight w:val="none"/>
        </w:rPr>
      </w:pPr>
    </w:p>
    <w:p w14:paraId="15E46D86">
      <w:pPr>
        <w:pageBreakBefore w:val="0"/>
        <w:kinsoku/>
        <w:overflowPunct/>
        <w:bidi w:val="0"/>
        <w:spacing w:line="500" w:lineRule="exact"/>
        <w:rPr>
          <w:highlight w:val="none"/>
        </w:rPr>
      </w:pPr>
    </w:p>
    <w:p w14:paraId="52F44F90">
      <w:pPr>
        <w:pageBreakBefore w:val="0"/>
        <w:kinsoku/>
        <w:overflowPunct/>
        <w:bidi w:val="0"/>
        <w:spacing w:line="500" w:lineRule="exact"/>
        <w:rPr>
          <w:highlight w:val="none"/>
        </w:rPr>
      </w:pPr>
    </w:p>
    <w:p w14:paraId="2FA1EBB9">
      <w:pPr>
        <w:pageBreakBefore w:val="0"/>
        <w:kinsoku/>
        <w:overflowPunct/>
        <w:bidi w:val="0"/>
        <w:spacing w:line="500" w:lineRule="exact"/>
        <w:rPr>
          <w:highlight w:val="none"/>
        </w:rPr>
      </w:pPr>
    </w:p>
    <w:p w14:paraId="4F6BDFC2">
      <w:pPr>
        <w:pageBreakBefore w:val="0"/>
        <w:kinsoku/>
        <w:overflowPunct/>
        <w:bidi w:val="0"/>
        <w:spacing w:line="500" w:lineRule="exact"/>
        <w:rPr>
          <w:highlight w:val="none"/>
        </w:rPr>
      </w:pPr>
    </w:p>
    <w:p w14:paraId="510C35E2">
      <w:pPr>
        <w:pageBreakBefore w:val="0"/>
        <w:kinsoku/>
        <w:overflowPunct/>
        <w:bidi w:val="0"/>
        <w:spacing w:line="500" w:lineRule="exact"/>
        <w:rPr>
          <w:highlight w:val="none"/>
        </w:rPr>
      </w:pPr>
    </w:p>
    <w:p w14:paraId="3A5C068A">
      <w:pPr>
        <w:pageBreakBefore w:val="0"/>
        <w:kinsoku/>
        <w:overflowPunct/>
        <w:bidi w:val="0"/>
        <w:spacing w:line="500" w:lineRule="exact"/>
        <w:rPr>
          <w:highlight w:val="none"/>
        </w:rPr>
      </w:pPr>
    </w:p>
    <w:p w14:paraId="34255BDA">
      <w:pPr>
        <w:pageBreakBefore w:val="0"/>
        <w:kinsoku/>
        <w:overflowPunct/>
        <w:bidi w:val="0"/>
        <w:spacing w:line="500" w:lineRule="exact"/>
        <w:rPr>
          <w:highlight w:val="none"/>
        </w:rPr>
      </w:pPr>
    </w:p>
    <w:p w14:paraId="666D644C">
      <w:pPr>
        <w:pageBreakBefore w:val="0"/>
        <w:kinsoku/>
        <w:overflowPunct/>
        <w:bidi w:val="0"/>
        <w:spacing w:line="500" w:lineRule="exact"/>
        <w:rPr>
          <w:highlight w:val="none"/>
        </w:rPr>
      </w:pPr>
    </w:p>
    <w:p w14:paraId="19A84EB8">
      <w:pPr>
        <w:pageBreakBefore w:val="0"/>
        <w:kinsoku/>
        <w:overflowPunct/>
        <w:bidi w:val="0"/>
        <w:spacing w:line="500" w:lineRule="exact"/>
        <w:rPr>
          <w:highlight w:val="none"/>
        </w:rPr>
      </w:pPr>
    </w:p>
    <w:p w14:paraId="1F222FE0">
      <w:pPr>
        <w:pStyle w:val="3"/>
        <w:bidi w:val="0"/>
        <w:rPr>
          <w:rFonts w:hint="eastAsia"/>
          <w:lang w:val="en-US" w:eastAsia="zh-CN"/>
        </w:rPr>
      </w:pPr>
      <w:r>
        <w:rPr>
          <w:rFonts w:hint="eastAsia"/>
          <w:lang w:val="en-US" w:eastAsia="zh-CN"/>
        </w:rPr>
        <w:t>八、其他材料</w:t>
      </w:r>
    </w:p>
    <w:p w14:paraId="3E1CA205">
      <w:pPr>
        <w:pStyle w:val="47"/>
        <w:pageBreakBefore w:val="0"/>
        <w:kinsoku/>
        <w:overflowPunct/>
        <w:bidi w:val="0"/>
        <w:spacing w:line="500" w:lineRule="exact"/>
        <w:rPr>
          <w:rFonts w:hint="eastAsia"/>
          <w:b/>
          <w:bCs/>
          <w:highlight w:val="none"/>
          <w:lang w:val="en-US" w:eastAsia="zh-CN"/>
        </w:rPr>
      </w:pPr>
      <w:r>
        <w:rPr>
          <w:rFonts w:hint="eastAsia"/>
          <w:b/>
          <w:bCs/>
          <w:highlight w:val="none"/>
          <w:lang w:val="en-US" w:eastAsia="zh-CN"/>
        </w:rPr>
        <w:t>1、承诺书</w:t>
      </w:r>
    </w:p>
    <w:p w14:paraId="0C245988">
      <w:pPr>
        <w:spacing w:before="240" w:beforeLines="100" w:after="240" w:afterLines="100"/>
        <w:jc w:val="center"/>
        <w:rPr>
          <w:rFonts w:ascii="宋体" w:hAnsi="宋体"/>
          <w:color w:val="auto"/>
          <w:sz w:val="28"/>
          <w:szCs w:val="28"/>
          <w:highlight w:val="none"/>
        </w:rPr>
      </w:pPr>
      <w:r>
        <w:rPr>
          <w:rFonts w:hint="eastAsia" w:ascii="宋体" w:hAnsi="宋体"/>
          <w:color w:val="auto"/>
          <w:sz w:val="28"/>
          <w:szCs w:val="28"/>
          <w:highlight w:val="none"/>
        </w:rPr>
        <w:t>承诺书</w:t>
      </w:r>
    </w:p>
    <w:p w14:paraId="7ECE68BB">
      <w:pPr>
        <w:spacing w:after="240" w:afterLines="100" w:line="440" w:lineRule="exact"/>
        <w:rPr>
          <w:rFonts w:ascii="宋体" w:hAnsi="宋体"/>
          <w:color w:val="auto"/>
          <w:sz w:val="24"/>
        </w:rPr>
      </w:pPr>
      <w:r>
        <w:rPr>
          <w:rFonts w:hint="eastAsia" w:ascii="宋体" w:hAnsi="宋体"/>
          <w:color w:val="auto"/>
          <w:sz w:val="24"/>
        </w:rPr>
        <w:t>（</w:t>
      </w:r>
      <w:r>
        <w:rPr>
          <w:rFonts w:hint="eastAsia" w:ascii="宋体" w:hAnsi="宋体"/>
          <w:color w:val="auto"/>
          <w:sz w:val="24"/>
          <w:lang w:eastAsia="zh-CN"/>
        </w:rPr>
        <w:t>采购人</w:t>
      </w:r>
      <w:r>
        <w:rPr>
          <w:rFonts w:hint="eastAsia" w:ascii="宋体" w:hAnsi="宋体"/>
          <w:color w:val="auto"/>
          <w:sz w:val="24"/>
        </w:rPr>
        <w:t>名称）：</w:t>
      </w:r>
    </w:p>
    <w:p w14:paraId="6DACFF1E">
      <w:pPr>
        <w:spacing w:line="480" w:lineRule="auto"/>
        <w:ind w:firstLine="480" w:firstLineChars="200"/>
        <w:rPr>
          <w:rFonts w:hint="eastAsia" w:ascii="宋体" w:hAnsi="宋体"/>
          <w:color w:val="auto"/>
          <w:sz w:val="24"/>
          <w:lang w:val="en-US" w:eastAsia="zh-CN"/>
        </w:rPr>
      </w:pPr>
      <w:r>
        <w:rPr>
          <w:rFonts w:hint="eastAsia" w:ascii="宋体" w:hAnsi="宋体"/>
          <w:color w:val="auto"/>
          <w:sz w:val="24"/>
        </w:rPr>
        <w:t>我方在此声明，</w:t>
      </w:r>
      <w:r>
        <w:rPr>
          <w:rFonts w:hint="eastAsia" w:ascii="宋体" w:hAnsi="宋体"/>
          <w:color w:val="auto"/>
          <w:sz w:val="24"/>
          <w:lang w:eastAsia="zh-CN"/>
        </w:rPr>
        <w:t>我方满足</w:t>
      </w:r>
      <w:r>
        <w:rPr>
          <w:rFonts w:hint="eastAsia" w:ascii="宋体" w:hAnsi="宋体"/>
          <w:color w:val="auto"/>
          <w:sz w:val="24"/>
          <w:lang w:val="en-US" w:eastAsia="zh-CN"/>
        </w:rPr>
        <w:t>《中华人民共和国政府采购法》第二十二条的规定：</w:t>
      </w:r>
    </w:p>
    <w:p w14:paraId="094974D9">
      <w:pPr>
        <w:spacing w:line="48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1.具有独立承担民事责任的能力；</w:t>
      </w:r>
    </w:p>
    <w:p w14:paraId="39737E0C">
      <w:pPr>
        <w:spacing w:line="48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2.具有良好的商业信誉和健全的财务会计制度；</w:t>
      </w:r>
    </w:p>
    <w:p w14:paraId="5D37B41A">
      <w:pPr>
        <w:spacing w:line="48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3.具有履行合同所必需的设备和专业能力；</w:t>
      </w:r>
    </w:p>
    <w:p w14:paraId="157C27A1">
      <w:pPr>
        <w:spacing w:line="48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4.有依法缴纳税收和社会保障资金的良好记录；</w:t>
      </w:r>
    </w:p>
    <w:p w14:paraId="4B4C5D97">
      <w:pPr>
        <w:spacing w:line="48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5.参加政府采购活动前三年内，在经营活动中没有重大违法记录；</w:t>
      </w:r>
    </w:p>
    <w:p w14:paraId="22F0490D">
      <w:pPr>
        <w:spacing w:line="480" w:lineRule="auto"/>
        <w:ind w:firstLine="480" w:firstLineChars="200"/>
        <w:rPr>
          <w:rFonts w:hint="default" w:ascii="宋体" w:hAnsi="宋体"/>
          <w:color w:val="auto"/>
          <w:sz w:val="24"/>
          <w:lang w:val="en-US" w:eastAsia="zh-CN"/>
        </w:rPr>
      </w:pPr>
      <w:r>
        <w:rPr>
          <w:rFonts w:hint="eastAsia" w:ascii="宋体" w:hAnsi="宋体"/>
          <w:color w:val="auto"/>
          <w:sz w:val="24"/>
          <w:lang w:val="en-US" w:eastAsia="zh-CN"/>
        </w:rPr>
        <w:t>6.法律、行政法规规定的其他条件。</w:t>
      </w:r>
    </w:p>
    <w:p w14:paraId="059CCF75">
      <w:pPr>
        <w:spacing w:line="48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14:paraId="1F62AC7F">
      <w:pPr>
        <w:spacing w:line="480" w:lineRule="auto"/>
        <w:ind w:firstLine="480" w:firstLineChars="200"/>
        <w:rPr>
          <w:rFonts w:ascii="宋体" w:hAnsi="宋体"/>
          <w:color w:val="auto"/>
          <w:sz w:val="24"/>
        </w:rPr>
      </w:pPr>
    </w:p>
    <w:p w14:paraId="6911E640">
      <w:pPr>
        <w:spacing w:line="440" w:lineRule="exact"/>
        <w:ind w:firstLine="480" w:firstLineChars="200"/>
        <w:rPr>
          <w:rFonts w:ascii="宋体" w:hAnsi="宋体"/>
          <w:color w:val="auto"/>
          <w:sz w:val="24"/>
        </w:rPr>
      </w:pPr>
    </w:p>
    <w:p w14:paraId="59988E03">
      <w:pPr>
        <w:spacing w:line="440" w:lineRule="exact"/>
        <w:ind w:firstLine="480" w:firstLineChars="200"/>
        <w:rPr>
          <w:rFonts w:ascii="宋体" w:hAnsi="宋体"/>
          <w:color w:val="auto"/>
          <w:sz w:val="24"/>
        </w:rPr>
      </w:pPr>
      <w:r>
        <w:rPr>
          <w:rFonts w:hint="eastAsia" w:ascii="宋体" w:hAnsi="宋体"/>
          <w:color w:val="auto"/>
          <w:sz w:val="24"/>
        </w:rPr>
        <w:t>特此承诺</w:t>
      </w:r>
    </w:p>
    <w:p w14:paraId="48D92EEF">
      <w:pPr>
        <w:spacing w:line="440" w:lineRule="exact"/>
        <w:ind w:firstLine="480" w:firstLineChars="200"/>
        <w:rPr>
          <w:rFonts w:ascii="宋体" w:hAnsi="宋体"/>
          <w:color w:val="auto"/>
          <w:sz w:val="24"/>
        </w:rPr>
      </w:pPr>
    </w:p>
    <w:p w14:paraId="48ED316E">
      <w:pPr>
        <w:spacing w:line="440" w:lineRule="exact"/>
        <w:rPr>
          <w:rFonts w:ascii="宋体" w:hAnsi="宋体"/>
          <w:color w:val="auto"/>
          <w:sz w:val="24"/>
        </w:rPr>
      </w:pPr>
    </w:p>
    <w:p w14:paraId="0830A733">
      <w:pPr>
        <w:spacing w:line="440" w:lineRule="exact"/>
        <w:ind w:firstLine="480" w:firstLineChars="200"/>
        <w:rPr>
          <w:rFonts w:ascii="宋体" w:hAnsi="宋体"/>
          <w:color w:val="auto"/>
          <w:sz w:val="24"/>
        </w:rPr>
      </w:pPr>
    </w:p>
    <w:p w14:paraId="042EF321">
      <w:pPr>
        <w:spacing w:line="480" w:lineRule="auto"/>
        <w:ind w:right="480"/>
        <w:jc w:val="center"/>
        <w:rPr>
          <w:rFonts w:ascii="宋体" w:hAnsi="宋体"/>
          <w:color w:val="auto"/>
          <w:sz w:val="24"/>
        </w:rPr>
      </w:pPr>
      <w:r>
        <w:rPr>
          <w:rFonts w:hint="eastAsia" w:ascii="宋体" w:hAnsi="宋体"/>
          <w:color w:val="auto"/>
          <w:sz w:val="24"/>
        </w:rPr>
        <w:t xml:space="preserve">                                          单位公章：（签章）</w:t>
      </w:r>
    </w:p>
    <w:p w14:paraId="2598A951">
      <w:pPr>
        <w:spacing w:line="480" w:lineRule="auto"/>
        <w:ind w:right="480" w:firstLine="5400" w:firstLineChars="2250"/>
        <w:rPr>
          <w:rFonts w:ascii="宋体" w:hAnsi="宋体"/>
          <w:color w:val="auto"/>
          <w:sz w:val="24"/>
        </w:rPr>
      </w:pPr>
      <w:r>
        <w:rPr>
          <w:rFonts w:hint="eastAsia" w:ascii="宋体" w:hAnsi="宋体"/>
          <w:color w:val="auto"/>
          <w:sz w:val="24"/>
        </w:rPr>
        <w:t>法定代表人：（签章）</w:t>
      </w:r>
    </w:p>
    <w:p w14:paraId="37D62917">
      <w:pPr>
        <w:spacing w:line="480" w:lineRule="auto"/>
        <w:ind w:right="600" w:firstLine="5400" w:firstLineChars="2250"/>
      </w:pPr>
      <w:r>
        <w:rPr>
          <w:rFonts w:hint="eastAsia" w:ascii="宋体" w:hAnsi="宋体"/>
          <w:color w:val="auto"/>
          <w:sz w:val="24"/>
        </w:rPr>
        <w:t>日期： 年  月  日</w:t>
      </w:r>
    </w:p>
    <w:p w14:paraId="2F3A69E4">
      <w:pPr>
        <w:pStyle w:val="47"/>
        <w:pageBreakBefore w:val="0"/>
        <w:kinsoku/>
        <w:overflowPunct/>
        <w:bidi w:val="0"/>
        <w:spacing w:line="500" w:lineRule="exact"/>
        <w:rPr>
          <w:rFonts w:hint="default"/>
          <w:b/>
          <w:bCs/>
          <w:highlight w:val="none"/>
          <w:lang w:val="en-US" w:eastAsia="zh-CN"/>
        </w:rPr>
      </w:pPr>
      <w:r>
        <w:rPr>
          <w:rFonts w:hint="eastAsia"/>
          <w:b/>
          <w:bCs/>
          <w:highlight w:val="none"/>
          <w:lang w:val="en-US" w:eastAsia="zh-CN"/>
        </w:rPr>
        <w:t>2、供应商认为应附的其他材料</w:t>
      </w:r>
    </w:p>
    <w:p w14:paraId="6628B995">
      <w:pPr>
        <w:pageBreakBefore w:val="0"/>
        <w:kinsoku/>
        <w:overflowPunct/>
        <w:bidi w:val="0"/>
        <w:spacing w:line="500" w:lineRule="exact"/>
        <w:rPr>
          <w:rFonts w:hint="eastAsia"/>
          <w:highlight w:val="none"/>
        </w:rPr>
      </w:pPr>
    </w:p>
    <w:p w14:paraId="7340AA83">
      <w:pPr>
        <w:pageBreakBefore w:val="0"/>
        <w:kinsoku/>
        <w:overflowPunct/>
        <w:bidi w:val="0"/>
        <w:spacing w:line="500" w:lineRule="exact"/>
        <w:rPr>
          <w:rFonts w:hint="eastAsia"/>
          <w:highlight w:val="none"/>
        </w:rPr>
      </w:pPr>
    </w:p>
    <w:p w14:paraId="610F3A25">
      <w:pPr>
        <w:pageBreakBefore w:val="0"/>
        <w:kinsoku/>
        <w:overflowPunct/>
        <w:bidi w:val="0"/>
        <w:spacing w:line="500" w:lineRule="exact"/>
        <w:rPr>
          <w:rFonts w:hint="eastAsia"/>
          <w:highlight w:val="none"/>
        </w:rPr>
      </w:pPr>
    </w:p>
    <w:p w14:paraId="462B7A28">
      <w:pPr>
        <w:pageBreakBefore w:val="0"/>
        <w:kinsoku/>
        <w:overflowPunct/>
        <w:bidi w:val="0"/>
        <w:spacing w:line="500" w:lineRule="exact"/>
        <w:rPr>
          <w:rFonts w:hint="eastAsia"/>
          <w:highlight w:val="none"/>
        </w:rPr>
      </w:pPr>
    </w:p>
    <w:p w14:paraId="06CDACB8">
      <w:pPr>
        <w:pageBreakBefore w:val="0"/>
        <w:kinsoku/>
        <w:overflowPunct/>
        <w:bidi w:val="0"/>
        <w:spacing w:line="500" w:lineRule="exact"/>
        <w:rPr>
          <w:rFonts w:hint="eastAsia"/>
          <w:highlight w:val="none"/>
        </w:rPr>
      </w:pPr>
    </w:p>
    <w:p w14:paraId="724241D5">
      <w:pPr>
        <w:pageBreakBefore w:val="0"/>
        <w:kinsoku/>
        <w:overflowPunct/>
        <w:bidi w:val="0"/>
        <w:spacing w:line="500" w:lineRule="exact"/>
        <w:rPr>
          <w:rFonts w:hint="eastAsia"/>
          <w:highlight w:val="none"/>
        </w:rPr>
      </w:pPr>
    </w:p>
    <w:p w14:paraId="7E1AA91A">
      <w:pPr>
        <w:pageBreakBefore w:val="0"/>
        <w:kinsoku/>
        <w:overflowPunct/>
        <w:bidi w:val="0"/>
        <w:spacing w:line="500" w:lineRule="exact"/>
        <w:rPr>
          <w:rFonts w:hint="eastAsia"/>
          <w:highlight w:val="none"/>
        </w:rPr>
      </w:pPr>
    </w:p>
    <w:p w14:paraId="08BE39E9">
      <w:pPr>
        <w:pageBreakBefore w:val="0"/>
        <w:kinsoku/>
        <w:overflowPunct/>
        <w:bidi w:val="0"/>
        <w:spacing w:line="500" w:lineRule="exact"/>
        <w:rPr>
          <w:rFonts w:hint="eastAsia"/>
          <w:highlight w:val="none"/>
        </w:rPr>
      </w:pPr>
    </w:p>
    <w:p w14:paraId="56BE3E9E">
      <w:pPr>
        <w:pageBreakBefore w:val="0"/>
        <w:kinsoku/>
        <w:overflowPunct/>
        <w:bidi w:val="0"/>
        <w:spacing w:line="500" w:lineRule="exact"/>
        <w:rPr>
          <w:rFonts w:hint="eastAsia"/>
          <w:highlight w:val="none"/>
        </w:rPr>
      </w:pPr>
    </w:p>
    <w:p w14:paraId="2312580D">
      <w:pPr>
        <w:pageBreakBefore w:val="0"/>
        <w:kinsoku/>
        <w:overflowPunct/>
        <w:bidi w:val="0"/>
        <w:spacing w:line="500" w:lineRule="exact"/>
        <w:rPr>
          <w:rFonts w:hint="eastAsia"/>
          <w:highlight w:val="none"/>
        </w:rPr>
      </w:pPr>
    </w:p>
    <w:p w14:paraId="45CE3518">
      <w:pPr>
        <w:pageBreakBefore w:val="0"/>
        <w:kinsoku/>
        <w:overflowPunct/>
        <w:bidi w:val="0"/>
        <w:spacing w:line="500" w:lineRule="exact"/>
        <w:rPr>
          <w:rFonts w:hint="eastAsia"/>
          <w:highlight w:val="none"/>
        </w:rPr>
      </w:pPr>
    </w:p>
    <w:p w14:paraId="445E7B3D">
      <w:pPr>
        <w:pageBreakBefore w:val="0"/>
        <w:kinsoku/>
        <w:overflowPunct/>
        <w:bidi w:val="0"/>
        <w:spacing w:line="500" w:lineRule="exact"/>
        <w:rPr>
          <w:rFonts w:hint="eastAsia"/>
          <w:highlight w:val="none"/>
        </w:rPr>
      </w:pPr>
    </w:p>
    <w:p w14:paraId="224B3F50">
      <w:pPr>
        <w:pageBreakBefore w:val="0"/>
        <w:kinsoku/>
        <w:overflowPunct/>
        <w:bidi w:val="0"/>
        <w:spacing w:line="500" w:lineRule="exact"/>
        <w:rPr>
          <w:rFonts w:hint="eastAsia"/>
          <w:highlight w:val="none"/>
        </w:rPr>
      </w:pPr>
    </w:p>
    <w:p w14:paraId="55EEEF73">
      <w:pPr>
        <w:pageBreakBefore w:val="0"/>
        <w:kinsoku/>
        <w:overflowPunct/>
        <w:bidi w:val="0"/>
        <w:spacing w:line="500" w:lineRule="exact"/>
        <w:rPr>
          <w:rFonts w:hint="eastAsia"/>
          <w:highlight w:val="none"/>
        </w:rPr>
      </w:pPr>
    </w:p>
    <w:p w14:paraId="6A1ADC8A">
      <w:pPr>
        <w:pageBreakBefore w:val="0"/>
        <w:kinsoku/>
        <w:overflowPunct/>
        <w:bidi w:val="0"/>
        <w:spacing w:line="500" w:lineRule="exact"/>
        <w:rPr>
          <w:rFonts w:hint="eastAsia"/>
          <w:highlight w:val="none"/>
        </w:rPr>
      </w:pPr>
    </w:p>
    <w:p w14:paraId="4C8EE60D">
      <w:pPr>
        <w:pageBreakBefore w:val="0"/>
        <w:kinsoku/>
        <w:overflowPunct/>
        <w:bidi w:val="0"/>
        <w:spacing w:line="500" w:lineRule="exact"/>
        <w:rPr>
          <w:rFonts w:hint="eastAsia"/>
          <w:highlight w:val="none"/>
        </w:rPr>
      </w:pPr>
    </w:p>
    <w:p w14:paraId="0DCCD4F7">
      <w:pPr>
        <w:pageBreakBefore w:val="0"/>
        <w:kinsoku/>
        <w:overflowPunct/>
        <w:bidi w:val="0"/>
        <w:spacing w:line="500" w:lineRule="exact"/>
        <w:rPr>
          <w:rFonts w:hint="eastAsia"/>
          <w:highlight w:val="none"/>
        </w:rPr>
      </w:pPr>
    </w:p>
    <w:p w14:paraId="4F18DFE3">
      <w:pPr>
        <w:pStyle w:val="2"/>
        <w:rPr>
          <w:rFonts w:hint="eastAsia"/>
        </w:rPr>
      </w:pPr>
    </w:p>
    <w:p w14:paraId="72768C19">
      <w:pPr>
        <w:pageBreakBefore w:val="0"/>
        <w:kinsoku/>
        <w:overflowPunct/>
        <w:bidi w:val="0"/>
        <w:spacing w:line="500" w:lineRule="exact"/>
        <w:rPr>
          <w:rFonts w:hint="eastAsia"/>
          <w:highlight w:val="none"/>
        </w:rPr>
      </w:pPr>
    </w:p>
    <w:p w14:paraId="345E89B1">
      <w:pPr>
        <w:pageBreakBefore w:val="0"/>
        <w:kinsoku/>
        <w:overflowPunct/>
        <w:bidi w:val="0"/>
        <w:spacing w:line="500" w:lineRule="exact"/>
        <w:rPr>
          <w:rFonts w:hint="eastAsia"/>
          <w:highlight w:val="none"/>
        </w:rPr>
      </w:pPr>
    </w:p>
    <w:p w14:paraId="1C6CB8A8">
      <w:pPr>
        <w:pageBreakBefore w:val="0"/>
        <w:kinsoku/>
        <w:overflowPunct/>
        <w:bidi w:val="0"/>
        <w:spacing w:line="500" w:lineRule="exact"/>
        <w:rPr>
          <w:rFonts w:hint="eastAsia"/>
          <w:highlight w:val="none"/>
        </w:rPr>
      </w:pPr>
    </w:p>
    <w:p w14:paraId="5B222872">
      <w:pPr>
        <w:pageBreakBefore w:val="0"/>
        <w:kinsoku/>
        <w:overflowPunct/>
        <w:bidi w:val="0"/>
        <w:spacing w:line="500" w:lineRule="exact"/>
        <w:rPr>
          <w:rFonts w:hint="eastAsia"/>
          <w:highlight w:val="none"/>
        </w:rPr>
      </w:pPr>
    </w:p>
    <w:p w14:paraId="12BA4EE7">
      <w:pPr>
        <w:pageBreakBefore w:val="0"/>
        <w:kinsoku/>
        <w:overflowPunct/>
        <w:bidi w:val="0"/>
        <w:spacing w:line="500" w:lineRule="exact"/>
        <w:rPr>
          <w:rFonts w:hint="eastAsia"/>
          <w:highlight w:val="none"/>
        </w:rPr>
      </w:pPr>
    </w:p>
    <w:p w14:paraId="1CF28A28">
      <w:pPr>
        <w:pageBreakBefore w:val="0"/>
        <w:kinsoku/>
        <w:overflowPunct/>
        <w:bidi w:val="0"/>
        <w:spacing w:line="500" w:lineRule="exact"/>
        <w:rPr>
          <w:rFonts w:hint="eastAsia"/>
          <w:highlight w:val="none"/>
        </w:rPr>
      </w:pPr>
    </w:p>
    <w:p w14:paraId="3327CAEB">
      <w:pPr>
        <w:pStyle w:val="25"/>
        <w:rPr>
          <w:rFonts w:hint="eastAsia"/>
        </w:rPr>
      </w:pPr>
    </w:p>
    <w:sectPr>
      <w:pgSz w:w="11906" w:h="16838"/>
      <w:pgMar w:top="1417" w:right="1134" w:bottom="1417"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5b8b_4f53">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22BD">
    <w:pPr>
      <w:pStyle w:val="17"/>
      <w:tabs>
        <w:tab w:val="center" w:pos="4320"/>
        <w:tab w:val="clear" w:pos="4153"/>
      </w:tabs>
      <w:ind w:firstLine="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88638">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D88638">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5A09C">
    <w:pPr>
      <w:pStyle w:val="17"/>
      <w:framePr w:wrap="around" w:vAnchor="text" w:hAnchor="margin" w:xAlign="center" w:y="1"/>
      <w:rPr>
        <w:rStyle w:val="30"/>
      </w:rPr>
    </w:pPr>
    <w:r>
      <w:fldChar w:fldCharType="begin"/>
    </w:r>
    <w:r>
      <w:rPr>
        <w:rStyle w:val="30"/>
      </w:rPr>
      <w:instrText xml:space="preserve">PAGE  </w:instrText>
    </w:r>
    <w:r>
      <w:fldChar w:fldCharType="separate"/>
    </w:r>
    <w:r>
      <w:fldChar w:fldCharType="end"/>
    </w:r>
  </w:p>
  <w:p w14:paraId="569BB163">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8C356">
    <w:pPr>
      <w:pStyle w:val="17"/>
      <w:jc w:val="center"/>
      <w:rPr>
        <w:rFonts w:hint="eastAsia"/>
      </w:rPr>
    </w:pPr>
    <w:r>
      <w:rPr>
        <w:rFonts w:hint="eastAsia"/>
      </w:rPr>
      <w:t>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177B4">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10105390</wp:posOffset>
              </wp:positionV>
              <wp:extent cx="1670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EBECF9A">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pt;margin-top:795.7pt;height:11pt;width:13.15pt;mso-position-horizontal-relative:page;mso-position-vertical-relative:page;z-index:-251657216;mso-width-relative:page;mso-height-relative:page;" filled="f" stroked="f" coordsize="21600,21600" o:gfxdata="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I7DNdwAAAANAQAADwAAAAAAAAABACAAAAAiAAAAZHJzL2Rvd25yZXYueG1sUEsB&#10;AhQAFAAAAAgAh07iQLIZB6+4AQAAcQMAAA4AAAAAAAAAAQAgAAAAKwEAAGRycy9lMm9Eb2MueG1s&#10;UEsFBgAAAAAGAAYAWQEAAFUFAAAAAA==&#10;">
              <v:fill on="f" focussize="0,0"/>
              <v:stroke on="f"/>
              <v:imagedata o:title=""/>
              <o:lock v:ext="edit" aspectratio="f"/>
              <v:textbox inset="0mm,0mm,0mm,0mm">
                <w:txbxContent>
                  <w:p w14:paraId="6EBECF9A">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306A">
    <w:pPr>
      <w:spacing w:before="120" w:beforeLines="50" w:after="120" w:afterLines="50"/>
      <w:ind w:firstLine="420" w:firstLineChars="200"/>
      <w:jc w:val="center"/>
      <w:rPr>
        <w:rFonts w:hint="eastAsia"/>
        <w:b/>
      </w:rPr>
    </w:pPr>
    <w:r>
      <w:rPr>
        <w:rFonts w:hint="eastAsia"/>
      </w:rPr>
      <w:t xml:space="preserve">                         </w:t>
    </w:r>
  </w:p>
  <w:p w14:paraId="1C4DE21F">
    <w:pPr>
      <w:rPr>
        <w:rFonts w:hint="eastAsia" w:asci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ADD2C"/>
    <w:multiLevelType w:val="singleLevel"/>
    <w:tmpl w:val="873ADD2C"/>
    <w:lvl w:ilvl="0" w:tentative="0">
      <w:start w:val="1"/>
      <w:numFmt w:val="decimal"/>
      <w:suff w:val="nothing"/>
      <w:lvlText w:val="%1、"/>
      <w:lvlJc w:val="left"/>
    </w:lvl>
  </w:abstractNum>
  <w:abstractNum w:abstractNumId="1">
    <w:nsid w:val="9288B902"/>
    <w:multiLevelType w:val="multilevel"/>
    <w:tmpl w:val="9288B902"/>
    <w:lvl w:ilvl="0" w:tentative="0">
      <w:start w:val="1"/>
      <w:numFmt w:val="decimal"/>
      <w:lvlText w:val="%1."/>
      <w:lvlJc w:val="left"/>
      <w:pPr>
        <w:ind w:left="400" w:hanging="212"/>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1452" w:hanging="525"/>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462" w:hanging="525"/>
      </w:pPr>
      <w:rPr>
        <w:rFonts w:hint="default"/>
        <w:lang w:val="zh-CN" w:eastAsia="zh-CN" w:bidi="zh-CN"/>
      </w:rPr>
    </w:lvl>
    <w:lvl w:ilvl="3" w:tentative="0">
      <w:start w:val="0"/>
      <w:numFmt w:val="bullet"/>
      <w:lvlText w:val="•"/>
      <w:lvlJc w:val="left"/>
      <w:pPr>
        <w:ind w:left="3465" w:hanging="525"/>
      </w:pPr>
      <w:rPr>
        <w:rFonts w:hint="default"/>
        <w:lang w:val="zh-CN" w:eastAsia="zh-CN" w:bidi="zh-CN"/>
      </w:rPr>
    </w:lvl>
    <w:lvl w:ilvl="4" w:tentative="0">
      <w:start w:val="0"/>
      <w:numFmt w:val="bullet"/>
      <w:lvlText w:val="•"/>
      <w:lvlJc w:val="left"/>
      <w:pPr>
        <w:ind w:left="4468" w:hanging="525"/>
      </w:pPr>
      <w:rPr>
        <w:rFonts w:hint="default"/>
        <w:lang w:val="zh-CN" w:eastAsia="zh-CN" w:bidi="zh-CN"/>
      </w:rPr>
    </w:lvl>
    <w:lvl w:ilvl="5" w:tentative="0">
      <w:start w:val="0"/>
      <w:numFmt w:val="bullet"/>
      <w:lvlText w:val="•"/>
      <w:lvlJc w:val="left"/>
      <w:pPr>
        <w:ind w:left="5471" w:hanging="525"/>
      </w:pPr>
      <w:rPr>
        <w:rFonts w:hint="default"/>
        <w:lang w:val="zh-CN" w:eastAsia="zh-CN" w:bidi="zh-CN"/>
      </w:rPr>
    </w:lvl>
    <w:lvl w:ilvl="6" w:tentative="0">
      <w:start w:val="0"/>
      <w:numFmt w:val="bullet"/>
      <w:lvlText w:val="•"/>
      <w:lvlJc w:val="left"/>
      <w:pPr>
        <w:ind w:left="6474" w:hanging="525"/>
      </w:pPr>
      <w:rPr>
        <w:rFonts w:hint="default"/>
        <w:lang w:val="zh-CN" w:eastAsia="zh-CN" w:bidi="zh-CN"/>
      </w:rPr>
    </w:lvl>
    <w:lvl w:ilvl="7" w:tentative="0">
      <w:start w:val="0"/>
      <w:numFmt w:val="bullet"/>
      <w:lvlText w:val="•"/>
      <w:lvlJc w:val="left"/>
      <w:pPr>
        <w:ind w:left="7477" w:hanging="525"/>
      </w:pPr>
      <w:rPr>
        <w:rFonts w:hint="default"/>
        <w:lang w:val="zh-CN" w:eastAsia="zh-CN" w:bidi="zh-CN"/>
      </w:rPr>
    </w:lvl>
    <w:lvl w:ilvl="8" w:tentative="0">
      <w:start w:val="0"/>
      <w:numFmt w:val="bullet"/>
      <w:lvlText w:val="•"/>
      <w:lvlJc w:val="left"/>
      <w:pPr>
        <w:ind w:left="8480" w:hanging="525"/>
      </w:pPr>
      <w:rPr>
        <w:rFonts w:hint="default"/>
        <w:lang w:val="zh-CN" w:eastAsia="zh-CN" w:bidi="zh-CN"/>
      </w:rPr>
    </w:lvl>
  </w:abstractNum>
  <w:abstractNum w:abstractNumId="2">
    <w:nsid w:val="9C8AC8EF"/>
    <w:multiLevelType w:val="multilevel"/>
    <w:tmpl w:val="9C8AC8EF"/>
    <w:lvl w:ilvl="0" w:tentative="0">
      <w:start w:val="2"/>
      <w:numFmt w:val="decimal"/>
      <w:lvlText w:val="%1"/>
      <w:lvlJc w:val="left"/>
      <w:pPr>
        <w:ind w:left="1240" w:hanging="420"/>
        <w:jc w:val="left"/>
      </w:pPr>
      <w:rPr>
        <w:rFonts w:hint="default"/>
        <w:lang w:val="zh-CN" w:eastAsia="zh-CN" w:bidi="zh-CN"/>
      </w:rPr>
    </w:lvl>
    <w:lvl w:ilvl="1" w:tentative="0">
      <w:start w:val="1"/>
      <w:numFmt w:val="decimal"/>
      <w:lvlText w:val="%1.%2"/>
      <w:lvlJc w:val="left"/>
      <w:pPr>
        <w:ind w:left="1240"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089" w:hanging="420"/>
      </w:pPr>
      <w:rPr>
        <w:rFonts w:hint="default"/>
        <w:lang w:val="zh-CN" w:eastAsia="zh-CN" w:bidi="zh-CN"/>
      </w:rPr>
    </w:lvl>
    <w:lvl w:ilvl="3" w:tentative="0">
      <w:start w:val="0"/>
      <w:numFmt w:val="bullet"/>
      <w:lvlText w:val="•"/>
      <w:lvlJc w:val="left"/>
      <w:pPr>
        <w:ind w:left="4013" w:hanging="420"/>
      </w:pPr>
      <w:rPr>
        <w:rFonts w:hint="default"/>
        <w:lang w:val="zh-CN" w:eastAsia="zh-CN" w:bidi="zh-CN"/>
      </w:rPr>
    </w:lvl>
    <w:lvl w:ilvl="4" w:tentative="0">
      <w:start w:val="0"/>
      <w:numFmt w:val="bullet"/>
      <w:lvlText w:val="•"/>
      <w:lvlJc w:val="left"/>
      <w:pPr>
        <w:ind w:left="4938" w:hanging="420"/>
      </w:pPr>
      <w:rPr>
        <w:rFonts w:hint="default"/>
        <w:lang w:val="zh-CN" w:eastAsia="zh-CN" w:bidi="zh-CN"/>
      </w:rPr>
    </w:lvl>
    <w:lvl w:ilvl="5" w:tentative="0">
      <w:start w:val="0"/>
      <w:numFmt w:val="bullet"/>
      <w:lvlText w:val="•"/>
      <w:lvlJc w:val="left"/>
      <w:pPr>
        <w:ind w:left="5863" w:hanging="420"/>
      </w:pPr>
      <w:rPr>
        <w:rFonts w:hint="default"/>
        <w:lang w:val="zh-CN" w:eastAsia="zh-CN" w:bidi="zh-CN"/>
      </w:rPr>
    </w:lvl>
    <w:lvl w:ilvl="6" w:tentative="0">
      <w:start w:val="0"/>
      <w:numFmt w:val="bullet"/>
      <w:lvlText w:val="•"/>
      <w:lvlJc w:val="left"/>
      <w:pPr>
        <w:ind w:left="6787" w:hanging="420"/>
      </w:pPr>
      <w:rPr>
        <w:rFonts w:hint="default"/>
        <w:lang w:val="zh-CN" w:eastAsia="zh-CN" w:bidi="zh-CN"/>
      </w:rPr>
    </w:lvl>
    <w:lvl w:ilvl="7" w:tentative="0">
      <w:start w:val="0"/>
      <w:numFmt w:val="bullet"/>
      <w:lvlText w:val="•"/>
      <w:lvlJc w:val="left"/>
      <w:pPr>
        <w:ind w:left="7712" w:hanging="420"/>
      </w:pPr>
      <w:rPr>
        <w:rFonts w:hint="default"/>
        <w:lang w:val="zh-CN" w:eastAsia="zh-CN" w:bidi="zh-CN"/>
      </w:rPr>
    </w:lvl>
    <w:lvl w:ilvl="8" w:tentative="0">
      <w:start w:val="0"/>
      <w:numFmt w:val="bullet"/>
      <w:lvlText w:val="•"/>
      <w:lvlJc w:val="left"/>
      <w:pPr>
        <w:ind w:left="8636" w:hanging="420"/>
      </w:pPr>
      <w:rPr>
        <w:rFonts w:hint="default"/>
        <w:lang w:val="zh-CN" w:eastAsia="zh-CN" w:bidi="zh-CN"/>
      </w:rPr>
    </w:lvl>
  </w:abstractNum>
  <w:abstractNum w:abstractNumId="3">
    <w:nsid w:val="B0F1ACD9"/>
    <w:multiLevelType w:val="multilevel"/>
    <w:tmpl w:val="B0F1ACD9"/>
    <w:lvl w:ilvl="0" w:tentative="0">
      <w:start w:val="1"/>
      <w:numFmt w:val="decimal"/>
      <w:lvlText w:val="%1."/>
      <w:lvlJc w:val="left"/>
      <w:pPr>
        <w:ind w:left="820"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786" w:hanging="212"/>
      </w:pPr>
      <w:rPr>
        <w:rFonts w:hint="default"/>
        <w:lang w:val="zh-CN" w:eastAsia="zh-CN" w:bidi="zh-CN"/>
      </w:rPr>
    </w:lvl>
    <w:lvl w:ilvl="2" w:tentative="0">
      <w:start w:val="0"/>
      <w:numFmt w:val="bullet"/>
      <w:lvlText w:val="•"/>
      <w:lvlJc w:val="left"/>
      <w:pPr>
        <w:ind w:left="2753" w:hanging="212"/>
      </w:pPr>
      <w:rPr>
        <w:rFonts w:hint="default"/>
        <w:lang w:val="zh-CN" w:eastAsia="zh-CN" w:bidi="zh-CN"/>
      </w:rPr>
    </w:lvl>
    <w:lvl w:ilvl="3" w:tentative="0">
      <w:start w:val="0"/>
      <w:numFmt w:val="bullet"/>
      <w:lvlText w:val="•"/>
      <w:lvlJc w:val="left"/>
      <w:pPr>
        <w:ind w:left="3719" w:hanging="212"/>
      </w:pPr>
      <w:rPr>
        <w:rFonts w:hint="default"/>
        <w:lang w:val="zh-CN" w:eastAsia="zh-CN" w:bidi="zh-CN"/>
      </w:rPr>
    </w:lvl>
    <w:lvl w:ilvl="4" w:tentative="0">
      <w:start w:val="0"/>
      <w:numFmt w:val="bullet"/>
      <w:lvlText w:val="•"/>
      <w:lvlJc w:val="left"/>
      <w:pPr>
        <w:ind w:left="4686" w:hanging="212"/>
      </w:pPr>
      <w:rPr>
        <w:rFonts w:hint="default"/>
        <w:lang w:val="zh-CN" w:eastAsia="zh-CN" w:bidi="zh-CN"/>
      </w:rPr>
    </w:lvl>
    <w:lvl w:ilvl="5" w:tentative="0">
      <w:start w:val="0"/>
      <w:numFmt w:val="bullet"/>
      <w:lvlText w:val="•"/>
      <w:lvlJc w:val="left"/>
      <w:pPr>
        <w:ind w:left="5653" w:hanging="212"/>
      </w:pPr>
      <w:rPr>
        <w:rFonts w:hint="default"/>
        <w:lang w:val="zh-CN" w:eastAsia="zh-CN" w:bidi="zh-CN"/>
      </w:rPr>
    </w:lvl>
    <w:lvl w:ilvl="6" w:tentative="0">
      <w:start w:val="0"/>
      <w:numFmt w:val="bullet"/>
      <w:lvlText w:val="•"/>
      <w:lvlJc w:val="left"/>
      <w:pPr>
        <w:ind w:left="6619" w:hanging="212"/>
      </w:pPr>
      <w:rPr>
        <w:rFonts w:hint="default"/>
        <w:lang w:val="zh-CN" w:eastAsia="zh-CN" w:bidi="zh-CN"/>
      </w:rPr>
    </w:lvl>
    <w:lvl w:ilvl="7" w:tentative="0">
      <w:start w:val="0"/>
      <w:numFmt w:val="bullet"/>
      <w:lvlText w:val="•"/>
      <w:lvlJc w:val="left"/>
      <w:pPr>
        <w:ind w:left="7586" w:hanging="212"/>
      </w:pPr>
      <w:rPr>
        <w:rFonts w:hint="default"/>
        <w:lang w:val="zh-CN" w:eastAsia="zh-CN" w:bidi="zh-CN"/>
      </w:rPr>
    </w:lvl>
    <w:lvl w:ilvl="8" w:tentative="0">
      <w:start w:val="0"/>
      <w:numFmt w:val="bullet"/>
      <w:lvlText w:val="•"/>
      <w:lvlJc w:val="left"/>
      <w:pPr>
        <w:ind w:left="8552" w:hanging="212"/>
      </w:pPr>
      <w:rPr>
        <w:rFonts w:hint="default"/>
        <w:lang w:val="zh-CN" w:eastAsia="zh-CN" w:bidi="zh-CN"/>
      </w:rPr>
    </w:lvl>
  </w:abstractNum>
  <w:abstractNum w:abstractNumId="4">
    <w:nsid w:val="BE923771"/>
    <w:multiLevelType w:val="multilevel"/>
    <w:tmpl w:val="BE923771"/>
    <w:lvl w:ilvl="0" w:tentative="0">
      <w:start w:val="1"/>
      <w:numFmt w:val="decimal"/>
      <w:lvlText w:val="%1."/>
      <w:lvlJc w:val="left"/>
      <w:pPr>
        <w:ind w:left="10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984" w:hanging="212"/>
      </w:pPr>
      <w:rPr>
        <w:rFonts w:hint="default"/>
        <w:lang w:val="zh-CN" w:eastAsia="zh-CN" w:bidi="zh-CN"/>
      </w:rPr>
    </w:lvl>
    <w:lvl w:ilvl="2" w:tentative="0">
      <w:start w:val="0"/>
      <w:numFmt w:val="bullet"/>
      <w:lvlText w:val="•"/>
      <w:lvlJc w:val="left"/>
      <w:pPr>
        <w:ind w:left="2929" w:hanging="212"/>
      </w:pPr>
      <w:rPr>
        <w:rFonts w:hint="default"/>
        <w:lang w:val="zh-CN" w:eastAsia="zh-CN" w:bidi="zh-CN"/>
      </w:rPr>
    </w:lvl>
    <w:lvl w:ilvl="3" w:tentative="0">
      <w:start w:val="0"/>
      <w:numFmt w:val="bullet"/>
      <w:lvlText w:val="•"/>
      <w:lvlJc w:val="left"/>
      <w:pPr>
        <w:ind w:left="3873" w:hanging="212"/>
      </w:pPr>
      <w:rPr>
        <w:rFonts w:hint="default"/>
        <w:lang w:val="zh-CN" w:eastAsia="zh-CN" w:bidi="zh-CN"/>
      </w:rPr>
    </w:lvl>
    <w:lvl w:ilvl="4" w:tentative="0">
      <w:start w:val="0"/>
      <w:numFmt w:val="bullet"/>
      <w:lvlText w:val="•"/>
      <w:lvlJc w:val="left"/>
      <w:pPr>
        <w:ind w:left="4818" w:hanging="212"/>
      </w:pPr>
      <w:rPr>
        <w:rFonts w:hint="default"/>
        <w:lang w:val="zh-CN" w:eastAsia="zh-CN" w:bidi="zh-CN"/>
      </w:rPr>
    </w:lvl>
    <w:lvl w:ilvl="5" w:tentative="0">
      <w:start w:val="0"/>
      <w:numFmt w:val="bullet"/>
      <w:lvlText w:val="•"/>
      <w:lvlJc w:val="left"/>
      <w:pPr>
        <w:ind w:left="5763" w:hanging="212"/>
      </w:pPr>
      <w:rPr>
        <w:rFonts w:hint="default"/>
        <w:lang w:val="zh-CN" w:eastAsia="zh-CN" w:bidi="zh-CN"/>
      </w:rPr>
    </w:lvl>
    <w:lvl w:ilvl="6" w:tentative="0">
      <w:start w:val="0"/>
      <w:numFmt w:val="bullet"/>
      <w:lvlText w:val="•"/>
      <w:lvlJc w:val="left"/>
      <w:pPr>
        <w:ind w:left="6707" w:hanging="212"/>
      </w:pPr>
      <w:rPr>
        <w:rFonts w:hint="default"/>
        <w:lang w:val="zh-CN" w:eastAsia="zh-CN" w:bidi="zh-CN"/>
      </w:rPr>
    </w:lvl>
    <w:lvl w:ilvl="7" w:tentative="0">
      <w:start w:val="0"/>
      <w:numFmt w:val="bullet"/>
      <w:lvlText w:val="•"/>
      <w:lvlJc w:val="left"/>
      <w:pPr>
        <w:ind w:left="7652" w:hanging="212"/>
      </w:pPr>
      <w:rPr>
        <w:rFonts w:hint="default"/>
        <w:lang w:val="zh-CN" w:eastAsia="zh-CN" w:bidi="zh-CN"/>
      </w:rPr>
    </w:lvl>
    <w:lvl w:ilvl="8" w:tentative="0">
      <w:start w:val="0"/>
      <w:numFmt w:val="bullet"/>
      <w:lvlText w:val="•"/>
      <w:lvlJc w:val="left"/>
      <w:pPr>
        <w:ind w:left="8596" w:hanging="212"/>
      </w:pPr>
      <w:rPr>
        <w:rFonts w:hint="default"/>
        <w:lang w:val="zh-CN" w:eastAsia="zh-CN" w:bidi="zh-CN"/>
      </w:rPr>
    </w:lvl>
  </w:abstractNum>
  <w:abstractNum w:abstractNumId="5">
    <w:nsid w:val="D68F4F5E"/>
    <w:multiLevelType w:val="singleLevel"/>
    <w:tmpl w:val="D68F4F5E"/>
    <w:lvl w:ilvl="0" w:tentative="0">
      <w:start w:val="6"/>
      <w:numFmt w:val="decimal"/>
      <w:suff w:val="nothing"/>
      <w:lvlText w:val="%1、"/>
      <w:lvlJc w:val="left"/>
    </w:lvl>
  </w:abstractNum>
  <w:abstractNum w:abstractNumId="6">
    <w:nsid w:val="D7F9FE59"/>
    <w:multiLevelType w:val="multilevel"/>
    <w:tmpl w:val="D7F9FE59"/>
    <w:lvl w:ilvl="0" w:tentative="0">
      <w:start w:val="1"/>
      <w:numFmt w:val="decimal"/>
      <w:lvlText w:val="（%1）"/>
      <w:lvlJc w:val="left"/>
      <w:pPr>
        <w:ind w:left="134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54" w:hanging="525"/>
      </w:pPr>
      <w:rPr>
        <w:rFonts w:hint="default"/>
        <w:lang w:val="zh-CN" w:eastAsia="zh-CN" w:bidi="zh-CN"/>
      </w:rPr>
    </w:lvl>
    <w:lvl w:ilvl="2" w:tentative="0">
      <w:start w:val="0"/>
      <w:numFmt w:val="bullet"/>
      <w:lvlText w:val="•"/>
      <w:lvlJc w:val="left"/>
      <w:pPr>
        <w:ind w:left="3169" w:hanging="525"/>
      </w:pPr>
      <w:rPr>
        <w:rFonts w:hint="default"/>
        <w:lang w:val="zh-CN" w:eastAsia="zh-CN" w:bidi="zh-CN"/>
      </w:rPr>
    </w:lvl>
    <w:lvl w:ilvl="3" w:tentative="0">
      <w:start w:val="0"/>
      <w:numFmt w:val="bullet"/>
      <w:lvlText w:val="•"/>
      <w:lvlJc w:val="left"/>
      <w:pPr>
        <w:ind w:left="4083" w:hanging="525"/>
      </w:pPr>
      <w:rPr>
        <w:rFonts w:hint="default"/>
        <w:lang w:val="zh-CN" w:eastAsia="zh-CN" w:bidi="zh-CN"/>
      </w:rPr>
    </w:lvl>
    <w:lvl w:ilvl="4" w:tentative="0">
      <w:start w:val="0"/>
      <w:numFmt w:val="bullet"/>
      <w:lvlText w:val="•"/>
      <w:lvlJc w:val="left"/>
      <w:pPr>
        <w:ind w:left="4998" w:hanging="525"/>
      </w:pPr>
      <w:rPr>
        <w:rFonts w:hint="default"/>
        <w:lang w:val="zh-CN" w:eastAsia="zh-CN" w:bidi="zh-CN"/>
      </w:rPr>
    </w:lvl>
    <w:lvl w:ilvl="5" w:tentative="0">
      <w:start w:val="0"/>
      <w:numFmt w:val="bullet"/>
      <w:lvlText w:val="•"/>
      <w:lvlJc w:val="left"/>
      <w:pPr>
        <w:ind w:left="5913" w:hanging="525"/>
      </w:pPr>
      <w:rPr>
        <w:rFonts w:hint="default"/>
        <w:lang w:val="zh-CN" w:eastAsia="zh-CN" w:bidi="zh-CN"/>
      </w:rPr>
    </w:lvl>
    <w:lvl w:ilvl="6" w:tentative="0">
      <w:start w:val="0"/>
      <w:numFmt w:val="bullet"/>
      <w:lvlText w:val="•"/>
      <w:lvlJc w:val="left"/>
      <w:pPr>
        <w:ind w:left="6827" w:hanging="525"/>
      </w:pPr>
      <w:rPr>
        <w:rFonts w:hint="default"/>
        <w:lang w:val="zh-CN" w:eastAsia="zh-CN" w:bidi="zh-CN"/>
      </w:rPr>
    </w:lvl>
    <w:lvl w:ilvl="7" w:tentative="0">
      <w:start w:val="0"/>
      <w:numFmt w:val="bullet"/>
      <w:lvlText w:val="•"/>
      <w:lvlJc w:val="left"/>
      <w:pPr>
        <w:ind w:left="7742" w:hanging="525"/>
      </w:pPr>
      <w:rPr>
        <w:rFonts w:hint="default"/>
        <w:lang w:val="zh-CN" w:eastAsia="zh-CN" w:bidi="zh-CN"/>
      </w:rPr>
    </w:lvl>
    <w:lvl w:ilvl="8" w:tentative="0">
      <w:start w:val="0"/>
      <w:numFmt w:val="bullet"/>
      <w:lvlText w:val="•"/>
      <w:lvlJc w:val="left"/>
      <w:pPr>
        <w:ind w:left="8656" w:hanging="525"/>
      </w:pPr>
      <w:rPr>
        <w:rFonts w:hint="default"/>
        <w:lang w:val="zh-CN" w:eastAsia="zh-CN" w:bidi="zh-CN"/>
      </w:rPr>
    </w:lvl>
  </w:abstractNum>
  <w:abstractNum w:abstractNumId="7">
    <w:nsid w:val="DCBA6B53"/>
    <w:multiLevelType w:val="multilevel"/>
    <w:tmpl w:val="DCBA6B53"/>
    <w:lvl w:ilvl="0" w:tentative="0">
      <w:start w:val="1"/>
      <w:numFmt w:val="decimal"/>
      <w:lvlText w:val="%1"/>
      <w:lvlJc w:val="left"/>
      <w:pPr>
        <w:ind w:left="1240" w:hanging="420"/>
        <w:jc w:val="left"/>
      </w:pPr>
      <w:rPr>
        <w:rFonts w:hint="default"/>
        <w:lang w:val="zh-CN" w:eastAsia="zh-CN" w:bidi="zh-CN"/>
      </w:rPr>
    </w:lvl>
    <w:lvl w:ilvl="1" w:tentative="0">
      <w:start w:val="1"/>
      <w:numFmt w:val="decimal"/>
      <w:lvlText w:val="%1.%2"/>
      <w:lvlJc w:val="left"/>
      <w:pPr>
        <w:ind w:left="1240"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089" w:hanging="420"/>
      </w:pPr>
      <w:rPr>
        <w:rFonts w:hint="default"/>
        <w:lang w:val="zh-CN" w:eastAsia="zh-CN" w:bidi="zh-CN"/>
      </w:rPr>
    </w:lvl>
    <w:lvl w:ilvl="3" w:tentative="0">
      <w:start w:val="0"/>
      <w:numFmt w:val="bullet"/>
      <w:lvlText w:val="•"/>
      <w:lvlJc w:val="left"/>
      <w:pPr>
        <w:ind w:left="4013" w:hanging="420"/>
      </w:pPr>
      <w:rPr>
        <w:rFonts w:hint="default"/>
        <w:lang w:val="zh-CN" w:eastAsia="zh-CN" w:bidi="zh-CN"/>
      </w:rPr>
    </w:lvl>
    <w:lvl w:ilvl="4" w:tentative="0">
      <w:start w:val="0"/>
      <w:numFmt w:val="bullet"/>
      <w:lvlText w:val="•"/>
      <w:lvlJc w:val="left"/>
      <w:pPr>
        <w:ind w:left="4938" w:hanging="420"/>
      </w:pPr>
      <w:rPr>
        <w:rFonts w:hint="default"/>
        <w:lang w:val="zh-CN" w:eastAsia="zh-CN" w:bidi="zh-CN"/>
      </w:rPr>
    </w:lvl>
    <w:lvl w:ilvl="5" w:tentative="0">
      <w:start w:val="0"/>
      <w:numFmt w:val="bullet"/>
      <w:lvlText w:val="•"/>
      <w:lvlJc w:val="left"/>
      <w:pPr>
        <w:ind w:left="5863" w:hanging="420"/>
      </w:pPr>
      <w:rPr>
        <w:rFonts w:hint="default"/>
        <w:lang w:val="zh-CN" w:eastAsia="zh-CN" w:bidi="zh-CN"/>
      </w:rPr>
    </w:lvl>
    <w:lvl w:ilvl="6" w:tentative="0">
      <w:start w:val="0"/>
      <w:numFmt w:val="bullet"/>
      <w:lvlText w:val="•"/>
      <w:lvlJc w:val="left"/>
      <w:pPr>
        <w:ind w:left="6787" w:hanging="420"/>
      </w:pPr>
      <w:rPr>
        <w:rFonts w:hint="default"/>
        <w:lang w:val="zh-CN" w:eastAsia="zh-CN" w:bidi="zh-CN"/>
      </w:rPr>
    </w:lvl>
    <w:lvl w:ilvl="7" w:tentative="0">
      <w:start w:val="0"/>
      <w:numFmt w:val="bullet"/>
      <w:lvlText w:val="•"/>
      <w:lvlJc w:val="left"/>
      <w:pPr>
        <w:ind w:left="7712" w:hanging="420"/>
      </w:pPr>
      <w:rPr>
        <w:rFonts w:hint="default"/>
        <w:lang w:val="zh-CN" w:eastAsia="zh-CN" w:bidi="zh-CN"/>
      </w:rPr>
    </w:lvl>
    <w:lvl w:ilvl="8" w:tentative="0">
      <w:start w:val="0"/>
      <w:numFmt w:val="bullet"/>
      <w:lvlText w:val="•"/>
      <w:lvlJc w:val="left"/>
      <w:pPr>
        <w:ind w:left="8636" w:hanging="420"/>
      </w:pPr>
      <w:rPr>
        <w:rFonts w:hint="default"/>
        <w:lang w:val="zh-CN" w:eastAsia="zh-CN" w:bidi="zh-CN"/>
      </w:rPr>
    </w:lvl>
  </w:abstractNum>
  <w:abstractNum w:abstractNumId="8">
    <w:nsid w:val="F4B5D9F5"/>
    <w:multiLevelType w:val="multilevel"/>
    <w:tmpl w:val="F4B5D9F5"/>
    <w:lvl w:ilvl="0" w:tentative="0">
      <w:start w:val="1"/>
      <w:numFmt w:val="decimal"/>
      <w:lvlText w:val="%1."/>
      <w:lvlJc w:val="left"/>
      <w:pPr>
        <w:ind w:left="10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984" w:hanging="212"/>
      </w:pPr>
      <w:rPr>
        <w:rFonts w:hint="default"/>
        <w:lang w:val="zh-CN" w:eastAsia="zh-CN" w:bidi="zh-CN"/>
      </w:rPr>
    </w:lvl>
    <w:lvl w:ilvl="2" w:tentative="0">
      <w:start w:val="0"/>
      <w:numFmt w:val="bullet"/>
      <w:lvlText w:val="•"/>
      <w:lvlJc w:val="left"/>
      <w:pPr>
        <w:ind w:left="2929" w:hanging="212"/>
      </w:pPr>
      <w:rPr>
        <w:rFonts w:hint="default"/>
        <w:lang w:val="zh-CN" w:eastAsia="zh-CN" w:bidi="zh-CN"/>
      </w:rPr>
    </w:lvl>
    <w:lvl w:ilvl="3" w:tentative="0">
      <w:start w:val="0"/>
      <w:numFmt w:val="bullet"/>
      <w:lvlText w:val="•"/>
      <w:lvlJc w:val="left"/>
      <w:pPr>
        <w:ind w:left="3873" w:hanging="212"/>
      </w:pPr>
      <w:rPr>
        <w:rFonts w:hint="default"/>
        <w:lang w:val="zh-CN" w:eastAsia="zh-CN" w:bidi="zh-CN"/>
      </w:rPr>
    </w:lvl>
    <w:lvl w:ilvl="4" w:tentative="0">
      <w:start w:val="0"/>
      <w:numFmt w:val="bullet"/>
      <w:lvlText w:val="•"/>
      <w:lvlJc w:val="left"/>
      <w:pPr>
        <w:ind w:left="4818" w:hanging="212"/>
      </w:pPr>
      <w:rPr>
        <w:rFonts w:hint="default"/>
        <w:lang w:val="zh-CN" w:eastAsia="zh-CN" w:bidi="zh-CN"/>
      </w:rPr>
    </w:lvl>
    <w:lvl w:ilvl="5" w:tentative="0">
      <w:start w:val="0"/>
      <w:numFmt w:val="bullet"/>
      <w:lvlText w:val="•"/>
      <w:lvlJc w:val="left"/>
      <w:pPr>
        <w:ind w:left="5763" w:hanging="212"/>
      </w:pPr>
      <w:rPr>
        <w:rFonts w:hint="default"/>
        <w:lang w:val="zh-CN" w:eastAsia="zh-CN" w:bidi="zh-CN"/>
      </w:rPr>
    </w:lvl>
    <w:lvl w:ilvl="6" w:tentative="0">
      <w:start w:val="0"/>
      <w:numFmt w:val="bullet"/>
      <w:lvlText w:val="•"/>
      <w:lvlJc w:val="left"/>
      <w:pPr>
        <w:ind w:left="6707" w:hanging="212"/>
      </w:pPr>
      <w:rPr>
        <w:rFonts w:hint="default"/>
        <w:lang w:val="zh-CN" w:eastAsia="zh-CN" w:bidi="zh-CN"/>
      </w:rPr>
    </w:lvl>
    <w:lvl w:ilvl="7" w:tentative="0">
      <w:start w:val="0"/>
      <w:numFmt w:val="bullet"/>
      <w:lvlText w:val="•"/>
      <w:lvlJc w:val="left"/>
      <w:pPr>
        <w:ind w:left="7652" w:hanging="212"/>
      </w:pPr>
      <w:rPr>
        <w:rFonts w:hint="default"/>
        <w:lang w:val="zh-CN" w:eastAsia="zh-CN" w:bidi="zh-CN"/>
      </w:rPr>
    </w:lvl>
    <w:lvl w:ilvl="8" w:tentative="0">
      <w:start w:val="0"/>
      <w:numFmt w:val="bullet"/>
      <w:lvlText w:val="•"/>
      <w:lvlJc w:val="left"/>
      <w:pPr>
        <w:ind w:left="8596" w:hanging="212"/>
      </w:pPr>
      <w:rPr>
        <w:rFonts w:hint="default"/>
        <w:lang w:val="zh-CN" w:eastAsia="zh-CN" w:bidi="zh-CN"/>
      </w:rPr>
    </w:lvl>
  </w:abstractNum>
  <w:abstractNum w:abstractNumId="9">
    <w:nsid w:val="0E640482"/>
    <w:multiLevelType w:val="multilevel"/>
    <w:tmpl w:val="0E640482"/>
    <w:lvl w:ilvl="0" w:tentative="0">
      <w:start w:val="1"/>
      <w:numFmt w:val="decimal"/>
      <w:lvlText w:val="%1."/>
      <w:lvlJc w:val="left"/>
      <w:pPr>
        <w:ind w:left="10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984" w:hanging="212"/>
      </w:pPr>
      <w:rPr>
        <w:rFonts w:hint="default"/>
        <w:lang w:val="zh-CN" w:eastAsia="zh-CN" w:bidi="zh-CN"/>
      </w:rPr>
    </w:lvl>
    <w:lvl w:ilvl="2" w:tentative="0">
      <w:start w:val="0"/>
      <w:numFmt w:val="bullet"/>
      <w:lvlText w:val="•"/>
      <w:lvlJc w:val="left"/>
      <w:pPr>
        <w:ind w:left="2929" w:hanging="212"/>
      </w:pPr>
      <w:rPr>
        <w:rFonts w:hint="default"/>
        <w:lang w:val="zh-CN" w:eastAsia="zh-CN" w:bidi="zh-CN"/>
      </w:rPr>
    </w:lvl>
    <w:lvl w:ilvl="3" w:tentative="0">
      <w:start w:val="0"/>
      <w:numFmt w:val="bullet"/>
      <w:lvlText w:val="•"/>
      <w:lvlJc w:val="left"/>
      <w:pPr>
        <w:ind w:left="3873" w:hanging="212"/>
      </w:pPr>
      <w:rPr>
        <w:rFonts w:hint="default"/>
        <w:lang w:val="zh-CN" w:eastAsia="zh-CN" w:bidi="zh-CN"/>
      </w:rPr>
    </w:lvl>
    <w:lvl w:ilvl="4" w:tentative="0">
      <w:start w:val="0"/>
      <w:numFmt w:val="bullet"/>
      <w:lvlText w:val="•"/>
      <w:lvlJc w:val="left"/>
      <w:pPr>
        <w:ind w:left="4818" w:hanging="212"/>
      </w:pPr>
      <w:rPr>
        <w:rFonts w:hint="default"/>
        <w:lang w:val="zh-CN" w:eastAsia="zh-CN" w:bidi="zh-CN"/>
      </w:rPr>
    </w:lvl>
    <w:lvl w:ilvl="5" w:tentative="0">
      <w:start w:val="0"/>
      <w:numFmt w:val="bullet"/>
      <w:lvlText w:val="•"/>
      <w:lvlJc w:val="left"/>
      <w:pPr>
        <w:ind w:left="5763" w:hanging="212"/>
      </w:pPr>
      <w:rPr>
        <w:rFonts w:hint="default"/>
        <w:lang w:val="zh-CN" w:eastAsia="zh-CN" w:bidi="zh-CN"/>
      </w:rPr>
    </w:lvl>
    <w:lvl w:ilvl="6" w:tentative="0">
      <w:start w:val="0"/>
      <w:numFmt w:val="bullet"/>
      <w:lvlText w:val="•"/>
      <w:lvlJc w:val="left"/>
      <w:pPr>
        <w:ind w:left="6707" w:hanging="212"/>
      </w:pPr>
      <w:rPr>
        <w:rFonts w:hint="default"/>
        <w:lang w:val="zh-CN" w:eastAsia="zh-CN" w:bidi="zh-CN"/>
      </w:rPr>
    </w:lvl>
    <w:lvl w:ilvl="7" w:tentative="0">
      <w:start w:val="0"/>
      <w:numFmt w:val="bullet"/>
      <w:lvlText w:val="•"/>
      <w:lvlJc w:val="left"/>
      <w:pPr>
        <w:ind w:left="7652" w:hanging="212"/>
      </w:pPr>
      <w:rPr>
        <w:rFonts w:hint="default"/>
        <w:lang w:val="zh-CN" w:eastAsia="zh-CN" w:bidi="zh-CN"/>
      </w:rPr>
    </w:lvl>
    <w:lvl w:ilvl="8" w:tentative="0">
      <w:start w:val="0"/>
      <w:numFmt w:val="bullet"/>
      <w:lvlText w:val="•"/>
      <w:lvlJc w:val="left"/>
      <w:pPr>
        <w:ind w:left="8596" w:hanging="212"/>
      </w:pPr>
      <w:rPr>
        <w:rFonts w:hint="default"/>
        <w:lang w:val="zh-CN" w:eastAsia="zh-CN" w:bidi="zh-CN"/>
      </w:rPr>
    </w:lvl>
  </w:abstractNum>
  <w:abstractNum w:abstractNumId="10">
    <w:nsid w:val="2470EC97"/>
    <w:multiLevelType w:val="multilevel"/>
    <w:tmpl w:val="2470EC97"/>
    <w:lvl w:ilvl="0" w:tentative="0">
      <w:start w:val="1"/>
      <w:numFmt w:val="decimal"/>
      <w:lvlText w:val="%1."/>
      <w:lvlJc w:val="left"/>
      <w:pPr>
        <w:ind w:left="820" w:hanging="315"/>
        <w:jc w:val="righ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240"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267" w:hanging="420"/>
      </w:pPr>
      <w:rPr>
        <w:rFonts w:hint="default"/>
        <w:lang w:val="zh-CN" w:eastAsia="zh-CN" w:bidi="zh-CN"/>
      </w:rPr>
    </w:lvl>
    <w:lvl w:ilvl="3" w:tentative="0">
      <w:start w:val="0"/>
      <w:numFmt w:val="bullet"/>
      <w:lvlText w:val="•"/>
      <w:lvlJc w:val="left"/>
      <w:pPr>
        <w:ind w:left="3294" w:hanging="420"/>
      </w:pPr>
      <w:rPr>
        <w:rFonts w:hint="default"/>
        <w:lang w:val="zh-CN" w:eastAsia="zh-CN" w:bidi="zh-CN"/>
      </w:rPr>
    </w:lvl>
    <w:lvl w:ilvl="4" w:tentative="0">
      <w:start w:val="0"/>
      <w:numFmt w:val="bullet"/>
      <w:lvlText w:val="•"/>
      <w:lvlJc w:val="left"/>
      <w:pPr>
        <w:ind w:left="4322" w:hanging="420"/>
      </w:pPr>
      <w:rPr>
        <w:rFonts w:hint="default"/>
        <w:lang w:val="zh-CN" w:eastAsia="zh-CN" w:bidi="zh-CN"/>
      </w:rPr>
    </w:lvl>
    <w:lvl w:ilvl="5" w:tentative="0">
      <w:start w:val="0"/>
      <w:numFmt w:val="bullet"/>
      <w:lvlText w:val="•"/>
      <w:lvlJc w:val="left"/>
      <w:pPr>
        <w:ind w:left="5349" w:hanging="420"/>
      </w:pPr>
      <w:rPr>
        <w:rFonts w:hint="default"/>
        <w:lang w:val="zh-CN" w:eastAsia="zh-CN" w:bidi="zh-CN"/>
      </w:rPr>
    </w:lvl>
    <w:lvl w:ilvl="6" w:tentative="0">
      <w:start w:val="0"/>
      <w:numFmt w:val="bullet"/>
      <w:lvlText w:val="•"/>
      <w:lvlJc w:val="left"/>
      <w:pPr>
        <w:ind w:left="6376" w:hanging="420"/>
      </w:pPr>
      <w:rPr>
        <w:rFonts w:hint="default"/>
        <w:lang w:val="zh-CN" w:eastAsia="zh-CN" w:bidi="zh-CN"/>
      </w:rPr>
    </w:lvl>
    <w:lvl w:ilvl="7" w:tentative="0">
      <w:start w:val="0"/>
      <w:numFmt w:val="bullet"/>
      <w:lvlText w:val="•"/>
      <w:lvlJc w:val="left"/>
      <w:pPr>
        <w:ind w:left="7404" w:hanging="420"/>
      </w:pPr>
      <w:rPr>
        <w:rFonts w:hint="default"/>
        <w:lang w:val="zh-CN" w:eastAsia="zh-CN" w:bidi="zh-CN"/>
      </w:rPr>
    </w:lvl>
    <w:lvl w:ilvl="8" w:tentative="0">
      <w:start w:val="0"/>
      <w:numFmt w:val="bullet"/>
      <w:lvlText w:val="•"/>
      <w:lvlJc w:val="left"/>
      <w:pPr>
        <w:ind w:left="8431" w:hanging="420"/>
      </w:pPr>
      <w:rPr>
        <w:rFonts w:hint="default"/>
        <w:lang w:val="zh-CN" w:eastAsia="zh-CN" w:bidi="zh-CN"/>
      </w:rPr>
    </w:lvl>
  </w:abstractNum>
  <w:abstractNum w:abstractNumId="11">
    <w:nsid w:val="46A08BB8"/>
    <w:multiLevelType w:val="multilevel"/>
    <w:tmpl w:val="46A08BB8"/>
    <w:lvl w:ilvl="0" w:tentative="0">
      <w:start w:val="1"/>
      <w:numFmt w:val="decimal"/>
      <w:lvlText w:val="（%1）"/>
      <w:lvlJc w:val="left"/>
      <w:pPr>
        <w:ind w:left="134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54" w:hanging="525"/>
      </w:pPr>
      <w:rPr>
        <w:rFonts w:hint="default"/>
        <w:lang w:val="zh-CN" w:eastAsia="zh-CN" w:bidi="zh-CN"/>
      </w:rPr>
    </w:lvl>
    <w:lvl w:ilvl="2" w:tentative="0">
      <w:start w:val="0"/>
      <w:numFmt w:val="bullet"/>
      <w:lvlText w:val="•"/>
      <w:lvlJc w:val="left"/>
      <w:pPr>
        <w:ind w:left="3169" w:hanging="525"/>
      </w:pPr>
      <w:rPr>
        <w:rFonts w:hint="default"/>
        <w:lang w:val="zh-CN" w:eastAsia="zh-CN" w:bidi="zh-CN"/>
      </w:rPr>
    </w:lvl>
    <w:lvl w:ilvl="3" w:tentative="0">
      <w:start w:val="0"/>
      <w:numFmt w:val="bullet"/>
      <w:lvlText w:val="•"/>
      <w:lvlJc w:val="left"/>
      <w:pPr>
        <w:ind w:left="4083" w:hanging="525"/>
      </w:pPr>
      <w:rPr>
        <w:rFonts w:hint="default"/>
        <w:lang w:val="zh-CN" w:eastAsia="zh-CN" w:bidi="zh-CN"/>
      </w:rPr>
    </w:lvl>
    <w:lvl w:ilvl="4" w:tentative="0">
      <w:start w:val="0"/>
      <w:numFmt w:val="bullet"/>
      <w:lvlText w:val="•"/>
      <w:lvlJc w:val="left"/>
      <w:pPr>
        <w:ind w:left="4998" w:hanging="525"/>
      </w:pPr>
      <w:rPr>
        <w:rFonts w:hint="default"/>
        <w:lang w:val="zh-CN" w:eastAsia="zh-CN" w:bidi="zh-CN"/>
      </w:rPr>
    </w:lvl>
    <w:lvl w:ilvl="5" w:tentative="0">
      <w:start w:val="0"/>
      <w:numFmt w:val="bullet"/>
      <w:lvlText w:val="•"/>
      <w:lvlJc w:val="left"/>
      <w:pPr>
        <w:ind w:left="5913" w:hanging="525"/>
      </w:pPr>
      <w:rPr>
        <w:rFonts w:hint="default"/>
        <w:lang w:val="zh-CN" w:eastAsia="zh-CN" w:bidi="zh-CN"/>
      </w:rPr>
    </w:lvl>
    <w:lvl w:ilvl="6" w:tentative="0">
      <w:start w:val="0"/>
      <w:numFmt w:val="bullet"/>
      <w:lvlText w:val="•"/>
      <w:lvlJc w:val="left"/>
      <w:pPr>
        <w:ind w:left="6827" w:hanging="525"/>
      </w:pPr>
      <w:rPr>
        <w:rFonts w:hint="default"/>
        <w:lang w:val="zh-CN" w:eastAsia="zh-CN" w:bidi="zh-CN"/>
      </w:rPr>
    </w:lvl>
    <w:lvl w:ilvl="7" w:tentative="0">
      <w:start w:val="0"/>
      <w:numFmt w:val="bullet"/>
      <w:lvlText w:val="•"/>
      <w:lvlJc w:val="left"/>
      <w:pPr>
        <w:ind w:left="7742" w:hanging="525"/>
      </w:pPr>
      <w:rPr>
        <w:rFonts w:hint="default"/>
        <w:lang w:val="zh-CN" w:eastAsia="zh-CN" w:bidi="zh-CN"/>
      </w:rPr>
    </w:lvl>
    <w:lvl w:ilvl="8" w:tentative="0">
      <w:start w:val="0"/>
      <w:numFmt w:val="bullet"/>
      <w:lvlText w:val="•"/>
      <w:lvlJc w:val="left"/>
      <w:pPr>
        <w:ind w:left="8656" w:hanging="525"/>
      </w:pPr>
      <w:rPr>
        <w:rFonts w:hint="default"/>
        <w:lang w:val="zh-CN" w:eastAsia="zh-CN" w:bidi="zh-CN"/>
      </w:rPr>
    </w:lvl>
  </w:abstractNum>
  <w:abstractNum w:abstractNumId="12">
    <w:nsid w:val="489FDE03"/>
    <w:multiLevelType w:val="singleLevel"/>
    <w:tmpl w:val="489FDE03"/>
    <w:lvl w:ilvl="0" w:tentative="0">
      <w:start w:val="2"/>
      <w:numFmt w:val="decimal"/>
      <w:suff w:val="nothing"/>
      <w:lvlText w:val="%1、"/>
      <w:lvlJc w:val="left"/>
    </w:lvl>
  </w:abstractNum>
  <w:abstractNum w:abstractNumId="13">
    <w:nsid w:val="4C1BAE26"/>
    <w:multiLevelType w:val="multilevel"/>
    <w:tmpl w:val="4C1BAE26"/>
    <w:lvl w:ilvl="0" w:tentative="0">
      <w:start w:val="1"/>
      <w:numFmt w:val="decimal"/>
      <w:lvlText w:val="（%1）"/>
      <w:lvlJc w:val="left"/>
      <w:pPr>
        <w:ind w:left="134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54" w:hanging="525"/>
      </w:pPr>
      <w:rPr>
        <w:rFonts w:hint="default"/>
        <w:lang w:val="zh-CN" w:eastAsia="zh-CN" w:bidi="zh-CN"/>
      </w:rPr>
    </w:lvl>
    <w:lvl w:ilvl="2" w:tentative="0">
      <w:start w:val="0"/>
      <w:numFmt w:val="bullet"/>
      <w:lvlText w:val="•"/>
      <w:lvlJc w:val="left"/>
      <w:pPr>
        <w:ind w:left="3169" w:hanging="525"/>
      </w:pPr>
      <w:rPr>
        <w:rFonts w:hint="default"/>
        <w:lang w:val="zh-CN" w:eastAsia="zh-CN" w:bidi="zh-CN"/>
      </w:rPr>
    </w:lvl>
    <w:lvl w:ilvl="3" w:tentative="0">
      <w:start w:val="0"/>
      <w:numFmt w:val="bullet"/>
      <w:lvlText w:val="•"/>
      <w:lvlJc w:val="left"/>
      <w:pPr>
        <w:ind w:left="4083" w:hanging="525"/>
      </w:pPr>
      <w:rPr>
        <w:rFonts w:hint="default"/>
        <w:lang w:val="zh-CN" w:eastAsia="zh-CN" w:bidi="zh-CN"/>
      </w:rPr>
    </w:lvl>
    <w:lvl w:ilvl="4" w:tentative="0">
      <w:start w:val="0"/>
      <w:numFmt w:val="bullet"/>
      <w:lvlText w:val="•"/>
      <w:lvlJc w:val="left"/>
      <w:pPr>
        <w:ind w:left="4998" w:hanging="525"/>
      </w:pPr>
      <w:rPr>
        <w:rFonts w:hint="default"/>
        <w:lang w:val="zh-CN" w:eastAsia="zh-CN" w:bidi="zh-CN"/>
      </w:rPr>
    </w:lvl>
    <w:lvl w:ilvl="5" w:tentative="0">
      <w:start w:val="0"/>
      <w:numFmt w:val="bullet"/>
      <w:lvlText w:val="•"/>
      <w:lvlJc w:val="left"/>
      <w:pPr>
        <w:ind w:left="5913" w:hanging="525"/>
      </w:pPr>
      <w:rPr>
        <w:rFonts w:hint="default"/>
        <w:lang w:val="zh-CN" w:eastAsia="zh-CN" w:bidi="zh-CN"/>
      </w:rPr>
    </w:lvl>
    <w:lvl w:ilvl="6" w:tentative="0">
      <w:start w:val="0"/>
      <w:numFmt w:val="bullet"/>
      <w:lvlText w:val="•"/>
      <w:lvlJc w:val="left"/>
      <w:pPr>
        <w:ind w:left="6827" w:hanging="525"/>
      </w:pPr>
      <w:rPr>
        <w:rFonts w:hint="default"/>
        <w:lang w:val="zh-CN" w:eastAsia="zh-CN" w:bidi="zh-CN"/>
      </w:rPr>
    </w:lvl>
    <w:lvl w:ilvl="7" w:tentative="0">
      <w:start w:val="0"/>
      <w:numFmt w:val="bullet"/>
      <w:lvlText w:val="•"/>
      <w:lvlJc w:val="left"/>
      <w:pPr>
        <w:ind w:left="7742" w:hanging="525"/>
      </w:pPr>
      <w:rPr>
        <w:rFonts w:hint="default"/>
        <w:lang w:val="zh-CN" w:eastAsia="zh-CN" w:bidi="zh-CN"/>
      </w:rPr>
    </w:lvl>
    <w:lvl w:ilvl="8" w:tentative="0">
      <w:start w:val="0"/>
      <w:numFmt w:val="bullet"/>
      <w:lvlText w:val="•"/>
      <w:lvlJc w:val="left"/>
      <w:pPr>
        <w:ind w:left="8656" w:hanging="525"/>
      </w:pPr>
      <w:rPr>
        <w:rFonts w:hint="default"/>
        <w:lang w:val="zh-CN" w:eastAsia="zh-CN" w:bidi="zh-CN"/>
      </w:rPr>
    </w:lvl>
  </w:abstractNum>
  <w:abstractNum w:abstractNumId="14">
    <w:nsid w:val="60382F6E"/>
    <w:multiLevelType w:val="multilevel"/>
    <w:tmpl w:val="60382F6E"/>
    <w:lvl w:ilvl="0" w:tentative="0">
      <w:start w:val="1"/>
      <w:numFmt w:val="decimal"/>
      <w:lvlText w:val="%1."/>
      <w:lvlJc w:val="left"/>
      <w:pPr>
        <w:ind w:left="400"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408" w:hanging="212"/>
      </w:pPr>
      <w:rPr>
        <w:rFonts w:hint="default"/>
        <w:lang w:val="zh-CN" w:eastAsia="zh-CN" w:bidi="zh-CN"/>
      </w:rPr>
    </w:lvl>
    <w:lvl w:ilvl="2" w:tentative="0">
      <w:start w:val="0"/>
      <w:numFmt w:val="bullet"/>
      <w:lvlText w:val="•"/>
      <w:lvlJc w:val="left"/>
      <w:pPr>
        <w:ind w:left="2417" w:hanging="212"/>
      </w:pPr>
      <w:rPr>
        <w:rFonts w:hint="default"/>
        <w:lang w:val="zh-CN" w:eastAsia="zh-CN" w:bidi="zh-CN"/>
      </w:rPr>
    </w:lvl>
    <w:lvl w:ilvl="3" w:tentative="0">
      <w:start w:val="0"/>
      <w:numFmt w:val="bullet"/>
      <w:lvlText w:val="•"/>
      <w:lvlJc w:val="left"/>
      <w:pPr>
        <w:ind w:left="3425" w:hanging="212"/>
      </w:pPr>
      <w:rPr>
        <w:rFonts w:hint="default"/>
        <w:lang w:val="zh-CN" w:eastAsia="zh-CN" w:bidi="zh-CN"/>
      </w:rPr>
    </w:lvl>
    <w:lvl w:ilvl="4" w:tentative="0">
      <w:start w:val="0"/>
      <w:numFmt w:val="bullet"/>
      <w:lvlText w:val="•"/>
      <w:lvlJc w:val="left"/>
      <w:pPr>
        <w:ind w:left="4434" w:hanging="212"/>
      </w:pPr>
      <w:rPr>
        <w:rFonts w:hint="default"/>
        <w:lang w:val="zh-CN" w:eastAsia="zh-CN" w:bidi="zh-CN"/>
      </w:rPr>
    </w:lvl>
    <w:lvl w:ilvl="5" w:tentative="0">
      <w:start w:val="0"/>
      <w:numFmt w:val="bullet"/>
      <w:lvlText w:val="•"/>
      <w:lvlJc w:val="left"/>
      <w:pPr>
        <w:ind w:left="5443" w:hanging="212"/>
      </w:pPr>
      <w:rPr>
        <w:rFonts w:hint="default"/>
        <w:lang w:val="zh-CN" w:eastAsia="zh-CN" w:bidi="zh-CN"/>
      </w:rPr>
    </w:lvl>
    <w:lvl w:ilvl="6" w:tentative="0">
      <w:start w:val="0"/>
      <w:numFmt w:val="bullet"/>
      <w:lvlText w:val="•"/>
      <w:lvlJc w:val="left"/>
      <w:pPr>
        <w:ind w:left="6451" w:hanging="212"/>
      </w:pPr>
      <w:rPr>
        <w:rFonts w:hint="default"/>
        <w:lang w:val="zh-CN" w:eastAsia="zh-CN" w:bidi="zh-CN"/>
      </w:rPr>
    </w:lvl>
    <w:lvl w:ilvl="7" w:tentative="0">
      <w:start w:val="0"/>
      <w:numFmt w:val="bullet"/>
      <w:lvlText w:val="•"/>
      <w:lvlJc w:val="left"/>
      <w:pPr>
        <w:ind w:left="7460" w:hanging="212"/>
      </w:pPr>
      <w:rPr>
        <w:rFonts w:hint="default"/>
        <w:lang w:val="zh-CN" w:eastAsia="zh-CN" w:bidi="zh-CN"/>
      </w:rPr>
    </w:lvl>
    <w:lvl w:ilvl="8" w:tentative="0">
      <w:start w:val="0"/>
      <w:numFmt w:val="bullet"/>
      <w:lvlText w:val="•"/>
      <w:lvlJc w:val="left"/>
      <w:pPr>
        <w:ind w:left="8468" w:hanging="212"/>
      </w:pPr>
      <w:rPr>
        <w:rFonts w:hint="default"/>
        <w:lang w:val="zh-CN" w:eastAsia="zh-CN" w:bidi="zh-CN"/>
      </w:rPr>
    </w:lvl>
  </w:abstractNum>
  <w:abstractNum w:abstractNumId="15">
    <w:nsid w:val="629F7852"/>
    <w:multiLevelType w:val="multilevel"/>
    <w:tmpl w:val="629F7852"/>
    <w:lvl w:ilvl="0" w:tentative="0">
      <w:start w:val="1"/>
      <w:numFmt w:val="decimal"/>
      <w:lvlText w:val="%1."/>
      <w:lvlJc w:val="left"/>
      <w:pPr>
        <w:ind w:left="400"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408" w:hanging="212"/>
      </w:pPr>
      <w:rPr>
        <w:rFonts w:hint="default"/>
        <w:lang w:val="zh-CN" w:eastAsia="zh-CN" w:bidi="zh-CN"/>
      </w:rPr>
    </w:lvl>
    <w:lvl w:ilvl="2" w:tentative="0">
      <w:start w:val="0"/>
      <w:numFmt w:val="bullet"/>
      <w:lvlText w:val="•"/>
      <w:lvlJc w:val="left"/>
      <w:pPr>
        <w:ind w:left="2417" w:hanging="212"/>
      </w:pPr>
      <w:rPr>
        <w:rFonts w:hint="default"/>
        <w:lang w:val="zh-CN" w:eastAsia="zh-CN" w:bidi="zh-CN"/>
      </w:rPr>
    </w:lvl>
    <w:lvl w:ilvl="3" w:tentative="0">
      <w:start w:val="0"/>
      <w:numFmt w:val="bullet"/>
      <w:lvlText w:val="•"/>
      <w:lvlJc w:val="left"/>
      <w:pPr>
        <w:ind w:left="3425" w:hanging="212"/>
      </w:pPr>
      <w:rPr>
        <w:rFonts w:hint="default"/>
        <w:lang w:val="zh-CN" w:eastAsia="zh-CN" w:bidi="zh-CN"/>
      </w:rPr>
    </w:lvl>
    <w:lvl w:ilvl="4" w:tentative="0">
      <w:start w:val="0"/>
      <w:numFmt w:val="bullet"/>
      <w:lvlText w:val="•"/>
      <w:lvlJc w:val="left"/>
      <w:pPr>
        <w:ind w:left="4434" w:hanging="212"/>
      </w:pPr>
      <w:rPr>
        <w:rFonts w:hint="default"/>
        <w:lang w:val="zh-CN" w:eastAsia="zh-CN" w:bidi="zh-CN"/>
      </w:rPr>
    </w:lvl>
    <w:lvl w:ilvl="5" w:tentative="0">
      <w:start w:val="0"/>
      <w:numFmt w:val="bullet"/>
      <w:lvlText w:val="•"/>
      <w:lvlJc w:val="left"/>
      <w:pPr>
        <w:ind w:left="5443" w:hanging="212"/>
      </w:pPr>
      <w:rPr>
        <w:rFonts w:hint="default"/>
        <w:lang w:val="zh-CN" w:eastAsia="zh-CN" w:bidi="zh-CN"/>
      </w:rPr>
    </w:lvl>
    <w:lvl w:ilvl="6" w:tentative="0">
      <w:start w:val="0"/>
      <w:numFmt w:val="bullet"/>
      <w:lvlText w:val="•"/>
      <w:lvlJc w:val="left"/>
      <w:pPr>
        <w:ind w:left="6451" w:hanging="212"/>
      </w:pPr>
      <w:rPr>
        <w:rFonts w:hint="default"/>
        <w:lang w:val="zh-CN" w:eastAsia="zh-CN" w:bidi="zh-CN"/>
      </w:rPr>
    </w:lvl>
    <w:lvl w:ilvl="7" w:tentative="0">
      <w:start w:val="0"/>
      <w:numFmt w:val="bullet"/>
      <w:lvlText w:val="•"/>
      <w:lvlJc w:val="left"/>
      <w:pPr>
        <w:ind w:left="7460" w:hanging="212"/>
      </w:pPr>
      <w:rPr>
        <w:rFonts w:hint="default"/>
        <w:lang w:val="zh-CN" w:eastAsia="zh-CN" w:bidi="zh-CN"/>
      </w:rPr>
    </w:lvl>
    <w:lvl w:ilvl="8" w:tentative="0">
      <w:start w:val="0"/>
      <w:numFmt w:val="bullet"/>
      <w:lvlText w:val="•"/>
      <w:lvlJc w:val="left"/>
      <w:pPr>
        <w:ind w:left="8468" w:hanging="212"/>
      </w:pPr>
      <w:rPr>
        <w:rFonts w:hint="default"/>
        <w:lang w:val="zh-CN" w:eastAsia="zh-CN" w:bidi="zh-CN"/>
      </w:rPr>
    </w:lvl>
  </w:abstractNum>
  <w:abstractNum w:abstractNumId="16">
    <w:nsid w:val="77ECEA79"/>
    <w:multiLevelType w:val="multilevel"/>
    <w:tmpl w:val="77ECEA79"/>
    <w:lvl w:ilvl="0" w:tentative="0">
      <w:start w:val="1"/>
      <w:numFmt w:val="decimal"/>
      <w:lvlText w:val="%1."/>
      <w:lvlJc w:val="left"/>
      <w:pPr>
        <w:ind w:left="400"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408" w:hanging="212"/>
      </w:pPr>
      <w:rPr>
        <w:rFonts w:hint="default"/>
        <w:lang w:val="zh-CN" w:eastAsia="zh-CN" w:bidi="zh-CN"/>
      </w:rPr>
    </w:lvl>
    <w:lvl w:ilvl="2" w:tentative="0">
      <w:start w:val="0"/>
      <w:numFmt w:val="bullet"/>
      <w:lvlText w:val="•"/>
      <w:lvlJc w:val="left"/>
      <w:pPr>
        <w:ind w:left="2417" w:hanging="212"/>
      </w:pPr>
      <w:rPr>
        <w:rFonts w:hint="default"/>
        <w:lang w:val="zh-CN" w:eastAsia="zh-CN" w:bidi="zh-CN"/>
      </w:rPr>
    </w:lvl>
    <w:lvl w:ilvl="3" w:tentative="0">
      <w:start w:val="0"/>
      <w:numFmt w:val="bullet"/>
      <w:lvlText w:val="•"/>
      <w:lvlJc w:val="left"/>
      <w:pPr>
        <w:ind w:left="3425" w:hanging="212"/>
      </w:pPr>
      <w:rPr>
        <w:rFonts w:hint="default"/>
        <w:lang w:val="zh-CN" w:eastAsia="zh-CN" w:bidi="zh-CN"/>
      </w:rPr>
    </w:lvl>
    <w:lvl w:ilvl="4" w:tentative="0">
      <w:start w:val="0"/>
      <w:numFmt w:val="bullet"/>
      <w:lvlText w:val="•"/>
      <w:lvlJc w:val="left"/>
      <w:pPr>
        <w:ind w:left="4434" w:hanging="212"/>
      </w:pPr>
      <w:rPr>
        <w:rFonts w:hint="default"/>
        <w:lang w:val="zh-CN" w:eastAsia="zh-CN" w:bidi="zh-CN"/>
      </w:rPr>
    </w:lvl>
    <w:lvl w:ilvl="5" w:tentative="0">
      <w:start w:val="0"/>
      <w:numFmt w:val="bullet"/>
      <w:lvlText w:val="•"/>
      <w:lvlJc w:val="left"/>
      <w:pPr>
        <w:ind w:left="5443" w:hanging="212"/>
      </w:pPr>
      <w:rPr>
        <w:rFonts w:hint="default"/>
        <w:lang w:val="zh-CN" w:eastAsia="zh-CN" w:bidi="zh-CN"/>
      </w:rPr>
    </w:lvl>
    <w:lvl w:ilvl="6" w:tentative="0">
      <w:start w:val="0"/>
      <w:numFmt w:val="bullet"/>
      <w:lvlText w:val="•"/>
      <w:lvlJc w:val="left"/>
      <w:pPr>
        <w:ind w:left="6451" w:hanging="212"/>
      </w:pPr>
      <w:rPr>
        <w:rFonts w:hint="default"/>
        <w:lang w:val="zh-CN" w:eastAsia="zh-CN" w:bidi="zh-CN"/>
      </w:rPr>
    </w:lvl>
    <w:lvl w:ilvl="7" w:tentative="0">
      <w:start w:val="0"/>
      <w:numFmt w:val="bullet"/>
      <w:lvlText w:val="•"/>
      <w:lvlJc w:val="left"/>
      <w:pPr>
        <w:ind w:left="7460" w:hanging="212"/>
      </w:pPr>
      <w:rPr>
        <w:rFonts w:hint="default"/>
        <w:lang w:val="zh-CN" w:eastAsia="zh-CN" w:bidi="zh-CN"/>
      </w:rPr>
    </w:lvl>
    <w:lvl w:ilvl="8" w:tentative="0">
      <w:start w:val="0"/>
      <w:numFmt w:val="bullet"/>
      <w:lvlText w:val="•"/>
      <w:lvlJc w:val="left"/>
      <w:pPr>
        <w:ind w:left="8468" w:hanging="212"/>
      </w:pPr>
      <w:rPr>
        <w:rFonts w:hint="default"/>
        <w:lang w:val="zh-CN" w:eastAsia="zh-CN" w:bidi="zh-CN"/>
      </w:rPr>
    </w:lvl>
  </w:abstractNum>
  <w:num w:numId="1">
    <w:abstractNumId w:val="12"/>
  </w:num>
  <w:num w:numId="2">
    <w:abstractNumId w:val="0"/>
  </w:num>
  <w:num w:numId="3">
    <w:abstractNumId w:val="8"/>
  </w:num>
  <w:num w:numId="4">
    <w:abstractNumId w:val="10"/>
  </w:num>
  <w:num w:numId="5">
    <w:abstractNumId w:val="7"/>
  </w:num>
  <w:num w:numId="6">
    <w:abstractNumId w:val="6"/>
  </w:num>
  <w:num w:numId="7">
    <w:abstractNumId w:val="2"/>
  </w:num>
  <w:num w:numId="8">
    <w:abstractNumId w:val="13"/>
  </w:num>
  <w:num w:numId="9">
    <w:abstractNumId w:val="14"/>
  </w:num>
  <w:num w:numId="10">
    <w:abstractNumId w:val="5"/>
  </w:num>
  <w:num w:numId="11">
    <w:abstractNumId w:val="9"/>
  </w:num>
  <w:num w:numId="12">
    <w:abstractNumId w:val="11"/>
  </w:num>
  <w:num w:numId="13">
    <w:abstractNumId w:val="3"/>
  </w:num>
  <w:num w:numId="14">
    <w:abstractNumId w:val="16"/>
  </w:num>
  <w:num w:numId="15">
    <w:abstractNumId w:val="4"/>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Me3iWXZxn/ZIgeOqvpRbImSrJKU=" w:salt="1U8acXstJfEMpa86+y7B6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MmYyYjRkNDBmYjIyZGUzNTkzNWJjZGY2ZjEyYTYifQ=="/>
  </w:docVars>
  <w:rsids>
    <w:rsidRoot w:val="26433C94"/>
    <w:rsid w:val="00037F10"/>
    <w:rsid w:val="006F542E"/>
    <w:rsid w:val="00911421"/>
    <w:rsid w:val="00CD47D9"/>
    <w:rsid w:val="00F05477"/>
    <w:rsid w:val="01995BA6"/>
    <w:rsid w:val="019B3634"/>
    <w:rsid w:val="021E42F5"/>
    <w:rsid w:val="023E2081"/>
    <w:rsid w:val="025D3A3F"/>
    <w:rsid w:val="027864B6"/>
    <w:rsid w:val="027E724C"/>
    <w:rsid w:val="02B03AEE"/>
    <w:rsid w:val="02BA5D3C"/>
    <w:rsid w:val="02D23086"/>
    <w:rsid w:val="02E456EA"/>
    <w:rsid w:val="03010721"/>
    <w:rsid w:val="03311E36"/>
    <w:rsid w:val="0348166A"/>
    <w:rsid w:val="036D7252"/>
    <w:rsid w:val="037507CF"/>
    <w:rsid w:val="037642A1"/>
    <w:rsid w:val="03974F68"/>
    <w:rsid w:val="03A60299"/>
    <w:rsid w:val="03BB7FBE"/>
    <w:rsid w:val="03DD3834"/>
    <w:rsid w:val="03E55E56"/>
    <w:rsid w:val="04002B85"/>
    <w:rsid w:val="04106AF7"/>
    <w:rsid w:val="042457FA"/>
    <w:rsid w:val="042F184C"/>
    <w:rsid w:val="04320D0B"/>
    <w:rsid w:val="0450155A"/>
    <w:rsid w:val="048564B9"/>
    <w:rsid w:val="04D07A99"/>
    <w:rsid w:val="04DA16BA"/>
    <w:rsid w:val="05120775"/>
    <w:rsid w:val="053E4A3F"/>
    <w:rsid w:val="057129D3"/>
    <w:rsid w:val="05ED16DF"/>
    <w:rsid w:val="05FB62A8"/>
    <w:rsid w:val="06290C41"/>
    <w:rsid w:val="062956B3"/>
    <w:rsid w:val="063302DF"/>
    <w:rsid w:val="064814D3"/>
    <w:rsid w:val="069A77C7"/>
    <w:rsid w:val="06B0260C"/>
    <w:rsid w:val="06B64A6C"/>
    <w:rsid w:val="06B801DA"/>
    <w:rsid w:val="06CE59E5"/>
    <w:rsid w:val="06D32867"/>
    <w:rsid w:val="06D3526B"/>
    <w:rsid w:val="06D612B7"/>
    <w:rsid w:val="06D67A0B"/>
    <w:rsid w:val="071113C5"/>
    <w:rsid w:val="071219D6"/>
    <w:rsid w:val="072F4F4B"/>
    <w:rsid w:val="07340CA5"/>
    <w:rsid w:val="07484826"/>
    <w:rsid w:val="074A2C9F"/>
    <w:rsid w:val="075F6EB2"/>
    <w:rsid w:val="076F4724"/>
    <w:rsid w:val="077706A0"/>
    <w:rsid w:val="079B0C6D"/>
    <w:rsid w:val="07FB50B6"/>
    <w:rsid w:val="082C320A"/>
    <w:rsid w:val="08424565"/>
    <w:rsid w:val="085960CC"/>
    <w:rsid w:val="08836BD0"/>
    <w:rsid w:val="08920FB6"/>
    <w:rsid w:val="089F5554"/>
    <w:rsid w:val="08C50193"/>
    <w:rsid w:val="08D40DD7"/>
    <w:rsid w:val="0900014E"/>
    <w:rsid w:val="090D306A"/>
    <w:rsid w:val="0914633B"/>
    <w:rsid w:val="09262D34"/>
    <w:rsid w:val="094D6A8B"/>
    <w:rsid w:val="097708D2"/>
    <w:rsid w:val="0A7B606B"/>
    <w:rsid w:val="0A8C5139"/>
    <w:rsid w:val="0A997C59"/>
    <w:rsid w:val="0A9A6B7F"/>
    <w:rsid w:val="0AC979F6"/>
    <w:rsid w:val="0B057338"/>
    <w:rsid w:val="0B125A8D"/>
    <w:rsid w:val="0B1B01BC"/>
    <w:rsid w:val="0B372F10"/>
    <w:rsid w:val="0B5323F2"/>
    <w:rsid w:val="0B5331D2"/>
    <w:rsid w:val="0B562DA6"/>
    <w:rsid w:val="0B8357C9"/>
    <w:rsid w:val="0BB2296A"/>
    <w:rsid w:val="0BCA0A59"/>
    <w:rsid w:val="0BF01C42"/>
    <w:rsid w:val="0C0D75DD"/>
    <w:rsid w:val="0C6F043B"/>
    <w:rsid w:val="0C712F68"/>
    <w:rsid w:val="0CE045F1"/>
    <w:rsid w:val="0D017352"/>
    <w:rsid w:val="0D0A0B5D"/>
    <w:rsid w:val="0D10137A"/>
    <w:rsid w:val="0D1521A1"/>
    <w:rsid w:val="0D224E3C"/>
    <w:rsid w:val="0D4F3848"/>
    <w:rsid w:val="0D4F5FBA"/>
    <w:rsid w:val="0D827973"/>
    <w:rsid w:val="0DC02D7B"/>
    <w:rsid w:val="0DD220D0"/>
    <w:rsid w:val="0DF776DB"/>
    <w:rsid w:val="0E034A3B"/>
    <w:rsid w:val="0E0367E9"/>
    <w:rsid w:val="0E0E3B8F"/>
    <w:rsid w:val="0E2E6D15"/>
    <w:rsid w:val="0E3433BE"/>
    <w:rsid w:val="0E421A82"/>
    <w:rsid w:val="0E464928"/>
    <w:rsid w:val="0E7B2823"/>
    <w:rsid w:val="0E8A4519"/>
    <w:rsid w:val="0EE92A92"/>
    <w:rsid w:val="0F2D40A3"/>
    <w:rsid w:val="0F301F18"/>
    <w:rsid w:val="0F755A28"/>
    <w:rsid w:val="0F800BB1"/>
    <w:rsid w:val="0F807BE0"/>
    <w:rsid w:val="0FCC498E"/>
    <w:rsid w:val="0FD71C70"/>
    <w:rsid w:val="0FDD270D"/>
    <w:rsid w:val="1030200B"/>
    <w:rsid w:val="103111B0"/>
    <w:rsid w:val="10433815"/>
    <w:rsid w:val="104A17D7"/>
    <w:rsid w:val="10562014"/>
    <w:rsid w:val="10A6125E"/>
    <w:rsid w:val="10BC2ED4"/>
    <w:rsid w:val="10CD30DE"/>
    <w:rsid w:val="10EE5021"/>
    <w:rsid w:val="110460F1"/>
    <w:rsid w:val="110A2E86"/>
    <w:rsid w:val="11317B11"/>
    <w:rsid w:val="118B5F3C"/>
    <w:rsid w:val="11922A45"/>
    <w:rsid w:val="11987799"/>
    <w:rsid w:val="11A07411"/>
    <w:rsid w:val="11B97375"/>
    <w:rsid w:val="11E61CB7"/>
    <w:rsid w:val="11EA5308"/>
    <w:rsid w:val="11FC1ECD"/>
    <w:rsid w:val="12373AA0"/>
    <w:rsid w:val="12655CC4"/>
    <w:rsid w:val="12735DFA"/>
    <w:rsid w:val="13214B30"/>
    <w:rsid w:val="133F1EB2"/>
    <w:rsid w:val="133F31A0"/>
    <w:rsid w:val="13524654"/>
    <w:rsid w:val="13623FB2"/>
    <w:rsid w:val="137A25EC"/>
    <w:rsid w:val="1384239C"/>
    <w:rsid w:val="13EE3EF4"/>
    <w:rsid w:val="141B23B3"/>
    <w:rsid w:val="1422717A"/>
    <w:rsid w:val="142517AF"/>
    <w:rsid w:val="14465682"/>
    <w:rsid w:val="14467AFD"/>
    <w:rsid w:val="1461314B"/>
    <w:rsid w:val="146510EA"/>
    <w:rsid w:val="14D61776"/>
    <w:rsid w:val="14EE3AC2"/>
    <w:rsid w:val="14F7392E"/>
    <w:rsid w:val="153C3B89"/>
    <w:rsid w:val="155720A0"/>
    <w:rsid w:val="155C5E53"/>
    <w:rsid w:val="157F712A"/>
    <w:rsid w:val="15890E39"/>
    <w:rsid w:val="15B84210"/>
    <w:rsid w:val="162C51EA"/>
    <w:rsid w:val="163A40A1"/>
    <w:rsid w:val="16541C25"/>
    <w:rsid w:val="16587283"/>
    <w:rsid w:val="169504D5"/>
    <w:rsid w:val="169E637F"/>
    <w:rsid w:val="16CF59CD"/>
    <w:rsid w:val="16D20CEF"/>
    <w:rsid w:val="16F615E1"/>
    <w:rsid w:val="171B49C6"/>
    <w:rsid w:val="17365EA3"/>
    <w:rsid w:val="173C7878"/>
    <w:rsid w:val="174A146B"/>
    <w:rsid w:val="17671DD7"/>
    <w:rsid w:val="177D1A7E"/>
    <w:rsid w:val="179B5CE4"/>
    <w:rsid w:val="17B844F8"/>
    <w:rsid w:val="17C62561"/>
    <w:rsid w:val="17E51298"/>
    <w:rsid w:val="17E8085B"/>
    <w:rsid w:val="17F61621"/>
    <w:rsid w:val="17F83137"/>
    <w:rsid w:val="18201BDB"/>
    <w:rsid w:val="1830047B"/>
    <w:rsid w:val="18432D30"/>
    <w:rsid w:val="186A3863"/>
    <w:rsid w:val="187513FD"/>
    <w:rsid w:val="187A19A6"/>
    <w:rsid w:val="18A44B4F"/>
    <w:rsid w:val="18A84B5D"/>
    <w:rsid w:val="18AC21FD"/>
    <w:rsid w:val="18B33342"/>
    <w:rsid w:val="18B436A1"/>
    <w:rsid w:val="18EB67F8"/>
    <w:rsid w:val="18F172BE"/>
    <w:rsid w:val="190D49C0"/>
    <w:rsid w:val="19C91E85"/>
    <w:rsid w:val="19DC47B8"/>
    <w:rsid w:val="1A0B252C"/>
    <w:rsid w:val="1A1217B6"/>
    <w:rsid w:val="1A2521DD"/>
    <w:rsid w:val="1A2D2811"/>
    <w:rsid w:val="1A4C59BC"/>
    <w:rsid w:val="1A646862"/>
    <w:rsid w:val="1A757F60"/>
    <w:rsid w:val="1A855A0E"/>
    <w:rsid w:val="1A950BA5"/>
    <w:rsid w:val="1AA34B51"/>
    <w:rsid w:val="1AB8095B"/>
    <w:rsid w:val="1ABB663F"/>
    <w:rsid w:val="1ACB68E1"/>
    <w:rsid w:val="1B2D47C9"/>
    <w:rsid w:val="1B397CEE"/>
    <w:rsid w:val="1B4349BC"/>
    <w:rsid w:val="1B480BB4"/>
    <w:rsid w:val="1B5C52C6"/>
    <w:rsid w:val="1B610ECB"/>
    <w:rsid w:val="1B684142"/>
    <w:rsid w:val="1B762CF0"/>
    <w:rsid w:val="1B7C0D0C"/>
    <w:rsid w:val="1B962F34"/>
    <w:rsid w:val="1B9956F6"/>
    <w:rsid w:val="1B9D75FA"/>
    <w:rsid w:val="1BE13475"/>
    <w:rsid w:val="1C0A7489"/>
    <w:rsid w:val="1C4501EF"/>
    <w:rsid w:val="1C513FDD"/>
    <w:rsid w:val="1C606F52"/>
    <w:rsid w:val="1C6E39C8"/>
    <w:rsid w:val="1C88302A"/>
    <w:rsid w:val="1CA800D8"/>
    <w:rsid w:val="1CAE3285"/>
    <w:rsid w:val="1CEE2D5A"/>
    <w:rsid w:val="1CF27B97"/>
    <w:rsid w:val="1CF3317D"/>
    <w:rsid w:val="1D182820"/>
    <w:rsid w:val="1D1A5D06"/>
    <w:rsid w:val="1D291DE0"/>
    <w:rsid w:val="1D3364DA"/>
    <w:rsid w:val="1D342DD9"/>
    <w:rsid w:val="1D684420"/>
    <w:rsid w:val="1D6B2AB2"/>
    <w:rsid w:val="1D8316F5"/>
    <w:rsid w:val="1D845875"/>
    <w:rsid w:val="1D8B699F"/>
    <w:rsid w:val="1DA94004"/>
    <w:rsid w:val="1DB31B31"/>
    <w:rsid w:val="1DC934B1"/>
    <w:rsid w:val="1DD53E7E"/>
    <w:rsid w:val="1DF51CE6"/>
    <w:rsid w:val="1DFD6643"/>
    <w:rsid w:val="1E071C02"/>
    <w:rsid w:val="1E0B58BC"/>
    <w:rsid w:val="1E631416"/>
    <w:rsid w:val="1E6919B2"/>
    <w:rsid w:val="1E77651A"/>
    <w:rsid w:val="1EA628BB"/>
    <w:rsid w:val="1EB570AF"/>
    <w:rsid w:val="1ED4610C"/>
    <w:rsid w:val="1EDA5E51"/>
    <w:rsid w:val="1EDD4E34"/>
    <w:rsid w:val="1F12304F"/>
    <w:rsid w:val="1F290ADE"/>
    <w:rsid w:val="1F524949"/>
    <w:rsid w:val="1F5C0403"/>
    <w:rsid w:val="1F6E5593"/>
    <w:rsid w:val="1F84141D"/>
    <w:rsid w:val="1F93294A"/>
    <w:rsid w:val="1FB50281"/>
    <w:rsid w:val="1FE567CB"/>
    <w:rsid w:val="2053573E"/>
    <w:rsid w:val="20587782"/>
    <w:rsid w:val="205D490B"/>
    <w:rsid w:val="209604F7"/>
    <w:rsid w:val="20BC17B5"/>
    <w:rsid w:val="20CA763A"/>
    <w:rsid w:val="20CD6468"/>
    <w:rsid w:val="21706064"/>
    <w:rsid w:val="21732629"/>
    <w:rsid w:val="218D2983"/>
    <w:rsid w:val="21B87493"/>
    <w:rsid w:val="21CC491E"/>
    <w:rsid w:val="222D5184"/>
    <w:rsid w:val="22343084"/>
    <w:rsid w:val="22460F43"/>
    <w:rsid w:val="22852F64"/>
    <w:rsid w:val="22B70284"/>
    <w:rsid w:val="22F2190D"/>
    <w:rsid w:val="23243032"/>
    <w:rsid w:val="233640A6"/>
    <w:rsid w:val="233D769D"/>
    <w:rsid w:val="235262A0"/>
    <w:rsid w:val="235731E7"/>
    <w:rsid w:val="236C49D9"/>
    <w:rsid w:val="23924A52"/>
    <w:rsid w:val="23924F51"/>
    <w:rsid w:val="239F1807"/>
    <w:rsid w:val="23B44609"/>
    <w:rsid w:val="23C441FE"/>
    <w:rsid w:val="23D51634"/>
    <w:rsid w:val="23DB3C24"/>
    <w:rsid w:val="24003A01"/>
    <w:rsid w:val="240A0BD1"/>
    <w:rsid w:val="240A2C1D"/>
    <w:rsid w:val="24290CAB"/>
    <w:rsid w:val="24CA5E5B"/>
    <w:rsid w:val="24D12D46"/>
    <w:rsid w:val="24DB0068"/>
    <w:rsid w:val="24EC414F"/>
    <w:rsid w:val="24F54BEE"/>
    <w:rsid w:val="25192DBC"/>
    <w:rsid w:val="25343390"/>
    <w:rsid w:val="25505BA0"/>
    <w:rsid w:val="2565149B"/>
    <w:rsid w:val="25BB2FE3"/>
    <w:rsid w:val="25D71782"/>
    <w:rsid w:val="25E8567F"/>
    <w:rsid w:val="25ED4537"/>
    <w:rsid w:val="260648E0"/>
    <w:rsid w:val="26073F14"/>
    <w:rsid w:val="26433C94"/>
    <w:rsid w:val="26955FF5"/>
    <w:rsid w:val="26E90788"/>
    <w:rsid w:val="26FC06C6"/>
    <w:rsid w:val="271323C7"/>
    <w:rsid w:val="27167A8B"/>
    <w:rsid w:val="27AE7A61"/>
    <w:rsid w:val="27B64475"/>
    <w:rsid w:val="280C6233"/>
    <w:rsid w:val="281A2C55"/>
    <w:rsid w:val="283B1E4E"/>
    <w:rsid w:val="284213B4"/>
    <w:rsid w:val="28732366"/>
    <w:rsid w:val="28852C8C"/>
    <w:rsid w:val="288600E0"/>
    <w:rsid w:val="28862CC8"/>
    <w:rsid w:val="28AC5FA3"/>
    <w:rsid w:val="28AE421D"/>
    <w:rsid w:val="28D41CA2"/>
    <w:rsid w:val="290F310C"/>
    <w:rsid w:val="293146FB"/>
    <w:rsid w:val="29327670"/>
    <w:rsid w:val="296E3062"/>
    <w:rsid w:val="29936F3F"/>
    <w:rsid w:val="29A75BC5"/>
    <w:rsid w:val="29B6075C"/>
    <w:rsid w:val="29BF1D06"/>
    <w:rsid w:val="29E70739"/>
    <w:rsid w:val="29F847A3"/>
    <w:rsid w:val="2A096AD2"/>
    <w:rsid w:val="2A0F77B2"/>
    <w:rsid w:val="2A257AF8"/>
    <w:rsid w:val="2A4C22B1"/>
    <w:rsid w:val="2A720B27"/>
    <w:rsid w:val="2A7378CC"/>
    <w:rsid w:val="2A866380"/>
    <w:rsid w:val="2ACC61EB"/>
    <w:rsid w:val="2B0A3502"/>
    <w:rsid w:val="2B1C07A0"/>
    <w:rsid w:val="2B660615"/>
    <w:rsid w:val="2B7A106D"/>
    <w:rsid w:val="2B952529"/>
    <w:rsid w:val="2BAA2542"/>
    <w:rsid w:val="2BB90D56"/>
    <w:rsid w:val="2BF53AD4"/>
    <w:rsid w:val="2BF6510B"/>
    <w:rsid w:val="2C0156E3"/>
    <w:rsid w:val="2C180F8A"/>
    <w:rsid w:val="2C1D190B"/>
    <w:rsid w:val="2C474A6F"/>
    <w:rsid w:val="2C4A2FA6"/>
    <w:rsid w:val="2C8903AA"/>
    <w:rsid w:val="2CA04CF5"/>
    <w:rsid w:val="2CA0696F"/>
    <w:rsid w:val="2CD3540F"/>
    <w:rsid w:val="2CEC7D9B"/>
    <w:rsid w:val="2CF55A3F"/>
    <w:rsid w:val="2CF744F2"/>
    <w:rsid w:val="2D1027EC"/>
    <w:rsid w:val="2D1F6099"/>
    <w:rsid w:val="2D2A29EC"/>
    <w:rsid w:val="2D545DD9"/>
    <w:rsid w:val="2D553BAD"/>
    <w:rsid w:val="2D71136F"/>
    <w:rsid w:val="2D8D0335"/>
    <w:rsid w:val="2D9A4C88"/>
    <w:rsid w:val="2DA05C94"/>
    <w:rsid w:val="2DE57588"/>
    <w:rsid w:val="2E424CB4"/>
    <w:rsid w:val="2E5E10ED"/>
    <w:rsid w:val="2E766DC1"/>
    <w:rsid w:val="2ECB59AE"/>
    <w:rsid w:val="2ED86DD7"/>
    <w:rsid w:val="2F4A63B9"/>
    <w:rsid w:val="2F8445C0"/>
    <w:rsid w:val="2F9741D0"/>
    <w:rsid w:val="2FBA3923"/>
    <w:rsid w:val="300F364E"/>
    <w:rsid w:val="30136908"/>
    <w:rsid w:val="30143AC1"/>
    <w:rsid w:val="304C5976"/>
    <w:rsid w:val="305831AF"/>
    <w:rsid w:val="30734564"/>
    <w:rsid w:val="30935465"/>
    <w:rsid w:val="30A35D3F"/>
    <w:rsid w:val="30A82ED6"/>
    <w:rsid w:val="30F023E2"/>
    <w:rsid w:val="30F56F37"/>
    <w:rsid w:val="310A2DDF"/>
    <w:rsid w:val="311C1AD4"/>
    <w:rsid w:val="312A6D01"/>
    <w:rsid w:val="315636BC"/>
    <w:rsid w:val="31732F2F"/>
    <w:rsid w:val="317621F9"/>
    <w:rsid w:val="319E0453"/>
    <w:rsid w:val="31B00C5B"/>
    <w:rsid w:val="31B276EC"/>
    <w:rsid w:val="31FD161E"/>
    <w:rsid w:val="320B0C9E"/>
    <w:rsid w:val="320F5D28"/>
    <w:rsid w:val="322C303C"/>
    <w:rsid w:val="323639C8"/>
    <w:rsid w:val="32406DCC"/>
    <w:rsid w:val="32560D2E"/>
    <w:rsid w:val="32582CF8"/>
    <w:rsid w:val="327235F8"/>
    <w:rsid w:val="32840E04"/>
    <w:rsid w:val="32894C60"/>
    <w:rsid w:val="32896D68"/>
    <w:rsid w:val="32F02F31"/>
    <w:rsid w:val="331B1421"/>
    <w:rsid w:val="332B2B6A"/>
    <w:rsid w:val="33357EDB"/>
    <w:rsid w:val="333F101E"/>
    <w:rsid w:val="33541F89"/>
    <w:rsid w:val="336C35DF"/>
    <w:rsid w:val="33722DDE"/>
    <w:rsid w:val="337324BA"/>
    <w:rsid w:val="337E3A05"/>
    <w:rsid w:val="338F137F"/>
    <w:rsid w:val="33904618"/>
    <w:rsid w:val="33A61841"/>
    <w:rsid w:val="33BD2A9A"/>
    <w:rsid w:val="33C111BF"/>
    <w:rsid w:val="33D8552F"/>
    <w:rsid w:val="33FC4FD9"/>
    <w:rsid w:val="341C1B03"/>
    <w:rsid w:val="34245C06"/>
    <w:rsid w:val="342843D5"/>
    <w:rsid w:val="343D3474"/>
    <w:rsid w:val="345A454D"/>
    <w:rsid w:val="34657EE4"/>
    <w:rsid w:val="346F60D7"/>
    <w:rsid w:val="34820436"/>
    <w:rsid w:val="34C04B85"/>
    <w:rsid w:val="34CC1318"/>
    <w:rsid w:val="352326C9"/>
    <w:rsid w:val="352769B2"/>
    <w:rsid w:val="356814A4"/>
    <w:rsid w:val="356924AC"/>
    <w:rsid w:val="35717762"/>
    <w:rsid w:val="358941C1"/>
    <w:rsid w:val="35AD6EB7"/>
    <w:rsid w:val="35B04BF9"/>
    <w:rsid w:val="35CA124E"/>
    <w:rsid w:val="35EF75DA"/>
    <w:rsid w:val="36046015"/>
    <w:rsid w:val="36541A28"/>
    <w:rsid w:val="367970EC"/>
    <w:rsid w:val="369A43F5"/>
    <w:rsid w:val="36A815F8"/>
    <w:rsid w:val="36C941C4"/>
    <w:rsid w:val="36E65335"/>
    <w:rsid w:val="36FE2B25"/>
    <w:rsid w:val="37321D6A"/>
    <w:rsid w:val="37465AAF"/>
    <w:rsid w:val="375A48CB"/>
    <w:rsid w:val="376A486B"/>
    <w:rsid w:val="3784426D"/>
    <w:rsid w:val="3795250C"/>
    <w:rsid w:val="37D82760"/>
    <w:rsid w:val="37D9698F"/>
    <w:rsid w:val="37F444FC"/>
    <w:rsid w:val="37F76B0F"/>
    <w:rsid w:val="385678DB"/>
    <w:rsid w:val="3862667F"/>
    <w:rsid w:val="38631B64"/>
    <w:rsid w:val="38746E53"/>
    <w:rsid w:val="38AB1F00"/>
    <w:rsid w:val="38B33FA2"/>
    <w:rsid w:val="38C34CE3"/>
    <w:rsid w:val="38E04BA8"/>
    <w:rsid w:val="38E0710D"/>
    <w:rsid w:val="38E56968"/>
    <w:rsid w:val="38E86458"/>
    <w:rsid w:val="38F97057"/>
    <w:rsid w:val="3926030C"/>
    <w:rsid w:val="392A3FD0"/>
    <w:rsid w:val="395A0FC8"/>
    <w:rsid w:val="39766233"/>
    <w:rsid w:val="39EF7364"/>
    <w:rsid w:val="39F01A68"/>
    <w:rsid w:val="39F41558"/>
    <w:rsid w:val="39FF7EFD"/>
    <w:rsid w:val="3A0A0244"/>
    <w:rsid w:val="3A115BBC"/>
    <w:rsid w:val="3A174C1D"/>
    <w:rsid w:val="3A202331"/>
    <w:rsid w:val="3A2D4A6A"/>
    <w:rsid w:val="3A7033D3"/>
    <w:rsid w:val="3AEC66D3"/>
    <w:rsid w:val="3AEF3ACE"/>
    <w:rsid w:val="3AEF4285"/>
    <w:rsid w:val="3B0A7826"/>
    <w:rsid w:val="3B305C39"/>
    <w:rsid w:val="3B585DFB"/>
    <w:rsid w:val="3B6C0226"/>
    <w:rsid w:val="3B70047F"/>
    <w:rsid w:val="3BB46701"/>
    <w:rsid w:val="3BF515B8"/>
    <w:rsid w:val="3C067321"/>
    <w:rsid w:val="3C08315E"/>
    <w:rsid w:val="3C3628E8"/>
    <w:rsid w:val="3C497F17"/>
    <w:rsid w:val="3C556CA2"/>
    <w:rsid w:val="3C6F14AD"/>
    <w:rsid w:val="3CC0446D"/>
    <w:rsid w:val="3D020BF8"/>
    <w:rsid w:val="3D12018D"/>
    <w:rsid w:val="3D172030"/>
    <w:rsid w:val="3D3175A1"/>
    <w:rsid w:val="3D324176"/>
    <w:rsid w:val="3D364487"/>
    <w:rsid w:val="3D3A0CB0"/>
    <w:rsid w:val="3D4225DB"/>
    <w:rsid w:val="3D4E71D1"/>
    <w:rsid w:val="3D592EA6"/>
    <w:rsid w:val="3DB42248"/>
    <w:rsid w:val="3DC37C4C"/>
    <w:rsid w:val="3DD87A69"/>
    <w:rsid w:val="3DE4588E"/>
    <w:rsid w:val="3DE511B8"/>
    <w:rsid w:val="3DE6364D"/>
    <w:rsid w:val="3E0B1539"/>
    <w:rsid w:val="3E0E14A2"/>
    <w:rsid w:val="3E3A6DCE"/>
    <w:rsid w:val="3E6B14FD"/>
    <w:rsid w:val="3E6B2B11"/>
    <w:rsid w:val="3EB73C3D"/>
    <w:rsid w:val="3EF83163"/>
    <w:rsid w:val="3F116709"/>
    <w:rsid w:val="3F3E6459"/>
    <w:rsid w:val="3F41358C"/>
    <w:rsid w:val="3F5A27C7"/>
    <w:rsid w:val="3F87603A"/>
    <w:rsid w:val="3F895D9B"/>
    <w:rsid w:val="3F8961F0"/>
    <w:rsid w:val="3FA300F2"/>
    <w:rsid w:val="3FB928FC"/>
    <w:rsid w:val="3FD2204D"/>
    <w:rsid w:val="3FF75BE3"/>
    <w:rsid w:val="403D1149"/>
    <w:rsid w:val="40401CAC"/>
    <w:rsid w:val="404A137E"/>
    <w:rsid w:val="40880C4C"/>
    <w:rsid w:val="4089605A"/>
    <w:rsid w:val="40A62E81"/>
    <w:rsid w:val="40F06653"/>
    <w:rsid w:val="40F77D9A"/>
    <w:rsid w:val="41083B3B"/>
    <w:rsid w:val="41744D2D"/>
    <w:rsid w:val="41984EBF"/>
    <w:rsid w:val="41B24CC4"/>
    <w:rsid w:val="41BA5DCC"/>
    <w:rsid w:val="41C072C4"/>
    <w:rsid w:val="41C16147"/>
    <w:rsid w:val="41D0227A"/>
    <w:rsid w:val="41D75109"/>
    <w:rsid w:val="422607AA"/>
    <w:rsid w:val="422A1F39"/>
    <w:rsid w:val="423D470D"/>
    <w:rsid w:val="423E006E"/>
    <w:rsid w:val="42470693"/>
    <w:rsid w:val="42C341BE"/>
    <w:rsid w:val="42CC4FC0"/>
    <w:rsid w:val="42CC5E21"/>
    <w:rsid w:val="430876BF"/>
    <w:rsid w:val="432637B8"/>
    <w:rsid w:val="436551BA"/>
    <w:rsid w:val="43AF4B46"/>
    <w:rsid w:val="43DB726E"/>
    <w:rsid w:val="43F605F1"/>
    <w:rsid w:val="44237D6C"/>
    <w:rsid w:val="442B375A"/>
    <w:rsid w:val="445671D3"/>
    <w:rsid w:val="4468536F"/>
    <w:rsid w:val="44832E54"/>
    <w:rsid w:val="449241DE"/>
    <w:rsid w:val="4496320C"/>
    <w:rsid w:val="44CA6634"/>
    <w:rsid w:val="44DE5453"/>
    <w:rsid w:val="44F12B1F"/>
    <w:rsid w:val="44F65221"/>
    <w:rsid w:val="45045C3D"/>
    <w:rsid w:val="45215744"/>
    <w:rsid w:val="455B12EB"/>
    <w:rsid w:val="456F4189"/>
    <w:rsid w:val="45854D5F"/>
    <w:rsid w:val="4591402D"/>
    <w:rsid w:val="45961716"/>
    <w:rsid w:val="45B3114C"/>
    <w:rsid w:val="45C75D73"/>
    <w:rsid w:val="45CC15DB"/>
    <w:rsid w:val="45CE477D"/>
    <w:rsid w:val="45F124CD"/>
    <w:rsid w:val="45FA234C"/>
    <w:rsid w:val="4618037D"/>
    <w:rsid w:val="461967D0"/>
    <w:rsid w:val="461D180F"/>
    <w:rsid w:val="46336B3E"/>
    <w:rsid w:val="467C4AB2"/>
    <w:rsid w:val="467D28D5"/>
    <w:rsid w:val="469379E3"/>
    <w:rsid w:val="46971BE9"/>
    <w:rsid w:val="469C1F53"/>
    <w:rsid w:val="46C83E13"/>
    <w:rsid w:val="46CB7CD3"/>
    <w:rsid w:val="46FF658E"/>
    <w:rsid w:val="47015D1A"/>
    <w:rsid w:val="474C5E98"/>
    <w:rsid w:val="4779406A"/>
    <w:rsid w:val="4780519C"/>
    <w:rsid w:val="47AF2F63"/>
    <w:rsid w:val="47C34240"/>
    <w:rsid w:val="47C46D2D"/>
    <w:rsid w:val="47CB37B9"/>
    <w:rsid w:val="47D84AE3"/>
    <w:rsid w:val="47DA41E3"/>
    <w:rsid w:val="47DC0E49"/>
    <w:rsid w:val="4803774D"/>
    <w:rsid w:val="48287942"/>
    <w:rsid w:val="482B2C25"/>
    <w:rsid w:val="486D225E"/>
    <w:rsid w:val="4877114A"/>
    <w:rsid w:val="489D42EF"/>
    <w:rsid w:val="48A0799F"/>
    <w:rsid w:val="48A952B4"/>
    <w:rsid w:val="48AB1F1A"/>
    <w:rsid w:val="48C57A58"/>
    <w:rsid w:val="48E2637A"/>
    <w:rsid w:val="49242691"/>
    <w:rsid w:val="49395702"/>
    <w:rsid w:val="49496E11"/>
    <w:rsid w:val="499F5B1A"/>
    <w:rsid w:val="49C7566B"/>
    <w:rsid w:val="49CC4E4A"/>
    <w:rsid w:val="4A11104B"/>
    <w:rsid w:val="4A207C29"/>
    <w:rsid w:val="4A26656D"/>
    <w:rsid w:val="4A5B2F2E"/>
    <w:rsid w:val="4A5D3462"/>
    <w:rsid w:val="4A7D4A2E"/>
    <w:rsid w:val="4A8020D3"/>
    <w:rsid w:val="4A804B61"/>
    <w:rsid w:val="4AA42FEC"/>
    <w:rsid w:val="4AA7729B"/>
    <w:rsid w:val="4AAB24F7"/>
    <w:rsid w:val="4AC26B09"/>
    <w:rsid w:val="4AC27C53"/>
    <w:rsid w:val="4AC960E9"/>
    <w:rsid w:val="4B64536E"/>
    <w:rsid w:val="4BBE3774"/>
    <w:rsid w:val="4BDE02E1"/>
    <w:rsid w:val="4BE30C14"/>
    <w:rsid w:val="4C071C65"/>
    <w:rsid w:val="4C862F72"/>
    <w:rsid w:val="4C9363C5"/>
    <w:rsid w:val="4CB56582"/>
    <w:rsid w:val="4D03457F"/>
    <w:rsid w:val="4D155616"/>
    <w:rsid w:val="4D284F97"/>
    <w:rsid w:val="4D7A3F64"/>
    <w:rsid w:val="4D81544B"/>
    <w:rsid w:val="4D8805B2"/>
    <w:rsid w:val="4DC40DEA"/>
    <w:rsid w:val="4DD23507"/>
    <w:rsid w:val="4E1D1556"/>
    <w:rsid w:val="4E2757B6"/>
    <w:rsid w:val="4E313AA4"/>
    <w:rsid w:val="4E551E41"/>
    <w:rsid w:val="4EDA079D"/>
    <w:rsid w:val="4EDA2DA5"/>
    <w:rsid w:val="4EF90007"/>
    <w:rsid w:val="4F0D6435"/>
    <w:rsid w:val="4F1B699F"/>
    <w:rsid w:val="4F301DE5"/>
    <w:rsid w:val="4F5D2FAF"/>
    <w:rsid w:val="4F907EA6"/>
    <w:rsid w:val="4F973BB1"/>
    <w:rsid w:val="4FA62C99"/>
    <w:rsid w:val="4FF26BE4"/>
    <w:rsid w:val="500F3DEE"/>
    <w:rsid w:val="500F6793"/>
    <w:rsid w:val="50150222"/>
    <w:rsid w:val="50281720"/>
    <w:rsid w:val="507216C6"/>
    <w:rsid w:val="509E5922"/>
    <w:rsid w:val="51102BDE"/>
    <w:rsid w:val="511B7A28"/>
    <w:rsid w:val="5122108E"/>
    <w:rsid w:val="512C5624"/>
    <w:rsid w:val="513A6AEE"/>
    <w:rsid w:val="517103BD"/>
    <w:rsid w:val="519D6CBC"/>
    <w:rsid w:val="51B10243"/>
    <w:rsid w:val="51B14148"/>
    <w:rsid w:val="520029C8"/>
    <w:rsid w:val="52034337"/>
    <w:rsid w:val="52211ED5"/>
    <w:rsid w:val="52232E2C"/>
    <w:rsid w:val="52396B6C"/>
    <w:rsid w:val="523A36CE"/>
    <w:rsid w:val="523C3CA1"/>
    <w:rsid w:val="523E6541"/>
    <w:rsid w:val="52460BB4"/>
    <w:rsid w:val="524F3418"/>
    <w:rsid w:val="527053FC"/>
    <w:rsid w:val="527756D6"/>
    <w:rsid w:val="52AD428A"/>
    <w:rsid w:val="52CC2C1B"/>
    <w:rsid w:val="531533B0"/>
    <w:rsid w:val="531F62E3"/>
    <w:rsid w:val="53697CCB"/>
    <w:rsid w:val="537037F2"/>
    <w:rsid w:val="53843DE9"/>
    <w:rsid w:val="539A02BF"/>
    <w:rsid w:val="53A828FB"/>
    <w:rsid w:val="53EB5322"/>
    <w:rsid w:val="5416464E"/>
    <w:rsid w:val="541736F7"/>
    <w:rsid w:val="54374914"/>
    <w:rsid w:val="543C1920"/>
    <w:rsid w:val="54420BB3"/>
    <w:rsid w:val="5490662A"/>
    <w:rsid w:val="54A66A5B"/>
    <w:rsid w:val="54BF230B"/>
    <w:rsid w:val="54C65448"/>
    <w:rsid w:val="54C811C0"/>
    <w:rsid w:val="5500726D"/>
    <w:rsid w:val="55095FB2"/>
    <w:rsid w:val="551B1625"/>
    <w:rsid w:val="551E7FE8"/>
    <w:rsid w:val="556257AB"/>
    <w:rsid w:val="556709D9"/>
    <w:rsid w:val="55764D2C"/>
    <w:rsid w:val="55812A2E"/>
    <w:rsid w:val="559117C5"/>
    <w:rsid w:val="559D5F92"/>
    <w:rsid w:val="55D44F60"/>
    <w:rsid w:val="55EB120F"/>
    <w:rsid w:val="560C5AA1"/>
    <w:rsid w:val="560F6013"/>
    <w:rsid w:val="56405EBD"/>
    <w:rsid w:val="564D7967"/>
    <w:rsid w:val="56717635"/>
    <w:rsid w:val="56856A02"/>
    <w:rsid w:val="56CC0543"/>
    <w:rsid w:val="56FB1D20"/>
    <w:rsid w:val="570A1709"/>
    <w:rsid w:val="57176AD4"/>
    <w:rsid w:val="571921A6"/>
    <w:rsid w:val="572677E8"/>
    <w:rsid w:val="5739788F"/>
    <w:rsid w:val="573F4439"/>
    <w:rsid w:val="574A3A7E"/>
    <w:rsid w:val="57B25113"/>
    <w:rsid w:val="57B46AE6"/>
    <w:rsid w:val="57ED1ACF"/>
    <w:rsid w:val="58090325"/>
    <w:rsid w:val="58134862"/>
    <w:rsid w:val="583B3505"/>
    <w:rsid w:val="584D2039"/>
    <w:rsid w:val="584F0E57"/>
    <w:rsid w:val="58514E7E"/>
    <w:rsid w:val="585C7CED"/>
    <w:rsid w:val="58626540"/>
    <w:rsid w:val="58850D81"/>
    <w:rsid w:val="588C5303"/>
    <w:rsid w:val="58AE2766"/>
    <w:rsid w:val="58B47241"/>
    <w:rsid w:val="58F703F2"/>
    <w:rsid w:val="59011D15"/>
    <w:rsid w:val="5927572B"/>
    <w:rsid w:val="59372DB8"/>
    <w:rsid w:val="59414ACC"/>
    <w:rsid w:val="59657925"/>
    <w:rsid w:val="597E50E4"/>
    <w:rsid w:val="59D34872"/>
    <w:rsid w:val="59DB7BE7"/>
    <w:rsid w:val="59E92304"/>
    <w:rsid w:val="59ED1AD4"/>
    <w:rsid w:val="5A4A466A"/>
    <w:rsid w:val="5A546305"/>
    <w:rsid w:val="5A612D65"/>
    <w:rsid w:val="5A744514"/>
    <w:rsid w:val="5AD30AB8"/>
    <w:rsid w:val="5ADA6D0C"/>
    <w:rsid w:val="5AE024ED"/>
    <w:rsid w:val="5B075440"/>
    <w:rsid w:val="5B1D54D2"/>
    <w:rsid w:val="5B3834B9"/>
    <w:rsid w:val="5B420BD4"/>
    <w:rsid w:val="5B615ECA"/>
    <w:rsid w:val="5B6559BA"/>
    <w:rsid w:val="5B6C3B57"/>
    <w:rsid w:val="5B841BB9"/>
    <w:rsid w:val="5B89029B"/>
    <w:rsid w:val="5B8A0BEC"/>
    <w:rsid w:val="5B936663"/>
    <w:rsid w:val="5B9F42B7"/>
    <w:rsid w:val="5BDE3BB2"/>
    <w:rsid w:val="5BF63A7F"/>
    <w:rsid w:val="5BF649C8"/>
    <w:rsid w:val="5C052CBB"/>
    <w:rsid w:val="5C0B2C47"/>
    <w:rsid w:val="5C417AAD"/>
    <w:rsid w:val="5C69454C"/>
    <w:rsid w:val="5C734427"/>
    <w:rsid w:val="5C7B5759"/>
    <w:rsid w:val="5C864CF4"/>
    <w:rsid w:val="5C8C4AAD"/>
    <w:rsid w:val="5C8F57F7"/>
    <w:rsid w:val="5CAA2E2B"/>
    <w:rsid w:val="5D0811C9"/>
    <w:rsid w:val="5D1F2369"/>
    <w:rsid w:val="5D28781B"/>
    <w:rsid w:val="5D734403"/>
    <w:rsid w:val="5D8F09DC"/>
    <w:rsid w:val="5D924E5B"/>
    <w:rsid w:val="5DF13FCA"/>
    <w:rsid w:val="5E095BEF"/>
    <w:rsid w:val="5E2A3E5C"/>
    <w:rsid w:val="5E4E7AE0"/>
    <w:rsid w:val="5E5E1429"/>
    <w:rsid w:val="5E7A7009"/>
    <w:rsid w:val="5E902217"/>
    <w:rsid w:val="5E912F77"/>
    <w:rsid w:val="5E9373E2"/>
    <w:rsid w:val="5EAB267A"/>
    <w:rsid w:val="5EB44D5F"/>
    <w:rsid w:val="5EBE3E05"/>
    <w:rsid w:val="5EF01A3F"/>
    <w:rsid w:val="5EFB3FE5"/>
    <w:rsid w:val="5EFC73A8"/>
    <w:rsid w:val="5F28352A"/>
    <w:rsid w:val="5F324694"/>
    <w:rsid w:val="5F3F173B"/>
    <w:rsid w:val="5F5B251A"/>
    <w:rsid w:val="5F660C8F"/>
    <w:rsid w:val="5F663E35"/>
    <w:rsid w:val="5F6E08EE"/>
    <w:rsid w:val="5F717301"/>
    <w:rsid w:val="5F775FA5"/>
    <w:rsid w:val="5FC86518"/>
    <w:rsid w:val="60073A37"/>
    <w:rsid w:val="601103EE"/>
    <w:rsid w:val="6025360D"/>
    <w:rsid w:val="606F4BE5"/>
    <w:rsid w:val="60961A4A"/>
    <w:rsid w:val="60B506D8"/>
    <w:rsid w:val="60EA6962"/>
    <w:rsid w:val="60EC555F"/>
    <w:rsid w:val="611D2893"/>
    <w:rsid w:val="612B6453"/>
    <w:rsid w:val="616701CF"/>
    <w:rsid w:val="61946A19"/>
    <w:rsid w:val="61D07096"/>
    <w:rsid w:val="61E2068B"/>
    <w:rsid w:val="621C1451"/>
    <w:rsid w:val="621D15CF"/>
    <w:rsid w:val="622B7232"/>
    <w:rsid w:val="623E4F7F"/>
    <w:rsid w:val="62495601"/>
    <w:rsid w:val="62797BB2"/>
    <w:rsid w:val="62A20419"/>
    <w:rsid w:val="62A406E3"/>
    <w:rsid w:val="62BD60DC"/>
    <w:rsid w:val="62DA5B45"/>
    <w:rsid w:val="63144ED1"/>
    <w:rsid w:val="631F6C28"/>
    <w:rsid w:val="6321597F"/>
    <w:rsid w:val="6322267B"/>
    <w:rsid w:val="632B573B"/>
    <w:rsid w:val="633D31BE"/>
    <w:rsid w:val="63481E7E"/>
    <w:rsid w:val="634B210E"/>
    <w:rsid w:val="635301FD"/>
    <w:rsid w:val="637C027A"/>
    <w:rsid w:val="63974B7F"/>
    <w:rsid w:val="63B438FA"/>
    <w:rsid w:val="63C17E4E"/>
    <w:rsid w:val="63EF49BB"/>
    <w:rsid w:val="63EF6111"/>
    <w:rsid w:val="63F975E8"/>
    <w:rsid w:val="64315368"/>
    <w:rsid w:val="64694748"/>
    <w:rsid w:val="646F31FC"/>
    <w:rsid w:val="646F4EB4"/>
    <w:rsid w:val="64882012"/>
    <w:rsid w:val="64B063A0"/>
    <w:rsid w:val="64D03E1F"/>
    <w:rsid w:val="64E9172C"/>
    <w:rsid w:val="651C3839"/>
    <w:rsid w:val="65202561"/>
    <w:rsid w:val="653F088C"/>
    <w:rsid w:val="65413DF5"/>
    <w:rsid w:val="655F527B"/>
    <w:rsid w:val="657C7170"/>
    <w:rsid w:val="65853495"/>
    <w:rsid w:val="658E6AD7"/>
    <w:rsid w:val="65A75A3F"/>
    <w:rsid w:val="65B51B36"/>
    <w:rsid w:val="65B7452D"/>
    <w:rsid w:val="65CB1579"/>
    <w:rsid w:val="65D26342"/>
    <w:rsid w:val="65E642EF"/>
    <w:rsid w:val="66025ADB"/>
    <w:rsid w:val="662D5327"/>
    <w:rsid w:val="66793D3B"/>
    <w:rsid w:val="66811B16"/>
    <w:rsid w:val="669707A8"/>
    <w:rsid w:val="66A52F54"/>
    <w:rsid w:val="66AA7C7F"/>
    <w:rsid w:val="66B25A63"/>
    <w:rsid w:val="66BC66AA"/>
    <w:rsid w:val="67080D03"/>
    <w:rsid w:val="6727446C"/>
    <w:rsid w:val="67491539"/>
    <w:rsid w:val="67495B35"/>
    <w:rsid w:val="676B3F22"/>
    <w:rsid w:val="677044D9"/>
    <w:rsid w:val="677D22DE"/>
    <w:rsid w:val="67A1616C"/>
    <w:rsid w:val="67A32110"/>
    <w:rsid w:val="67B94882"/>
    <w:rsid w:val="683B285E"/>
    <w:rsid w:val="68464DC5"/>
    <w:rsid w:val="68537082"/>
    <w:rsid w:val="686B482C"/>
    <w:rsid w:val="688914CA"/>
    <w:rsid w:val="6896624F"/>
    <w:rsid w:val="68992B9B"/>
    <w:rsid w:val="68A432E1"/>
    <w:rsid w:val="68BC14FB"/>
    <w:rsid w:val="68BD4417"/>
    <w:rsid w:val="68BF2482"/>
    <w:rsid w:val="68E22815"/>
    <w:rsid w:val="69401815"/>
    <w:rsid w:val="69420380"/>
    <w:rsid w:val="697A1F9F"/>
    <w:rsid w:val="699A629F"/>
    <w:rsid w:val="69A42944"/>
    <w:rsid w:val="69E125CA"/>
    <w:rsid w:val="69E72383"/>
    <w:rsid w:val="69F61B52"/>
    <w:rsid w:val="6A134E25"/>
    <w:rsid w:val="6A3401F6"/>
    <w:rsid w:val="6A437437"/>
    <w:rsid w:val="6A641533"/>
    <w:rsid w:val="6A6F42D7"/>
    <w:rsid w:val="6A8A6E9B"/>
    <w:rsid w:val="6AA0026A"/>
    <w:rsid w:val="6ADA35A3"/>
    <w:rsid w:val="6B436378"/>
    <w:rsid w:val="6B5B138C"/>
    <w:rsid w:val="6B83465A"/>
    <w:rsid w:val="6B9717A7"/>
    <w:rsid w:val="6BA02A3F"/>
    <w:rsid w:val="6BAC787B"/>
    <w:rsid w:val="6BB94931"/>
    <w:rsid w:val="6BD54768"/>
    <w:rsid w:val="6BFD258B"/>
    <w:rsid w:val="6BFF79F9"/>
    <w:rsid w:val="6C3B4D3F"/>
    <w:rsid w:val="6CF74795"/>
    <w:rsid w:val="6D194848"/>
    <w:rsid w:val="6D224A27"/>
    <w:rsid w:val="6D2857BB"/>
    <w:rsid w:val="6D2E01D8"/>
    <w:rsid w:val="6D810AE2"/>
    <w:rsid w:val="6D951112"/>
    <w:rsid w:val="6DB206F5"/>
    <w:rsid w:val="6E066A75"/>
    <w:rsid w:val="6E0C21BD"/>
    <w:rsid w:val="6E193B95"/>
    <w:rsid w:val="6E472BDA"/>
    <w:rsid w:val="6E7903C8"/>
    <w:rsid w:val="6E874502"/>
    <w:rsid w:val="6EAF2BE1"/>
    <w:rsid w:val="6EB160B4"/>
    <w:rsid w:val="6EEB5783"/>
    <w:rsid w:val="6EFD2775"/>
    <w:rsid w:val="6F3D4836"/>
    <w:rsid w:val="6F4011AC"/>
    <w:rsid w:val="6F7C5E7E"/>
    <w:rsid w:val="6FA77175"/>
    <w:rsid w:val="6FAC19B2"/>
    <w:rsid w:val="6FD809F9"/>
    <w:rsid w:val="6FF01740"/>
    <w:rsid w:val="700A5B1B"/>
    <w:rsid w:val="70294FD2"/>
    <w:rsid w:val="7029592E"/>
    <w:rsid w:val="702D7369"/>
    <w:rsid w:val="7031075C"/>
    <w:rsid w:val="70A51593"/>
    <w:rsid w:val="70A67ADE"/>
    <w:rsid w:val="70C95CE0"/>
    <w:rsid w:val="710069BD"/>
    <w:rsid w:val="717E1CFD"/>
    <w:rsid w:val="719A7321"/>
    <w:rsid w:val="719B3EAF"/>
    <w:rsid w:val="71B52674"/>
    <w:rsid w:val="72074EA5"/>
    <w:rsid w:val="722373DD"/>
    <w:rsid w:val="722C26ED"/>
    <w:rsid w:val="72323FC9"/>
    <w:rsid w:val="72377C2E"/>
    <w:rsid w:val="72667A82"/>
    <w:rsid w:val="72706B69"/>
    <w:rsid w:val="727226CC"/>
    <w:rsid w:val="72930C07"/>
    <w:rsid w:val="733B3061"/>
    <w:rsid w:val="73786DE9"/>
    <w:rsid w:val="737D6FAA"/>
    <w:rsid w:val="73AD38E2"/>
    <w:rsid w:val="73E86D31"/>
    <w:rsid w:val="740F39E0"/>
    <w:rsid w:val="74162C1F"/>
    <w:rsid w:val="74170CB4"/>
    <w:rsid w:val="74312486"/>
    <w:rsid w:val="748548D6"/>
    <w:rsid w:val="748F6204"/>
    <w:rsid w:val="74B620B0"/>
    <w:rsid w:val="74B72586"/>
    <w:rsid w:val="74C42745"/>
    <w:rsid w:val="74CA0D3E"/>
    <w:rsid w:val="74E43487"/>
    <w:rsid w:val="75053C80"/>
    <w:rsid w:val="753C5586"/>
    <w:rsid w:val="75AE47A9"/>
    <w:rsid w:val="75BA11FE"/>
    <w:rsid w:val="75CA4BAD"/>
    <w:rsid w:val="75CF05CD"/>
    <w:rsid w:val="765C10C3"/>
    <w:rsid w:val="76793EB0"/>
    <w:rsid w:val="76D43C60"/>
    <w:rsid w:val="76EB7264"/>
    <w:rsid w:val="76F36A4F"/>
    <w:rsid w:val="774C75D7"/>
    <w:rsid w:val="776C1D33"/>
    <w:rsid w:val="77721D4A"/>
    <w:rsid w:val="778126C1"/>
    <w:rsid w:val="779A40F5"/>
    <w:rsid w:val="77A85155"/>
    <w:rsid w:val="77BC023D"/>
    <w:rsid w:val="77C712E3"/>
    <w:rsid w:val="77F6515C"/>
    <w:rsid w:val="782B19EF"/>
    <w:rsid w:val="78322C5E"/>
    <w:rsid w:val="783F4846"/>
    <w:rsid w:val="78402250"/>
    <w:rsid w:val="78455A5A"/>
    <w:rsid w:val="786C6E8A"/>
    <w:rsid w:val="78B652F4"/>
    <w:rsid w:val="78B6537E"/>
    <w:rsid w:val="78C02044"/>
    <w:rsid w:val="78F57355"/>
    <w:rsid w:val="78F7797E"/>
    <w:rsid w:val="78FC43C8"/>
    <w:rsid w:val="791A7AD6"/>
    <w:rsid w:val="79204303"/>
    <w:rsid w:val="792A0CD3"/>
    <w:rsid w:val="79315C1F"/>
    <w:rsid w:val="794D6A64"/>
    <w:rsid w:val="79697269"/>
    <w:rsid w:val="79707CE7"/>
    <w:rsid w:val="79723409"/>
    <w:rsid w:val="7985134A"/>
    <w:rsid w:val="799A287B"/>
    <w:rsid w:val="79EB4F57"/>
    <w:rsid w:val="7A1826BB"/>
    <w:rsid w:val="7A1F7224"/>
    <w:rsid w:val="7A8D06A2"/>
    <w:rsid w:val="7A904DD5"/>
    <w:rsid w:val="7AC965C8"/>
    <w:rsid w:val="7B205002"/>
    <w:rsid w:val="7B234AF2"/>
    <w:rsid w:val="7B497C16"/>
    <w:rsid w:val="7B6A0EDB"/>
    <w:rsid w:val="7B747DD7"/>
    <w:rsid w:val="7B861045"/>
    <w:rsid w:val="7BA40C0D"/>
    <w:rsid w:val="7BBA01C6"/>
    <w:rsid w:val="7C121BE6"/>
    <w:rsid w:val="7C711A06"/>
    <w:rsid w:val="7C751768"/>
    <w:rsid w:val="7C7626FE"/>
    <w:rsid w:val="7C7A32C5"/>
    <w:rsid w:val="7C9C37BC"/>
    <w:rsid w:val="7CB02338"/>
    <w:rsid w:val="7CBA1174"/>
    <w:rsid w:val="7CEC333E"/>
    <w:rsid w:val="7D277F79"/>
    <w:rsid w:val="7D3905FD"/>
    <w:rsid w:val="7D3E46CE"/>
    <w:rsid w:val="7DAD00E4"/>
    <w:rsid w:val="7DBA6297"/>
    <w:rsid w:val="7DD93A6A"/>
    <w:rsid w:val="7DE14F1D"/>
    <w:rsid w:val="7DF62D3A"/>
    <w:rsid w:val="7DFF4448"/>
    <w:rsid w:val="7E007610"/>
    <w:rsid w:val="7E0730A7"/>
    <w:rsid w:val="7E14537B"/>
    <w:rsid w:val="7E1A79BA"/>
    <w:rsid w:val="7E6C3827"/>
    <w:rsid w:val="7E6F5A14"/>
    <w:rsid w:val="7E933D3D"/>
    <w:rsid w:val="7E9A0CB9"/>
    <w:rsid w:val="7EB237B7"/>
    <w:rsid w:val="7EF37B3D"/>
    <w:rsid w:val="7F392B36"/>
    <w:rsid w:val="7F802A63"/>
    <w:rsid w:val="7F9C2720"/>
    <w:rsid w:val="7FA11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jc w:val="center"/>
      <w:outlineLvl w:val="0"/>
    </w:pPr>
    <w:rPr>
      <w:b/>
      <w:kern w:val="44"/>
      <w:sz w:val="32"/>
    </w:rPr>
  </w:style>
  <w:style w:type="paragraph" w:styleId="2">
    <w:name w:val="heading 2"/>
    <w:basedOn w:val="1"/>
    <w:next w:val="1"/>
    <w:unhideWhenUsed/>
    <w:qFormat/>
    <w:uiPriority w:val="0"/>
    <w:pPr>
      <w:keepNext/>
      <w:keepLines/>
      <w:spacing w:before="260" w:beforeLines="0" w:beforeAutospacing="0" w:after="260" w:afterLines="0" w:afterAutospacing="0" w:line="240" w:lineRule="auto"/>
      <w:jc w:val="center"/>
      <w:outlineLvl w:val="1"/>
    </w:pPr>
    <w:rPr>
      <w:rFonts w:ascii="Arial" w:hAnsi="Arial" w:eastAsia="宋体"/>
      <w:b/>
      <w:sz w:val="28"/>
    </w:rPr>
  </w:style>
  <w:style w:type="paragraph" w:styleId="4">
    <w:name w:val="heading 3"/>
    <w:basedOn w:val="1"/>
    <w:next w:val="1"/>
    <w:qFormat/>
    <w:uiPriority w:val="0"/>
    <w:pPr>
      <w:keepNext/>
      <w:keepLines/>
      <w:spacing w:before="260" w:after="260" w:line="240" w:lineRule="auto"/>
      <w:jc w:val="left"/>
      <w:outlineLvl w:val="2"/>
    </w:pPr>
    <w:rPr>
      <w:rFonts w:eastAsia="宋体"/>
      <w:b/>
      <w:bCs/>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7"/>
    <w:basedOn w:val="1"/>
    <w:next w:val="1"/>
    <w:qFormat/>
    <w:uiPriority w:val="0"/>
    <w:pPr>
      <w:keepNext/>
      <w:keepLines/>
      <w:spacing w:before="240" w:after="64" w:line="320" w:lineRule="auto"/>
      <w:outlineLvl w:val="6"/>
    </w:pPr>
    <w:rPr>
      <w:b/>
      <w:bCs/>
      <w:sz w:val="24"/>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7">
    <w:name w:val="index 8"/>
    <w:basedOn w:val="1"/>
    <w:next w:val="1"/>
    <w:qFormat/>
    <w:uiPriority w:val="0"/>
    <w:pPr>
      <w:ind w:left="1400" w:leftChars="1400"/>
    </w:pPr>
  </w:style>
  <w:style w:type="paragraph" w:styleId="8">
    <w:name w:val="Normal Indent"/>
    <w:basedOn w:val="1"/>
    <w:qFormat/>
    <w:uiPriority w:val="0"/>
    <w:pPr>
      <w:spacing w:line="360" w:lineRule="auto"/>
      <w:ind w:firstLine="480" w:firstLineChars="200"/>
    </w:pPr>
    <w:rPr>
      <w:rFonts w:ascii="Times New Roman" w:hAnsi="Times New Roman"/>
      <w:szCs w:val="20"/>
    </w:rPr>
  </w:style>
  <w:style w:type="paragraph" w:styleId="9">
    <w:name w:val="annotation text"/>
    <w:basedOn w:val="1"/>
    <w:qFormat/>
    <w:uiPriority w:val="0"/>
    <w:pPr>
      <w:jc w:val="left"/>
    </w:pPr>
  </w:style>
  <w:style w:type="paragraph" w:styleId="10">
    <w:name w:val="Body Text"/>
    <w:basedOn w:val="1"/>
    <w:next w:val="11"/>
    <w:qFormat/>
    <w:uiPriority w:val="0"/>
    <w:rPr>
      <w:rFonts w:eastAsia="楷体_GB2312"/>
      <w:sz w:val="28"/>
    </w:rPr>
  </w:style>
  <w:style w:type="paragraph" w:customStyle="1" w:styleId="11">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Body Text Indent"/>
    <w:basedOn w:val="1"/>
    <w:next w:val="11"/>
    <w:qFormat/>
    <w:uiPriority w:val="99"/>
    <w:pPr>
      <w:ind w:firstLine="538" w:firstLineChars="192"/>
    </w:pPr>
    <w:rPr>
      <w:rFonts w:eastAsia="楷体_GB2312"/>
      <w:sz w:val="28"/>
    </w:rPr>
  </w:style>
  <w:style w:type="paragraph" w:styleId="13">
    <w:name w:val="Block Text"/>
    <w:basedOn w:val="1"/>
    <w:qFormat/>
    <w:uiPriority w:val="99"/>
    <w:pPr>
      <w:widowControl w:val="0"/>
      <w:ind w:left="-526" w:leftChars="-188" w:right="-1030" w:rightChars="-368" w:firstLine="560" w:firstLineChars="200"/>
      <w:jc w:val="both"/>
    </w:pPr>
    <w:rPr>
      <w:kern w:val="2"/>
      <w:sz w:val="28"/>
      <w:szCs w:val="24"/>
    </w:rPr>
  </w:style>
  <w:style w:type="paragraph" w:styleId="14">
    <w:name w:val="toc 3"/>
    <w:basedOn w:val="1"/>
    <w:next w:val="1"/>
    <w:qFormat/>
    <w:uiPriority w:val="0"/>
    <w:pPr>
      <w:ind w:left="840" w:leftChars="400"/>
    </w:pPr>
  </w:style>
  <w:style w:type="paragraph" w:styleId="15">
    <w:name w:val="Plain Text"/>
    <w:basedOn w:val="1"/>
    <w:qFormat/>
    <w:uiPriority w:val="99"/>
    <w:pPr>
      <w:widowControl w:val="0"/>
      <w:jc w:val="both"/>
    </w:pPr>
    <w:rPr>
      <w:rFonts w:ascii="宋体" w:hAnsi="Courier New"/>
      <w:kern w:val="2"/>
      <w:sz w:val="21"/>
    </w:rPr>
  </w:style>
  <w:style w:type="paragraph" w:styleId="16">
    <w:name w:val="Body Text Indent 2"/>
    <w:basedOn w:val="1"/>
    <w:qFormat/>
    <w:uiPriority w:val="0"/>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tabs>
        <w:tab w:val="right" w:leader="dot" w:pos="9345"/>
      </w:tabs>
      <w:spacing w:before="120" w:after="120" w:line="440" w:lineRule="exact"/>
    </w:pPr>
    <w:rPr>
      <w:rFonts w:ascii="仿宋_GB2312" w:eastAsia="仿宋_GB2312"/>
      <w:b/>
      <w:bCs/>
      <w:caps/>
    </w:rPr>
  </w:style>
  <w:style w:type="paragraph" w:styleId="21">
    <w:name w:val="toc 2"/>
    <w:basedOn w:val="1"/>
    <w:next w:val="1"/>
    <w:qFormat/>
    <w:uiPriority w:val="39"/>
    <w:pPr>
      <w:ind w:left="210"/>
      <w:jc w:val="left"/>
    </w:pPr>
    <w:rPr>
      <w:smallCaps/>
      <w:sz w:val="20"/>
      <w:szCs w:val="20"/>
    </w:rPr>
  </w:style>
  <w:style w:type="paragraph" w:styleId="22">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23">
    <w:name w:val="Normal (Web)"/>
    <w:basedOn w:val="1"/>
    <w:qFormat/>
    <w:uiPriority w:val="99"/>
    <w:pPr>
      <w:widowControl/>
      <w:adjustRightInd w:val="0"/>
      <w:snapToGrid w:val="0"/>
      <w:spacing w:before="100" w:beforeAutospacing="1" w:after="100" w:afterAutospacing="1" w:line="440" w:lineRule="atLeast"/>
      <w:ind w:firstLine="200" w:firstLineChars="200"/>
      <w:jc w:val="left"/>
    </w:pPr>
    <w:rPr>
      <w:rFonts w:ascii="宋体" w:hAnsi="宋体"/>
      <w:kern w:val="0"/>
      <w:sz w:val="24"/>
    </w:rPr>
  </w:style>
  <w:style w:type="paragraph" w:styleId="24">
    <w:name w:val="Body Text First Indent"/>
    <w:basedOn w:val="1"/>
    <w:next w:val="25"/>
    <w:qFormat/>
    <w:uiPriority w:val="0"/>
    <w:pPr>
      <w:ind w:firstLine="420" w:firstLineChars="100"/>
    </w:pPr>
  </w:style>
  <w:style w:type="paragraph" w:styleId="25">
    <w:name w:val="Body Text First Indent 2"/>
    <w:basedOn w:val="12"/>
    <w:next w:val="1"/>
    <w:qFormat/>
    <w:uiPriority w:val="0"/>
    <w:pPr>
      <w:ind w:firstLine="420" w:firstLineChars="200"/>
    </w:pPr>
  </w:style>
  <w:style w:type="table" w:styleId="27">
    <w:name w:val="Table Grid"/>
    <w:basedOn w:val="26"/>
    <w:qFormat/>
    <w:uiPriority w:val="99"/>
    <w:pPr>
      <w:widowControl w:val="0"/>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qFormat/>
    <w:uiPriority w:val="99"/>
    <w:rPr>
      <w:rFonts w:cs="Times New Roman"/>
    </w:rPr>
  </w:style>
  <w:style w:type="character" w:styleId="31">
    <w:name w:val="FollowedHyperlink"/>
    <w:basedOn w:val="28"/>
    <w:qFormat/>
    <w:uiPriority w:val="0"/>
    <w:rPr>
      <w:color w:val="800080"/>
      <w:u w:val="none"/>
    </w:rPr>
  </w:style>
  <w:style w:type="character" w:styleId="32">
    <w:name w:val="Emphasis"/>
    <w:basedOn w:val="28"/>
    <w:qFormat/>
    <w:uiPriority w:val="0"/>
    <w:rPr>
      <w:b/>
    </w:rPr>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qFormat/>
    <w:uiPriority w:val="0"/>
    <w:rPr>
      <w:rFonts w:cs="Times New Roman"/>
      <w:color w:val="0000FF"/>
      <w:u w:val="single"/>
    </w:rPr>
  </w:style>
  <w:style w:type="character" w:styleId="38">
    <w:name w:val="HTML Code"/>
    <w:basedOn w:val="28"/>
    <w:qFormat/>
    <w:uiPriority w:val="0"/>
    <w:rPr>
      <w:rFonts w:hint="default" w:ascii="monospace" w:hAnsi="monospace" w:eastAsia="monospace" w:cs="monospace"/>
      <w:sz w:val="20"/>
    </w:rPr>
  </w:style>
  <w:style w:type="character" w:styleId="39">
    <w:name w:val="HTML Cite"/>
    <w:basedOn w:val="28"/>
    <w:qFormat/>
    <w:uiPriority w:val="0"/>
  </w:style>
  <w:style w:type="character" w:styleId="40">
    <w:name w:val="HTML Keyboard"/>
    <w:basedOn w:val="28"/>
    <w:qFormat/>
    <w:uiPriority w:val="0"/>
    <w:rPr>
      <w:rFonts w:ascii="monospace" w:hAnsi="monospace" w:eastAsia="monospace" w:cs="monospace"/>
      <w:sz w:val="20"/>
    </w:rPr>
  </w:style>
  <w:style w:type="character" w:styleId="41">
    <w:name w:val="HTML Sample"/>
    <w:basedOn w:val="28"/>
    <w:qFormat/>
    <w:uiPriority w:val="0"/>
    <w:rPr>
      <w:rFonts w:hint="default" w:ascii="monospace" w:hAnsi="monospace" w:eastAsia="monospace" w:cs="monospace"/>
      <w:bdr w:val="single" w:color="BDBEC1" w:sz="6" w:space="0"/>
      <w:shd w:val="clear" w:fill="FFFFFF"/>
    </w:rPr>
  </w:style>
  <w:style w:type="paragraph" w:customStyle="1" w:styleId="42">
    <w:name w:val="大标题"/>
    <w:basedOn w:val="1"/>
    <w:next w:val="25"/>
    <w:qFormat/>
    <w:uiPriority w:val="0"/>
    <w:pPr>
      <w:jc w:val="center"/>
    </w:pPr>
    <w:rPr>
      <w:rFonts w:ascii="Arial" w:hAnsi="Arial"/>
      <w:b/>
      <w:sz w:val="28"/>
    </w:rPr>
  </w:style>
  <w:style w:type="paragraph" w:customStyle="1" w:styleId="43">
    <w:name w:val="WPSOffice手动目录 1"/>
    <w:qFormat/>
    <w:uiPriority w:val="0"/>
    <w:rPr>
      <w:rFonts w:ascii="Calibri" w:hAnsi="Calibri" w:eastAsia="宋体" w:cs="Times New Roman"/>
      <w:lang w:val="en-US" w:eastAsia="zh-CN" w:bidi="ar-SA"/>
    </w:rPr>
  </w:style>
  <w:style w:type="paragraph" w:customStyle="1" w:styleId="44">
    <w:name w:val="Table Paragraph"/>
    <w:basedOn w:val="1"/>
    <w:qFormat/>
    <w:uiPriority w:val="1"/>
    <w:rPr>
      <w:rFonts w:ascii="宋体" w:hAnsi="宋体" w:cs="宋体"/>
      <w:lang w:val="zh-CN" w:bidi="zh-CN"/>
    </w:rPr>
  </w:style>
  <w:style w:type="paragraph" w:customStyle="1" w:styleId="45">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msolistparagraph"/>
    <w:basedOn w:val="1"/>
    <w:qFormat/>
    <w:uiPriority w:val="0"/>
    <w:pPr>
      <w:ind w:firstLine="420" w:firstLineChars="200"/>
    </w:pPr>
    <w:rPr>
      <w:rFonts w:ascii="Times New Roman" w:hAnsi="Times New Roman"/>
    </w:rPr>
  </w:style>
  <w:style w:type="paragraph" w:customStyle="1" w:styleId="47">
    <w:name w:val="表格文字"/>
    <w:basedOn w:val="1"/>
    <w:next w:val="10"/>
    <w:qFormat/>
    <w:uiPriority w:val="0"/>
    <w:pPr>
      <w:adjustRightInd w:val="0"/>
      <w:spacing w:line="420" w:lineRule="atLeast"/>
      <w:jc w:val="left"/>
      <w:textAlignment w:val="baseline"/>
    </w:pPr>
    <w:rPr>
      <w:kern w:val="0"/>
      <w:szCs w:val="20"/>
    </w:rPr>
  </w:style>
  <w:style w:type="paragraph" w:customStyle="1" w:styleId="48">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9">
    <w:name w:val="List Paragraph"/>
    <w:basedOn w:val="1"/>
    <w:qFormat/>
    <w:uiPriority w:val="1"/>
    <w:pPr>
      <w:ind w:left="400" w:firstLine="420"/>
    </w:pPr>
    <w:rPr>
      <w:rFonts w:ascii="宋体" w:hAnsi="宋体" w:eastAsia="宋体" w:cs="宋体"/>
      <w:lang w:val="zh-CN" w:eastAsia="zh-CN" w:bidi="zh-CN"/>
    </w:rPr>
  </w:style>
  <w:style w:type="character" w:customStyle="1" w:styleId="50">
    <w:name w:val="hover"/>
    <w:basedOn w:val="28"/>
    <w:qFormat/>
    <w:uiPriority w:val="0"/>
    <w:rPr>
      <w:color w:val="2590EB"/>
    </w:rPr>
  </w:style>
  <w:style w:type="character" w:customStyle="1" w:styleId="51">
    <w:name w:val="hover1"/>
    <w:basedOn w:val="28"/>
    <w:qFormat/>
    <w:uiPriority w:val="0"/>
    <w:rPr>
      <w:color w:val="2590EB"/>
    </w:rPr>
  </w:style>
  <w:style w:type="character" w:customStyle="1" w:styleId="52">
    <w:name w:val="hover2"/>
    <w:basedOn w:val="28"/>
    <w:qFormat/>
    <w:uiPriority w:val="0"/>
  </w:style>
  <w:style w:type="character" w:customStyle="1" w:styleId="53">
    <w:name w:val="mini-outputtext1"/>
    <w:basedOn w:val="28"/>
    <w:qFormat/>
    <w:uiPriority w:val="0"/>
  </w:style>
  <w:style w:type="character" w:customStyle="1" w:styleId="54">
    <w:name w:val="hover3"/>
    <w:basedOn w:val="28"/>
    <w:qFormat/>
    <w:uiPriority w:val="0"/>
    <w:rPr>
      <w:color w:val="2590EB"/>
    </w:rPr>
  </w:style>
  <w:style w:type="paragraph" w:customStyle="1" w:styleId="55">
    <w:name w:val="No Spacing_ad81b47b-6779-4c76-b471-79375858c8cb"/>
    <w:basedOn w:val="1"/>
    <w:qFormat/>
    <w:uiPriority w:val="0"/>
  </w:style>
  <w:style w:type="paragraph" w:customStyle="1" w:styleId="56">
    <w:name w:val="样式9 Char"/>
    <w:basedOn w:val="1"/>
    <w:qFormat/>
    <w:uiPriority w:val="99"/>
    <w:pPr>
      <w:spacing w:line="440" w:lineRule="exact"/>
      <w:ind w:firstLine="200" w:firstLineChars="200"/>
    </w:pPr>
    <w:rPr>
      <w:spacing w:val="6"/>
      <w:sz w:val="24"/>
    </w:rPr>
  </w:style>
  <w:style w:type="paragraph" w:customStyle="1" w:styleId="57">
    <w:name w:val="Char"/>
    <w:basedOn w:val="1"/>
    <w:qFormat/>
    <w:uiPriority w:val="99"/>
    <w:pPr>
      <w:widowControl w:val="0"/>
      <w:jc w:val="both"/>
    </w:pPr>
    <w:rPr>
      <w:rFonts w:ascii="仿宋_GB2312" w:eastAsia="仿宋_GB2312"/>
      <w:b/>
      <w:kern w:val="2"/>
      <w:sz w:val="32"/>
      <w:szCs w:val="32"/>
    </w:rPr>
  </w:style>
  <w:style w:type="paragraph" w:customStyle="1" w:styleId="58">
    <w:name w:val="样式29"/>
    <w:basedOn w:val="1"/>
    <w:qFormat/>
    <w:uiPriority w:val="99"/>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5688</Words>
  <Characters>6564</Characters>
  <Lines>0</Lines>
  <Paragraphs>0</Paragraphs>
  <TotalTime>144</TotalTime>
  <ScaleCrop>false</ScaleCrop>
  <LinksUpToDate>false</LinksUpToDate>
  <CharactersWithSpaces>6621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2021-12-02T03:44:00Z</dcterms:created>
  <dc:creator>陈鸽</dc:creator>
  <cp:lastModifiedBy>陈鸽</cp:lastModifiedBy>
  <cp:lastPrinted>2025-06-05T01:27:00Z</cp:lastPrinted>
  <dcterms:modified xsi:type="dcterms:W3CDTF">2025-06-05T03:31:39Z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D86156B0D23C422A907436679D717699_13</vt:lpwstr>
  </property>
  <property fmtid="{D5CDD505-2E9C-101B-9397-08002B2CF9AE}" pid="4" name="KSOTemplateDocerSaveRecord">
    <vt:lpwstr>eyJoZGlkIjoiMjVmMmYyYjRkNDBmYjIyZGUzNTkzNWJjZGY2ZjEyYTYiLCJ1c2VySWQiOiI3Njc2ODcxNDIifQ==</vt:lpwstr>
  </property>
</Properties>
</file>