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01150">
      <w:pPr>
        <w:wordWrap w:val="0"/>
        <w:spacing w:before="268"/>
        <w:jc w:val="center"/>
        <w:outlineLvl w:val="0"/>
        <w:rPr>
          <w:rFonts w:hint="eastAsia"/>
          <w:b/>
          <w:color w:val="auto"/>
          <w:sz w:val="52"/>
          <w:szCs w:val="52"/>
          <w:lang w:eastAsia="zh-CN"/>
        </w:rPr>
      </w:pPr>
      <w:bookmarkStart w:id="0" w:name="_Toc10036"/>
    </w:p>
    <w:p w14:paraId="791B3841">
      <w:pPr>
        <w:wordWrap w:val="0"/>
        <w:spacing w:before="268"/>
        <w:jc w:val="center"/>
        <w:outlineLvl w:val="0"/>
        <w:rPr>
          <w:b/>
          <w:color w:val="auto"/>
          <w:sz w:val="52"/>
          <w:szCs w:val="52"/>
        </w:rPr>
      </w:pPr>
      <w:r>
        <w:rPr>
          <w:rFonts w:hint="eastAsia"/>
          <w:b/>
          <w:color w:val="auto"/>
          <w:sz w:val="44"/>
          <w:szCs w:val="44"/>
          <w:lang w:eastAsia="zh-CN"/>
        </w:rPr>
        <w:t>河南省卢氏县“红色莘川·靖华故里”乡村振兴项目规划设计</w:t>
      </w:r>
      <w:r>
        <w:rPr>
          <w:b/>
          <w:color w:val="auto"/>
          <w:sz w:val="44"/>
          <w:szCs w:val="44"/>
        </w:rPr>
        <w:t>竞争性磋商文件</w:t>
      </w:r>
      <w:bookmarkEnd w:id="0"/>
    </w:p>
    <w:p w14:paraId="1D1F110E">
      <w:pPr>
        <w:pStyle w:val="8"/>
        <w:wordWrap w:val="0"/>
        <w:spacing w:before="6"/>
        <w:ind w:left="0"/>
        <w:jc w:val="center"/>
        <w:rPr>
          <w:rFonts w:hint="eastAsia"/>
          <w:b/>
          <w:color w:val="auto"/>
          <w:sz w:val="32"/>
          <w:szCs w:val="15"/>
          <w:lang w:val="en-US"/>
        </w:rPr>
      </w:pPr>
    </w:p>
    <w:p w14:paraId="1E94D1D8">
      <w:pPr>
        <w:widowControl/>
        <w:shd w:val="clear" w:color="auto" w:fill="FFFFFF"/>
        <w:spacing w:line="390" w:lineRule="atLeast"/>
        <w:jc w:val="center"/>
        <w:rPr>
          <w:b/>
          <w:color w:val="auto"/>
          <w:sz w:val="32"/>
          <w:szCs w:val="32"/>
          <w:lang w:val="en-US"/>
        </w:rPr>
      </w:pPr>
    </w:p>
    <w:p w14:paraId="1F98A497">
      <w:pPr>
        <w:spacing w:line="360" w:lineRule="auto"/>
        <w:jc w:val="center"/>
        <w:rPr>
          <w:rFonts w:hint="eastAsia" w:ascii="宋体" w:hAnsi="宋体" w:eastAsia="宋体" w:cs="宋体"/>
          <w:b w:val="0"/>
          <w:bCs w:val="0"/>
          <w:color w:val="auto"/>
          <w:sz w:val="32"/>
          <w:szCs w:val="32"/>
          <w:highlight w:val="none"/>
          <w:lang w:eastAsia="zh-CN"/>
        </w:rPr>
      </w:pPr>
    </w:p>
    <w:p w14:paraId="3487C01A">
      <w:pPr>
        <w:spacing w:line="360" w:lineRule="auto"/>
        <w:jc w:val="center"/>
        <w:rPr>
          <w:rFonts w:hint="eastAsia" w:ascii="宋体" w:hAnsi="宋体" w:eastAsia="宋体" w:cs="宋体"/>
          <w:b w:val="0"/>
          <w:bCs w:val="0"/>
          <w:color w:val="auto"/>
          <w:sz w:val="32"/>
          <w:szCs w:val="32"/>
          <w:highlight w:val="none"/>
          <w:lang w:eastAsia="zh-CN"/>
        </w:rPr>
      </w:pPr>
    </w:p>
    <w:p w14:paraId="3C097356">
      <w:pPr>
        <w:spacing w:line="360" w:lineRule="auto"/>
        <w:jc w:val="center"/>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eastAsia="zh-CN"/>
        </w:rPr>
        <w:t>项目编号：三卢竞磋采购-202</w:t>
      </w:r>
      <w:r>
        <w:rPr>
          <w:rFonts w:hint="eastAsia" w:ascii="宋体" w:hAnsi="宋体" w:eastAsia="宋体" w:cs="宋体"/>
          <w:b w:val="0"/>
          <w:bCs w:val="0"/>
          <w:color w:val="auto"/>
          <w:sz w:val="32"/>
          <w:szCs w:val="32"/>
          <w:highlight w:val="none"/>
          <w:lang w:val="en-US" w:eastAsia="zh-CN"/>
        </w:rPr>
        <w:t>5</w:t>
      </w:r>
      <w:r>
        <w:rPr>
          <w:rFonts w:hint="eastAsia" w:ascii="宋体" w:hAnsi="宋体" w:eastAsia="宋体" w:cs="宋体"/>
          <w:b w:val="0"/>
          <w:bCs w:val="0"/>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61</w:t>
      </w:r>
      <w:r>
        <w:rPr>
          <w:rFonts w:hint="eastAsia" w:ascii="宋体" w:hAnsi="宋体" w:eastAsia="宋体" w:cs="宋体"/>
          <w:b w:val="0"/>
          <w:bCs w:val="0"/>
          <w:color w:val="auto"/>
          <w:sz w:val="32"/>
          <w:szCs w:val="32"/>
          <w:highlight w:val="none"/>
          <w:lang w:eastAsia="zh-CN"/>
        </w:rPr>
        <w:t>、</w:t>
      </w:r>
      <w:r>
        <w:rPr>
          <w:rFonts w:hint="eastAsia" w:ascii="宋体" w:hAnsi="宋体" w:eastAsia="宋体" w:cs="宋体"/>
          <w:b w:val="0"/>
          <w:bCs w:val="0"/>
          <w:color w:val="auto"/>
          <w:sz w:val="32"/>
          <w:szCs w:val="32"/>
          <w:highlight w:val="none"/>
          <w:lang w:val="en-US" w:eastAsia="zh-CN"/>
        </w:rPr>
        <w:t>LSGZ[2025]137-ZC095</w:t>
      </w:r>
    </w:p>
    <w:p w14:paraId="7B4583AC">
      <w:pPr>
        <w:spacing w:line="360" w:lineRule="auto"/>
        <w:jc w:val="center"/>
        <w:rPr>
          <w:rFonts w:hint="default" w:ascii="宋体" w:hAnsi="宋体" w:eastAsia="宋体" w:cs="宋体"/>
          <w:b w:val="0"/>
          <w:bCs w:val="0"/>
          <w:color w:val="auto"/>
          <w:sz w:val="32"/>
          <w:szCs w:val="32"/>
          <w:highlight w:val="none"/>
          <w:lang w:val="en-US" w:eastAsia="zh-CN"/>
        </w:rPr>
      </w:pPr>
    </w:p>
    <w:p w14:paraId="5DB27DA2">
      <w:pPr>
        <w:widowControl/>
        <w:shd w:val="clear" w:color="auto" w:fill="FFFFFF"/>
        <w:spacing w:line="390" w:lineRule="atLeast"/>
        <w:jc w:val="center"/>
        <w:rPr>
          <w:rFonts w:hint="eastAsia" w:ascii="微软雅黑" w:cs="微软雅黑"/>
          <w:color w:val="auto"/>
          <w:sz w:val="21"/>
          <w:szCs w:val="21"/>
          <w:lang w:bidi="ar-SA"/>
        </w:rPr>
      </w:pPr>
    </w:p>
    <w:p w14:paraId="73661552">
      <w:pPr>
        <w:pStyle w:val="21"/>
        <w:ind w:left="440" w:firstLine="420"/>
        <w:rPr>
          <w:rFonts w:hint="eastAsia"/>
          <w:color w:val="auto"/>
        </w:rPr>
      </w:pPr>
    </w:p>
    <w:p w14:paraId="2085B063">
      <w:pPr>
        <w:pStyle w:val="8"/>
        <w:wordWrap w:val="0"/>
        <w:ind w:left="0"/>
        <w:jc w:val="center"/>
        <w:rPr>
          <w:b/>
          <w:color w:val="auto"/>
          <w:sz w:val="32"/>
          <w:szCs w:val="32"/>
          <w:lang w:val="en-US"/>
        </w:rPr>
      </w:pPr>
    </w:p>
    <w:p w14:paraId="53FBD41A">
      <w:pPr>
        <w:tabs>
          <w:tab w:val="left" w:pos="2090"/>
          <w:tab w:val="left" w:pos="3555"/>
          <w:tab w:val="left" w:pos="9072"/>
        </w:tabs>
        <w:wordWrap w:val="0"/>
        <w:spacing w:line="360" w:lineRule="auto"/>
        <w:ind w:right="610" w:rightChars="0"/>
        <w:jc w:val="both"/>
        <w:rPr>
          <w:b/>
          <w:color w:val="auto"/>
          <w:sz w:val="32"/>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2465705</wp:posOffset>
            </wp:positionH>
            <wp:positionV relativeFrom="paragraph">
              <wp:posOffset>193675</wp:posOffset>
            </wp:positionV>
            <wp:extent cx="906780" cy="1173480"/>
            <wp:effectExtent l="0" t="0" r="7620" b="7620"/>
            <wp:wrapTight wrapText="bothSides">
              <wp:wrapPolygon>
                <wp:start x="0" y="0"/>
                <wp:lineTo x="0" y="21390"/>
                <wp:lineTo x="21328" y="21390"/>
                <wp:lineTo x="21328" y="0"/>
                <wp:lineTo x="0" y="0"/>
              </wp:wrapPolygon>
            </wp:wrapTight>
            <wp:docPr id="7" name="图片 1" descr="4263bef3d8f466ade02f1eeda8a5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4263bef3d8f466ade02f1eeda8a55d7"/>
                    <pic:cNvPicPr>
                      <a:picLocks noChangeAspect="1"/>
                    </pic:cNvPicPr>
                  </pic:nvPicPr>
                  <pic:blipFill>
                    <a:blip r:embed="rId10"/>
                    <a:stretch>
                      <a:fillRect/>
                    </a:stretch>
                  </pic:blipFill>
                  <pic:spPr>
                    <a:xfrm>
                      <a:off x="0" y="0"/>
                      <a:ext cx="906780" cy="1173480"/>
                    </a:xfrm>
                    <a:prstGeom prst="rect">
                      <a:avLst/>
                    </a:prstGeom>
                    <a:noFill/>
                    <a:ln>
                      <a:noFill/>
                    </a:ln>
                  </pic:spPr>
                </pic:pic>
              </a:graphicData>
            </a:graphic>
          </wp:anchor>
        </w:drawing>
      </w:r>
    </w:p>
    <w:p w14:paraId="163FC8C0">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both"/>
        <w:textAlignment w:val="auto"/>
        <w:rPr>
          <w:b/>
          <w:color w:val="auto"/>
          <w:sz w:val="32"/>
        </w:rPr>
      </w:pPr>
    </w:p>
    <w:p w14:paraId="25CF410C">
      <w:pPr>
        <w:spacing w:line="360" w:lineRule="auto"/>
        <w:jc w:val="center"/>
        <w:rPr>
          <w:rFonts w:hint="eastAsia"/>
          <w:b w:val="0"/>
          <w:bCs w:val="0"/>
          <w:color w:val="auto"/>
          <w:sz w:val="32"/>
          <w:szCs w:val="32"/>
          <w:highlight w:val="none"/>
          <w:lang w:val="en-US" w:eastAsia="zh-CN"/>
        </w:rPr>
      </w:pPr>
      <w:r>
        <w:rPr>
          <w:rFonts w:hint="eastAsia"/>
          <w:b w:val="0"/>
          <w:bCs w:val="0"/>
          <w:color w:val="auto"/>
          <w:sz w:val="32"/>
          <w:szCs w:val="32"/>
          <w:highlight w:val="none"/>
          <w:lang w:val="en-US" w:eastAsia="zh-CN"/>
        </w:rPr>
        <w:t xml:space="preserve">   </w:t>
      </w:r>
      <w:bookmarkStart w:id="1" w:name="_Toc13937"/>
    </w:p>
    <w:bookmarkEnd w:id="1"/>
    <w:p w14:paraId="559D0A11">
      <w:pPr>
        <w:spacing w:line="360" w:lineRule="auto"/>
        <w:jc w:val="center"/>
        <w:rPr>
          <w:rFonts w:hint="eastAsia"/>
          <w:b w:val="0"/>
          <w:bCs w:val="0"/>
          <w:color w:val="auto"/>
          <w:sz w:val="32"/>
          <w:szCs w:val="32"/>
          <w:highlight w:val="none"/>
          <w:lang w:val="en-US" w:eastAsia="zh-CN"/>
        </w:rPr>
      </w:pPr>
      <w:r>
        <w:rPr>
          <w:rFonts w:hint="eastAsia"/>
          <w:b w:val="0"/>
          <w:bCs w:val="0"/>
          <w:color w:val="auto"/>
          <w:sz w:val="32"/>
          <w:szCs w:val="32"/>
          <w:highlight w:val="none"/>
          <w:lang w:val="en-US" w:eastAsia="zh-CN"/>
        </w:rPr>
        <w:t xml:space="preserve">  </w:t>
      </w:r>
    </w:p>
    <w:p w14:paraId="33224BCC">
      <w:pPr>
        <w:spacing w:line="360" w:lineRule="auto"/>
        <w:jc w:val="center"/>
        <w:rPr>
          <w:rFonts w:hint="eastAsia"/>
          <w:b w:val="0"/>
          <w:bCs w:val="0"/>
          <w:color w:val="auto"/>
          <w:sz w:val="32"/>
          <w:szCs w:val="32"/>
          <w:highlight w:val="none"/>
          <w:lang w:val="en-US" w:eastAsia="zh-CN"/>
        </w:rPr>
      </w:pPr>
    </w:p>
    <w:p w14:paraId="6797FFCC">
      <w:pPr>
        <w:spacing w:line="360" w:lineRule="auto"/>
        <w:jc w:val="center"/>
        <w:rPr>
          <w:rFonts w:hint="eastAsia"/>
          <w:b w:val="0"/>
          <w:bCs w:val="0"/>
          <w:color w:val="auto"/>
          <w:sz w:val="32"/>
          <w:szCs w:val="32"/>
          <w:highlight w:val="none"/>
          <w:lang w:val="en-US" w:eastAsia="zh-CN"/>
        </w:rPr>
      </w:pPr>
    </w:p>
    <w:p w14:paraId="1BBCD767">
      <w:pPr>
        <w:spacing w:line="360" w:lineRule="auto"/>
        <w:jc w:val="both"/>
        <w:rPr>
          <w:rFonts w:hint="eastAsia"/>
          <w:b w:val="0"/>
          <w:bCs w:val="0"/>
          <w:color w:val="auto"/>
          <w:sz w:val="32"/>
          <w:szCs w:val="32"/>
          <w:highlight w:val="none"/>
          <w:lang w:val="en-US" w:eastAsia="zh-CN"/>
        </w:rPr>
      </w:pPr>
    </w:p>
    <w:p w14:paraId="1A979496">
      <w:pPr>
        <w:spacing w:line="360" w:lineRule="auto"/>
        <w:jc w:val="center"/>
        <w:outlineLvl w:val="9"/>
        <w:rPr>
          <w:rFonts w:hint="eastAsia"/>
          <w:b w:val="0"/>
          <w:bCs w:val="0"/>
          <w:color w:val="auto"/>
          <w:sz w:val="32"/>
          <w:szCs w:val="32"/>
          <w:highlight w:val="none"/>
          <w:lang w:val="en-US" w:eastAsia="zh-CN"/>
        </w:rPr>
      </w:pPr>
      <w:r>
        <w:rPr>
          <w:rFonts w:hint="eastAsia"/>
          <w:b w:val="0"/>
          <w:bCs w:val="0"/>
          <w:color w:val="auto"/>
          <w:sz w:val="32"/>
          <w:szCs w:val="32"/>
          <w:highlight w:val="none"/>
          <w:lang w:val="en-US" w:eastAsia="zh-CN"/>
        </w:rPr>
        <w:t>采购人：</w:t>
      </w:r>
      <w:bookmarkStart w:id="2" w:name="_Toc24582"/>
      <w:bookmarkStart w:id="3" w:name="_Toc3851"/>
      <w:r>
        <w:rPr>
          <w:rFonts w:hint="eastAsia"/>
          <w:b w:val="0"/>
          <w:bCs w:val="0"/>
          <w:color w:val="auto"/>
          <w:sz w:val="32"/>
          <w:szCs w:val="32"/>
          <w:highlight w:val="none"/>
          <w:lang w:val="en-US" w:eastAsia="zh-CN"/>
        </w:rPr>
        <w:t>卢氏县五里川镇人民政府</w:t>
      </w:r>
    </w:p>
    <w:p w14:paraId="3C10860E">
      <w:pPr>
        <w:spacing w:line="360" w:lineRule="auto"/>
        <w:jc w:val="center"/>
        <w:outlineLvl w:val="9"/>
        <w:rPr>
          <w:rFonts w:hint="eastAsia" w:eastAsia="宋体" w:cs="黑体"/>
          <w:b w:val="0"/>
          <w:bCs w:val="0"/>
          <w:color w:val="auto"/>
          <w:sz w:val="32"/>
          <w:szCs w:val="32"/>
          <w:highlight w:val="none"/>
          <w:u w:val="none"/>
          <w:lang w:val="en-US" w:eastAsia="zh-CN"/>
        </w:rPr>
      </w:pPr>
      <w:r>
        <w:rPr>
          <w:rFonts w:hint="eastAsia" w:eastAsia="宋体" w:cs="黑体"/>
          <w:b w:val="0"/>
          <w:bCs w:val="0"/>
          <w:color w:val="auto"/>
          <w:sz w:val="32"/>
          <w:szCs w:val="32"/>
          <w:highlight w:val="none"/>
          <w:u w:val="none"/>
          <w:lang w:val="en-US" w:eastAsia="zh-CN"/>
        </w:rPr>
        <w:t xml:space="preserve">      代理机构：</w:t>
      </w:r>
      <w:bookmarkEnd w:id="2"/>
      <w:bookmarkEnd w:id="3"/>
      <w:r>
        <w:rPr>
          <w:rFonts w:hint="eastAsia" w:cs="黑体"/>
          <w:b w:val="0"/>
          <w:bCs w:val="0"/>
          <w:color w:val="auto"/>
          <w:sz w:val="32"/>
          <w:szCs w:val="32"/>
          <w:highlight w:val="none"/>
          <w:u w:val="none"/>
          <w:lang w:val="en-US" w:eastAsia="zh-CN"/>
        </w:rPr>
        <w:t xml:space="preserve">河南省中塍建设管理有限公司 </w:t>
      </w:r>
    </w:p>
    <w:p w14:paraId="186978DE">
      <w:pPr>
        <w:spacing w:line="360" w:lineRule="auto"/>
        <w:jc w:val="center"/>
        <w:rPr>
          <w:color w:val="auto"/>
          <w:sz w:val="32"/>
        </w:rPr>
        <w:sectPr>
          <w:footerReference r:id="rId3" w:type="default"/>
          <w:pgSz w:w="11910" w:h="16840"/>
          <w:pgMar w:top="1380" w:right="1020" w:bottom="820" w:left="1040" w:header="720" w:footer="640" w:gutter="0"/>
          <w:pgNumType w:start="1"/>
          <w:cols w:space="720" w:num="1"/>
          <w:docGrid w:linePitch="299" w:charSpace="0"/>
        </w:sectPr>
      </w:pPr>
      <w:r>
        <w:rPr>
          <w:rFonts w:hint="eastAsia" w:eastAsia="宋体" w:cs="黑体"/>
          <w:b w:val="0"/>
          <w:bCs w:val="0"/>
          <w:color w:val="auto"/>
          <w:sz w:val="32"/>
          <w:szCs w:val="32"/>
          <w:highlight w:val="none"/>
          <w:u w:val="none"/>
          <w:lang w:val="en-US" w:eastAsia="zh-CN"/>
        </w:rPr>
        <w:t>日 期：二〇二</w:t>
      </w:r>
      <w:r>
        <w:rPr>
          <w:rFonts w:hint="eastAsia" w:cs="黑体"/>
          <w:b w:val="0"/>
          <w:bCs w:val="0"/>
          <w:color w:val="auto"/>
          <w:sz w:val="32"/>
          <w:szCs w:val="32"/>
          <w:highlight w:val="none"/>
          <w:u w:val="none"/>
          <w:lang w:val="en-US" w:eastAsia="zh-CN"/>
        </w:rPr>
        <w:t>五</w:t>
      </w:r>
      <w:r>
        <w:rPr>
          <w:rFonts w:hint="eastAsia" w:eastAsia="宋体" w:cs="黑体"/>
          <w:b w:val="0"/>
          <w:bCs w:val="0"/>
          <w:color w:val="auto"/>
          <w:sz w:val="32"/>
          <w:szCs w:val="32"/>
          <w:highlight w:val="none"/>
          <w:u w:val="none"/>
          <w:lang w:val="en-US" w:eastAsia="zh-CN"/>
        </w:rPr>
        <w:t>年</w:t>
      </w:r>
      <w:r>
        <w:rPr>
          <w:rFonts w:hint="eastAsia" w:cs="黑体"/>
          <w:b w:val="0"/>
          <w:bCs w:val="0"/>
          <w:color w:val="auto"/>
          <w:sz w:val="32"/>
          <w:szCs w:val="32"/>
          <w:highlight w:val="none"/>
          <w:u w:val="none"/>
          <w:lang w:val="en-US" w:eastAsia="zh-CN"/>
        </w:rPr>
        <w:t>六月</w:t>
      </w:r>
    </w:p>
    <w:p w14:paraId="0CB3165E">
      <w:pPr>
        <w:spacing w:before="0" w:beforeLines="0" w:after="0" w:afterLines="0" w:line="360" w:lineRule="auto"/>
        <w:ind w:left="0" w:leftChars="0" w:right="0" w:rightChars="0" w:firstLine="0" w:firstLineChars="0"/>
        <w:jc w:val="both"/>
      </w:pPr>
    </w:p>
    <w:sdt>
      <w:sdtPr>
        <w:rPr>
          <w:rFonts w:ascii="宋体" w:hAnsi="宋体" w:eastAsia="宋体" w:cs="宋体"/>
          <w:sz w:val="32"/>
          <w:szCs w:val="32"/>
          <w:lang w:val="zh-CN" w:eastAsia="zh-CN" w:bidi="zh-CN"/>
        </w:rPr>
        <w:id w:val="147483583"/>
        <w15:color w:val="DBDBDB"/>
        <w:docPartObj>
          <w:docPartGallery w:val="Table of Contents"/>
          <w:docPartUnique/>
        </w:docPartObj>
      </w:sdtPr>
      <w:sdtEndPr>
        <w:rPr>
          <w:rFonts w:ascii="宋体" w:hAnsi="宋体" w:eastAsia="宋体" w:cs="宋体"/>
          <w:sz w:val="21"/>
          <w:szCs w:val="22"/>
          <w:lang w:val="zh-CN" w:eastAsia="zh-CN" w:bidi="zh-CN"/>
        </w:rPr>
      </w:sdtEndPr>
      <w:sdtContent>
        <w:p w14:paraId="3EC6DC73">
          <w:pPr>
            <w:spacing w:before="0" w:beforeLines="0" w:after="0" w:afterLines="0" w:line="360" w:lineRule="auto"/>
            <w:ind w:left="0" w:leftChars="0" w:right="0" w:rightChars="0" w:firstLine="0" w:firstLineChars="0"/>
            <w:jc w:val="center"/>
            <w:rPr>
              <w:rFonts w:hint="eastAsia" w:ascii="宋体" w:hAnsi="宋体" w:eastAsia="宋体" w:cs="宋体"/>
              <w:sz w:val="32"/>
              <w:szCs w:val="32"/>
            </w:rPr>
          </w:pPr>
          <w:bookmarkStart w:id="4" w:name="_Toc22569_WPSOffice_Level1"/>
          <w:r>
            <w:rPr>
              <w:rFonts w:hint="eastAsia" w:ascii="宋体" w:hAnsi="宋体" w:eastAsia="宋体" w:cs="宋体"/>
              <w:sz w:val="32"/>
              <w:szCs w:val="32"/>
            </w:rPr>
            <w:t>目</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录</w:t>
          </w:r>
        </w:p>
        <w:p w14:paraId="6D896942">
          <w:pPr>
            <w:pStyle w:val="34"/>
            <w:tabs>
              <w:tab w:val="right" w:leader="dot" w:pos="9850"/>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_Toc29890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第一章 竞争性磋商公告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_Toc29890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1C346F0">
          <w:pPr>
            <w:pStyle w:val="34"/>
            <w:tabs>
              <w:tab w:val="right" w:leader="dot" w:pos="9850"/>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_Toc12815 </w:instrText>
          </w:r>
          <w:r>
            <w:rPr>
              <w:rFonts w:hint="eastAsia" w:ascii="宋体" w:hAnsi="宋体" w:eastAsia="宋体" w:cs="宋体"/>
              <w:sz w:val="32"/>
              <w:szCs w:val="32"/>
            </w:rPr>
            <w:fldChar w:fldCharType="separate"/>
          </w:r>
          <w:r>
            <w:rPr>
              <w:rFonts w:hint="eastAsia" w:ascii="宋体" w:hAnsi="宋体" w:eastAsia="宋体" w:cs="宋体"/>
              <w:sz w:val="32"/>
              <w:szCs w:val="32"/>
            </w:rPr>
            <w:t>第二章 供应商须知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_Toc12815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6DF18C8">
          <w:pPr>
            <w:pStyle w:val="34"/>
            <w:tabs>
              <w:tab w:val="right" w:leader="dot" w:pos="9850"/>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_Toc29960 </w:instrText>
          </w:r>
          <w:r>
            <w:rPr>
              <w:rFonts w:hint="eastAsia" w:ascii="宋体" w:hAnsi="宋体" w:eastAsia="宋体" w:cs="宋体"/>
              <w:sz w:val="32"/>
              <w:szCs w:val="32"/>
            </w:rPr>
            <w:fldChar w:fldCharType="separate"/>
          </w:r>
          <w:r>
            <w:rPr>
              <w:rFonts w:hint="eastAsia" w:ascii="宋体" w:hAnsi="宋体" w:eastAsia="宋体" w:cs="宋体"/>
              <w:bCs/>
              <w:sz w:val="32"/>
              <w:szCs w:val="32"/>
              <w:lang w:val="en-US" w:eastAsia="zh-CN"/>
            </w:rPr>
            <w:t>第三章 服务需求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_Toc29960 \h </w:instrText>
          </w:r>
          <w:r>
            <w:rPr>
              <w:rFonts w:hint="eastAsia" w:ascii="宋体" w:hAnsi="宋体" w:eastAsia="宋体" w:cs="宋体"/>
              <w:sz w:val="32"/>
              <w:szCs w:val="32"/>
            </w:rPr>
            <w:fldChar w:fldCharType="separate"/>
          </w:r>
          <w:r>
            <w:rPr>
              <w:rFonts w:hint="eastAsia" w:ascii="宋体" w:hAnsi="宋体" w:eastAsia="宋体" w:cs="宋体"/>
              <w:sz w:val="32"/>
              <w:szCs w:val="32"/>
            </w:rPr>
            <w:t>29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6E66A81">
          <w:pPr>
            <w:pStyle w:val="34"/>
            <w:tabs>
              <w:tab w:val="right" w:leader="dot" w:pos="9850"/>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_Toc22448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第四章</w:t>
          </w:r>
          <w:r>
            <w:rPr>
              <w:rFonts w:hint="eastAsia" w:ascii="宋体" w:hAnsi="宋体" w:eastAsia="宋体" w:cs="宋体"/>
              <w:bCs/>
              <w:sz w:val="32"/>
              <w:szCs w:val="32"/>
              <w:lang w:val="en-US" w:eastAsia="zh-CN"/>
            </w:rPr>
            <w:t xml:space="preserve"> </w:t>
          </w:r>
          <w:r>
            <w:rPr>
              <w:rFonts w:hint="eastAsia" w:ascii="宋体" w:hAnsi="宋体" w:eastAsia="宋体" w:cs="宋体"/>
              <w:bCs/>
              <w:sz w:val="32"/>
              <w:szCs w:val="32"/>
            </w:rPr>
            <w:t>评审办法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_Toc22448 \h </w:instrText>
          </w:r>
          <w:r>
            <w:rPr>
              <w:rFonts w:hint="eastAsia" w:ascii="宋体" w:hAnsi="宋体" w:eastAsia="宋体" w:cs="宋体"/>
              <w:sz w:val="32"/>
              <w:szCs w:val="32"/>
            </w:rPr>
            <w:fldChar w:fldCharType="separate"/>
          </w:r>
          <w:r>
            <w:rPr>
              <w:rFonts w:hint="eastAsia" w:ascii="宋体" w:hAnsi="宋体" w:eastAsia="宋体" w:cs="宋体"/>
              <w:sz w:val="32"/>
              <w:szCs w:val="32"/>
            </w:rPr>
            <w:t>31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2827CF4">
          <w:pPr>
            <w:pStyle w:val="34"/>
            <w:tabs>
              <w:tab w:val="right" w:leader="dot" w:pos="9850"/>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_Toc22577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第五章 合同主要条款及格式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_Toc22577 \h </w:instrText>
          </w:r>
          <w:r>
            <w:rPr>
              <w:rFonts w:hint="eastAsia" w:ascii="宋体" w:hAnsi="宋体" w:eastAsia="宋体" w:cs="宋体"/>
              <w:sz w:val="32"/>
              <w:szCs w:val="32"/>
            </w:rPr>
            <w:fldChar w:fldCharType="separate"/>
          </w:r>
          <w:r>
            <w:rPr>
              <w:rFonts w:hint="eastAsia" w:ascii="宋体" w:hAnsi="宋体" w:eastAsia="宋体" w:cs="宋体"/>
              <w:sz w:val="32"/>
              <w:szCs w:val="32"/>
            </w:rPr>
            <w:t>38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07AE663">
          <w:pPr>
            <w:pStyle w:val="34"/>
            <w:tabs>
              <w:tab w:val="right" w:leader="dot" w:pos="9850"/>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_Toc9875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第六章</w:t>
          </w:r>
          <w:r>
            <w:rPr>
              <w:rFonts w:hint="eastAsia" w:ascii="宋体" w:hAnsi="宋体" w:eastAsia="宋体" w:cs="宋体"/>
              <w:bCs/>
              <w:sz w:val="32"/>
              <w:szCs w:val="32"/>
              <w:lang w:val="en-US" w:eastAsia="zh-CN"/>
            </w:rPr>
            <w:t xml:space="preserve"> </w:t>
          </w:r>
          <w:r>
            <w:rPr>
              <w:rFonts w:hint="eastAsia" w:ascii="宋体" w:hAnsi="宋体" w:eastAsia="宋体" w:cs="宋体"/>
              <w:bCs/>
              <w:sz w:val="32"/>
              <w:szCs w:val="32"/>
            </w:rPr>
            <w:t>响应文件内容及格式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_Toc9875 \h </w:instrText>
          </w:r>
          <w:r>
            <w:rPr>
              <w:rFonts w:hint="eastAsia" w:ascii="宋体" w:hAnsi="宋体" w:eastAsia="宋体" w:cs="宋体"/>
              <w:sz w:val="32"/>
              <w:szCs w:val="32"/>
            </w:rPr>
            <w:fldChar w:fldCharType="separate"/>
          </w:r>
          <w:r>
            <w:rPr>
              <w:rFonts w:hint="eastAsia" w:ascii="宋体" w:hAnsi="宋体" w:eastAsia="宋体" w:cs="宋体"/>
              <w:sz w:val="32"/>
              <w:szCs w:val="32"/>
            </w:rPr>
            <w:t>40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3822BFD">
          <w:pPr>
            <w:pStyle w:val="34"/>
            <w:tabs>
              <w:tab w:val="right" w:leader="dot" w:pos="9850"/>
            </w:tabs>
            <w:spacing w:line="360" w:lineRule="auto"/>
            <w:rPr>
              <w:rFonts w:hint="eastAsia" w:ascii="宋体" w:hAnsi="宋体" w:eastAsia="宋体" w:cs="宋体"/>
              <w:sz w:val="32"/>
              <w:szCs w:val="32"/>
            </w:rPr>
          </w:pPr>
        </w:p>
        <w:p w14:paraId="0B0C7365">
          <w:pPr>
            <w:spacing w:line="360" w:lineRule="auto"/>
          </w:pPr>
          <w:r>
            <w:rPr>
              <w:rFonts w:hint="eastAsia" w:ascii="宋体" w:hAnsi="宋体" w:eastAsia="宋体" w:cs="宋体"/>
              <w:sz w:val="32"/>
              <w:szCs w:val="32"/>
            </w:rPr>
            <w:fldChar w:fldCharType="end"/>
          </w:r>
        </w:p>
      </w:sdtContent>
    </w:sdt>
    <w:p w14:paraId="7A506352"/>
    <w:p w14:paraId="4B8516CF">
      <w:pPr>
        <w:wordWrap w:val="0"/>
        <w:rPr>
          <w:color w:val="auto"/>
        </w:rPr>
      </w:pPr>
    </w:p>
    <w:p w14:paraId="0A5CC85D">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outlineLvl w:val="9"/>
        <w:rPr>
          <w:rFonts w:hint="eastAsia"/>
          <w:b/>
          <w:bCs/>
          <w:color w:val="auto"/>
          <w:sz w:val="36"/>
          <w:szCs w:val="28"/>
        </w:rPr>
        <w:sectPr>
          <w:footerReference r:id="rId4" w:type="default"/>
          <w:pgSz w:w="11910" w:h="16840"/>
          <w:pgMar w:top="1340" w:right="1020" w:bottom="1200" w:left="1040" w:header="0" w:footer="640" w:gutter="0"/>
          <w:pgNumType w:start="1"/>
          <w:cols w:space="720" w:num="1"/>
        </w:sectPr>
      </w:pPr>
      <w:bookmarkStart w:id="5" w:name="_Toc15183"/>
    </w:p>
    <w:p w14:paraId="697FB663">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jc w:val="center"/>
        <w:textAlignment w:val="auto"/>
        <w:rPr>
          <w:color w:val="auto"/>
        </w:rPr>
      </w:pPr>
      <w:bookmarkStart w:id="6" w:name="_Toc29890"/>
      <w:r>
        <w:rPr>
          <w:rFonts w:hint="eastAsia"/>
          <w:b/>
          <w:bCs/>
          <w:color w:val="auto"/>
          <w:sz w:val="36"/>
          <w:szCs w:val="28"/>
        </w:rPr>
        <w:t xml:space="preserve">第一章   </w:t>
      </w:r>
      <w:r>
        <w:rPr>
          <w:b/>
          <w:bCs/>
          <w:color w:val="auto"/>
          <w:sz w:val="36"/>
          <w:szCs w:val="28"/>
        </w:rPr>
        <w:t>竞争性磋商公告</w:t>
      </w:r>
      <w:bookmarkEnd w:id="4"/>
      <w:bookmarkEnd w:id="5"/>
      <w:bookmarkEnd w:id="6"/>
    </w:p>
    <w:p w14:paraId="5730EB6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color w:val="auto"/>
          <w:sz w:val="28"/>
          <w:szCs w:val="28"/>
        </w:rPr>
      </w:pPr>
      <w:bookmarkStart w:id="7" w:name="_Hlk536538549"/>
      <w:r>
        <w:rPr>
          <w:rFonts w:hint="eastAsia" w:cs="宋体"/>
          <w:color w:val="auto"/>
          <w:sz w:val="28"/>
          <w:szCs w:val="28"/>
          <w:lang w:val="en-US" w:eastAsia="zh-CN"/>
        </w:rPr>
        <w:t>河南省中塍建设管理有限公司</w:t>
      </w:r>
      <w:r>
        <w:rPr>
          <w:rFonts w:hint="eastAsia" w:ascii="宋体" w:hAnsi="宋体" w:eastAsia="宋体" w:cs="宋体"/>
          <w:color w:val="auto"/>
          <w:sz w:val="28"/>
          <w:szCs w:val="28"/>
          <w:lang w:val="en-US"/>
        </w:rPr>
        <w:t>受</w:t>
      </w:r>
      <w:r>
        <w:rPr>
          <w:rFonts w:hint="eastAsia" w:cs="宋体"/>
          <w:color w:val="auto"/>
          <w:sz w:val="28"/>
          <w:szCs w:val="28"/>
          <w:lang w:val="en-US" w:eastAsia="zh-CN"/>
        </w:rPr>
        <w:t>卢氏县五里川镇人民政府</w:t>
      </w:r>
      <w:r>
        <w:rPr>
          <w:rFonts w:hint="eastAsia" w:ascii="宋体" w:hAnsi="宋体" w:eastAsia="宋体" w:cs="宋体"/>
          <w:color w:val="auto"/>
          <w:sz w:val="28"/>
          <w:szCs w:val="28"/>
          <w:lang w:val="en-US"/>
        </w:rPr>
        <w:t>的委托，就</w:t>
      </w:r>
      <w:r>
        <w:rPr>
          <w:rFonts w:hint="eastAsia" w:cs="宋体"/>
          <w:color w:val="auto"/>
          <w:sz w:val="28"/>
          <w:szCs w:val="28"/>
          <w:lang w:val="en-US" w:eastAsia="zh-CN"/>
        </w:rPr>
        <w:t>河南省卢氏县“红色莘川·靖华故里”乡村振兴项目规划设计</w:t>
      </w:r>
      <w:r>
        <w:rPr>
          <w:rFonts w:hint="eastAsia" w:ascii="宋体" w:hAnsi="宋体" w:eastAsia="宋体" w:cs="宋体"/>
          <w:color w:val="auto"/>
          <w:sz w:val="28"/>
          <w:szCs w:val="28"/>
        </w:rPr>
        <w:t>进行竞争性磋商，欢迎符合资格条件的供应商参加磋商。</w:t>
      </w:r>
    </w:p>
    <w:p w14:paraId="15C8391E">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一、项目概况与采购范围</w:t>
      </w:r>
    </w:p>
    <w:p w14:paraId="08AC7A4F">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cs="宋体"/>
          <w:color w:val="auto"/>
          <w:sz w:val="28"/>
          <w:szCs w:val="28"/>
          <w:lang w:val="en-US" w:eastAsia="zh-CN"/>
        </w:rPr>
      </w:pPr>
      <w:bookmarkStart w:id="8" w:name="OLE_LINK1"/>
      <w:r>
        <w:rPr>
          <w:rFonts w:hint="eastAsia" w:ascii="宋体" w:hAnsi="宋体" w:eastAsia="宋体" w:cs="宋体"/>
          <w:color w:val="auto"/>
          <w:sz w:val="28"/>
          <w:szCs w:val="28"/>
          <w:lang w:val="en-US" w:eastAsia="zh-CN"/>
        </w:rPr>
        <w:t>1、采购人：</w:t>
      </w:r>
      <w:r>
        <w:rPr>
          <w:rFonts w:hint="eastAsia" w:cs="宋体"/>
          <w:color w:val="auto"/>
          <w:sz w:val="28"/>
          <w:szCs w:val="28"/>
          <w:lang w:val="en-US" w:eastAsia="zh-CN"/>
        </w:rPr>
        <w:t>卢氏县五里川镇人民政府</w:t>
      </w:r>
    </w:p>
    <w:p w14:paraId="56D425FA">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2、项目名称：</w:t>
      </w:r>
      <w:r>
        <w:rPr>
          <w:rFonts w:hint="eastAsia" w:cs="宋体"/>
          <w:color w:val="auto"/>
          <w:sz w:val="28"/>
          <w:szCs w:val="28"/>
          <w:lang w:val="en-US" w:eastAsia="zh-CN"/>
        </w:rPr>
        <w:t>河南省卢氏县“红色莘川·靖华故里”乡村振兴项目规划设计</w:t>
      </w:r>
    </w:p>
    <w:p w14:paraId="7DD9A8B4">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default" w:cs="宋体"/>
          <w:color w:val="auto"/>
          <w:sz w:val="28"/>
          <w:szCs w:val="28"/>
          <w:lang w:val="en-US" w:eastAsia="zh-CN"/>
        </w:rPr>
      </w:pPr>
      <w:r>
        <w:rPr>
          <w:rFonts w:hint="eastAsia" w:ascii="宋体" w:hAnsi="宋体" w:eastAsia="宋体" w:cs="宋体"/>
          <w:color w:val="auto"/>
          <w:sz w:val="28"/>
          <w:szCs w:val="28"/>
          <w:lang w:val="en-US" w:eastAsia="zh-CN"/>
        </w:rPr>
        <w:t>3、项目编号</w:t>
      </w:r>
      <w:r>
        <w:rPr>
          <w:rFonts w:hint="eastAsia" w:cs="宋体"/>
          <w:color w:val="auto"/>
          <w:sz w:val="28"/>
          <w:szCs w:val="28"/>
          <w:lang w:val="en-US" w:eastAsia="zh-CN"/>
        </w:rPr>
        <w:t>：三卢竞磋采购-2025-61、LSGZ[2025]137-ZC095</w:t>
      </w:r>
    </w:p>
    <w:p w14:paraId="3A52805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4、项目预算金额：</w:t>
      </w:r>
      <w:r>
        <w:rPr>
          <w:rFonts w:hint="eastAsia" w:asciiTheme="minorEastAsia" w:hAnsiTheme="minorEastAsia" w:eastAsiaTheme="minorEastAsia" w:cstheme="minorEastAsia"/>
          <w:color w:val="auto"/>
          <w:sz w:val="32"/>
          <w:szCs w:val="32"/>
          <w:highlight w:val="none"/>
          <w:lang w:val="en-US" w:eastAsia="zh-CN"/>
        </w:rPr>
        <w:t>￥</w:t>
      </w:r>
      <w:r>
        <w:rPr>
          <w:rFonts w:hint="eastAsia" w:cs="宋体"/>
          <w:color w:val="auto"/>
          <w:sz w:val="28"/>
          <w:szCs w:val="28"/>
          <w:lang w:val="en-US" w:eastAsia="zh-CN"/>
        </w:rPr>
        <w:t>538400.00元</w:t>
      </w:r>
    </w:p>
    <w:p w14:paraId="461E05C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color w:val="auto"/>
          <w:sz w:val="28"/>
          <w:szCs w:val="28"/>
          <w:lang w:val="en-US" w:eastAsia="zh-CN"/>
        </w:rPr>
      </w:pPr>
      <w:r>
        <w:rPr>
          <w:rFonts w:hint="eastAsia" w:cs="宋体"/>
          <w:color w:val="auto"/>
          <w:sz w:val="28"/>
          <w:szCs w:val="28"/>
          <w:lang w:val="en-US" w:eastAsia="zh-CN"/>
        </w:rPr>
        <w:t>5</w:t>
      </w:r>
      <w:r>
        <w:rPr>
          <w:rFonts w:hint="eastAsia" w:ascii="宋体" w:hAnsi="宋体" w:eastAsia="宋体" w:cs="宋体"/>
          <w:color w:val="auto"/>
          <w:sz w:val="28"/>
          <w:szCs w:val="28"/>
          <w:lang w:val="en-US" w:eastAsia="zh-CN"/>
        </w:rPr>
        <w:t>、服务内容：</w:t>
      </w:r>
      <w:r>
        <w:rPr>
          <w:rFonts w:hint="eastAsia" w:cs="宋体"/>
          <w:color w:val="auto"/>
          <w:sz w:val="28"/>
          <w:szCs w:val="28"/>
          <w:lang w:val="en-US" w:eastAsia="zh-CN"/>
        </w:rPr>
        <w:t>河南省卢氏县“红色莘川·靖华故里”乡村振兴项目规划设计项目的</w:t>
      </w:r>
      <w:r>
        <w:rPr>
          <w:rFonts w:hint="eastAsia" w:ascii="宋体" w:hAnsi="宋体" w:eastAsia="宋体" w:cs="宋体"/>
          <w:color w:val="auto"/>
          <w:sz w:val="28"/>
          <w:szCs w:val="28"/>
          <w:lang w:val="en-US" w:eastAsia="zh-CN"/>
        </w:rPr>
        <w:t>前期方案、施工图设计及相关后续服务等</w:t>
      </w:r>
    </w:p>
    <w:p w14:paraId="57E72AB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color w:val="auto"/>
          <w:sz w:val="28"/>
          <w:szCs w:val="28"/>
          <w:lang w:val="en-US" w:eastAsia="zh-CN"/>
        </w:rPr>
      </w:pPr>
      <w:r>
        <w:rPr>
          <w:rFonts w:hint="eastAsia" w:cs="宋体"/>
          <w:color w:val="auto"/>
          <w:sz w:val="28"/>
          <w:szCs w:val="28"/>
          <w:lang w:val="en-US" w:eastAsia="zh-CN"/>
        </w:rPr>
        <w:t>6</w:t>
      </w:r>
      <w:r>
        <w:rPr>
          <w:rFonts w:hint="eastAsia" w:ascii="宋体" w:hAnsi="宋体" w:eastAsia="宋体" w:cs="宋体"/>
          <w:color w:val="auto"/>
          <w:sz w:val="28"/>
          <w:szCs w:val="28"/>
          <w:lang w:val="en-US" w:eastAsia="zh-CN"/>
        </w:rPr>
        <w:t>、标段划分：本项目共分1个标段。</w:t>
      </w:r>
    </w:p>
    <w:p w14:paraId="5F5003B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color w:val="auto"/>
          <w:sz w:val="28"/>
          <w:szCs w:val="28"/>
          <w:lang w:val="en-US" w:eastAsia="zh-CN"/>
        </w:rPr>
      </w:pPr>
      <w:r>
        <w:rPr>
          <w:rFonts w:hint="eastAsia" w:cs="宋体"/>
          <w:color w:val="auto"/>
          <w:sz w:val="28"/>
          <w:szCs w:val="28"/>
          <w:lang w:val="en-US" w:eastAsia="zh-CN"/>
        </w:rPr>
        <w:t>7</w:t>
      </w:r>
      <w:r>
        <w:rPr>
          <w:rFonts w:hint="eastAsia" w:ascii="宋体" w:hAnsi="宋体" w:eastAsia="宋体" w:cs="宋体"/>
          <w:color w:val="auto"/>
          <w:sz w:val="28"/>
          <w:szCs w:val="28"/>
          <w:lang w:val="en-US" w:eastAsia="zh-CN"/>
        </w:rPr>
        <w:t>、资金来源：财政资金，已落实；</w:t>
      </w:r>
    </w:p>
    <w:p w14:paraId="6885DFA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color w:val="auto"/>
          <w:sz w:val="28"/>
          <w:szCs w:val="28"/>
          <w:lang w:val="en-US" w:eastAsia="zh-CN"/>
        </w:rPr>
      </w:pPr>
      <w:r>
        <w:rPr>
          <w:rFonts w:hint="eastAsia" w:cs="宋体"/>
          <w:color w:val="auto"/>
          <w:sz w:val="28"/>
          <w:szCs w:val="28"/>
          <w:lang w:val="en-US" w:eastAsia="zh-CN"/>
        </w:rPr>
        <w:t>8</w:t>
      </w:r>
      <w:r>
        <w:rPr>
          <w:rFonts w:hint="eastAsia" w:ascii="宋体" w:hAnsi="宋体" w:eastAsia="宋体" w:cs="宋体"/>
          <w:color w:val="auto"/>
          <w:sz w:val="28"/>
          <w:szCs w:val="28"/>
          <w:lang w:val="en-US" w:eastAsia="zh-CN"/>
        </w:rPr>
        <w:t>、设计周期：合同签订后10日历天完成；</w:t>
      </w:r>
    </w:p>
    <w:p w14:paraId="21A4110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color w:val="auto"/>
          <w:sz w:val="28"/>
          <w:szCs w:val="28"/>
          <w:lang w:val="en-US" w:eastAsia="zh-CN"/>
        </w:rPr>
      </w:pPr>
      <w:r>
        <w:rPr>
          <w:rFonts w:hint="eastAsia" w:cs="宋体"/>
          <w:color w:val="auto"/>
          <w:sz w:val="28"/>
          <w:szCs w:val="28"/>
          <w:lang w:val="en-US" w:eastAsia="zh-CN"/>
        </w:rPr>
        <w:t>9</w:t>
      </w:r>
      <w:r>
        <w:rPr>
          <w:rFonts w:hint="eastAsia" w:ascii="宋体" w:hAnsi="宋体" w:eastAsia="宋体" w:cs="宋体"/>
          <w:color w:val="auto"/>
          <w:sz w:val="28"/>
          <w:szCs w:val="28"/>
          <w:lang w:val="en-US" w:eastAsia="zh-CN"/>
        </w:rPr>
        <w:t>、质量要求：符合国家现行规范和标准，并满足采购人要求；</w:t>
      </w:r>
    </w:p>
    <w:bookmarkEnd w:id="8"/>
    <w:p w14:paraId="682291E8">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rPr>
        <w:t>二、供应商资格要求</w:t>
      </w:r>
    </w:p>
    <w:bookmarkEnd w:id="7"/>
    <w:p w14:paraId="6BADE21F">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落实政府采购政策满足的资格要求：</w:t>
      </w:r>
      <w:bookmarkStart w:id="9" w:name="OLE_LINK5"/>
      <w:bookmarkStart w:id="10" w:name="OLE_LINK2"/>
      <w:r>
        <w:rPr>
          <w:rFonts w:hint="eastAsia" w:ascii="宋体" w:hAnsi="宋体" w:eastAsia="宋体" w:cs="宋体"/>
          <w:color w:val="auto"/>
          <w:sz w:val="28"/>
          <w:szCs w:val="28"/>
        </w:rPr>
        <w:t>根据《政府采购促进中小企业发展管理办法》（财库〔2020〕46号）规定，本项目专门面向中小企业采购；同时投标供应商须提供《中小企业声明函》。</w:t>
      </w:r>
      <w:bookmarkEnd w:id="9"/>
    </w:p>
    <w:bookmarkEnd w:id="10"/>
    <w:p w14:paraId="0C38BDC8">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（二）符合《中华人民共和国政府采购法》第二十二条规定并同时具备下列条件：</w:t>
      </w:r>
    </w:p>
    <w:p w14:paraId="4EDED17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bookmarkStart w:id="11" w:name="OLE_LINK3"/>
      <w:r>
        <w:rPr>
          <w:rFonts w:hint="eastAsia" w:ascii="宋体" w:hAnsi="宋体" w:eastAsia="宋体" w:cs="宋体"/>
          <w:bCs/>
          <w:color w:val="auto"/>
          <w:sz w:val="28"/>
          <w:szCs w:val="28"/>
          <w:lang w:val="en-US" w:eastAsia="zh-CN" w:bidi="ar-SA"/>
        </w:rPr>
        <w:t>1、投标供应商</w:t>
      </w:r>
      <w:r>
        <w:rPr>
          <w:rFonts w:hint="eastAsia" w:ascii="宋体" w:hAnsi="宋体" w:eastAsia="宋体" w:cs="宋体"/>
          <w:bCs/>
          <w:color w:val="auto"/>
          <w:sz w:val="28"/>
          <w:szCs w:val="28"/>
          <w:lang w:val="en-US"/>
        </w:rPr>
        <w:t>须具有有效的营业执照、税务登记证、组织机构代码证（或有效的统一社会信用代码三证合一营业执照）</w:t>
      </w:r>
      <w:r>
        <w:rPr>
          <w:rFonts w:hint="eastAsia" w:ascii="宋体" w:hAnsi="宋体" w:cs="宋体"/>
          <w:bCs/>
          <w:color w:val="auto"/>
          <w:sz w:val="28"/>
          <w:szCs w:val="28"/>
          <w:lang w:val="en-US" w:eastAsia="zh-CN"/>
        </w:rPr>
        <w:t>或事业单位法人证书</w:t>
      </w:r>
      <w:r>
        <w:rPr>
          <w:rFonts w:hint="eastAsia" w:ascii="宋体" w:hAnsi="宋体" w:eastAsia="宋体" w:cs="宋体"/>
          <w:bCs/>
          <w:color w:val="auto"/>
          <w:sz w:val="28"/>
          <w:szCs w:val="28"/>
          <w:lang w:val="en-US"/>
        </w:rPr>
        <w:t>；</w:t>
      </w:r>
    </w:p>
    <w:p w14:paraId="2E36CA6B">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2、投标人须具备工程设计（农林行业（农业综合开发生态工程））专业乙级及以上资质，同时具备工程测绘乙级及以上资质。</w:t>
      </w:r>
    </w:p>
    <w:p w14:paraId="59BA023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3、投标供应商拟派项目负责人须具备</w:t>
      </w:r>
      <w:r>
        <w:rPr>
          <w:rFonts w:hint="eastAsia" w:eastAsia="宋体" w:cs="宋体"/>
          <w:bCs/>
          <w:color w:val="auto"/>
          <w:sz w:val="28"/>
          <w:szCs w:val="28"/>
          <w:lang w:val="en-US" w:eastAsia="zh-CN"/>
        </w:rPr>
        <w:t>相关</w:t>
      </w:r>
      <w:r>
        <w:rPr>
          <w:rFonts w:hint="eastAsia" w:ascii="宋体" w:hAnsi="宋体" w:eastAsia="宋体" w:cs="宋体"/>
          <w:bCs/>
          <w:color w:val="auto"/>
          <w:sz w:val="28"/>
          <w:szCs w:val="28"/>
          <w:lang w:val="en-US" w:eastAsia="zh-CN"/>
        </w:rPr>
        <w:t>专业中级及以上工程师职称，为本单位员工且已缴纳社保（提供劳动合同）；</w:t>
      </w:r>
    </w:p>
    <w:p w14:paraId="16FACCDF">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bidi="ar-SA"/>
        </w:rPr>
        <w:t>4、</w:t>
      </w:r>
      <w:r>
        <w:rPr>
          <w:rFonts w:hint="eastAsia" w:ascii="宋体" w:hAnsi="宋体" w:eastAsia="宋体" w:cs="宋体"/>
          <w:bCs/>
          <w:color w:val="auto"/>
          <w:sz w:val="28"/>
          <w:szCs w:val="28"/>
          <w:lang w:val="en-US"/>
        </w:rPr>
        <w:t>须提供企业近半年任意连续三个月依法缴纳税收的证明资料（新成立的企业从成立之日起计算）</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val="en-US"/>
        </w:rPr>
        <w:t>主要是指缴纳增值税或企业所得税或企业附加税的缴费证明，依法免税的投标响应人，应提供相应文件证明其依法免税；</w:t>
      </w:r>
    </w:p>
    <w:p w14:paraId="1B71391F">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bidi="ar-SA"/>
        </w:rPr>
        <w:t>5</w:t>
      </w:r>
      <w:r>
        <w:rPr>
          <w:rFonts w:hint="eastAsia" w:ascii="宋体" w:hAnsi="宋体" w:eastAsia="宋体" w:cs="宋体"/>
          <w:bCs/>
          <w:color w:val="auto"/>
          <w:sz w:val="28"/>
          <w:szCs w:val="28"/>
          <w:lang w:val="en-US" w:eastAsia="zh-CN" w:bidi="ar-SA"/>
        </w:rPr>
        <w:t>、</w:t>
      </w:r>
      <w:r>
        <w:rPr>
          <w:rFonts w:hint="eastAsia" w:ascii="宋体" w:hAnsi="宋体" w:eastAsia="宋体" w:cs="宋体"/>
          <w:bCs/>
          <w:color w:val="auto"/>
          <w:sz w:val="28"/>
          <w:szCs w:val="28"/>
          <w:lang w:val="en-US"/>
        </w:rPr>
        <w:t>参加政府采购活动前3年内无行贿犯罪记录、商业贿赂、不正当竞争行为、骗取中标、严重违约等问题；</w:t>
      </w:r>
    </w:p>
    <w:p w14:paraId="5B66374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eastAsia="宋体" w:cs="宋体"/>
          <w:bCs/>
          <w:color w:val="auto"/>
          <w:sz w:val="28"/>
          <w:szCs w:val="28"/>
          <w:lang w:val="en-US" w:eastAsia="zh-CN"/>
        </w:rPr>
        <w:t>6、</w:t>
      </w:r>
      <w:r>
        <w:rPr>
          <w:rFonts w:hint="eastAsia" w:ascii="宋体" w:hAnsi="宋体" w:eastAsia="宋体" w:cs="宋体"/>
          <w:bCs/>
          <w:color w:val="auto"/>
          <w:sz w:val="28"/>
          <w:szCs w:val="28"/>
          <w:lang w:val="en-US"/>
        </w:rPr>
        <w:t>供应商出具无行贿犯罪记录在中国裁判文书网自行查询或自行承诺（查询对象：企业、法定代表人）；</w:t>
      </w:r>
    </w:p>
    <w:p w14:paraId="5B7FD33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cs="宋体"/>
          <w:bCs/>
          <w:color w:val="auto"/>
          <w:sz w:val="28"/>
          <w:szCs w:val="28"/>
          <w:lang w:val="en-US" w:eastAsia="zh-CN" w:bidi="ar-SA"/>
        </w:rPr>
        <w:t>7</w:t>
      </w:r>
      <w:r>
        <w:rPr>
          <w:rFonts w:hint="eastAsia" w:ascii="宋体" w:hAnsi="宋体" w:eastAsia="宋体" w:cs="宋体"/>
          <w:bCs/>
          <w:color w:val="auto"/>
          <w:sz w:val="28"/>
          <w:szCs w:val="28"/>
          <w:lang w:val="en-US" w:eastAsia="zh-CN" w:bidi="ar-SA"/>
        </w:rPr>
        <w:t>、</w:t>
      </w:r>
      <w:r>
        <w:rPr>
          <w:rFonts w:hint="eastAsia" w:ascii="宋体" w:hAnsi="宋体" w:eastAsia="宋体" w:cs="宋体"/>
          <w:bCs/>
          <w:color w:val="auto"/>
          <w:sz w:val="28"/>
          <w:szCs w:val="28"/>
          <w:lang w:val="en-US"/>
        </w:rPr>
        <w:t>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信息记录”的响应人；（查询渠道：“信用中国”网站（www.creditchina.gov.cn）、中国政府采购网（www.ccgp.gov.cn）；提供网站的查询信息截图；(注：査询时间必须是磋商公告发布以后开标时间以前并提供网站查询网页截图，查询结果清晰可见)；</w:t>
      </w:r>
    </w:p>
    <w:p w14:paraId="6FE1697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rPr>
      </w:pPr>
      <w:r>
        <w:rPr>
          <w:rFonts w:hint="eastAsia" w:cs="宋体"/>
          <w:bCs/>
          <w:color w:val="auto"/>
          <w:sz w:val="28"/>
          <w:szCs w:val="28"/>
          <w:lang w:val="en-US" w:eastAsia="zh-CN" w:bidi="ar-SA"/>
        </w:rPr>
        <w:t>8</w:t>
      </w:r>
      <w:r>
        <w:rPr>
          <w:rFonts w:hint="eastAsia" w:ascii="宋体" w:hAnsi="宋体" w:eastAsia="宋体" w:cs="宋体"/>
          <w:bCs/>
          <w:color w:val="auto"/>
          <w:sz w:val="28"/>
          <w:szCs w:val="28"/>
          <w:lang w:val="zh-CN" w:eastAsia="zh-CN" w:bidi="ar-SA"/>
        </w:rPr>
        <w:t>、</w:t>
      </w:r>
      <w:r>
        <w:rPr>
          <w:rFonts w:hint="eastAsia" w:ascii="宋体" w:hAnsi="宋体" w:eastAsia="宋体" w:cs="宋体"/>
          <w:bCs/>
          <w:color w:val="auto"/>
          <w:sz w:val="28"/>
          <w:szCs w:val="28"/>
        </w:rPr>
        <w:t>本次磋商实行资格后审。</w:t>
      </w:r>
    </w:p>
    <w:bookmarkEnd w:id="11"/>
    <w:p w14:paraId="4DA35D4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6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注：</w:t>
      </w:r>
      <w:r>
        <w:rPr>
          <w:rFonts w:hint="eastAsia" w:ascii="宋体" w:hAnsi="宋体" w:eastAsia="宋体" w:cs="宋体"/>
          <w:bCs/>
          <w:color w:val="auto"/>
          <w:sz w:val="28"/>
          <w:szCs w:val="28"/>
        </w:rPr>
        <w:t>被列入失信被执行人及重大税收违法失信主体的企业做无效标处理。采购人或采购代理机构有权对供应商信用记录进行甄别和复查。</w:t>
      </w:r>
    </w:p>
    <w:p w14:paraId="751260AE">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三、磋商文件的获取</w:t>
      </w:r>
    </w:p>
    <w:p w14:paraId="11149DDC">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auto"/>
          <w:sz w:val="28"/>
          <w:szCs w:val="28"/>
          <w:highlight w:val="none"/>
          <w:lang w:val="en-US" w:eastAsia="zh-CN"/>
        </w:rPr>
        <w:t>1、磋商文件下载时间</w:t>
      </w:r>
      <w:r>
        <w:rPr>
          <w:rFonts w:hint="eastAsia" w:ascii="宋体" w:hAnsi="宋体" w:eastAsia="宋体" w:cs="宋体"/>
          <w:bCs/>
          <w:color w:val="000000"/>
          <w:sz w:val="28"/>
          <w:szCs w:val="28"/>
          <w:highlight w:val="none"/>
          <w:lang w:val="en-US" w:eastAsia="zh-CN"/>
        </w:rPr>
        <w:t>：202</w:t>
      </w:r>
      <w:r>
        <w:rPr>
          <w:rFonts w:hint="eastAsia" w:cs="宋体"/>
          <w:bCs/>
          <w:color w:val="000000"/>
          <w:sz w:val="28"/>
          <w:szCs w:val="28"/>
          <w:highlight w:val="none"/>
          <w:lang w:val="en-US" w:eastAsia="zh-CN"/>
        </w:rPr>
        <w:t>5</w:t>
      </w:r>
      <w:r>
        <w:rPr>
          <w:rFonts w:hint="eastAsia" w:ascii="宋体" w:hAnsi="宋体" w:eastAsia="宋体" w:cs="宋体"/>
          <w:bCs/>
          <w:color w:val="000000"/>
          <w:sz w:val="28"/>
          <w:szCs w:val="28"/>
          <w:highlight w:val="none"/>
          <w:lang w:val="en-US" w:eastAsia="zh-CN"/>
        </w:rPr>
        <w:t>年</w:t>
      </w:r>
      <w:r>
        <w:rPr>
          <w:rFonts w:hint="eastAsia" w:cs="宋体"/>
          <w:bCs/>
          <w:color w:val="000000"/>
          <w:sz w:val="28"/>
          <w:szCs w:val="28"/>
          <w:highlight w:val="none"/>
          <w:lang w:val="en-US" w:eastAsia="zh-CN"/>
        </w:rPr>
        <w:t>06</w:t>
      </w:r>
      <w:r>
        <w:rPr>
          <w:rFonts w:hint="eastAsia" w:ascii="宋体" w:hAnsi="宋体" w:eastAsia="宋体" w:cs="宋体"/>
          <w:bCs/>
          <w:color w:val="000000"/>
          <w:sz w:val="28"/>
          <w:szCs w:val="28"/>
          <w:highlight w:val="none"/>
          <w:lang w:val="en-US" w:eastAsia="zh-CN"/>
        </w:rPr>
        <w:t>月</w:t>
      </w:r>
      <w:r>
        <w:rPr>
          <w:rFonts w:hint="eastAsia" w:cs="宋体"/>
          <w:bCs/>
          <w:color w:val="000000"/>
          <w:sz w:val="28"/>
          <w:szCs w:val="28"/>
          <w:highlight w:val="none"/>
          <w:lang w:val="en-US" w:eastAsia="zh-CN"/>
        </w:rPr>
        <w:t>21</w:t>
      </w:r>
      <w:r>
        <w:rPr>
          <w:rFonts w:hint="eastAsia" w:ascii="宋体" w:hAnsi="宋体" w:eastAsia="宋体" w:cs="宋体"/>
          <w:bCs/>
          <w:color w:val="000000"/>
          <w:sz w:val="28"/>
          <w:szCs w:val="28"/>
          <w:highlight w:val="none"/>
          <w:lang w:val="en-US" w:eastAsia="zh-CN"/>
        </w:rPr>
        <w:t>日08时00分至202</w:t>
      </w:r>
      <w:r>
        <w:rPr>
          <w:rFonts w:hint="eastAsia" w:cs="宋体"/>
          <w:bCs/>
          <w:color w:val="000000"/>
          <w:sz w:val="28"/>
          <w:szCs w:val="28"/>
          <w:highlight w:val="none"/>
          <w:lang w:val="en-US" w:eastAsia="zh-CN"/>
        </w:rPr>
        <w:t>5</w:t>
      </w:r>
      <w:r>
        <w:rPr>
          <w:rFonts w:hint="eastAsia" w:ascii="宋体" w:hAnsi="宋体" w:eastAsia="宋体" w:cs="宋体"/>
          <w:bCs/>
          <w:color w:val="000000"/>
          <w:sz w:val="28"/>
          <w:szCs w:val="28"/>
          <w:highlight w:val="none"/>
          <w:lang w:val="en-US" w:eastAsia="zh-CN"/>
        </w:rPr>
        <w:t>年</w:t>
      </w:r>
      <w:r>
        <w:rPr>
          <w:rFonts w:hint="eastAsia" w:cs="宋体"/>
          <w:bCs/>
          <w:color w:val="000000"/>
          <w:sz w:val="28"/>
          <w:szCs w:val="28"/>
          <w:highlight w:val="none"/>
          <w:lang w:val="en-US" w:eastAsia="zh-CN"/>
        </w:rPr>
        <w:t>07</w:t>
      </w:r>
      <w:r>
        <w:rPr>
          <w:rFonts w:hint="eastAsia" w:ascii="宋体" w:hAnsi="宋体" w:eastAsia="宋体" w:cs="宋体"/>
          <w:bCs/>
          <w:color w:val="000000"/>
          <w:sz w:val="28"/>
          <w:szCs w:val="28"/>
          <w:highlight w:val="none"/>
          <w:lang w:val="en-US" w:eastAsia="zh-CN"/>
        </w:rPr>
        <w:t>月</w:t>
      </w:r>
      <w:r>
        <w:rPr>
          <w:rFonts w:hint="eastAsia" w:cs="宋体"/>
          <w:bCs/>
          <w:color w:val="000000"/>
          <w:sz w:val="28"/>
          <w:szCs w:val="28"/>
          <w:highlight w:val="none"/>
          <w:lang w:val="en-US" w:eastAsia="zh-CN"/>
        </w:rPr>
        <w:t>02</w:t>
      </w:r>
      <w:r>
        <w:rPr>
          <w:rFonts w:hint="eastAsia" w:ascii="宋体" w:hAnsi="宋体" w:eastAsia="宋体" w:cs="宋体"/>
          <w:bCs/>
          <w:color w:val="000000"/>
          <w:sz w:val="28"/>
          <w:szCs w:val="28"/>
          <w:highlight w:val="none"/>
          <w:lang w:val="en-US" w:eastAsia="zh-CN"/>
        </w:rPr>
        <w:t>日0</w:t>
      </w:r>
      <w:r>
        <w:rPr>
          <w:rFonts w:hint="eastAsia" w:eastAsia="宋体" w:cs="宋体"/>
          <w:bCs/>
          <w:color w:val="000000"/>
          <w:sz w:val="28"/>
          <w:szCs w:val="28"/>
          <w:highlight w:val="none"/>
          <w:lang w:val="en-US" w:eastAsia="zh-CN"/>
        </w:rPr>
        <w:t>9</w:t>
      </w:r>
      <w:r>
        <w:rPr>
          <w:rFonts w:hint="eastAsia" w:ascii="宋体" w:hAnsi="宋体" w:eastAsia="宋体" w:cs="宋体"/>
          <w:bCs/>
          <w:color w:val="000000"/>
          <w:sz w:val="28"/>
          <w:szCs w:val="28"/>
          <w:highlight w:val="none"/>
          <w:lang w:val="en-US" w:eastAsia="zh-CN"/>
        </w:rPr>
        <w:t>时</w:t>
      </w:r>
      <w:r>
        <w:rPr>
          <w:rFonts w:hint="eastAsia" w:eastAsia="宋体" w:cs="宋体"/>
          <w:bCs/>
          <w:color w:val="000000"/>
          <w:sz w:val="28"/>
          <w:szCs w:val="28"/>
          <w:highlight w:val="none"/>
          <w:lang w:val="en-US" w:eastAsia="zh-CN"/>
        </w:rPr>
        <w:t>1</w:t>
      </w:r>
      <w:r>
        <w:rPr>
          <w:rFonts w:hint="eastAsia" w:ascii="宋体" w:hAnsi="宋体" w:eastAsia="宋体" w:cs="宋体"/>
          <w:bCs/>
          <w:color w:val="000000"/>
          <w:sz w:val="28"/>
          <w:szCs w:val="28"/>
          <w:highlight w:val="none"/>
          <w:lang w:val="en-US" w:eastAsia="zh-CN"/>
        </w:rPr>
        <w:t>0分。</w:t>
      </w:r>
    </w:p>
    <w:p w14:paraId="5FBE5D0B">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2、</w:t>
      </w:r>
      <w:bookmarkStart w:id="12" w:name="OLE_LINK7"/>
      <w:r>
        <w:rPr>
          <w:rFonts w:hint="eastAsia" w:ascii="宋体" w:hAnsi="宋体" w:eastAsia="宋体" w:cs="宋体"/>
          <w:bCs/>
          <w:color w:val="auto"/>
          <w:sz w:val="28"/>
          <w:szCs w:val="28"/>
          <w:lang w:val="en-US" w:eastAsia="zh-CN"/>
        </w:rPr>
        <w:t>本项目没有报名环节，供应商凭CA数字证书通过</w:t>
      </w:r>
      <w:bookmarkStart w:id="13" w:name="OLE_LINK6"/>
      <w:r>
        <w:rPr>
          <w:rFonts w:hint="eastAsia" w:ascii="宋体" w:hAnsi="宋体" w:eastAsia="宋体" w:cs="宋体"/>
          <w:bCs/>
          <w:color w:val="auto"/>
          <w:sz w:val="28"/>
          <w:szCs w:val="28"/>
          <w:lang w:val="en-US" w:eastAsia="zh-CN"/>
        </w:rPr>
        <w:t>三门峡市公共资源交易中心网（网址：http://gzjy.smx.gov.cn/）</w:t>
      </w:r>
      <w:bookmarkEnd w:id="13"/>
      <w:r>
        <w:rPr>
          <w:rFonts w:hint="eastAsia" w:ascii="宋体" w:hAnsi="宋体" w:eastAsia="宋体" w:cs="宋体"/>
          <w:bCs/>
          <w:color w:val="auto"/>
          <w:sz w:val="28"/>
          <w:szCs w:val="28"/>
          <w:lang w:val="en-US" w:eastAsia="zh-CN"/>
        </w:rPr>
        <w:t>，点击交易平台选择“交易主体登录”，在所参与项目右侧点击参与投标，即可直接下载本项目磋商文件及其相关资料</w:t>
      </w:r>
      <w:bookmarkEnd w:id="12"/>
      <w:r>
        <w:rPr>
          <w:rFonts w:hint="eastAsia" w:ascii="宋体" w:hAnsi="宋体" w:eastAsia="宋体" w:cs="宋体"/>
          <w:bCs/>
          <w:color w:val="auto"/>
          <w:sz w:val="28"/>
          <w:szCs w:val="28"/>
          <w:lang w:val="en-US" w:eastAsia="zh-CN"/>
        </w:rPr>
        <w:t>；</w:t>
      </w:r>
    </w:p>
    <w:p w14:paraId="6C907C86">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办理CA证书：</w:t>
      </w: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"http://gzjy.smx.gov.cn/bzzx/008001/20231102/4defc9b5-408e-47f2-9e9f-1f376a06ee1f.html"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bCs/>
          <w:color w:val="auto"/>
          <w:sz w:val="28"/>
          <w:szCs w:val="28"/>
          <w:lang w:val="en-US" w:eastAsia="zh-CN"/>
        </w:rPr>
        <w:t>http://gzjy.smx.gov.cn/bzzx/008001/20231102/4defc9b5-408e-47f2-9e9f-1f376a06ee1f.html</w:t>
      </w:r>
      <w:r>
        <w:rPr>
          <w:rFonts w:hint="eastAsia" w:ascii="宋体" w:hAnsi="宋体" w:eastAsia="宋体" w:cs="宋体"/>
          <w:bCs/>
          <w:color w:val="auto"/>
          <w:sz w:val="28"/>
          <w:szCs w:val="28"/>
          <w:lang w:val="en-US" w:eastAsia="zh-CN"/>
        </w:rPr>
        <w:fldChar w:fldCharType="end"/>
      </w:r>
      <w:r>
        <w:rPr>
          <w:rFonts w:hint="eastAsia" w:ascii="宋体" w:hAnsi="宋体" w:eastAsia="宋体" w:cs="宋体"/>
          <w:bCs/>
          <w:color w:val="auto"/>
          <w:sz w:val="28"/>
          <w:szCs w:val="28"/>
          <w:lang w:val="en-US" w:eastAsia="zh-CN"/>
        </w:rPr>
        <w:t>）</w:t>
      </w:r>
    </w:p>
    <w:p w14:paraId="37E9A69A">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3、本项目采用全电子化招标，不再收取竞争性磋商文件费。</w:t>
      </w:r>
    </w:p>
    <w:p w14:paraId="64DDB42F">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注：本项目为不见面开标项目，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14:paraId="46EAFD61">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四、供应商资料的提交</w:t>
      </w:r>
    </w:p>
    <w:p w14:paraId="219951D7">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bookmarkStart w:id="14" w:name="OLE_LINK10"/>
      <w:r>
        <w:rPr>
          <w:rFonts w:hint="eastAsia" w:ascii="宋体" w:hAnsi="宋体" w:eastAsia="宋体" w:cs="宋体"/>
          <w:bCs/>
          <w:color w:val="auto"/>
          <w:sz w:val="28"/>
          <w:szCs w:val="28"/>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bookmarkEnd w:id="14"/>
    <w:p w14:paraId="6EB01604">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五、磋商保证金</w:t>
      </w:r>
    </w:p>
    <w:p w14:paraId="2EB87EE8">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按照《河南省财政厅关于优化政府采购营商环境有关问题的通知》（豫财购[2019]4号文）的要求本项目不再收取磋商保证金。</w:t>
      </w:r>
    </w:p>
    <w:p w14:paraId="54C52AB0">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六、响应文件的递交截止时间及开评标地点</w:t>
      </w:r>
    </w:p>
    <w:p w14:paraId="06533F77">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auto"/>
          <w:sz w:val="28"/>
          <w:szCs w:val="28"/>
          <w:highlight w:val="none"/>
          <w:lang w:val="en-US" w:eastAsia="zh-CN"/>
        </w:rPr>
        <w:t>1、响应文件递交的截止时间（开标时间）：</w:t>
      </w:r>
      <w:r>
        <w:rPr>
          <w:rFonts w:hint="eastAsia" w:ascii="宋体" w:hAnsi="宋体" w:eastAsia="宋体" w:cs="宋体"/>
          <w:bCs/>
          <w:color w:val="000000"/>
          <w:sz w:val="28"/>
          <w:szCs w:val="28"/>
          <w:highlight w:val="none"/>
          <w:lang w:val="en-US" w:eastAsia="zh-CN"/>
        </w:rPr>
        <w:t>202</w:t>
      </w:r>
      <w:r>
        <w:rPr>
          <w:rFonts w:hint="eastAsia" w:cs="宋体"/>
          <w:bCs/>
          <w:color w:val="000000"/>
          <w:sz w:val="28"/>
          <w:szCs w:val="28"/>
          <w:highlight w:val="none"/>
          <w:lang w:val="en-US" w:eastAsia="zh-CN"/>
        </w:rPr>
        <w:t>5年07</w:t>
      </w:r>
      <w:r>
        <w:rPr>
          <w:rFonts w:hint="eastAsia" w:ascii="宋体" w:hAnsi="宋体" w:eastAsia="宋体" w:cs="宋体"/>
          <w:bCs/>
          <w:color w:val="000000"/>
          <w:sz w:val="28"/>
          <w:szCs w:val="28"/>
          <w:highlight w:val="none"/>
          <w:lang w:val="en-US" w:eastAsia="zh-CN"/>
        </w:rPr>
        <w:t>月</w:t>
      </w:r>
      <w:r>
        <w:rPr>
          <w:rFonts w:hint="eastAsia" w:cs="宋体"/>
          <w:bCs/>
          <w:color w:val="000000"/>
          <w:sz w:val="28"/>
          <w:szCs w:val="28"/>
          <w:highlight w:val="none"/>
          <w:lang w:val="en-US" w:eastAsia="zh-CN"/>
        </w:rPr>
        <w:t>02</w:t>
      </w:r>
      <w:r>
        <w:rPr>
          <w:rFonts w:hint="eastAsia" w:ascii="宋体" w:hAnsi="宋体" w:eastAsia="宋体" w:cs="宋体"/>
          <w:bCs/>
          <w:color w:val="000000"/>
          <w:sz w:val="28"/>
          <w:szCs w:val="28"/>
          <w:highlight w:val="none"/>
          <w:lang w:val="en-US" w:eastAsia="zh-CN"/>
        </w:rPr>
        <w:t>日0</w:t>
      </w:r>
      <w:r>
        <w:rPr>
          <w:rFonts w:hint="eastAsia" w:eastAsia="宋体" w:cs="宋体"/>
          <w:bCs/>
          <w:color w:val="000000"/>
          <w:sz w:val="28"/>
          <w:szCs w:val="28"/>
          <w:highlight w:val="none"/>
          <w:lang w:val="en-US" w:eastAsia="zh-CN"/>
        </w:rPr>
        <w:t>9</w:t>
      </w:r>
      <w:r>
        <w:rPr>
          <w:rFonts w:hint="eastAsia" w:ascii="宋体" w:hAnsi="宋体" w:eastAsia="宋体" w:cs="宋体"/>
          <w:bCs/>
          <w:color w:val="000000"/>
          <w:sz w:val="28"/>
          <w:szCs w:val="28"/>
          <w:highlight w:val="none"/>
          <w:lang w:val="en-US" w:eastAsia="zh-CN"/>
        </w:rPr>
        <w:t>时</w:t>
      </w:r>
      <w:r>
        <w:rPr>
          <w:rFonts w:hint="eastAsia" w:eastAsia="宋体" w:cs="宋体"/>
          <w:bCs/>
          <w:color w:val="000000"/>
          <w:sz w:val="28"/>
          <w:szCs w:val="28"/>
          <w:highlight w:val="none"/>
          <w:lang w:val="en-US" w:eastAsia="zh-CN"/>
        </w:rPr>
        <w:t>1</w:t>
      </w:r>
      <w:r>
        <w:rPr>
          <w:rFonts w:hint="eastAsia" w:ascii="宋体" w:hAnsi="宋体" w:eastAsia="宋体" w:cs="宋体"/>
          <w:bCs/>
          <w:color w:val="000000"/>
          <w:sz w:val="28"/>
          <w:szCs w:val="28"/>
          <w:highlight w:val="none"/>
          <w:lang w:val="en-US" w:eastAsia="zh-CN"/>
        </w:rPr>
        <w:t>0分；</w:t>
      </w:r>
    </w:p>
    <w:p w14:paraId="16866A4F">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000000"/>
          <w:sz w:val="28"/>
          <w:szCs w:val="28"/>
          <w:highlight w:val="none"/>
          <w:lang w:val="en-US" w:eastAsia="zh-CN"/>
        </w:rPr>
      </w:pPr>
      <w:r>
        <w:rPr>
          <w:rFonts w:hint="eastAsia" w:ascii="宋体" w:hAnsi="宋体" w:eastAsia="宋体" w:cs="宋体"/>
          <w:bCs/>
          <w:color w:val="000000"/>
          <w:sz w:val="28"/>
          <w:szCs w:val="28"/>
          <w:highlight w:val="none"/>
          <w:lang w:val="en-US" w:eastAsia="zh-CN"/>
        </w:rPr>
        <w:t>2、开标地点：</w:t>
      </w:r>
      <w:bookmarkStart w:id="15" w:name="OLE_LINK8"/>
      <w:r>
        <w:rPr>
          <w:rFonts w:hint="eastAsia" w:ascii="宋体" w:hAnsi="宋体" w:eastAsia="宋体" w:cs="宋体"/>
          <w:bCs/>
          <w:color w:val="000000"/>
          <w:sz w:val="28"/>
          <w:szCs w:val="28"/>
          <w:highlight w:val="none"/>
          <w:lang w:val="en-US" w:eastAsia="zh-CN"/>
        </w:rPr>
        <w:t>卢氏县公共资源交易中心四楼第</w:t>
      </w:r>
      <w:r>
        <w:rPr>
          <w:rFonts w:hint="eastAsia" w:ascii="宋体" w:hAnsi="宋体" w:cs="宋体"/>
          <w:bCs/>
          <w:color w:val="000000"/>
          <w:sz w:val="28"/>
          <w:szCs w:val="28"/>
          <w:highlight w:val="none"/>
          <w:lang w:val="en-US" w:eastAsia="zh-CN"/>
        </w:rPr>
        <w:t>一</w:t>
      </w:r>
      <w:r>
        <w:rPr>
          <w:rFonts w:hint="eastAsia" w:ascii="宋体" w:hAnsi="宋体" w:eastAsia="宋体" w:cs="宋体"/>
          <w:bCs/>
          <w:color w:val="000000"/>
          <w:sz w:val="28"/>
          <w:szCs w:val="28"/>
          <w:highlight w:val="none"/>
          <w:lang w:val="en-US" w:eastAsia="zh-CN"/>
        </w:rPr>
        <w:t>开标室</w:t>
      </w:r>
      <w:bookmarkEnd w:id="15"/>
      <w:r>
        <w:rPr>
          <w:rFonts w:hint="eastAsia" w:ascii="宋体" w:hAnsi="宋体" w:eastAsia="宋体" w:cs="宋体"/>
          <w:bCs/>
          <w:color w:val="000000"/>
          <w:sz w:val="28"/>
          <w:szCs w:val="28"/>
          <w:highlight w:val="none"/>
          <w:lang w:val="en-US" w:eastAsia="zh-CN"/>
        </w:rPr>
        <w:t>；</w:t>
      </w:r>
    </w:p>
    <w:p w14:paraId="7A6D2B24">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000000"/>
          <w:sz w:val="28"/>
          <w:szCs w:val="28"/>
          <w:highlight w:val="none"/>
          <w:lang w:val="en-US"/>
        </w:rPr>
      </w:pPr>
      <w:r>
        <w:rPr>
          <w:rFonts w:hint="eastAsia" w:ascii="宋体" w:hAnsi="宋体" w:eastAsia="宋体" w:cs="宋体"/>
          <w:bCs/>
          <w:color w:val="000000"/>
          <w:sz w:val="28"/>
          <w:szCs w:val="28"/>
          <w:highlight w:val="none"/>
          <w:lang w:val="en-US" w:eastAsia="zh-CN"/>
        </w:rPr>
        <w:t>3、评标地点：卢氏县公共资源交易中心二楼第</w:t>
      </w:r>
      <w:r>
        <w:rPr>
          <w:rFonts w:hint="eastAsia" w:cs="宋体"/>
          <w:bCs/>
          <w:color w:val="000000"/>
          <w:sz w:val="28"/>
          <w:szCs w:val="28"/>
          <w:highlight w:val="none"/>
          <w:lang w:val="en-US" w:eastAsia="zh-CN"/>
        </w:rPr>
        <w:t>三</w:t>
      </w:r>
      <w:r>
        <w:rPr>
          <w:rFonts w:hint="eastAsia" w:ascii="宋体" w:hAnsi="宋体" w:eastAsia="宋体" w:cs="宋体"/>
          <w:bCs/>
          <w:color w:val="000000"/>
          <w:sz w:val="28"/>
          <w:szCs w:val="28"/>
          <w:highlight w:val="none"/>
          <w:lang w:val="en-US" w:eastAsia="zh-CN"/>
        </w:rPr>
        <w:t>评标室；</w:t>
      </w:r>
    </w:p>
    <w:p w14:paraId="1CF4D15E">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七、其他事项</w:t>
      </w:r>
    </w:p>
    <w:p w14:paraId="665DB2FD">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bookmarkStart w:id="16" w:name="OLE_LINK11"/>
      <w:r>
        <w:rPr>
          <w:rFonts w:hint="eastAsia" w:ascii="宋体" w:hAnsi="宋体" w:eastAsia="宋体" w:cs="宋体"/>
          <w:bCs/>
          <w:color w:val="auto"/>
          <w:sz w:val="28"/>
          <w:szCs w:val="28"/>
          <w:lang w:val="en-US" w:eastAsia="zh-CN"/>
        </w:rPr>
        <w:t>1、响应人应仔细阅读操作手册，在本公告中要求的截止时间前完成磋商文件下载工作。因响应人操作不当问题造成的无法下载磋商文件等一切后果，由响应人自行承担。</w:t>
      </w:r>
    </w:p>
    <w:p w14:paraId="7828977A">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2、响应人递交的响应文件不论中标与否均不予退还。</w:t>
      </w:r>
    </w:p>
    <w:p w14:paraId="18530A76">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3、采购人不组织投标单位踏勘现场。</w:t>
      </w:r>
    </w:p>
    <w:bookmarkEnd w:id="16"/>
    <w:p w14:paraId="5A42D1DD">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八、发布公告的媒介</w:t>
      </w:r>
    </w:p>
    <w:p w14:paraId="4B7AE2EE">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本次公告在《中国采购与招标网》、《河南省政府采购网》、《三门峡市公共资源交易中心网》同时发布。</w:t>
      </w:r>
    </w:p>
    <w:p w14:paraId="4C70395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九、联系方式</w:t>
      </w:r>
    </w:p>
    <w:p w14:paraId="3695091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Cs/>
          <w:color w:val="auto"/>
          <w:kern w:val="2"/>
          <w:sz w:val="28"/>
          <w:szCs w:val="28"/>
          <w:lang w:val="en-US" w:eastAsia="zh-CN" w:bidi="ar-SA"/>
        </w:rPr>
      </w:pPr>
      <w:bookmarkStart w:id="17" w:name="_Toc19177"/>
      <w:r>
        <w:rPr>
          <w:rFonts w:hint="eastAsia" w:ascii="宋体" w:hAnsi="宋体" w:eastAsia="宋体" w:cs="宋体"/>
          <w:bCs/>
          <w:color w:val="auto"/>
          <w:kern w:val="2"/>
          <w:sz w:val="28"/>
          <w:szCs w:val="28"/>
          <w:lang w:val="en-US" w:eastAsia="zh-CN" w:bidi="ar-SA"/>
        </w:rPr>
        <w:t>监督单位：卢氏县政府采购办公室</w:t>
      </w:r>
    </w:p>
    <w:p w14:paraId="09B413D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联系人：郭伟静</w:t>
      </w:r>
    </w:p>
    <w:p w14:paraId="161C01F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联系电话：0398-7863556</w:t>
      </w:r>
    </w:p>
    <w:p w14:paraId="53ED122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地址：卢氏县城关镇解放路中段</w:t>
      </w:r>
    </w:p>
    <w:p w14:paraId="7A62A90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监督单位：卢氏县农业农村局</w:t>
      </w:r>
    </w:p>
    <w:p w14:paraId="3C41C49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联系人：李秀平</w:t>
      </w:r>
    </w:p>
    <w:p w14:paraId="6B5EFA4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电话：13673982377  0398-7872655</w:t>
      </w:r>
    </w:p>
    <w:p w14:paraId="3719A9F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地址：卢氏县西街二街坊62号</w:t>
      </w:r>
    </w:p>
    <w:p w14:paraId="1B6FD8F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监督单位：中国共产党卢氏县五里川镇纪律检查委员会</w:t>
      </w:r>
    </w:p>
    <w:p w14:paraId="3A844C2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联系人：王二波</w:t>
      </w:r>
    </w:p>
    <w:p w14:paraId="64090D8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电话：18639876995   15639813975</w:t>
      </w:r>
    </w:p>
    <w:p w14:paraId="1341840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地址：卢氏县五里川镇五里川街</w:t>
      </w:r>
    </w:p>
    <w:p w14:paraId="294D87C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招标人：卢氏县五里川镇人民政府</w:t>
      </w:r>
    </w:p>
    <w:p w14:paraId="2F4F41B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联系人：李润霖</w:t>
      </w:r>
    </w:p>
    <w:p w14:paraId="394E6EC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电话：15939885567  13290844000</w:t>
      </w:r>
    </w:p>
    <w:p w14:paraId="5FF06C7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地址：卢氏县五里川镇五里川街</w:t>
      </w:r>
    </w:p>
    <w:p w14:paraId="3F5DA636">
      <w:pPr>
        <w:pStyle w:val="8"/>
        <w:keepNext w:val="0"/>
        <w:keepLines w:val="0"/>
        <w:pageBreakBefore w:val="0"/>
        <w:widowControl w:val="0"/>
        <w:kinsoku/>
        <w:wordWrap w:val="0"/>
        <w:overflowPunct/>
        <w:topLinePunct w:val="0"/>
        <w:autoSpaceDE w:val="0"/>
        <w:autoSpaceDN w:val="0"/>
        <w:bidi w:val="0"/>
        <w:adjustRightInd/>
        <w:snapToGrid/>
        <w:spacing w:line="660" w:lineRule="exact"/>
        <w:ind w:left="0" w:leftChars="0" w:firstLine="560" w:firstLineChars="200"/>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 xml:space="preserve">招标代理：河南省中塍建设管理有限公司 </w:t>
      </w:r>
    </w:p>
    <w:p w14:paraId="533E758C">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联 系 人：高天</w:t>
      </w:r>
    </w:p>
    <w:p w14:paraId="0CF19BF2">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default"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电   话：15239887187   13653973976</w:t>
      </w:r>
    </w:p>
    <w:p w14:paraId="5FFAD935">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地址：河南自贸试验区郑州片区（郑东）心怡路319号易元国际B座1623室</w:t>
      </w:r>
    </w:p>
    <w:p w14:paraId="2E2E88E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p>
    <w:p w14:paraId="25BFC2B5">
      <w:pPr>
        <w:jc w:val="center"/>
        <w:outlineLvl w:val="0"/>
        <w:rPr>
          <w:b/>
          <w:color w:val="auto"/>
        </w:rPr>
      </w:pPr>
      <w:r>
        <w:rPr>
          <w:b/>
          <w:color w:val="auto"/>
          <w:sz w:val="32"/>
        </w:rPr>
        <w:br w:type="page"/>
      </w:r>
      <w:bookmarkStart w:id="18" w:name="_Toc12815"/>
      <w:r>
        <w:rPr>
          <w:b/>
          <w:color w:val="auto"/>
          <w:sz w:val="36"/>
          <w:szCs w:val="24"/>
        </w:rPr>
        <w:t>第二章 供应商须知</w:t>
      </w:r>
      <w:bookmarkEnd w:id="17"/>
      <w:bookmarkEnd w:id="18"/>
    </w:p>
    <w:p w14:paraId="7A5E3195">
      <w:pPr>
        <w:pStyle w:val="8"/>
        <w:ind w:left="0"/>
        <w:rPr>
          <w:b/>
          <w:color w:val="auto"/>
          <w:sz w:val="32"/>
        </w:rPr>
      </w:pPr>
    </w:p>
    <w:p w14:paraId="295FBCD9">
      <w:pPr>
        <w:pStyle w:val="5"/>
        <w:spacing w:before="244"/>
        <w:ind w:left="320"/>
        <w:jc w:val="center"/>
        <w:rPr>
          <w:color w:val="auto"/>
        </w:rPr>
      </w:pPr>
      <w:r>
        <w:rPr>
          <w:color w:val="auto"/>
        </w:rPr>
        <w:t>供应商须知前附表</w:t>
      </w:r>
    </w:p>
    <w:p w14:paraId="7FA82361">
      <w:pPr>
        <w:pStyle w:val="8"/>
        <w:spacing w:before="3"/>
        <w:ind w:left="0"/>
        <w:rPr>
          <w:b/>
          <w:color w:val="auto"/>
          <w:sz w:val="6"/>
        </w:rPr>
      </w:pPr>
    </w:p>
    <w:tbl>
      <w:tblPr>
        <w:tblStyle w:val="22"/>
        <w:tblW w:w="958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715"/>
        <w:gridCol w:w="6768"/>
      </w:tblGrid>
      <w:tr w14:paraId="1E358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01" w:type="dxa"/>
            <w:noWrap w:val="0"/>
            <w:vAlign w:val="top"/>
          </w:tcPr>
          <w:p w14:paraId="7E1E4D0F">
            <w:pPr>
              <w:pStyle w:val="35"/>
              <w:spacing w:before="130"/>
              <w:ind w:left="169" w:right="158"/>
              <w:jc w:val="center"/>
              <w:rPr>
                <w:b/>
                <w:color w:val="auto"/>
                <w:sz w:val="24"/>
              </w:rPr>
            </w:pPr>
            <w:r>
              <w:rPr>
                <w:b/>
                <w:color w:val="auto"/>
                <w:sz w:val="24"/>
              </w:rPr>
              <w:t>条款号</w:t>
            </w:r>
          </w:p>
        </w:tc>
        <w:tc>
          <w:tcPr>
            <w:tcW w:w="1715" w:type="dxa"/>
            <w:noWrap w:val="0"/>
            <w:vAlign w:val="top"/>
          </w:tcPr>
          <w:p w14:paraId="10E697E7">
            <w:pPr>
              <w:pStyle w:val="35"/>
              <w:spacing w:before="130"/>
              <w:ind w:left="110" w:right="98"/>
              <w:jc w:val="center"/>
              <w:rPr>
                <w:b/>
                <w:color w:val="auto"/>
                <w:sz w:val="24"/>
              </w:rPr>
            </w:pPr>
            <w:r>
              <w:rPr>
                <w:b/>
                <w:color w:val="auto"/>
                <w:sz w:val="24"/>
              </w:rPr>
              <w:t>条款名称</w:t>
            </w:r>
          </w:p>
        </w:tc>
        <w:tc>
          <w:tcPr>
            <w:tcW w:w="6768" w:type="dxa"/>
            <w:noWrap w:val="0"/>
            <w:vAlign w:val="top"/>
          </w:tcPr>
          <w:p w14:paraId="2A434311">
            <w:pPr>
              <w:pStyle w:val="35"/>
              <w:spacing w:before="130"/>
              <w:ind w:left="1408" w:right="1397"/>
              <w:jc w:val="center"/>
              <w:rPr>
                <w:b/>
                <w:color w:val="auto"/>
                <w:sz w:val="24"/>
              </w:rPr>
            </w:pPr>
            <w:r>
              <w:rPr>
                <w:b/>
                <w:color w:val="auto"/>
                <w:sz w:val="24"/>
              </w:rPr>
              <w:t>编列内容</w:t>
            </w:r>
          </w:p>
        </w:tc>
      </w:tr>
      <w:tr w14:paraId="39127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101" w:type="dxa"/>
            <w:noWrap w:val="0"/>
            <w:vAlign w:val="center"/>
          </w:tcPr>
          <w:p w14:paraId="243F2679">
            <w:pPr>
              <w:pStyle w:val="35"/>
              <w:jc w:val="center"/>
              <w:rPr>
                <w:b/>
                <w:color w:val="auto"/>
                <w:sz w:val="24"/>
              </w:rPr>
            </w:pPr>
          </w:p>
          <w:p w14:paraId="0D5325B9">
            <w:pPr>
              <w:pStyle w:val="35"/>
              <w:jc w:val="center"/>
              <w:rPr>
                <w:b/>
                <w:color w:val="auto"/>
                <w:sz w:val="24"/>
              </w:rPr>
            </w:pPr>
          </w:p>
          <w:p w14:paraId="436A0DB5">
            <w:pPr>
              <w:pStyle w:val="35"/>
              <w:spacing w:before="11"/>
              <w:jc w:val="center"/>
              <w:rPr>
                <w:b/>
                <w:color w:val="auto"/>
                <w:sz w:val="16"/>
              </w:rPr>
            </w:pPr>
          </w:p>
          <w:p w14:paraId="31AE214B">
            <w:pPr>
              <w:pStyle w:val="35"/>
              <w:spacing w:before="1"/>
              <w:ind w:left="369"/>
              <w:jc w:val="both"/>
              <w:rPr>
                <w:color w:val="auto"/>
                <w:sz w:val="24"/>
              </w:rPr>
            </w:pPr>
            <w:r>
              <w:rPr>
                <w:color w:val="auto"/>
                <w:sz w:val="24"/>
              </w:rPr>
              <w:t>1.1</w:t>
            </w:r>
          </w:p>
        </w:tc>
        <w:tc>
          <w:tcPr>
            <w:tcW w:w="1715" w:type="dxa"/>
            <w:noWrap w:val="0"/>
            <w:vAlign w:val="top"/>
          </w:tcPr>
          <w:p w14:paraId="5A50B531">
            <w:pPr>
              <w:pStyle w:val="35"/>
              <w:rPr>
                <w:b/>
                <w:color w:val="auto"/>
                <w:sz w:val="24"/>
              </w:rPr>
            </w:pPr>
          </w:p>
          <w:p w14:paraId="76EFD802">
            <w:pPr>
              <w:pStyle w:val="35"/>
              <w:rPr>
                <w:b/>
                <w:color w:val="auto"/>
                <w:sz w:val="24"/>
              </w:rPr>
            </w:pPr>
          </w:p>
          <w:p w14:paraId="1E059B64">
            <w:pPr>
              <w:pStyle w:val="35"/>
              <w:spacing w:before="11"/>
              <w:rPr>
                <w:b/>
                <w:color w:val="auto"/>
                <w:sz w:val="16"/>
              </w:rPr>
            </w:pPr>
          </w:p>
          <w:p w14:paraId="64126C4D">
            <w:pPr>
              <w:pStyle w:val="35"/>
              <w:spacing w:before="1"/>
              <w:ind w:left="490"/>
              <w:rPr>
                <w:color w:val="auto"/>
                <w:sz w:val="24"/>
              </w:rPr>
            </w:pPr>
            <w:r>
              <w:rPr>
                <w:color w:val="auto"/>
                <w:sz w:val="24"/>
              </w:rPr>
              <w:t>采购人</w:t>
            </w:r>
          </w:p>
        </w:tc>
        <w:tc>
          <w:tcPr>
            <w:tcW w:w="6768" w:type="dxa"/>
            <w:noWrap w:val="0"/>
            <w:vAlign w:val="center"/>
          </w:tcPr>
          <w:p w14:paraId="5AACF29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Times New Roman" w:eastAsiaTheme="minorEastAsia"/>
                <w:color w:val="auto"/>
                <w:kern w:val="2"/>
                <w:sz w:val="24"/>
                <w:szCs w:val="23"/>
                <w:lang w:val="en-US" w:eastAsia="zh-CN" w:bidi="ar-SA"/>
              </w:rPr>
            </w:pPr>
            <w:r>
              <w:rPr>
                <w:rFonts w:hint="eastAsia" w:ascii="宋体" w:hAnsi="宋体" w:cs="Times New Roman" w:eastAsiaTheme="minorEastAsia"/>
                <w:color w:val="auto"/>
                <w:kern w:val="2"/>
                <w:sz w:val="24"/>
                <w:szCs w:val="23"/>
                <w:lang w:val="en-US" w:eastAsia="zh-CN" w:bidi="ar-SA"/>
              </w:rPr>
              <w:t>采购人：卢氏县五里川镇人民政府</w:t>
            </w:r>
          </w:p>
          <w:p w14:paraId="7836C1A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cs="Times New Roman" w:eastAsiaTheme="minorEastAsia"/>
                <w:color w:val="auto"/>
                <w:kern w:val="2"/>
                <w:sz w:val="24"/>
                <w:szCs w:val="23"/>
                <w:lang w:val="en-US" w:eastAsia="zh-CN" w:bidi="ar-SA"/>
              </w:rPr>
            </w:pPr>
            <w:r>
              <w:rPr>
                <w:rFonts w:hint="eastAsia" w:ascii="宋体" w:hAnsi="宋体" w:cs="Times New Roman" w:eastAsiaTheme="minorEastAsia"/>
                <w:color w:val="auto"/>
                <w:kern w:val="2"/>
                <w:sz w:val="24"/>
                <w:szCs w:val="23"/>
                <w:lang w:val="en-US" w:eastAsia="zh-CN" w:bidi="ar-SA"/>
              </w:rPr>
              <w:t>联系人：李润霖</w:t>
            </w:r>
          </w:p>
          <w:p w14:paraId="550B013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cs="Times New Roman" w:eastAsiaTheme="minorEastAsia"/>
                <w:color w:val="auto"/>
                <w:kern w:val="2"/>
                <w:sz w:val="24"/>
                <w:szCs w:val="23"/>
                <w:lang w:val="en-US" w:eastAsia="zh-CN" w:bidi="ar-SA"/>
              </w:rPr>
            </w:pPr>
            <w:r>
              <w:rPr>
                <w:rFonts w:hint="eastAsia" w:ascii="宋体" w:hAnsi="宋体" w:cs="Times New Roman" w:eastAsiaTheme="minorEastAsia"/>
                <w:color w:val="auto"/>
                <w:kern w:val="2"/>
                <w:sz w:val="24"/>
                <w:szCs w:val="23"/>
                <w:lang w:val="en-US" w:eastAsia="zh-CN" w:bidi="ar-SA"/>
              </w:rPr>
              <w:t>电话：15939885567  13290844000</w:t>
            </w:r>
          </w:p>
          <w:p w14:paraId="7406B38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lang w:val="en-US"/>
              </w:rPr>
            </w:pPr>
            <w:r>
              <w:rPr>
                <w:rFonts w:hint="eastAsia" w:ascii="宋体" w:hAnsi="宋体" w:cs="Times New Roman" w:eastAsiaTheme="minorEastAsia"/>
                <w:color w:val="auto"/>
                <w:kern w:val="2"/>
                <w:sz w:val="24"/>
                <w:szCs w:val="23"/>
                <w:lang w:val="en-US" w:eastAsia="zh-CN" w:bidi="ar-SA"/>
              </w:rPr>
              <w:t>地址：卢氏县五里川镇五里川街</w:t>
            </w:r>
          </w:p>
        </w:tc>
      </w:tr>
      <w:tr w14:paraId="2CC5D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1101" w:type="dxa"/>
            <w:noWrap w:val="0"/>
            <w:vAlign w:val="center"/>
          </w:tcPr>
          <w:p w14:paraId="761D7BBD">
            <w:pPr>
              <w:pStyle w:val="35"/>
              <w:jc w:val="center"/>
              <w:rPr>
                <w:b/>
                <w:color w:val="auto"/>
                <w:sz w:val="24"/>
              </w:rPr>
            </w:pPr>
          </w:p>
          <w:p w14:paraId="1BB883E9">
            <w:pPr>
              <w:pStyle w:val="35"/>
              <w:spacing w:before="9"/>
              <w:jc w:val="center"/>
              <w:rPr>
                <w:b/>
                <w:color w:val="auto"/>
                <w:sz w:val="34"/>
              </w:rPr>
            </w:pPr>
          </w:p>
          <w:p w14:paraId="3C4E69EE">
            <w:pPr>
              <w:pStyle w:val="35"/>
              <w:spacing w:before="1"/>
              <w:ind w:left="369"/>
              <w:jc w:val="both"/>
              <w:rPr>
                <w:color w:val="auto"/>
                <w:sz w:val="24"/>
              </w:rPr>
            </w:pPr>
            <w:r>
              <w:rPr>
                <w:color w:val="auto"/>
                <w:sz w:val="24"/>
              </w:rPr>
              <w:t>1.2</w:t>
            </w:r>
          </w:p>
        </w:tc>
        <w:tc>
          <w:tcPr>
            <w:tcW w:w="1715" w:type="dxa"/>
            <w:noWrap w:val="0"/>
            <w:vAlign w:val="top"/>
          </w:tcPr>
          <w:p w14:paraId="16D0037B">
            <w:pPr>
              <w:pStyle w:val="35"/>
              <w:rPr>
                <w:b/>
                <w:color w:val="auto"/>
                <w:sz w:val="24"/>
              </w:rPr>
            </w:pPr>
          </w:p>
          <w:p w14:paraId="4D9B34D9">
            <w:pPr>
              <w:pStyle w:val="35"/>
              <w:spacing w:before="9"/>
              <w:jc w:val="center"/>
              <w:rPr>
                <w:b/>
                <w:color w:val="auto"/>
                <w:sz w:val="34"/>
              </w:rPr>
            </w:pPr>
          </w:p>
          <w:p w14:paraId="7B5B687D">
            <w:pPr>
              <w:pStyle w:val="35"/>
              <w:spacing w:before="1"/>
              <w:ind w:left="130"/>
              <w:jc w:val="center"/>
              <w:rPr>
                <w:color w:val="auto"/>
                <w:sz w:val="24"/>
              </w:rPr>
            </w:pPr>
            <w:r>
              <w:rPr>
                <w:color w:val="auto"/>
                <w:sz w:val="24"/>
              </w:rPr>
              <w:t>代理机构</w:t>
            </w:r>
          </w:p>
        </w:tc>
        <w:tc>
          <w:tcPr>
            <w:tcW w:w="6768" w:type="dxa"/>
            <w:noWrap w:val="0"/>
            <w:vAlign w:val="top"/>
          </w:tcPr>
          <w:p w14:paraId="0FAA261F">
            <w:pPr>
              <w:pStyle w:val="8"/>
              <w:keepNext w:val="0"/>
              <w:keepLines w:val="0"/>
              <w:pageBreakBefore w:val="0"/>
              <w:widowControl w:val="0"/>
              <w:kinsoku/>
              <w:wordWrap w:val="0"/>
              <w:overflowPunct/>
              <w:topLinePunct w:val="0"/>
              <w:autoSpaceDE w:val="0"/>
              <w:autoSpaceDN w:val="0"/>
              <w:bidi w:val="0"/>
              <w:adjustRightInd/>
              <w:snapToGrid/>
              <w:spacing w:before="161" w:line="540" w:lineRule="exact"/>
              <w:ind w:left="0" w:leftChars="0" w:firstLine="0" w:firstLineChars="0"/>
              <w:textAlignment w:val="auto"/>
              <w:rPr>
                <w:rFonts w:hint="eastAsia"/>
                <w:color w:val="auto"/>
                <w:sz w:val="24"/>
                <w:lang w:val="en-US" w:eastAsia="zh-CN"/>
              </w:rPr>
            </w:pPr>
            <w:r>
              <w:rPr>
                <w:rFonts w:hint="eastAsia"/>
                <w:color w:val="auto"/>
                <w:sz w:val="24"/>
                <w:lang w:val="en-US" w:eastAsia="zh-CN"/>
              </w:rPr>
              <w:t xml:space="preserve">招标代理：河南省中塍建设管理有限公司 </w:t>
            </w:r>
          </w:p>
          <w:p w14:paraId="1F36AFC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cs="Times New Roman" w:eastAsiaTheme="minorEastAsia"/>
                <w:color w:val="auto"/>
                <w:kern w:val="2"/>
                <w:sz w:val="24"/>
                <w:szCs w:val="23"/>
                <w:lang w:val="en-US" w:eastAsia="zh-CN" w:bidi="ar-SA"/>
              </w:rPr>
            </w:pPr>
            <w:r>
              <w:rPr>
                <w:rFonts w:hint="eastAsia" w:ascii="宋体" w:hAnsi="宋体" w:cs="Times New Roman" w:eastAsiaTheme="minorEastAsia"/>
                <w:color w:val="auto"/>
                <w:kern w:val="2"/>
                <w:sz w:val="24"/>
                <w:szCs w:val="23"/>
                <w:lang w:val="en-US" w:eastAsia="zh-CN" w:bidi="ar-SA"/>
              </w:rPr>
              <w:t>联 系 人：高天</w:t>
            </w:r>
          </w:p>
          <w:p w14:paraId="5B3E4F4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宋体" w:hAnsi="宋体" w:cs="Times New Roman" w:eastAsiaTheme="minorEastAsia"/>
                <w:color w:val="auto"/>
                <w:kern w:val="2"/>
                <w:sz w:val="24"/>
                <w:szCs w:val="23"/>
                <w:lang w:val="en-US" w:eastAsia="zh-CN" w:bidi="ar-SA"/>
              </w:rPr>
            </w:pPr>
            <w:r>
              <w:rPr>
                <w:rFonts w:hint="eastAsia" w:ascii="宋体" w:hAnsi="宋体" w:cs="Times New Roman" w:eastAsiaTheme="minorEastAsia"/>
                <w:color w:val="auto"/>
                <w:kern w:val="2"/>
                <w:sz w:val="24"/>
                <w:szCs w:val="23"/>
                <w:lang w:val="en-US" w:eastAsia="zh-CN" w:bidi="ar-SA"/>
              </w:rPr>
              <w:t>电   话：15239887187   13653973976</w:t>
            </w:r>
          </w:p>
          <w:p w14:paraId="53EF2044">
            <w:pPr>
              <w:keepNext w:val="0"/>
              <w:keepLines w:val="0"/>
              <w:pageBreakBefore w:val="0"/>
              <w:widowControl w:val="0"/>
              <w:kinsoku/>
              <w:wordWrap/>
              <w:overflowPunct/>
              <w:topLinePunct w:val="0"/>
              <w:autoSpaceDE/>
              <w:autoSpaceDN/>
              <w:bidi w:val="0"/>
              <w:adjustRightInd/>
              <w:snapToGrid/>
              <w:spacing w:line="580" w:lineRule="exact"/>
              <w:jc w:val="left"/>
              <w:textAlignment w:val="auto"/>
              <w:rPr>
                <w:color w:val="auto"/>
                <w:sz w:val="24"/>
                <w:lang w:val="en-US"/>
              </w:rPr>
            </w:pPr>
            <w:r>
              <w:rPr>
                <w:rFonts w:hint="eastAsia" w:ascii="宋体" w:hAnsi="宋体" w:cs="Times New Roman" w:eastAsiaTheme="minorEastAsia"/>
                <w:color w:val="auto"/>
                <w:kern w:val="2"/>
                <w:sz w:val="24"/>
                <w:szCs w:val="23"/>
                <w:lang w:val="en-US" w:eastAsia="zh-CN" w:bidi="ar-SA"/>
              </w:rPr>
              <w:t>地址：河南自贸试验区郑州片区（郑东）心怡路319号易元国际B座1623室</w:t>
            </w:r>
          </w:p>
        </w:tc>
      </w:tr>
      <w:tr w14:paraId="6360A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101" w:type="dxa"/>
            <w:noWrap w:val="0"/>
            <w:vAlign w:val="center"/>
          </w:tcPr>
          <w:p w14:paraId="5FFADA82">
            <w:pPr>
              <w:pStyle w:val="35"/>
              <w:ind w:right="158" w:firstLine="240" w:firstLineChars="100"/>
              <w:jc w:val="center"/>
              <w:rPr>
                <w:color w:val="auto"/>
                <w:sz w:val="24"/>
              </w:rPr>
            </w:pPr>
            <w:r>
              <w:rPr>
                <w:color w:val="auto"/>
                <w:sz w:val="24"/>
              </w:rPr>
              <w:t>1.3</w:t>
            </w:r>
          </w:p>
        </w:tc>
        <w:tc>
          <w:tcPr>
            <w:tcW w:w="1715" w:type="dxa"/>
            <w:noWrap w:val="0"/>
            <w:vAlign w:val="center"/>
          </w:tcPr>
          <w:p w14:paraId="6CCEA0D7">
            <w:pPr>
              <w:pStyle w:val="35"/>
              <w:ind w:right="100"/>
              <w:jc w:val="center"/>
              <w:rPr>
                <w:color w:val="auto"/>
                <w:sz w:val="24"/>
              </w:rPr>
            </w:pPr>
            <w:r>
              <w:rPr>
                <w:color w:val="auto"/>
                <w:sz w:val="24"/>
              </w:rPr>
              <w:t>项目名称</w:t>
            </w:r>
          </w:p>
        </w:tc>
        <w:tc>
          <w:tcPr>
            <w:tcW w:w="6768" w:type="dxa"/>
            <w:noWrap w:val="0"/>
            <w:vAlign w:val="center"/>
          </w:tcPr>
          <w:p w14:paraId="3EEB785A">
            <w:pPr>
              <w:pStyle w:val="35"/>
              <w:ind w:left="107" w:right="96"/>
              <w:jc w:val="both"/>
              <w:rPr>
                <w:rFonts w:hint="eastAsia" w:eastAsia="宋体"/>
                <w:color w:val="auto"/>
                <w:sz w:val="24"/>
                <w:lang w:eastAsia="zh-CN"/>
              </w:rPr>
            </w:pPr>
            <w:r>
              <w:rPr>
                <w:rFonts w:hint="eastAsia"/>
                <w:color w:val="auto"/>
                <w:sz w:val="24"/>
                <w:szCs w:val="24"/>
                <w:lang w:val="en-US" w:eastAsia="zh-CN"/>
              </w:rPr>
              <w:t>河南省卢氏县“红色莘川·靖华故里”乡村振兴项目规划设计</w:t>
            </w:r>
          </w:p>
        </w:tc>
      </w:tr>
      <w:tr w14:paraId="1EF39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101" w:type="dxa"/>
            <w:noWrap w:val="0"/>
            <w:vAlign w:val="center"/>
          </w:tcPr>
          <w:p w14:paraId="4EE4112E">
            <w:pPr>
              <w:pStyle w:val="35"/>
              <w:jc w:val="center"/>
              <w:rPr>
                <w:b/>
                <w:color w:val="auto"/>
                <w:sz w:val="18"/>
              </w:rPr>
            </w:pPr>
          </w:p>
          <w:p w14:paraId="12714093">
            <w:pPr>
              <w:pStyle w:val="35"/>
              <w:ind w:left="166" w:right="158"/>
              <w:jc w:val="center"/>
              <w:rPr>
                <w:color w:val="auto"/>
                <w:sz w:val="24"/>
              </w:rPr>
            </w:pPr>
            <w:r>
              <w:rPr>
                <w:color w:val="auto"/>
                <w:sz w:val="24"/>
              </w:rPr>
              <w:t>1.4</w:t>
            </w:r>
          </w:p>
        </w:tc>
        <w:tc>
          <w:tcPr>
            <w:tcW w:w="1715" w:type="dxa"/>
            <w:noWrap w:val="0"/>
            <w:vAlign w:val="top"/>
          </w:tcPr>
          <w:p w14:paraId="5F27CBBE">
            <w:pPr>
              <w:pStyle w:val="35"/>
              <w:rPr>
                <w:b/>
                <w:color w:val="auto"/>
                <w:sz w:val="18"/>
              </w:rPr>
            </w:pPr>
          </w:p>
          <w:p w14:paraId="1A1C6413">
            <w:pPr>
              <w:pStyle w:val="35"/>
              <w:ind w:left="110" w:right="100"/>
              <w:jc w:val="center"/>
              <w:rPr>
                <w:color w:val="auto"/>
                <w:sz w:val="24"/>
              </w:rPr>
            </w:pPr>
            <w:r>
              <w:rPr>
                <w:color w:val="auto"/>
                <w:sz w:val="24"/>
              </w:rPr>
              <w:t>预算金额</w:t>
            </w:r>
          </w:p>
        </w:tc>
        <w:tc>
          <w:tcPr>
            <w:tcW w:w="6768" w:type="dxa"/>
            <w:noWrap w:val="0"/>
            <w:vAlign w:val="center"/>
          </w:tcPr>
          <w:p w14:paraId="7D10A5DA">
            <w:pPr>
              <w:pStyle w:val="35"/>
              <w:ind w:left="107"/>
              <w:jc w:val="both"/>
              <w:rPr>
                <w:rFonts w:hint="eastAsia" w:eastAsia="宋体"/>
                <w:color w:val="auto"/>
                <w:sz w:val="24"/>
                <w:lang w:eastAsia="zh-CN"/>
              </w:rPr>
            </w:pPr>
            <w:r>
              <w:rPr>
                <w:rFonts w:hint="eastAsia"/>
                <w:color w:val="auto"/>
                <w:sz w:val="24"/>
                <w:lang w:eastAsia="zh-CN"/>
              </w:rPr>
              <w:t>538400.00元</w:t>
            </w:r>
          </w:p>
        </w:tc>
      </w:tr>
      <w:tr w14:paraId="3E2BC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101" w:type="dxa"/>
            <w:noWrap w:val="0"/>
            <w:vAlign w:val="center"/>
          </w:tcPr>
          <w:p w14:paraId="7BC1159F">
            <w:pPr>
              <w:pStyle w:val="35"/>
              <w:jc w:val="center"/>
              <w:rPr>
                <w:b/>
                <w:color w:val="auto"/>
                <w:sz w:val="28"/>
              </w:rPr>
            </w:pPr>
          </w:p>
          <w:p w14:paraId="6F21870E">
            <w:pPr>
              <w:pStyle w:val="35"/>
              <w:ind w:left="166" w:right="158"/>
              <w:jc w:val="center"/>
              <w:rPr>
                <w:color w:val="auto"/>
                <w:sz w:val="24"/>
              </w:rPr>
            </w:pPr>
            <w:r>
              <w:rPr>
                <w:color w:val="auto"/>
                <w:sz w:val="24"/>
              </w:rPr>
              <w:t>1.5</w:t>
            </w:r>
          </w:p>
        </w:tc>
        <w:tc>
          <w:tcPr>
            <w:tcW w:w="1715" w:type="dxa"/>
            <w:noWrap w:val="0"/>
            <w:vAlign w:val="top"/>
          </w:tcPr>
          <w:p w14:paraId="3666A9AC">
            <w:pPr>
              <w:pStyle w:val="35"/>
              <w:spacing w:before="1" w:line="460" w:lineRule="exact"/>
              <w:ind w:left="490" w:right="118" w:hanging="360"/>
              <w:rPr>
                <w:color w:val="auto"/>
                <w:sz w:val="24"/>
              </w:rPr>
            </w:pPr>
            <w:r>
              <w:rPr>
                <w:color w:val="auto"/>
                <w:sz w:val="24"/>
              </w:rPr>
              <w:t>资金来源及落实情况</w:t>
            </w:r>
          </w:p>
        </w:tc>
        <w:tc>
          <w:tcPr>
            <w:tcW w:w="6768" w:type="dxa"/>
            <w:noWrap w:val="0"/>
            <w:vAlign w:val="top"/>
          </w:tcPr>
          <w:p w14:paraId="5C5A9F83">
            <w:pPr>
              <w:pStyle w:val="35"/>
              <w:rPr>
                <w:b/>
                <w:color w:val="auto"/>
                <w:sz w:val="28"/>
              </w:rPr>
            </w:pPr>
          </w:p>
          <w:p w14:paraId="2513B3BC">
            <w:pPr>
              <w:pStyle w:val="35"/>
              <w:ind w:left="107"/>
              <w:rPr>
                <w:color w:val="auto"/>
                <w:sz w:val="24"/>
              </w:rPr>
            </w:pPr>
            <w:r>
              <w:rPr>
                <w:rFonts w:hint="eastAsia"/>
                <w:color w:val="auto"/>
                <w:sz w:val="24"/>
                <w:lang w:eastAsia="zh-CN"/>
              </w:rPr>
              <w:t>财政</w:t>
            </w:r>
            <w:r>
              <w:rPr>
                <w:rFonts w:hint="eastAsia"/>
                <w:color w:val="auto"/>
                <w:sz w:val="24"/>
              </w:rPr>
              <w:t>资金，已落实</w:t>
            </w:r>
          </w:p>
        </w:tc>
      </w:tr>
      <w:tr w14:paraId="093D8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101" w:type="dxa"/>
            <w:noWrap w:val="0"/>
            <w:vAlign w:val="center"/>
          </w:tcPr>
          <w:p w14:paraId="03975850">
            <w:pPr>
              <w:pStyle w:val="35"/>
              <w:spacing w:before="172"/>
              <w:ind w:left="166" w:right="158"/>
              <w:jc w:val="center"/>
              <w:rPr>
                <w:color w:val="auto"/>
                <w:sz w:val="24"/>
              </w:rPr>
            </w:pPr>
            <w:r>
              <w:rPr>
                <w:color w:val="auto"/>
                <w:sz w:val="24"/>
              </w:rPr>
              <w:t>1.6</w:t>
            </w:r>
          </w:p>
        </w:tc>
        <w:tc>
          <w:tcPr>
            <w:tcW w:w="1715" w:type="dxa"/>
            <w:noWrap w:val="0"/>
            <w:vAlign w:val="center"/>
          </w:tcPr>
          <w:p w14:paraId="3434ABA9">
            <w:pPr>
              <w:pStyle w:val="35"/>
              <w:spacing w:before="172"/>
              <w:ind w:left="110" w:right="100"/>
              <w:jc w:val="center"/>
              <w:rPr>
                <w:color w:val="auto"/>
                <w:sz w:val="24"/>
              </w:rPr>
            </w:pPr>
            <w:r>
              <w:rPr>
                <w:rFonts w:hint="eastAsia" w:eastAsia="宋体"/>
                <w:color w:val="auto"/>
                <w:sz w:val="24"/>
                <w:szCs w:val="24"/>
                <w:lang w:val="en-US" w:eastAsia="zh-CN"/>
              </w:rPr>
              <w:t>项目</w:t>
            </w:r>
            <w:r>
              <w:rPr>
                <w:rFonts w:hint="eastAsia" w:eastAsia="宋体"/>
                <w:color w:val="auto"/>
                <w:sz w:val="24"/>
                <w:szCs w:val="24"/>
                <w:lang w:val="en-US"/>
              </w:rPr>
              <w:t>规模</w:t>
            </w:r>
          </w:p>
        </w:tc>
        <w:tc>
          <w:tcPr>
            <w:tcW w:w="6768" w:type="dxa"/>
            <w:noWrap w:val="0"/>
            <w:vAlign w:val="top"/>
          </w:tcPr>
          <w:p w14:paraId="23B0C1DF">
            <w:pPr>
              <w:pStyle w:val="35"/>
              <w:keepNext w:val="0"/>
              <w:keepLines w:val="0"/>
              <w:pageBreakBefore w:val="0"/>
              <w:widowControl w:val="0"/>
              <w:kinsoku/>
              <w:wordWrap/>
              <w:overflowPunct/>
              <w:topLinePunct w:val="0"/>
              <w:autoSpaceDE w:val="0"/>
              <w:autoSpaceDN w:val="0"/>
              <w:bidi w:val="0"/>
              <w:adjustRightInd/>
              <w:snapToGrid/>
              <w:spacing w:before="172" w:line="460" w:lineRule="exact"/>
              <w:ind w:left="108"/>
              <w:textAlignment w:val="auto"/>
              <w:rPr>
                <w:rFonts w:hint="eastAsia" w:eastAsia="宋体"/>
                <w:color w:val="auto"/>
                <w:sz w:val="24"/>
                <w:lang w:eastAsia="zh-CN"/>
              </w:rPr>
            </w:pPr>
            <w:r>
              <w:rPr>
                <w:rFonts w:hint="eastAsia" w:eastAsia="宋体"/>
                <w:color w:val="auto"/>
                <w:sz w:val="24"/>
                <w:lang w:eastAsia="zh-CN"/>
              </w:rPr>
              <w:t>河南省卢氏县“红色莘川·靖华故里”乡村振兴项目规划设计</w:t>
            </w:r>
          </w:p>
        </w:tc>
      </w:tr>
      <w:tr w14:paraId="31A77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01" w:type="dxa"/>
            <w:noWrap w:val="0"/>
            <w:vAlign w:val="center"/>
          </w:tcPr>
          <w:p w14:paraId="3D82B0F6">
            <w:pPr>
              <w:pStyle w:val="35"/>
              <w:ind w:right="158"/>
              <w:jc w:val="center"/>
              <w:rPr>
                <w:color w:val="auto"/>
                <w:sz w:val="24"/>
              </w:rPr>
            </w:pPr>
            <w:r>
              <w:rPr>
                <w:color w:val="auto"/>
                <w:sz w:val="24"/>
              </w:rPr>
              <w:t>1.7</w:t>
            </w:r>
          </w:p>
        </w:tc>
        <w:tc>
          <w:tcPr>
            <w:tcW w:w="1715" w:type="dxa"/>
            <w:noWrap w:val="0"/>
            <w:vAlign w:val="center"/>
          </w:tcPr>
          <w:p w14:paraId="2EF4B997">
            <w:pPr>
              <w:pStyle w:val="35"/>
              <w:ind w:right="100"/>
              <w:jc w:val="center"/>
              <w:rPr>
                <w:color w:val="auto"/>
                <w:sz w:val="24"/>
              </w:rPr>
            </w:pPr>
            <w:r>
              <w:rPr>
                <w:rFonts w:hint="eastAsia"/>
                <w:color w:val="auto"/>
                <w:sz w:val="24"/>
                <w:lang w:val="en-US" w:eastAsia="zh-CN"/>
              </w:rPr>
              <w:t>服务内容</w:t>
            </w:r>
          </w:p>
        </w:tc>
        <w:tc>
          <w:tcPr>
            <w:tcW w:w="6768" w:type="dxa"/>
            <w:noWrap w:val="0"/>
            <w:vAlign w:val="top"/>
          </w:tcPr>
          <w:p w14:paraId="195BBC70">
            <w:pPr>
              <w:pStyle w:val="35"/>
              <w:spacing w:line="460" w:lineRule="atLeast"/>
              <w:ind w:left="107" w:right="-29"/>
              <w:rPr>
                <w:color w:val="auto"/>
                <w:sz w:val="24"/>
              </w:rPr>
            </w:pPr>
            <w:r>
              <w:rPr>
                <w:rFonts w:hint="eastAsia"/>
                <w:color w:val="auto"/>
                <w:sz w:val="24"/>
                <w:szCs w:val="24"/>
                <w:lang w:val="en-US" w:eastAsia="zh-CN"/>
              </w:rPr>
              <w:t>河南省卢氏县“红色莘川·靖华故里”乡村振兴项目规划设计项目</w:t>
            </w:r>
            <w:r>
              <w:rPr>
                <w:rFonts w:hint="eastAsia"/>
                <w:color w:val="auto"/>
                <w:sz w:val="24"/>
                <w:lang w:val="en-US" w:eastAsia="zh-CN"/>
              </w:rPr>
              <w:t>前期方案、施工图设计及相关后续服务等</w:t>
            </w:r>
          </w:p>
        </w:tc>
      </w:tr>
      <w:tr w14:paraId="46AD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01" w:type="dxa"/>
            <w:noWrap w:val="0"/>
            <w:vAlign w:val="center"/>
          </w:tcPr>
          <w:p w14:paraId="1D46906E">
            <w:pPr>
              <w:pStyle w:val="35"/>
              <w:spacing w:before="190"/>
              <w:ind w:right="158"/>
              <w:jc w:val="center"/>
              <w:rPr>
                <w:color w:val="auto"/>
                <w:sz w:val="24"/>
              </w:rPr>
            </w:pPr>
            <w:r>
              <w:rPr>
                <w:color w:val="auto"/>
                <w:sz w:val="24"/>
              </w:rPr>
              <w:t>1.8</w:t>
            </w:r>
          </w:p>
        </w:tc>
        <w:tc>
          <w:tcPr>
            <w:tcW w:w="1715" w:type="dxa"/>
            <w:noWrap w:val="0"/>
            <w:vAlign w:val="center"/>
          </w:tcPr>
          <w:p w14:paraId="61324C25">
            <w:pPr>
              <w:pStyle w:val="35"/>
              <w:spacing w:before="190"/>
              <w:ind w:right="100"/>
              <w:jc w:val="center"/>
              <w:rPr>
                <w:color w:val="auto"/>
                <w:sz w:val="24"/>
              </w:rPr>
            </w:pPr>
            <w:r>
              <w:rPr>
                <w:rFonts w:hint="eastAsia" w:eastAsia="宋体"/>
                <w:color w:val="auto"/>
                <w:sz w:val="24"/>
                <w:szCs w:val="24"/>
                <w:lang w:val="en-US" w:eastAsia="zh-CN"/>
              </w:rPr>
              <w:t>设计周</w:t>
            </w:r>
            <w:r>
              <w:rPr>
                <w:rFonts w:hint="eastAsia" w:eastAsia="宋体"/>
                <w:color w:val="auto"/>
                <w:sz w:val="24"/>
                <w:szCs w:val="24"/>
                <w:lang w:val="en-US"/>
              </w:rPr>
              <w:t>期</w:t>
            </w:r>
          </w:p>
        </w:tc>
        <w:tc>
          <w:tcPr>
            <w:tcW w:w="6768" w:type="dxa"/>
            <w:noWrap w:val="0"/>
            <w:vAlign w:val="center"/>
          </w:tcPr>
          <w:p w14:paraId="28D6D218">
            <w:pPr>
              <w:pStyle w:val="35"/>
              <w:spacing w:before="190"/>
              <w:jc w:val="both"/>
              <w:rPr>
                <w:color w:val="auto"/>
                <w:sz w:val="24"/>
                <w:lang w:val="en-US"/>
              </w:rPr>
            </w:pPr>
            <w:r>
              <w:rPr>
                <w:rFonts w:hint="eastAsia"/>
                <w:color w:val="auto"/>
                <w:sz w:val="24"/>
                <w:lang w:val="en-US"/>
              </w:rPr>
              <w:t>合同签订后10日历天完成</w:t>
            </w:r>
          </w:p>
        </w:tc>
      </w:tr>
      <w:tr w14:paraId="4F30E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101" w:type="dxa"/>
            <w:noWrap w:val="0"/>
            <w:vAlign w:val="center"/>
          </w:tcPr>
          <w:p w14:paraId="4A38188B">
            <w:pPr>
              <w:pStyle w:val="35"/>
              <w:ind w:right="158"/>
              <w:jc w:val="center"/>
              <w:rPr>
                <w:color w:val="auto"/>
                <w:sz w:val="24"/>
              </w:rPr>
            </w:pPr>
            <w:r>
              <w:rPr>
                <w:color w:val="auto"/>
                <w:sz w:val="24"/>
              </w:rPr>
              <w:t>1.9</w:t>
            </w:r>
          </w:p>
        </w:tc>
        <w:tc>
          <w:tcPr>
            <w:tcW w:w="1715" w:type="dxa"/>
            <w:noWrap w:val="0"/>
            <w:vAlign w:val="center"/>
          </w:tcPr>
          <w:p w14:paraId="7DD106AC">
            <w:pPr>
              <w:pStyle w:val="35"/>
              <w:ind w:right="100"/>
              <w:jc w:val="center"/>
              <w:rPr>
                <w:color w:val="auto"/>
                <w:sz w:val="24"/>
              </w:rPr>
            </w:pPr>
            <w:r>
              <w:rPr>
                <w:color w:val="auto"/>
                <w:sz w:val="24"/>
              </w:rPr>
              <w:t>质量要求</w:t>
            </w:r>
          </w:p>
        </w:tc>
        <w:tc>
          <w:tcPr>
            <w:tcW w:w="6768" w:type="dxa"/>
            <w:noWrap w:val="0"/>
            <w:vAlign w:val="center"/>
          </w:tcPr>
          <w:p w14:paraId="0F096DFC">
            <w:pPr>
              <w:pStyle w:val="35"/>
              <w:jc w:val="both"/>
              <w:rPr>
                <w:color w:val="auto"/>
                <w:sz w:val="24"/>
                <w:lang w:val="en-US"/>
              </w:rPr>
            </w:pPr>
            <w:r>
              <w:rPr>
                <w:rFonts w:hint="eastAsia"/>
                <w:color w:val="auto"/>
                <w:sz w:val="24"/>
                <w:lang w:val="en-US"/>
              </w:rPr>
              <w:t>符合国家现行规范和标准，并满足采购人要求；</w:t>
            </w:r>
          </w:p>
        </w:tc>
      </w:tr>
      <w:tr w14:paraId="4FBA5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center"/>
          </w:tcPr>
          <w:p w14:paraId="05BBD91B">
            <w:pPr>
              <w:pStyle w:val="35"/>
              <w:jc w:val="center"/>
              <w:rPr>
                <w:b/>
                <w:color w:val="auto"/>
                <w:sz w:val="19"/>
              </w:rPr>
            </w:pPr>
          </w:p>
          <w:p w14:paraId="57F76152">
            <w:pPr>
              <w:pStyle w:val="35"/>
              <w:ind w:left="166" w:right="158"/>
              <w:jc w:val="center"/>
              <w:rPr>
                <w:color w:val="auto"/>
                <w:sz w:val="24"/>
              </w:rPr>
            </w:pPr>
            <w:r>
              <w:rPr>
                <w:color w:val="auto"/>
                <w:sz w:val="24"/>
              </w:rPr>
              <w:t>2.0</w:t>
            </w:r>
          </w:p>
        </w:tc>
        <w:tc>
          <w:tcPr>
            <w:tcW w:w="1715" w:type="dxa"/>
            <w:noWrap w:val="0"/>
            <w:vAlign w:val="center"/>
          </w:tcPr>
          <w:p w14:paraId="2546F17E">
            <w:pPr>
              <w:pStyle w:val="35"/>
              <w:spacing w:before="130"/>
              <w:ind w:left="107"/>
              <w:jc w:val="center"/>
              <w:rPr>
                <w:color w:val="auto"/>
                <w:sz w:val="24"/>
              </w:rPr>
            </w:pPr>
            <w:r>
              <w:rPr>
                <w:rFonts w:hint="eastAsia"/>
                <w:color w:val="auto"/>
                <w:sz w:val="24"/>
              </w:rPr>
              <w:t>供应商资格要求</w:t>
            </w:r>
          </w:p>
        </w:tc>
        <w:tc>
          <w:tcPr>
            <w:tcW w:w="6768" w:type="dxa"/>
            <w:noWrap w:val="0"/>
            <w:vAlign w:val="top"/>
          </w:tcPr>
          <w:p w14:paraId="45868D19">
            <w:pPr>
              <w:pStyle w:val="8"/>
              <w:keepNext w:val="0"/>
              <w:keepLines w:val="0"/>
              <w:pageBreakBefore w:val="0"/>
              <w:widowControl w:val="0"/>
              <w:numPr>
                <w:ilvl w:val="0"/>
                <w:numId w:val="0"/>
              </w:numPr>
              <w:kinsoku/>
              <w:wordWrap w:val="0"/>
              <w:overflowPunct/>
              <w:topLinePunct w:val="0"/>
              <w:autoSpaceDE w:val="0"/>
              <w:autoSpaceDN w:val="0"/>
              <w:bidi w:val="0"/>
              <w:spacing w:before="161" w:line="600" w:lineRule="exact"/>
              <w:textAlignment w:val="auto"/>
              <w:rPr>
                <w:rFonts w:hint="eastAsia" w:eastAsia="宋体"/>
                <w:color w:val="auto"/>
                <w:sz w:val="24"/>
                <w:lang w:eastAsia="zh-CN"/>
              </w:rPr>
            </w:pPr>
            <w:r>
              <w:rPr>
                <w:rFonts w:hint="eastAsia"/>
                <w:color w:val="auto"/>
                <w:lang w:val="en-US" w:eastAsia="zh-CN"/>
              </w:rPr>
              <w:t>详见竞争性磋商公告</w:t>
            </w:r>
          </w:p>
        </w:tc>
      </w:tr>
      <w:tr w14:paraId="20388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center"/>
          </w:tcPr>
          <w:p w14:paraId="6CD69895">
            <w:pPr>
              <w:pStyle w:val="35"/>
              <w:spacing w:before="130"/>
              <w:ind w:left="107"/>
              <w:jc w:val="center"/>
              <w:rPr>
                <w:color w:val="auto"/>
                <w:sz w:val="24"/>
              </w:rPr>
            </w:pPr>
            <w:r>
              <w:rPr>
                <w:rFonts w:hint="eastAsia"/>
                <w:color w:val="auto"/>
                <w:sz w:val="24"/>
                <w:lang w:val="en-US"/>
              </w:rPr>
              <w:t>2.1</w:t>
            </w:r>
          </w:p>
        </w:tc>
        <w:tc>
          <w:tcPr>
            <w:tcW w:w="1715" w:type="dxa"/>
            <w:noWrap w:val="0"/>
            <w:vAlign w:val="top"/>
          </w:tcPr>
          <w:p w14:paraId="23EBCF88">
            <w:pPr>
              <w:pStyle w:val="35"/>
              <w:spacing w:before="128" w:line="360" w:lineRule="auto"/>
              <w:ind w:left="130" w:right="118"/>
              <w:jc w:val="center"/>
              <w:rPr>
                <w:color w:val="auto"/>
                <w:sz w:val="24"/>
              </w:rPr>
            </w:pPr>
            <w:r>
              <w:rPr>
                <w:color w:val="auto"/>
                <w:sz w:val="24"/>
              </w:rPr>
              <w:t>磋商响应供应商提出问题的</w:t>
            </w:r>
          </w:p>
          <w:p w14:paraId="4CDEA8C9">
            <w:pPr>
              <w:pStyle w:val="35"/>
              <w:spacing w:line="307" w:lineRule="exact"/>
              <w:ind w:left="110" w:right="100"/>
              <w:jc w:val="center"/>
              <w:rPr>
                <w:color w:val="auto"/>
                <w:sz w:val="24"/>
              </w:rPr>
            </w:pPr>
            <w:r>
              <w:rPr>
                <w:color w:val="auto"/>
                <w:sz w:val="24"/>
              </w:rPr>
              <w:t>截止时间</w:t>
            </w:r>
          </w:p>
        </w:tc>
        <w:tc>
          <w:tcPr>
            <w:tcW w:w="6768" w:type="dxa"/>
            <w:noWrap w:val="0"/>
            <w:vAlign w:val="top"/>
          </w:tcPr>
          <w:p w14:paraId="6C029001">
            <w:pPr>
              <w:pStyle w:val="35"/>
              <w:rPr>
                <w:b/>
                <w:color w:val="auto"/>
                <w:sz w:val="24"/>
              </w:rPr>
            </w:pPr>
          </w:p>
          <w:p w14:paraId="7910E265">
            <w:pPr>
              <w:pStyle w:val="35"/>
              <w:spacing w:before="12"/>
              <w:rPr>
                <w:b/>
                <w:color w:val="auto"/>
                <w:sz w:val="21"/>
              </w:rPr>
            </w:pPr>
          </w:p>
          <w:p w14:paraId="6686BEF8">
            <w:pPr>
              <w:pStyle w:val="35"/>
              <w:ind w:left="107"/>
              <w:rPr>
                <w:rFonts w:hint="default" w:eastAsia="宋体"/>
                <w:color w:val="auto"/>
                <w:lang w:val="en-US" w:eastAsia="zh-CN"/>
              </w:rPr>
            </w:pPr>
            <w:r>
              <w:rPr>
                <w:color w:val="auto"/>
                <w:sz w:val="24"/>
              </w:rPr>
              <w:t>递交磋商响应文件截止之日3日前</w:t>
            </w:r>
          </w:p>
        </w:tc>
      </w:tr>
      <w:tr w14:paraId="73401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19422091">
            <w:pPr>
              <w:pStyle w:val="35"/>
              <w:rPr>
                <w:b/>
                <w:color w:val="auto"/>
                <w:sz w:val="24"/>
              </w:rPr>
            </w:pPr>
          </w:p>
          <w:p w14:paraId="1821E4B7">
            <w:pPr>
              <w:pStyle w:val="35"/>
              <w:spacing w:before="12"/>
              <w:rPr>
                <w:b/>
                <w:color w:val="auto"/>
                <w:sz w:val="21"/>
              </w:rPr>
            </w:pPr>
          </w:p>
          <w:p w14:paraId="05194433">
            <w:pPr>
              <w:pStyle w:val="35"/>
              <w:ind w:left="166" w:right="158"/>
              <w:jc w:val="center"/>
              <w:rPr>
                <w:color w:val="auto"/>
                <w:sz w:val="24"/>
                <w:lang w:val="en-US"/>
              </w:rPr>
            </w:pPr>
            <w:r>
              <w:rPr>
                <w:color w:val="auto"/>
                <w:sz w:val="24"/>
              </w:rPr>
              <w:t>2.2</w:t>
            </w:r>
          </w:p>
        </w:tc>
        <w:tc>
          <w:tcPr>
            <w:tcW w:w="1715" w:type="dxa"/>
            <w:noWrap w:val="0"/>
            <w:vAlign w:val="top"/>
          </w:tcPr>
          <w:p w14:paraId="4835A867">
            <w:pPr>
              <w:pStyle w:val="35"/>
              <w:spacing w:before="57" w:line="460" w:lineRule="atLeast"/>
              <w:ind w:left="250" w:right="238"/>
              <w:rPr>
                <w:color w:val="auto"/>
                <w:sz w:val="24"/>
              </w:rPr>
            </w:pPr>
            <w:r>
              <w:rPr>
                <w:color w:val="auto"/>
                <w:sz w:val="24"/>
              </w:rPr>
              <w:t>采购人书面澄清的时间</w:t>
            </w:r>
          </w:p>
        </w:tc>
        <w:tc>
          <w:tcPr>
            <w:tcW w:w="6768" w:type="dxa"/>
            <w:noWrap w:val="0"/>
            <w:vAlign w:val="top"/>
          </w:tcPr>
          <w:p w14:paraId="5F0905AF">
            <w:pPr>
              <w:pStyle w:val="35"/>
              <w:spacing w:before="4"/>
              <w:rPr>
                <w:b/>
                <w:color w:val="auto"/>
                <w:sz w:val="34"/>
              </w:rPr>
            </w:pPr>
          </w:p>
          <w:p w14:paraId="60959FEA">
            <w:pPr>
              <w:pStyle w:val="35"/>
              <w:ind w:left="107"/>
              <w:rPr>
                <w:color w:val="auto"/>
                <w:sz w:val="24"/>
              </w:rPr>
            </w:pPr>
            <w:r>
              <w:rPr>
                <w:color w:val="auto"/>
                <w:sz w:val="24"/>
              </w:rPr>
              <w:t>递交磋商响应文件截止之日2日前</w:t>
            </w:r>
          </w:p>
        </w:tc>
      </w:tr>
      <w:tr w14:paraId="266AA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01393904">
            <w:pPr>
              <w:pStyle w:val="35"/>
              <w:spacing w:before="4"/>
              <w:rPr>
                <w:b/>
                <w:color w:val="auto"/>
                <w:sz w:val="34"/>
                <w:highlight w:val="none"/>
              </w:rPr>
            </w:pPr>
          </w:p>
          <w:p w14:paraId="07F7C35E">
            <w:pPr>
              <w:pStyle w:val="35"/>
              <w:ind w:left="166" w:right="158"/>
              <w:jc w:val="center"/>
              <w:rPr>
                <w:color w:val="auto"/>
                <w:sz w:val="24"/>
                <w:highlight w:val="none"/>
                <w:lang w:val="en-US"/>
              </w:rPr>
            </w:pPr>
            <w:r>
              <w:rPr>
                <w:color w:val="auto"/>
                <w:sz w:val="24"/>
                <w:highlight w:val="none"/>
              </w:rPr>
              <w:t>2.3</w:t>
            </w:r>
          </w:p>
        </w:tc>
        <w:tc>
          <w:tcPr>
            <w:tcW w:w="1715" w:type="dxa"/>
            <w:noWrap w:val="0"/>
            <w:vAlign w:val="top"/>
          </w:tcPr>
          <w:p w14:paraId="293756B6">
            <w:pPr>
              <w:pStyle w:val="35"/>
              <w:spacing w:before="193"/>
              <w:ind w:left="110" w:right="100"/>
              <w:jc w:val="center"/>
              <w:rPr>
                <w:color w:val="auto"/>
                <w:sz w:val="24"/>
                <w:highlight w:val="none"/>
              </w:rPr>
            </w:pPr>
            <w:r>
              <w:rPr>
                <w:color w:val="auto"/>
                <w:sz w:val="24"/>
                <w:highlight w:val="none"/>
              </w:rPr>
              <w:t>磋商截止时间</w:t>
            </w:r>
          </w:p>
        </w:tc>
        <w:tc>
          <w:tcPr>
            <w:tcW w:w="6768" w:type="dxa"/>
            <w:noWrap w:val="0"/>
            <w:vAlign w:val="top"/>
          </w:tcPr>
          <w:p w14:paraId="15926D88">
            <w:pPr>
              <w:pStyle w:val="35"/>
              <w:spacing w:before="193"/>
              <w:ind w:left="107"/>
              <w:rPr>
                <w:color w:val="auto"/>
                <w:sz w:val="24"/>
                <w:highlight w:val="none"/>
              </w:rPr>
            </w:pPr>
            <w:r>
              <w:rPr>
                <w:rFonts w:hint="eastAsia" w:ascii="宋体" w:hAnsi="宋体" w:eastAsia="宋体" w:cs="宋体"/>
                <w:bCs/>
                <w:color w:val="000000"/>
                <w:sz w:val="24"/>
                <w:szCs w:val="24"/>
                <w:highlight w:val="none"/>
                <w:lang w:val="en-US" w:eastAsia="zh-CN"/>
              </w:rPr>
              <w:t>202</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en-US" w:eastAsia="zh-CN"/>
              </w:rPr>
              <w:t>年</w:t>
            </w:r>
            <w:r>
              <w:rPr>
                <w:rFonts w:hint="eastAsia" w:ascii="宋体" w:hAnsi="宋体" w:cs="宋体"/>
                <w:bCs/>
                <w:color w:val="000000"/>
                <w:sz w:val="24"/>
                <w:szCs w:val="24"/>
                <w:highlight w:val="none"/>
                <w:lang w:val="en-US" w:eastAsia="zh-CN"/>
              </w:rPr>
              <w:t>07</w:t>
            </w:r>
            <w:r>
              <w:rPr>
                <w:rFonts w:hint="eastAsia" w:ascii="宋体" w:hAnsi="宋体" w:eastAsia="宋体" w:cs="宋体"/>
                <w:bCs/>
                <w:color w:val="000000"/>
                <w:sz w:val="24"/>
                <w:szCs w:val="24"/>
                <w:highlight w:val="none"/>
                <w:lang w:val="en-US" w:eastAsia="zh-CN"/>
              </w:rPr>
              <w:t>月</w:t>
            </w:r>
            <w:r>
              <w:rPr>
                <w:rFonts w:hint="eastAsia" w:ascii="宋体" w:hAnsi="宋体" w:cs="宋体"/>
                <w:bCs/>
                <w:color w:val="000000"/>
                <w:sz w:val="24"/>
                <w:szCs w:val="24"/>
                <w:highlight w:val="none"/>
                <w:lang w:val="en-US" w:eastAsia="zh-CN"/>
              </w:rPr>
              <w:t>02</w:t>
            </w:r>
            <w:r>
              <w:rPr>
                <w:rFonts w:hint="eastAsia" w:ascii="宋体" w:hAnsi="宋体" w:eastAsia="宋体" w:cs="宋体"/>
                <w:bCs/>
                <w:color w:val="000000"/>
                <w:sz w:val="24"/>
                <w:szCs w:val="24"/>
                <w:highlight w:val="none"/>
                <w:lang w:val="en-US" w:eastAsia="zh-CN"/>
              </w:rPr>
              <w:t>日09时10分</w:t>
            </w:r>
          </w:p>
        </w:tc>
      </w:tr>
      <w:tr w14:paraId="4BF08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189E5E9A">
            <w:pPr>
              <w:pStyle w:val="35"/>
              <w:spacing w:before="193"/>
              <w:ind w:left="166" w:right="158"/>
              <w:jc w:val="center"/>
              <w:rPr>
                <w:color w:val="auto"/>
                <w:sz w:val="24"/>
                <w:lang w:val="en-US"/>
              </w:rPr>
            </w:pPr>
            <w:r>
              <w:rPr>
                <w:color w:val="auto"/>
                <w:sz w:val="24"/>
              </w:rPr>
              <w:t>2.4</w:t>
            </w:r>
          </w:p>
        </w:tc>
        <w:tc>
          <w:tcPr>
            <w:tcW w:w="1715" w:type="dxa"/>
            <w:noWrap w:val="0"/>
            <w:vAlign w:val="top"/>
          </w:tcPr>
          <w:p w14:paraId="1E762EB8">
            <w:pPr>
              <w:pStyle w:val="35"/>
              <w:spacing w:before="7"/>
              <w:rPr>
                <w:b/>
                <w:color w:val="auto"/>
                <w:sz w:val="18"/>
              </w:rPr>
            </w:pPr>
          </w:p>
          <w:p w14:paraId="38079E19">
            <w:pPr>
              <w:pStyle w:val="35"/>
              <w:ind w:left="110" w:right="100"/>
              <w:jc w:val="center"/>
              <w:rPr>
                <w:color w:val="auto"/>
                <w:sz w:val="24"/>
              </w:rPr>
            </w:pPr>
            <w:r>
              <w:rPr>
                <w:color w:val="auto"/>
                <w:sz w:val="24"/>
              </w:rPr>
              <w:t>磋商有效期</w:t>
            </w:r>
          </w:p>
        </w:tc>
        <w:tc>
          <w:tcPr>
            <w:tcW w:w="6768" w:type="dxa"/>
            <w:noWrap w:val="0"/>
            <w:vAlign w:val="top"/>
          </w:tcPr>
          <w:p w14:paraId="7BFBCDAE">
            <w:pPr>
              <w:pStyle w:val="35"/>
              <w:spacing w:before="7"/>
              <w:rPr>
                <w:b/>
                <w:color w:val="auto"/>
                <w:sz w:val="18"/>
              </w:rPr>
            </w:pPr>
          </w:p>
          <w:p w14:paraId="216935F9">
            <w:pPr>
              <w:pStyle w:val="35"/>
              <w:ind w:left="107"/>
              <w:rPr>
                <w:color w:val="auto"/>
                <w:sz w:val="24"/>
              </w:rPr>
            </w:pPr>
            <w:r>
              <w:rPr>
                <w:color w:val="auto"/>
                <w:sz w:val="24"/>
              </w:rPr>
              <w:t>60 日历天</w:t>
            </w:r>
          </w:p>
        </w:tc>
      </w:tr>
      <w:tr w14:paraId="68E7B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01" w:type="dxa"/>
            <w:noWrap w:val="0"/>
            <w:vAlign w:val="top"/>
          </w:tcPr>
          <w:p w14:paraId="581583C8">
            <w:pPr>
              <w:pStyle w:val="35"/>
              <w:spacing w:before="7"/>
              <w:rPr>
                <w:b/>
                <w:color w:val="auto"/>
                <w:sz w:val="18"/>
              </w:rPr>
            </w:pPr>
          </w:p>
          <w:p w14:paraId="3C0C9430">
            <w:pPr>
              <w:pStyle w:val="35"/>
              <w:ind w:left="166" w:right="158"/>
              <w:jc w:val="center"/>
              <w:rPr>
                <w:color w:val="auto"/>
                <w:sz w:val="24"/>
                <w:lang w:val="en-US"/>
              </w:rPr>
            </w:pPr>
            <w:r>
              <w:rPr>
                <w:color w:val="auto"/>
                <w:sz w:val="24"/>
              </w:rPr>
              <w:t>2.5</w:t>
            </w:r>
          </w:p>
        </w:tc>
        <w:tc>
          <w:tcPr>
            <w:tcW w:w="1715" w:type="dxa"/>
            <w:noWrap w:val="0"/>
            <w:vAlign w:val="top"/>
          </w:tcPr>
          <w:p w14:paraId="2873E302">
            <w:pPr>
              <w:pStyle w:val="35"/>
              <w:jc w:val="center"/>
              <w:rPr>
                <w:b/>
                <w:color w:val="auto"/>
                <w:sz w:val="24"/>
              </w:rPr>
            </w:pPr>
          </w:p>
          <w:p w14:paraId="2B25962C">
            <w:pPr>
              <w:pStyle w:val="35"/>
              <w:jc w:val="center"/>
              <w:rPr>
                <w:b/>
                <w:color w:val="auto"/>
                <w:sz w:val="24"/>
              </w:rPr>
            </w:pPr>
          </w:p>
          <w:p w14:paraId="2AFCA2E4">
            <w:pPr>
              <w:pStyle w:val="35"/>
              <w:spacing w:before="1"/>
              <w:ind w:right="100"/>
              <w:jc w:val="center"/>
              <w:rPr>
                <w:color w:val="auto"/>
                <w:sz w:val="24"/>
              </w:rPr>
            </w:pPr>
            <w:r>
              <w:rPr>
                <w:color w:val="auto"/>
                <w:sz w:val="24"/>
              </w:rPr>
              <w:t>磋商保证金</w:t>
            </w:r>
          </w:p>
        </w:tc>
        <w:tc>
          <w:tcPr>
            <w:tcW w:w="6768" w:type="dxa"/>
            <w:noWrap w:val="0"/>
            <w:vAlign w:val="top"/>
          </w:tcPr>
          <w:p w14:paraId="095860EF">
            <w:pPr>
              <w:pStyle w:val="35"/>
              <w:spacing w:before="103" w:line="500" w:lineRule="exact"/>
              <w:rPr>
                <w:color w:val="auto"/>
                <w:sz w:val="24"/>
              </w:rPr>
            </w:pPr>
            <w:r>
              <w:rPr>
                <w:rFonts w:hint="eastAsia"/>
                <w:color w:val="auto"/>
                <w:sz w:val="24"/>
              </w:rPr>
              <w:t>按照《河南省财政厅关于优化政府采购营商环境有关问题的通知》（豫财购[2019]4号文）的要求本项目不再收取投标保证金</w:t>
            </w:r>
          </w:p>
        </w:tc>
      </w:tr>
      <w:tr w14:paraId="3D537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101" w:type="dxa"/>
            <w:noWrap w:val="0"/>
            <w:vAlign w:val="top"/>
          </w:tcPr>
          <w:p w14:paraId="5C664B68">
            <w:pPr>
              <w:pStyle w:val="35"/>
              <w:jc w:val="center"/>
              <w:rPr>
                <w:b/>
                <w:color w:val="auto"/>
                <w:sz w:val="24"/>
              </w:rPr>
            </w:pPr>
          </w:p>
          <w:p w14:paraId="1E775A8B">
            <w:pPr>
              <w:pStyle w:val="35"/>
              <w:jc w:val="center"/>
              <w:rPr>
                <w:b/>
                <w:color w:val="auto"/>
                <w:sz w:val="24"/>
              </w:rPr>
            </w:pPr>
          </w:p>
          <w:p w14:paraId="37A0E005">
            <w:pPr>
              <w:pStyle w:val="35"/>
              <w:spacing w:before="1"/>
              <w:ind w:right="158"/>
              <w:jc w:val="center"/>
              <w:rPr>
                <w:color w:val="auto"/>
                <w:sz w:val="24"/>
                <w:lang w:val="en-US"/>
              </w:rPr>
            </w:pPr>
            <w:r>
              <w:rPr>
                <w:color w:val="auto"/>
                <w:sz w:val="24"/>
              </w:rPr>
              <w:t>2.6</w:t>
            </w:r>
          </w:p>
        </w:tc>
        <w:tc>
          <w:tcPr>
            <w:tcW w:w="1715" w:type="dxa"/>
            <w:noWrap w:val="0"/>
            <w:vAlign w:val="top"/>
          </w:tcPr>
          <w:p w14:paraId="7CE34D09">
            <w:pPr>
              <w:pStyle w:val="35"/>
              <w:spacing w:before="130" w:line="357" w:lineRule="auto"/>
              <w:ind w:left="130" w:right="118"/>
              <w:jc w:val="center"/>
              <w:rPr>
                <w:color w:val="auto"/>
                <w:sz w:val="24"/>
              </w:rPr>
            </w:pPr>
            <w:r>
              <w:rPr>
                <w:color w:val="auto"/>
                <w:sz w:val="24"/>
              </w:rPr>
              <w:t>近年完成的类似项目的年份</w:t>
            </w:r>
          </w:p>
          <w:p w14:paraId="5BD90C17">
            <w:pPr>
              <w:pStyle w:val="35"/>
              <w:spacing w:before="3"/>
              <w:ind w:left="110" w:right="100"/>
              <w:jc w:val="center"/>
              <w:rPr>
                <w:color w:val="auto"/>
                <w:sz w:val="24"/>
              </w:rPr>
            </w:pPr>
            <w:r>
              <w:rPr>
                <w:color w:val="auto"/>
                <w:sz w:val="24"/>
              </w:rPr>
              <w:t>要求</w:t>
            </w:r>
          </w:p>
        </w:tc>
        <w:tc>
          <w:tcPr>
            <w:tcW w:w="6768" w:type="dxa"/>
            <w:noWrap w:val="0"/>
            <w:vAlign w:val="top"/>
          </w:tcPr>
          <w:p w14:paraId="5CDE6A00">
            <w:pPr>
              <w:pStyle w:val="35"/>
              <w:rPr>
                <w:b/>
                <w:color w:val="auto"/>
                <w:sz w:val="24"/>
              </w:rPr>
            </w:pPr>
          </w:p>
          <w:p w14:paraId="2F3E5C07">
            <w:pPr>
              <w:pStyle w:val="35"/>
              <w:spacing w:before="11"/>
              <w:rPr>
                <w:b/>
                <w:color w:val="auto"/>
                <w:sz w:val="21"/>
              </w:rPr>
            </w:pPr>
          </w:p>
          <w:p w14:paraId="7FD93879">
            <w:pPr>
              <w:pStyle w:val="35"/>
              <w:spacing w:before="1"/>
              <w:ind w:left="107"/>
              <w:rPr>
                <w:color w:val="auto"/>
                <w:sz w:val="24"/>
              </w:rPr>
            </w:pPr>
            <w:r>
              <w:rPr>
                <w:color w:val="auto"/>
                <w:sz w:val="24"/>
              </w:rPr>
              <w:t>20</w:t>
            </w:r>
            <w:r>
              <w:rPr>
                <w:rFonts w:hint="eastAsia"/>
                <w:color w:val="auto"/>
                <w:sz w:val="24"/>
                <w:lang w:val="en-US" w:eastAsia="zh-CN"/>
              </w:rPr>
              <w:t>22</w:t>
            </w:r>
            <w:r>
              <w:rPr>
                <w:color w:val="auto"/>
                <w:sz w:val="24"/>
              </w:rPr>
              <w:t>年</w:t>
            </w:r>
            <w:r>
              <w:rPr>
                <w:rFonts w:hint="eastAsia"/>
                <w:color w:val="auto"/>
                <w:sz w:val="24"/>
                <w:lang w:val="en-US"/>
              </w:rPr>
              <w:t>01</w:t>
            </w:r>
            <w:r>
              <w:rPr>
                <w:color w:val="auto"/>
                <w:sz w:val="24"/>
              </w:rPr>
              <w:t>月</w:t>
            </w:r>
            <w:r>
              <w:rPr>
                <w:rFonts w:hint="eastAsia"/>
                <w:color w:val="auto"/>
                <w:sz w:val="24"/>
                <w:lang w:val="en-US"/>
              </w:rPr>
              <w:t>0</w:t>
            </w:r>
            <w:r>
              <w:rPr>
                <w:color w:val="auto"/>
                <w:sz w:val="24"/>
              </w:rPr>
              <w:t>1日以来</w:t>
            </w:r>
            <w:r>
              <w:rPr>
                <w:rFonts w:hint="eastAsia"/>
                <w:color w:val="auto"/>
                <w:sz w:val="24"/>
                <w:lang w:val="en-US" w:eastAsia="zh-CN"/>
              </w:rPr>
              <w:t>同</w:t>
            </w:r>
            <w:r>
              <w:rPr>
                <w:rFonts w:hint="eastAsia"/>
                <w:color w:val="auto"/>
                <w:sz w:val="24"/>
                <w:lang w:eastAsia="zh-CN"/>
              </w:rPr>
              <w:t>类项目</w:t>
            </w:r>
          </w:p>
        </w:tc>
      </w:tr>
      <w:tr w14:paraId="362D6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top"/>
          </w:tcPr>
          <w:p w14:paraId="2D2FFFC0">
            <w:pPr>
              <w:pStyle w:val="35"/>
              <w:rPr>
                <w:b/>
                <w:color w:val="auto"/>
                <w:sz w:val="24"/>
              </w:rPr>
            </w:pPr>
          </w:p>
          <w:p w14:paraId="78924D93">
            <w:pPr>
              <w:pStyle w:val="35"/>
              <w:spacing w:before="11"/>
              <w:rPr>
                <w:b/>
                <w:color w:val="auto"/>
                <w:sz w:val="21"/>
              </w:rPr>
            </w:pPr>
          </w:p>
          <w:p w14:paraId="0448B538">
            <w:pPr>
              <w:pStyle w:val="35"/>
              <w:spacing w:before="1"/>
              <w:ind w:left="166" w:right="158"/>
              <w:jc w:val="center"/>
              <w:rPr>
                <w:color w:val="auto"/>
                <w:sz w:val="24"/>
              </w:rPr>
            </w:pPr>
            <w:r>
              <w:rPr>
                <w:color w:val="auto"/>
                <w:sz w:val="24"/>
              </w:rPr>
              <w:t>2.7</w:t>
            </w:r>
          </w:p>
        </w:tc>
        <w:tc>
          <w:tcPr>
            <w:tcW w:w="1715" w:type="dxa"/>
            <w:noWrap w:val="0"/>
            <w:vAlign w:val="top"/>
          </w:tcPr>
          <w:p w14:paraId="72980032">
            <w:pPr>
              <w:pStyle w:val="35"/>
              <w:spacing w:before="2"/>
              <w:rPr>
                <w:b/>
                <w:color w:val="auto"/>
                <w:sz w:val="30"/>
              </w:rPr>
            </w:pPr>
          </w:p>
          <w:p w14:paraId="60924559">
            <w:pPr>
              <w:pStyle w:val="35"/>
              <w:spacing w:line="357" w:lineRule="auto"/>
              <w:ind w:left="610" w:right="238" w:hanging="360"/>
              <w:rPr>
                <w:color w:val="auto"/>
                <w:sz w:val="24"/>
              </w:rPr>
            </w:pPr>
            <w:r>
              <w:rPr>
                <w:rFonts w:hint="eastAsia"/>
                <w:color w:val="auto"/>
                <w:sz w:val="24"/>
              </w:rPr>
              <w:t>响应文件签</w:t>
            </w:r>
            <w:r>
              <w:rPr>
                <w:color w:val="auto"/>
                <w:sz w:val="24"/>
              </w:rPr>
              <w:t>章要求</w:t>
            </w:r>
          </w:p>
        </w:tc>
        <w:tc>
          <w:tcPr>
            <w:tcW w:w="6768" w:type="dxa"/>
            <w:noWrap w:val="0"/>
            <w:vAlign w:val="top"/>
          </w:tcPr>
          <w:p w14:paraId="7BDC8251">
            <w:pPr>
              <w:pStyle w:val="35"/>
              <w:spacing w:before="156" w:line="357" w:lineRule="auto"/>
              <w:ind w:left="107" w:right="96"/>
              <w:rPr>
                <w:color w:val="auto"/>
                <w:sz w:val="24"/>
              </w:rPr>
            </w:pPr>
            <w:r>
              <w:rPr>
                <w:color w:val="auto"/>
                <w:sz w:val="24"/>
              </w:rPr>
              <w:t>磋商响应供应商在进行电子化磋商响应文件签章时，竞争性磋商文件中要求磋商响应供应商盖章的，以签盖单位章为准；要</w:t>
            </w:r>
          </w:p>
          <w:p w14:paraId="5CEF0802">
            <w:pPr>
              <w:pStyle w:val="35"/>
              <w:spacing w:before="3"/>
              <w:ind w:left="107"/>
              <w:rPr>
                <w:rFonts w:hint="eastAsia" w:eastAsia="宋体"/>
                <w:color w:val="auto"/>
                <w:sz w:val="24"/>
                <w:lang w:eastAsia="zh-CN"/>
              </w:rPr>
            </w:pPr>
            <w:r>
              <w:rPr>
                <w:color w:val="auto"/>
                <w:sz w:val="24"/>
              </w:rPr>
              <w:t>求法定代表人</w:t>
            </w:r>
            <w:r>
              <w:rPr>
                <w:rFonts w:hint="eastAsia"/>
                <w:color w:val="auto"/>
                <w:sz w:val="24"/>
              </w:rPr>
              <w:t>或授权委托人签字盖章</w:t>
            </w:r>
            <w:r>
              <w:rPr>
                <w:color w:val="auto"/>
                <w:sz w:val="24"/>
              </w:rPr>
              <w:t>的，以法定代表人签章为准。</w:t>
            </w:r>
          </w:p>
        </w:tc>
      </w:tr>
      <w:tr w14:paraId="4236E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2D8FF149">
            <w:pPr>
              <w:pStyle w:val="35"/>
              <w:rPr>
                <w:b/>
                <w:color w:val="auto"/>
                <w:sz w:val="24"/>
              </w:rPr>
            </w:pPr>
          </w:p>
          <w:p w14:paraId="4B798DD1">
            <w:pPr>
              <w:pStyle w:val="35"/>
              <w:rPr>
                <w:b/>
                <w:color w:val="auto"/>
                <w:sz w:val="24"/>
              </w:rPr>
            </w:pPr>
          </w:p>
          <w:p w14:paraId="5796791F">
            <w:pPr>
              <w:pStyle w:val="35"/>
              <w:ind w:left="369"/>
              <w:rPr>
                <w:color w:val="auto"/>
                <w:sz w:val="24"/>
              </w:rPr>
            </w:pPr>
            <w:r>
              <w:rPr>
                <w:color w:val="auto"/>
                <w:sz w:val="24"/>
              </w:rPr>
              <w:t>2.8</w:t>
            </w:r>
          </w:p>
        </w:tc>
        <w:tc>
          <w:tcPr>
            <w:tcW w:w="1715" w:type="dxa"/>
            <w:noWrap w:val="0"/>
            <w:vAlign w:val="top"/>
          </w:tcPr>
          <w:p w14:paraId="16AD9CDF">
            <w:pPr>
              <w:pStyle w:val="35"/>
              <w:jc w:val="center"/>
              <w:rPr>
                <w:b/>
                <w:color w:val="auto"/>
                <w:sz w:val="24"/>
              </w:rPr>
            </w:pPr>
          </w:p>
          <w:p w14:paraId="1BF15072">
            <w:pPr>
              <w:pStyle w:val="35"/>
              <w:spacing w:before="194" w:line="357" w:lineRule="auto"/>
              <w:ind w:right="118"/>
              <w:jc w:val="both"/>
              <w:rPr>
                <w:color w:val="auto"/>
                <w:sz w:val="24"/>
              </w:rPr>
            </w:pPr>
            <w:r>
              <w:rPr>
                <w:color w:val="auto"/>
                <w:sz w:val="24"/>
              </w:rPr>
              <w:t>电子化磋商响应文件的格式及上传</w:t>
            </w:r>
          </w:p>
        </w:tc>
        <w:tc>
          <w:tcPr>
            <w:tcW w:w="6768" w:type="dxa"/>
            <w:noWrap w:val="0"/>
            <w:vAlign w:val="top"/>
          </w:tcPr>
          <w:p w14:paraId="7B555495">
            <w:pPr>
              <w:pStyle w:val="35"/>
              <w:spacing w:line="460" w:lineRule="atLeast"/>
              <w:ind w:left="107" w:right="96"/>
              <w:rPr>
                <w:color w:val="auto"/>
                <w:sz w:val="24"/>
              </w:rPr>
            </w:pPr>
            <w:r>
              <w:rPr>
                <w:rFonts w:hint="eastAsia"/>
                <w:color w:val="auto"/>
                <w:sz w:val="24"/>
              </w:rPr>
              <w:t>投标供应商所上传的电子化响应文件，应是通过中心响应文件制作系统制作的，经过签章和加密后生成的电子版响应文件。上传投标文件格式后缀为SMXTF。上传完后，为了验证CA锁是否正常，建议模拟解密下。</w:t>
            </w:r>
          </w:p>
        </w:tc>
      </w:tr>
      <w:tr w14:paraId="61DC0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center"/>
          </w:tcPr>
          <w:p w14:paraId="60AEC7E7">
            <w:pPr>
              <w:pStyle w:val="35"/>
              <w:jc w:val="center"/>
              <w:rPr>
                <w:color w:val="auto"/>
                <w:sz w:val="24"/>
              </w:rPr>
            </w:pPr>
            <w:r>
              <w:rPr>
                <w:color w:val="auto"/>
                <w:sz w:val="24"/>
              </w:rPr>
              <w:t>2.9</w:t>
            </w:r>
          </w:p>
        </w:tc>
        <w:tc>
          <w:tcPr>
            <w:tcW w:w="1715" w:type="dxa"/>
            <w:noWrap w:val="0"/>
            <w:vAlign w:val="top"/>
          </w:tcPr>
          <w:p w14:paraId="0477A4D1">
            <w:pPr>
              <w:pStyle w:val="35"/>
              <w:rPr>
                <w:b/>
                <w:color w:val="auto"/>
                <w:sz w:val="28"/>
                <w:highlight w:val="none"/>
              </w:rPr>
            </w:pPr>
          </w:p>
          <w:p w14:paraId="11F1F30D">
            <w:pPr>
              <w:pStyle w:val="35"/>
              <w:spacing w:line="360" w:lineRule="auto"/>
              <w:ind w:left="490" w:right="358" w:hanging="120"/>
              <w:rPr>
                <w:color w:val="auto"/>
                <w:sz w:val="24"/>
                <w:highlight w:val="none"/>
              </w:rPr>
            </w:pPr>
            <w:r>
              <w:rPr>
                <w:rFonts w:hint="eastAsia"/>
                <w:color w:val="auto"/>
                <w:sz w:val="24"/>
                <w:highlight w:val="none"/>
              </w:rPr>
              <w:t>开标</w:t>
            </w:r>
            <w:r>
              <w:rPr>
                <w:color w:val="auto"/>
                <w:sz w:val="24"/>
                <w:highlight w:val="none"/>
              </w:rPr>
              <w:t>时间和地点</w:t>
            </w:r>
          </w:p>
        </w:tc>
        <w:tc>
          <w:tcPr>
            <w:tcW w:w="6768" w:type="dxa"/>
            <w:noWrap w:val="0"/>
            <w:vAlign w:val="center"/>
          </w:tcPr>
          <w:p w14:paraId="0CAACEBB">
            <w:pPr>
              <w:pStyle w:val="35"/>
              <w:spacing w:before="1" w:line="460" w:lineRule="atLeast"/>
              <w:ind w:right="96"/>
              <w:jc w:val="both"/>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开标时间：</w:t>
            </w:r>
            <w:r>
              <w:rPr>
                <w:rFonts w:hint="eastAsia" w:ascii="宋体" w:hAnsi="宋体" w:eastAsia="宋体" w:cs="宋体"/>
                <w:bCs/>
                <w:color w:val="000000"/>
                <w:sz w:val="24"/>
                <w:szCs w:val="24"/>
                <w:highlight w:val="none"/>
                <w:lang w:val="en-US" w:eastAsia="zh-CN"/>
              </w:rPr>
              <w:t>202</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val="en-US" w:eastAsia="zh-CN"/>
              </w:rPr>
              <w:t>年</w:t>
            </w:r>
            <w:r>
              <w:rPr>
                <w:rFonts w:hint="eastAsia"/>
                <w:color w:val="auto"/>
                <w:sz w:val="24"/>
                <w:lang w:val="en-US" w:eastAsia="zh-CN"/>
              </w:rPr>
              <w:t>07月02日09</w:t>
            </w:r>
            <w:r>
              <w:rPr>
                <w:rFonts w:hint="eastAsia" w:ascii="宋体" w:hAnsi="宋体" w:eastAsia="宋体" w:cs="宋体"/>
                <w:bCs/>
                <w:color w:val="000000"/>
                <w:sz w:val="24"/>
                <w:szCs w:val="24"/>
                <w:highlight w:val="none"/>
                <w:lang w:val="en-US" w:eastAsia="zh-CN"/>
              </w:rPr>
              <w:t>时10分</w:t>
            </w:r>
          </w:p>
          <w:p w14:paraId="34D8ECC4">
            <w:pPr>
              <w:pStyle w:val="35"/>
              <w:spacing w:before="1" w:line="460" w:lineRule="atLeast"/>
              <w:ind w:right="96"/>
              <w:jc w:val="both"/>
              <w:rPr>
                <w:color w:val="000000"/>
                <w:sz w:val="24"/>
                <w:highlight w:val="none"/>
                <w:lang w:val="en-US"/>
              </w:rPr>
            </w:pPr>
            <w:r>
              <w:rPr>
                <w:rFonts w:hint="eastAsia"/>
                <w:color w:val="auto"/>
                <w:sz w:val="24"/>
                <w:highlight w:val="none"/>
                <w:lang w:val="en-US"/>
              </w:rPr>
              <w:t>开标地点：</w:t>
            </w:r>
            <w:r>
              <w:rPr>
                <w:rFonts w:hint="eastAsia"/>
                <w:color w:val="000000"/>
                <w:sz w:val="24"/>
                <w:highlight w:val="none"/>
                <w:lang w:val="en-US"/>
              </w:rPr>
              <w:t>卢氏县公共资源交易中心</w:t>
            </w:r>
            <w:r>
              <w:rPr>
                <w:rFonts w:hint="eastAsia"/>
                <w:color w:val="000000"/>
                <w:sz w:val="24"/>
                <w:highlight w:val="none"/>
                <w:lang w:val="en-US" w:eastAsia="zh-CN"/>
              </w:rPr>
              <w:t>四</w:t>
            </w:r>
            <w:r>
              <w:rPr>
                <w:rFonts w:hint="eastAsia"/>
                <w:color w:val="000000"/>
                <w:sz w:val="24"/>
                <w:highlight w:val="none"/>
                <w:lang w:val="en-US"/>
              </w:rPr>
              <w:t>楼第</w:t>
            </w:r>
            <w:r>
              <w:rPr>
                <w:rFonts w:hint="eastAsia"/>
                <w:color w:val="000000"/>
                <w:sz w:val="24"/>
                <w:highlight w:val="none"/>
                <w:lang w:val="en-US" w:eastAsia="zh-CN"/>
              </w:rPr>
              <w:t>一</w:t>
            </w:r>
            <w:r>
              <w:rPr>
                <w:rFonts w:hint="eastAsia"/>
                <w:color w:val="000000"/>
                <w:sz w:val="24"/>
                <w:highlight w:val="none"/>
                <w:lang w:val="en-US"/>
              </w:rPr>
              <w:t>开标室；</w:t>
            </w:r>
          </w:p>
          <w:p w14:paraId="5F0863BE">
            <w:pPr>
              <w:pStyle w:val="35"/>
              <w:spacing w:before="1" w:line="460" w:lineRule="atLeast"/>
              <w:ind w:right="96"/>
              <w:jc w:val="both"/>
              <w:rPr>
                <w:color w:val="auto"/>
                <w:sz w:val="24"/>
                <w:highlight w:val="none"/>
              </w:rPr>
            </w:pPr>
            <w:r>
              <w:rPr>
                <w:rFonts w:hint="eastAsia"/>
                <w:color w:val="000000"/>
                <w:sz w:val="24"/>
                <w:highlight w:val="none"/>
                <w:lang w:val="en-US"/>
              </w:rPr>
              <w:t>评标地点：卢氏县公共资源交易中心</w:t>
            </w:r>
            <w:r>
              <w:rPr>
                <w:rFonts w:hint="eastAsia"/>
                <w:color w:val="000000"/>
                <w:sz w:val="24"/>
                <w:highlight w:val="none"/>
                <w:lang w:val="en-US" w:eastAsia="zh-CN"/>
              </w:rPr>
              <w:t>二</w:t>
            </w:r>
            <w:r>
              <w:rPr>
                <w:rFonts w:hint="eastAsia"/>
                <w:color w:val="000000"/>
                <w:sz w:val="24"/>
                <w:highlight w:val="none"/>
                <w:lang w:val="en-US"/>
              </w:rPr>
              <w:t>楼第</w:t>
            </w:r>
            <w:r>
              <w:rPr>
                <w:rFonts w:hint="eastAsia"/>
                <w:color w:val="000000"/>
                <w:sz w:val="24"/>
                <w:highlight w:val="none"/>
                <w:lang w:val="en-US" w:eastAsia="zh-CN"/>
              </w:rPr>
              <w:t>三评</w:t>
            </w:r>
            <w:r>
              <w:rPr>
                <w:rFonts w:hint="eastAsia"/>
                <w:color w:val="000000"/>
                <w:sz w:val="24"/>
                <w:highlight w:val="none"/>
                <w:lang w:val="en-US"/>
              </w:rPr>
              <w:t>标室；</w:t>
            </w:r>
          </w:p>
        </w:tc>
      </w:tr>
      <w:tr w14:paraId="7C89D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center"/>
          </w:tcPr>
          <w:p w14:paraId="143805A7">
            <w:pPr>
              <w:pStyle w:val="35"/>
              <w:ind w:left="348"/>
              <w:jc w:val="both"/>
              <w:rPr>
                <w:color w:val="auto"/>
                <w:sz w:val="24"/>
              </w:rPr>
            </w:pPr>
            <w:r>
              <w:rPr>
                <w:color w:val="auto"/>
                <w:sz w:val="24"/>
              </w:rPr>
              <w:t>3.0</w:t>
            </w:r>
          </w:p>
        </w:tc>
        <w:tc>
          <w:tcPr>
            <w:tcW w:w="1715" w:type="dxa"/>
            <w:noWrap w:val="0"/>
            <w:vAlign w:val="center"/>
          </w:tcPr>
          <w:p w14:paraId="40E8681F">
            <w:pPr>
              <w:pStyle w:val="35"/>
              <w:spacing w:line="240" w:lineRule="auto"/>
              <w:ind w:left="490" w:right="358" w:hanging="120"/>
              <w:jc w:val="both"/>
              <w:rPr>
                <w:color w:val="auto"/>
                <w:sz w:val="24"/>
              </w:rPr>
            </w:pPr>
            <w:r>
              <w:rPr>
                <w:color w:val="auto"/>
                <w:sz w:val="24"/>
              </w:rPr>
              <w:t>磋商顺序</w:t>
            </w:r>
          </w:p>
        </w:tc>
        <w:tc>
          <w:tcPr>
            <w:tcW w:w="6768" w:type="dxa"/>
            <w:noWrap w:val="0"/>
            <w:vAlign w:val="center"/>
          </w:tcPr>
          <w:p w14:paraId="30FD26E0">
            <w:pPr>
              <w:pStyle w:val="35"/>
              <w:spacing w:line="240" w:lineRule="auto"/>
              <w:ind w:right="358"/>
              <w:jc w:val="both"/>
              <w:rPr>
                <w:color w:val="auto"/>
                <w:sz w:val="24"/>
              </w:rPr>
            </w:pPr>
            <w:r>
              <w:rPr>
                <w:color w:val="auto"/>
                <w:sz w:val="24"/>
              </w:rPr>
              <w:t>按电子化磋商响应文件上传的顺序磋商。</w:t>
            </w:r>
          </w:p>
        </w:tc>
      </w:tr>
      <w:tr w14:paraId="1AEDB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101" w:type="dxa"/>
            <w:noWrap w:val="0"/>
            <w:vAlign w:val="center"/>
          </w:tcPr>
          <w:p w14:paraId="118C431E">
            <w:pPr>
              <w:pStyle w:val="35"/>
              <w:spacing w:line="360" w:lineRule="auto"/>
              <w:ind w:left="490" w:right="358" w:hanging="120"/>
              <w:jc w:val="center"/>
              <w:rPr>
                <w:color w:val="auto"/>
                <w:sz w:val="24"/>
              </w:rPr>
            </w:pPr>
            <w:r>
              <w:rPr>
                <w:color w:val="auto"/>
                <w:sz w:val="24"/>
              </w:rPr>
              <w:t>3.1</w:t>
            </w:r>
          </w:p>
        </w:tc>
        <w:tc>
          <w:tcPr>
            <w:tcW w:w="1715" w:type="dxa"/>
            <w:noWrap w:val="0"/>
            <w:vAlign w:val="center"/>
          </w:tcPr>
          <w:p w14:paraId="2AE96AB0">
            <w:pPr>
              <w:pStyle w:val="35"/>
              <w:spacing w:line="360" w:lineRule="auto"/>
              <w:ind w:left="490" w:right="358" w:hanging="120"/>
              <w:jc w:val="center"/>
              <w:rPr>
                <w:rFonts w:hint="eastAsia"/>
                <w:color w:val="auto"/>
                <w:sz w:val="24"/>
              </w:rPr>
            </w:pPr>
            <w:r>
              <w:rPr>
                <w:rFonts w:hint="eastAsia"/>
                <w:color w:val="auto"/>
                <w:sz w:val="24"/>
              </w:rPr>
              <w:t>磋商小组的组建</w:t>
            </w:r>
          </w:p>
        </w:tc>
        <w:tc>
          <w:tcPr>
            <w:tcW w:w="6768" w:type="dxa"/>
            <w:noWrap w:val="0"/>
            <w:vAlign w:val="top"/>
          </w:tcPr>
          <w:p w14:paraId="346D20B9">
            <w:pPr>
              <w:pStyle w:val="35"/>
              <w:keepNext w:val="0"/>
              <w:keepLines w:val="0"/>
              <w:pageBreakBefore w:val="0"/>
              <w:widowControl w:val="0"/>
              <w:kinsoku/>
              <w:wordWrap w:val="0"/>
              <w:overflowPunct/>
              <w:topLinePunct w:val="0"/>
              <w:autoSpaceDE w:val="0"/>
              <w:autoSpaceDN w:val="0"/>
              <w:bidi w:val="0"/>
              <w:adjustRightInd/>
              <w:snapToGrid/>
              <w:spacing w:line="240" w:lineRule="auto"/>
              <w:ind w:left="0" w:right="0" w:firstLine="0"/>
              <w:textAlignment w:val="auto"/>
              <w:rPr>
                <w:rFonts w:hint="eastAsia"/>
                <w:color w:val="auto"/>
                <w:sz w:val="24"/>
              </w:rPr>
            </w:pPr>
            <w:r>
              <w:rPr>
                <w:rFonts w:hint="eastAsia"/>
                <w:color w:val="000000"/>
                <w:sz w:val="24"/>
                <w:lang w:val="en-US"/>
              </w:rPr>
              <w:t>磋商小组成员为 3 人，采购人代表 1 人，其余技术、经济等方面的专家 2 人从</w:t>
            </w:r>
            <w:r>
              <w:rPr>
                <w:rFonts w:hint="eastAsia"/>
                <w:color w:val="000000"/>
                <w:sz w:val="24"/>
                <w:lang w:val="en-US" w:eastAsia="zh-CN"/>
              </w:rPr>
              <w:t>相关</w:t>
            </w:r>
            <w:r>
              <w:rPr>
                <w:rFonts w:hint="eastAsia"/>
                <w:color w:val="000000"/>
                <w:sz w:val="24"/>
                <w:lang w:val="en-US"/>
              </w:rPr>
              <w:t>评标专家库中随机抽取。</w:t>
            </w:r>
          </w:p>
        </w:tc>
      </w:tr>
      <w:tr w14:paraId="3E95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101" w:type="dxa"/>
            <w:noWrap w:val="0"/>
            <w:vAlign w:val="center"/>
          </w:tcPr>
          <w:p w14:paraId="18D914F3">
            <w:pPr>
              <w:pStyle w:val="35"/>
              <w:jc w:val="center"/>
              <w:rPr>
                <w:color w:val="auto"/>
                <w:sz w:val="24"/>
              </w:rPr>
            </w:pPr>
            <w:r>
              <w:rPr>
                <w:color w:val="auto"/>
                <w:sz w:val="24"/>
              </w:rPr>
              <w:t>3.2</w:t>
            </w:r>
          </w:p>
        </w:tc>
        <w:tc>
          <w:tcPr>
            <w:tcW w:w="1715" w:type="dxa"/>
            <w:noWrap w:val="0"/>
            <w:vAlign w:val="top"/>
          </w:tcPr>
          <w:p w14:paraId="6A94B20E">
            <w:pPr>
              <w:pStyle w:val="35"/>
              <w:spacing w:before="129" w:line="357" w:lineRule="auto"/>
              <w:ind w:left="130" w:right="118"/>
              <w:jc w:val="center"/>
              <w:rPr>
                <w:color w:val="auto"/>
                <w:sz w:val="24"/>
              </w:rPr>
            </w:pPr>
            <w:r>
              <w:rPr>
                <w:color w:val="auto"/>
                <w:sz w:val="24"/>
              </w:rPr>
              <w:t>是否授权磋商专家确定成交</w:t>
            </w:r>
          </w:p>
          <w:p w14:paraId="3C26AFF5">
            <w:pPr>
              <w:pStyle w:val="35"/>
              <w:spacing w:before="3"/>
              <w:ind w:left="110" w:right="100"/>
              <w:jc w:val="center"/>
              <w:rPr>
                <w:color w:val="auto"/>
                <w:sz w:val="24"/>
              </w:rPr>
            </w:pPr>
            <w:r>
              <w:rPr>
                <w:color w:val="auto"/>
                <w:sz w:val="24"/>
              </w:rPr>
              <w:t>供应商</w:t>
            </w:r>
          </w:p>
        </w:tc>
        <w:tc>
          <w:tcPr>
            <w:tcW w:w="6768" w:type="dxa"/>
            <w:noWrap w:val="0"/>
            <w:vAlign w:val="center"/>
          </w:tcPr>
          <w:p w14:paraId="4C16E7D6">
            <w:pPr>
              <w:pStyle w:val="35"/>
              <w:ind w:left="107"/>
              <w:jc w:val="both"/>
              <w:rPr>
                <w:color w:val="auto"/>
                <w:sz w:val="24"/>
              </w:rPr>
            </w:pPr>
            <w:r>
              <w:rPr>
                <w:rFonts w:hint="eastAsia"/>
                <w:color w:val="auto"/>
                <w:sz w:val="24"/>
              </w:rPr>
              <w:t>否，由磋商小组按照评审得分由高到底推荐3名成交候选供应商</w:t>
            </w:r>
          </w:p>
        </w:tc>
      </w:tr>
      <w:tr w14:paraId="48D86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101" w:type="dxa"/>
            <w:noWrap w:val="0"/>
            <w:vAlign w:val="top"/>
          </w:tcPr>
          <w:p w14:paraId="745DE513">
            <w:pPr>
              <w:pStyle w:val="35"/>
              <w:rPr>
                <w:b/>
                <w:color w:val="auto"/>
                <w:sz w:val="24"/>
              </w:rPr>
            </w:pPr>
          </w:p>
          <w:p w14:paraId="441865E6">
            <w:pPr>
              <w:pStyle w:val="35"/>
              <w:spacing w:before="11"/>
              <w:rPr>
                <w:b/>
                <w:color w:val="auto"/>
                <w:sz w:val="21"/>
              </w:rPr>
            </w:pPr>
          </w:p>
          <w:p w14:paraId="272A5264">
            <w:pPr>
              <w:pStyle w:val="35"/>
              <w:ind w:left="369"/>
              <w:rPr>
                <w:color w:val="auto"/>
                <w:sz w:val="24"/>
              </w:rPr>
            </w:pPr>
            <w:r>
              <w:rPr>
                <w:color w:val="auto"/>
                <w:sz w:val="24"/>
              </w:rPr>
              <w:t>3.3</w:t>
            </w:r>
          </w:p>
        </w:tc>
        <w:tc>
          <w:tcPr>
            <w:tcW w:w="1715" w:type="dxa"/>
            <w:noWrap w:val="0"/>
            <w:vAlign w:val="center"/>
          </w:tcPr>
          <w:p w14:paraId="0406F990">
            <w:pPr>
              <w:pStyle w:val="35"/>
              <w:jc w:val="center"/>
              <w:rPr>
                <w:rFonts w:hint="eastAsia"/>
                <w:color w:val="auto"/>
                <w:sz w:val="24"/>
                <w:highlight w:val="red"/>
              </w:rPr>
            </w:pPr>
            <w:r>
              <w:rPr>
                <w:rFonts w:hint="eastAsia"/>
                <w:color w:val="auto"/>
                <w:sz w:val="24"/>
                <w:highlight w:val="none"/>
              </w:rPr>
              <w:t>付款方式</w:t>
            </w:r>
          </w:p>
        </w:tc>
        <w:tc>
          <w:tcPr>
            <w:tcW w:w="6768" w:type="dxa"/>
            <w:noWrap w:val="0"/>
            <w:vAlign w:val="center"/>
          </w:tcPr>
          <w:p w14:paraId="428E193F">
            <w:pPr>
              <w:pStyle w:val="35"/>
              <w:ind w:left="107"/>
              <w:jc w:val="both"/>
              <w:rPr>
                <w:rFonts w:hint="eastAsia"/>
                <w:color w:val="auto"/>
                <w:sz w:val="24"/>
                <w:highlight w:val="red"/>
              </w:rPr>
            </w:pPr>
            <w:r>
              <w:rPr>
                <w:rFonts w:hint="eastAsia"/>
                <w:color w:val="auto"/>
                <w:sz w:val="24"/>
                <w:highlight w:val="none"/>
              </w:rPr>
              <w:t>合同签订</w:t>
            </w:r>
            <w:r>
              <w:rPr>
                <w:rFonts w:hint="eastAsia"/>
                <w:color w:val="auto"/>
                <w:sz w:val="24"/>
                <w:highlight w:val="none"/>
                <w:lang w:val="en-US" w:eastAsia="zh-CN"/>
              </w:rPr>
              <w:t>后完成最终成果文件，并通过评审后15日内付款80%，项目完工竣工验收合格后付款100%。</w:t>
            </w:r>
          </w:p>
        </w:tc>
      </w:tr>
      <w:tr w14:paraId="4C194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101" w:type="dxa"/>
            <w:noWrap w:val="0"/>
            <w:vAlign w:val="center"/>
          </w:tcPr>
          <w:p w14:paraId="2AAE4836">
            <w:pPr>
              <w:pStyle w:val="35"/>
              <w:ind w:left="369"/>
              <w:jc w:val="both"/>
              <w:rPr>
                <w:color w:val="auto"/>
                <w:sz w:val="24"/>
              </w:rPr>
            </w:pPr>
            <w:r>
              <w:rPr>
                <w:color w:val="auto"/>
                <w:sz w:val="24"/>
              </w:rPr>
              <w:t>3.4</w:t>
            </w:r>
          </w:p>
        </w:tc>
        <w:tc>
          <w:tcPr>
            <w:tcW w:w="1715" w:type="dxa"/>
            <w:noWrap w:val="0"/>
            <w:vAlign w:val="center"/>
          </w:tcPr>
          <w:p w14:paraId="212A0271">
            <w:pPr>
              <w:pStyle w:val="35"/>
              <w:ind w:left="110" w:right="100"/>
              <w:jc w:val="center"/>
              <w:rPr>
                <w:color w:val="auto"/>
                <w:sz w:val="24"/>
              </w:rPr>
            </w:pPr>
            <w:r>
              <w:rPr>
                <w:rFonts w:hint="eastAsia"/>
                <w:color w:val="auto"/>
                <w:sz w:val="24"/>
              </w:rPr>
              <w:t>代理</w:t>
            </w:r>
            <w:r>
              <w:rPr>
                <w:color w:val="auto"/>
                <w:sz w:val="24"/>
              </w:rPr>
              <w:t>服务费</w:t>
            </w:r>
          </w:p>
        </w:tc>
        <w:tc>
          <w:tcPr>
            <w:tcW w:w="6768" w:type="dxa"/>
            <w:noWrap w:val="0"/>
            <w:vAlign w:val="top"/>
          </w:tcPr>
          <w:p w14:paraId="0518B863">
            <w:pPr>
              <w:pStyle w:val="35"/>
              <w:spacing w:before="1" w:line="460" w:lineRule="exact"/>
              <w:ind w:left="107" w:right="2"/>
              <w:rPr>
                <w:rFonts w:hint="eastAsia"/>
                <w:color w:val="auto"/>
                <w:sz w:val="24"/>
              </w:rPr>
            </w:pPr>
            <w:r>
              <w:rPr>
                <w:rFonts w:hint="eastAsia"/>
                <w:color w:val="auto"/>
                <w:sz w:val="24"/>
              </w:rPr>
              <w:t>收取标准：招标代理服务收费参照豫招协[2023]002号河南省招标投标协会关于印发《河南省招标代理服务收费指导意见》规定的收费标准收取中标服务费，招标代理服务费及其他所有费用由中标人支付</w:t>
            </w:r>
            <w:r>
              <w:rPr>
                <w:rFonts w:hint="eastAsia"/>
                <w:color w:val="auto"/>
                <w:sz w:val="24"/>
                <w:lang w:eastAsia="zh-CN"/>
              </w:rPr>
              <w:t>。</w:t>
            </w:r>
            <w:r>
              <w:rPr>
                <w:rFonts w:hint="eastAsia"/>
                <w:color w:val="auto"/>
                <w:sz w:val="24"/>
              </w:rPr>
              <w:t>招标代理服务收费按差额定率累进法计算。代理服务费计算方式及金额在发布</w:t>
            </w:r>
            <w:r>
              <w:rPr>
                <w:rFonts w:hint="eastAsia"/>
                <w:color w:val="auto"/>
                <w:sz w:val="24"/>
                <w:lang w:eastAsia="zh-CN"/>
              </w:rPr>
              <w:t>成交</w:t>
            </w:r>
            <w:r>
              <w:rPr>
                <w:rFonts w:hint="eastAsia"/>
                <w:color w:val="auto"/>
                <w:sz w:val="24"/>
              </w:rPr>
              <w:t>公告时一并公布。</w:t>
            </w:r>
          </w:p>
          <w:p w14:paraId="6988955F">
            <w:pPr>
              <w:pStyle w:val="35"/>
              <w:spacing w:before="1" w:line="460" w:lineRule="exact"/>
              <w:ind w:left="107" w:right="2"/>
              <w:rPr>
                <w:rFonts w:hint="eastAsia"/>
                <w:color w:val="auto"/>
                <w:sz w:val="24"/>
              </w:rPr>
            </w:pPr>
            <w:r>
              <w:rPr>
                <w:rFonts w:hint="eastAsia"/>
                <w:color w:val="auto"/>
                <w:sz w:val="24"/>
              </w:rPr>
              <w:t>收取方式：转账形式</w:t>
            </w:r>
          </w:p>
          <w:p w14:paraId="4382EF6D">
            <w:pPr>
              <w:pStyle w:val="35"/>
              <w:spacing w:before="1" w:line="460" w:lineRule="exact"/>
              <w:ind w:left="107" w:right="2"/>
              <w:rPr>
                <w:rFonts w:hint="eastAsia"/>
                <w:color w:val="auto"/>
                <w:sz w:val="24"/>
              </w:rPr>
            </w:pPr>
            <w:r>
              <w:rPr>
                <w:rFonts w:hint="eastAsia"/>
                <w:color w:val="auto"/>
                <w:sz w:val="24"/>
              </w:rPr>
              <w:t>账户名称：</w:t>
            </w:r>
            <w:r>
              <w:rPr>
                <w:rFonts w:hint="eastAsia"/>
                <w:color w:val="auto"/>
                <w:sz w:val="24"/>
                <w:lang w:eastAsia="zh-CN"/>
              </w:rPr>
              <w:t>河南省中塍建设管理有限公司</w:t>
            </w:r>
          </w:p>
          <w:p w14:paraId="5F71E56F">
            <w:pPr>
              <w:pStyle w:val="35"/>
              <w:spacing w:before="1" w:line="460" w:lineRule="exact"/>
              <w:ind w:left="107" w:right="2"/>
              <w:rPr>
                <w:rFonts w:hint="default" w:eastAsia="宋体"/>
                <w:color w:val="auto"/>
                <w:sz w:val="24"/>
                <w:lang w:val="en-US" w:eastAsia="zh-CN"/>
              </w:rPr>
            </w:pPr>
            <w:r>
              <w:rPr>
                <w:rFonts w:hint="eastAsia"/>
                <w:color w:val="auto"/>
                <w:sz w:val="24"/>
              </w:rPr>
              <w:t>账户号码：</w:t>
            </w:r>
            <w:r>
              <w:rPr>
                <w:rFonts w:hint="eastAsia"/>
                <w:color w:val="auto"/>
                <w:sz w:val="24"/>
                <w:lang w:val="en-US" w:eastAsia="zh-CN"/>
              </w:rPr>
              <w:t>263783364266</w:t>
            </w:r>
          </w:p>
          <w:p w14:paraId="620347AE">
            <w:pPr>
              <w:pStyle w:val="35"/>
              <w:spacing w:before="1" w:line="460" w:lineRule="exact"/>
              <w:ind w:left="107" w:right="2"/>
              <w:rPr>
                <w:rFonts w:hint="default" w:eastAsiaTheme="minorEastAsia"/>
                <w:color w:val="auto"/>
                <w:sz w:val="24"/>
                <w:lang w:val="en-US" w:eastAsia="zh-CN"/>
              </w:rPr>
            </w:pPr>
            <w:r>
              <w:rPr>
                <w:rFonts w:hint="eastAsia"/>
                <w:color w:val="auto"/>
                <w:sz w:val="24"/>
              </w:rPr>
              <w:t>开户行：</w:t>
            </w:r>
            <w:r>
              <w:rPr>
                <w:rFonts w:hint="eastAsia"/>
                <w:color w:val="auto"/>
                <w:sz w:val="24"/>
                <w:lang w:val="en-US" w:eastAsia="zh-CN"/>
              </w:rPr>
              <w:t>中国银行股份有限公司河南省分行</w:t>
            </w:r>
          </w:p>
        </w:tc>
      </w:tr>
      <w:tr w14:paraId="3676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0B123DFA">
            <w:pPr>
              <w:pStyle w:val="35"/>
              <w:spacing w:before="1"/>
              <w:rPr>
                <w:b/>
                <w:color w:val="auto"/>
                <w:sz w:val="28"/>
              </w:rPr>
            </w:pPr>
          </w:p>
          <w:p w14:paraId="7F7A940C">
            <w:pPr>
              <w:pStyle w:val="35"/>
              <w:ind w:left="369"/>
              <w:rPr>
                <w:color w:val="auto"/>
                <w:sz w:val="24"/>
                <w:lang w:val="en-US"/>
              </w:rPr>
            </w:pPr>
            <w:r>
              <w:rPr>
                <w:color w:val="auto"/>
                <w:sz w:val="24"/>
              </w:rPr>
              <w:t>3.</w:t>
            </w:r>
            <w:r>
              <w:rPr>
                <w:rFonts w:hint="eastAsia"/>
                <w:color w:val="auto"/>
                <w:sz w:val="24"/>
                <w:lang w:val="en-US"/>
              </w:rPr>
              <w:t>5</w:t>
            </w:r>
          </w:p>
        </w:tc>
        <w:tc>
          <w:tcPr>
            <w:tcW w:w="1715" w:type="dxa"/>
            <w:noWrap w:val="0"/>
            <w:vAlign w:val="top"/>
          </w:tcPr>
          <w:p w14:paraId="46494852">
            <w:pPr>
              <w:pStyle w:val="35"/>
              <w:rPr>
                <w:b/>
                <w:color w:val="auto"/>
                <w:sz w:val="24"/>
              </w:rPr>
            </w:pPr>
          </w:p>
          <w:p w14:paraId="6C2F7D93">
            <w:pPr>
              <w:pStyle w:val="35"/>
              <w:spacing w:before="204"/>
              <w:ind w:left="110" w:right="100"/>
              <w:jc w:val="center"/>
              <w:rPr>
                <w:color w:val="auto"/>
                <w:sz w:val="24"/>
              </w:rPr>
            </w:pPr>
            <w:r>
              <w:rPr>
                <w:color w:val="auto"/>
                <w:sz w:val="24"/>
              </w:rPr>
              <w:t>采购预算价</w:t>
            </w:r>
          </w:p>
        </w:tc>
        <w:tc>
          <w:tcPr>
            <w:tcW w:w="6768" w:type="dxa"/>
            <w:noWrap w:val="0"/>
            <w:vAlign w:val="top"/>
          </w:tcPr>
          <w:p w14:paraId="6E62AE6B">
            <w:pPr>
              <w:pStyle w:val="35"/>
              <w:spacing w:before="1" w:line="460" w:lineRule="atLeast"/>
              <w:ind w:left="107" w:right="182"/>
              <w:rPr>
                <w:rFonts w:hint="eastAsia" w:eastAsia="宋体"/>
                <w:color w:val="auto"/>
                <w:sz w:val="24"/>
                <w:lang w:eastAsia="zh-CN"/>
              </w:rPr>
            </w:pPr>
            <w:r>
              <w:rPr>
                <w:rFonts w:hint="eastAsia"/>
                <w:color w:val="auto"/>
                <w:sz w:val="24"/>
                <w:lang w:eastAsia="zh-CN"/>
              </w:rPr>
              <w:t>538400.00元</w:t>
            </w:r>
          </w:p>
          <w:p w14:paraId="5C123BE2">
            <w:pPr>
              <w:pStyle w:val="35"/>
              <w:spacing w:before="1" w:line="460" w:lineRule="atLeast"/>
              <w:ind w:left="107" w:right="182"/>
              <w:rPr>
                <w:color w:val="auto"/>
                <w:sz w:val="24"/>
              </w:rPr>
            </w:pPr>
            <w:r>
              <w:rPr>
                <w:color w:val="auto"/>
                <w:sz w:val="24"/>
              </w:rPr>
              <w:t>凡磋商响应供应商磋商报价超出“采购预算价”的，该磋商响应供应商的磋商响应文件应作无效标处理。</w:t>
            </w:r>
          </w:p>
        </w:tc>
      </w:tr>
      <w:tr w14:paraId="0C30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center"/>
          </w:tcPr>
          <w:p w14:paraId="77737040">
            <w:pPr>
              <w:pStyle w:val="35"/>
              <w:spacing w:before="204"/>
              <w:ind w:left="369"/>
              <w:jc w:val="both"/>
              <w:rPr>
                <w:rFonts w:hint="default" w:eastAsia="宋体"/>
                <w:color w:val="auto"/>
                <w:sz w:val="24"/>
                <w:lang w:val="en-US" w:eastAsia="zh-CN"/>
              </w:rPr>
            </w:pPr>
            <w:r>
              <w:rPr>
                <w:rFonts w:hint="eastAsia"/>
                <w:color w:val="auto"/>
                <w:sz w:val="24"/>
                <w:lang w:val="en-US" w:eastAsia="zh-CN"/>
              </w:rPr>
              <w:t>3.6</w:t>
            </w:r>
          </w:p>
        </w:tc>
        <w:tc>
          <w:tcPr>
            <w:tcW w:w="1715" w:type="dxa"/>
            <w:noWrap w:val="0"/>
            <w:vAlign w:val="center"/>
          </w:tcPr>
          <w:p w14:paraId="603898B0">
            <w:pPr>
              <w:adjustRightInd w:val="0"/>
              <w:spacing w:line="480" w:lineRule="exact"/>
              <w:jc w:val="center"/>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szCs w:val="22"/>
                <w:lang w:val="en-US" w:eastAsia="zh-CN" w:bidi="zh-CN"/>
              </w:rPr>
              <w:t>采购标的所属行业</w:t>
            </w:r>
          </w:p>
        </w:tc>
        <w:tc>
          <w:tcPr>
            <w:tcW w:w="6768" w:type="dxa"/>
            <w:noWrap w:val="0"/>
            <w:vAlign w:val="center"/>
          </w:tcPr>
          <w:p w14:paraId="19A623F6">
            <w:pPr>
              <w:adjustRightInd w:val="0"/>
              <w:spacing w:line="480" w:lineRule="exact"/>
              <w:ind w:firstLine="240" w:firstLineChars="1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划定标准为：本项目采购标的属于其他未列明行业。</w:t>
            </w:r>
          </w:p>
          <w:p w14:paraId="0C884A63">
            <w:pPr>
              <w:adjustRightInd w:val="0"/>
              <w:spacing w:line="480" w:lineRule="exact"/>
              <w:ind w:firstLine="240" w:firstLineChars="1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《工业和信息化部、国家统计局、国家发展和改革委员会、财政部关于印发&lt;中小企业划型标准规定的通知&gt;（工信部联企业〔2011〕300号）规定的划分标准为依据。</w:t>
            </w:r>
          </w:p>
        </w:tc>
      </w:tr>
      <w:tr w14:paraId="4D308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223A285B">
            <w:pPr>
              <w:pStyle w:val="35"/>
              <w:rPr>
                <w:b/>
                <w:color w:val="auto"/>
                <w:sz w:val="24"/>
              </w:rPr>
            </w:pPr>
          </w:p>
          <w:p w14:paraId="4A65D0D2">
            <w:pPr>
              <w:pStyle w:val="35"/>
              <w:rPr>
                <w:b/>
                <w:color w:val="auto"/>
                <w:sz w:val="24"/>
              </w:rPr>
            </w:pPr>
          </w:p>
          <w:p w14:paraId="6EFFE5CE">
            <w:pPr>
              <w:pStyle w:val="35"/>
              <w:spacing w:before="204"/>
              <w:ind w:left="369"/>
              <w:rPr>
                <w:color w:val="auto"/>
                <w:sz w:val="24"/>
              </w:rPr>
            </w:pPr>
          </w:p>
          <w:p w14:paraId="717715BC">
            <w:pPr>
              <w:pStyle w:val="35"/>
              <w:spacing w:before="204"/>
              <w:ind w:left="369"/>
              <w:rPr>
                <w:rFonts w:hint="eastAsia" w:eastAsia="宋体"/>
                <w:color w:val="auto"/>
                <w:sz w:val="24"/>
                <w:lang w:eastAsia="zh-CN"/>
              </w:rPr>
            </w:pPr>
            <w:r>
              <w:rPr>
                <w:color w:val="auto"/>
                <w:sz w:val="24"/>
              </w:rPr>
              <w:t>3.</w:t>
            </w:r>
            <w:r>
              <w:rPr>
                <w:rFonts w:hint="eastAsia"/>
                <w:color w:val="auto"/>
                <w:sz w:val="24"/>
                <w:lang w:val="en-US" w:eastAsia="zh-CN"/>
              </w:rPr>
              <w:t>7</w:t>
            </w:r>
          </w:p>
        </w:tc>
        <w:tc>
          <w:tcPr>
            <w:tcW w:w="1715" w:type="dxa"/>
            <w:noWrap w:val="0"/>
            <w:vAlign w:val="center"/>
          </w:tcPr>
          <w:p w14:paraId="22E90256">
            <w:pPr>
              <w:adjustRightInd w:val="0"/>
              <w:spacing w:line="480" w:lineRule="exact"/>
              <w:jc w:val="center"/>
              <w:textAlignment w:val="baseline"/>
              <w:rPr>
                <w:color w:val="auto"/>
                <w:sz w:val="24"/>
              </w:rPr>
            </w:pPr>
            <w:r>
              <w:rPr>
                <w:rFonts w:hint="eastAsia"/>
                <w:color w:val="auto"/>
                <w:sz w:val="24"/>
              </w:rPr>
              <w:t>解释权</w:t>
            </w:r>
          </w:p>
        </w:tc>
        <w:tc>
          <w:tcPr>
            <w:tcW w:w="6768" w:type="dxa"/>
            <w:noWrap w:val="0"/>
            <w:vAlign w:val="center"/>
          </w:tcPr>
          <w:p w14:paraId="54CFA8FB">
            <w:pPr>
              <w:adjustRightInd w:val="0"/>
              <w:spacing w:line="480" w:lineRule="exact"/>
              <w:ind w:firstLine="240" w:firstLineChars="100"/>
              <w:textAlignment w:val="baseline"/>
              <w:rPr>
                <w:color w:val="auto"/>
                <w:sz w:val="24"/>
              </w:rPr>
            </w:pPr>
            <w:r>
              <w:rPr>
                <w:rFonts w:hint="eastAsia"/>
                <w:color w:val="auto"/>
                <w:sz w:val="24"/>
              </w:rPr>
              <w:t>构成本磋商文件的各个组成文件应互为解释，互为说明；如有不明确或不一致，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26C1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center"/>
          </w:tcPr>
          <w:p w14:paraId="167EE194">
            <w:pPr>
              <w:pStyle w:val="35"/>
              <w:spacing w:before="1"/>
              <w:ind w:left="166" w:right="158"/>
              <w:jc w:val="center"/>
              <w:rPr>
                <w:rFonts w:hint="eastAsia" w:eastAsia="宋体"/>
                <w:color w:val="auto"/>
                <w:sz w:val="24"/>
                <w:lang w:val="en-US" w:eastAsia="zh-CN"/>
              </w:rPr>
            </w:pPr>
            <w:r>
              <w:rPr>
                <w:rFonts w:hint="eastAsia"/>
                <w:color w:val="auto"/>
                <w:sz w:val="24"/>
                <w:lang w:val="en-US"/>
              </w:rPr>
              <w:t>3.</w:t>
            </w:r>
            <w:r>
              <w:rPr>
                <w:rFonts w:hint="eastAsia"/>
                <w:color w:val="auto"/>
                <w:sz w:val="24"/>
                <w:lang w:val="en-US" w:eastAsia="zh-CN"/>
              </w:rPr>
              <w:t>8</w:t>
            </w:r>
          </w:p>
        </w:tc>
        <w:tc>
          <w:tcPr>
            <w:tcW w:w="1715" w:type="dxa"/>
            <w:noWrap w:val="0"/>
            <w:vAlign w:val="center"/>
          </w:tcPr>
          <w:p w14:paraId="5EE89714">
            <w:pPr>
              <w:adjustRightInd w:val="0"/>
              <w:spacing w:line="480" w:lineRule="exact"/>
              <w:ind w:firstLine="480" w:firstLineChars="200"/>
              <w:textAlignment w:val="baseline"/>
              <w:rPr>
                <w:color w:val="auto"/>
                <w:sz w:val="24"/>
              </w:rPr>
            </w:pPr>
            <w:r>
              <w:rPr>
                <w:rFonts w:hint="eastAsia"/>
                <w:color w:val="auto"/>
                <w:sz w:val="24"/>
              </w:rPr>
              <w:t>报价</w:t>
            </w:r>
          </w:p>
        </w:tc>
        <w:tc>
          <w:tcPr>
            <w:tcW w:w="6768" w:type="dxa"/>
            <w:noWrap w:val="0"/>
            <w:vAlign w:val="center"/>
          </w:tcPr>
          <w:p w14:paraId="018F203E">
            <w:pPr>
              <w:pStyle w:val="30"/>
              <w:numPr>
                <w:ilvl w:val="0"/>
                <w:numId w:val="1"/>
              </w:numPr>
              <w:ind w:left="0"/>
              <w:jc w:val="both"/>
              <w:outlineLvl w:val="0"/>
              <w:rPr>
                <w:rFonts w:hint="eastAsia" w:ascii="Calibri" w:hAnsi="Calibri" w:eastAsia="宋体" w:cs="黑体"/>
                <w:b w:val="0"/>
                <w:bCs/>
                <w:color w:val="auto"/>
                <w:sz w:val="24"/>
                <w:szCs w:val="22"/>
                <w:lang w:val="en-US" w:eastAsia="en-US" w:bidi="ar-SA"/>
              </w:rPr>
            </w:pPr>
            <w:bookmarkStart w:id="19" w:name="_Toc6793"/>
            <w:r>
              <w:rPr>
                <w:rFonts w:hint="eastAsia" w:ascii="Calibri" w:hAnsi="Calibri" w:eastAsia="宋体" w:cs="黑体"/>
                <w:b w:val="0"/>
                <w:bCs/>
                <w:color w:val="auto"/>
                <w:sz w:val="24"/>
                <w:szCs w:val="22"/>
                <w:lang w:val="en-US" w:eastAsia="en-US" w:bidi="ar-SA"/>
              </w:rPr>
              <w:t>本次竞争性磋商采取两轮报价：第一轮报价直接填报于磋商响应文件中，综合评标基本完毕后进行第二轮报价。</w:t>
            </w:r>
            <w:bookmarkEnd w:id="19"/>
          </w:p>
          <w:p w14:paraId="2FF9308E">
            <w:pPr>
              <w:pStyle w:val="30"/>
              <w:numPr>
                <w:ilvl w:val="0"/>
                <w:numId w:val="1"/>
              </w:numPr>
              <w:ind w:left="0"/>
              <w:jc w:val="left"/>
              <w:outlineLvl w:val="0"/>
              <w:rPr>
                <w:rFonts w:hint="eastAsia" w:ascii="Calibri" w:hAnsi="Calibri" w:eastAsia="宋体" w:cs="黑体"/>
                <w:b w:val="0"/>
                <w:bCs/>
                <w:color w:val="auto"/>
                <w:sz w:val="24"/>
                <w:szCs w:val="22"/>
                <w:lang w:val="en-US" w:eastAsia="en-US" w:bidi="ar-SA"/>
              </w:rPr>
            </w:pPr>
            <w:bookmarkStart w:id="20" w:name="_Toc14229"/>
            <w:r>
              <w:rPr>
                <w:rFonts w:hint="eastAsia" w:ascii="Calibri" w:hAnsi="Calibri" w:eastAsia="宋体" w:cs="黑体"/>
                <w:b w:val="0"/>
                <w:bCs/>
                <w:color w:val="auto"/>
                <w:sz w:val="24"/>
                <w:szCs w:val="22"/>
                <w:lang w:val="en-US" w:eastAsia="en-US" w:bidi="ar-SA"/>
              </w:rPr>
              <w:t>供应商所报总价包含此项目中</w:t>
            </w:r>
            <w:r>
              <w:rPr>
                <w:rFonts w:hint="eastAsia" w:ascii="Calibri" w:hAnsi="Calibri" w:eastAsia="宋体" w:cs="黑体"/>
                <w:b w:val="0"/>
                <w:bCs/>
                <w:color w:val="auto"/>
                <w:sz w:val="24"/>
                <w:szCs w:val="22"/>
                <w:lang w:val="en-US" w:eastAsia="zh-CN" w:bidi="ar-SA"/>
              </w:rPr>
              <w:t>所有服务内容</w:t>
            </w:r>
            <w:r>
              <w:rPr>
                <w:rFonts w:hint="eastAsia" w:ascii="Calibri" w:hAnsi="Calibri" w:eastAsia="宋体" w:cs="黑体"/>
                <w:b w:val="0"/>
                <w:bCs/>
                <w:color w:val="auto"/>
                <w:sz w:val="24"/>
                <w:szCs w:val="22"/>
                <w:lang w:val="en-US" w:eastAsia="en-US" w:bidi="ar-SA"/>
              </w:rPr>
              <w:t>、税金、等所有费用。</w:t>
            </w:r>
            <w:bookmarkEnd w:id="20"/>
          </w:p>
        </w:tc>
      </w:tr>
      <w:tr w14:paraId="606F2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5" w:hRule="atLeast"/>
        </w:trPr>
        <w:tc>
          <w:tcPr>
            <w:tcW w:w="1101" w:type="dxa"/>
            <w:noWrap w:val="0"/>
            <w:vAlign w:val="center"/>
          </w:tcPr>
          <w:p w14:paraId="090DC005">
            <w:pPr>
              <w:pStyle w:val="35"/>
              <w:spacing w:before="1"/>
              <w:ind w:left="166" w:right="158"/>
              <w:jc w:val="center"/>
              <w:rPr>
                <w:rFonts w:hint="eastAsia" w:eastAsia="宋体"/>
                <w:color w:val="auto"/>
                <w:sz w:val="24"/>
                <w:lang w:val="en-US" w:eastAsia="zh-CN"/>
              </w:rPr>
            </w:pPr>
            <w:r>
              <w:rPr>
                <w:rFonts w:hint="eastAsia"/>
                <w:color w:val="auto"/>
                <w:sz w:val="24"/>
                <w:lang w:val="en-US"/>
              </w:rPr>
              <w:t>3.</w:t>
            </w:r>
            <w:r>
              <w:rPr>
                <w:rFonts w:hint="eastAsia"/>
                <w:color w:val="auto"/>
                <w:sz w:val="24"/>
                <w:lang w:val="en-US" w:eastAsia="zh-CN"/>
              </w:rPr>
              <w:t>9</w:t>
            </w:r>
          </w:p>
        </w:tc>
        <w:tc>
          <w:tcPr>
            <w:tcW w:w="1715" w:type="dxa"/>
            <w:noWrap w:val="0"/>
            <w:vAlign w:val="center"/>
          </w:tcPr>
          <w:p w14:paraId="104D1E7E">
            <w:pPr>
              <w:wordWrap w:val="0"/>
              <w:autoSpaceDE w:val="0"/>
              <w:autoSpaceDN w:val="0"/>
              <w:adjustRightInd w:val="0"/>
              <w:spacing w:line="360" w:lineRule="auto"/>
              <w:jc w:val="center"/>
              <w:rPr>
                <w:color w:val="auto"/>
                <w:sz w:val="24"/>
              </w:rPr>
            </w:pPr>
            <w:r>
              <w:rPr>
                <w:rFonts w:hint="eastAsia" w:ascii="宋体" w:hAnsi="宋体" w:eastAsia="宋体" w:cs="宋体"/>
                <w:color w:val="auto"/>
                <w:sz w:val="24"/>
              </w:rPr>
              <w:t>磋商响应文件副本份数及其他要求</w:t>
            </w:r>
          </w:p>
        </w:tc>
        <w:tc>
          <w:tcPr>
            <w:tcW w:w="6768" w:type="dxa"/>
            <w:noWrap w:val="0"/>
            <w:vAlign w:val="center"/>
          </w:tcPr>
          <w:p w14:paraId="5B8EB92D">
            <w:pPr>
              <w:pStyle w:val="30"/>
              <w:numPr>
                <w:ilvl w:val="0"/>
                <w:numId w:val="0"/>
              </w:numPr>
              <w:outlineLvl w:val="0"/>
              <w:rPr>
                <w:rFonts w:hint="eastAsia" w:ascii="Calibri" w:hAnsi="Calibri" w:eastAsia="宋体" w:cs="黑体"/>
                <w:b w:val="0"/>
                <w:bCs/>
                <w:color w:val="auto"/>
                <w:sz w:val="24"/>
                <w:szCs w:val="22"/>
                <w:lang w:val="en-US" w:eastAsia="en-US" w:bidi="ar-SA"/>
              </w:rPr>
            </w:pPr>
            <w:bookmarkStart w:id="21" w:name="_Toc5535"/>
            <w:r>
              <w:rPr>
                <w:rFonts w:hint="eastAsia" w:ascii="Calibri" w:hAnsi="Calibri" w:eastAsia="宋体" w:cs="黑体"/>
                <w:b w:val="0"/>
                <w:bCs/>
                <w:color w:val="auto"/>
                <w:sz w:val="24"/>
                <w:szCs w:val="22"/>
                <w:lang w:val="en-US" w:eastAsia="en-US" w:bidi="ar-SA"/>
              </w:rPr>
              <w:t>1、本项目采用电子招标，根据三门峡市公共资源交易中心系统编制响应文件，供应商需用CA在电子平台上传电子响应文件；</w:t>
            </w:r>
            <w:bookmarkEnd w:id="21"/>
          </w:p>
          <w:p w14:paraId="69064C4D">
            <w:pPr>
              <w:pStyle w:val="30"/>
              <w:numPr>
                <w:ilvl w:val="0"/>
                <w:numId w:val="0"/>
              </w:numPr>
              <w:outlineLvl w:val="0"/>
              <w:rPr>
                <w:rFonts w:hint="eastAsia" w:ascii="Calibri" w:hAnsi="Calibri" w:eastAsia="宋体" w:cs="黑体"/>
                <w:b w:val="0"/>
                <w:bCs/>
                <w:color w:val="auto"/>
                <w:sz w:val="24"/>
                <w:szCs w:val="22"/>
                <w:lang w:val="en-US" w:eastAsia="en-US" w:bidi="ar-SA"/>
              </w:rPr>
            </w:pPr>
            <w:bookmarkStart w:id="22" w:name="_Toc30460"/>
            <w:r>
              <w:rPr>
                <w:rFonts w:hint="eastAsia" w:ascii="Calibri" w:hAnsi="Calibri" w:eastAsia="宋体" w:cs="黑体"/>
                <w:b w:val="0"/>
                <w:bCs/>
                <w:color w:val="auto"/>
                <w:sz w:val="24"/>
                <w:szCs w:val="22"/>
                <w:lang w:val="en-US" w:eastAsia="en-US" w:bidi="ar-SA"/>
              </w:rPr>
              <w:t>2、开标时不再递交纸质响应文件，中标单位领取成交通知书时提交</w:t>
            </w:r>
            <w:r>
              <w:rPr>
                <w:rFonts w:hint="eastAsia" w:ascii="Calibri" w:hAnsi="Calibri" w:eastAsia="宋体" w:cs="黑体"/>
                <w:b w:val="0"/>
                <w:bCs/>
                <w:color w:val="auto"/>
                <w:sz w:val="24"/>
                <w:szCs w:val="22"/>
                <w:lang w:val="en-US" w:eastAsia="zh-CN" w:bidi="ar-SA"/>
              </w:rPr>
              <w:t>贰</w:t>
            </w:r>
            <w:r>
              <w:rPr>
                <w:rFonts w:hint="eastAsia" w:ascii="Calibri" w:hAnsi="Calibri" w:eastAsia="宋体" w:cs="黑体"/>
                <w:b w:val="0"/>
                <w:bCs/>
                <w:color w:val="auto"/>
                <w:sz w:val="24"/>
                <w:szCs w:val="22"/>
                <w:lang w:val="en-US" w:eastAsia="en-US" w:bidi="ar-SA"/>
              </w:rPr>
              <w:t>份纸质响应文件，响应文件应按以下要求装订：胶装（不得采用活页装订），应有目录，并逐页标注连续页码，需加盖公章。</w:t>
            </w:r>
            <w:bookmarkEnd w:id="22"/>
          </w:p>
        </w:tc>
      </w:tr>
      <w:tr w14:paraId="6F9AD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101" w:type="dxa"/>
            <w:noWrap w:val="0"/>
            <w:vAlign w:val="center"/>
          </w:tcPr>
          <w:p w14:paraId="170B65FC">
            <w:pPr>
              <w:pStyle w:val="35"/>
              <w:spacing w:before="1"/>
              <w:ind w:left="166" w:right="158"/>
              <w:jc w:val="center"/>
              <w:rPr>
                <w:rFonts w:hint="default" w:eastAsia="宋体"/>
                <w:color w:val="auto"/>
                <w:sz w:val="24"/>
                <w:lang w:val="en-US" w:eastAsia="zh-CN"/>
              </w:rPr>
            </w:pPr>
            <w:r>
              <w:rPr>
                <w:rFonts w:hint="eastAsia"/>
                <w:color w:val="auto"/>
                <w:sz w:val="24"/>
                <w:lang w:val="en-US" w:eastAsia="zh-CN"/>
              </w:rPr>
              <w:t>4.0</w:t>
            </w:r>
          </w:p>
        </w:tc>
        <w:tc>
          <w:tcPr>
            <w:tcW w:w="1715" w:type="dxa"/>
            <w:noWrap w:val="0"/>
            <w:vAlign w:val="center"/>
          </w:tcPr>
          <w:p w14:paraId="21417D73">
            <w:pPr>
              <w:wordWrap w:val="0"/>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电子化交易</w:t>
            </w:r>
          </w:p>
          <w:p w14:paraId="668099AA">
            <w:pPr>
              <w:wordWrap w:val="0"/>
              <w:autoSpaceDE w:val="0"/>
              <w:autoSpaceDN w:val="0"/>
              <w:adjustRightInd w:val="0"/>
              <w:spacing w:line="360" w:lineRule="auto"/>
              <w:jc w:val="center"/>
              <w:rPr>
                <w:rFonts w:hint="eastAsia" w:ascii="宋体" w:hAnsi="宋体" w:eastAsia="宋体" w:cs="黑体"/>
                <w:color w:val="auto"/>
                <w:kern w:val="0"/>
                <w:sz w:val="28"/>
                <w:szCs w:val="28"/>
                <w:lang w:val="zh-CN" w:eastAsia="zh-CN" w:bidi="zh-CN"/>
              </w:rPr>
            </w:pPr>
            <w:r>
              <w:rPr>
                <w:rFonts w:hint="eastAsia" w:ascii="宋体" w:hAnsi="宋体" w:cs="宋体"/>
                <w:color w:val="auto"/>
                <w:sz w:val="24"/>
                <w:szCs w:val="24"/>
              </w:rPr>
              <w:t>注意事项</w:t>
            </w:r>
          </w:p>
        </w:tc>
        <w:tc>
          <w:tcPr>
            <w:tcW w:w="6768" w:type="dxa"/>
            <w:noWrap w:val="0"/>
            <w:vAlign w:val="center"/>
          </w:tcPr>
          <w:p w14:paraId="4FA351A6">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具体要求：本项目为电子化、无纸化交易项目，响应文件是响应人、响应人（以下简称“响应人”）通过中心响应文件制作系统制作，并经过签章和加密后生成的电子版响应文件。</w:t>
            </w:r>
          </w:p>
          <w:p w14:paraId="28E06D1F">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温馨提示：本项目为电子化、无纸化交易项目，为保证您能投标成功，请需仔细阅读以下条款。</w:t>
            </w:r>
          </w:p>
          <w:p w14:paraId="7009775F">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一、电子化投标</w:t>
            </w:r>
          </w:p>
          <w:p w14:paraId="2661F697">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（一）电子化响应文件的签章</w:t>
            </w:r>
          </w:p>
          <w:p w14:paraId="2397ADE4">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1、响应人在生成电子化响应文件后，应对电子化响应文件进行签章，未进行签章的视为无效投标。</w:t>
            </w:r>
          </w:p>
          <w:p w14:paraId="03AB4933">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2、</w:t>
            </w:r>
            <w:r>
              <w:rPr>
                <w:rFonts w:hint="eastAsia" w:cs="宋体"/>
                <w:color w:val="auto"/>
                <w:sz w:val="24"/>
                <w:szCs w:val="24"/>
                <w:lang w:eastAsia="zh-CN"/>
              </w:rPr>
              <w:t>磋商</w:t>
            </w:r>
            <w:r>
              <w:rPr>
                <w:rFonts w:hint="eastAsia" w:ascii="宋体" w:hAnsi="宋体" w:cs="宋体"/>
                <w:color w:val="auto"/>
                <w:sz w:val="24"/>
                <w:szCs w:val="24"/>
              </w:rPr>
              <w:t>文件中要求法定代表人或授权委托人签字或盖章的，响应人在进行电子化响应文件签章时，以签盖法定代表人签章为准。</w:t>
            </w:r>
          </w:p>
          <w:p w14:paraId="7BA51AB6">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（二）电子化响应文件的格式及上传响应文件</w:t>
            </w:r>
          </w:p>
          <w:p w14:paraId="53B8E7CE">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1、响应人所上传的电子化响应文件，应是通过中心响应文件制作系统制作的，经过签章和加密后生成的电子版响应文件。其中包含用于响应文件上传的主文件（后缀为.smxtf）和用于应急补救的响应文件备份文件（后缀为.nsmxtf）。备份文件主要用于电子化开标出现技术问题后的补救，请响应人随身携带。</w:t>
            </w:r>
          </w:p>
          <w:p w14:paraId="4E765A51">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注：响应人投报多个标段的，需要每个标段单独制作电子响应文件。</w:t>
            </w:r>
          </w:p>
          <w:p w14:paraId="544CAC82">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2、电子化响应文件应在投标截止时间前成功上传至三门峡市公共资源电子化交易系统。至投标截止时间止，仍未上传成功的电子化响应文件将不予接收。</w:t>
            </w:r>
          </w:p>
          <w:p w14:paraId="60715947">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注：如按照电子化投标操作教材制作完成的电子化响应文件无法上传的，响应人应在投标截止时间前尽早的联系中心技术人员，以便有充分的时间进行处理。响应人应充分考虑到处理技术问题和上传数据等工作所需的时间问题，响应文件未在投标截止时间前成功上传的，其响应文件不予接收。</w:t>
            </w:r>
          </w:p>
          <w:p w14:paraId="42D0E019">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技术联系电话：400-998-0000</w:t>
            </w:r>
          </w:p>
          <w:p w14:paraId="564B9358">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（三）电子化项目开标、解密、唱标、评标</w:t>
            </w:r>
          </w:p>
          <w:p w14:paraId="40AC09D3">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1、本项目采用电子化、无纸化进行招标，开标当日，响应人无需到开标现场参加开标会议，响应人应当在投标截止时间前，登陆不见面开标大厅选择登陆三门峡市公共资源电子招投标系统进行登陆,在线准时参加开标活动并进行响应文件解密等</w:t>
            </w:r>
          </w:p>
          <w:p w14:paraId="5FAE2C15">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2、电子化响应文件采用一次加密方式。开标时，由响应人使用CA 证书，在规定时间内对其电子化响应文件进行解密。每位响应人的解密时间为开标时间起30 分钟内，如在规定时间内未完成解密的，其响应文件不予开标、唱标。</w:t>
            </w:r>
          </w:p>
          <w:p w14:paraId="1FBD9401">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3、电子化响应文件解密异常的处理</w:t>
            </w:r>
          </w:p>
          <w:p w14:paraId="5D86E880">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如出现响应人的电子响应文件无法解密等异常情况，响应人应及时致电中介服务机构说明。响应文件异常，按以下步骤进行处理：</w:t>
            </w:r>
          </w:p>
          <w:p w14:paraId="678C6157">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（1）首先由技术人员进行问题排查。</w:t>
            </w:r>
          </w:p>
          <w:p w14:paraId="4BB3FDD8">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（2）经技术人员排查后，是响应人文件自身问题导致响应文件无法解密的，该响应文件将不予接收、解密和唱标。开标会议继续进行。</w:t>
            </w:r>
          </w:p>
          <w:p w14:paraId="22F6E9A4">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48BCB9D0">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4、待所有响应人响应文件解密完成后，由中介服务机构操作，对所有已解密响应文件进行唱标。</w:t>
            </w:r>
          </w:p>
          <w:p w14:paraId="77B69997">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响应人应保证在开标期间电话、电脑、网络能够正常工作，响应人因停电、电脑病毒、网络堵塞等原因，未在规定的解密时间内对响应文件进行解密的，其响应文件不予接收、唱标。</w:t>
            </w:r>
          </w:p>
          <w:p w14:paraId="1D4E77A5">
            <w:pPr>
              <w:autoSpaceDE w:val="0"/>
              <w:autoSpaceDN w:val="0"/>
              <w:adjustRightInd w:val="0"/>
              <w:spacing w:line="360" w:lineRule="auto"/>
              <w:jc w:val="left"/>
              <w:rPr>
                <w:rFonts w:hint="eastAsia" w:ascii="宋体" w:hAnsi="宋体" w:cs="宋体"/>
                <w:color w:val="auto"/>
                <w:sz w:val="24"/>
                <w:szCs w:val="24"/>
              </w:rPr>
            </w:pPr>
            <w:r>
              <w:rPr>
                <w:rFonts w:hint="eastAsia" w:ascii="宋体" w:hAnsi="宋体" w:cs="宋体"/>
                <w:color w:val="auto"/>
                <w:sz w:val="24"/>
                <w:szCs w:val="24"/>
              </w:rPr>
              <w:t>5、开标时响应人可登录到交易系统中在开标解密栏中点击报价一览表查看自己的投标报价。如对自己的唱标内容有异议的，应在供应商解密成功后10分钟内向中服务机构通过开标大厅对话框提出质疑。中介服务机构应在监督人员的监督下接受</w:t>
            </w:r>
            <w:r>
              <w:rPr>
                <w:rFonts w:hint="eastAsia" w:ascii="宋体" w:hAnsi="宋体" w:cs="宋体"/>
                <w:color w:val="auto"/>
                <w:sz w:val="24"/>
                <w:szCs w:val="24"/>
                <w:lang w:val="en-US" w:eastAsia="zh-CN"/>
              </w:rPr>
              <w:t>供应商</w:t>
            </w:r>
            <w:r>
              <w:rPr>
                <w:rFonts w:hint="eastAsia" w:ascii="宋体" w:hAnsi="宋体" w:cs="宋体"/>
                <w:color w:val="auto"/>
                <w:sz w:val="24"/>
                <w:szCs w:val="24"/>
              </w:rPr>
              <w:t>的质疑通过开标大厅对话框</w:t>
            </w:r>
            <w:r>
              <w:rPr>
                <w:rFonts w:hint="eastAsia" w:ascii="宋体" w:hAnsi="宋体" w:cs="宋体"/>
                <w:color w:val="auto"/>
                <w:sz w:val="24"/>
                <w:szCs w:val="24"/>
                <w:lang w:val="en-US" w:eastAsia="zh-CN"/>
              </w:rPr>
              <w:t>进行答复</w:t>
            </w:r>
            <w:r>
              <w:rPr>
                <w:rFonts w:hint="eastAsia" w:ascii="宋体" w:hAnsi="宋体" w:cs="宋体"/>
                <w:color w:val="auto"/>
                <w:sz w:val="24"/>
                <w:szCs w:val="24"/>
              </w:rPr>
              <w:t>并做好书面记录。</w:t>
            </w:r>
            <w:r>
              <w:rPr>
                <w:rFonts w:hint="eastAsia" w:ascii="宋体" w:hAnsi="宋体" w:cs="宋体"/>
                <w:color w:val="auto"/>
                <w:sz w:val="24"/>
                <w:szCs w:val="24"/>
                <w:lang w:val="en-US" w:eastAsia="zh-CN"/>
              </w:rPr>
              <w:t>供应商</w:t>
            </w:r>
            <w:r>
              <w:rPr>
                <w:rFonts w:hint="eastAsia" w:ascii="宋体" w:hAnsi="宋体" w:cs="宋体"/>
                <w:color w:val="auto"/>
                <w:sz w:val="24"/>
                <w:szCs w:val="24"/>
              </w:rPr>
              <w:t>未在规定时间内提出质疑的，视为认可唱标内容。</w:t>
            </w:r>
          </w:p>
          <w:p w14:paraId="48D78FBE">
            <w:pPr>
              <w:autoSpaceDE w:val="0"/>
              <w:autoSpaceDN w:val="0"/>
              <w:adjustRightInd w:val="0"/>
              <w:spacing w:line="360" w:lineRule="auto"/>
              <w:jc w:val="left"/>
              <w:rPr>
                <w:rFonts w:hint="eastAsia" w:ascii="宋体" w:hAnsi="宋体" w:cs="宋体"/>
                <w:color w:val="auto"/>
                <w:sz w:val="24"/>
                <w:szCs w:val="24"/>
              </w:rPr>
            </w:pPr>
            <w:r>
              <w:rPr>
                <w:rFonts w:hint="eastAsia" w:ascii="宋体" w:hAnsi="宋体" w:cs="宋体"/>
                <w:color w:val="auto"/>
                <w:sz w:val="24"/>
                <w:szCs w:val="24"/>
              </w:rPr>
              <w:t>6、评标时，评标委员会对电子化投标文件有质疑的，将通过电子化交易系统</w:t>
            </w:r>
            <w:r>
              <w:rPr>
                <w:rFonts w:hint="eastAsia" w:ascii="宋体" w:hAnsi="宋体" w:cs="宋体"/>
                <w:color w:val="auto"/>
                <w:sz w:val="24"/>
                <w:szCs w:val="24"/>
                <w:lang w:val="en-US" w:eastAsia="zh-CN"/>
              </w:rPr>
              <w:t>向供应商</w:t>
            </w:r>
            <w:r>
              <w:rPr>
                <w:rFonts w:hint="eastAsia" w:ascii="宋体" w:hAnsi="宋体" w:cs="宋体"/>
                <w:color w:val="auto"/>
                <w:sz w:val="24"/>
                <w:szCs w:val="24"/>
              </w:rPr>
              <w:t>发起质疑。</w:t>
            </w:r>
            <w:r>
              <w:rPr>
                <w:rFonts w:hint="eastAsia" w:ascii="宋体" w:hAnsi="宋体" w:cs="宋体"/>
                <w:color w:val="auto"/>
                <w:sz w:val="24"/>
                <w:szCs w:val="24"/>
                <w:lang w:val="en-US" w:eastAsia="zh-CN"/>
              </w:rPr>
              <w:t>供应商</w:t>
            </w:r>
            <w:r>
              <w:rPr>
                <w:rFonts w:hint="eastAsia" w:ascii="宋体" w:hAnsi="宋体" w:cs="宋体"/>
                <w:color w:val="auto"/>
                <w:sz w:val="24"/>
                <w:szCs w:val="24"/>
              </w:rPr>
              <w:t>的回复文件必须以经过</w:t>
            </w:r>
            <w:r>
              <w:rPr>
                <w:rFonts w:hint="eastAsia" w:ascii="宋体" w:hAnsi="宋体" w:cs="宋体"/>
                <w:color w:val="auto"/>
                <w:sz w:val="24"/>
                <w:szCs w:val="24"/>
                <w:lang w:val="en-US" w:eastAsia="zh-CN"/>
              </w:rPr>
              <w:t>供应商</w:t>
            </w:r>
            <w:r>
              <w:rPr>
                <w:rFonts w:hint="eastAsia" w:ascii="宋体" w:hAnsi="宋体" w:cs="宋体"/>
                <w:color w:val="auto"/>
                <w:sz w:val="24"/>
                <w:szCs w:val="24"/>
              </w:rPr>
              <w:t>和其法定代表人签章的PDF式文件为准，并通过电子化交易系统提交至评标委员会。</w:t>
            </w:r>
          </w:p>
          <w:p w14:paraId="6A56DFA8">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en-US" w:eastAsia="zh-CN"/>
              </w:rPr>
              <w:t>如</w:t>
            </w:r>
            <w:r>
              <w:rPr>
                <w:rFonts w:hint="eastAsia" w:ascii="宋体" w:hAnsi="宋体" w:cs="宋体"/>
                <w:color w:val="auto"/>
                <w:sz w:val="24"/>
                <w:szCs w:val="24"/>
              </w:rPr>
              <w:t>评标委员会对需要回复的</w:t>
            </w:r>
            <w:r>
              <w:rPr>
                <w:rFonts w:hint="eastAsia" w:ascii="宋体" w:hAnsi="宋体" w:cs="宋体"/>
                <w:color w:val="auto"/>
                <w:sz w:val="24"/>
                <w:szCs w:val="24"/>
                <w:lang w:val="en-US" w:eastAsia="zh-CN"/>
              </w:rPr>
              <w:t>供应商</w:t>
            </w:r>
            <w:r>
              <w:rPr>
                <w:rFonts w:hint="eastAsia" w:ascii="宋体" w:hAnsi="宋体" w:cs="宋体"/>
                <w:color w:val="auto"/>
                <w:sz w:val="24"/>
                <w:szCs w:val="24"/>
              </w:rPr>
              <w:t>在规定时间内</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30分钟内</w:t>
            </w:r>
            <w:r>
              <w:rPr>
                <w:rFonts w:hint="eastAsia" w:ascii="宋体" w:hAnsi="宋体" w:cs="宋体"/>
                <w:color w:val="auto"/>
                <w:sz w:val="24"/>
                <w:szCs w:val="24"/>
                <w:lang w:eastAsia="zh-CN"/>
              </w:rPr>
              <w:t>）</w:t>
            </w:r>
            <w:r>
              <w:rPr>
                <w:rFonts w:hint="eastAsia" w:ascii="宋体" w:hAnsi="宋体" w:cs="宋体"/>
                <w:color w:val="auto"/>
                <w:sz w:val="24"/>
                <w:szCs w:val="24"/>
              </w:rPr>
              <w:t>通过电子化交易系统未收到回复的，视为投标人放弃回复，评标委员会将自行对需要回复的内容进行认定。</w:t>
            </w:r>
          </w:p>
          <w:p w14:paraId="715A962D">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二、相关证书原件的提交</w:t>
            </w:r>
          </w:p>
          <w:p w14:paraId="7E60B4CB">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本项目实行资格后审，投标文件中要求响应人提交资质、业绩、荣誉及单位人员等相关资料原件的，响应人需将原件扫描件制作到电子投标文件中。</w:t>
            </w:r>
          </w:p>
          <w:p w14:paraId="1819E80F">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（1）资格评（预）审部分：资格评（预）以投标文件为准，其上传资料真实性由响应人自行承担，同时，响应人要完善主体库。</w:t>
            </w:r>
          </w:p>
          <w:p w14:paraId="2A01F2B6">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（2）评标打分部分：评标打分部分仍按照100分制原则进行，涉及到资格审查、企业荣誉、人员业绩、企业业绩等计分部分时，以投标单位自行上传到投标文件中的相应内容为准。</w:t>
            </w:r>
          </w:p>
          <w:p w14:paraId="5EB14EDC">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3）投标文件编制部分：在招标文件中要求响应人按照投标文件格式进行投标文件编制，在投标文件编制时，应明确将投标单位企业基本情况、资质情况、人员情况、财务情况、业绩情况编入投标文件，便于进行资格审查及评标打分。</w:t>
            </w:r>
          </w:p>
          <w:p w14:paraId="49EBEADB">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（4）响应人需应仔细阅读操作手册；响应人对投标文件信息的真实性、有效性、清晰可辩性负责。</w:t>
            </w:r>
          </w:p>
          <w:p w14:paraId="4DE5B057">
            <w:pPr>
              <w:autoSpaceDE w:val="0"/>
              <w:autoSpaceDN w:val="0"/>
              <w:adjustRightInd w:val="0"/>
              <w:spacing w:line="360" w:lineRule="auto"/>
              <w:jc w:val="left"/>
              <w:rPr>
                <w:rFonts w:hint="eastAsia" w:ascii="宋体" w:hAnsi="宋体" w:eastAsia="宋体" w:cs="宋体"/>
                <w:color w:val="auto"/>
                <w:sz w:val="28"/>
                <w:szCs w:val="28"/>
                <w:lang w:val="en-US" w:eastAsia="zh-CN" w:bidi="zh-CN"/>
              </w:rPr>
            </w:pPr>
            <w:r>
              <w:rPr>
                <w:rFonts w:hint="eastAsia" w:ascii="宋体" w:hAnsi="宋体" w:cs="宋体"/>
                <w:color w:val="auto"/>
                <w:sz w:val="24"/>
                <w:szCs w:val="24"/>
              </w:rPr>
              <w:t>提示：本项目为电子化、无纸化交易项目，响应人时不再接受任何纸质资料，为保证您能投标成功，请需仔细阅读以上条款。</w:t>
            </w:r>
          </w:p>
        </w:tc>
      </w:tr>
    </w:tbl>
    <w:p w14:paraId="1D6AFFD1">
      <w:pPr>
        <w:pStyle w:val="5"/>
        <w:spacing w:before="66"/>
        <w:ind w:left="0" w:right="105"/>
        <w:jc w:val="both"/>
        <w:outlineLvl w:val="9"/>
        <w:rPr>
          <w:color w:val="auto"/>
        </w:rPr>
        <w:sectPr>
          <w:footerReference r:id="rId5" w:type="default"/>
          <w:pgSz w:w="11910" w:h="16840"/>
          <w:pgMar w:top="1340" w:right="1020" w:bottom="1200" w:left="1040" w:header="0" w:footer="640" w:gutter="0"/>
          <w:pgNumType w:fmt="decimal" w:start="1"/>
          <w:cols w:space="720" w:num="1"/>
        </w:sectPr>
      </w:pPr>
    </w:p>
    <w:p w14:paraId="68C15724">
      <w:pPr>
        <w:pStyle w:val="5"/>
        <w:spacing w:before="244"/>
        <w:ind w:left="320"/>
        <w:jc w:val="center"/>
        <w:rPr>
          <w:color w:val="auto"/>
        </w:rPr>
      </w:pPr>
      <w:r>
        <w:rPr>
          <w:color w:val="auto"/>
        </w:rPr>
        <w:t>供应商须知</w:t>
      </w:r>
    </w:p>
    <w:p w14:paraId="63D06C78">
      <w:pPr>
        <w:pStyle w:val="30"/>
        <w:spacing w:line="360" w:lineRule="auto"/>
        <w:ind w:left="0" w:firstLine="482" w:firstLineChars="200"/>
        <w:outlineLvl w:val="0"/>
        <w:rPr>
          <w:rFonts w:ascii="宋体" w:hAnsi="宋体"/>
          <w:b/>
          <w:bCs/>
          <w:color w:val="auto"/>
          <w:sz w:val="24"/>
          <w:szCs w:val="24"/>
        </w:rPr>
      </w:pPr>
      <w:bookmarkStart w:id="23" w:name="_Toc487498474"/>
      <w:bookmarkStart w:id="24" w:name="_Toc21223"/>
      <w:bookmarkStart w:id="25" w:name="_Toc20123_WPSOffice_Level2"/>
      <w:bookmarkStart w:id="26" w:name="_Toc455080108"/>
      <w:bookmarkStart w:id="27" w:name="_Toc488504474"/>
      <w:bookmarkStart w:id="28" w:name="_Toc7628"/>
      <w:bookmarkStart w:id="29" w:name="_Toc22449"/>
      <w:r>
        <w:rPr>
          <w:rFonts w:hint="eastAsia" w:ascii="宋体" w:hAnsi="宋体"/>
          <w:b/>
          <w:bCs/>
          <w:color w:val="auto"/>
          <w:sz w:val="24"/>
          <w:szCs w:val="24"/>
        </w:rPr>
        <w:t>1. 总则</w:t>
      </w:r>
      <w:bookmarkEnd w:id="23"/>
      <w:bookmarkEnd w:id="24"/>
      <w:bookmarkEnd w:id="25"/>
      <w:bookmarkEnd w:id="26"/>
      <w:bookmarkEnd w:id="27"/>
      <w:bookmarkEnd w:id="28"/>
      <w:bookmarkEnd w:id="29"/>
    </w:p>
    <w:p w14:paraId="0149CECD">
      <w:pPr>
        <w:ind w:firstLine="480" w:firstLineChars="200"/>
        <w:rPr>
          <w:color w:val="auto"/>
          <w:sz w:val="24"/>
        </w:rPr>
      </w:pPr>
      <w:bookmarkStart w:id="30" w:name="_Toc463701031"/>
      <w:bookmarkStart w:id="31" w:name="_Toc274409866"/>
      <w:bookmarkStart w:id="32" w:name="_Toc455080109"/>
      <w:bookmarkStart w:id="33" w:name="_Toc464035510"/>
      <w:bookmarkStart w:id="34" w:name="_Toc318450675"/>
      <w:bookmarkStart w:id="35" w:name="_Toc29023"/>
      <w:bookmarkStart w:id="36" w:name="_Toc1172"/>
      <w:bookmarkStart w:id="37" w:name="_Toc15709"/>
      <w:bookmarkStart w:id="38" w:name="_Toc21496_WPSOffice_Level3"/>
      <w:bookmarkStart w:id="39" w:name="_Toc31404"/>
      <w:bookmarkStart w:id="40" w:name="_Toc10273"/>
      <w:bookmarkStart w:id="41" w:name="_Toc21458"/>
      <w:bookmarkStart w:id="42" w:name="_Toc281380952"/>
      <w:bookmarkStart w:id="43" w:name="_Toc144974499"/>
      <w:bookmarkStart w:id="44" w:name="_Toc152042307"/>
      <w:bookmarkStart w:id="45" w:name="_Toc152045531"/>
      <w:r>
        <w:rPr>
          <w:rFonts w:hint="eastAsia"/>
          <w:color w:val="auto"/>
          <w:sz w:val="24"/>
        </w:rPr>
        <w:t>1.1 适用范围</w:t>
      </w:r>
      <w:bookmarkEnd w:id="30"/>
      <w:bookmarkEnd w:id="31"/>
      <w:bookmarkEnd w:id="32"/>
      <w:bookmarkEnd w:id="33"/>
      <w:bookmarkEnd w:id="34"/>
      <w:bookmarkEnd w:id="35"/>
      <w:bookmarkEnd w:id="36"/>
      <w:bookmarkEnd w:id="37"/>
      <w:bookmarkEnd w:id="38"/>
      <w:bookmarkEnd w:id="39"/>
      <w:bookmarkEnd w:id="40"/>
      <w:bookmarkEnd w:id="41"/>
      <w:bookmarkEnd w:id="42"/>
    </w:p>
    <w:p w14:paraId="6477468D">
      <w:pPr>
        <w:spacing w:line="360" w:lineRule="auto"/>
        <w:ind w:firstLine="480" w:firstLineChars="200"/>
        <w:rPr>
          <w:color w:val="auto"/>
          <w:sz w:val="24"/>
        </w:rPr>
      </w:pPr>
      <w:r>
        <w:rPr>
          <w:rFonts w:hint="eastAsia"/>
          <w:color w:val="auto"/>
          <w:sz w:val="24"/>
        </w:rPr>
        <w:t>1.1.1根据《中华人民共和国政府采购法》等有关法律、法规和规章的规定，编制本项目磋商文件。</w:t>
      </w:r>
    </w:p>
    <w:p w14:paraId="42DC3BA0">
      <w:pPr>
        <w:ind w:firstLine="480" w:firstLineChars="200"/>
        <w:rPr>
          <w:color w:val="auto"/>
          <w:sz w:val="24"/>
        </w:rPr>
      </w:pPr>
      <w:bookmarkStart w:id="46" w:name="_Toc455080110"/>
      <w:bookmarkStart w:id="47" w:name="_Toc2929"/>
      <w:bookmarkStart w:id="48" w:name="_Toc464035511"/>
      <w:bookmarkStart w:id="49" w:name="_Toc281405468"/>
      <w:bookmarkStart w:id="50" w:name="_Toc710"/>
      <w:bookmarkStart w:id="51" w:name="_Toc318450676"/>
      <w:bookmarkStart w:id="52" w:name="_Toc25399_WPSOffice_Level3"/>
      <w:bookmarkStart w:id="53" w:name="_Toc274409867"/>
      <w:bookmarkStart w:id="54" w:name="_Toc30891"/>
      <w:bookmarkStart w:id="55" w:name="_Toc3336"/>
      <w:bookmarkStart w:id="56" w:name="_Toc25773"/>
      <w:bookmarkStart w:id="57" w:name="_Toc32619"/>
      <w:bookmarkStart w:id="58" w:name="_Toc463701032"/>
      <w:r>
        <w:rPr>
          <w:rFonts w:hint="eastAsia"/>
          <w:color w:val="auto"/>
          <w:sz w:val="24"/>
        </w:rPr>
        <w:t>1.2 采购项目说明</w:t>
      </w:r>
      <w:bookmarkEnd w:id="46"/>
      <w:bookmarkEnd w:id="47"/>
      <w:bookmarkEnd w:id="48"/>
      <w:bookmarkEnd w:id="49"/>
      <w:bookmarkEnd w:id="50"/>
      <w:bookmarkEnd w:id="51"/>
      <w:bookmarkEnd w:id="52"/>
      <w:bookmarkEnd w:id="53"/>
      <w:bookmarkEnd w:id="54"/>
      <w:bookmarkEnd w:id="55"/>
      <w:bookmarkEnd w:id="56"/>
      <w:bookmarkEnd w:id="57"/>
      <w:bookmarkEnd w:id="58"/>
    </w:p>
    <w:p w14:paraId="731D88C3">
      <w:pPr>
        <w:spacing w:line="360" w:lineRule="auto"/>
        <w:ind w:firstLine="480" w:firstLineChars="200"/>
        <w:rPr>
          <w:color w:val="auto"/>
          <w:sz w:val="24"/>
        </w:rPr>
      </w:pPr>
      <w:r>
        <w:rPr>
          <w:rFonts w:hint="eastAsia"/>
          <w:color w:val="auto"/>
          <w:sz w:val="24"/>
        </w:rPr>
        <w:t>1.2.1 本项目采购人：见供应商须知前附表。</w:t>
      </w:r>
    </w:p>
    <w:p w14:paraId="00EBE6D1">
      <w:pPr>
        <w:spacing w:line="360" w:lineRule="auto"/>
        <w:ind w:firstLine="480" w:firstLineChars="200"/>
        <w:rPr>
          <w:color w:val="auto"/>
          <w:sz w:val="24"/>
        </w:rPr>
      </w:pPr>
      <w:r>
        <w:rPr>
          <w:rFonts w:hint="eastAsia"/>
          <w:color w:val="auto"/>
          <w:sz w:val="24"/>
        </w:rPr>
        <w:t>1.2.2 本项目采购代理机构：见供应商须知前附表。</w:t>
      </w:r>
    </w:p>
    <w:p w14:paraId="58613697">
      <w:pPr>
        <w:spacing w:line="360" w:lineRule="auto"/>
        <w:ind w:firstLine="480" w:firstLineChars="200"/>
        <w:rPr>
          <w:color w:val="auto"/>
          <w:sz w:val="24"/>
        </w:rPr>
      </w:pPr>
      <w:r>
        <w:rPr>
          <w:rFonts w:hint="eastAsia"/>
          <w:color w:val="auto"/>
          <w:sz w:val="24"/>
        </w:rPr>
        <w:t>1.2.3 本项目名称：见供应商须知前附表。</w:t>
      </w:r>
    </w:p>
    <w:p w14:paraId="62000EB4">
      <w:pPr>
        <w:ind w:firstLine="480" w:firstLineChars="200"/>
        <w:rPr>
          <w:color w:val="auto"/>
          <w:sz w:val="24"/>
        </w:rPr>
      </w:pPr>
      <w:bookmarkStart w:id="59" w:name="_Toc17016"/>
      <w:bookmarkStart w:id="60" w:name="_Toc274409868"/>
      <w:bookmarkStart w:id="61" w:name="_Toc16931"/>
      <w:bookmarkStart w:id="62" w:name="_Toc281405469"/>
      <w:bookmarkStart w:id="63" w:name="_Toc31122_WPSOffice_Level3"/>
      <w:bookmarkStart w:id="64" w:name="_Toc4952"/>
      <w:bookmarkStart w:id="65" w:name="_Toc3477"/>
      <w:bookmarkStart w:id="66" w:name="_Toc318450677"/>
      <w:bookmarkStart w:id="67" w:name="_Toc463701033"/>
      <w:bookmarkStart w:id="68" w:name="_Toc18960"/>
      <w:bookmarkStart w:id="69" w:name="_Toc455080111"/>
      <w:bookmarkStart w:id="70" w:name="_Toc1373"/>
      <w:bookmarkStart w:id="71" w:name="_Toc464035512"/>
      <w:r>
        <w:rPr>
          <w:rFonts w:hint="eastAsia"/>
          <w:color w:val="auto"/>
          <w:sz w:val="24"/>
        </w:rPr>
        <w:t>1.3 定义及解释</w:t>
      </w:r>
      <w:bookmarkEnd w:id="59"/>
      <w:bookmarkEnd w:id="60"/>
      <w:bookmarkEnd w:id="61"/>
      <w:bookmarkEnd w:id="62"/>
      <w:bookmarkEnd w:id="63"/>
      <w:bookmarkEnd w:id="64"/>
      <w:bookmarkEnd w:id="65"/>
      <w:bookmarkEnd w:id="66"/>
      <w:bookmarkEnd w:id="67"/>
      <w:bookmarkEnd w:id="68"/>
      <w:bookmarkEnd w:id="69"/>
      <w:bookmarkEnd w:id="70"/>
      <w:bookmarkEnd w:id="71"/>
    </w:p>
    <w:p w14:paraId="7B7EC4A5">
      <w:pPr>
        <w:spacing w:line="360" w:lineRule="auto"/>
        <w:ind w:firstLine="480" w:firstLineChars="200"/>
        <w:rPr>
          <w:color w:val="auto"/>
          <w:sz w:val="24"/>
        </w:rPr>
      </w:pPr>
      <w:r>
        <w:rPr>
          <w:rFonts w:hint="eastAsia"/>
          <w:color w:val="auto"/>
          <w:sz w:val="24"/>
        </w:rPr>
        <w:t>1.3.1采购人：依法进行政府采购的国家机关、事业单位、团体组织。</w:t>
      </w:r>
    </w:p>
    <w:p w14:paraId="3071946A">
      <w:pPr>
        <w:spacing w:line="360" w:lineRule="auto"/>
        <w:ind w:firstLine="480" w:firstLineChars="200"/>
        <w:rPr>
          <w:color w:val="auto"/>
          <w:sz w:val="24"/>
        </w:rPr>
      </w:pPr>
      <w:r>
        <w:rPr>
          <w:rFonts w:hint="eastAsia"/>
          <w:color w:val="auto"/>
          <w:sz w:val="24"/>
        </w:rPr>
        <w:t>1.3.2采购代理机构：取得政府采购招标代理资质，受采购人委托组织招标活动的社会中介组织。</w:t>
      </w:r>
    </w:p>
    <w:p w14:paraId="059B7D10">
      <w:pPr>
        <w:spacing w:line="360" w:lineRule="auto"/>
        <w:ind w:firstLine="480" w:firstLineChars="200"/>
        <w:rPr>
          <w:color w:val="auto"/>
          <w:sz w:val="24"/>
        </w:rPr>
      </w:pPr>
      <w:r>
        <w:rPr>
          <w:rFonts w:hint="eastAsia"/>
          <w:color w:val="auto"/>
          <w:sz w:val="24"/>
        </w:rPr>
        <w:t>1.3.3服务：系指根据本磋商文件规定供应商须承担的方案编制以及其他类似的义务等。</w:t>
      </w:r>
    </w:p>
    <w:p w14:paraId="1289EC2A">
      <w:pPr>
        <w:spacing w:line="360" w:lineRule="auto"/>
        <w:ind w:firstLine="480" w:firstLineChars="200"/>
        <w:rPr>
          <w:color w:val="auto"/>
          <w:sz w:val="24"/>
        </w:rPr>
      </w:pPr>
      <w:r>
        <w:rPr>
          <w:rFonts w:hint="eastAsia"/>
          <w:color w:val="auto"/>
          <w:sz w:val="24"/>
        </w:rPr>
        <w:t>1.3.4供应商：供应商是响应磋商文件、参加磋商竞争的中华人民共和国境内的法人、其它组织。</w:t>
      </w:r>
    </w:p>
    <w:p w14:paraId="563DE257">
      <w:pPr>
        <w:spacing w:line="360" w:lineRule="auto"/>
        <w:ind w:firstLine="480" w:firstLineChars="200"/>
        <w:rPr>
          <w:color w:val="auto"/>
          <w:sz w:val="24"/>
        </w:rPr>
      </w:pPr>
      <w:r>
        <w:rPr>
          <w:rFonts w:hint="eastAsia"/>
          <w:color w:val="auto"/>
          <w:sz w:val="24"/>
        </w:rPr>
        <w:t>1.3.5响应文件：指供应商根据磋商文件提交的所有文件。</w:t>
      </w:r>
    </w:p>
    <w:p w14:paraId="24729B39">
      <w:pPr>
        <w:spacing w:line="360" w:lineRule="auto"/>
        <w:ind w:firstLine="480" w:firstLineChars="200"/>
        <w:rPr>
          <w:color w:val="auto"/>
          <w:sz w:val="24"/>
        </w:rPr>
      </w:pPr>
      <w:r>
        <w:rPr>
          <w:rFonts w:hint="eastAsia"/>
          <w:color w:val="auto"/>
          <w:sz w:val="24"/>
        </w:rPr>
        <w:t>1.3.6磋商小组：依据</w:t>
      </w:r>
      <w:r>
        <w:rPr>
          <w:rFonts w:hint="eastAsia"/>
          <w:color w:val="auto"/>
          <w:sz w:val="24"/>
          <w:lang w:bidi="en-US"/>
        </w:rPr>
        <w:t>《中华人民共和国政府采购法》及有关法律、法规的规定依法组建的专门负责本次评标工作的临时机构</w:t>
      </w:r>
      <w:r>
        <w:rPr>
          <w:rFonts w:hint="eastAsia"/>
          <w:color w:val="auto"/>
          <w:sz w:val="24"/>
        </w:rPr>
        <w:t>。</w:t>
      </w:r>
    </w:p>
    <w:p w14:paraId="3AA1FCCC">
      <w:pPr>
        <w:spacing w:line="360" w:lineRule="auto"/>
        <w:ind w:firstLine="480" w:firstLineChars="200"/>
        <w:rPr>
          <w:color w:val="auto"/>
          <w:sz w:val="24"/>
        </w:rPr>
      </w:pPr>
      <w:r>
        <w:rPr>
          <w:rFonts w:hint="eastAsia"/>
          <w:color w:val="auto"/>
          <w:sz w:val="24"/>
        </w:rPr>
        <w:t>1.3.7偏离：响应文件的响应相对于磋商文件要求的偏差，该偏差优于磋商文件要求的为正偏离；劣于的，为负偏离。</w:t>
      </w:r>
    </w:p>
    <w:p w14:paraId="3B96FC66">
      <w:pPr>
        <w:spacing w:line="360" w:lineRule="auto"/>
        <w:ind w:firstLine="480" w:firstLineChars="200"/>
        <w:rPr>
          <w:color w:val="auto"/>
          <w:sz w:val="24"/>
        </w:rPr>
      </w:pPr>
      <w:r>
        <w:rPr>
          <w:rFonts w:hint="eastAsia"/>
          <w:color w:val="auto"/>
          <w:sz w:val="24"/>
        </w:rPr>
        <w:t>1.3.8“日期”或“天”：指日历天。</w:t>
      </w:r>
    </w:p>
    <w:p w14:paraId="55851EF0">
      <w:pPr>
        <w:spacing w:line="360" w:lineRule="auto"/>
        <w:ind w:firstLine="480" w:firstLineChars="200"/>
        <w:rPr>
          <w:color w:val="auto"/>
          <w:sz w:val="24"/>
        </w:rPr>
      </w:pPr>
      <w:r>
        <w:rPr>
          <w:rFonts w:hint="eastAsia"/>
          <w:color w:val="auto"/>
          <w:sz w:val="24"/>
        </w:rPr>
        <w:t>1.3.9合同：指依据本次采购招标结果签订的协议或合约文件。</w:t>
      </w:r>
    </w:p>
    <w:p w14:paraId="3EFE6826">
      <w:pPr>
        <w:spacing w:line="360" w:lineRule="auto"/>
        <w:ind w:firstLine="480" w:firstLineChars="200"/>
        <w:rPr>
          <w:color w:val="auto"/>
          <w:sz w:val="24"/>
        </w:rPr>
      </w:pPr>
      <w:r>
        <w:rPr>
          <w:rFonts w:hint="eastAsia"/>
          <w:color w:val="auto"/>
          <w:sz w:val="24"/>
        </w:rPr>
        <w:t>1.3.10磋商文件中的标题或题名仅起引导作用，而不应视为对磋商文件内容的理解和解释。</w:t>
      </w:r>
    </w:p>
    <w:bookmarkEnd w:id="43"/>
    <w:bookmarkEnd w:id="44"/>
    <w:bookmarkEnd w:id="45"/>
    <w:p w14:paraId="095F8048">
      <w:pPr>
        <w:spacing w:line="360" w:lineRule="auto"/>
        <w:ind w:firstLine="480" w:firstLineChars="200"/>
        <w:rPr>
          <w:color w:val="auto"/>
          <w:sz w:val="24"/>
        </w:rPr>
      </w:pPr>
      <w:bookmarkStart w:id="72" w:name="_Toc16470"/>
      <w:bookmarkStart w:id="73" w:name="_Toc27407"/>
      <w:bookmarkStart w:id="74" w:name="_Toc144974500"/>
      <w:bookmarkStart w:id="75" w:name="_Toc19363"/>
      <w:bookmarkStart w:id="76" w:name="_Toc455080112"/>
      <w:bookmarkStart w:id="77" w:name="_Toc463701034"/>
      <w:bookmarkStart w:id="78" w:name="_Toc464035513"/>
      <w:bookmarkStart w:id="79" w:name="_Toc152045532"/>
      <w:bookmarkStart w:id="80" w:name="_Toc3626_WPSOffice_Level3"/>
      <w:bookmarkStart w:id="81" w:name="_Toc14043"/>
      <w:bookmarkStart w:id="82" w:name="_Toc12752"/>
      <w:bookmarkStart w:id="83" w:name="_Toc318450678"/>
      <w:bookmarkStart w:id="84" w:name="_Toc152042308"/>
      <w:bookmarkStart w:id="85" w:name="_Toc21766"/>
      <w:r>
        <w:rPr>
          <w:rFonts w:hint="eastAsia"/>
          <w:color w:val="auto"/>
          <w:sz w:val="24"/>
        </w:rPr>
        <w:t xml:space="preserve">1.4 </w:t>
      </w:r>
      <w:r>
        <w:rPr>
          <w:rFonts w:hint="eastAsia"/>
          <w:color w:val="auto"/>
          <w:sz w:val="24"/>
          <w:lang w:val="en-US" w:eastAsia="zh-CN"/>
        </w:rPr>
        <w:t>服务</w:t>
      </w:r>
      <w:r>
        <w:rPr>
          <w:rFonts w:hint="eastAsia"/>
          <w:color w:val="auto"/>
          <w:sz w:val="24"/>
        </w:rPr>
        <w:t>内容</w:t>
      </w:r>
      <w:r>
        <w:rPr>
          <w:rFonts w:hint="eastAsia"/>
          <w:color w:val="auto"/>
          <w:sz w:val="24"/>
          <w:lang w:eastAsia="zh-CN"/>
        </w:rPr>
        <w:t>、</w:t>
      </w:r>
      <w:r>
        <w:rPr>
          <w:rFonts w:hint="eastAsia"/>
          <w:color w:val="auto"/>
          <w:sz w:val="24"/>
          <w:lang w:val="en-US" w:eastAsia="zh-CN"/>
        </w:rPr>
        <w:t>设计周期</w:t>
      </w:r>
      <w:r>
        <w:rPr>
          <w:rFonts w:hint="eastAsia"/>
          <w:color w:val="auto"/>
          <w:sz w:val="24"/>
        </w:rPr>
        <w:t>和质量要求</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926CED0">
      <w:pPr>
        <w:spacing w:line="360" w:lineRule="auto"/>
        <w:ind w:firstLine="480" w:firstLineChars="200"/>
        <w:rPr>
          <w:color w:val="auto"/>
          <w:sz w:val="24"/>
        </w:rPr>
      </w:pPr>
      <w:r>
        <w:rPr>
          <w:rFonts w:hint="eastAsia"/>
          <w:color w:val="auto"/>
          <w:sz w:val="24"/>
        </w:rPr>
        <w:t>1.4.1 本次</w:t>
      </w:r>
      <w:r>
        <w:rPr>
          <w:rFonts w:hint="eastAsia"/>
          <w:color w:val="auto"/>
          <w:sz w:val="24"/>
          <w:lang w:val="en-US" w:eastAsia="zh-CN"/>
        </w:rPr>
        <w:t>服务内容</w:t>
      </w:r>
      <w:r>
        <w:rPr>
          <w:rFonts w:hint="eastAsia"/>
          <w:color w:val="auto"/>
          <w:sz w:val="24"/>
        </w:rPr>
        <w:t>：见供应商须知前附表。</w:t>
      </w:r>
    </w:p>
    <w:p w14:paraId="476B7BF6">
      <w:pPr>
        <w:spacing w:line="360" w:lineRule="auto"/>
        <w:ind w:firstLine="480" w:firstLineChars="200"/>
        <w:rPr>
          <w:color w:val="auto"/>
          <w:sz w:val="24"/>
        </w:rPr>
      </w:pPr>
      <w:r>
        <w:rPr>
          <w:rFonts w:hint="eastAsia"/>
          <w:color w:val="auto"/>
          <w:sz w:val="24"/>
        </w:rPr>
        <w:t>1.4.2 本项目的</w:t>
      </w:r>
      <w:r>
        <w:rPr>
          <w:rFonts w:hint="eastAsia"/>
          <w:color w:val="auto"/>
          <w:sz w:val="24"/>
          <w:lang w:val="en-US" w:eastAsia="zh-CN"/>
        </w:rPr>
        <w:t>设计周期</w:t>
      </w:r>
      <w:r>
        <w:rPr>
          <w:rFonts w:hint="eastAsia"/>
          <w:color w:val="auto"/>
          <w:sz w:val="24"/>
        </w:rPr>
        <w:t>：见供应商须知前附表。</w:t>
      </w:r>
    </w:p>
    <w:p w14:paraId="4706D678">
      <w:pPr>
        <w:spacing w:line="360" w:lineRule="auto"/>
        <w:ind w:firstLine="480" w:firstLineChars="200"/>
        <w:rPr>
          <w:color w:val="auto"/>
          <w:sz w:val="24"/>
        </w:rPr>
      </w:pPr>
      <w:r>
        <w:rPr>
          <w:rFonts w:hint="eastAsia"/>
          <w:color w:val="auto"/>
          <w:sz w:val="24"/>
        </w:rPr>
        <w:t>1.4.3 本项目的质量要求：见供应商须知前附表。</w:t>
      </w:r>
    </w:p>
    <w:p w14:paraId="0568205B">
      <w:pPr>
        <w:ind w:firstLine="480" w:firstLineChars="200"/>
        <w:rPr>
          <w:color w:val="auto"/>
          <w:sz w:val="24"/>
        </w:rPr>
      </w:pPr>
      <w:bookmarkStart w:id="86" w:name="_Toc2622"/>
      <w:bookmarkStart w:id="87" w:name="_Toc318450681"/>
      <w:bookmarkStart w:id="88" w:name="_Toc464035516"/>
      <w:bookmarkStart w:id="89" w:name="_Toc152045536"/>
      <w:bookmarkStart w:id="90" w:name="_Toc32053"/>
      <w:bookmarkStart w:id="91" w:name="_Toc463701037"/>
      <w:bookmarkStart w:id="92" w:name="_Toc5402"/>
      <w:bookmarkStart w:id="93" w:name="_Toc7579_WPSOffice_Level3"/>
      <w:bookmarkStart w:id="94" w:name="_Toc6014"/>
      <w:bookmarkStart w:id="95" w:name="_Toc20145"/>
      <w:bookmarkStart w:id="96" w:name="_Toc152042312"/>
      <w:bookmarkStart w:id="97" w:name="_Toc144974504"/>
      <w:bookmarkStart w:id="98" w:name="_Toc8055"/>
      <w:bookmarkStart w:id="99" w:name="_Toc455080115"/>
      <w:r>
        <w:rPr>
          <w:rFonts w:hint="eastAsia"/>
          <w:color w:val="auto"/>
          <w:sz w:val="24"/>
        </w:rPr>
        <w:t>1.</w:t>
      </w:r>
      <w:r>
        <w:rPr>
          <w:rFonts w:hint="eastAsia"/>
          <w:color w:val="auto"/>
          <w:sz w:val="24"/>
          <w:lang w:val="en-US"/>
        </w:rPr>
        <w:t>5</w:t>
      </w:r>
      <w:r>
        <w:rPr>
          <w:rFonts w:hint="eastAsia"/>
          <w:color w:val="auto"/>
          <w:sz w:val="24"/>
        </w:rPr>
        <w:t>保密</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79CD449">
      <w:pPr>
        <w:spacing w:line="360" w:lineRule="auto"/>
        <w:ind w:firstLine="480" w:firstLineChars="200"/>
        <w:rPr>
          <w:color w:val="auto"/>
          <w:sz w:val="24"/>
        </w:rPr>
      </w:pPr>
      <w:r>
        <w:rPr>
          <w:rFonts w:hint="eastAsia"/>
          <w:color w:val="auto"/>
          <w:sz w:val="24"/>
        </w:rPr>
        <w:t xml:space="preserve">参与磋商活动的各方应对磋商文件和响应文件中的商业和技术等秘密保密，违者应对由此造成的后果承担法律责任。 </w:t>
      </w:r>
    </w:p>
    <w:p w14:paraId="22FC7D44">
      <w:pPr>
        <w:ind w:firstLine="480" w:firstLineChars="200"/>
        <w:rPr>
          <w:color w:val="auto"/>
          <w:sz w:val="24"/>
        </w:rPr>
      </w:pPr>
      <w:bookmarkStart w:id="100" w:name="_Toc144974505"/>
      <w:bookmarkStart w:id="101" w:name="_Toc30747"/>
      <w:bookmarkStart w:id="102" w:name="_Toc25517"/>
      <w:bookmarkStart w:id="103" w:name="_Toc30583"/>
      <w:bookmarkStart w:id="104" w:name="_Toc455080116"/>
      <w:bookmarkStart w:id="105" w:name="_Toc152042313"/>
      <w:bookmarkStart w:id="106" w:name="_Toc19210_WPSOffice_Level3"/>
      <w:bookmarkStart w:id="107" w:name="_Toc318450682"/>
      <w:bookmarkStart w:id="108" w:name="_Toc463701038"/>
      <w:bookmarkStart w:id="109" w:name="_Toc21089"/>
      <w:bookmarkStart w:id="110" w:name="_Toc3628"/>
      <w:bookmarkStart w:id="111" w:name="_Toc14775"/>
      <w:bookmarkStart w:id="112" w:name="_Toc464035517"/>
      <w:bookmarkStart w:id="113" w:name="_Toc152045537"/>
      <w:r>
        <w:rPr>
          <w:rFonts w:hint="eastAsia"/>
          <w:color w:val="auto"/>
          <w:sz w:val="24"/>
        </w:rPr>
        <w:t>1.</w:t>
      </w:r>
      <w:r>
        <w:rPr>
          <w:rFonts w:hint="eastAsia"/>
          <w:color w:val="auto"/>
          <w:sz w:val="24"/>
          <w:lang w:val="en-US"/>
        </w:rPr>
        <w:t>6</w:t>
      </w:r>
      <w:r>
        <w:rPr>
          <w:rFonts w:hint="eastAsia"/>
          <w:color w:val="auto"/>
          <w:sz w:val="24"/>
        </w:rPr>
        <w:t>语言</w:t>
      </w:r>
      <w:bookmarkEnd w:id="100"/>
      <w:r>
        <w:rPr>
          <w:rFonts w:hint="eastAsia"/>
          <w:color w:val="auto"/>
          <w:sz w:val="24"/>
        </w:rPr>
        <w:t>文字</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20B9E7AA">
      <w:pPr>
        <w:spacing w:line="360" w:lineRule="auto"/>
        <w:ind w:firstLine="480" w:firstLineChars="200"/>
        <w:rPr>
          <w:color w:val="auto"/>
          <w:sz w:val="24"/>
        </w:rPr>
      </w:pPr>
      <w:r>
        <w:rPr>
          <w:rFonts w:hint="eastAsia"/>
          <w:color w:val="auto"/>
          <w:sz w:val="24"/>
        </w:rPr>
        <w:t>除专用术语外，与磋商有关的语言均使用中文。必要时专用术语应附有中文注释，</w:t>
      </w:r>
      <w:r>
        <w:rPr>
          <w:rFonts w:hint="eastAsia"/>
          <w:color w:val="auto"/>
          <w:sz w:val="24"/>
          <w:lang w:bidi="en-US"/>
        </w:rPr>
        <w:t>对不同文字文本响应文件的解释发生异议的，以中文文本为准。</w:t>
      </w:r>
    </w:p>
    <w:p w14:paraId="526420D3">
      <w:pPr>
        <w:spacing w:line="360" w:lineRule="auto"/>
        <w:ind w:firstLine="480" w:firstLineChars="200"/>
        <w:rPr>
          <w:color w:val="auto"/>
          <w:sz w:val="24"/>
        </w:rPr>
      </w:pPr>
      <w:bookmarkStart w:id="114" w:name="_Toc24337"/>
      <w:bookmarkStart w:id="115" w:name="_Toc455080117"/>
      <w:bookmarkStart w:id="116" w:name="_Toc144974506"/>
      <w:bookmarkStart w:id="117" w:name="_Toc463701039"/>
      <w:bookmarkStart w:id="118" w:name="_Toc2702"/>
      <w:bookmarkStart w:id="119" w:name="_Toc152045538"/>
      <w:bookmarkStart w:id="120" w:name="_Toc152042314"/>
      <w:bookmarkStart w:id="121" w:name="_Toc4237"/>
      <w:bookmarkStart w:id="122" w:name="_Toc22378"/>
      <w:bookmarkStart w:id="123" w:name="_Toc32507"/>
      <w:bookmarkStart w:id="124" w:name="_Toc9511_WPSOffice_Level3"/>
      <w:bookmarkStart w:id="125" w:name="_Toc318450683"/>
      <w:bookmarkStart w:id="126" w:name="_Toc464035518"/>
      <w:bookmarkStart w:id="127" w:name="_Toc9446"/>
      <w:r>
        <w:rPr>
          <w:rFonts w:hint="eastAsia"/>
          <w:color w:val="auto"/>
          <w:sz w:val="24"/>
        </w:rPr>
        <w:t>1.</w:t>
      </w:r>
      <w:r>
        <w:rPr>
          <w:rFonts w:hint="eastAsia"/>
          <w:color w:val="auto"/>
          <w:sz w:val="24"/>
          <w:lang w:val="en-US"/>
        </w:rPr>
        <w:t>7</w:t>
      </w:r>
      <w:r>
        <w:rPr>
          <w:rFonts w:hint="eastAsia"/>
          <w:color w:val="auto"/>
          <w:sz w:val="24"/>
        </w:rPr>
        <w:t xml:space="preserve"> 计量单位</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072A33A">
      <w:pPr>
        <w:spacing w:line="360" w:lineRule="auto"/>
        <w:ind w:firstLine="480" w:firstLineChars="200"/>
        <w:rPr>
          <w:color w:val="auto"/>
          <w:sz w:val="24"/>
        </w:rPr>
      </w:pPr>
      <w:r>
        <w:rPr>
          <w:rFonts w:hint="eastAsia"/>
          <w:color w:val="auto"/>
          <w:sz w:val="24"/>
        </w:rPr>
        <w:t>所有计量均采用中华人民共和国法定计量单位。</w:t>
      </w:r>
    </w:p>
    <w:p w14:paraId="0C1F96A7">
      <w:pPr>
        <w:pStyle w:val="5"/>
        <w:spacing w:before="161"/>
        <w:ind w:left="320"/>
        <w:rPr>
          <w:color w:val="auto"/>
        </w:rPr>
      </w:pPr>
      <w:bookmarkStart w:id="128" w:name="_Toc12366_WPSOffice_Level2"/>
      <w:r>
        <w:rPr>
          <w:color w:val="auto"/>
        </w:rPr>
        <w:t>2、合格的磋商响应供应商</w:t>
      </w:r>
      <w:bookmarkEnd w:id="128"/>
    </w:p>
    <w:p w14:paraId="14B467AA">
      <w:pPr>
        <w:pStyle w:val="5"/>
        <w:spacing w:before="161"/>
        <w:rPr>
          <w:color w:val="auto"/>
        </w:rPr>
      </w:pPr>
      <w:r>
        <w:rPr>
          <w:rFonts w:hint="eastAsia"/>
          <w:b w:val="0"/>
          <w:bCs w:val="0"/>
          <w:color w:val="auto"/>
        </w:rPr>
        <w:t>见供应商须知前附表</w:t>
      </w:r>
    </w:p>
    <w:p w14:paraId="2833519C">
      <w:pPr>
        <w:pStyle w:val="5"/>
        <w:spacing w:before="161"/>
        <w:ind w:left="320"/>
        <w:rPr>
          <w:color w:val="auto"/>
        </w:rPr>
      </w:pPr>
      <w:bookmarkStart w:id="129" w:name="_Toc8655_WPSOffice_Level2"/>
      <w:r>
        <w:rPr>
          <w:color w:val="auto"/>
        </w:rPr>
        <w:t>3、费用</w:t>
      </w:r>
      <w:bookmarkEnd w:id="129"/>
    </w:p>
    <w:p w14:paraId="3B18BEC9">
      <w:pPr>
        <w:pStyle w:val="8"/>
        <w:spacing w:before="160" w:line="364" w:lineRule="auto"/>
        <w:ind w:right="338" w:firstLine="120"/>
        <w:rPr>
          <w:color w:val="auto"/>
        </w:rPr>
      </w:pPr>
      <w:r>
        <w:rPr>
          <w:color w:val="auto"/>
        </w:rPr>
        <w:t>3.1</w:t>
      </w:r>
      <w:r>
        <w:rPr>
          <w:color w:val="auto"/>
          <w:spacing w:val="-9"/>
        </w:rPr>
        <w:t xml:space="preserve"> 磋商响应供应商应自行承担参加磋商活动有关的全部费用，采购人在任何情况下均</w:t>
      </w:r>
      <w:r>
        <w:rPr>
          <w:color w:val="auto"/>
        </w:rPr>
        <w:t>无义务和责任承担上述费用。</w:t>
      </w:r>
    </w:p>
    <w:p w14:paraId="111F47C4">
      <w:pPr>
        <w:spacing w:before="1" w:line="364" w:lineRule="auto"/>
        <w:ind w:left="560" w:right="6753" w:hanging="240"/>
        <w:rPr>
          <w:color w:val="auto"/>
          <w:sz w:val="24"/>
        </w:rPr>
      </w:pPr>
      <w:bookmarkStart w:id="130" w:name="_Toc4976_WPSOffice_Level2"/>
      <w:r>
        <w:rPr>
          <w:b/>
          <w:color w:val="auto"/>
          <w:sz w:val="24"/>
        </w:rPr>
        <w:t>4</w:t>
      </w:r>
      <w:r>
        <w:rPr>
          <w:b/>
          <w:color w:val="auto"/>
          <w:spacing w:val="-2"/>
          <w:sz w:val="24"/>
        </w:rPr>
        <w:t>、竞争性磋商文件的构成</w:t>
      </w:r>
      <w:r>
        <w:rPr>
          <w:color w:val="auto"/>
          <w:sz w:val="24"/>
        </w:rPr>
        <w:t>第一章 竞争性磋商公告</w:t>
      </w:r>
      <w:bookmarkEnd w:id="130"/>
    </w:p>
    <w:p w14:paraId="5F9EEBD9">
      <w:pPr>
        <w:pStyle w:val="8"/>
        <w:spacing w:before="2" w:line="364" w:lineRule="auto"/>
        <w:ind w:left="555" w:right="5329"/>
        <w:rPr>
          <w:color w:val="auto"/>
          <w:spacing w:val="-2"/>
        </w:rPr>
      </w:pPr>
      <w:bookmarkStart w:id="131" w:name="_Toc25399_WPSOffice_Level1"/>
      <w:r>
        <w:rPr>
          <w:color w:val="auto"/>
          <w:spacing w:val="-2"/>
        </w:rPr>
        <w:t>第二章 供应商须知</w:t>
      </w:r>
    </w:p>
    <w:p w14:paraId="0BD082B4">
      <w:pPr>
        <w:pStyle w:val="8"/>
        <w:spacing w:before="2" w:line="364" w:lineRule="auto"/>
        <w:ind w:left="555" w:right="5329"/>
        <w:rPr>
          <w:rFonts w:hint="eastAsia" w:eastAsia="宋体"/>
          <w:color w:val="auto"/>
          <w:lang w:val="en-US" w:eastAsia="zh-CN"/>
        </w:rPr>
      </w:pPr>
      <w:r>
        <w:rPr>
          <w:color w:val="auto"/>
        </w:rPr>
        <w:t>第三章</w:t>
      </w:r>
      <w:bookmarkEnd w:id="131"/>
      <w:r>
        <w:rPr>
          <w:rFonts w:hint="eastAsia"/>
          <w:color w:val="auto"/>
          <w:lang w:val="en-US" w:eastAsia="zh-CN"/>
        </w:rPr>
        <w:t xml:space="preserve"> 服务需求</w:t>
      </w:r>
    </w:p>
    <w:p w14:paraId="2CA2F564">
      <w:pPr>
        <w:pStyle w:val="8"/>
        <w:spacing w:before="1"/>
        <w:ind w:left="555"/>
        <w:rPr>
          <w:color w:val="auto"/>
        </w:rPr>
      </w:pPr>
      <w:bookmarkStart w:id="132" w:name="_Toc3669_WPSOffice_Level2"/>
      <w:r>
        <w:rPr>
          <w:color w:val="auto"/>
        </w:rPr>
        <w:t>第四章 评审办法</w:t>
      </w:r>
      <w:bookmarkEnd w:id="132"/>
    </w:p>
    <w:p w14:paraId="0C542DD2">
      <w:pPr>
        <w:pStyle w:val="8"/>
        <w:spacing w:before="160"/>
        <w:ind w:left="555"/>
        <w:rPr>
          <w:color w:val="auto"/>
        </w:rPr>
      </w:pPr>
      <w:bookmarkStart w:id="133" w:name="_Toc1982_WPSOffice_Level2"/>
      <w:r>
        <w:rPr>
          <w:color w:val="auto"/>
        </w:rPr>
        <w:t>第五章 合同主要条款及格式</w:t>
      </w:r>
      <w:bookmarkEnd w:id="133"/>
    </w:p>
    <w:p w14:paraId="5A85A45C">
      <w:pPr>
        <w:pStyle w:val="8"/>
        <w:spacing w:before="161"/>
        <w:ind w:left="555"/>
        <w:rPr>
          <w:color w:val="auto"/>
        </w:rPr>
      </w:pPr>
      <w:bookmarkStart w:id="134" w:name="_Toc4328_WPSOffice_Level2"/>
      <w:r>
        <w:rPr>
          <w:color w:val="auto"/>
        </w:rPr>
        <w:t>第六章 电子化响应文件内容及格式</w:t>
      </w:r>
      <w:bookmarkEnd w:id="134"/>
    </w:p>
    <w:p w14:paraId="2374597F">
      <w:pPr>
        <w:pStyle w:val="5"/>
        <w:spacing w:before="160"/>
        <w:ind w:left="320"/>
        <w:rPr>
          <w:color w:val="auto"/>
        </w:rPr>
      </w:pPr>
      <w:bookmarkStart w:id="135" w:name="_Toc20095_WPSOffice_Level3"/>
      <w:r>
        <w:rPr>
          <w:color w:val="auto"/>
        </w:rPr>
        <w:t>5、竞争性磋商文件的澄清</w:t>
      </w:r>
      <w:bookmarkEnd w:id="135"/>
    </w:p>
    <w:p w14:paraId="5E43F69F">
      <w:pPr>
        <w:pStyle w:val="36"/>
        <w:numPr>
          <w:ilvl w:val="1"/>
          <w:numId w:val="2"/>
        </w:numPr>
        <w:tabs>
          <w:tab w:val="left" w:pos="1101"/>
        </w:tabs>
        <w:spacing w:before="161" w:line="364" w:lineRule="auto"/>
        <w:ind w:right="338" w:firstLine="360"/>
        <w:jc w:val="both"/>
        <w:rPr>
          <w:color w:val="auto"/>
          <w:sz w:val="24"/>
        </w:rPr>
      </w:pPr>
      <w:r>
        <w:rPr>
          <w:color w:val="auto"/>
          <w:spacing w:val="-2"/>
          <w:sz w:val="24"/>
        </w:rPr>
        <w:t xml:space="preserve">磋商响应供应商对磋商文件需有澄清或疑问，应在购买竞争性磋商文件后 </w:t>
      </w:r>
      <w:r>
        <w:rPr>
          <w:color w:val="auto"/>
          <w:sz w:val="24"/>
        </w:rPr>
        <w:t>3</w:t>
      </w:r>
      <w:r>
        <w:rPr>
          <w:color w:val="auto"/>
          <w:spacing w:val="-25"/>
          <w:sz w:val="24"/>
        </w:rPr>
        <w:t xml:space="preserve"> 日内</w:t>
      </w:r>
      <w:r>
        <w:rPr>
          <w:color w:val="auto"/>
          <w:spacing w:val="-2"/>
          <w:sz w:val="24"/>
        </w:rPr>
        <w:t xml:space="preserve">向采购人进行询问，采购人在收到磋商响应供应商的疑问后于 </w:t>
      </w:r>
      <w:r>
        <w:rPr>
          <w:color w:val="auto"/>
          <w:sz w:val="24"/>
        </w:rPr>
        <w:t>2</w:t>
      </w:r>
      <w:r>
        <w:rPr>
          <w:color w:val="auto"/>
          <w:spacing w:val="-6"/>
          <w:sz w:val="24"/>
        </w:rPr>
        <w:t xml:space="preserve"> 日内将视情况确定采用适当方式予以澄清或以书面形式予以答复，并在其认为必要时，将书面答复发送已购买竞争性磋商文件的所有潜在磋商响应供应商。</w:t>
      </w:r>
    </w:p>
    <w:p w14:paraId="42908E69">
      <w:pPr>
        <w:pStyle w:val="36"/>
        <w:numPr>
          <w:ilvl w:val="1"/>
          <w:numId w:val="2"/>
        </w:numPr>
        <w:tabs>
          <w:tab w:val="left" w:pos="1101"/>
        </w:tabs>
        <w:spacing w:before="161" w:line="364" w:lineRule="auto"/>
        <w:ind w:right="338" w:firstLine="360"/>
        <w:jc w:val="both"/>
        <w:rPr>
          <w:color w:val="auto"/>
        </w:rPr>
      </w:pPr>
      <w:r>
        <w:rPr>
          <w:color w:val="auto"/>
          <w:sz w:val="24"/>
        </w:rPr>
        <w:t>采购人将视情况在认为必要时于采购截止时间前答疑</w:t>
      </w:r>
      <w:r>
        <w:rPr>
          <w:rFonts w:hint="eastAsia"/>
          <w:color w:val="auto"/>
          <w:sz w:val="24"/>
        </w:rPr>
        <w:t>。</w:t>
      </w:r>
    </w:p>
    <w:p w14:paraId="1CEDD563">
      <w:pPr>
        <w:pStyle w:val="5"/>
        <w:spacing w:before="160"/>
        <w:ind w:left="320"/>
        <w:rPr>
          <w:color w:val="auto"/>
        </w:rPr>
      </w:pPr>
      <w:bookmarkStart w:id="136" w:name="_Toc20123_WPSOffice_Level3"/>
      <w:r>
        <w:rPr>
          <w:color w:val="auto"/>
        </w:rPr>
        <w:t>6、竞争性磋商文件的修改</w:t>
      </w:r>
      <w:bookmarkEnd w:id="136"/>
    </w:p>
    <w:p w14:paraId="1780A48B">
      <w:pPr>
        <w:pStyle w:val="36"/>
        <w:tabs>
          <w:tab w:val="left" w:pos="1101"/>
        </w:tabs>
        <w:spacing w:before="161" w:line="364" w:lineRule="auto"/>
        <w:ind w:left="680" w:right="338" w:firstLine="0"/>
        <w:jc w:val="both"/>
        <w:rPr>
          <w:color w:val="auto"/>
          <w:spacing w:val="-2"/>
          <w:sz w:val="24"/>
        </w:rPr>
      </w:pPr>
      <w:r>
        <w:rPr>
          <w:color w:val="auto"/>
          <w:spacing w:val="-2"/>
          <w:sz w:val="24"/>
        </w:rPr>
        <w:t>6.1 竞争性磋商文件的修改书将构成磋商响应文件的一部分，对所有磋商响应供应商均有约束力。</w:t>
      </w:r>
    </w:p>
    <w:p w14:paraId="693F4098">
      <w:pPr>
        <w:pStyle w:val="36"/>
        <w:tabs>
          <w:tab w:val="left" w:pos="1101"/>
        </w:tabs>
        <w:spacing w:before="161" w:line="364" w:lineRule="auto"/>
        <w:ind w:left="0" w:right="338" w:firstLine="241" w:firstLineChars="100"/>
        <w:jc w:val="both"/>
        <w:rPr>
          <w:b/>
          <w:bCs/>
          <w:color w:val="auto"/>
          <w:sz w:val="24"/>
          <w:szCs w:val="24"/>
        </w:rPr>
      </w:pPr>
      <w:bookmarkStart w:id="137" w:name="_Toc12366_WPSOffice_Level3"/>
      <w:r>
        <w:rPr>
          <w:b/>
          <w:bCs/>
          <w:color w:val="auto"/>
          <w:sz w:val="24"/>
          <w:szCs w:val="24"/>
        </w:rPr>
        <w:t>7、要求</w:t>
      </w:r>
      <w:bookmarkEnd w:id="137"/>
    </w:p>
    <w:p w14:paraId="401CB045">
      <w:pPr>
        <w:pStyle w:val="8"/>
        <w:spacing w:before="160" w:line="364" w:lineRule="auto"/>
        <w:ind w:right="338" w:firstLine="240"/>
        <w:jc w:val="both"/>
        <w:rPr>
          <w:color w:val="auto"/>
        </w:rPr>
      </w:pPr>
      <w:r>
        <w:rPr>
          <w:color w:val="auto"/>
          <w:spacing w:val="-2"/>
        </w:rPr>
        <w:t>7.1 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4546ADF4">
      <w:pPr>
        <w:pStyle w:val="36"/>
        <w:tabs>
          <w:tab w:val="left" w:pos="1101"/>
        </w:tabs>
        <w:spacing w:line="500" w:lineRule="exact"/>
        <w:ind w:left="0" w:firstLine="482" w:firstLineChars="200"/>
        <w:jc w:val="both"/>
        <w:rPr>
          <w:b/>
          <w:bCs/>
          <w:color w:val="auto"/>
          <w:sz w:val="24"/>
          <w:szCs w:val="24"/>
        </w:rPr>
      </w:pPr>
      <w:bookmarkStart w:id="138" w:name="_Toc8655_WPSOffice_Level3"/>
      <w:r>
        <w:rPr>
          <w:b/>
          <w:bCs/>
          <w:color w:val="auto"/>
          <w:sz w:val="24"/>
          <w:szCs w:val="24"/>
        </w:rPr>
        <w:t>8、电子化磋商响应文件的组成</w:t>
      </w:r>
      <w:bookmarkEnd w:id="138"/>
    </w:p>
    <w:p w14:paraId="29FF934A">
      <w:pPr>
        <w:pStyle w:val="36"/>
        <w:tabs>
          <w:tab w:val="left" w:pos="1101"/>
        </w:tabs>
        <w:spacing w:line="500" w:lineRule="exact"/>
        <w:ind w:left="0" w:firstLine="480" w:firstLineChars="200"/>
        <w:jc w:val="both"/>
        <w:rPr>
          <w:color w:val="auto"/>
          <w:sz w:val="24"/>
          <w:szCs w:val="24"/>
        </w:rPr>
      </w:pPr>
      <w:r>
        <w:rPr>
          <w:rFonts w:hint="eastAsia"/>
          <w:color w:val="auto"/>
          <w:sz w:val="24"/>
          <w:szCs w:val="24"/>
        </w:rPr>
        <w:t>详见第六章响应文件内容及格式</w:t>
      </w:r>
    </w:p>
    <w:p w14:paraId="3A3B7140">
      <w:pPr>
        <w:pStyle w:val="36"/>
        <w:tabs>
          <w:tab w:val="left" w:pos="1101"/>
        </w:tabs>
        <w:spacing w:line="500" w:lineRule="exact"/>
        <w:ind w:left="0" w:firstLine="482" w:firstLineChars="200"/>
        <w:jc w:val="both"/>
        <w:rPr>
          <w:b/>
          <w:bCs/>
          <w:color w:val="auto"/>
          <w:sz w:val="24"/>
          <w:szCs w:val="24"/>
        </w:rPr>
      </w:pPr>
      <w:bookmarkStart w:id="139" w:name="_Toc4976_WPSOffice_Level3"/>
      <w:r>
        <w:rPr>
          <w:b/>
          <w:bCs/>
          <w:color w:val="auto"/>
          <w:sz w:val="24"/>
          <w:szCs w:val="24"/>
        </w:rPr>
        <w:t>9、电子化磋商响应文件的格式</w:t>
      </w:r>
      <w:bookmarkEnd w:id="139"/>
    </w:p>
    <w:p w14:paraId="67A6DF8F">
      <w:pPr>
        <w:pStyle w:val="8"/>
        <w:spacing w:before="161" w:line="364" w:lineRule="auto"/>
        <w:ind w:right="337" w:firstLine="420"/>
        <w:jc w:val="both"/>
        <w:rPr>
          <w:color w:val="auto"/>
        </w:rPr>
      </w:pPr>
      <w:r>
        <w:rPr>
          <w:color w:val="auto"/>
        </w:rPr>
        <w:t>9.1</w:t>
      </w:r>
      <w:r>
        <w:rPr>
          <w:rFonts w:hint="eastAsia"/>
          <w:color w:val="auto"/>
          <w:spacing w:val="-12"/>
        </w:rPr>
        <w:t>投标供应商所上传的电子化响应文件，应是通过中心响应文件制作系统制作的，经过签章和加密后生成的电子版响应文件。上传投标文件格式后缀为SMXTF。上传完后，为了验证CA锁是否正常，建议模拟解密下</w:t>
      </w:r>
      <w:r>
        <w:rPr>
          <w:color w:val="auto"/>
        </w:rPr>
        <w:t>。</w:t>
      </w:r>
    </w:p>
    <w:p w14:paraId="124222BA">
      <w:pPr>
        <w:pStyle w:val="36"/>
        <w:tabs>
          <w:tab w:val="left" w:pos="1101"/>
        </w:tabs>
        <w:spacing w:line="500" w:lineRule="exact"/>
        <w:ind w:left="0" w:firstLine="482" w:firstLineChars="200"/>
        <w:jc w:val="both"/>
        <w:rPr>
          <w:b/>
          <w:bCs/>
          <w:color w:val="auto"/>
          <w:sz w:val="24"/>
          <w:szCs w:val="24"/>
        </w:rPr>
      </w:pPr>
      <w:bookmarkStart w:id="140" w:name="_Toc3669_WPSOffice_Level3"/>
      <w:r>
        <w:rPr>
          <w:b/>
          <w:bCs/>
          <w:color w:val="auto"/>
          <w:sz w:val="24"/>
          <w:szCs w:val="24"/>
        </w:rPr>
        <w:t>10、电子化磋商响应文件的签署</w:t>
      </w:r>
      <w:bookmarkEnd w:id="140"/>
    </w:p>
    <w:p w14:paraId="72F8DAAF">
      <w:pPr>
        <w:pStyle w:val="8"/>
        <w:spacing w:before="161" w:line="364" w:lineRule="auto"/>
        <w:ind w:right="337" w:firstLine="420"/>
        <w:jc w:val="both"/>
        <w:rPr>
          <w:color w:val="auto"/>
          <w:spacing w:val="-12"/>
        </w:rPr>
      </w:pPr>
      <w:r>
        <w:rPr>
          <w:color w:val="auto"/>
          <w:spacing w:val="-12"/>
        </w:rPr>
        <w:t>10.1 磋商响应供应商在进行电子化磋商响应文件签章时，竞争性磋商文件中要求磋商响应供应商盖章的，以签盖单位章为准；要求法定代表人签章的，以签盖法定代表人签章为准。电子化磋商响应文件具体制作教材请供应商通过三门峡市公共资源</w:t>
      </w:r>
      <w:r>
        <w:rPr>
          <w:rFonts w:hint="eastAsia"/>
          <w:color w:val="auto"/>
          <w:spacing w:val="-12"/>
        </w:rPr>
        <w:t>交易平台网首页</w:t>
      </w:r>
      <w:r>
        <w:rPr>
          <w:color w:val="auto"/>
          <w:spacing w:val="-12"/>
        </w:rPr>
        <w:t>“下载</w:t>
      </w:r>
      <w:r>
        <w:rPr>
          <w:rFonts w:hint="eastAsia"/>
          <w:color w:val="auto"/>
          <w:spacing w:val="-12"/>
        </w:rPr>
        <w:t>专区</w:t>
      </w:r>
      <w:r>
        <w:rPr>
          <w:color w:val="auto"/>
          <w:spacing w:val="-12"/>
        </w:rPr>
        <w:t>”中查看。</w:t>
      </w:r>
    </w:p>
    <w:p w14:paraId="6690A486">
      <w:pPr>
        <w:pStyle w:val="5"/>
        <w:tabs>
          <w:tab w:val="left" w:pos="687"/>
        </w:tabs>
        <w:spacing w:before="1"/>
        <w:ind w:left="0" w:firstLine="482" w:firstLineChars="200"/>
        <w:rPr>
          <w:color w:val="auto"/>
        </w:rPr>
      </w:pPr>
      <w:bookmarkStart w:id="141" w:name="_Toc1982_WPSOffice_Level3"/>
      <w:r>
        <w:rPr>
          <w:color w:val="auto"/>
        </w:rPr>
        <w:t>11、电子化磋商响应文件的上传</w:t>
      </w:r>
      <w:bookmarkEnd w:id="141"/>
    </w:p>
    <w:p w14:paraId="64D90114">
      <w:pPr>
        <w:pStyle w:val="8"/>
        <w:spacing w:before="161" w:line="364" w:lineRule="auto"/>
        <w:ind w:right="403" w:firstLine="420"/>
        <w:rPr>
          <w:color w:val="auto"/>
        </w:rPr>
      </w:pPr>
      <w:r>
        <w:rPr>
          <w:color w:val="auto"/>
        </w:rPr>
        <w:t>11.1</w:t>
      </w:r>
      <w:r>
        <w:rPr>
          <w:color w:val="auto"/>
          <w:spacing w:val="-9"/>
        </w:rPr>
        <w:t xml:space="preserve"> 电子化磋商响应文件应在磋商截止时间前成功上传至三门峡市公共资源电子化</w:t>
      </w:r>
      <w:r>
        <w:rPr>
          <w:color w:val="auto"/>
        </w:rPr>
        <w:t>交易系统。至磋商截止时间止，仍未上传成功的电子化磋商响应文件将不予接收。</w:t>
      </w:r>
    </w:p>
    <w:p w14:paraId="4AEDF0F3">
      <w:pPr>
        <w:pStyle w:val="8"/>
        <w:spacing w:before="1" w:line="364" w:lineRule="auto"/>
        <w:ind w:right="338" w:firstLine="420"/>
        <w:jc w:val="both"/>
        <w:rPr>
          <w:color w:val="auto"/>
        </w:rPr>
      </w:pPr>
      <w:r>
        <w:rPr>
          <w:b/>
          <w:color w:val="auto"/>
          <w:spacing w:val="-29"/>
        </w:rPr>
        <w:t>注：</w:t>
      </w:r>
      <w:r>
        <w:rPr>
          <w:color w:val="auto"/>
          <w:spacing w:val="-3"/>
        </w:rPr>
        <w:t>如按照电子化投标操作教材制作完成的电子化磋商响应文件无法上传的，磋商响</w:t>
      </w:r>
      <w:r>
        <w:rPr>
          <w:color w:val="auto"/>
        </w:rPr>
        <w:t>应供应商应在磋商截止时间前尽早的联系中心技术人员，以便有充分的时间进行处理。磋商响应供应商应充分考虑到处理技术问题和上传数据等工作的时间问题，磋商响应文件未在磋商截止时间前成功上传的，其磋商响应文件不予接收。</w:t>
      </w:r>
    </w:p>
    <w:p w14:paraId="24788C4E">
      <w:pPr>
        <w:pStyle w:val="5"/>
        <w:spacing w:before="3"/>
        <w:ind w:left="0" w:firstLine="482" w:firstLineChars="200"/>
        <w:rPr>
          <w:color w:val="auto"/>
        </w:rPr>
      </w:pPr>
      <w:bookmarkStart w:id="142" w:name="_Toc4328_WPSOffice_Level3"/>
      <w:r>
        <w:rPr>
          <w:color w:val="auto"/>
        </w:rPr>
        <w:t>12、磋商截止时间</w:t>
      </w:r>
      <w:bookmarkEnd w:id="142"/>
    </w:p>
    <w:p w14:paraId="27EB6EFF">
      <w:pPr>
        <w:pStyle w:val="8"/>
        <w:spacing w:before="160"/>
        <w:ind w:left="740"/>
        <w:rPr>
          <w:color w:val="auto"/>
        </w:rPr>
      </w:pPr>
      <w:r>
        <w:rPr>
          <w:color w:val="auto"/>
        </w:rPr>
        <w:t>12.1 电子化磋商响应文件的截止时间见本须知前附表规定。</w:t>
      </w:r>
    </w:p>
    <w:p w14:paraId="4D8BA4A5">
      <w:pPr>
        <w:pStyle w:val="5"/>
        <w:spacing w:before="3"/>
        <w:ind w:left="0" w:firstLine="482" w:firstLineChars="200"/>
        <w:rPr>
          <w:color w:val="auto"/>
        </w:rPr>
      </w:pPr>
      <w:bookmarkStart w:id="143" w:name="_Toc14892_WPSOffice_Level3"/>
      <w:r>
        <w:rPr>
          <w:color w:val="auto"/>
        </w:rPr>
        <w:t>13、电子化磋商响应文件的补充、修改与撤回</w:t>
      </w:r>
      <w:bookmarkEnd w:id="143"/>
    </w:p>
    <w:p w14:paraId="6D44ED30">
      <w:pPr>
        <w:pStyle w:val="8"/>
        <w:spacing w:before="161" w:line="364" w:lineRule="auto"/>
        <w:ind w:right="337" w:firstLine="420"/>
        <w:jc w:val="both"/>
        <w:rPr>
          <w:color w:val="auto"/>
          <w:spacing w:val="-12"/>
        </w:rPr>
      </w:pPr>
      <w:r>
        <w:rPr>
          <w:color w:val="auto"/>
          <w:spacing w:val="-12"/>
        </w:rPr>
        <w:t>13.1 在磋商截止时间之后，磋商响应供应商不得补充、修改电子化磋商响应文件。</w:t>
      </w:r>
    </w:p>
    <w:p w14:paraId="5C31E8BC">
      <w:pPr>
        <w:pStyle w:val="8"/>
        <w:spacing w:before="161" w:line="364" w:lineRule="auto"/>
        <w:ind w:right="337"/>
        <w:jc w:val="both"/>
        <w:rPr>
          <w:b/>
          <w:bCs/>
          <w:color w:val="auto"/>
        </w:rPr>
      </w:pPr>
      <w:bookmarkStart w:id="144" w:name="_Toc16713_WPSOffice_Level3"/>
      <w:r>
        <w:rPr>
          <w:b/>
          <w:bCs/>
          <w:color w:val="auto"/>
        </w:rPr>
        <w:t>14、磋商报价</w:t>
      </w:r>
      <w:bookmarkEnd w:id="144"/>
    </w:p>
    <w:p w14:paraId="2CC5B791">
      <w:pPr>
        <w:pStyle w:val="8"/>
        <w:spacing w:before="161" w:line="364" w:lineRule="auto"/>
        <w:ind w:right="337" w:firstLine="420"/>
        <w:jc w:val="both"/>
        <w:rPr>
          <w:b/>
          <w:bCs/>
          <w:color w:val="auto"/>
        </w:rPr>
      </w:pPr>
      <w:r>
        <w:rPr>
          <w:rFonts w:hint="eastAsia"/>
          <w:color w:val="auto"/>
          <w:spacing w:val="-12"/>
          <w:lang w:val="en-US"/>
        </w:rPr>
        <w:t xml:space="preserve">14.1 </w:t>
      </w:r>
      <w:r>
        <w:rPr>
          <w:color w:val="auto"/>
          <w:spacing w:val="-12"/>
        </w:rPr>
        <w:t>本次磋商采购的均须以</w:t>
      </w:r>
      <w:r>
        <w:rPr>
          <w:rFonts w:hint="eastAsia"/>
          <w:color w:val="auto"/>
          <w:spacing w:val="-12"/>
          <w:lang w:val="en-US" w:eastAsia="zh-CN"/>
        </w:rPr>
        <w:t>费率报价</w:t>
      </w:r>
      <w:r>
        <w:rPr>
          <w:color w:val="auto"/>
          <w:spacing w:val="-12"/>
        </w:rPr>
        <w:t>。</w:t>
      </w:r>
    </w:p>
    <w:p w14:paraId="78219579">
      <w:pPr>
        <w:pStyle w:val="8"/>
        <w:spacing w:before="161" w:line="364" w:lineRule="auto"/>
        <w:ind w:right="337" w:firstLine="420"/>
        <w:jc w:val="both"/>
        <w:rPr>
          <w:color w:val="auto"/>
          <w:spacing w:val="-12"/>
        </w:rPr>
      </w:pPr>
      <w:r>
        <w:rPr>
          <w:rFonts w:hint="eastAsia"/>
          <w:color w:val="auto"/>
          <w:spacing w:val="-12"/>
          <w:lang w:val="en-US"/>
        </w:rPr>
        <w:t xml:space="preserve">14.2 </w:t>
      </w:r>
      <w:r>
        <w:rPr>
          <w:color w:val="auto"/>
          <w:spacing w:val="-12"/>
        </w:rPr>
        <w:t>磋商响应供应商</w:t>
      </w:r>
      <w:r>
        <w:rPr>
          <w:rFonts w:hint="eastAsia"/>
          <w:color w:val="auto"/>
          <w:spacing w:val="-12"/>
          <w:lang w:val="en-US"/>
        </w:rPr>
        <w:t>所报总价包含此项目中</w:t>
      </w:r>
      <w:r>
        <w:rPr>
          <w:rFonts w:hint="eastAsia"/>
          <w:color w:val="auto"/>
          <w:spacing w:val="-12"/>
          <w:lang w:val="en-US" w:eastAsia="zh-CN"/>
        </w:rPr>
        <w:t>所有服务内容</w:t>
      </w:r>
      <w:r>
        <w:rPr>
          <w:rFonts w:hint="eastAsia"/>
          <w:color w:val="auto"/>
          <w:spacing w:val="-12"/>
          <w:lang w:val="en-US"/>
        </w:rPr>
        <w:t>、税金、等所有费用</w:t>
      </w:r>
      <w:r>
        <w:rPr>
          <w:color w:val="auto"/>
          <w:spacing w:val="-12"/>
        </w:rPr>
        <w:t>。</w:t>
      </w:r>
    </w:p>
    <w:p w14:paraId="3D34AAC2">
      <w:pPr>
        <w:pStyle w:val="8"/>
        <w:spacing w:before="161" w:line="364" w:lineRule="auto"/>
        <w:ind w:right="337" w:firstLine="420"/>
        <w:jc w:val="both"/>
        <w:rPr>
          <w:color w:val="auto"/>
          <w:spacing w:val="-12"/>
        </w:rPr>
      </w:pPr>
      <w:r>
        <w:rPr>
          <w:rFonts w:hint="eastAsia"/>
          <w:color w:val="auto"/>
          <w:spacing w:val="-12"/>
          <w:lang w:val="en-US"/>
        </w:rPr>
        <w:t xml:space="preserve">14.3 </w:t>
      </w:r>
      <w:r>
        <w:rPr>
          <w:color w:val="auto"/>
          <w:spacing w:val="-12"/>
        </w:rPr>
        <w:t>磋商响应供应商应充分考虑市场风险和国家政策性风险系数，根据企业具体情况在合理的范围内自主报价，但不得低于企业实际成本。</w:t>
      </w:r>
    </w:p>
    <w:p w14:paraId="121208F9">
      <w:pPr>
        <w:pStyle w:val="8"/>
        <w:spacing w:before="161" w:line="364" w:lineRule="auto"/>
        <w:ind w:right="337" w:firstLine="420"/>
        <w:jc w:val="both"/>
        <w:rPr>
          <w:color w:val="auto"/>
          <w:spacing w:val="-12"/>
        </w:rPr>
      </w:pPr>
      <w:r>
        <w:rPr>
          <w:rFonts w:hint="eastAsia"/>
          <w:color w:val="auto"/>
          <w:spacing w:val="-12"/>
          <w:lang w:val="en-US"/>
        </w:rPr>
        <w:t xml:space="preserve">14.4 </w:t>
      </w:r>
      <w:r>
        <w:rPr>
          <w:color w:val="auto"/>
          <w:spacing w:val="-12"/>
        </w:rPr>
        <w:t>磋商响应供应商的磋商报价应包含验收合格正式交付使用前所发生的一切费用，且磋商响应供应商只能提出一个报价，采购人不接受任何有选择的报价，最后报价不得超过项目采购预算。</w:t>
      </w:r>
    </w:p>
    <w:p w14:paraId="7B007D80">
      <w:pPr>
        <w:pStyle w:val="8"/>
        <w:spacing w:before="161" w:line="364" w:lineRule="auto"/>
        <w:ind w:right="337" w:firstLine="420"/>
        <w:jc w:val="both"/>
        <w:rPr>
          <w:color w:val="auto"/>
          <w:spacing w:val="-12"/>
        </w:rPr>
      </w:pPr>
      <w:r>
        <w:rPr>
          <w:rFonts w:hint="eastAsia"/>
          <w:color w:val="auto"/>
          <w:spacing w:val="-12"/>
          <w:lang w:val="en-US"/>
        </w:rPr>
        <w:t xml:space="preserve">14.5 </w:t>
      </w:r>
      <w:r>
        <w:rPr>
          <w:color w:val="auto"/>
          <w:spacing w:val="-12"/>
        </w:rPr>
        <w:t>磋商响应供应商的报价明显低于其他报价，使得其报价可能低于其个别成本的， 有可能影响</w:t>
      </w:r>
      <w:r>
        <w:rPr>
          <w:rFonts w:hint="eastAsia"/>
          <w:color w:val="auto"/>
          <w:spacing w:val="-12"/>
          <w:lang w:val="en-US" w:eastAsia="zh-CN"/>
        </w:rPr>
        <w:t>项目实施</w:t>
      </w:r>
      <w:r>
        <w:rPr>
          <w:color w:val="auto"/>
          <w:spacing w:val="-12"/>
        </w:rPr>
        <w:t>和不能诚信履约的，应当要求该报价人作出书面说明并提供相关证明材料。报价人不能合理说明或者不能提供相关证明材料的，由磋商小组认定该报价人以低于成本报价，其报价应作无效报价处理。</w:t>
      </w:r>
    </w:p>
    <w:p w14:paraId="71181232">
      <w:pPr>
        <w:pStyle w:val="8"/>
        <w:spacing w:before="161" w:line="364" w:lineRule="auto"/>
        <w:ind w:right="337" w:firstLine="420"/>
        <w:jc w:val="both"/>
        <w:rPr>
          <w:color w:val="auto"/>
          <w:spacing w:val="-12"/>
        </w:rPr>
      </w:pPr>
      <w:r>
        <w:rPr>
          <w:rFonts w:hint="eastAsia"/>
          <w:color w:val="auto"/>
          <w:spacing w:val="-12"/>
          <w:lang w:val="en-US"/>
        </w:rPr>
        <w:t>14.6</w:t>
      </w:r>
      <w:r>
        <w:rPr>
          <w:b/>
          <w:bCs/>
          <w:color w:val="auto"/>
          <w:spacing w:val="-12"/>
        </w:rPr>
        <w:t>本次采购为竞争性磋商采购，允许二次报价。</w:t>
      </w:r>
    </w:p>
    <w:p w14:paraId="09A2EE28">
      <w:pPr>
        <w:pStyle w:val="8"/>
        <w:spacing w:before="161" w:line="364" w:lineRule="auto"/>
        <w:ind w:right="337" w:firstLine="231" w:firstLineChars="100"/>
        <w:jc w:val="both"/>
        <w:rPr>
          <w:b/>
          <w:bCs/>
          <w:color w:val="auto"/>
        </w:rPr>
      </w:pPr>
      <w:bookmarkStart w:id="145" w:name="_Toc28583_WPSOffice_Level3"/>
      <w:r>
        <w:rPr>
          <w:rFonts w:hint="eastAsia"/>
          <w:b/>
          <w:bCs/>
          <w:color w:val="auto"/>
          <w:lang w:val="en-US"/>
        </w:rPr>
        <w:t>15、</w:t>
      </w:r>
      <w:r>
        <w:rPr>
          <w:b/>
          <w:bCs/>
          <w:color w:val="auto"/>
        </w:rPr>
        <w:t>磋商响应供应商资格的证明文件</w:t>
      </w:r>
      <w:bookmarkEnd w:id="145"/>
    </w:p>
    <w:p w14:paraId="606827CC">
      <w:pPr>
        <w:pStyle w:val="8"/>
        <w:spacing w:before="161" w:line="364" w:lineRule="auto"/>
        <w:ind w:left="0" w:right="337" w:firstLine="412" w:firstLineChars="200"/>
        <w:jc w:val="both"/>
        <w:rPr>
          <w:color w:val="auto"/>
          <w:spacing w:val="-12"/>
        </w:rPr>
      </w:pPr>
      <w:r>
        <w:rPr>
          <w:rFonts w:hint="eastAsia"/>
          <w:color w:val="auto"/>
          <w:spacing w:val="-12"/>
          <w:lang w:val="en-US"/>
        </w:rPr>
        <w:t>15.1</w:t>
      </w:r>
      <w:r>
        <w:rPr>
          <w:color w:val="auto"/>
          <w:spacing w:val="-12"/>
        </w:rPr>
        <w:t>证明磋商响应供应商是有资格参加磋商的。</w:t>
      </w:r>
    </w:p>
    <w:p w14:paraId="257566A8">
      <w:pPr>
        <w:pStyle w:val="8"/>
        <w:spacing w:before="161" w:line="364" w:lineRule="auto"/>
        <w:ind w:right="337" w:firstLine="206" w:firstLineChars="100"/>
        <w:jc w:val="both"/>
        <w:rPr>
          <w:color w:val="auto"/>
          <w:spacing w:val="-12"/>
        </w:rPr>
      </w:pPr>
      <w:r>
        <w:rPr>
          <w:rFonts w:hint="eastAsia"/>
          <w:color w:val="auto"/>
          <w:spacing w:val="-12"/>
          <w:lang w:val="en-US"/>
        </w:rPr>
        <w:t>15.2</w:t>
      </w:r>
      <w:r>
        <w:rPr>
          <w:color w:val="auto"/>
          <w:spacing w:val="-12"/>
        </w:rPr>
        <w:t>证明磋商响应供应商有能力履行竞争性磋商文件中合同条款和技术要求规定的由磋商响应供应商提供的服务等义务。</w:t>
      </w:r>
    </w:p>
    <w:p w14:paraId="6F8281B2">
      <w:pPr>
        <w:pStyle w:val="5"/>
        <w:spacing w:before="1"/>
        <w:ind w:left="0" w:firstLine="723" w:firstLineChars="300"/>
        <w:rPr>
          <w:color w:val="auto"/>
        </w:rPr>
      </w:pPr>
      <w:bookmarkStart w:id="146" w:name="_Toc29721_WPSOffice_Level3"/>
      <w:r>
        <w:rPr>
          <w:color w:val="auto"/>
        </w:rPr>
        <w:t>16、磋商保证金</w:t>
      </w:r>
      <w:bookmarkEnd w:id="146"/>
    </w:p>
    <w:p w14:paraId="5A7ECE20">
      <w:pPr>
        <w:pStyle w:val="8"/>
        <w:spacing w:before="161" w:line="364" w:lineRule="auto"/>
        <w:ind w:right="337" w:firstLine="420"/>
        <w:jc w:val="both"/>
        <w:rPr>
          <w:color w:val="auto"/>
          <w:spacing w:val="-12"/>
          <w:lang w:val="en-US"/>
        </w:rPr>
      </w:pPr>
      <w:bookmarkStart w:id="147" w:name="_Toc26640_WPSOffice_Level3"/>
      <w:r>
        <w:rPr>
          <w:rFonts w:hint="eastAsia"/>
          <w:color w:val="auto"/>
          <w:spacing w:val="-12"/>
          <w:lang w:val="en-US"/>
        </w:rPr>
        <w:t>根据《河南省财政厅关于优化政府采购营商环境有关问题的通知》（豫财购【2019】4号）第6条的规定，本项目磋商保证金不再收取，供应商须提供投标承诺书（详见第六章响应文件格式）</w:t>
      </w:r>
    </w:p>
    <w:p w14:paraId="65548097">
      <w:pPr>
        <w:pStyle w:val="5"/>
        <w:spacing w:before="1"/>
        <w:ind w:left="0" w:firstLine="723" w:firstLineChars="300"/>
        <w:rPr>
          <w:color w:val="auto"/>
        </w:rPr>
      </w:pPr>
      <w:r>
        <w:rPr>
          <w:color w:val="auto"/>
        </w:rPr>
        <w:t>17、磋商响应文件有效期</w:t>
      </w:r>
      <w:bookmarkEnd w:id="147"/>
    </w:p>
    <w:p w14:paraId="6969C3E6">
      <w:pPr>
        <w:pStyle w:val="36"/>
        <w:numPr>
          <w:ilvl w:val="1"/>
          <w:numId w:val="3"/>
        </w:numPr>
        <w:tabs>
          <w:tab w:val="left" w:pos="1281"/>
        </w:tabs>
        <w:spacing w:before="161" w:line="364" w:lineRule="auto"/>
        <w:ind w:right="341" w:firstLine="420"/>
        <w:rPr>
          <w:color w:val="auto"/>
          <w:sz w:val="24"/>
        </w:rPr>
      </w:pPr>
      <w:r>
        <w:rPr>
          <w:color w:val="auto"/>
          <w:sz w:val="24"/>
        </w:rPr>
        <w:t>响应性文件从首次递交竞争性磋商响应文件截止时间之日起开始生效，磋商有</w:t>
      </w:r>
      <w:r>
        <w:rPr>
          <w:color w:val="auto"/>
          <w:spacing w:val="-15"/>
          <w:sz w:val="24"/>
        </w:rPr>
        <w:t xml:space="preserve">效期为 </w:t>
      </w:r>
      <w:r>
        <w:rPr>
          <w:color w:val="auto"/>
          <w:sz w:val="24"/>
        </w:rPr>
        <w:t>60</w:t>
      </w:r>
      <w:r>
        <w:rPr>
          <w:color w:val="auto"/>
          <w:spacing w:val="-8"/>
          <w:sz w:val="24"/>
        </w:rPr>
        <w:t xml:space="preserve"> 日历天，有效期短于此规定的响应文件将被视为无效文件。</w:t>
      </w:r>
    </w:p>
    <w:p w14:paraId="6E21EA7A">
      <w:pPr>
        <w:pStyle w:val="36"/>
        <w:numPr>
          <w:ilvl w:val="1"/>
          <w:numId w:val="3"/>
        </w:numPr>
        <w:tabs>
          <w:tab w:val="left" w:pos="1281"/>
        </w:tabs>
        <w:spacing w:before="1" w:line="364" w:lineRule="auto"/>
        <w:ind w:right="338" w:firstLine="420"/>
        <w:jc w:val="both"/>
        <w:rPr>
          <w:color w:val="auto"/>
          <w:sz w:val="24"/>
        </w:rPr>
      </w:pPr>
      <w:r>
        <w:rPr>
          <w:color w:val="auto"/>
          <w:sz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4E21F241">
      <w:pPr>
        <w:pStyle w:val="5"/>
        <w:spacing w:before="2"/>
        <w:rPr>
          <w:color w:val="auto"/>
        </w:rPr>
      </w:pPr>
      <w:bookmarkStart w:id="148" w:name="_Toc14449_WPSOffice_Level3"/>
      <w:r>
        <w:rPr>
          <w:color w:val="auto"/>
        </w:rPr>
        <w:t>18、磋商</w:t>
      </w:r>
      <w:bookmarkEnd w:id="148"/>
    </w:p>
    <w:p w14:paraId="0C67AAB6">
      <w:pPr>
        <w:pStyle w:val="36"/>
        <w:numPr>
          <w:ilvl w:val="1"/>
          <w:numId w:val="4"/>
        </w:numPr>
        <w:tabs>
          <w:tab w:val="left" w:pos="1281"/>
        </w:tabs>
        <w:spacing w:before="160"/>
        <w:rPr>
          <w:color w:val="auto"/>
          <w:sz w:val="24"/>
        </w:rPr>
      </w:pPr>
      <w:r>
        <w:rPr>
          <w:color w:val="auto"/>
          <w:sz w:val="24"/>
        </w:rPr>
        <w:t>采购人按本须知前附表规定的时间和地点磋商。</w:t>
      </w:r>
    </w:p>
    <w:p w14:paraId="1368FA16">
      <w:pPr>
        <w:pStyle w:val="36"/>
        <w:numPr>
          <w:ilvl w:val="1"/>
          <w:numId w:val="4"/>
        </w:numPr>
        <w:tabs>
          <w:tab w:val="left" w:pos="1222"/>
        </w:tabs>
        <w:spacing w:before="161"/>
        <w:ind w:left="1221" w:hanging="481"/>
        <w:rPr>
          <w:color w:val="auto"/>
          <w:sz w:val="24"/>
        </w:rPr>
      </w:pPr>
      <w:r>
        <w:rPr>
          <w:color w:val="auto"/>
          <w:sz w:val="24"/>
        </w:rPr>
        <w:t>磋商会议由采购代理机构主持；</w:t>
      </w:r>
    </w:p>
    <w:p w14:paraId="525D265A">
      <w:pPr>
        <w:pStyle w:val="36"/>
        <w:numPr>
          <w:ilvl w:val="1"/>
          <w:numId w:val="4"/>
        </w:numPr>
        <w:tabs>
          <w:tab w:val="left" w:pos="1222"/>
        </w:tabs>
        <w:spacing w:before="160"/>
        <w:ind w:left="1221" w:hanging="481"/>
        <w:rPr>
          <w:color w:val="auto"/>
          <w:sz w:val="24"/>
        </w:rPr>
      </w:pPr>
      <w:r>
        <w:rPr>
          <w:color w:val="auto"/>
          <w:sz w:val="24"/>
        </w:rPr>
        <w:t>宣布磋商会议纪律；</w:t>
      </w:r>
    </w:p>
    <w:p w14:paraId="693AD301">
      <w:pPr>
        <w:pStyle w:val="36"/>
        <w:numPr>
          <w:ilvl w:val="1"/>
          <w:numId w:val="4"/>
        </w:numPr>
        <w:tabs>
          <w:tab w:val="left" w:pos="1222"/>
        </w:tabs>
        <w:spacing w:before="160"/>
        <w:ind w:left="1221" w:hanging="481"/>
        <w:rPr>
          <w:color w:val="auto"/>
          <w:sz w:val="24"/>
        </w:rPr>
      </w:pPr>
      <w:r>
        <w:rPr>
          <w:color w:val="auto"/>
          <w:spacing w:val="-11"/>
          <w:sz w:val="24"/>
        </w:rPr>
        <w:t>磋商时，电子招标投标交易平台自动提取所有电子化磋商响应文件，按时在线解</w:t>
      </w:r>
      <w:r>
        <w:rPr>
          <w:color w:val="auto"/>
          <w:sz w:val="24"/>
        </w:rPr>
        <w:t>密</w:t>
      </w:r>
      <w:r>
        <w:rPr>
          <w:rFonts w:hint="eastAsia"/>
          <w:color w:val="auto"/>
          <w:sz w:val="24"/>
        </w:rPr>
        <w:t>；</w:t>
      </w:r>
    </w:p>
    <w:p w14:paraId="33B13D2F">
      <w:pPr>
        <w:pStyle w:val="36"/>
        <w:numPr>
          <w:ilvl w:val="1"/>
          <w:numId w:val="4"/>
        </w:numPr>
        <w:tabs>
          <w:tab w:val="left" w:pos="1222"/>
        </w:tabs>
        <w:spacing w:before="161"/>
        <w:ind w:left="1221" w:hanging="481"/>
        <w:rPr>
          <w:color w:val="auto"/>
          <w:sz w:val="24"/>
        </w:rPr>
      </w:pPr>
      <w:r>
        <w:rPr>
          <w:color w:val="auto"/>
          <w:sz w:val="24"/>
        </w:rPr>
        <w:t>电子化磋商响应文件的有效性</w:t>
      </w:r>
    </w:p>
    <w:p w14:paraId="53DDA6AA">
      <w:pPr>
        <w:pStyle w:val="36"/>
        <w:tabs>
          <w:tab w:val="left" w:pos="1222"/>
        </w:tabs>
        <w:spacing w:before="161" w:line="500" w:lineRule="exact"/>
        <w:ind w:left="743" w:firstLine="0"/>
        <w:rPr>
          <w:color w:val="auto"/>
          <w:sz w:val="24"/>
        </w:rPr>
      </w:pPr>
      <w:r>
        <w:rPr>
          <w:rFonts w:hint="eastAsia"/>
          <w:color w:val="auto"/>
          <w:sz w:val="24"/>
          <w:lang w:val="en-US"/>
        </w:rPr>
        <w:t>18.5.1</w:t>
      </w:r>
      <w:r>
        <w:rPr>
          <w:color w:val="auto"/>
          <w:sz w:val="24"/>
        </w:rPr>
        <w:t>电子化磋商响应文件有下列情形的为无效电子化磋商响应文件，采购人不予受理：因磋商响应供应商原因造成磋商响应文件未解密的，视为撤销其磋商响应文件； 因磋商响应供应商之外的原因造成电子化磋商响应文件未解密的，视为撤回其磋商响应文件，磋商响应供应商有权要求责任方赔偿因此遭受的直接损失。部分电子化磋商响应文件未解密的，其他电子化磋商</w:t>
      </w:r>
      <w:r>
        <w:rPr>
          <w:rFonts w:hint="eastAsia"/>
          <w:color w:val="auto"/>
          <w:sz w:val="24"/>
        </w:rPr>
        <w:t>可以继续进行</w:t>
      </w:r>
      <w:r>
        <w:rPr>
          <w:color w:val="auto"/>
          <w:sz w:val="24"/>
        </w:rPr>
        <w:t>。</w:t>
      </w:r>
    </w:p>
    <w:p w14:paraId="634E827C">
      <w:pPr>
        <w:pStyle w:val="5"/>
        <w:spacing w:before="3" w:line="500" w:lineRule="exact"/>
        <w:rPr>
          <w:color w:val="auto"/>
        </w:rPr>
      </w:pPr>
      <w:bookmarkStart w:id="149" w:name="_Toc29167_WPSOffice_Level3"/>
      <w:r>
        <w:rPr>
          <w:color w:val="auto"/>
        </w:rPr>
        <w:t>19、磋商小组</w:t>
      </w:r>
      <w:bookmarkEnd w:id="149"/>
    </w:p>
    <w:p w14:paraId="6CBE0C1D">
      <w:pPr>
        <w:pStyle w:val="36"/>
        <w:numPr>
          <w:ilvl w:val="1"/>
          <w:numId w:val="5"/>
        </w:numPr>
        <w:tabs>
          <w:tab w:val="left" w:pos="1281"/>
        </w:tabs>
        <w:spacing w:before="161" w:line="364" w:lineRule="auto"/>
        <w:ind w:right="338" w:firstLine="420"/>
        <w:jc w:val="both"/>
        <w:rPr>
          <w:color w:val="auto"/>
          <w:sz w:val="24"/>
        </w:rPr>
      </w:pPr>
      <w:r>
        <w:rPr>
          <w:color w:val="auto"/>
          <w:spacing w:val="-9"/>
          <w:sz w:val="24"/>
        </w:rPr>
        <w:t xml:space="preserve">磋商小组由 </w:t>
      </w:r>
      <w:r>
        <w:rPr>
          <w:color w:val="auto"/>
          <w:sz w:val="24"/>
        </w:rPr>
        <w:t>3</w:t>
      </w:r>
      <w:r>
        <w:rPr>
          <w:color w:val="auto"/>
          <w:spacing w:val="-12"/>
          <w:sz w:val="24"/>
        </w:rPr>
        <w:t xml:space="preserve"> 人构成：采购人代表 </w:t>
      </w:r>
      <w:r>
        <w:rPr>
          <w:color w:val="auto"/>
          <w:sz w:val="24"/>
        </w:rPr>
        <w:t>1</w:t>
      </w:r>
      <w:r>
        <w:rPr>
          <w:color w:val="auto"/>
          <w:spacing w:val="-12"/>
          <w:sz w:val="24"/>
        </w:rPr>
        <w:t xml:space="preserve"> 人，经济、技术方面专家 </w:t>
      </w:r>
      <w:r>
        <w:rPr>
          <w:color w:val="auto"/>
          <w:sz w:val="24"/>
        </w:rPr>
        <w:t>2</w:t>
      </w:r>
      <w:r>
        <w:rPr>
          <w:color w:val="auto"/>
          <w:spacing w:val="-9"/>
          <w:sz w:val="24"/>
        </w:rPr>
        <w:t xml:space="preserve"> 人，在磋商会议开始</w:t>
      </w:r>
      <w:r>
        <w:rPr>
          <w:rFonts w:hint="eastAsia"/>
          <w:color w:val="auto"/>
          <w:spacing w:val="-9"/>
          <w:sz w:val="24"/>
          <w:lang w:val="en-US" w:eastAsia="zh-CN"/>
        </w:rPr>
        <w:t>后</w:t>
      </w:r>
      <w:r>
        <w:rPr>
          <w:color w:val="auto"/>
          <w:spacing w:val="-9"/>
          <w:sz w:val="24"/>
        </w:rPr>
        <w:t>从</w:t>
      </w:r>
      <w:r>
        <w:rPr>
          <w:rFonts w:hint="eastAsia"/>
          <w:color w:val="auto"/>
          <w:spacing w:val="-9"/>
          <w:sz w:val="24"/>
          <w:lang w:val="en-US" w:eastAsia="zh-CN"/>
        </w:rPr>
        <w:t>相关</w:t>
      </w:r>
      <w:r>
        <w:rPr>
          <w:rFonts w:hint="eastAsia"/>
          <w:color w:val="auto"/>
          <w:spacing w:val="-9"/>
          <w:sz w:val="24"/>
        </w:rPr>
        <w:t>评标专家库随机抽取。</w:t>
      </w:r>
    </w:p>
    <w:p w14:paraId="6AE581F7">
      <w:pPr>
        <w:pStyle w:val="36"/>
        <w:numPr>
          <w:ilvl w:val="1"/>
          <w:numId w:val="5"/>
        </w:numPr>
        <w:tabs>
          <w:tab w:val="left" w:pos="1281"/>
        </w:tabs>
        <w:spacing w:before="1" w:line="364" w:lineRule="auto"/>
        <w:ind w:right="341" w:firstLine="420"/>
        <w:jc w:val="both"/>
        <w:rPr>
          <w:color w:val="auto"/>
          <w:sz w:val="24"/>
        </w:rPr>
      </w:pPr>
      <w:r>
        <w:rPr>
          <w:color w:val="auto"/>
          <w:sz w:val="24"/>
        </w:rPr>
        <w:t>磋商小组对所有磋商响应供应商的磋商响应文件进行评审，按评审后得分由高到低顺序排列，递交给采购人。</w:t>
      </w:r>
    </w:p>
    <w:p w14:paraId="6ABDB9FA">
      <w:pPr>
        <w:pStyle w:val="36"/>
        <w:numPr>
          <w:ilvl w:val="1"/>
          <w:numId w:val="5"/>
        </w:numPr>
        <w:tabs>
          <w:tab w:val="left" w:pos="1281"/>
        </w:tabs>
        <w:spacing w:before="1" w:line="364" w:lineRule="auto"/>
        <w:ind w:right="338" w:firstLine="420"/>
        <w:jc w:val="both"/>
        <w:rPr>
          <w:color w:val="auto"/>
          <w:sz w:val="24"/>
        </w:rPr>
      </w:pPr>
      <w:r>
        <w:rPr>
          <w:color w:val="auto"/>
          <w:sz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CC75F9F">
      <w:pPr>
        <w:pStyle w:val="36"/>
        <w:numPr>
          <w:ilvl w:val="1"/>
          <w:numId w:val="5"/>
        </w:numPr>
        <w:tabs>
          <w:tab w:val="left" w:pos="1281"/>
        </w:tabs>
        <w:spacing w:before="2" w:line="364" w:lineRule="auto"/>
        <w:ind w:right="338" w:firstLine="420"/>
        <w:jc w:val="both"/>
        <w:rPr>
          <w:color w:val="auto"/>
          <w:sz w:val="24"/>
        </w:rPr>
      </w:pPr>
      <w:r>
        <w:rPr>
          <w:color w:val="auto"/>
          <w:sz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24DD7076">
      <w:pPr>
        <w:pStyle w:val="5"/>
        <w:spacing w:before="3"/>
        <w:rPr>
          <w:color w:val="auto"/>
        </w:rPr>
      </w:pPr>
      <w:bookmarkStart w:id="150" w:name="_Toc30532_WPSOffice_Level3"/>
      <w:r>
        <w:rPr>
          <w:color w:val="auto"/>
        </w:rPr>
        <w:t>20、磋商程序</w:t>
      </w:r>
      <w:bookmarkEnd w:id="150"/>
    </w:p>
    <w:p w14:paraId="10CAF827">
      <w:pPr>
        <w:pStyle w:val="36"/>
        <w:numPr>
          <w:ilvl w:val="1"/>
          <w:numId w:val="6"/>
        </w:numPr>
        <w:tabs>
          <w:tab w:val="left" w:pos="1281"/>
        </w:tabs>
        <w:spacing w:before="161" w:line="364" w:lineRule="auto"/>
        <w:ind w:right="341" w:firstLine="420"/>
        <w:jc w:val="both"/>
        <w:rPr>
          <w:color w:val="auto"/>
          <w:sz w:val="24"/>
        </w:rPr>
      </w:pPr>
      <w:r>
        <w:rPr>
          <w:color w:val="auto"/>
          <w:sz w:val="24"/>
        </w:rPr>
        <w:t>磋商小组所有成员集中评审磋商响应文件及集中与磋商响应供应商分别进行磋商。</w:t>
      </w:r>
    </w:p>
    <w:p w14:paraId="70329772">
      <w:pPr>
        <w:pStyle w:val="36"/>
        <w:numPr>
          <w:ilvl w:val="1"/>
          <w:numId w:val="6"/>
        </w:numPr>
        <w:tabs>
          <w:tab w:val="left" w:pos="1281"/>
        </w:tabs>
        <w:spacing w:before="1" w:line="364" w:lineRule="auto"/>
        <w:ind w:right="218" w:firstLine="420"/>
        <w:rPr>
          <w:color w:val="auto"/>
        </w:rPr>
      </w:pPr>
      <w:r>
        <w:rPr>
          <w:color w:val="auto"/>
          <w:spacing w:val="-4"/>
          <w:sz w:val="24"/>
        </w:rPr>
        <w:t>磋商小组首先对所有磋商响应文件进行资格性和</w:t>
      </w:r>
      <w:r>
        <w:rPr>
          <w:rFonts w:hint="eastAsia"/>
          <w:color w:val="auto"/>
          <w:spacing w:val="-4"/>
          <w:sz w:val="24"/>
        </w:rPr>
        <w:t>初步</w:t>
      </w:r>
      <w:r>
        <w:rPr>
          <w:color w:val="auto"/>
          <w:spacing w:val="-4"/>
          <w:sz w:val="24"/>
        </w:rPr>
        <w:t xml:space="preserve">审查。资格性审查是指： </w:t>
      </w:r>
      <w:r>
        <w:rPr>
          <w:color w:val="auto"/>
          <w:spacing w:val="-2"/>
          <w:sz w:val="24"/>
        </w:rPr>
        <w:t>磋商小组按照竞争性磋商文件第</w:t>
      </w:r>
      <w:r>
        <w:rPr>
          <w:rFonts w:hint="eastAsia"/>
          <w:color w:val="auto"/>
          <w:spacing w:val="-2"/>
          <w:sz w:val="24"/>
        </w:rPr>
        <w:t>四</w:t>
      </w:r>
      <w:r>
        <w:rPr>
          <w:color w:val="auto"/>
          <w:spacing w:val="-2"/>
          <w:sz w:val="24"/>
        </w:rPr>
        <w:t>章</w:t>
      </w:r>
      <w:r>
        <w:rPr>
          <w:rFonts w:hint="eastAsia"/>
          <w:color w:val="auto"/>
          <w:spacing w:val="-2"/>
          <w:sz w:val="24"/>
        </w:rPr>
        <w:t>评审办法</w:t>
      </w:r>
      <w:r>
        <w:rPr>
          <w:color w:val="auto"/>
          <w:spacing w:val="-9"/>
          <w:sz w:val="24"/>
        </w:rPr>
        <w:t>的要求， 对磋商响应供应商进行</w:t>
      </w:r>
      <w:r>
        <w:rPr>
          <w:rFonts w:hint="eastAsia"/>
          <w:color w:val="auto"/>
          <w:spacing w:val="-9"/>
          <w:sz w:val="24"/>
        </w:rPr>
        <w:t>资格</w:t>
      </w:r>
      <w:r>
        <w:rPr>
          <w:color w:val="auto"/>
          <w:spacing w:val="-9"/>
          <w:sz w:val="24"/>
        </w:rPr>
        <w:t>审查，有一项不符合的，视为未通过资格审查，不得进入下一评</w:t>
      </w:r>
      <w:r>
        <w:rPr>
          <w:color w:val="auto"/>
          <w:spacing w:val="-10"/>
          <w:sz w:val="24"/>
        </w:rPr>
        <w:t>审过程。磋商小组按照竞争性磋商文件</w:t>
      </w:r>
      <w:r>
        <w:rPr>
          <w:rFonts w:hint="eastAsia"/>
          <w:color w:val="auto"/>
          <w:spacing w:val="-10"/>
          <w:sz w:val="24"/>
        </w:rPr>
        <w:t>及第四章评审办法中形式、响应性评审</w:t>
      </w:r>
      <w:r>
        <w:rPr>
          <w:color w:val="auto"/>
          <w:spacing w:val="-10"/>
          <w:sz w:val="24"/>
        </w:rPr>
        <w:t>的要求，对磋商响应供应商进行审查，有一项不符合的，视为未通过</w:t>
      </w:r>
      <w:r>
        <w:rPr>
          <w:rFonts w:hint="eastAsia"/>
          <w:color w:val="auto"/>
          <w:spacing w:val="-10"/>
          <w:sz w:val="24"/>
        </w:rPr>
        <w:t>初步</w:t>
      </w:r>
      <w:r>
        <w:rPr>
          <w:color w:val="auto"/>
          <w:spacing w:val="-10"/>
          <w:sz w:val="24"/>
        </w:rPr>
        <w:t>审查。未通过资格性和</w:t>
      </w:r>
      <w:r>
        <w:rPr>
          <w:rFonts w:hint="eastAsia"/>
          <w:color w:val="auto"/>
          <w:spacing w:val="-10"/>
          <w:sz w:val="24"/>
        </w:rPr>
        <w:t>初步</w:t>
      </w:r>
      <w:r>
        <w:rPr>
          <w:color w:val="auto"/>
          <w:spacing w:val="-10"/>
          <w:sz w:val="24"/>
        </w:rPr>
        <w:t>审查的磋商响应文件按无效响应处理，磋商小组应当告知提交磋商响应文件的磋商响</w:t>
      </w:r>
      <w:r>
        <w:rPr>
          <w:color w:val="auto"/>
        </w:rPr>
        <w:t>应供应商。</w:t>
      </w:r>
    </w:p>
    <w:p w14:paraId="42609024">
      <w:pPr>
        <w:pStyle w:val="36"/>
        <w:numPr>
          <w:ilvl w:val="2"/>
          <w:numId w:val="6"/>
        </w:numPr>
        <w:tabs>
          <w:tab w:val="left" w:pos="1521"/>
        </w:tabs>
        <w:spacing w:before="160" w:line="364" w:lineRule="auto"/>
        <w:ind w:right="341" w:firstLine="420"/>
        <w:rPr>
          <w:color w:val="auto"/>
          <w:sz w:val="24"/>
        </w:rPr>
      </w:pPr>
      <w:r>
        <w:rPr>
          <w:color w:val="auto"/>
          <w:sz w:val="24"/>
        </w:rPr>
        <w:t>允许修正磋商响应文件中不构成重大偏离的、微小的、非正规的、不一致或不规则的地方。</w:t>
      </w:r>
    </w:p>
    <w:p w14:paraId="4D7E6E42">
      <w:pPr>
        <w:pStyle w:val="36"/>
        <w:numPr>
          <w:ilvl w:val="2"/>
          <w:numId w:val="6"/>
        </w:numPr>
        <w:tabs>
          <w:tab w:val="left" w:pos="1581"/>
        </w:tabs>
        <w:spacing w:before="1" w:line="364" w:lineRule="auto"/>
        <w:ind w:right="338" w:firstLine="420"/>
        <w:rPr>
          <w:color w:val="auto"/>
          <w:sz w:val="24"/>
        </w:rPr>
      </w:pPr>
      <w:r>
        <w:rPr>
          <w:color w:val="auto"/>
          <w:spacing w:val="-1"/>
          <w:sz w:val="24"/>
        </w:rPr>
        <w:t>磋商小组判断磋商响应文件的响应性仅基于磋商响应文件本身内容而不靠外</w:t>
      </w:r>
      <w:r>
        <w:rPr>
          <w:color w:val="auto"/>
          <w:sz w:val="24"/>
        </w:rPr>
        <w:t>部证据。</w:t>
      </w:r>
    </w:p>
    <w:p w14:paraId="4914432F">
      <w:pPr>
        <w:pStyle w:val="36"/>
        <w:numPr>
          <w:ilvl w:val="2"/>
          <w:numId w:val="6"/>
        </w:numPr>
        <w:tabs>
          <w:tab w:val="left" w:pos="1521"/>
        </w:tabs>
        <w:spacing w:before="2" w:line="364" w:lineRule="auto"/>
        <w:ind w:right="341" w:firstLine="420"/>
        <w:rPr>
          <w:color w:val="auto"/>
          <w:sz w:val="24"/>
        </w:rPr>
      </w:pPr>
      <w:r>
        <w:rPr>
          <w:color w:val="auto"/>
          <w:sz w:val="24"/>
        </w:rPr>
        <w:t>实质性未响应磋商文件要求的响应将被拒绝，磋商响应供应商不得通过修正或撤消不符之处而使其响应成为实质性响应。</w:t>
      </w:r>
    </w:p>
    <w:p w14:paraId="57E37EC8">
      <w:pPr>
        <w:pStyle w:val="36"/>
        <w:numPr>
          <w:ilvl w:val="2"/>
          <w:numId w:val="6"/>
        </w:numPr>
        <w:tabs>
          <w:tab w:val="left" w:pos="1521"/>
        </w:tabs>
        <w:spacing w:before="1" w:line="364" w:lineRule="auto"/>
        <w:ind w:right="341" w:firstLine="420"/>
        <w:rPr>
          <w:color w:val="auto"/>
          <w:sz w:val="24"/>
        </w:rPr>
      </w:pPr>
      <w:r>
        <w:rPr>
          <w:color w:val="auto"/>
          <w:sz w:val="24"/>
        </w:rPr>
        <w:t>实质性未响应是指磋商响应文件中提出了超出磋商文件中</w:t>
      </w:r>
      <w:r>
        <w:rPr>
          <w:rFonts w:hint="eastAsia"/>
          <w:color w:val="auto"/>
          <w:sz w:val="24"/>
          <w:lang w:val="en-US" w:eastAsia="zh-CN"/>
        </w:rPr>
        <w:t>招标范围</w:t>
      </w:r>
      <w:r>
        <w:rPr>
          <w:color w:val="auto"/>
          <w:sz w:val="24"/>
        </w:rPr>
        <w:t>、预算金额、</w:t>
      </w:r>
      <w:r>
        <w:rPr>
          <w:rFonts w:hint="eastAsia"/>
          <w:color w:val="auto"/>
          <w:sz w:val="24"/>
          <w:lang w:val="en-US" w:eastAsia="zh-CN"/>
        </w:rPr>
        <w:t>设计周期</w:t>
      </w:r>
      <w:r>
        <w:rPr>
          <w:color w:val="auto"/>
          <w:sz w:val="24"/>
        </w:rPr>
        <w:t>、技术和服务要求等内容。</w:t>
      </w:r>
    </w:p>
    <w:p w14:paraId="1035C253">
      <w:pPr>
        <w:pStyle w:val="5"/>
        <w:spacing w:before="81" w:line="500" w:lineRule="exact"/>
        <w:rPr>
          <w:color w:val="auto"/>
        </w:rPr>
      </w:pPr>
      <w:bookmarkStart w:id="151" w:name="_Toc31948_WPSOffice_Level3"/>
      <w:r>
        <w:rPr>
          <w:color w:val="auto"/>
        </w:rPr>
        <w:t>21、对磋商响应供应商的评价</w:t>
      </w:r>
      <w:bookmarkEnd w:id="151"/>
    </w:p>
    <w:p w14:paraId="1BCC2094">
      <w:pPr>
        <w:pStyle w:val="36"/>
        <w:numPr>
          <w:ilvl w:val="1"/>
          <w:numId w:val="7"/>
        </w:numPr>
        <w:tabs>
          <w:tab w:val="left" w:pos="1281"/>
        </w:tabs>
        <w:spacing w:before="160" w:line="364" w:lineRule="auto"/>
        <w:ind w:right="341" w:firstLine="420"/>
        <w:rPr>
          <w:color w:val="auto"/>
          <w:sz w:val="24"/>
        </w:rPr>
      </w:pPr>
      <w:r>
        <w:rPr>
          <w:color w:val="auto"/>
          <w:sz w:val="24"/>
        </w:rPr>
        <w:t>磋商小组只对已判定为实质性响应且通过资格审查的磋商响应文件进行详细评价和比较。</w:t>
      </w:r>
    </w:p>
    <w:p w14:paraId="6CC1AF16">
      <w:pPr>
        <w:pStyle w:val="36"/>
        <w:numPr>
          <w:ilvl w:val="1"/>
          <w:numId w:val="7"/>
        </w:numPr>
        <w:tabs>
          <w:tab w:val="left" w:pos="1281"/>
        </w:tabs>
        <w:spacing w:before="2" w:line="364" w:lineRule="auto"/>
        <w:ind w:right="338" w:firstLine="420"/>
        <w:jc w:val="both"/>
        <w:rPr>
          <w:color w:val="auto"/>
          <w:sz w:val="24"/>
        </w:rPr>
      </w:pPr>
      <w:r>
        <w:rPr>
          <w:color w:val="auto"/>
          <w:sz w:val="24"/>
        </w:rPr>
        <w:t>磋商小组所有成员应当集中与单一磋商响应供应商分别进行磋商，并给予所有参加磋商的磋商响应供应商平等的磋商机会。磋商完成后，要求其在规定时间内提交最后报价，提交最后报价的供应商可以为两家。</w:t>
      </w:r>
    </w:p>
    <w:p w14:paraId="640DB292">
      <w:pPr>
        <w:pStyle w:val="36"/>
        <w:numPr>
          <w:ilvl w:val="1"/>
          <w:numId w:val="7"/>
        </w:numPr>
        <w:tabs>
          <w:tab w:val="left" w:pos="1281"/>
        </w:tabs>
        <w:spacing w:before="1" w:line="364" w:lineRule="auto"/>
        <w:ind w:right="338" w:firstLine="420"/>
        <w:jc w:val="both"/>
        <w:rPr>
          <w:color w:val="auto"/>
          <w:sz w:val="24"/>
        </w:rPr>
      </w:pPr>
      <w:r>
        <w:rPr>
          <w:color w:val="auto"/>
          <w:sz w:val="24"/>
        </w:rPr>
        <w:t>经磋商确定最终采购需求和提交最后报价的磋商响应供应商后，磋商小组采用</w:t>
      </w:r>
      <w:r>
        <w:rPr>
          <w:color w:val="auto"/>
          <w:spacing w:val="6"/>
          <w:sz w:val="24"/>
        </w:rPr>
        <w:t>综合评分法对提交最后报价的磋商响应供应商的磋商响应文件和最后报价进行综合评分。</w:t>
      </w:r>
    </w:p>
    <w:p w14:paraId="7A18A665">
      <w:pPr>
        <w:pStyle w:val="8"/>
        <w:spacing w:before="43" w:line="365" w:lineRule="auto"/>
        <w:ind w:left="318" w:right="340" w:firstLine="436" w:firstLineChars="200"/>
        <w:rPr>
          <w:color w:val="auto"/>
        </w:rPr>
      </w:pPr>
      <w:r>
        <w:rPr>
          <w:rFonts w:hint="eastAsia"/>
          <w:color w:val="auto"/>
          <w:spacing w:val="-6"/>
        </w:rPr>
        <w:t>21.4</w:t>
      </w:r>
      <w:r>
        <w:rPr>
          <w:color w:val="auto"/>
          <w:spacing w:val="-6"/>
        </w:rPr>
        <w:t xml:space="preserve">磋商小组根据综合评分情况，按评审得分由高到低的顺序确定成交候选供应商， </w:t>
      </w:r>
      <w:r>
        <w:rPr>
          <w:color w:val="auto"/>
        </w:rPr>
        <w:t>确定排名第一的为成交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FB8E11">
      <w:pPr>
        <w:pStyle w:val="8"/>
        <w:spacing w:before="43" w:line="365" w:lineRule="auto"/>
        <w:ind w:left="318" w:right="340" w:firstLine="460" w:firstLineChars="200"/>
        <w:rPr>
          <w:color w:val="auto"/>
        </w:rPr>
      </w:pPr>
      <w:r>
        <w:rPr>
          <w:rFonts w:hint="eastAsia"/>
          <w:color w:val="auto"/>
        </w:rPr>
        <w:t>21.5</w:t>
      </w:r>
      <w:r>
        <w:rPr>
          <w:color w:val="auto"/>
        </w:rPr>
        <w:t>如果第一名供应商放弃成交资格或因不可抗力提出不能履行合同、竞争性磋商文件规定应当提交履约担保而在规定的期限内未能提交的，采购人将依序确定排名第二名的供应商为成交供应商，也可以重新开展政府采购活动。</w:t>
      </w:r>
    </w:p>
    <w:p w14:paraId="60495E38">
      <w:pPr>
        <w:pStyle w:val="5"/>
        <w:spacing w:before="2"/>
        <w:rPr>
          <w:color w:val="auto"/>
        </w:rPr>
      </w:pPr>
      <w:bookmarkStart w:id="152" w:name="_Toc27346_WPSOffice_Level3"/>
      <w:r>
        <w:rPr>
          <w:color w:val="auto"/>
        </w:rPr>
        <w:t>22、磋商响应文件的澄清</w:t>
      </w:r>
      <w:bookmarkEnd w:id="152"/>
    </w:p>
    <w:p w14:paraId="18D25538">
      <w:pPr>
        <w:pStyle w:val="36"/>
        <w:numPr>
          <w:ilvl w:val="1"/>
          <w:numId w:val="8"/>
        </w:numPr>
        <w:tabs>
          <w:tab w:val="left" w:pos="1281"/>
        </w:tabs>
        <w:spacing w:before="160" w:line="364" w:lineRule="auto"/>
        <w:ind w:right="340" w:firstLine="420"/>
        <w:jc w:val="both"/>
        <w:rPr>
          <w:color w:val="auto"/>
          <w:sz w:val="24"/>
        </w:rPr>
      </w:pPr>
      <w:r>
        <w:rPr>
          <w:color w:val="auto"/>
          <w:sz w:val="24"/>
        </w:rPr>
        <w:t>为了有助于对磋商响应文件进行审查、评估和比较，磋商小组有权向磋商响应供应商质疑。请磋商响应供应商澄清其磋商内容。磋商响应供应商有责任按照磋商小组通知的时间、地点、方式指派委托代理人进行答疑和澄清。</w:t>
      </w:r>
    </w:p>
    <w:p w14:paraId="32B2C2BF">
      <w:pPr>
        <w:pStyle w:val="36"/>
        <w:numPr>
          <w:ilvl w:val="1"/>
          <w:numId w:val="8"/>
        </w:numPr>
        <w:tabs>
          <w:tab w:val="left" w:pos="1281"/>
        </w:tabs>
        <w:spacing w:before="2"/>
        <w:ind w:left="1280"/>
        <w:rPr>
          <w:color w:val="auto"/>
          <w:sz w:val="24"/>
        </w:rPr>
      </w:pPr>
      <w:r>
        <w:rPr>
          <w:color w:val="auto"/>
          <w:sz w:val="24"/>
        </w:rPr>
        <w:t>重要澄清的答复应是书面的，并由法定代表人或其委托代理人签字。</w:t>
      </w:r>
    </w:p>
    <w:p w14:paraId="3BC37BE5">
      <w:pPr>
        <w:pStyle w:val="36"/>
        <w:numPr>
          <w:ilvl w:val="1"/>
          <w:numId w:val="8"/>
        </w:numPr>
        <w:tabs>
          <w:tab w:val="left" w:pos="1281"/>
        </w:tabs>
        <w:spacing w:before="161" w:line="364" w:lineRule="auto"/>
        <w:ind w:right="341" w:firstLine="420"/>
        <w:rPr>
          <w:color w:val="auto"/>
          <w:sz w:val="24"/>
        </w:rPr>
      </w:pPr>
      <w:r>
        <w:rPr>
          <w:color w:val="auto"/>
          <w:sz w:val="24"/>
        </w:rPr>
        <w:t>磋商响应供应商的澄清文件是磋商响应文件的组成部分，并取代磋商响应文件中被澄清的部分。</w:t>
      </w:r>
    </w:p>
    <w:p w14:paraId="77BFB39B">
      <w:pPr>
        <w:pStyle w:val="36"/>
        <w:numPr>
          <w:ilvl w:val="1"/>
          <w:numId w:val="8"/>
        </w:numPr>
        <w:tabs>
          <w:tab w:val="left" w:pos="1281"/>
        </w:tabs>
        <w:spacing w:before="1"/>
        <w:ind w:left="1280"/>
        <w:rPr>
          <w:color w:val="auto"/>
          <w:sz w:val="24"/>
        </w:rPr>
      </w:pPr>
      <w:r>
        <w:rPr>
          <w:color w:val="auto"/>
          <w:sz w:val="24"/>
        </w:rPr>
        <w:t>磋商响应文件澄清部分不得对磋商内容进行实质性修改。</w:t>
      </w:r>
    </w:p>
    <w:p w14:paraId="02C90D7B">
      <w:pPr>
        <w:pStyle w:val="5"/>
        <w:spacing w:before="160"/>
        <w:rPr>
          <w:color w:val="auto"/>
        </w:rPr>
      </w:pPr>
      <w:bookmarkStart w:id="153" w:name="_Toc10070_WPSOffice_Level3"/>
      <w:r>
        <w:rPr>
          <w:color w:val="auto"/>
        </w:rPr>
        <w:t>23、磋商原则和方法</w:t>
      </w:r>
      <w:bookmarkEnd w:id="153"/>
    </w:p>
    <w:p w14:paraId="7A4AD512">
      <w:pPr>
        <w:pStyle w:val="36"/>
        <w:numPr>
          <w:ilvl w:val="1"/>
          <w:numId w:val="9"/>
        </w:numPr>
        <w:tabs>
          <w:tab w:val="left" w:pos="1281"/>
        </w:tabs>
        <w:spacing w:before="161"/>
        <w:rPr>
          <w:color w:val="auto"/>
          <w:sz w:val="24"/>
        </w:rPr>
      </w:pPr>
      <w:r>
        <w:rPr>
          <w:color w:val="auto"/>
          <w:sz w:val="24"/>
        </w:rPr>
        <w:t>坚持公开、公平、公正的原则。</w:t>
      </w:r>
    </w:p>
    <w:p w14:paraId="5DA2A7BD">
      <w:pPr>
        <w:pStyle w:val="36"/>
        <w:numPr>
          <w:ilvl w:val="1"/>
          <w:numId w:val="9"/>
        </w:numPr>
        <w:tabs>
          <w:tab w:val="left" w:pos="1281"/>
        </w:tabs>
        <w:spacing w:before="160" w:line="364" w:lineRule="auto"/>
        <w:ind w:left="320" w:right="341" w:firstLine="420"/>
        <w:rPr>
          <w:color w:val="auto"/>
          <w:sz w:val="24"/>
        </w:rPr>
      </w:pPr>
      <w:r>
        <w:rPr>
          <w:color w:val="auto"/>
          <w:sz w:val="24"/>
        </w:rPr>
        <w:t>磋商在磋商小组应当集中与单一磋商响应供应商分别进行磋商，磋商小组将遵照磋商原则，公正、平等地对待所有磋商响应供应商。</w:t>
      </w:r>
    </w:p>
    <w:p w14:paraId="29860E20">
      <w:pPr>
        <w:pStyle w:val="36"/>
        <w:numPr>
          <w:ilvl w:val="1"/>
          <w:numId w:val="9"/>
        </w:numPr>
        <w:tabs>
          <w:tab w:val="left" w:pos="1281"/>
        </w:tabs>
        <w:spacing w:before="1"/>
        <w:rPr>
          <w:color w:val="auto"/>
          <w:sz w:val="24"/>
        </w:rPr>
      </w:pPr>
      <w:r>
        <w:rPr>
          <w:color w:val="auto"/>
          <w:sz w:val="24"/>
        </w:rPr>
        <w:t>评审方法</w:t>
      </w:r>
    </w:p>
    <w:p w14:paraId="284FF0CF">
      <w:pPr>
        <w:pStyle w:val="36"/>
        <w:numPr>
          <w:ilvl w:val="2"/>
          <w:numId w:val="9"/>
        </w:numPr>
        <w:tabs>
          <w:tab w:val="left" w:pos="1521"/>
        </w:tabs>
        <w:spacing w:before="161"/>
        <w:rPr>
          <w:color w:val="auto"/>
          <w:sz w:val="24"/>
        </w:rPr>
      </w:pPr>
      <w:r>
        <w:rPr>
          <w:color w:val="auto"/>
          <w:sz w:val="24"/>
        </w:rPr>
        <w:t>初步评审（是否响应竞争性磋商文件的要求</w:t>
      </w:r>
      <w:r>
        <w:rPr>
          <w:color w:val="auto"/>
          <w:spacing w:val="-120"/>
          <w:sz w:val="24"/>
        </w:rPr>
        <w:t>）</w:t>
      </w:r>
      <w:r>
        <w:rPr>
          <w:color w:val="auto"/>
          <w:sz w:val="24"/>
        </w:rPr>
        <w:t>，确定合格的磋商响应供应商。</w:t>
      </w:r>
    </w:p>
    <w:p w14:paraId="6677343D">
      <w:pPr>
        <w:pStyle w:val="36"/>
        <w:numPr>
          <w:ilvl w:val="2"/>
          <w:numId w:val="9"/>
        </w:numPr>
        <w:tabs>
          <w:tab w:val="left" w:pos="1521"/>
        </w:tabs>
        <w:spacing w:before="161"/>
        <w:rPr>
          <w:color w:val="auto"/>
          <w:sz w:val="24"/>
        </w:rPr>
      </w:pPr>
      <w:r>
        <w:rPr>
          <w:color w:val="auto"/>
          <w:sz w:val="24"/>
        </w:rPr>
        <w:t>各磋商响应供应商依据各自情况进行最后报价。</w:t>
      </w:r>
    </w:p>
    <w:p w14:paraId="1C401B96">
      <w:pPr>
        <w:pStyle w:val="36"/>
        <w:numPr>
          <w:ilvl w:val="2"/>
          <w:numId w:val="9"/>
        </w:numPr>
        <w:tabs>
          <w:tab w:val="left" w:pos="1521"/>
        </w:tabs>
        <w:spacing w:before="160" w:line="364" w:lineRule="auto"/>
        <w:ind w:left="320" w:right="341" w:firstLine="420"/>
        <w:rPr>
          <w:color w:val="auto"/>
          <w:sz w:val="24"/>
        </w:rPr>
      </w:pPr>
      <w:r>
        <w:rPr>
          <w:color w:val="auto"/>
          <w:sz w:val="24"/>
        </w:rPr>
        <w:t>经磋商确定最终采购需求和提交最后报价的磋商响应供应商，有磋商小组采用综合评分法对提交最后报价的磋商响应供应商的响应文件和最后报价进行综合评分。</w:t>
      </w:r>
    </w:p>
    <w:p w14:paraId="43F53033">
      <w:pPr>
        <w:pStyle w:val="5"/>
        <w:spacing w:before="2"/>
        <w:rPr>
          <w:color w:val="auto"/>
        </w:rPr>
      </w:pPr>
      <w:bookmarkStart w:id="154" w:name="_Toc5813_WPSOffice_Level3"/>
      <w:r>
        <w:rPr>
          <w:color w:val="auto"/>
        </w:rPr>
        <w:t>24、</w:t>
      </w:r>
      <w:r>
        <w:rPr>
          <w:rFonts w:hint="eastAsia"/>
          <w:color w:val="auto"/>
        </w:rPr>
        <w:t>推荐</w:t>
      </w:r>
      <w:r>
        <w:rPr>
          <w:color w:val="auto"/>
        </w:rPr>
        <w:t>成交供应商</w:t>
      </w:r>
      <w:bookmarkEnd w:id="154"/>
      <w:r>
        <w:rPr>
          <w:rFonts w:hint="eastAsia"/>
          <w:color w:val="auto"/>
        </w:rPr>
        <w:t>候选人</w:t>
      </w:r>
    </w:p>
    <w:p w14:paraId="051A58BD">
      <w:pPr>
        <w:pStyle w:val="8"/>
        <w:spacing w:before="160" w:line="364" w:lineRule="auto"/>
        <w:ind w:right="338" w:firstLine="420"/>
        <w:jc w:val="both"/>
        <w:rPr>
          <w:color w:val="auto"/>
        </w:rPr>
      </w:pPr>
      <w:r>
        <w:rPr>
          <w:color w:val="auto"/>
        </w:rPr>
        <w:t>24.1</w:t>
      </w:r>
      <w:r>
        <w:rPr>
          <w:color w:val="auto"/>
          <w:spacing w:val="-5"/>
        </w:rPr>
        <w:t xml:space="preserve"> 磋商小组应当根据综合评分情况，按照评审有高到低的顺序推荐</w:t>
      </w:r>
      <w:r>
        <w:rPr>
          <w:rFonts w:hint="eastAsia"/>
          <w:color w:val="auto"/>
          <w:spacing w:val="-5"/>
        </w:rPr>
        <w:t>3名</w:t>
      </w:r>
      <w:r>
        <w:rPr>
          <w:color w:val="auto"/>
          <w:spacing w:val="-5"/>
        </w:rPr>
        <w:t>成交候选供应商，并向采购人提供书面评审报告</w:t>
      </w:r>
      <w:r>
        <w:rPr>
          <w:rFonts w:hint="eastAsia"/>
          <w:color w:val="auto"/>
          <w:spacing w:val="-5"/>
        </w:rPr>
        <w:t>。</w:t>
      </w:r>
    </w:p>
    <w:p w14:paraId="27FD90AA">
      <w:pPr>
        <w:pStyle w:val="5"/>
        <w:spacing w:before="2"/>
        <w:rPr>
          <w:color w:val="auto"/>
        </w:rPr>
      </w:pPr>
      <w:bookmarkStart w:id="155" w:name="_Toc28609_WPSOffice_Level3"/>
      <w:r>
        <w:rPr>
          <w:color w:val="auto"/>
        </w:rPr>
        <w:t>25、保密及其它注意事项</w:t>
      </w:r>
      <w:bookmarkEnd w:id="155"/>
    </w:p>
    <w:p w14:paraId="0ABB6987">
      <w:pPr>
        <w:pStyle w:val="36"/>
        <w:numPr>
          <w:ilvl w:val="1"/>
          <w:numId w:val="10"/>
        </w:numPr>
        <w:tabs>
          <w:tab w:val="left" w:pos="1281"/>
        </w:tabs>
        <w:spacing w:before="160" w:line="500" w:lineRule="exact"/>
        <w:rPr>
          <w:color w:val="auto"/>
          <w:sz w:val="24"/>
        </w:rPr>
      </w:pPr>
      <w:r>
        <w:rPr>
          <w:color w:val="auto"/>
          <w:sz w:val="24"/>
        </w:rPr>
        <w:t>评审工作是磋商工作的重要环节，评审工作在磋商小组内独立进行。</w:t>
      </w:r>
    </w:p>
    <w:p w14:paraId="6872BE2C">
      <w:pPr>
        <w:pStyle w:val="8"/>
        <w:spacing w:before="43" w:line="500" w:lineRule="exact"/>
        <w:rPr>
          <w:color w:val="auto"/>
        </w:rPr>
      </w:pPr>
      <w:r>
        <w:rPr>
          <w:color w:val="auto"/>
        </w:rPr>
        <w:t>在评审期间，磋商响应供应商不得向磋商小组成员询问评审情况，不得进行影响评审结果的活动。否则其响应将会被拒绝。</w:t>
      </w:r>
    </w:p>
    <w:p w14:paraId="31422624">
      <w:pPr>
        <w:pStyle w:val="36"/>
        <w:numPr>
          <w:ilvl w:val="1"/>
          <w:numId w:val="10"/>
        </w:numPr>
        <w:tabs>
          <w:tab w:val="left" w:pos="1281"/>
        </w:tabs>
        <w:spacing w:before="160" w:line="364" w:lineRule="auto"/>
        <w:ind w:left="320" w:right="341" w:firstLine="420"/>
        <w:rPr>
          <w:color w:val="auto"/>
          <w:sz w:val="24"/>
        </w:rPr>
      </w:pPr>
      <w:r>
        <w:rPr>
          <w:color w:val="auto"/>
          <w:sz w:val="24"/>
        </w:rPr>
        <w:t>为保证评审的公正性，磋商开始后直至授予成交供应商合同，磋商小组成员不得与供应商私下交换意见。</w:t>
      </w:r>
    </w:p>
    <w:p w14:paraId="58205F18">
      <w:pPr>
        <w:pStyle w:val="36"/>
        <w:numPr>
          <w:ilvl w:val="1"/>
          <w:numId w:val="10"/>
        </w:numPr>
        <w:tabs>
          <w:tab w:val="left" w:pos="1281"/>
        </w:tabs>
        <w:spacing w:before="1" w:line="364" w:lineRule="auto"/>
        <w:ind w:left="320" w:right="341" w:firstLine="420"/>
        <w:rPr>
          <w:color w:val="auto"/>
          <w:sz w:val="24"/>
        </w:rPr>
      </w:pPr>
      <w:r>
        <w:rPr>
          <w:color w:val="auto"/>
          <w:sz w:val="24"/>
        </w:rPr>
        <w:t>在评审工作结束后，凡与评审情况有接触的任何人不得擅自将评审情况扩散出评审人员之外。</w:t>
      </w:r>
    </w:p>
    <w:p w14:paraId="2C9D151F">
      <w:pPr>
        <w:pStyle w:val="5"/>
        <w:spacing w:before="2"/>
        <w:rPr>
          <w:color w:val="auto"/>
        </w:rPr>
      </w:pPr>
      <w:bookmarkStart w:id="156" w:name="_Toc27984_WPSOffice_Level3"/>
      <w:r>
        <w:rPr>
          <w:color w:val="auto"/>
        </w:rPr>
        <w:t>26、</w:t>
      </w:r>
      <w:r>
        <w:rPr>
          <w:rFonts w:hint="eastAsia"/>
          <w:color w:val="auto"/>
        </w:rPr>
        <w:t>定标、</w:t>
      </w:r>
      <w:r>
        <w:rPr>
          <w:color w:val="auto"/>
        </w:rPr>
        <w:t>成交通知</w:t>
      </w:r>
      <w:bookmarkEnd w:id="156"/>
    </w:p>
    <w:p w14:paraId="3A2DF782">
      <w:pPr>
        <w:pStyle w:val="5"/>
        <w:spacing w:before="2" w:line="520" w:lineRule="exact"/>
        <w:ind w:left="0" w:leftChars="0" w:firstLine="654" w:firstLineChars="300"/>
        <w:rPr>
          <w:b w:val="0"/>
          <w:bCs w:val="0"/>
          <w:color w:val="auto"/>
          <w:spacing w:val="-11"/>
          <w:szCs w:val="22"/>
        </w:rPr>
      </w:pPr>
      <w:r>
        <w:rPr>
          <w:rFonts w:hint="eastAsia"/>
          <w:b w:val="0"/>
          <w:bCs w:val="0"/>
          <w:color w:val="auto"/>
          <w:spacing w:val="-11"/>
          <w:szCs w:val="22"/>
        </w:rPr>
        <w:t>26.1采购人依据磋商小组推荐的成交候选人确定成交人，磋商小组推荐3名成交候选人。采购人将依序确定排名第一的供应商为成交人，若排名第一的成交候选人放弃中标、因不可抗力不能履行合同，或者被查实存在影响成交结果的违法行为等情形，不符合成交条件的，采购人可以按照磋商小组提出的成交候选人名单排序依次确定其他成交候选人为成交人，也可以重新招标。</w:t>
      </w:r>
    </w:p>
    <w:p w14:paraId="1C610988">
      <w:pPr>
        <w:pStyle w:val="36"/>
        <w:tabs>
          <w:tab w:val="left" w:pos="1281"/>
        </w:tabs>
        <w:spacing w:before="160" w:line="364" w:lineRule="auto"/>
        <w:ind w:left="0" w:leftChars="0" w:right="338" w:firstLine="436" w:firstLineChars="200"/>
        <w:rPr>
          <w:color w:val="auto"/>
          <w:sz w:val="24"/>
        </w:rPr>
      </w:pPr>
      <w:r>
        <w:rPr>
          <w:rFonts w:hint="eastAsia"/>
          <w:color w:val="auto"/>
          <w:spacing w:val="-11"/>
          <w:sz w:val="24"/>
        </w:rPr>
        <w:t>26.2</w:t>
      </w:r>
      <w:r>
        <w:rPr>
          <w:color w:val="auto"/>
          <w:spacing w:val="-11"/>
          <w:sz w:val="24"/>
        </w:rPr>
        <w:t>成交供应商确定后，采购人向成交供应商签发《成交通知书》，并将成交结果通</w:t>
      </w:r>
      <w:r>
        <w:rPr>
          <w:color w:val="auto"/>
          <w:sz w:val="24"/>
        </w:rPr>
        <w:t>知所有未成交的磋商响应供应商。</w:t>
      </w:r>
    </w:p>
    <w:p w14:paraId="05F1BAEA">
      <w:pPr>
        <w:pStyle w:val="36"/>
        <w:tabs>
          <w:tab w:val="left" w:pos="1281"/>
        </w:tabs>
        <w:spacing w:before="160" w:line="364" w:lineRule="auto"/>
        <w:ind w:left="0" w:leftChars="0" w:right="338" w:firstLine="476" w:firstLineChars="200"/>
        <w:rPr>
          <w:color w:val="auto"/>
          <w:sz w:val="24"/>
        </w:rPr>
      </w:pPr>
      <w:r>
        <w:rPr>
          <w:rFonts w:hint="eastAsia"/>
          <w:color w:val="auto"/>
          <w:spacing w:val="-1"/>
          <w:sz w:val="24"/>
        </w:rPr>
        <w:t>26.3</w:t>
      </w:r>
      <w:r>
        <w:rPr>
          <w:color w:val="auto"/>
          <w:spacing w:val="-1"/>
          <w:sz w:val="24"/>
        </w:rPr>
        <w:t xml:space="preserve">《成交通知书》作为签订合同的依据，对采购人和成交供应商均具有法律效力， </w:t>
      </w:r>
      <w:r>
        <w:rPr>
          <w:color w:val="auto"/>
          <w:sz w:val="24"/>
        </w:rPr>
        <w:t>成交通知书发出后，采购人改变成交结果或者成交供应商放弃项目，应依法承担法律责任。</w:t>
      </w:r>
    </w:p>
    <w:p w14:paraId="160EFC99">
      <w:pPr>
        <w:pStyle w:val="5"/>
        <w:spacing w:before="2"/>
        <w:rPr>
          <w:color w:val="auto"/>
        </w:rPr>
      </w:pPr>
      <w:bookmarkStart w:id="157" w:name="_Toc8188_WPSOffice_Level3"/>
      <w:r>
        <w:rPr>
          <w:color w:val="auto"/>
        </w:rPr>
        <w:t>27、授予合同时变更数量的权力</w:t>
      </w:r>
      <w:bookmarkEnd w:id="157"/>
    </w:p>
    <w:p w14:paraId="3BE3DD26">
      <w:pPr>
        <w:pStyle w:val="8"/>
        <w:spacing w:before="177" w:line="328" w:lineRule="auto"/>
        <w:ind w:right="341" w:firstLine="420"/>
        <w:rPr>
          <w:color w:val="auto"/>
        </w:rPr>
      </w:pPr>
      <w:r>
        <w:rPr>
          <w:color w:val="auto"/>
        </w:rPr>
        <w:t>27.1 采购人在授予合同时，保留对货物数量予以适当增减的权利。成交供应商不得在此情况下对磋商响应文件做出修改，如价格、服务承诺等。</w:t>
      </w:r>
    </w:p>
    <w:p w14:paraId="7F2837EF">
      <w:pPr>
        <w:pStyle w:val="5"/>
        <w:spacing w:line="305" w:lineRule="exact"/>
        <w:rPr>
          <w:color w:val="auto"/>
        </w:rPr>
      </w:pPr>
      <w:bookmarkStart w:id="158" w:name="_Toc30112_WPSOffice_Level3"/>
      <w:r>
        <w:rPr>
          <w:color w:val="auto"/>
        </w:rPr>
        <w:t>28、签订合同</w:t>
      </w:r>
      <w:bookmarkEnd w:id="158"/>
    </w:p>
    <w:p w14:paraId="12995BF0">
      <w:pPr>
        <w:pStyle w:val="36"/>
        <w:numPr>
          <w:ilvl w:val="1"/>
          <w:numId w:val="11"/>
        </w:numPr>
        <w:tabs>
          <w:tab w:val="left" w:pos="1281"/>
        </w:tabs>
        <w:spacing w:before="113" w:line="328" w:lineRule="auto"/>
        <w:ind w:right="218" w:firstLine="420"/>
        <w:rPr>
          <w:color w:val="auto"/>
          <w:sz w:val="24"/>
        </w:rPr>
      </w:pPr>
      <w:r>
        <w:rPr>
          <w:color w:val="auto"/>
          <w:spacing w:val="-10"/>
          <w:sz w:val="24"/>
        </w:rPr>
        <w:t>成交供应商接到《成交通知书》后</w:t>
      </w:r>
      <w:r>
        <w:rPr>
          <w:color w:val="auto"/>
          <w:spacing w:val="-1"/>
          <w:sz w:val="24"/>
        </w:rPr>
        <w:t>按指定地点与采购人签订采购合同</w:t>
      </w:r>
      <w:r>
        <w:rPr>
          <w:rFonts w:hint="eastAsia"/>
          <w:color w:val="auto"/>
          <w:spacing w:val="-1"/>
          <w:sz w:val="24"/>
        </w:rPr>
        <w:t>；</w:t>
      </w:r>
    </w:p>
    <w:p w14:paraId="576DCAC3">
      <w:pPr>
        <w:pStyle w:val="36"/>
        <w:numPr>
          <w:ilvl w:val="1"/>
          <w:numId w:val="11"/>
        </w:numPr>
        <w:tabs>
          <w:tab w:val="left" w:pos="1281"/>
        </w:tabs>
        <w:spacing w:line="328" w:lineRule="auto"/>
        <w:ind w:right="341" w:firstLine="420"/>
        <w:rPr>
          <w:color w:val="auto"/>
          <w:sz w:val="24"/>
        </w:rPr>
      </w:pPr>
      <w:r>
        <w:rPr>
          <w:color w:val="auto"/>
          <w:sz w:val="24"/>
        </w:rPr>
        <w:t>采购人签发的成交通知书、竞争性磋商文件、成交供应商的磋商响应文件及其澄清文件等，均为签订合同的依据。</w:t>
      </w:r>
    </w:p>
    <w:p w14:paraId="16FF6976">
      <w:pPr>
        <w:pStyle w:val="36"/>
        <w:numPr>
          <w:ilvl w:val="1"/>
          <w:numId w:val="11"/>
        </w:numPr>
        <w:tabs>
          <w:tab w:val="left" w:pos="1281"/>
        </w:tabs>
        <w:spacing w:line="328" w:lineRule="auto"/>
        <w:ind w:right="340" w:firstLine="420"/>
        <w:rPr>
          <w:color w:val="auto"/>
          <w:sz w:val="24"/>
        </w:rPr>
      </w:pPr>
      <w:r>
        <w:rPr>
          <w:color w:val="auto"/>
          <w:spacing w:val="-2"/>
          <w:sz w:val="24"/>
        </w:rPr>
        <w:t xml:space="preserve">如成交供应商拒签合同，则按违约处理，采购人对违约方收取成交金额 </w:t>
      </w:r>
      <w:r>
        <w:rPr>
          <w:color w:val="auto"/>
          <w:sz w:val="24"/>
        </w:rPr>
        <w:t>2%</w:t>
      </w:r>
      <w:r>
        <w:rPr>
          <w:color w:val="auto"/>
          <w:spacing w:val="-8"/>
          <w:sz w:val="24"/>
        </w:rPr>
        <w:t>的违</w:t>
      </w:r>
      <w:r>
        <w:rPr>
          <w:color w:val="auto"/>
          <w:sz w:val="24"/>
        </w:rPr>
        <w:t>约金。</w:t>
      </w:r>
    </w:p>
    <w:p w14:paraId="3C4B8ABF">
      <w:pPr>
        <w:pStyle w:val="5"/>
        <w:spacing w:line="305" w:lineRule="exact"/>
        <w:rPr>
          <w:color w:val="auto"/>
        </w:rPr>
      </w:pPr>
      <w:bookmarkStart w:id="159" w:name="_Toc7342_WPSOffice_Level3"/>
      <w:r>
        <w:rPr>
          <w:rFonts w:hint="eastAsia"/>
          <w:color w:val="auto"/>
          <w:lang w:val="en-US"/>
        </w:rPr>
        <w:t>29、</w:t>
      </w:r>
      <w:r>
        <w:rPr>
          <w:color w:val="auto"/>
        </w:rPr>
        <w:t>特别注意事项：</w:t>
      </w:r>
      <w:bookmarkEnd w:id="159"/>
    </w:p>
    <w:p w14:paraId="49FBE0DF">
      <w:pPr>
        <w:pStyle w:val="36"/>
        <w:numPr>
          <w:ilvl w:val="1"/>
          <w:numId w:val="12"/>
        </w:numPr>
        <w:tabs>
          <w:tab w:val="left" w:pos="1341"/>
        </w:tabs>
        <w:spacing w:before="113"/>
        <w:rPr>
          <w:color w:val="auto"/>
          <w:sz w:val="24"/>
        </w:rPr>
      </w:pPr>
      <w:r>
        <w:rPr>
          <w:color w:val="auto"/>
          <w:sz w:val="24"/>
        </w:rPr>
        <w:t>磋商响应供应商出现下列情形之一的，磋商小组可取消其磋商资格：</w:t>
      </w:r>
    </w:p>
    <w:p w14:paraId="44EA357D">
      <w:pPr>
        <w:pStyle w:val="36"/>
        <w:numPr>
          <w:ilvl w:val="0"/>
          <w:numId w:val="13"/>
        </w:numPr>
        <w:tabs>
          <w:tab w:val="left" w:pos="1342"/>
        </w:tabs>
        <w:spacing w:before="112"/>
        <w:rPr>
          <w:color w:val="auto"/>
          <w:sz w:val="24"/>
        </w:rPr>
      </w:pPr>
      <w:r>
        <w:rPr>
          <w:color w:val="auto"/>
          <w:sz w:val="24"/>
        </w:rPr>
        <w:t>未按磋商文件要求和规定提交实质性响应材料的；</w:t>
      </w:r>
    </w:p>
    <w:p w14:paraId="252A948F">
      <w:pPr>
        <w:pStyle w:val="36"/>
        <w:numPr>
          <w:ilvl w:val="0"/>
          <w:numId w:val="13"/>
        </w:numPr>
        <w:tabs>
          <w:tab w:val="left" w:pos="1342"/>
        </w:tabs>
        <w:spacing w:before="113"/>
        <w:rPr>
          <w:color w:val="auto"/>
          <w:sz w:val="24"/>
        </w:rPr>
      </w:pPr>
      <w:r>
        <w:rPr>
          <w:color w:val="auto"/>
          <w:sz w:val="24"/>
        </w:rPr>
        <w:t>相互串通磋商的（有下列情形之一的，视为磋商响应供应商相互串通磋商</w:t>
      </w:r>
      <w:r>
        <w:rPr>
          <w:color w:val="auto"/>
          <w:spacing w:val="-120"/>
          <w:sz w:val="24"/>
        </w:rPr>
        <w:t>）</w:t>
      </w:r>
      <w:r>
        <w:rPr>
          <w:color w:val="auto"/>
          <w:sz w:val="24"/>
        </w:rPr>
        <w:t>；</w:t>
      </w:r>
    </w:p>
    <w:p w14:paraId="73903209">
      <w:pPr>
        <w:pStyle w:val="8"/>
        <w:spacing w:before="112"/>
        <w:ind w:left="740"/>
        <w:rPr>
          <w:color w:val="auto"/>
        </w:rPr>
      </w:pPr>
      <w:r>
        <w:rPr>
          <w:color w:val="auto"/>
        </w:rPr>
        <w:t>A、不同磋商响应供应商的响应文件由同一单位或者个人编制</w:t>
      </w:r>
    </w:p>
    <w:p w14:paraId="06480DDF">
      <w:pPr>
        <w:pStyle w:val="8"/>
        <w:spacing w:before="113"/>
        <w:ind w:left="740"/>
        <w:rPr>
          <w:color w:val="auto"/>
        </w:rPr>
      </w:pPr>
      <w:r>
        <w:rPr>
          <w:color w:val="auto"/>
        </w:rPr>
        <w:t>B、不同磋商响应供应商委托同一单位或者个人办理磋商事宜</w:t>
      </w:r>
    </w:p>
    <w:p w14:paraId="05EC106D">
      <w:pPr>
        <w:pStyle w:val="8"/>
        <w:spacing w:before="112"/>
        <w:ind w:left="740"/>
        <w:rPr>
          <w:color w:val="auto"/>
        </w:rPr>
      </w:pPr>
      <w:r>
        <w:rPr>
          <w:color w:val="auto"/>
        </w:rPr>
        <w:t>C、不同磋商响应供应商的响应文件载明的项目管理成员为同一人</w:t>
      </w:r>
    </w:p>
    <w:p w14:paraId="497413FF">
      <w:pPr>
        <w:pStyle w:val="8"/>
        <w:spacing w:before="113"/>
        <w:ind w:left="740"/>
        <w:rPr>
          <w:color w:val="auto"/>
        </w:rPr>
      </w:pPr>
      <w:r>
        <w:rPr>
          <w:color w:val="auto"/>
        </w:rPr>
        <w:t>D、不同磋商响应供应商的响应文件异常一致或者磋商报价呈规律性差异</w:t>
      </w:r>
    </w:p>
    <w:p w14:paraId="4D83E5EA">
      <w:pPr>
        <w:pStyle w:val="36"/>
        <w:numPr>
          <w:ilvl w:val="1"/>
          <w:numId w:val="12"/>
        </w:numPr>
        <w:tabs>
          <w:tab w:val="left" w:pos="1341"/>
        </w:tabs>
        <w:spacing w:before="112"/>
        <w:rPr>
          <w:color w:val="auto"/>
          <w:sz w:val="24"/>
        </w:rPr>
      </w:pPr>
      <w:r>
        <w:rPr>
          <w:color w:val="auto"/>
          <w:sz w:val="24"/>
        </w:rPr>
        <w:t>磋商响应供应商出现下列情形之一的，将被视为非实质性响应磋商文件要求：</w:t>
      </w:r>
    </w:p>
    <w:p w14:paraId="171DD226">
      <w:pPr>
        <w:pStyle w:val="36"/>
        <w:numPr>
          <w:ilvl w:val="0"/>
          <w:numId w:val="14"/>
        </w:numPr>
        <w:tabs>
          <w:tab w:val="left" w:pos="1221"/>
        </w:tabs>
        <w:spacing w:before="113"/>
        <w:rPr>
          <w:color w:val="auto"/>
          <w:sz w:val="24"/>
        </w:rPr>
      </w:pPr>
      <w:r>
        <w:rPr>
          <w:color w:val="auto"/>
          <w:sz w:val="24"/>
        </w:rPr>
        <w:t>交货（完成）期限不确切或不符合磋商文件要求的；</w:t>
      </w:r>
    </w:p>
    <w:p w14:paraId="22DF16AD">
      <w:pPr>
        <w:pStyle w:val="36"/>
        <w:numPr>
          <w:ilvl w:val="0"/>
          <w:numId w:val="14"/>
        </w:numPr>
        <w:tabs>
          <w:tab w:val="left" w:pos="1221"/>
        </w:tabs>
        <w:spacing w:before="112"/>
        <w:rPr>
          <w:color w:val="auto"/>
          <w:sz w:val="24"/>
        </w:rPr>
      </w:pPr>
      <w:r>
        <w:rPr>
          <w:color w:val="auto"/>
          <w:sz w:val="24"/>
        </w:rPr>
        <w:t>最后报价有选择性的；</w:t>
      </w:r>
    </w:p>
    <w:p w14:paraId="7DE07E4F">
      <w:pPr>
        <w:pStyle w:val="36"/>
        <w:numPr>
          <w:ilvl w:val="0"/>
          <w:numId w:val="14"/>
        </w:numPr>
        <w:tabs>
          <w:tab w:val="left" w:pos="1221"/>
        </w:tabs>
        <w:spacing w:before="113"/>
        <w:rPr>
          <w:color w:val="auto"/>
          <w:sz w:val="24"/>
        </w:rPr>
      </w:pPr>
      <w:r>
        <w:rPr>
          <w:color w:val="auto"/>
          <w:sz w:val="24"/>
        </w:rPr>
        <w:t>最后报价超过采购预算金额的；</w:t>
      </w:r>
    </w:p>
    <w:p w14:paraId="3AF65E67">
      <w:pPr>
        <w:pStyle w:val="36"/>
        <w:numPr>
          <w:ilvl w:val="0"/>
          <w:numId w:val="14"/>
        </w:numPr>
        <w:tabs>
          <w:tab w:val="left" w:pos="1221"/>
        </w:tabs>
        <w:spacing w:before="112"/>
        <w:rPr>
          <w:color w:val="auto"/>
          <w:sz w:val="24"/>
        </w:rPr>
      </w:pPr>
      <w:r>
        <w:rPr>
          <w:color w:val="auto"/>
          <w:sz w:val="24"/>
        </w:rPr>
        <w:t>被磋商小组认定存在重大负偏离的；</w:t>
      </w:r>
    </w:p>
    <w:p w14:paraId="56530D45">
      <w:pPr>
        <w:pStyle w:val="8"/>
        <w:spacing w:before="113" w:line="328" w:lineRule="auto"/>
        <w:ind w:right="338" w:firstLine="420"/>
        <w:jc w:val="both"/>
        <w:rPr>
          <w:color w:val="auto"/>
        </w:rPr>
      </w:pPr>
      <w:r>
        <w:rPr>
          <w:color w:val="auto"/>
          <w:spacing w:val="-11"/>
        </w:rPr>
        <w:t>注：所谓重大负偏离是指磋商响应供应商对磋商文件的响应在范围、质量、数量和交</w:t>
      </w:r>
      <w:r>
        <w:rPr>
          <w:color w:val="auto"/>
        </w:rPr>
        <w:t>货（完成）期限、技术规格要求等方面明显不能满足采购需求的。重大负偏离的认定须经磋商小组三分之二以上同意。</w:t>
      </w:r>
    </w:p>
    <w:p w14:paraId="597C71E5">
      <w:pPr>
        <w:pStyle w:val="5"/>
        <w:numPr>
          <w:ilvl w:val="0"/>
          <w:numId w:val="12"/>
        </w:numPr>
        <w:tabs>
          <w:tab w:val="left" w:pos="1222"/>
        </w:tabs>
        <w:spacing w:line="304" w:lineRule="exact"/>
        <w:rPr>
          <w:color w:val="auto"/>
          <w:sz w:val="22"/>
        </w:rPr>
      </w:pPr>
      <w:bookmarkStart w:id="160" w:name="_Toc7366_WPSOffice_Level3"/>
      <w:r>
        <w:rPr>
          <w:color w:val="auto"/>
        </w:rPr>
        <w:t>询问</w:t>
      </w:r>
      <w:bookmarkEnd w:id="160"/>
    </w:p>
    <w:p w14:paraId="43C41145">
      <w:pPr>
        <w:pStyle w:val="36"/>
        <w:numPr>
          <w:ilvl w:val="1"/>
          <w:numId w:val="12"/>
        </w:numPr>
        <w:tabs>
          <w:tab w:val="left" w:pos="1341"/>
        </w:tabs>
        <w:spacing w:before="112" w:line="328" w:lineRule="auto"/>
        <w:ind w:left="320" w:right="338" w:firstLine="420"/>
        <w:rPr>
          <w:color w:val="auto"/>
          <w:sz w:val="24"/>
        </w:rPr>
      </w:pPr>
      <w:r>
        <w:rPr>
          <w:color w:val="auto"/>
          <w:spacing w:val="-1"/>
          <w:sz w:val="24"/>
        </w:rPr>
        <w:t>磋商响应供应商对采购事项有疑问，可以按照《政府采购法》的相关规定向采</w:t>
      </w:r>
      <w:r>
        <w:rPr>
          <w:color w:val="auto"/>
          <w:sz w:val="24"/>
        </w:rPr>
        <w:t>购人或采购机构提出询问。</w:t>
      </w:r>
    </w:p>
    <w:p w14:paraId="29DD759E">
      <w:pPr>
        <w:pStyle w:val="5"/>
        <w:numPr>
          <w:ilvl w:val="0"/>
          <w:numId w:val="12"/>
        </w:numPr>
        <w:tabs>
          <w:tab w:val="left" w:pos="1222"/>
        </w:tabs>
        <w:spacing w:line="304" w:lineRule="exact"/>
        <w:rPr>
          <w:rFonts w:ascii="宋体" w:hAnsi="宋体" w:eastAsia="宋体" w:cs="宋体"/>
          <w:color w:val="auto"/>
        </w:rPr>
      </w:pPr>
      <w:r>
        <w:rPr>
          <w:rFonts w:hint="eastAsia" w:ascii="宋体" w:hAnsi="宋体" w:eastAsia="宋体" w:cs="宋体"/>
          <w:color w:val="auto"/>
        </w:rPr>
        <w:t>重新招标</w:t>
      </w:r>
    </w:p>
    <w:p w14:paraId="1A978433">
      <w:pPr>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kern w:val="1"/>
          <w:sz w:val="24"/>
          <w:szCs w:val="24"/>
          <w:lang w:val="en-US" w:eastAsia="zh-CN" w:bidi="ar-SA"/>
        </w:rPr>
      </w:pPr>
      <w:bookmarkStart w:id="161" w:name="_Toc438797215"/>
      <w:bookmarkStart w:id="162" w:name="_Toc391284777"/>
      <w:bookmarkStart w:id="163" w:name="_Toc438797980"/>
      <w:r>
        <w:rPr>
          <w:rFonts w:hint="eastAsia" w:ascii="宋体" w:hAnsi="宋体" w:eastAsia="宋体" w:cs="宋体"/>
          <w:b w:val="0"/>
          <w:bCs w:val="0"/>
          <w:color w:val="auto"/>
          <w:kern w:val="1"/>
          <w:sz w:val="24"/>
          <w:szCs w:val="24"/>
          <w:lang w:val="en-US" w:eastAsia="zh-CN" w:bidi="ar-SA"/>
        </w:rPr>
        <w:t xml:space="preserve">出现下列情形之一的，将终止竞争性磋商磋商活动，发布项目终止公告并说明原因，重新开展磋商活动： </w:t>
      </w:r>
    </w:p>
    <w:p w14:paraId="712B42E5">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（1）因情况变化，不再符合规定的竞争性磋商磋商方式,适用情形的；出现 </w:t>
      </w:r>
    </w:p>
    <w:p w14:paraId="1F03F4C5">
      <w:pPr>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影响磋商公正的违法、违规行为的； </w:t>
      </w:r>
    </w:p>
    <w:p w14:paraId="7EB40371">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（2）不符合法律、法规和竞争性磋商文件规定的其他实质性要求的； </w:t>
      </w:r>
    </w:p>
    <w:p w14:paraId="4AAD5FC0">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（3）其他法律、法规及本竞争性磋商文件规定的属响应无效的情形，终止竞争性磋商磋商活动的条款等；</w:t>
      </w:r>
    </w:p>
    <w:p w14:paraId="53ACE1F2">
      <w:pPr>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r>
        <w:rPr>
          <w:rFonts w:hint="eastAsia" w:ascii="宋体" w:hAnsi="宋体" w:eastAsia="宋体" w:cs="宋体"/>
          <w:b w:val="0"/>
          <w:bCs w:val="0"/>
          <w:color w:val="auto"/>
          <w:kern w:val="1"/>
          <w:sz w:val="24"/>
          <w:szCs w:val="24"/>
          <w:lang w:val="en-US" w:eastAsia="zh-CN" w:bidi="ar-SA"/>
        </w:rPr>
        <w:t>（4）磋商截止时间后参加</w:t>
      </w:r>
      <w:r>
        <w:rPr>
          <w:rFonts w:hint="eastAsia" w:ascii="宋体" w:hAnsi="宋体" w:cs="宋体"/>
          <w:b w:val="0"/>
          <w:bCs w:val="0"/>
          <w:color w:val="auto"/>
          <w:kern w:val="1"/>
          <w:sz w:val="24"/>
          <w:szCs w:val="24"/>
          <w:lang w:val="en-US" w:eastAsia="zh-CN" w:bidi="ar-SA"/>
        </w:rPr>
        <w:t>开标的</w:t>
      </w:r>
      <w:r>
        <w:rPr>
          <w:rFonts w:hint="eastAsia" w:ascii="宋体" w:hAnsi="宋体" w:eastAsia="宋体" w:cs="宋体"/>
          <w:b w:val="0"/>
          <w:bCs w:val="0"/>
          <w:color w:val="auto"/>
          <w:kern w:val="1"/>
          <w:sz w:val="24"/>
          <w:szCs w:val="24"/>
          <w:lang w:val="en-US" w:eastAsia="zh-CN" w:bidi="ar-SA"/>
        </w:rPr>
        <w:t>供应商不足3家的，应重新组织采购，评审期间</w:t>
      </w:r>
      <w:r>
        <w:rPr>
          <w:rFonts w:hint="eastAsia" w:ascii="宋体" w:hAnsi="宋体" w:cs="宋体"/>
          <w:b w:val="0"/>
          <w:bCs w:val="0"/>
          <w:color w:val="auto"/>
          <w:kern w:val="1"/>
          <w:sz w:val="24"/>
          <w:szCs w:val="24"/>
          <w:lang w:val="en-US" w:eastAsia="zh-CN" w:bidi="ar-SA"/>
        </w:rPr>
        <w:t>通过资格审查</w:t>
      </w:r>
      <w:r>
        <w:rPr>
          <w:rFonts w:hint="eastAsia" w:ascii="宋体" w:hAnsi="宋体" w:eastAsia="宋体" w:cs="宋体"/>
          <w:b w:val="0"/>
          <w:bCs w:val="0"/>
          <w:color w:val="auto"/>
          <w:kern w:val="1"/>
          <w:sz w:val="24"/>
          <w:szCs w:val="24"/>
          <w:lang w:val="en-US" w:eastAsia="zh-CN" w:bidi="ar-SA"/>
        </w:rPr>
        <w:t>的供应商或者对磋商响应文件作出实质响应的供应商不足3家的，应重新组织采购。</w:t>
      </w:r>
      <w:bookmarkEnd w:id="161"/>
      <w:bookmarkEnd w:id="162"/>
      <w:bookmarkEnd w:id="163"/>
    </w:p>
    <w:p w14:paraId="78A2357E">
      <w:pPr>
        <w:pStyle w:val="5"/>
        <w:numPr>
          <w:ilvl w:val="0"/>
          <w:numId w:val="12"/>
        </w:numPr>
        <w:tabs>
          <w:tab w:val="left" w:pos="1105"/>
        </w:tabs>
        <w:spacing w:line="305" w:lineRule="exact"/>
        <w:ind w:left="1104" w:hanging="364"/>
        <w:rPr>
          <w:color w:val="auto"/>
          <w:sz w:val="22"/>
        </w:rPr>
      </w:pPr>
      <w:bookmarkStart w:id="164" w:name="_Toc13604_WPSOffice_Level3"/>
      <w:r>
        <w:rPr>
          <w:color w:val="auto"/>
        </w:rPr>
        <w:t>质疑程序及处理</w:t>
      </w:r>
      <w:bookmarkEnd w:id="164"/>
    </w:p>
    <w:p w14:paraId="20A09A1F">
      <w:pPr>
        <w:pStyle w:val="36"/>
        <w:numPr>
          <w:ilvl w:val="1"/>
          <w:numId w:val="12"/>
        </w:numPr>
        <w:tabs>
          <w:tab w:val="left" w:pos="1341"/>
        </w:tabs>
        <w:spacing w:before="113" w:line="328" w:lineRule="auto"/>
        <w:ind w:left="320" w:right="338" w:firstLine="420"/>
        <w:jc w:val="both"/>
        <w:rPr>
          <w:color w:val="auto"/>
          <w:sz w:val="24"/>
        </w:rPr>
      </w:pPr>
      <w:r>
        <w:rPr>
          <w:color w:val="auto"/>
          <w:spacing w:val="-1"/>
          <w:sz w:val="24"/>
        </w:rPr>
        <w:t>若竞争性磋商响应人认为其磋商未获公平评审或磋商文件、采购过程和成交结</w:t>
      </w:r>
      <w:r>
        <w:rPr>
          <w:color w:val="auto"/>
          <w:spacing w:val="-4"/>
          <w:sz w:val="24"/>
        </w:rPr>
        <w:t xml:space="preserve">果使自己的合法权益受到损害，可以在知道或者应知其权益受到损害之日起 </w:t>
      </w:r>
      <w:r>
        <w:rPr>
          <w:color w:val="auto"/>
          <w:sz w:val="24"/>
        </w:rPr>
        <w:t>7</w:t>
      </w:r>
      <w:r>
        <w:rPr>
          <w:color w:val="auto"/>
          <w:spacing w:val="-4"/>
          <w:sz w:val="24"/>
        </w:rPr>
        <w:t xml:space="preserve"> 个工作日</w:t>
      </w:r>
      <w:r>
        <w:rPr>
          <w:color w:val="auto"/>
          <w:sz w:val="24"/>
        </w:rPr>
        <w:t>内，将质疑书原件送达采购人或采购代理机构。提出质疑期限的计算，依照下列规定办理：</w:t>
      </w:r>
    </w:p>
    <w:p w14:paraId="1EA81751">
      <w:pPr>
        <w:pStyle w:val="8"/>
        <w:spacing w:line="328" w:lineRule="auto"/>
        <w:ind w:right="338" w:firstLine="420"/>
        <w:rPr>
          <w:color w:val="auto"/>
        </w:rPr>
      </w:pPr>
      <w:r>
        <w:rPr>
          <w:color w:val="auto"/>
        </w:rPr>
        <w:t>（一</w:t>
      </w:r>
      <w:r>
        <w:rPr>
          <w:color w:val="auto"/>
          <w:spacing w:val="-58"/>
        </w:rPr>
        <w:t>）</w:t>
      </w:r>
      <w:r>
        <w:rPr>
          <w:color w:val="auto"/>
          <w:spacing w:val="-5"/>
        </w:rPr>
        <w:t>对可以质疑的磋商文件提出质疑的，为收到磋商文件之日或者磋商文件公告期</w:t>
      </w:r>
      <w:r>
        <w:rPr>
          <w:color w:val="auto"/>
        </w:rPr>
        <w:t>限届满之日；</w:t>
      </w:r>
    </w:p>
    <w:p w14:paraId="43091412">
      <w:pPr>
        <w:pStyle w:val="8"/>
        <w:spacing w:line="305" w:lineRule="exact"/>
        <w:ind w:left="740"/>
        <w:rPr>
          <w:color w:val="auto"/>
        </w:rPr>
      </w:pPr>
      <w:r>
        <w:rPr>
          <w:color w:val="auto"/>
        </w:rPr>
        <w:t>（二）对采购过程提出质疑的，为各采购程序环节结束之日；</w:t>
      </w:r>
    </w:p>
    <w:p w14:paraId="3EEBFD6A">
      <w:pPr>
        <w:pStyle w:val="8"/>
        <w:spacing w:before="107"/>
        <w:ind w:left="740"/>
        <w:rPr>
          <w:color w:val="auto"/>
        </w:rPr>
      </w:pPr>
      <w:r>
        <w:rPr>
          <w:color w:val="auto"/>
        </w:rPr>
        <w:t>（三）对成交结果提出质疑的，为成交结果公告期限届满之日。</w:t>
      </w:r>
    </w:p>
    <w:p w14:paraId="4397194D">
      <w:pPr>
        <w:pStyle w:val="36"/>
        <w:numPr>
          <w:ilvl w:val="1"/>
          <w:numId w:val="12"/>
        </w:numPr>
        <w:tabs>
          <w:tab w:val="left" w:pos="1341"/>
        </w:tabs>
        <w:spacing w:before="113" w:line="328" w:lineRule="auto"/>
        <w:ind w:left="320" w:right="340" w:firstLine="420"/>
        <w:rPr>
          <w:color w:val="auto"/>
          <w:sz w:val="24"/>
        </w:rPr>
      </w:pPr>
      <w:r>
        <w:rPr>
          <w:color w:val="auto"/>
          <w:spacing w:val="-1"/>
          <w:sz w:val="24"/>
        </w:rPr>
        <w:t>质疑书应当包括下列主要内容，并按照“谁主张、谁举证”的原则，附上相关</w:t>
      </w:r>
      <w:r>
        <w:rPr>
          <w:color w:val="auto"/>
          <w:sz w:val="24"/>
        </w:rPr>
        <w:t>证明材料。否则，采购人不予受理：</w:t>
      </w:r>
    </w:p>
    <w:p w14:paraId="2A73062E">
      <w:pPr>
        <w:pStyle w:val="8"/>
        <w:spacing w:line="328" w:lineRule="auto"/>
        <w:ind w:right="337" w:firstLine="420"/>
        <w:rPr>
          <w:color w:val="auto"/>
        </w:rPr>
      </w:pPr>
      <w:r>
        <w:rPr>
          <w:color w:val="auto"/>
        </w:rPr>
        <w:t>（一</w:t>
      </w:r>
      <w:r>
        <w:rPr>
          <w:color w:val="auto"/>
          <w:spacing w:val="-24"/>
        </w:rPr>
        <w:t>）</w:t>
      </w:r>
      <w:r>
        <w:rPr>
          <w:color w:val="auto"/>
          <w:spacing w:val="-7"/>
        </w:rPr>
        <w:t>质疑磋商响应供应商全称、地址、法定代表人、联系人及联系电话、邮政编码</w:t>
      </w:r>
      <w:r>
        <w:rPr>
          <w:color w:val="auto"/>
        </w:rPr>
        <w:t>等；</w:t>
      </w:r>
    </w:p>
    <w:p w14:paraId="5431E34D">
      <w:pPr>
        <w:pStyle w:val="8"/>
        <w:spacing w:line="305" w:lineRule="exact"/>
        <w:ind w:left="740"/>
        <w:rPr>
          <w:color w:val="auto"/>
        </w:rPr>
      </w:pPr>
      <w:r>
        <w:rPr>
          <w:color w:val="auto"/>
        </w:rPr>
        <w:t>（二）被质疑采购项目的名称、编号；</w:t>
      </w:r>
    </w:p>
    <w:p w14:paraId="7709645E">
      <w:pPr>
        <w:pStyle w:val="8"/>
        <w:spacing w:before="110"/>
        <w:ind w:left="740"/>
        <w:rPr>
          <w:color w:val="auto"/>
        </w:rPr>
      </w:pPr>
      <w:r>
        <w:rPr>
          <w:color w:val="auto"/>
        </w:rPr>
        <w:t>（三）质疑的具体事项、明确的请求和主张；</w:t>
      </w:r>
    </w:p>
    <w:p w14:paraId="7088D3BE">
      <w:pPr>
        <w:pStyle w:val="8"/>
        <w:spacing w:before="112" w:line="328" w:lineRule="auto"/>
        <w:ind w:right="338" w:firstLine="420"/>
        <w:rPr>
          <w:color w:val="auto"/>
        </w:rPr>
      </w:pPr>
      <w:r>
        <w:rPr>
          <w:color w:val="auto"/>
        </w:rPr>
        <w:t>（四）质疑所依据的法律依据（具体条款</w:t>
      </w:r>
      <w:r>
        <w:rPr>
          <w:color w:val="auto"/>
          <w:spacing w:val="-120"/>
        </w:rPr>
        <w:t>）</w:t>
      </w:r>
      <w:r>
        <w:rPr>
          <w:color w:val="auto"/>
          <w:spacing w:val="-1"/>
        </w:rPr>
        <w:t>、具体事实和具体理由。质疑书依据理由</w:t>
      </w:r>
      <w:r>
        <w:rPr>
          <w:color w:val="auto"/>
        </w:rPr>
        <w:t>部分只有主观陈述、推理、猜测等，而没有提供客观事实依据、法律依据的；</w:t>
      </w:r>
    </w:p>
    <w:p w14:paraId="63FA1B94">
      <w:pPr>
        <w:pStyle w:val="8"/>
        <w:spacing w:line="328" w:lineRule="auto"/>
        <w:ind w:right="337" w:firstLine="420"/>
        <w:rPr>
          <w:color w:val="auto"/>
        </w:rPr>
      </w:pPr>
      <w:r>
        <w:rPr>
          <w:color w:val="auto"/>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4FEE86A1">
      <w:pPr>
        <w:pStyle w:val="8"/>
        <w:spacing w:line="328" w:lineRule="auto"/>
        <w:ind w:right="337" w:firstLine="420"/>
        <w:rPr>
          <w:color w:val="auto"/>
        </w:rPr>
      </w:pPr>
      <w:r>
        <w:rPr>
          <w:color w:val="auto"/>
        </w:rPr>
        <w:t>（六）充足有效的相关证明材料；如果涉及到产品功能或技术指标的，应出具相关制造商的证明文件；</w:t>
      </w:r>
    </w:p>
    <w:p w14:paraId="0EBD303C">
      <w:pPr>
        <w:pStyle w:val="8"/>
        <w:spacing w:line="328" w:lineRule="auto"/>
        <w:ind w:right="337" w:firstLine="420"/>
        <w:rPr>
          <w:color w:val="auto"/>
        </w:rPr>
      </w:pPr>
      <w:r>
        <w:rPr>
          <w:color w:val="auto"/>
        </w:rPr>
        <w:t>（七）质疑材料中有外文资料的，应一并附上中文译本，并以中文译本为准。</w:t>
      </w:r>
    </w:p>
    <w:p w14:paraId="2EC4CFF8">
      <w:pPr>
        <w:pStyle w:val="8"/>
        <w:spacing w:line="328" w:lineRule="auto"/>
        <w:ind w:right="337" w:firstLine="420"/>
        <w:rPr>
          <w:color w:val="auto"/>
        </w:rPr>
      </w:pPr>
      <w:r>
        <w:rPr>
          <w:color w:val="auto"/>
        </w:rPr>
        <w:t>（八）提起质疑的日期</w:t>
      </w:r>
    </w:p>
    <w:p w14:paraId="0EDD2F63">
      <w:pPr>
        <w:pStyle w:val="8"/>
        <w:spacing w:line="328" w:lineRule="auto"/>
        <w:ind w:right="337" w:firstLine="420"/>
        <w:rPr>
          <w:color w:val="auto"/>
        </w:rPr>
      </w:pPr>
      <w:r>
        <w:rPr>
          <w:color w:val="auto"/>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61A4C60F">
      <w:pPr>
        <w:pStyle w:val="36"/>
        <w:numPr>
          <w:ilvl w:val="1"/>
          <w:numId w:val="12"/>
        </w:numPr>
        <w:tabs>
          <w:tab w:val="left" w:pos="1341"/>
        </w:tabs>
        <w:spacing w:line="328" w:lineRule="auto"/>
        <w:ind w:left="320" w:right="338" w:firstLine="420"/>
        <w:jc w:val="both"/>
        <w:rPr>
          <w:color w:val="auto"/>
          <w:sz w:val="24"/>
        </w:rPr>
      </w:pPr>
      <w:r>
        <w:rPr>
          <w:color w:val="auto"/>
          <w:spacing w:val="-1"/>
          <w:sz w:val="24"/>
        </w:rPr>
        <w:t>磋商响应供应商委托代理人办理质疑事宜，应当提交授权委托书，并载明委托</w:t>
      </w:r>
      <w:r>
        <w:rPr>
          <w:color w:val="auto"/>
          <w:sz w:val="24"/>
        </w:rPr>
        <w:t>代理的具体权限和事项。授权委托书应当由委托人签字并加盖单位公章。</w:t>
      </w:r>
    </w:p>
    <w:p w14:paraId="1B79DFFE">
      <w:pPr>
        <w:pStyle w:val="36"/>
        <w:numPr>
          <w:ilvl w:val="1"/>
          <w:numId w:val="12"/>
        </w:numPr>
        <w:tabs>
          <w:tab w:val="left" w:pos="1341"/>
        </w:tabs>
        <w:spacing w:line="328" w:lineRule="auto"/>
        <w:ind w:left="320" w:right="338" w:firstLine="420"/>
        <w:jc w:val="both"/>
        <w:rPr>
          <w:color w:val="auto"/>
          <w:sz w:val="24"/>
        </w:rPr>
      </w:pPr>
      <w:r>
        <w:rPr>
          <w:color w:val="auto"/>
          <w:spacing w:val="-1"/>
          <w:sz w:val="24"/>
        </w:rPr>
        <w:t>提交质疑书时，磋商响应供应商应同时提交本人身份证，委托他人代理质疑事</w:t>
      </w:r>
      <w:r>
        <w:rPr>
          <w:color w:val="auto"/>
          <w:sz w:val="24"/>
        </w:rPr>
        <w:t>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08A0B1E9">
      <w:pPr>
        <w:pStyle w:val="36"/>
        <w:numPr>
          <w:ilvl w:val="1"/>
          <w:numId w:val="12"/>
        </w:numPr>
        <w:tabs>
          <w:tab w:val="left" w:pos="1341"/>
        </w:tabs>
        <w:spacing w:line="328" w:lineRule="auto"/>
        <w:ind w:left="320" w:right="338" w:firstLine="420"/>
        <w:jc w:val="both"/>
        <w:rPr>
          <w:color w:val="auto"/>
          <w:sz w:val="24"/>
        </w:rPr>
      </w:pPr>
      <w:r>
        <w:rPr>
          <w:color w:val="auto"/>
          <w:spacing w:val="-1"/>
          <w:sz w:val="24"/>
        </w:rPr>
        <w:t>质疑书提交方式。磋商响应供应商或者其委托代理人应当当面提交质疑书及相</w:t>
      </w:r>
      <w:r>
        <w:rPr>
          <w:color w:val="auto"/>
          <w:sz w:val="24"/>
        </w:rPr>
        <w:t>关证明材料。磋商响应供应商以电子邮件、传真等其他方式提交质疑书及相关证明材料的，或者不是磋商响应供应商或者其委托代理人提交质疑书及相关证明材料的，采购人或采购机构可以拒收。</w:t>
      </w:r>
    </w:p>
    <w:p w14:paraId="68705E42">
      <w:pPr>
        <w:pStyle w:val="36"/>
        <w:numPr>
          <w:ilvl w:val="1"/>
          <w:numId w:val="12"/>
        </w:numPr>
        <w:tabs>
          <w:tab w:val="left" w:pos="1341"/>
        </w:tabs>
        <w:spacing w:line="328" w:lineRule="auto"/>
        <w:ind w:left="320" w:right="338" w:firstLine="420"/>
        <w:jc w:val="both"/>
        <w:rPr>
          <w:color w:val="auto"/>
          <w:sz w:val="24"/>
        </w:rPr>
      </w:pPr>
      <w:r>
        <w:rPr>
          <w:color w:val="auto"/>
          <w:spacing w:val="-1"/>
          <w:sz w:val="24"/>
        </w:rPr>
        <w:t>磋商响应供应商不得虚假质疑和恶意质疑，并对质疑内容的真实性承担责任。</w:t>
      </w:r>
      <w:r>
        <w:rPr>
          <w:color w:val="auto"/>
          <w:sz w:val="24"/>
        </w:rPr>
        <w:t>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5CFF3204">
      <w:pPr>
        <w:pStyle w:val="36"/>
        <w:numPr>
          <w:ilvl w:val="1"/>
          <w:numId w:val="12"/>
        </w:numPr>
        <w:tabs>
          <w:tab w:val="left" w:pos="1341"/>
        </w:tabs>
        <w:spacing w:line="328" w:lineRule="auto"/>
        <w:ind w:left="320" w:right="218" w:firstLine="420"/>
        <w:jc w:val="both"/>
        <w:rPr>
          <w:color w:val="auto"/>
          <w:sz w:val="24"/>
        </w:rPr>
      </w:pPr>
      <w:r>
        <w:rPr>
          <w:color w:val="auto"/>
          <w:sz w:val="24"/>
        </w:rPr>
        <w:t>采购人将在收到符合上述条件的书面质疑后 7</w:t>
      </w:r>
      <w:r>
        <w:rPr>
          <w:color w:val="auto"/>
          <w:spacing w:val="-9"/>
          <w:sz w:val="24"/>
        </w:rPr>
        <w:t xml:space="preserve"> 个工作日内审查质疑事项，作出答复或相关处理决定，并以书面形式通知质疑磋商响应供应商和其他有关磋商响应供应商，但答复的内容不涉及商业秘密。若质疑涉及磋商制度或程序，将被转交政府采购的</w:t>
      </w:r>
      <w:r>
        <w:rPr>
          <w:color w:val="auto"/>
          <w:spacing w:val="-12"/>
          <w:sz w:val="24"/>
        </w:rPr>
        <w:t>管理部门审查。采购人遵循“谁过错谁负担”的原则，有过错的一方承担调查论证费用。</w:t>
      </w:r>
    </w:p>
    <w:p w14:paraId="47ED3419">
      <w:pPr>
        <w:pStyle w:val="36"/>
        <w:numPr>
          <w:ilvl w:val="1"/>
          <w:numId w:val="12"/>
        </w:numPr>
        <w:tabs>
          <w:tab w:val="left" w:pos="1341"/>
        </w:tabs>
        <w:spacing w:line="328" w:lineRule="auto"/>
        <w:ind w:left="320" w:right="338" w:firstLine="420"/>
        <w:jc w:val="both"/>
        <w:rPr>
          <w:color w:val="auto"/>
          <w:highlight w:val="none"/>
        </w:rPr>
      </w:pPr>
      <w:r>
        <w:rPr>
          <w:color w:val="auto"/>
          <w:spacing w:val="-1"/>
          <w:sz w:val="24"/>
          <w:highlight w:val="none"/>
        </w:rPr>
        <w:t xml:space="preserve">质疑供应商对采购人的答复不满意以及采购人未在规定的时间内做出答复的， </w:t>
      </w:r>
      <w:r>
        <w:rPr>
          <w:color w:val="auto"/>
          <w:spacing w:val="-7"/>
          <w:sz w:val="24"/>
          <w:highlight w:val="none"/>
        </w:rPr>
        <w:t xml:space="preserve">可以在答复期满后 </w:t>
      </w:r>
      <w:r>
        <w:rPr>
          <w:color w:val="auto"/>
          <w:sz w:val="24"/>
          <w:highlight w:val="none"/>
        </w:rPr>
        <w:t>15</w:t>
      </w:r>
      <w:r>
        <w:rPr>
          <w:color w:val="auto"/>
          <w:spacing w:val="-8"/>
          <w:sz w:val="24"/>
          <w:highlight w:val="none"/>
        </w:rPr>
        <w:t xml:space="preserve"> 个工作日内向财政部门投诉。</w:t>
      </w:r>
    </w:p>
    <w:p w14:paraId="265F4A76">
      <w:pPr>
        <w:pStyle w:val="36"/>
        <w:widowControl w:val="0"/>
        <w:numPr>
          <w:ilvl w:val="0"/>
          <w:numId w:val="0"/>
        </w:numPr>
        <w:tabs>
          <w:tab w:val="left" w:pos="1341"/>
        </w:tabs>
        <w:autoSpaceDE w:val="0"/>
        <w:autoSpaceDN w:val="0"/>
        <w:spacing w:line="240" w:lineRule="auto"/>
        <w:ind w:right="0" w:rightChars="0" w:firstLine="717" w:firstLineChars="300"/>
        <w:jc w:val="both"/>
        <w:rPr>
          <w:rFonts w:hint="eastAsia"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33.招标代理服务收费参照豫招协[2023]002号河南省招标投标协会关于印发《河南省招标代理服务收费指导意见》规定的收费标准收取中标服务费。</w:t>
      </w:r>
    </w:p>
    <w:p w14:paraId="51411AB9">
      <w:pPr>
        <w:pStyle w:val="36"/>
        <w:widowControl w:val="0"/>
        <w:numPr>
          <w:ilvl w:val="0"/>
          <w:numId w:val="0"/>
        </w:numPr>
        <w:tabs>
          <w:tab w:val="left" w:pos="1341"/>
        </w:tabs>
        <w:autoSpaceDE w:val="0"/>
        <w:autoSpaceDN w:val="0"/>
        <w:spacing w:line="240" w:lineRule="auto"/>
        <w:ind w:left="0" w:leftChars="0" w:right="0" w:rightChars="0"/>
        <w:jc w:val="both"/>
        <w:rPr>
          <w:rFonts w:hint="default" w:ascii="宋体" w:hAnsi="宋体" w:eastAsia="宋体" w:cs="宋体"/>
          <w:b/>
          <w:bCs/>
          <w:color w:val="auto"/>
          <w:spacing w:val="-1"/>
          <w:sz w:val="24"/>
          <w:highlight w:val="none"/>
          <w:lang w:val="en-US" w:eastAsia="zh-CN"/>
        </w:rPr>
      </w:pPr>
    </w:p>
    <w:p w14:paraId="66C4D563">
      <w:pPr>
        <w:pStyle w:val="36"/>
        <w:widowControl w:val="0"/>
        <w:numPr>
          <w:ilvl w:val="0"/>
          <w:numId w:val="0"/>
        </w:numPr>
        <w:tabs>
          <w:tab w:val="left" w:pos="1341"/>
        </w:tabs>
        <w:autoSpaceDE w:val="0"/>
        <w:autoSpaceDN w:val="0"/>
        <w:spacing w:line="240" w:lineRule="auto"/>
        <w:ind w:right="0" w:rightChars="0" w:firstLine="717" w:firstLineChars="300"/>
        <w:jc w:val="both"/>
        <w:outlineLvl w:val="0"/>
        <w:rPr>
          <w:rFonts w:hint="default" w:ascii="宋体" w:hAnsi="宋体" w:eastAsia="宋体" w:cs="宋体"/>
          <w:b/>
          <w:bCs/>
          <w:color w:val="auto"/>
          <w:spacing w:val="-1"/>
          <w:sz w:val="24"/>
          <w:highlight w:val="none"/>
          <w:lang w:val="en-US" w:eastAsia="zh-CN"/>
        </w:rPr>
      </w:pPr>
      <w:bookmarkStart w:id="165" w:name="_Toc10193"/>
      <w:r>
        <w:rPr>
          <w:rFonts w:hint="eastAsia" w:ascii="宋体" w:hAnsi="宋体" w:eastAsia="宋体" w:cs="宋体"/>
          <w:b/>
          <w:bCs/>
          <w:color w:val="auto"/>
          <w:spacing w:val="-1"/>
          <w:sz w:val="24"/>
          <w:highlight w:val="none"/>
          <w:lang w:val="en-US" w:eastAsia="zh-CN"/>
        </w:rPr>
        <w:t>河南省招标代理服务费计算标准</w:t>
      </w:r>
      <w:bookmarkEnd w:id="165"/>
    </w:p>
    <w:tbl>
      <w:tblPr>
        <w:tblStyle w:val="22"/>
        <w:tblpPr w:leftFromText="180" w:rightFromText="180" w:vertAnchor="text" w:horzAnchor="page" w:tblpX="1468" w:tblpY="396"/>
        <w:tblOverlap w:val="never"/>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1E9E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750B21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E0020E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D091B9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73013B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489D9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ACB26EA">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217D86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B3D986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893D90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2639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8567F14">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0D9973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100AFD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0C7244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5CA9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66A809E">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62075C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652414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32FFC6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1EF6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auto" w:sz="4" w:space="0"/>
              <w:right w:val="single" w:color="000000" w:sz="4" w:space="0"/>
            </w:tcBorders>
            <w:noWrap w:val="0"/>
            <w:vAlign w:val="center"/>
          </w:tcPr>
          <w:p w14:paraId="64285C7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auto" w:sz="4" w:space="0"/>
              <w:right w:val="single" w:color="000000" w:sz="4" w:space="0"/>
            </w:tcBorders>
            <w:noWrap w:val="0"/>
            <w:vAlign w:val="center"/>
          </w:tcPr>
          <w:p w14:paraId="3E1F492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auto" w:sz="4" w:space="0"/>
              <w:right w:val="single" w:color="000000" w:sz="4" w:space="0"/>
            </w:tcBorders>
            <w:noWrap w:val="0"/>
            <w:vAlign w:val="center"/>
          </w:tcPr>
          <w:p w14:paraId="335652C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auto" w:sz="4" w:space="0"/>
              <w:right w:val="single" w:color="000000" w:sz="4" w:space="0"/>
            </w:tcBorders>
            <w:noWrap w:val="0"/>
            <w:vAlign w:val="center"/>
          </w:tcPr>
          <w:p w14:paraId="368CBAD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2B7B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noWrap w:val="0"/>
            <w:vAlign w:val="center"/>
          </w:tcPr>
          <w:p w14:paraId="3098A6B9">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B74777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3CCA9DB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79F2252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19FF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noWrap w:val="0"/>
            <w:vAlign w:val="center"/>
          </w:tcPr>
          <w:p w14:paraId="6A5EC6F2">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4192AE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34DBB5A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55AAF7D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3409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noWrap w:val="0"/>
            <w:vAlign w:val="center"/>
          </w:tcPr>
          <w:p w14:paraId="50FC145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DCECD6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32CA368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76D3022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1B9D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000000" w:sz="4" w:space="0"/>
              <w:bottom w:val="single" w:color="000000" w:sz="4" w:space="0"/>
              <w:right w:val="single" w:color="000000" w:sz="4" w:space="0"/>
            </w:tcBorders>
            <w:noWrap w:val="0"/>
            <w:vAlign w:val="center"/>
          </w:tcPr>
          <w:p w14:paraId="080B3BDC">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auto" w:sz="4" w:space="0"/>
              <w:left w:val="single" w:color="000000" w:sz="4" w:space="0"/>
              <w:bottom w:val="single" w:color="000000" w:sz="4" w:space="0"/>
              <w:right w:val="single" w:color="000000" w:sz="4" w:space="0"/>
            </w:tcBorders>
            <w:noWrap w:val="0"/>
            <w:vAlign w:val="center"/>
          </w:tcPr>
          <w:p w14:paraId="2955A72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auto" w:sz="4" w:space="0"/>
              <w:left w:val="single" w:color="000000" w:sz="4" w:space="0"/>
              <w:bottom w:val="single" w:color="000000" w:sz="4" w:space="0"/>
              <w:right w:val="single" w:color="000000" w:sz="4" w:space="0"/>
            </w:tcBorders>
            <w:noWrap w:val="0"/>
            <w:vAlign w:val="center"/>
          </w:tcPr>
          <w:p w14:paraId="4625B26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auto" w:sz="4" w:space="0"/>
              <w:left w:val="single" w:color="000000" w:sz="4" w:space="0"/>
              <w:bottom w:val="single" w:color="000000" w:sz="4" w:space="0"/>
              <w:right w:val="single" w:color="000000" w:sz="4" w:space="0"/>
            </w:tcBorders>
            <w:noWrap w:val="0"/>
            <w:vAlign w:val="center"/>
          </w:tcPr>
          <w:p w14:paraId="5D5D10F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241B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B82804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4B2CCD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BBB5EE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382CC9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33CF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C38FDBC">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EC3929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1C6174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C9BC6E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0D07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73EC771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37F43BA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56A5D52E">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 万元，招标代理服务收费计算如下:</w:t>
            </w:r>
          </w:p>
          <w:p w14:paraId="19A7F99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23BB2E6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25C5447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36ED218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1D7E4CB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（10000-5000）×0.25%=12.5万元</w:t>
            </w:r>
          </w:p>
          <w:p w14:paraId="6DDA70A6">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合计收费=1.2+4+3.5+16+12.5=37.2万元</w:t>
            </w:r>
          </w:p>
          <w:p w14:paraId="0B5E7B63">
            <w:pPr>
              <w:pStyle w:val="2"/>
              <w:rPr>
                <w:rFonts w:hint="default" w:ascii="宋体" w:hAnsi="宋体" w:eastAsia="宋体"/>
                <w:b w:val="0"/>
                <w:i w:val="0"/>
                <w:snapToGrid/>
                <w:color w:val="auto"/>
                <w:sz w:val="24"/>
                <w:szCs w:val="24"/>
                <w:u w:val="none"/>
                <w:lang w:eastAsia="zh-CN"/>
              </w:rPr>
            </w:pPr>
          </w:p>
          <w:p w14:paraId="3B244EF7">
            <w:pPr>
              <w:rPr>
                <w:rFonts w:hint="default" w:ascii="宋体" w:hAnsi="宋体" w:eastAsia="宋体"/>
                <w:b w:val="0"/>
                <w:i w:val="0"/>
                <w:snapToGrid/>
                <w:color w:val="auto"/>
                <w:sz w:val="24"/>
                <w:szCs w:val="24"/>
                <w:u w:val="none"/>
                <w:lang w:eastAsia="zh-CN"/>
              </w:rPr>
            </w:pPr>
          </w:p>
          <w:p w14:paraId="0EEE7924">
            <w:pPr>
              <w:pStyle w:val="2"/>
              <w:rPr>
                <w:rFonts w:hint="default" w:ascii="宋体" w:hAnsi="宋体" w:eastAsia="宋体"/>
                <w:b w:val="0"/>
                <w:i w:val="0"/>
                <w:snapToGrid/>
                <w:color w:val="auto"/>
                <w:sz w:val="24"/>
                <w:szCs w:val="24"/>
                <w:u w:val="none"/>
                <w:lang w:eastAsia="zh-CN"/>
              </w:rPr>
            </w:pPr>
          </w:p>
          <w:p w14:paraId="7778084E">
            <w:pPr>
              <w:rPr>
                <w:rFonts w:hint="default" w:ascii="宋体" w:hAnsi="宋体" w:eastAsia="宋体"/>
                <w:b w:val="0"/>
                <w:i w:val="0"/>
                <w:snapToGrid/>
                <w:color w:val="auto"/>
                <w:sz w:val="24"/>
                <w:szCs w:val="24"/>
                <w:u w:val="none"/>
                <w:lang w:eastAsia="zh-CN"/>
              </w:rPr>
            </w:pPr>
          </w:p>
          <w:p w14:paraId="4771A4CF">
            <w:pPr>
              <w:pStyle w:val="2"/>
              <w:rPr>
                <w:rFonts w:hint="default" w:ascii="宋体" w:hAnsi="宋体" w:eastAsia="宋体"/>
                <w:b w:val="0"/>
                <w:i w:val="0"/>
                <w:snapToGrid/>
                <w:color w:val="auto"/>
                <w:sz w:val="24"/>
                <w:szCs w:val="24"/>
                <w:u w:val="none"/>
                <w:lang w:eastAsia="zh-CN"/>
              </w:rPr>
            </w:pPr>
          </w:p>
          <w:p w14:paraId="38545156">
            <w:pPr>
              <w:rPr>
                <w:rFonts w:hint="default" w:ascii="宋体" w:hAnsi="宋体" w:eastAsia="宋体"/>
                <w:b w:val="0"/>
                <w:i w:val="0"/>
                <w:snapToGrid/>
                <w:color w:val="auto"/>
                <w:sz w:val="24"/>
                <w:szCs w:val="24"/>
                <w:u w:val="none"/>
                <w:lang w:eastAsia="zh-CN"/>
              </w:rPr>
            </w:pPr>
          </w:p>
          <w:p w14:paraId="5F799B56">
            <w:pPr>
              <w:pStyle w:val="2"/>
              <w:rPr>
                <w:rFonts w:hint="default" w:ascii="宋体" w:hAnsi="宋体" w:eastAsia="宋体"/>
                <w:b w:val="0"/>
                <w:i w:val="0"/>
                <w:snapToGrid/>
                <w:color w:val="auto"/>
                <w:sz w:val="24"/>
                <w:szCs w:val="24"/>
                <w:u w:val="none"/>
                <w:lang w:eastAsia="zh-CN"/>
              </w:rPr>
            </w:pPr>
          </w:p>
          <w:p w14:paraId="0E46C3B1">
            <w:pPr>
              <w:rPr>
                <w:rFonts w:hint="default" w:ascii="宋体" w:hAnsi="宋体" w:eastAsia="宋体"/>
                <w:b w:val="0"/>
                <w:i w:val="0"/>
                <w:snapToGrid/>
                <w:color w:val="auto"/>
                <w:sz w:val="24"/>
                <w:szCs w:val="24"/>
                <w:u w:val="none"/>
                <w:lang w:eastAsia="zh-CN"/>
              </w:rPr>
            </w:pPr>
          </w:p>
          <w:p w14:paraId="1F5F9906">
            <w:pPr>
              <w:pStyle w:val="2"/>
              <w:rPr>
                <w:rFonts w:hint="default" w:ascii="宋体" w:hAnsi="宋体" w:eastAsia="宋体"/>
                <w:b w:val="0"/>
                <w:i w:val="0"/>
                <w:snapToGrid/>
                <w:color w:val="auto"/>
                <w:sz w:val="24"/>
                <w:szCs w:val="24"/>
                <w:u w:val="none"/>
                <w:lang w:eastAsia="zh-CN"/>
              </w:rPr>
            </w:pPr>
          </w:p>
          <w:p w14:paraId="0C1320CC">
            <w:pPr>
              <w:rPr>
                <w:rFonts w:hint="default" w:ascii="宋体" w:hAnsi="宋体" w:eastAsia="宋体"/>
                <w:b w:val="0"/>
                <w:i w:val="0"/>
                <w:snapToGrid/>
                <w:color w:val="auto"/>
                <w:sz w:val="24"/>
                <w:szCs w:val="24"/>
                <w:u w:val="none"/>
                <w:lang w:eastAsia="zh-CN"/>
              </w:rPr>
            </w:pPr>
          </w:p>
          <w:p w14:paraId="1BBF889D">
            <w:pPr>
              <w:pStyle w:val="2"/>
              <w:rPr>
                <w:rFonts w:hint="default" w:ascii="宋体" w:hAnsi="宋体" w:eastAsia="宋体"/>
                <w:b w:val="0"/>
                <w:i w:val="0"/>
                <w:snapToGrid/>
                <w:color w:val="auto"/>
                <w:sz w:val="24"/>
                <w:szCs w:val="24"/>
                <w:u w:val="none"/>
                <w:lang w:eastAsia="zh-CN"/>
              </w:rPr>
            </w:pPr>
          </w:p>
          <w:p w14:paraId="15AAB45C">
            <w:pPr>
              <w:rPr>
                <w:rFonts w:hint="default" w:ascii="宋体" w:hAnsi="宋体" w:eastAsia="宋体"/>
                <w:b w:val="0"/>
                <w:i w:val="0"/>
                <w:snapToGrid/>
                <w:color w:val="auto"/>
                <w:sz w:val="24"/>
                <w:szCs w:val="24"/>
                <w:u w:val="none"/>
                <w:lang w:eastAsia="zh-CN"/>
              </w:rPr>
            </w:pPr>
          </w:p>
          <w:p w14:paraId="484B3923">
            <w:pPr>
              <w:pStyle w:val="2"/>
              <w:rPr>
                <w:rFonts w:hint="default" w:ascii="宋体" w:hAnsi="宋体" w:eastAsia="宋体"/>
                <w:b w:val="0"/>
                <w:i w:val="0"/>
                <w:snapToGrid/>
                <w:color w:val="auto"/>
                <w:sz w:val="24"/>
                <w:szCs w:val="24"/>
                <w:u w:val="none"/>
                <w:lang w:eastAsia="zh-CN"/>
              </w:rPr>
            </w:pPr>
          </w:p>
          <w:p w14:paraId="679AE89E">
            <w:pPr>
              <w:rPr>
                <w:rFonts w:hint="default" w:ascii="宋体" w:hAnsi="宋体" w:eastAsia="宋体"/>
                <w:b w:val="0"/>
                <w:i w:val="0"/>
                <w:snapToGrid/>
                <w:color w:val="auto"/>
                <w:sz w:val="24"/>
                <w:szCs w:val="24"/>
                <w:u w:val="none"/>
                <w:lang w:eastAsia="zh-CN"/>
              </w:rPr>
            </w:pPr>
          </w:p>
          <w:p w14:paraId="08853E44">
            <w:pPr>
              <w:pStyle w:val="2"/>
              <w:rPr>
                <w:rFonts w:hint="default" w:ascii="宋体" w:hAnsi="宋体" w:eastAsia="宋体"/>
                <w:b w:val="0"/>
                <w:i w:val="0"/>
                <w:snapToGrid/>
                <w:color w:val="auto"/>
                <w:sz w:val="24"/>
                <w:szCs w:val="24"/>
                <w:u w:val="none"/>
                <w:lang w:eastAsia="zh-CN"/>
              </w:rPr>
            </w:pPr>
          </w:p>
          <w:p w14:paraId="33F1651F">
            <w:pPr>
              <w:rPr>
                <w:rFonts w:hint="default" w:ascii="宋体" w:hAnsi="宋体" w:eastAsia="宋体"/>
                <w:b w:val="0"/>
                <w:i w:val="0"/>
                <w:snapToGrid/>
                <w:color w:val="auto"/>
                <w:sz w:val="24"/>
                <w:szCs w:val="24"/>
                <w:u w:val="none"/>
                <w:lang w:eastAsia="zh-CN"/>
              </w:rPr>
            </w:pPr>
          </w:p>
          <w:p w14:paraId="3294B150">
            <w:pPr>
              <w:pStyle w:val="2"/>
              <w:rPr>
                <w:rFonts w:hint="default" w:ascii="宋体" w:hAnsi="宋体" w:eastAsia="宋体"/>
                <w:b w:val="0"/>
                <w:i w:val="0"/>
                <w:snapToGrid/>
                <w:color w:val="auto"/>
                <w:sz w:val="24"/>
                <w:szCs w:val="24"/>
                <w:u w:val="none"/>
                <w:lang w:eastAsia="zh-CN"/>
              </w:rPr>
            </w:pPr>
          </w:p>
          <w:p w14:paraId="070C7DD0">
            <w:pPr>
              <w:rPr>
                <w:rFonts w:hint="default" w:ascii="宋体" w:hAnsi="宋体" w:eastAsia="宋体"/>
                <w:b w:val="0"/>
                <w:i w:val="0"/>
                <w:snapToGrid/>
                <w:color w:val="auto"/>
                <w:sz w:val="24"/>
                <w:szCs w:val="24"/>
                <w:u w:val="none"/>
                <w:lang w:eastAsia="zh-CN"/>
              </w:rPr>
            </w:pPr>
          </w:p>
          <w:p w14:paraId="49F700DE">
            <w:pPr>
              <w:pStyle w:val="2"/>
              <w:rPr>
                <w:rFonts w:hint="default" w:ascii="宋体" w:hAnsi="宋体" w:eastAsia="宋体"/>
                <w:b w:val="0"/>
                <w:i w:val="0"/>
                <w:snapToGrid/>
                <w:color w:val="auto"/>
                <w:sz w:val="24"/>
                <w:szCs w:val="24"/>
                <w:u w:val="none"/>
                <w:lang w:eastAsia="zh-CN"/>
              </w:rPr>
            </w:pPr>
          </w:p>
          <w:p w14:paraId="68B42A2A">
            <w:pPr>
              <w:rPr>
                <w:rFonts w:hint="default" w:ascii="宋体" w:hAnsi="宋体" w:eastAsia="宋体"/>
                <w:b w:val="0"/>
                <w:i w:val="0"/>
                <w:snapToGrid/>
                <w:color w:val="auto"/>
                <w:sz w:val="24"/>
                <w:szCs w:val="24"/>
                <w:u w:val="none"/>
                <w:lang w:eastAsia="zh-CN"/>
              </w:rPr>
            </w:pPr>
          </w:p>
          <w:p w14:paraId="0DCA0700">
            <w:pPr>
              <w:pStyle w:val="2"/>
              <w:rPr>
                <w:rFonts w:hint="default" w:ascii="宋体" w:hAnsi="宋体" w:eastAsia="宋体"/>
                <w:b w:val="0"/>
                <w:i w:val="0"/>
                <w:snapToGrid/>
                <w:color w:val="auto"/>
                <w:sz w:val="24"/>
                <w:szCs w:val="24"/>
                <w:u w:val="none"/>
                <w:lang w:eastAsia="zh-CN"/>
              </w:rPr>
            </w:pPr>
          </w:p>
          <w:p w14:paraId="5427D486">
            <w:pPr>
              <w:rPr>
                <w:rFonts w:hint="default" w:ascii="宋体" w:hAnsi="宋体" w:eastAsia="宋体"/>
                <w:b w:val="0"/>
                <w:i w:val="0"/>
                <w:snapToGrid/>
                <w:color w:val="auto"/>
                <w:sz w:val="24"/>
                <w:szCs w:val="24"/>
                <w:u w:val="none"/>
                <w:lang w:eastAsia="zh-CN"/>
              </w:rPr>
            </w:pPr>
          </w:p>
          <w:p w14:paraId="24DB65E2">
            <w:pPr>
              <w:pStyle w:val="2"/>
              <w:rPr>
                <w:rFonts w:hint="default" w:ascii="宋体" w:hAnsi="宋体" w:eastAsia="宋体"/>
                <w:b w:val="0"/>
                <w:i w:val="0"/>
                <w:snapToGrid/>
                <w:color w:val="auto"/>
                <w:sz w:val="24"/>
                <w:szCs w:val="24"/>
                <w:u w:val="none"/>
                <w:lang w:eastAsia="zh-CN"/>
              </w:rPr>
            </w:pPr>
          </w:p>
          <w:p w14:paraId="1C37A9AA">
            <w:pPr>
              <w:rPr>
                <w:rFonts w:hint="default" w:ascii="宋体" w:hAnsi="宋体" w:eastAsia="宋体"/>
                <w:b w:val="0"/>
                <w:i w:val="0"/>
                <w:snapToGrid/>
                <w:color w:val="auto"/>
                <w:sz w:val="24"/>
                <w:szCs w:val="24"/>
                <w:u w:val="none"/>
                <w:lang w:eastAsia="zh-CN"/>
              </w:rPr>
            </w:pPr>
          </w:p>
          <w:p w14:paraId="0F3F9F99">
            <w:pPr>
              <w:pStyle w:val="2"/>
              <w:rPr>
                <w:rFonts w:hint="default" w:ascii="宋体" w:hAnsi="宋体" w:eastAsia="宋体"/>
                <w:b w:val="0"/>
                <w:i w:val="0"/>
                <w:snapToGrid/>
                <w:color w:val="auto"/>
                <w:sz w:val="24"/>
                <w:szCs w:val="24"/>
                <w:u w:val="none"/>
                <w:lang w:eastAsia="zh-CN"/>
              </w:rPr>
            </w:pPr>
          </w:p>
          <w:p w14:paraId="2A8380EA">
            <w:pPr>
              <w:rPr>
                <w:rFonts w:hint="default" w:ascii="宋体" w:hAnsi="宋体" w:eastAsia="宋体"/>
                <w:b w:val="0"/>
                <w:i w:val="0"/>
                <w:snapToGrid/>
                <w:color w:val="auto"/>
                <w:sz w:val="24"/>
                <w:szCs w:val="24"/>
                <w:u w:val="none"/>
                <w:lang w:eastAsia="zh-CN"/>
              </w:rPr>
            </w:pPr>
          </w:p>
          <w:p w14:paraId="31C8EB22">
            <w:pPr>
              <w:pStyle w:val="2"/>
              <w:rPr>
                <w:rFonts w:hint="default" w:ascii="宋体" w:hAnsi="宋体" w:eastAsia="宋体"/>
                <w:b w:val="0"/>
                <w:i w:val="0"/>
                <w:snapToGrid/>
                <w:color w:val="auto"/>
                <w:sz w:val="24"/>
                <w:szCs w:val="24"/>
                <w:u w:val="none"/>
                <w:lang w:eastAsia="zh-CN"/>
              </w:rPr>
            </w:pPr>
          </w:p>
          <w:p w14:paraId="3E1C3471">
            <w:pPr>
              <w:rPr>
                <w:rFonts w:hint="default" w:ascii="宋体" w:hAnsi="宋体" w:eastAsia="宋体"/>
                <w:b w:val="0"/>
                <w:i w:val="0"/>
                <w:snapToGrid/>
                <w:color w:val="auto"/>
                <w:sz w:val="24"/>
                <w:szCs w:val="24"/>
                <w:u w:val="none"/>
                <w:lang w:eastAsia="zh-CN"/>
              </w:rPr>
            </w:pPr>
          </w:p>
          <w:p w14:paraId="12119581">
            <w:pPr>
              <w:pStyle w:val="2"/>
              <w:rPr>
                <w:rFonts w:hint="default" w:ascii="宋体" w:hAnsi="宋体" w:eastAsia="宋体"/>
                <w:b w:val="0"/>
                <w:i w:val="0"/>
                <w:snapToGrid/>
                <w:color w:val="auto"/>
                <w:sz w:val="24"/>
                <w:szCs w:val="24"/>
                <w:u w:val="none"/>
                <w:lang w:eastAsia="zh-CN"/>
              </w:rPr>
            </w:pPr>
          </w:p>
          <w:p w14:paraId="740A5D8D">
            <w:pPr>
              <w:pStyle w:val="2"/>
              <w:ind w:left="0" w:leftChars="0" w:firstLine="0" w:firstLineChars="0"/>
              <w:rPr>
                <w:rFonts w:hint="default" w:ascii="宋体" w:hAnsi="宋体" w:eastAsia="宋体"/>
                <w:b w:val="0"/>
                <w:i w:val="0"/>
                <w:snapToGrid/>
                <w:color w:val="auto"/>
                <w:sz w:val="24"/>
                <w:szCs w:val="24"/>
                <w:u w:val="none"/>
                <w:lang w:eastAsia="zh-CN"/>
              </w:rPr>
            </w:pPr>
          </w:p>
          <w:p w14:paraId="6CFD2673">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：河南省政府采购合同融资政策告知函</w:t>
            </w:r>
          </w:p>
          <w:p w14:paraId="77B149BE">
            <w:pPr>
              <w:keepNext w:val="0"/>
              <w:keepLines w:val="0"/>
              <w:pageBreakBefore w:val="0"/>
              <w:widowControl w:val="0"/>
              <w:kinsoku/>
              <w:wordWrap/>
              <w:overflowPunct/>
              <w:topLinePunct w:val="0"/>
              <w:bidi w:val="0"/>
              <w:adjustRightInd w:val="0"/>
              <w:snapToGrid w:val="0"/>
              <w:spacing w:line="360" w:lineRule="auto"/>
              <w:ind w:firstLine="422" w:firstLineChars="200"/>
              <w:jc w:val="center"/>
              <w:rPr>
                <w:rFonts w:hint="eastAsia" w:ascii="宋体" w:hAnsi="宋体" w:eastAsia="宋体" w:cs="宋体"/>
                <w:b/>
                <w:bCs/>
                <w:color w:val="auto"/>
                <w:sz w:val="21"/>
                <w:szCs w:val="21"/>
                <w:highlight w:val="none"/>
              </w:rPr>
            </w:pPr>
            <w:bookmarkStart w:id="166" w:name="_Toc7567"/>
            <w:bookmarkStart w:id="167" w:name="_Toc19399"/>
          </w:p>
          <w:p w14:paraId="5185A32D">
            <w:pPr>
              <w:keepNext w:val="0"/>
              <w:keepLines w:val="0"/>
              <w:pageBreakBefore w:val="0"/>
              <w:widowControl w:val="0"/>
              <w:kinsoku/>
              <w:wordWrap/>
              <w:overflowPunct/>
              <w:topLinePunct w:val="0"/>
              <w:bidi w:val="0"/>
              <w:adjustRightInd w:val="0"/>
              <w:snapToGrid w:val="0"/>
              <w:spacing w:line="360" w:lineRule="auto"/>
              <w:ind w:firstLine="422" w:firstLineChars="20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河南省政府采购合同融资政策告知函</w:t>
            </w:r>
            <w:bookmarkEnd w:id="166"/>
            <w:bookmarkEnd w:id="167"/>
          </w:p>
          <w:p w14:paraId="62181D51">
            <w:pPr>
              <w:keepNext w:val="0"/>
              <w:keepLines w:val="0"/>
              <w:pageBreakBefore w:val="0"/>
              <w:widowControl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p>
          <w:p w14:paraId="7BBF0DAF">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w:t>
            </w:r>
          </w:p>
          <w:p w14:paraId="251D2E40">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欢迎贵公司参与河南省政府采购活动！</w:t>
            </w:r>
          </w:p>
          <w:p w14:paraId="75C94FFF">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政府采购合同融资是河南省财政厅支持中小微企业发展，针对参与政府采购活动的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755510BF">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bookmarkStart w:id="168" w:name="_Toc15196"/>
            <w:r>
              <w:rPr>
                <w:rFonts w:hint="eastAsia" w:ascii="宋体" w:hAnsi="宋体" w:eastAsia="宋体" w:cs="宋体"/>
                <w:b w:val="0"/>
                <w:bCs w:val="0"/>
                <w:color w:val="auto"/>
                <w:sz w:val="24"/>
                <w:szCs w:val="24"/>
                <w:highlight w:val="none"/>
              </w:rPr>
              <w:t>贷款渠道和提供贷款的金融机构，可在河南省政府采购网“河南省政府采购合同融资平台”查询联系。</w:t>
            </w:r>
            <w:bookmarkEnd w:id="168"/>
          </w:p>
          <w:p w14:paraId="17221214">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391BF977">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249F2A1A">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21A8779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63B6634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60D88BB0">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504C8FA3">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6AA2FB8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765788B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78DAA8DF">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647E539A">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2A5AAFE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1B83B877">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6E40484D">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4AFABB7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545D3BC5">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6F9B4A4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446A950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p>
          <w:p w14:paraId="2DC09158">
            <w:pPr>
              <w:keepNext w:val="0"/>
              <w:keepLines w:val="0"/>
              <w:pageBreakBefore w:val="0"/>
              <w:widowControl w:val="0"/>
              <w:kinsoku/>
              <w:wordWrap/>
              <w:overflowPunct/>
              <w:topLinePunct w:val="0"/>
              <w:bidi w:val="0"/>
              <w:adjustRightInd w:val="0"/>
              <w:snapToGrid w:val="0"/>
              <w:spacing w:line="360" w:lineRule="auto"/>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4"/>
                <w:szCs w:val="24"/>
                <w:highlight w:val="none"/>
                <w:lang w:eastAsia="zh-CN"/>
              </w:rPr>
              <w:t>附件</w:t>
            </w:r>
            <w:r>
              <w:rPr>
                <w:rFonts w:hint="eastAsia" w:ascii="宋体" w:hAnsi="宋体" w:eastAsia="宋体" w:cs="宋体"/>
                <w:b w:val="0"/>
                <w:bCs w:val="0"/>
                <w:color w:val="auto"/>
                <w:sz w:val="24"/>
                <w:szCs w:val="24"/>
                <w:highlight w:val="none"/>
                <w:lang w:val="en-US" w:eastAsia="zh-CN"/>
              </w:rPr>
              <w:t>2：卢氏县政府采购合同融资政策告知书</w:t>
            </w:r>
          </w:p>
          <w:p w14:paraId="6C79FCBA">
            <w:pPr>
              <w:keepNext w:val="0"/>
              <w:keepLines w:val="0"/>
              <w:pageBreakBefore w:val="0"/>
              <w:widowControl w:val="0"/>
              <w:kinsoku/>
              <w:wordWrap/>
              <w:overflowPunct/>
              <w:topLinePunct w:val="0"/>
              <w:bidi w:val="0"/>
              <w:adjustRightInd w:val="0"/>
              <w:snapToGrid w:val="0"/>
              <w:spacing w:line="360" w:lineRule="auto"/>
              <w:ind w:firstLine="422" w:firstLineChars="200"/>
              <w:jc w:val="center"/>
              <w:rPr>
                <w:rFonts w:hint="eastAsia" w:ascii="宋体" w:hAnsi="宋体" w:eastAsia="宋体" w:cs="宋体"/>
                <w:b/>
                <w:bCs/>
                <w:color w:val="auto"/>
                <w:sz w:val="21"/>
                <w:szCs w:val="21"/>
                <w:highlight w:val="none"/>
                <w:lang w:val="en-US" w:eastAsia="zh-CN"/>
              </w:rPr>
            </w:pPr>
          </w:p>
          <w:p w14:paraId="729A9B28">
            <w:pPr>
              <w:keepNext w:val="0"/>
              <w:keepLines w:val="0"/>
              <w:pageBreakBefore w:val="0"/>
              <w:widowControl w:val="0"/>
              <w:kinsoku/>
              <w:wordWrap/>
              <w:overflowPunct/>
              <w:topLinePunct w:val="0"/>
              <w:bidi w:val="0"/>
              <w:adjustRightInd w:val="0"/>
              <w:snapToGrid w:val="0"/>
              <w:spacing w:line="360" w:lineRule="auto"/>
              <w:ind w:firstLine="422" w:firstLineChars="20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卢氏县政府采购合同融资政策告知书</w:t>
            </w:r>
          </w:p>
          <w:p w14:paraId="61B853D4">
            <w:pPr>
              <w:keepNext w:val="0"/>
              <w:keepLines w:val="0"/>
              <w:pageBreakBefore w:val="0"/>
              <w:widowControl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val="0"/>
                <w:bCs w:val="0"/>
                <w:color w:val="auto"/>
                <w:sz w:val="21"/>
                <w:szCs w:val="21"/>
                <w:highlight w:val="none"/>
                <w:lang w:val="en-US" w:eastAsia="zh-CN"/>
              </w:rPr>
            </w:pPr>
          </w:p>
          <w:p w14:paraId="74B9B179">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各供应商:</w:t>
            </w:r>
          </w:p>
          <w:p w14:paraId="01E364A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4E1193B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72BEAE16">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联系电话:0398-7863556</w:t>
            </w:r>
          </w:p>
          <w:p w14:paraId="3A9DDF35">
            <w:pPr>
              <w:keepNext w:val="0"/>
              <w:keepLines w:val="0"/>
              <w:pageBreakBefore w:val="0"/>
              <w:widowControl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val="0"/>
                <w:bCs w:val="0"/>
                <w:color w:val="auto"/>
                <w:sz w:val="21"/>
                <w:szCs w:val="21"/>
                <w:highlight w:val="none"/>
                <w:lang w:val="en-US" w:eastAsia="zh-CN"/>
              </w:rPr>
            </w:pPr>
          </w:p>
          <w:p w14:paraId="62EFE628">
            <w:pPr>
              <w:keepNext w:val="0"/>
              <w:keepLines w:val="0"/>
              <w:pageBreakBefore w:val="0"/>
              <w:widowControl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承接银行联系方式</w:t>
            </w:r>
          </w:p>
          <w:tbl>
            <w:tblPr>
              <w:tblStyle w:val="23"/>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3065"/>
              <w:gridCol w:w="3066"/>
            </w:tblGrid>
            <w:tr w14:paraId="1507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78FC333E">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单位名称</w:t>
                  </w:r>
                </w:p>
              </w:tc>
              <w:tc>
                <w:tcPr>
                  <w:tcW w:w="3065" w:type="dxa"/>
                  <w:noWrap w:val="0"/>
                  <w:vAlign w:val="center"/>
                </w:tcPr>
                <w:p w14:paraId="75211A52">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联系人</w:t>
                  </w:r>
                </w:p>
              </w:tc>
              <w:tc>
                <w:tcPr>
                  <w:tcW w:w="3066" w:type="dxa"/>
                  <w:noWrap w:val="0"/>
                  <w:vAlign w:val="center"/>
                </w:tcPr>
                <w:p w14:paraId="7F3068AC">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联系方式</w:t>
                  </w:r>
                </w:p>
              </w:tc>
            </w:tr>
            <w:tr w14:paraId="45F1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433AE058">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2"/>
                      <w:szCs w:val="22"/>
                    </w:rPr>
                  </w:pPr>
                  <w:r>
                    <w:rPr>
                      <w:rFonts w:hint="eastAsia" w:ascii="宋体" w:hAnsi="宋体" w:eastAsia="宋体" w:cs="宋体"/>
                      <w:sz w:val="22"/>
                      <w:szCs w:val="22"/>
                    </w:rPr>
                    <w:t>中国建设银行股份有限公司卢氏支行</w:t>
                  </w:r>
                </w:p>
              </w:tc>
              <w:tc>
                <w:tcPr>
                  <w:tcW w:w="3065" w:type="dxa"/>
                  <w:noWrap w:val="0"/>
                  <w:vAlign w:val="center"/>
                </w:tcPr>
                <w:p w14:paraId="75EB9925">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2"/>
                      <w:szCs w:val="22"/>
                      <w:highlight w:val="none"/>
                      <w:shd w:val="clear" w:color="auto" w:fill="F9F9F9"/>
                      <w:vertAlign w:val="baseline"/>
                    </w:rPr>
                  </w:pPr>
                  <w:r>
                    <w:rPr>
                      <w:rFonts w:hint="eastAsia" w:ascii="宋体" w:hAnsi="宋体" w:eastAsia="宋体" w:cs="宋体"/>
                      <w:sz w:val="22"/>
                      <w:szCs w:val="22"/>
                    </w:rPr>
                    <w:t>张江涛</w:t>
                  </w:r>
                </w:p>
              </w:tc>
              <w:tc>
                <w:tcPr>
                  <w:tcW w:w="3066" w:type="dxa"/>
                  <w:noWrap w:val="0"/>
                  <w:vAlign w:val="center"/>
                </w:tcPr>
                <w:p w14:paraId="59C5E085">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2"/>
                      <w:szCs w:val="22"/>
                      <w:highlight w:val="none"/>
                      <w:shd w:val="clear" w:color="auto" w:fill="F9F9F9"/>
                      <w:vertAlign w:val="baseline"/>
                    </w:rPr>
                  </w:pPr>
                  <w:r>
                    <w:rPr>
                      <w:rFonts w:hint="eastAsia" w:ascii="宋体" w:hAnsi="宋体" w:eastAsia="宋体" w:cs="宋体"/>
                      <w:sz w:val="22"/>
                      <w:szCs w:val="22"/>
                    </w:rPr>
                    <w:t>18739850204</w:t>
                  </w:r>
                </w:p>
              </w:tc>
            </w:tr>
            <w:tr w14:paraId="48A4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0DD99383">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2"/>
                      <w:szCs w:val="22"/>
                    </w:rPr>
                  </w:pPr>
                  <w:r>
                    <w:rPr>
                      <w:rFonts w:hint="eastAsia" w:ascii="宋体" w:hAnsi="宋体" w:eastAsia="宋体" w:cs="宋体"/>
                      <w:sz w:val="22"/>
                      <w:szCs w:val="22"/>
                    </w:rPr>
                    <w:t>中国农业银行股份有限公司卢氏县支行</w:t>
                  </w:r>
                </w:p>
              </w:tc>
              <w:tc>
                <w:tcPr>
                  <w:tcW w:w="3065" w:type="dxa"/>
                  <w:noWrap w:val="0"/>
                  <w:vAlign w:val="center"/>
                </w:tcPr>
                <w:p w14:paraId="51D3537B">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2"/>
                      <w:szCs w:val="22"/>
                      <w:highlight w:val="none"/>
                      <w:shd w:val="clear" w:color="auto" w:fill="F9F9F9"/>
                      <w:vertAlign w:val="baseline"/>
                    </w:rPr>
                  </w:pPr>
                  <w:r>
                    <w:rPr>
                      <w:rFonts w:hint="eastAsia" w:ascii="宋体" w:hAnsi="宋体" w:eastAsia="宋体" w:cs="宋体"/>
                      <w:sz w:val="22"/>
                      <w:szCs w:val="22"/>
                    </w:rPr>
                    <w:t>代仁旺</w:t>
                  </w:r>
                </w:p>
              </w:tc>
              <w:tc>
                <w:tcPr>
                  <w:tcW w:w="3066" w:type="dxa"/>
                  <w:noWrap w:val="0"/>
                  <w:vAlign w:val="center"/>
                </w:tcPr>
                <w:p w14:paraId="39D4BE69">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2"/>
                      <w:szCs w:val="22"/>
                      <w:highlight w:val="none"/>
                      <w:shd w:val="clear" w:color="auto" w:fill="F9F9F9"/>
                      <w:vertAlign w:val="baseline"/>
                    </w:rPr>
                  </w:pPr>
                  <w:r>
                    <w:rPr>
                      <w:rFonts w:hint="eastAsia" w:ascii="宋体" w:hAnsi="宋体" w:eastAsia="宋体" w:cs="宋体"/>
                      <w:sz w:val="22"/>
                      <w:szCs w:val="22"/>
                    </w:rPr>
                    <w:t>18939062604</w:t>
                  </w:r>
                </w:p>
              </w:tc>
            </w:tr>
            <w:tr w14:paraId="5FFA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66F17311">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2"/>
                      <w:szCs w:val="22"/>
                    </w:rPr>
                  </w:pPr>
                  <w:r>
                    <w:rPr>
                      <w:rFonts w:hint="eastAsia" w:ascii="宋体" w:hAnsi="宋体" w:eastAsia="宋体" w:cs="宋体"/>
                      <w:sz w:val="22"/>
                      <w:szCs w:val="22"/>
                    </w:rPr>
                    <w:t>中原银行股份有限公司</w:t>
                  </w:r>
                </w:p>
                <w:p w14:paraId="5A51DD97">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2"/>
                      <w:szCs w:val="22"/>
                    </w:rPr>
                  </w:pPr>
                  <w:r>
                    <w:rPr>
                      <w:rFonts w:hint="eastAsia" w:ascii="宋体" w:hAnsi="宋体" w:eastAsia="宋体" w:cs="宋体"/>
                      <w:sz w:val="22"/>
                      <w:szCs w:val="22"/>
                    </w:rPr>
                    <w:t>卢氏支行</w:t>
                  </w:r>
                </w:p>
              </w:tc>
              <w:tc>
                <w:tcPr>
                  <w:tcW w:w="3065" w:type="dxa"/>
                  <w:noWrap w:val="0"/>
                  <w:vAlign w:val="center"/>
                </w:tcPr>
                <w:p w14:paraId="5C6AFA76">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2"/>
                      <w:szCs w:val="22"/>
                      <w:highlight w:val="none"/>
                      <w:shd w:val="clear" w:color="auto" w:fill="F9F9F9"/>
                      <w:vertAlign w:val="baseline"/>
                    </w:rPr>
                  </w:pPr>
                  <w:r>
                    <w:rPr>
                      <w:rFonts w:hint="eastAsia" w:ascii="宋体" w:hAnsi="宋体" w:eastAsia="宋体" w:cs="宋体"/>
                      <w:sz w:val="22"/>
                      <w:szCs w:val="22"/>
                    </w:rPr>
                    <w:t>李 博</w:t>
                  </w:r>
                </w:p>
              </w:tc>
              <w:tc>
                <w:tcPr>
                  <w:tcW w:w="3066" w:type="dxa"/>
                  <w:noWrap w:val="0"/>
                  <w:vAlign w:val="center"/>
                </w:tcPr>
                <w:p w14:paraId="1CCD721C">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2"/>
                      <w:szCs w:val="22"/>
                      <w:highlight w:val="none"/>
                      <w:shd w:val="clear" w:color="auto" w:fill="F9F9F9"/>
                      <w:vertAlign w:val="baseline"/>
                    </w:rPr>
                  </w:pPr>
                  <w:r>
                    <w:rPr>
                      <w:rFonts w:hint="eastAsia" w:ascii="宋体" w:hAnsi="宋体" w:eastAsia="宋体" w:cs="宋体"/>
                      <w:sz w:val="22"/>
                      <w:szCs w:val="22"/>
                    </w:rPr>
                    <w:t>15839857887</w:t>
                  </w:r>
                </w:p>
              </w:tc>
            </w:tr>
          </w:tbl>
          <w:p w14:paraId="4E2B58D8">
            <w:pPr>
              <w:pStyle w:val="32"/>
              <w:framePr w:wrap="auto" w:vAnchor="margin" w:hAnchor="text" w:yAlign="inline"/>
              <w:rPr>
                <w:rFonts w:hint="eastAsia"/>
              </w:rPr>
            </w:pPr>
          </w:p>
          <w:p w14:paraId="67E906E1">
            <w:pPr>
              <w:rPr>
                <w:rFonts w:ascii="宋体" w:hAnsi="宋体" w:cs="宋体"/>
                <w:sz w:val="24"/>
                <w:highlight w:val="none"/>
              </w:rPr>
            </w:pPr>
          </w:p>
          <w:p w14:paraId="162043F2">
            <w:pPr>
              <w:widowControl w:val="0"/>
              <w:jc w:val="both"/>
              <w:textAlignment w:val="auto"/>
              <w:rPr>
                <w:rFonts w:hint="eastAsia" w:ascii="宋体" w:hAnsi="宋体" w:eastAsia="宋体" w:cs="宋体"/>
                <w:color w:val="auto"/>
                <w:kern w:val="0"/>
                <w:sz w:val="21"/>
                <w:szCs w:val="21"/>
                <w:highlight w:val="none"/>
                <w:shd w:val="clear" w:color="auto" w:fill="F9F9F9"/>
              </w:rPr>
            </w:pPr>
          </w:p>
          <w:p w14:paraId="4198FBA0">
            <w:pPr>
              <w:widowControl w:val="0"/>
              <w:jc w:val="both"/>
              <w:textAlignment w:val="auto"/>
              <w:rPr>
                <w:rFonts w:hint="eastAsia" w:ascii="宋体" w:hAnsi="宋体" w:eastAsia="宋体" w:cs="宋体"/>
                <w:color w:val="auto"/>
                <w:kern w:val="0"/>
                <w:sz w:val="21"/>
                <w:szCs w:val="21"/>
                <w:highlight w:val="none"/>
                <w:shd w:val="clear" w:color="auto" w:fill="F9F9F9"/>
              </w:rPr>
            </w:pPr>
          </w:p>
          <w:p w14:paraId="3F03DA30">
            <w:pPr>
              <w:widowControl w:val="0"/>
              <w:jc w:val="both"/>
              <w:textAlignment w:val="auto"/>
              <w:rPr>
                <w:rFonts w:hint="eastAsia" w:ascii="宋体" w:hAnsi="宋体" w:eastAsia="宋体" w:cs="宋体"/>
                <w:color w:val="auto"/>
                <w:kern w:val="0"/>
                <w:sz w:val="21"/>
                <w:szCs w:val="21"/>
                <w:highlight w:val="none"/>
                <w:shd w:val="clear" w:color="auto" w:fill="F9F9F9"/>
              </w:rPr>
            </w:pPr>
          </w:p>
          <w:p w14:paraId="3B27B270">
            <w:pPr>
              <w:widowControl w:val="0"/>
              <w:jc w:val="both"/>
              <w:textAlignment w:val="auto"/>
              <w:rPr>
                <w:rFonts w:hint="eastAsia" w:ascii="宋体" w:hAnsi="宋体" w:eastAsia="宋体" w:cs="宋体"/>
                <w:color w:val="auto"/>
                <w:kern w:val="0"/>
                <w:sz w:val="21"/>
                <w:szCs w:val="21"/>
                <w:highlight w:val="none"/>
                <w:shd w:val="clear" w:color="auto" w:fill="F9F9F9"/>
              </w:rPr>
            </w:pPr>
          </w:p>
          <w:p w14:paraId="081F6A1C">
            <w:pPr>
              <w:widowControl w:val="0"/>
              <w:jc w:val="both"/>
              <w:textAlignment w:val="auto"/>
              <w:rPr>
                <w:rFonts w:hint="eastAsia" w:ascii="宋体" w:hAnsi="宋体" w:eastAsia="宋体" w:cs="宋体"/>
                <w:color w:val="auto"/>
                <w:kern w:val="0"/>
                <w:sz w:val="21"/>
                <w:szCs w:val="21"/>
                <w:highlight w:val="none"/>
                <w:shd w:val="clear" w:color="auto" w:fill="F9F9F9"/>
                <w:lang w:val="en-US" w:eastAsia="zh-CN"/>
              </w:rPr>
            </w:pPr>
            <w:r>
              <w:rPr>
                <w:rFonts w:hint="eastAsia" w:ascii="宋体" w:hAnsi="宋体" w:eastAsia="宋体" w:cs="宋体"/>
                <w:color w:val="auto"/>
                <w:kern w:val="0"/>
                <w:sz w:val="21"/>
                <w:szCs w:val="21"/>
                <w:highlight w:val="none"/>
                <w:shd w:val="clear" w:color="auto" w:fill="F9F9F9"/>
              </w:rPr>
              <w:br w:type="page"/>
            </w:r>
            <w:r>
              <w:rPr>
                <w:rFonts w:hint="eastAsia" w:ascii="宋体" w:hAnsi="宋体" w:eastAsia="宋体" w:cs="宋体"/>
                <w:color w:val="auto"/>
                <w:kern w:val="0"/>
                <w:sz w:val="21"/>
                <w:szCs w:val="21"/>
                <w:highlight w:val="none"/>
                <w:shd w:val="clear" w:color="auto" w:fill="F9F9F9"/>
              </w:rPr>
              <w:t>附件</w:t>
            </w:r>
            <w:r>
              <w:rPr>
                <w:rFonts w:hint="eastAsia" w:ascii="宋体" w:hAnsi="宋体" w:eastAsia="宋体" w:cs="宋体"/>
                <w:color w:val="auto"/>
                <w:kern w:val="0"/>
                <w:sz w:val="21"/>
                <w:szCs w:val="21"/>
                <w:highlight w:val="none"/>
                <w:shd w:val="clear" w:color="auto" w:fill="F9F9F9"/>
                <w:lang w:val="en-US" w:eastAsia="zh-CN"/>
              </w:rPr>
              <w:t>3</w:t>
            </w:r>
          </w:p>
          <w:p w14:paraId="2AA7B333">
            <w:pPr>
              <w:widowControl w:val="0"/>
              <w:ind w:firstLine="560" w:firstLineChars="200"/>
              <w:jc w:val="center"/>
              <w:textAlignment w:val="auto"/>
              <w:rPr>
                <w:rFonts w:cs="Times New Roman"/>
                <w:color w:val="auto"/>
                <w:sz w:val="21"/>
                <w:szCs w:val="21"/>
                <w:highlight w:val="none"/>
              </w:rPr>
            </w:pPr>
            <w:r>
              <w:rPr>
                <w:rFonts w:ascii="方正小标宋简体" w:hAnsi="方正小标宋简体" w:eastAsia="方正小标宋简体" w:cs="方正小标宋简体"/>
                <w:color w:val="auto"/>
                <w:kern w:val="0"/>
                <w:sz w:val="28"/>
                <w:szCs w:val="28"/>
                <w:highlight w:val="none"/>
                <w:shd w:val="clear" w:color="auto" w:fill="F9F9F9"/>
              </w:rPr>
              <w:t>中小企业划型标准规定</w:t>
            </w:r>
          </w:p>
          <w:tbl>
            <w:tblPr>
              <w:tblStyle w:val="22"/>
              <w:tblW w:w="8558" w:type="dxa"/>
              <w:jc w:val="center"/>
              <w:shd w:val="clear" w:color="auto" w:fill="FFFFFF"/>
              <w:tblLayout w:type="fixed"/>
              <w:tblCellMar>
                <w:top w:w="0" w:type="dxa"/>
                <w:left w:w="0" w:type="dxa"/>
                <w:bottom w:w="0" w:type="dxa"/>
                <w:right w:w="0" w:type="dxa"/>
              </w:tblCellMar>
            </w:tblPr>
            <w:tblGrid>
              <w:gridCol w:w="1047"/>
              <w:gridCol w:w="1365"/>
              <w:gridCol w:w="666"/>
              <w:gridCol w:w="1139"/>
              <w:gridCol w:w="1798"/>
              <w:gridCol w:w="1607"/>
              <w:gridCol w:w="936"/>
            </w:tblGrid>
            <w:tr w14:paraId="12ED825E">
              <w:tblPrEx>
                <w:tblCellMar>
                  <w:top w:w="0" w:type="dxa"/>
                  <w:left w:w="0" w:type="dxa"/>
                  <w:bottom w:w="0" w:type="dxa"/>
                  <w:right w:w="0" w:type="dxa"/>
                </w:tblCellMar>
              </w:tblPrEx>
              <w:trPr>
                <w:trHeight w:val="591" w:hRule="atLeast"/>
                <w:jc w:val="center"/>
              </w:trPr>
              <w:tc>
                <w:tcPr>
                  <w:tcW w:w="1047"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6CD822CD">
                  <w:pPr>
                    <w:pStyle w:val="19"/>
                    <w:wordWrap w:val="0"/>
                    <w:spacing w:line="240" w:lineRule="auto"/>
                    <w:jc w:val="center"/>
                    <w:rPr>
                      <w:rFonts w:ascii="宋体" w:hAnsi="宋体" w:cs="宋体"/>
                      <w:color w:val="auto"/>
                      <w:sz w:val="21"/>
                      <w:szCs w:val="21"/>
                      <w:highlight w:val="none"/>
                    </w:rPr>
                  </w:pPr>
                  <w:r>
                    <w:rPr>
                      <w:rStyle w:val="25"/>
                      <w:rFonts w:hint="eastAsia" w:ascii="宋体" w:hAnsi="宋体" w:cs="宋体"/>
                      <w:color w:val="auto"/>
                      <w:spacing w:val="8"/>
                      <w:sz w:val="21"/>
                      <w:szCs w:val="21"/>
                      <w:highlight w:val="none"/>
                    </w:rPr>
                    <w:t>行业名称</w:t>
                  </w:r>
                </w:p>
              </w:tc>
              <w:tc>
                <w:tcPr>
                  <w:tcW w:w="136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169A7A04">
                  <w:pPr>
                    <w:pStyle w:val="19"/>
                    <w:wordWrap w:val="0"/>
                    <w:spacing w:line="240" w:lineRule="auto"/>
                    <w:jc w:val="center"/>
                    <w:rPr>
                      <w:rFonts w:ascii="宋体" w:hAnsi="宋体" w:cs="宋体"/>
                      <w:color w:val="auto"/>
                      <w:sz w:val="21"/>
                      <w:szCs w:val="21"/>
                      <w:highlight w:val="none"/>
                    </w:rPr>
                  </w:pPr>
                  <w:r>
                    <w:rPr>
                      <w:rStyle w:val="25"/>
                      <w:rFonts w:hint="eastAsia" w:ascii="宋体" w:hAnsi="宋体" w:cs="宋体"/>
                      <w:color w:val="auto"/>
                      <w:spacing w:val="8"/>
                      <w:sz w:val="21"/>
                      <w:szCs w:val="21"/>
                      <w:highlight w:val="none"/>
                    </w:rPr>
                    <w:t>指标名称</w:t>
                  </w:r>
                </w:p>
              </w:tc>
              <w:tc>
                <w:tcPr>
                  <w:tcW w:w="66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592FD267">
                  <w:pPr>
                    <w:pStyle w:val="19"/>
                    <w:wordWrap w:val="0"/>
                    <w:spacing w:line="240" w:lineRule="auto"/>
                    <w:jc w:val="center"/>
                    <w:rPr>
                      <w:rFonts w:ascii="宋体" w:hAnsi="宋体" w:cs="宋体"/>
                      <w:color w:val="auto"/>
                      <w:sz w:val="21"/>
                      <w:szCs w:val="21"/>
                      <w:highlight w:val="none"/>
                    </w:rPr>
                  </w:pPr>
                  <w:r>
                    <w:rPr>
                      <w:rStyle w:val="25"/>
                      <w:rFonts w:hint="eastAsia" w:ascii="宋体" w:hAnsi="宋体" w:cs="宋体"/>
                      <w:color w:val="auto"/>
                      <w:spacing w:val="8"/>
                      <w:sz w:val="21"/>
                      <w:szCs w:val="21"/>
                      <w:highlight w:val="none"/>
                    </w:rPr>
                    <w:t>计量单位</w:t>
                  </w:r>
                </w:p>
              </w:tc>
              <w:tc>
                <w:tcPr>
                  <w:tcW w:w="1139"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D20F52F">
                  <w:pPr>
                    <w:pStyle w:val="19"/>
                    <w:wordWrap w:val="0"/>
                    <w:spacing w:line="240" w:lineRule="auto"/>
                    <w:jc w:val="center"/>
                    <w:rPr>
                      <w:rFonts w:ascii="宋体" w:hAnsi="宋体" w:cs="宋体"/>
                      <w:color w:val="auto"/>
                      <w:sz w:val="21"/>
                      <w:szCs w:val="21"/>
                      <w:highlight w:val="none"/>
                    </w:rPr>
                  </w:pPr>
                  <w:r>
                    <w:rPr>
                      <w:rStyle w:val="25"/>
                      <w:rFonts w:hint="eastAsia" w:ascii="宋体" w:hAnsi="宋体" w:cs="宋体"/>
                      <w:color w:val="auto"/>
                      <w:spacing w:val="8"/>
                      <w:sz w:val="21"/>
                      <w:szCs w:val="21"/>
                      <w:highlight w:val="none"/>
                    </w:rPr>
                    <w:t>大型</w:t>
                  </w:r>
                </w:p>
              </w:tc>
              <w:tc>
                <w:tcPr>
                  <w:tcW w:w="1798"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317D54B">
                  <w:pPr>
                    <w:pStyle w:val="19"/>
                    <w:wordWrap w:val="0"/>
                    <w:spacing w:line="240" w:lineRule="auto"/>
                    <w:jc w:val="center"/>
                    <w:rPr>
                      <w:rFonts w:ascii="宋体" w:hAnsi="宋体" w:cs="宋体"/>
                      <w:color w:val="auto"/>
                      <w:sz w:val="21"/>
                      <w:szCs w:val="21"/>
                      <w:highlight w:val="none"/>
                    </w:rPr>
                  </w:pPr>
                  <w:r>
                    <w:rPr>
                      <w:rStyle w:val="25"/>
                      <w:rFonts w:hint="eastAsia" w:ascii="宋体" w:hAnsi="宋体" w:cs="宋体"/>
                      <w:color w:val="auto"/>
                      <w:spacing w:val="8"/>
                      <w:sz w:val="21"/>
                      <w:szCs w:val="21"/>
                      <w:highlight w:val="none"/>
                    </w:rPr>
                    <w:t>中型</w:t>
                  </w:r>
                </w:p>
              </w:tc>
              <w:tc>
                <w:tcPr>
                  <w:tcW w:w="1607"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668E7888">
                  <w:pPr>
                    <w:pStyle w:val="19"/>
                    <w:wordWrap w:val="0"/>
                    <w:spacing w:line="240" w:lineRule="auto"/>
                    <w:jc w:val="center"/>
                    <w:rPr>
                      <w:rFonts w:ascii="宋体" w:hAnsi="宋体" w:cs="宋体"/>
                      <w:color w:val="auto"/>
                      <w:sz w:val="21"/>
                      <w:szCs w:val="21"/>
                      <w:highlight w:val="none"/>
                    </w:rPr>
                  </w:pPr>
                  <w:r>
                    <w:rPr>
                      <w:rStyle w:val="25"/>
                      <w:rFonts w:hint="eastAsia" w:ascii="宋体" w:hAnsi="宋体" w:cs="宋体"/>
                      <w:color w:val="auto"/>
                      <w:spacing w:val="8"/>
                      <w:sz w:val="21"/>
                      <w:szCs w:val="21"/>
                      <w:highlight w:val="none"/>
                    </w:rPr>
                    <w:t>小型</w:t>
                  </w:r>
                </w:p>
              </w:tc>
              <w:tc>
                <w:tcPr>
                  <w:tcW w:w="93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8F4306E">
                  <w:pPr>
                    <w:pStyle w:val="19"/>
                    <w:wordWrap w:val="0"/>
                    <w:spacing w:line="240" w:lineRule="auto"/>
                    <w:jc w:val="center"/>
                    <w:rPr>
                      <w:rFonts w:ascii="宋体" w:hAnsi="宋体" w:cs="宋体"/>
                      <w:color w:val="auto"/>
                      <w:sz w:val="21"/>
                      <w:szCs w:val="21"/>
                      <w:highlight w:val="none"/>
                    </w:rPr>
                  </w:pPr>
                  <w:r>
                    <w:rPr>
                      <w:rStyle w:val="25"/>
                      <w:rFonts w:hint="eastAsia" w:ascii="宋体" w:hAnsi="宋体" w:cs="宋体"/>
                      <w:color w:val="auto"/>
                      <w:spacing w:val="8"/>
                      <w:sz w:val="21"/>
                      <w:szCs w:val="21"/>
                      <w:highlight w:val="none"/>
                    </w:rPr>
                    <w:t>微型</w:t>
                  </w:r>
                </w:p>
              </w:tc>
            </w:tr>
            <w:tr w14:paraId="3A1C2141">
              <w:tblPrEx>
                <w:tblCellMar>
                  <w:top w:w="0" w:type="dxa"/>
                  <w:left w:w="0" w:type="dxa"/>
                  <w:bottom w:w="0" w:type="dxa"/>
                  <w:right w:w="0" w:type="dxa"/>
                </w:tblCellMar>
              </w:tblPrEx>
              <w:trPr>
                <w:trHeight w:val="643" w:hRule="atLeast"/>
                <w:jc w:val="center"/>
              </w:trPr>
              <w:tc>
                <w:tcPr>
                  <w:tcW w:w="1047"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14:paraId="216AD59A">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农、林、牧、渔业</w:t>
                  </w: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86950A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4F08B5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545CF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E6B157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DE0A5D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50≤Y＜500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917C56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3D41BCF2">
              <w:tblPrEx>
                <w:shd w:val="clear" w:color="auto" w:fill="FFFFFF"/>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B30BC8C">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工业 *</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9EBEB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FFCD3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C0EFCE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EDA0E2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423126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3F3CE4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0B4798FF">
              <w:tblPrEx>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3550FB3">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312C04D">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97FF73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1EB6DC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D9E214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2000≤Y＜40000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C04545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300≤Y＜2000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D371DC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4B41D00C">
              <w:tblPrEx>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2E3F64D">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建筑业</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82A91A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7CEDE4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A902BC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Y≥80000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D15E48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6000≤Y＜80000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BCED9C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300≤Y＜6000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CA6EBE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w:t>
                  </w:r>
                </w:p>
              </w:tc>
            </w:tr>
            <w:tr w14:paraId="1490BA99">
              <w:tblPrEx>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CC315D7">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3D58B34">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11D93B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E1D673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Z≥80000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B68DD2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5000≤Z＜80000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7813C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300≤Z＜5000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979426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Z＜300</w:t>
                  </w:r>
                </w:p>
              </w:tc>
            </w:tr>
            <w:tr w14:paraId="7EF58FA5">
              <w:tblPrEx>
                <w:shd w:val="clear" w:color="auto" w:fill="FFFFFF"/>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8CC8637">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批发业</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6647B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230BC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C20DBF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78A02C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20≤X＜200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E9A8FE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5≤X＜20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3AEEB4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X＜5</w:t>
                  </w:r>
                </w:p>
              </w:tc>
            </w:tr>
            <w:tr w14:paraId="09366DE3">
              <w:tblPrEx>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7925EB4">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08F7713">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84085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683B5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Y≥40000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DC5DA7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5000≤Y＜40000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7FF303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BAFA5E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w:t>
                  </w:r>
                </w:p>
              </w:tc>
            </w:tr>
            <w:tr w14:paraId="41E6ACE3">
              <w:tblPrEx>
                <w:shd w:val="clear" w:color="auto" w:fill="FFFFFF"/>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EFD87BB">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零售业</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67C0C6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D92518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3BA007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0B7AB2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50≤X＜300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F6A1D9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10≤X＜50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A9A6E4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48AE465">
              <w:tblPrEx>
                <w:shd w:val="clear" w:color="auto" w:fill="FFFFFF"/>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D2787C6">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8166FB3">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D23F49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DFDE02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F1396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500≤Y＜20000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379539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100≤Y＜500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896C1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7585FF97">
              <w:tblPrEx>
                <w:shd w:val="clear" w:color="auto" w:fill="FFFFFF"/>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3167A1B">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交通运输业 *</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6FF4D4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C0CA04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4F0EB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64416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B5845D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D1EA4A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3CD7819C">
              <w:tblPrEx>
                <w:shd w:val="clear" w:color="auto" w:fill="FFFFFF"/>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A0F45C1">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27DE5E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71B602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D5681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4CB7D4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3000≤Y＜30000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1E7FD1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200≤Y＜3000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0E12C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w:t>
                  </w:r>
                </w:p>
              </w:tc>
            </w:tr>
            <w:tr w14:paraId="4FFF0A3F">
              <w:tblPrEx>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B1D169B">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仓储业*</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7D5376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B590D8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898D8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79E65E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208336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20≤X＜100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3C5DA5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5173783C">
              <w:tblPrEx>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2F27C23">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ACBA929">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5F5BA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D356A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9EABC8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1000≤Y＜30000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7C45C2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01AEDE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189F8F08">
              <w:tblPrEx>
                <w:shd w:val="clear" w:color="auto" w:fill="FFFFFF"/>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5C2936D">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邮政业</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42CBBA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048595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F36F67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771EBC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656F22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20≤X＜300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0FD7F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w:t>
                  </w:r>
                </w:p>
              </w:tc>
            </w:tr>
            <w:tr w14:paraId="467045AE">
              <w:tblPrEx>
                <w:shd w:val="clear" w:color="auto" w:fill="FFFFFF"/>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2C2F754">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3BA6E52">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55C06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977E04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Y≥30000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AC0395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2000≤Y＜30000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0D6344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96B68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1E7AAA14">
              <w:tblPrEx>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5B96031">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住宿业</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69A488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B64EC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DB356F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EC993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68BE04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3FA183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5ED5539F">
              <w:tblPrEx>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C71CCFE">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33CABB6">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0AAFB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93471F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008D8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0C8F52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5922F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36CC5B2A">
              <w:tblPrEx>
                <w:shd w:val="clear" w:color="auto" w:fill="FFFFFF"/>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1DFD523">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餐饮业</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4B001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572CAE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00D47A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79AC1D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03B99B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87173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708F8161">
              <w:tblPrEx>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96E68BC">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B6B39E0">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72D1E1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768281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C9039E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2000≤Y＜10000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6C341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100≤Y＜2000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218F0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2E3C0CE8">
              <w:tblPrEx>
                <w:shd w:val="clear" w:color="auto" w:fill="FFFFFF"/>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E14566C">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信息传输业 *</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5BC181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33E2EC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FB0BB4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X≥2000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15F3F2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100≤X＜2000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2B984E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0BF90C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58A5ACD4">
              <w:tblPrEx>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27AB750">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B230339">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D4567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A48949">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E61C3C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BBCB3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E3BB6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00905173">
              <w:tblPrEx>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903236F">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15"/>
                      <w:sz w:val="21"/>
                      <w:szCs w:val="21"/>
                      <w:highlight w:val="none"/>
                    </w:rPr>
                    <w:t>软件和信息技术服</w:t>
                  </w:r>
                  <w:r>
                    <w:rPr>
                      <w:rFonts w:hint="eastAsia" w:ascii="宋体" w:hAnsi="宋体" w:cs="宋体"/>
                      <w:color w:val="auto"/>
                      <w:spacing w:val="8"/>
                      <w:sz w:val="21"/>
                      <w:szCs w:val="21"/>
                      <w:highlight w:val="none"/>
                    </w:rPr>
                    <w:t>务业</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167826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843BB2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720BBE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9FDB78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584CEC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7E0A45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4CBE98D1">
              <w:tblPrEx>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5E2E8F4">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E53801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4E771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AA8344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103E74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1000≤Y＜10000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3EF2A7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50≤Y＜1000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B7DBAD4">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w:t>
                  </w:r>
                </w:p>
              </w:tc>
            </w:tr>
            <w:tr w14:paraId="6EDAFC91">
              <w:tblPrEx>
                <w:shd w:val="clear" w:color="auto" w:fill="FFFFFF"/>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E68AACB">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房地产开发经营</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F9823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184161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69047D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Y≥200000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8308AB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1000≤Y＜200000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62CFA5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100≤Y＜1000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A69794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Y＜100</w:t>
                  </w:r>
                </w:p>
              </w:tc>
            </w:tr>
            <w:tr w14:paraId="2D255242">
              <w:tblPrEx>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D1EE903">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337450B">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0DE8AD6">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B3EEAF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039FC3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5000≤Z＜10000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187AEE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2000≤Z＜5000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64168E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Z＜2000</w:t>
                  </w:r>
                </w:p>
              </w:tc>
            </w:tr>
            <w:tr w14:paraId="4A5858CF">
              <w:tblPrEx>
                <w:shd w:val="clear" w:color="auto" w:fill="FFFFFF"/>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2A960CE">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物业管理</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27BC9C8">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458413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FE4409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F2FCB0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300≤X＜1000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0D2E74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2E26AB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X＜100</w:t>
                  </w:r>
                </w:p>
              </w:tc>
            </w:tr>
            <w:tr w14:paraId="01F7B8A4">
              <w:tblPrEx>
                <w:shd w:val="clear" w:color="auto" w:fill="FFFFFF"/>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8129932">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789F34">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营业收入(Y)</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D9C7FFF">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8FC260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6B52B2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1000≤Y＜5000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9741381">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500≤Y＜1000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E04FC5">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Y＜500</w:t>
                  </w:r>
                </w:p>
              </w:tc>
            </w:tr>
            <w:tr w14:paraId="764C43BC">
              <w:tblPrEx>
                <w:tblCellMar>
                  <w:top w:w="0" w:type="dxa"/>
                  <w:left w:w="0" w:type="dxa"/>
                  <w:bottom w:w="0" w:type="dxa"/>
                  <w:right w:w="0" w:type="dxa"/>
                </w:tblCellMar>
              </w:tblPrEx>
              <w:trPr>
                <w:trHeight w:val="534" w:hRule="atLeast"/>
                <w:jc w:val="center"/>
              </w:trPr>
              <w:tc>
                <w:tcPr>
                  <w:tcW w:w="1047"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BC79D9A">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租赁和商务服务业</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A99612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027739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656A3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D038990">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D4DEB5D">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4F4D70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r w14:paraId="61645C31">
              <w:tblPrEx>
                <w:shd w:val="clear" w:color="auto" w:fill="FFFFFF"/>
                <w:tblCellMar>
                  <w:top w:w="0" w:type="dxa"/>
                  <w:left w:w="0" w:type="dxa"/>
                  <w:bottom w:w="0" w:type="dxa"/>
                  <w:right w:w="0" w:type="dxa"/>
                </w:tblCellMar>
              </w:tblPrEx>
              <w:trPr>
                <w:trHeight w:val="534" w:hRule="atLeast"/>
                <w:jc w:val="center"/>
              </w:trPr>
              <w:tc>
                <w:tcPr>
                  <w:tcW w:w="1047"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73B9906">
                  <w:pPr>
                    <w:jc w:val="center"/>
                    <w:rPr>
                      <w:rFonts w:ascii="宋体" w:hAnsi="宋体" w:cs="宋体"/>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84DE37D">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资产总额(Z)</w:t>
                  </w:r>
                </w:p>
              </w:tc>
              <w:tc>
                <w:tcPr>
                  <w:tcW w:w="66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BBA78F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万元</w:t>
                  </w:r>
                </w:p>
              </w:tc>
              <w:tc>
                <w:tcPr>
                  <w:tcW w:w="113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F428DFE">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Z≥120000</w:t>
                  </w:r>
                </w:p>
              </w:tc>
              <w:tc>
                <w:tcPr>
                  <w:tcW w:w="179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32A998C">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8000≤Z＜120000</w:t>
                  </w:r>
                </w:p>
              </w:tc>
              <w:tc>
                <w:tcPr>
                  <w:tcW w:w="160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9D0A1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100≤Z＜8000</w:t>
                  </w:r>
                </w:p>
              </w:tc>
              <w:tc>
                <w:tcPr>
                  <w:tcW w:w="93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E1F0D7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Z＜100</w:t>
                  </w:r>
                </w:p>
              </w:tc>
            </w:tr>
            <w:tr w14:paraId="7A7B60AA">
              <w:tblPrEx>
                <w:tblCellMar>
                  <w:top w:w="0" w:type="dxa"/>
                  <w:left w:w="0" w:type="dxa"/>
                  <w:bottom w:w="0" w:type="dxa"/>
                  <w:right w:w="0" w:type="dxa"/>
                </w:tblCellMar>
              </w:tblPrEx>
              <w:trPr>
                <w:trHeight w:val="617" w:hRule="atLeast"/>
                <w:jc w:val="center"/>
              </w:trPr>
              <w:tc>
                <w:tcPr>
                  <w:tcW w:w="1047"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48C0BF8">
                  <w:pPr>
                    <w:pStyle w:val="19"/>
                    <w:wordWrap w:val="0"/>
                    <w:spacing w:line="240" w:lineRule="atLeast"/>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其他未列明行业*</w:t>
                  </w:r>
                </w:p>
              </w:tc>
              <w:tc>
                <w:tcPr>
                  <w:tcW w:w="136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5FDBCC2">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从业人员(X)</w:t>
                  </w:r>
                </w:p>
              </w:tc>
              <w:tc>
                <w:tcPr>
                  <w:tcW w:w="66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7360C1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人</w:t>
                  </w:r>
                </w:p>
              </w:tc>
              <w:tc>
                <w:tcPr>
                  <w:tcW w:w="113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F30F02B">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X≥300</w:t>
                  </w:r>
                </w:p>
              </w:tc>
              <w:tc>
                <w:tcPr>
                  <w:tcW w:w="179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6CE55C3">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100≤X＜300</w:t>
                  </w:r>
                </w:p>
              </w:tc>
              <w:tc>
                <w:tcPr>
                  <w:tcW w:w="160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ABEB4E7">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10≤X＜100</w:t>
                  </w:r>
                </w:p>
              </w:tc>
              <w:tc>
                <w:tcPr>
                  <w:tcW w:w="93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8AE4EA">
                  <w:pPr>
                    <w:pStyle w:val="19"/>
                    <w:wordWrap w:val="0"/>
                    <w:jc w:val="center"/>
                    <w:rPr>
                      <w:rFonts w:ascii="宋体" w:hAnsi="宋体" w:cs="宋体"/>
                      <w:color w:val="auto"/>
                      <w:sz w:val="21"/>
                      <w:szCs w:val="21"/>
                      <w:highlight w:val="none"/>
                    </w:rPr>
                  </w:pPr>
                  <w:r>
                    <w:rPr>
                      <w:rFonts w:hint="eastAsia" w:ascii="宋体" w:hAnsi="宋体" w:cs="宋体"/>
                      <w:color w:val="auto"/>
                      <w:spacing w:val="8"/>
                      <w:sz w:val="21"/>
                      <w:szCs w:val="21"/>
                      <w:highlight w:val="none"/>
                    </w:rPr>
                    <w:t>X＜10</w:t>
                  </w:r>
                </w:p>
              </w:tc>
            </w:tr>
          </w:tbl>
          <w:p w14:paraId="46DC453D">
            <w:pPr>
              <w:widowControl w:val="0"/>
              <w:spacing w:line="420" w:lineRule="exact"/>
              <w:ind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说明：1.大型、中型和小型企业须</w:t>
            </w:r>
            <w:r>
              <w:rPr>
                <w:rFonts w:hint="eastAsia" w:asciiTheme="majorEastAsia" w:hAnsiTheme="majorEastAsia" w:eastAsiaTheme="majorEastAsia" w:cstheme="majorEastAsia"/>
                <w:b/>
                <w:bCs/>
                <w:color w:val="auto"/>
                <w:kern w:val="0"/>
                <w:sz w:val="24"/>
                <w:szCs w:val="24"/>
                <w:highlight w:val="none"/>
              </w:rPr>
              <w:t>同时满足所列指标的下限</w:t>
            </w:r>
            <w:r>
              <w:rPr>
                <w:rFonts w:hint="eastAsia" w:asciiTheme="majorEastAsia" w:hAnsiTheme="majorEastAsia" w:eastAsiaTheme="majorEastAsia" w:cstheme="majorEastAsia"/>
                <w:b/>
                <w:bCs/>
                <w:color w:val="auto"/>
                <w:kern w:val="0"/>
                <w:sz w:val="24"/>
                <w:szCs w:val="24"/>
                <w:highlight w:val="none"/>
                <w:lang w:eastAsia="zh-CN"/>
              </w:rPr>
              <w:t>，否则下划一档</w:t>
            </w:r>
            <w:r>
              <w:rPr>
                <w:rFonts w:hint="eastAsia" w:asciiTheme="majorEastAsia" w:hAnsiTheme="majorEastAsia" w:eastAsiaTheme="majorEastAsia" w:cstheme="majorEastAsia"/>
                <w:color w:val="auto"/>
                <w:kern w:val="0"/>
                <w:sz w:val="24"/>
                <w:szCs w:val="24"/>
                <w:highlight w:val="none"/>
              </w:rPr>
              <w:t>；微型企业只须满足所列指标中的一项即可。</w:t>
            </w:r>
          </w:p>
          <w:p w14:paraId="3E5FEFD0">
            <w:pPr>
              <w:widowControl w:val="0"/>
              <w:numPr>
                <w:ilvl w:val="0"/>
                <w:numId w:val="15"/>
              </w:numPr>
              <w:spacing w:line="420" w:lineRule="exact"/>
              <w:ind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附表中各行业的范围以《国民经济行业分类》（GB/T4754-2017）为准。</w:t>
            </w:r>
            <w:r>
              <w:rPr>
                <w:rFonts w:hint="eastAsia" w:asciiTheme="majorEastAsia" w:hAnsiTheme="majorEastAsia" w:eastAsiaTheme="majorEastAsia" w:cstheme="majorEastAsia"/>
                <w:b/>
                <w:bCs/>
                <w:color w:val="auto"/>
                <w:kern w:val="0"/>
                <w:sz w:val="24"/>
                <w:szCs w:val="24"/>
                <w:highlight w:val="none"/>
              </w:rPr>
              <w:t>带*的项为行业组合类别</w:t>
            </w:r>
            <w:r>
              <w:rPr>
                <w:rFonts w:hint="eastAsia" w:asciiTheme="majorEastAsia" w:hAnsiTheme="majorEastAsia" w:eastAsiaTheme="majorEastAsia" w:cstheme="majorEastAsia"/>
                <w:color w:val="auto"/>
                <w:kern w:val="0"/>
                <w:sz w:val="24"/>
                <w:szCs w:val="24"/>
                <w:highlight w:val="none"/>
              </w:rPr>
              <w:t>，其中，</w:t>
            </w:r>
            <w:r>
              <w:rPr>
                <w:rFonts w:hint="eastAsia" w:asciiTheme="majorEastAsia" w:hAnsiTheme="majorEastAsia" w:eastAsiaTheme="majorEastAsia" w:cstheme="majorEastAsia"/>
                <w:b/>
                <w:bCs/>
                <w:color w:val="auto"/>
                <w:kern w:val="0"/>
                <w:sz w:val="24"/>
                <w:szCs w:val="24"/>
                <w:highlight w:val="none"/>
              </w:rPr>
              <w:t>工业</w:t>
            </w:r>
            <w:r>
              <w:rPr>
                <w:rFonts w:hint="eastAsia" w:asciiTheme="majorEastAsia" w:hAnsiTheme="majorEastAsia" w:eastAsiaTheme="majorEastAsia" w:cstheme="majorEastAsia"/>
                <w:color w:val="auto"/>
                <w:kern w:val="0"/>
                <w:sz w:val="24"/>
                <w:szCs w:val="24"/>
                <w:highlight w:val="none"/>
              </w:rPr>
              <w:t>包括采矿业，制造业，电力、热力、燃气及水生产和供应业；</w:t>
            </w:r>
            <w:r>
              <w:rPr>
                <w:rFonts w:hint="eastAsia" w:asciiTheme="majorEastAsia" w:hAnsiTheme="majorEastAsia" w:eastAsiaTheme="majorEastAsia" w:cstheme="majorEastAsia"/>
                <w:b/>
                <w:bCs/>
                <w:color w:val="auto"/>
                <w:kern w:val="0"/>
                <w:sz w:val="24"/>
                <w:szCs w:val="24"/>
                <w:highlight w:val="none"/>
              </w:rPr>
              <w:t>交通运输业</w:t>
            </w:r>
            <w:r>
              <w:rPr>
                <w:rFonts w:hint="eastAsia" w:asciiTheme="majorEastAsia" w:hAnsiTheme="majorEastAsia" w:eastAsiaTheme="majorEastAsia" w:cstheme="majorEastAsia"/>
                <w:color w:val="auto"/>
                <w:kern w:val="0"/>
                <w:sz w:val="24"/>
                <w:szCs w:val="24"/>
                <w:highlight w:val="none"/>
              </w:rPr>
              <w:t>包括道路运输业，水上运输业，航空运输业，管道运输业，多式联运和运输代理业、装卸搬运，不包括铁路运输业；</w:t>
            </w:r>
            <w:r>
              <w:rPr>
                <w:rFonts w:hint="eastAsia" w:asciiTheme="majorEastAsia" w:hAnsiTheme="majorEastAsia" w:eastAsiaTheme="majorEastAsia" w:cstheme="majorEastAsia"/>
                <w:b/>
                <w:bCs/>
                <w:color w:val="auto"/>
                <w:kern w:val="0"/>
                <w:sz w:val="24"/>
                <w:szCs w:val="24"/>
                <w:highlight w:val="none"/>
              </w:rPr>
              <w:t>仓储业</w:t>
            </w:r>
            <w:r>
              <w:rPr>
                <w:rFonts w:hint="eastAsia" w:asciiTheme="majorEastAsia" w:hAnsiTheme="majorEastAsia" w:eastAsiaTheme="majorEastAsia" w:cstheme="majorEastAsia"/>
                <w:color w:val="auto"/>
                <w:kern w:val="0"/>
                <w:sz w:val="24"/>
                <w:szCs w:val="24"/>
                <w:highlight w:val="none"/>
              </w:rPr>
              <w:t>包括通用仓储，低温仓储，危险品仓储，谷物、棉花等农产品仓储，中药材仓储和其他仓储业；</w:t>
            </w:r>
            <w:r>
              <w:rPr>
                <w:rFonts w:hint="eastAsia" w:asciiTheme="majorEastAsia" w:hAnsiTheme="majorEastAsia" w:eastAsiaTheme="majorEastAsia" w:cstheme="majorEastAsia"/>
                <w:b/>
                <w:bCs/>
                <w:color w:val="auto"/>
                <w:kern w:val="0"/>
                <w:sz w:val="24"/>
                <w:szCs w:val="24"/>
                <w:highlight w:val="none"/>
              </w:rPr>
              <w:t>信息传输业</w:t>
            </w:r>
            <w:r>
              <w:rPr>
                <w:rFonts w:hint="eastAsia" w:asciiTheme="majorEastAsia" w:hAnsiTheme="majorEastAsia" w:eastAsiaTheme="majorEastAsia" w:cstheme="majorEastAsia"/>
                <w:color w:val="auto"/>
                <w:kern w:val="0"/>
                <w:sz w:val="24"/>
                <w:szCs w:val="24"/>
                <w:highlight w:val="none"/>
              </w:rPr>
              <w:t>包括电信、广播电视和卫星传输服务，互联网和相关服务；</w:t>
            </w:r>
            <w:r>
              <w:rPr>
                <w:rFonts w:hint="eastAsia" w:asciiTheme="majorEastAsia" w:hAnsiTheme="majorEastAsia" w:eastAsiaTheme="majorEastAsia" w:cstheme="majorEastAsia"/>
                <w:b/>
                <w:bCs/>
                <w:color w:val="auto"/>
                <w:kern w:val="0"/>
                <w:sz w:val="24"/>
                <w:szCs w:val="24"/>
                <w:highlight w:val="none"/>
              </w:rPr>
              <w:t>其他未列明行业</w:t>
            </w:r>
            <w:r>
              <w:rPr>
                <w:rFonts w:hint="eastAsia" w:asciiTheme="majorEastAsia" w:hAnsiTheme="majorEastAsia" w:eastAsiaTheme="majorEastAsia" w:cstheme="majorEastAsia"/>
                <w:color w:val="auto"/>
                <w:kern w:val="0"/>
                <w:sz w:val="24"/>
                <w:szCs w:val="24"/>
                <w:highlight w:val="none"/>
              </w:rPr>
              <w:t>包括科学研究和技术服务业，水利、环境和公共设施管理业，居民服务、修理和其他服务业，社会工作，文化、体育和娱乐业，以及房地产中介服务，其他房地产业等，不包括自有房地产经营活动。</w:t>
            </w:r>
          </w:p>
          <w:p w14:paraId="62A7B10C">
            <w:pPr>
              <w:widowControl w:val="0"/>
              <w:numPr>
                <w:ilvl w:val="0"/>
                <w:numId w:val="15"/>
              </w:numPr>
              <w:spacing w:line="420" w:lineRule="exact"/>
              <w:ind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企业划分指标以现行统计制度为准。</w:t>
            </w:r>
          </w:p>
          <w:p w14:paraId="1F6C3F84">
            <w:pPr>
              <w:widowControl w:val="0"/>
              <w:spacing w:line="420" w:lineRule="exact"/>
              <w:ind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（1）从业人员，是指期末从业人员数，没有期末从业人员数的，采用全年平均人员数代替。</w:t>
            </w:r>
          </w:p>
          <w:p w14:paraId="47F38284">
            <w:pPr>
              <w:widowControl w:val="0"/>
              <w:spacing w:line="420" w:lineRule="exact"/>
              <w:ind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FCE7996">
            <w:pPr>
              <w:widowControl w:val="0"/>
              <w:spacing w:line="420" w:lineRule="exact"/>
              <w:ind w:left="420" w:left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（3）资产总额，采用资产总计代替。</w:t>
            </w:r>
          </w:p>
          <w:p w14:paraId="7799311C">
            <w:pPr>
              <w:jc w:val="both"/>
              <w:rPr>
                <w:rFonts w:hint="eastAsia" w:ascii="宋体" w:hAnsi="宋体" w:cs="宋体"/>
                <w:b/>
                <w:bCs/>
                <w:color w:val="auto"/>
                <w:highlight w:val="none"/>
                <w:lang w:eastAsia="zh-CN"/>
              </w:rPr>
            </w:pPr>
          </w:p>
          <w:p w14:paraId="7BC940C0">
            <w:pPr>
              <w:rPr>
                <w:rFonts w:hint="eastAsia" w:ascii="宋体" w:hAnsi="宋体" w:cs="宋体"/>
                <w:b/>
                <w:bCs/>
                <w:color w:val="auto"/>
                <w:highlight w:val="none"/>
                <w:lang w:eastAsia="zh-CN"/>
              </w:rPr>
            </w:pPr>
          </w:p>
          <w:p w14:paraId="28E8CA5B">
            <w:pPr>
              <w:pStyle w:val="6"/>
              <w:rPr>
                <w:rFonts w:hint="eastAsia" w:ascii="宋体" w:hAnsi="宋体" w:cs="宋体"/>
                <w:b/>
                <w:bCs/>
                <w:color w:val="auto"/>
                <w:highlight w:val="none"/>
                <w:lang w:eastAsia="zh-CN"/>
              </w:rPr>
            </w:pPr>
          </w:p>
          <w:p w14:paraId="0FF9B793">
            <w:pPr>
              <w:pStyle w:val="6"/>
              <w:rPr>
                <w:rFonts w:hint="eastAsia" w:ascii="宋体" w:hAnsi="宋体" w:cs="宋体"/>
                <w:b/>
                <w:bCs/>
                <w:color w:val="auto"/>
                <w:highlight w:val="none"/>
                <w:lang w:eastAsia="zh-CN"/>
              </w:rPr>
            </w:pPr>
          </w:p>
          <w:p w14:paraId="44B76FA3">
            <w:pPr>
              <w:jc w:val="both"/>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eastAsia="zh-CN"/>
              </w:rPr>
              <w:t>附件</w:t>
            </w:r>
            <w:r>
              <w:rPr>
                <w:rFonts w:hint="eastAsia" w:asciiTheme="majorEastAsia" w:hAnsiTheme="majorEastAsia" w:eastAsiaTheme="majorEastAsia" w:cstheme="majorEastAsia"/>
                <w:b w:val="0"/>
                <w:bCs w:val="0"/>
                <w:color w:val="auto"/>
                <w:sz w:val="24"/>
                <w:szCs w:val="24"/>
                <w:highlight w:val="none"/>
                <w:lang w:val="en-US" w:eastAsia="zh-CN"/>
              </w:rPr>
              <w:t>4：</w:t>
            </w:r>
          </w:p>
          <w:p w14:paraId="6CF133C4">
            <w:pPr>
              <w:jc w:val="center"/>
              <w:rPr>
                <w:rFonts w:ascii="宋体" w:hAnsi="宋体" w:cs="宋体"/>
                <w:b/>
                <w:bCs/>
                <w:color w:val="auto"/>
                <w:highlight w:val="none"/>
              </w:rPr>
            </w:pPr>
            <w:r>
              <w:rPr>
                <w:rFonts w:hint="eastAsia" w:ascii="宋体" w:hAnsi="宋体" w:cs="宋体"/>
                <w:b/>
                <w:bCs/>
                <w:color w:val="auto"/>
                <w:highlight w:val="none"/>
              </w:rPr>
              <w:t>质疑函范本</w:t>
            </w:r>
          </w:p>
          <w:p w14:paraId="6BB975B8">
            <w:pPr>
              <w:spacing w:line="56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一、质疑供应商基本信息</w:t>
            </w:r>
          </w:p>
          <w:p w14:paraId="3A6E1913">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质疑供应商：</w:t>
            </w:r>
          </w:p>
          <w:p w14:paraId="22BC7E4E">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地址：邮编：</w:t>
            </w:r>
          </w:p>
          <w:p w14:paraId="02AD53A7">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联系电话：</w:t>
            </w:r>
          </w:p>
          <w:p w14:paraId="66A5BB14">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授权代表：</w:t>
            </w:r>
          </w:p>
          <w:p w14:paraId="4493650F">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联系电话：</w:t>
            </w:r>
          </w:p>
          <w:p w14:paraId="65FB7B73">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地址：邮编：</w:t>
            </w:r>
          </w:p>
          <w:p w14:paraId="7FFD9DA3">
            <w:pPr>
              <w:spacing w:line="56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二、质疑项目基本情况</w:t>
            </w:r>
          </w:p>
          <w:p w14:paraId="65EDB291">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p>
          <w:p w14:paraId="0947282D">
            <w:pPr>
              <w:spacing w:line="56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质疑项目的编号： 包号：</w:t>
            </w:r>
          </w:p>
          <w:p w14:paraId="4BB2D3EA">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采购人名称：</w:t>
            </w:r>
          </w:p>
          <w:p w14:paraId="038C9A49">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 xml:space="preserve">获取日期: </w:t>
            </w:r>
          </w:p>
          <w:p w14:paraId="472DBA1F">
            <w:pPr>
              <w:spacing w:line="56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三、质疑事项具体内容</w:t>
            </w:r>
          </w:p>
          <w:p w14:paraId="49C71C3B">
            <w:pPr>
              <w:spacing w:line="56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质疑事项1:</w:t>
            </w:r>
          </w:p>
          <w:p w14:paraId="7871666B">
            <w:pPr>
              <w:spacing w:line="56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事实依据：</w:t>
            </w:r>
          </w:p>
          <w:p w14:paraId="301992E6">
            <w:pPr>
              <w:spacing w:line="56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p>
          <w:p w14:paraId="26AF18FD">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质疑事项2</w:t>
            </w:r>
          </w:p>
          <w:p w14:paraId="044CD091">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14:paraId="63983C7A">
            <w:pPr>
              <w:spacing w:line="56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四、与质疑事项相关的质疑请求</w:t>
            </w:r>
          </w:p>
          <w:p w14:paraId="4E3C4AAE">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请求：</w:t>
            </w:r>
          </w:p>
          <w:p w14:paraId="52FAB2D5">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157DEC36">
            <w:pPr>
              <w:spacing w:line="56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日期：</w:t>
            </w:r>
          </w:p>
          <w:p w14:paraId="051438B8">
            <w:pPr>
              <w:spacing w:line="560" w:lineRule="exact"/>
              <w:ind w:firstLine="422" w:firstLineChars="200"/>
              <w:rPr>
                <w:rFonts w:hint="eastAsia" w:ascii="宋体" w:hAnsi="宋体" w:cs="宋体"/>
                <w:b/>
                <w:bCs/>
                <w:color w:val="auto"/>
                <w:sz w:val="21"/>
                <w:szCs w:val="21"/>
                <w:highlight w:val="none"/>
              </w:rPr>
            </w:pPr>
          </w:p>
          <w:p w14:paraId="087E33C7">
            <w:pPr>
              <w:spacing w:line="560" w:lineRule="exact"/>
              <w:ind w:firstLine="422" w:firstLineChars="200"/>
              <w:rPr>
                <w:rFonts w:hint="eastAsia" w:ascii="宋体" w:hAnsi="宋体" w:cs="宋体"/>
                <w:b/>
                <w:bCs/>
                <w:color w:val="auto"/>
                <w:sz w:val="21"/>
                <w:szCs w:val="21"/>
                <w:highlight w:val="none"/>
              </w:rPr>
            </w:pPr>
          </w:p>
          <w:p w14:paraId="1353650B">
            <w:pPr>
              <w:spacing w:line="56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质疑函制作说明：</w:t>
            </w:r>
          </w:p>
          <w:p w14:paraId="554B93DF">
            <w:pPr>
              <w:spacing w:line="5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1.供应商提出质疑时，应提交质疑函和必要的证明材料。</w:t>
            </w:r>
          </w:p>
          <w:p w14:paraId="383C837E">
            <w:pPr>
              <w:spacing w:line="5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D10220">
            <w:pPr>
              <w:spacing w:line="5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3.质疑供应商若对项目的某一分包进行质疑，质疑函中应列明具体分包号。</w:t>
            </w:r>
          </w:p>
          <w:p w14:paraId="37C6D2EC">
            <w:pPr>
              <w:spacing w:line="5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4.质疑函的质疑事项应具体、明确，并有必要的事实依据和法律依据。</w:t>
            </w:r>
          </w:p>
          <w:p w14:paraId="483BAB85">
            <w:pPr>
              <w:spacing w:line="5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5.质疑函的质疑请求应与质疑事项相关。</w:t>
            </w:r>
          </w:p>
          <w:p w14:paraId="064F4D40">
            <w:pPr>
              <w:spacing w:line="560" w:lineRule="exact"/>
              <w:ind w:firstLine="480" w:firstLineChars="200"/>
              <w:rPr>
                <w:rFonts w:ascii="宋体" w:hAnsi="宋体" w:cs="宋体"/>
                <w:color w:val="auto"/>
                <w:sz w:val="21"/>
                <w:szCs w:val="21"/>
                <w:highlight w:val="none"/>
              </w:rPr>
            </w:pPr>
            <w:r>
              <w:rPr>
                <w:rFonts w:hint="eastAsia" w:asciiTheme="majorEastAsia" w:hAnsiTheme="majorEastAsia" w:eastAsiaTheme="majorEastAsia" w:cstheme="maj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cs="宋体"/>
                <w:color w:val="auto"/>
                <w:sz w:val="21"/>
                <w:szCs w:val="21"/>
                <w:highlight w:val="none"/>
              </w:rPr>
              <w:t>。</w:t>
            </w:r>
          </w:p>
          <w:p w14:paraId="459283FC">
            <w:pPr>
              <w:rPr>
                <w:rFonts w:hint="default"/>
                <w:lang w:eastAsia="zh-CN"/>
              </w:rPr>
            </w:pPr>
          </w:p>
          <w:p w14:paraId="61CE73D5">
            <w:pPr>
              <w:rPr>
                <w:rFonts w:hint="default"/>
                <w:lang w:eastAsia="zh-CN"/>
              </w:rPr>
            </w:pPr>
          </w:p>
        </w:tc>
      </w:tr>
    </w:tbl>
    <w:p w14:paraId="1687E645">
      <w:pPr>
        <w:pStyle w:val="36"/>
        <w:widowControl w:val="0"/>
        <w:numPr>
          <w:ilvl w:val="0"/>
          <w:numId w:val="0"/>
        </w:numPr>
        <w:tabs>
          <w:tab w:val="left" w:pos="1341"/>
        </w:tabs>
        <w:autoSpaceDE w:val="0"/>
        <w:autoSpaceDN w:val="0"/>
        <w:spacing w:line="328" w:lineRule="auto"/>
        <w:ind w:right="338" w:rightChars="0"/>
        <w:jc w:val="left"/>
        <w:rPr>
          <w:color w:val="auto"/>
        </w:rPr>
      </w:pPr>
    </w:p>
    <w:p w14:paraId="1CE8D9FE">
      <w:pPr>
        <w:pStyle w:val="36"/>
        <w:widowControl w:val="0"/>
        <w:numPr>
          <w:ilvl w:val="0"/>
          <w:numId w:val="0"/>
        </w:numPr>
        <w:tabs>
          <w:tab w:val="left" w:pos="1341"/>
        </w:tabs>
        <w:autoSpaceDE w:val="0"/>
        <w:autoSpaceDN w:val="0"/>
        <w:spacing w:line="328" w:lineRule="auto"/>
        <w:ind w:right="338" w:rightChars="0"/>
        <w:jc w:val="both"/>
        <w:rPr>
          <w:color w:val="auto"/>
        </w:rPr>
        <w:sectPr>
          <w:footerReference r:id="rId6" w:type="default"/>
          <w:pgSz w:w="11910" w:h="16840"/>
          <w:pgMar w:top="1400" w:right="1020" w:bottom="900" w:left="1040" w:header="0" w:footer="640" w:gutter="0"/>
          <w:pgNumType w:fmt="decimal"/>
          <w:cols w:space="720" w:num="1"/>
        </w:sectPr>
      </w:pPr>
    </w:p>
    <w:p w14:paraId="231EC7D5">
      <w:pPr>
        <w:pStyle w:val="2"/>
        <w:spacing w:before="31" w:line="460" w:lineRule="exact"/>
        <w:ind w:firstLine="1325" w:firstLineChars="300"/>
        <w:jc w:val="left"/>
        <w:rPr>
          <w:rFonts w:hint="eastAsia" w:ascii="宋体" w:hAnsi="宋体" w:eastAsia="宋体" w:cs="宋体"/>
          <w:b/>
          <w:bCs/>
          <w:color w:val="auto"/>
          <w:lang w:val="en-US" w:eastAsia="zh-CN"/>
        </w:rPr>
      </w:pPr>
      <w:bookmarkStart w:id="169" w:name="_Toc25877"/>
      <w:bookmarkStart w:id="170" w:name="_Toc29960"/>
      <w:r>
        <w:rPr>
          <w:rFonts w:hint="eastAsia" w:ascii="宋体" w:hAnsi="宋体" w:eastAsia="宋体" w:cs="宋体"/>
          <w:b/>
          <w:bCs/>
          <w:color w:val="auto"/>
          <w:lang w:val="en-US" w:eastAsia="zh-CN"/>
        </w:rPr>
        <w:t xml:space="preserve">第三章 </w:t>
      </w:r>
      <w:bookmarkEnd w:id="169"/>
      <w:r>
        <w:rPr>
          <w:rFonts w:hint="eastAsia" w:cs="宋体"/>
          <w:b/>
          <w:bCs/>
          <w:color w:val="auto"/>
          <w:lang w:val="en-US" w:eastAsia="zh-CN"/>
        </w:rPr>
        <w:t>服务需求</w:t>
      </w:r>
      <w:bookmarkEnd w:id="170"/>
    </w:p>
    <w:p w14:paraId="20322BFA">
      <w:pPr>
        <w:rPr>
          <w:color w:val="FF0000"/>
        </w:rPr>
      </w:pPr>
    </w:p>
    <w:p w14:paraId="01BBAC0B">
      <w:pPr>
        <w:pStyle w:val="18"/>
        <w:keepNext w:val="0"/>
        <w:keepLines w:val="0"/>
        <w:pageBreakBefore w:val="0"/>
        <w:widowControl w:val="0"/>
        <w:kinsoku/>
        <w:wordWrap w:val="0"/>
        <w:overflowPunct/>
        <w:topLinePunct w:val="0"/>
        <w:autoSpaceDE w:val="0"/>
        <w:autoSpaceDN w:val="0"/>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一、项目概况：</w:t>
      </w:r>
    </w:p>
    <w:p w14:paraId="2E7829E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cs="宋体"/>
          <w:color w:val="auto"/>
          <w:sz w:val="24"/>
          <w:szCs w:val="24"/>
          <w:lang w:val="en-US" w:eastAsia="zh-CN"/>
        </w:rPr>
      </w:pPr>
      <w:r>
        <w:rPr>
          <w:rFonts w:hint="eastAsia" w:ascii="宋体" w:hAnsi="宋体" w:eastAsia="宋体" w:cs="宋体"/>
          <w:color w:val="auto"/>
          <w:sz w:val="24"/>
          <w:szCs w:val="24"/>
          <w:lang w:val="en-US" w:eastAsia="zh-CN"/>
        </w:rPr>
        <w:t>1、采购人：</w:t>
      </w:r>
      <w:r>
        <w:rPr>
          <w:rFonts w:hint="eastAsia" w:cs="宋体"/>
          <w:color w:val="auto"/>
          <w:sz w:val="24"/>
          <w:szCs w:val="24"/>
          <w:lang w:val="en-US" w:eastAsia="zh-CN"/>
        </w:rPr>
        <w:t>卢氏县五里川镇人民政府</w:t>
      </w:r>
    </w:p>
    <w:p w14:paraId="77A3D07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2、项目名称：</w:t>
      </w:r>
      <w:r>
        <w:rPr>
          <w:rFonts w:hint="eastAsia" w:cs="宋体"/>
          <w:color w:val="auto"/>
          <w:sz w:val="24"/>
          <w:szCs w:val="24"/>
          <w:lang w:val="en-US" w:eastAsia="zh-CN"/>
        </w:rPr>
        <w:t>河南省卢氏县“红色莘川·靖华故里”乡村振兴项目规划设计</w:t>
      </w:r>
    </w:p>
    <w:p w14:paraId="52466C3A">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3、项目预算金额：</w:t>
      </w:r>
      <w:r>
        <w:rPr>
          <w:rFonts w:hint="eastAsia" w:cs="宋体"/>
          <w:color w:val="auto"/>
          <w:sz w:val="24"/>
          <w:szCs w:val="24"/>
          <w:lang w:val="en-US" w:eastAsia="zh-CN"/>
        </w:rPr>
        <w:t>538400.00元</w:t>
      </w:r>
    </w:p>
    <w:p w14:paraId="4516E20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、服务内容：</w:t>
      </w:r>
      <w:r>
        <w:rPr>
          <w:rFonts w:hint="eastAsia" w:cs="宋体"/>
          <w:color w:val="auto"/>
          <w:sz w:val="24"/>
          <w:szCs w:val="24"/>
          <w:lang w:val="en-US" w:eastAsia="zh-CN"/>
        </w:rPr>
        <w:t>河南省卢氏县“红色莘川·靖华故里”乡村振兴项目规划设计</w:t>
      </w:r>
      <w:r>
        <w:rPr>
          <w:rFonts w:hint="eastAsia" w:ascii="宋体" w:hAnsi="宋体" w:eastAsia="宋体" w:cs="宋体"/>
          <w:color w:val="auto"/>
          <w:sz w:val="24"/>
          <w:szCs w:val="24"/>
          <w:lang w:val="en-US" w:eastAsia="zh-CN"/>
        </w:rPr>
        <w:t>前期方案、施工图设计及相关后续服务等</w:t>
      </w:r>
    </w:p>
    <w:p w14:paraId="5D1A3EB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、标段划分：本项目共分</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个标段。</w:t>
      </w:r>
    </w:p>
    <w:p w14:paraId="13E6BD26">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、资金来源：财政资金，已落实；</w:t>
      </w:r>
    </w:p>
    <w:p w14:paraId="066B1FD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、设计周期：合同签订后10日历天完成；</w:t>
      </w:r>
    </w:p>
    <w:p w14:paraId="20778A2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、质量要求：符合国家现行规范和标准，并满足采购人要求；</w:t>
      </w:r>
    </w:p>
    <w:p w14:paraId="5A8BF7E9">
      <w:pPr>
        <w:pStyle w:val="18"/>
        <w:keepNext w:val="0"/>
        <w:keepLines w:val="0"/>
        <w:pageBreakBefore w:val="0"/>
        <w:widowControl w:val="0"/>
        <w:kinsoku/>
        <w:wordWrap w:val="0"/>
        <w:overflowPunct/>
        <w:topLinePunct w:val="0"/>
        <w:autoSpaceDE w:val="0"/>
        <w:autoSpaceDN w:val="0"/>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二、设计内容：</w:t>
      </w:r>
    </w:p>
    <w:p w14:paraId="2823C2D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bookmarkStart w:id="171" w:name="_Toc20597"/>
      <w:bookmarkStart w:id="172" w:name="_Toc27530"/>
      <w:bookmarkStart w:id="173" w:name="_Toc22914"/>
      <w:bookmarkStart w:id="174" w:name="_Toc373253036"/>
      <w:bookmarkStart w:id="175" w:name="_Toc4566"/>
      <w:bookmarkStart w:id="176" w:name="_Toc31041"/>
      <w:bookmarkStart w:id="177" w:name="_Toc267495621"/>
      <w:r>
        <w:rPr>
          <w:rFonts w:hint="eastAsia" w:ascii="宋体" w:hAnsi="宋体" w:eastAsia="宋体" w:cs="宋体"/>
          <w:color w:val="auto"/>
          <w:sz w:val="24"/>
          <w:szCs w:val="24"/>
          <w:lang w:val="en-US" w:eastAsia="zh-CN"/>
        </w:rPr>
        <w:t>1.设计依据</w:t>
      </w:r>
      <w:bookmarkEnd w:id="171"/>
      <w:bookmarkEnd w:id="172"/>
      <w:bookmarkEnd w:id="173"/>
      <w:bookmarkEnd w:id="174"/>
      <w:bookmarkEnd w:id="175"/>
      <w:bookmarkEnd w:id="176"/>
    </w:p>
    <w:p w14:paraId="096AAB7A">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采用的主要标准及规范(不限于此)</w:t>
      </w:r>
    </w:p>
    <w:p w14:paraId="72DC647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1、国家现行规范、规程，行业标准以及（省、市）地方标准</w:t>
      </w:r>
      <w:r>
        <w:rPr>
          <w:rFonts w:hint="eastAsia" w:ascii="宋体" w:hAnsi="宋体" w:cs="宋体"/>
          <w:color w:val="auto"/>
          <w:sz w:val="24"/>
          <w:szCs w:val="24"/>
          <w:lang w:val="en-US" w:eastAsia="zh-CN"/>
        </w:rPr>
        <w:t>；</w:t>
      </w:r>
    </w:p>
    <w:p w14:paraId="5CC6B54A">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2、采购人与供应商签订的工程设计合同:</w:t>
      </w:r>
    </w:p>
    <w:p w14:paraId="5F33E82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以上规范如有变化，以最新发布的为准。</w:t>
      </w:r>
    </w:p>
    <w:p w14:paraId="2BC7588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设计依据（不限于此）仅供投标人编制响应文件时参考。若由于采用所列设计依据而导致任何后果，均由响应人自行负责。</w:t>
      </w:r>
      <w:bookmarkEnd w:id="177"/>
      <w:bookmarkStart w:id="178" w:name="_Toc15088"/>
      <w:bookmarkStart w:id="179" w:name="_Toc14508"/>
      <w:bookmarkStart w:id="180" w:name="_Toc373253037"/>
      <w:bookmarkStart w:id="181" w:name="_Toc13"/>
      <w:bookmarkStart w:id="182" w:name="_Toc6577"/>
      <w:bookmarkStart w:id="183" w:name="_Toc23807"/>
    </w:p>
    <w:p w14:paraId="04D6F9B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2.设计基本要求</w:t>
      </w:r>
      <w:bookmarkEnd w:id="178"/>
      <w:bookmarkEnd w:id="179"/>
      <w:bookmarkEnd w:id="180"/>
      <w:bookmarkEnd w:id="181"/>
      <w:bookmarkEnd w:id="182"/>
      <w:bookmarkEnd w:id="183"/>
    </w:p>
    <w:p w14:paraId="4E2A7FF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（1）严格按照上级部门批准的方案。</w:t>
      </w:r>
    </w:p>
    <w:p w14:paraId="6F40562F">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（2）设计的质量和深度必须满足各相关部门的技术审查要求。</w:t>
      </w:r>
    </w:p>
    <w:p w14:paraId="29D6621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（3）设计周期必须满足竞争性磋商文件要求的时间。</w:t>
      </w:r>
    </w:p>
    <w:p w14:paraId="129D1E9E">
      <w:pPr>
        <w:rPr>
          <w:color w:val="auto"/>
        </w:rPr>
      </w:pPr>
    </w:p>
    <w:p w14:paraId="6FF767DE">
      <w:pPr>
        <w:pStyle w:val="8"/>
        <w:keepNext w:val="0"/>
        <w:keepLines w:val="0"/>
        <w:pageBreakBefore w:val="0"/>
        <w:widowControl w:val="0"/>
        <w:kinsoku/>
        <w:wordWrap/>
        <w:overflowPunct/>
        <w:topLinePunct w:val="0"/>
        <w:autoSpaceDE/>
        <w:autoSpaceDN/>
        <w:bidi w:val="0"/>
        <w:adjustRightInd/>
        <w:ind w:left="0" w:leftChars="0" w:firstLine="0" w:firstLineChars="0"/>
        <w:textAlignment w:val="auto"/>
        <w:rPr>
          <w:b/>
          <w:color w:val="auto"/>
        </w:rPr>
      </w:pPr>
    </w:p>
    <w:p w14:paraId="3BCCD870">
      <w:pPr>
        <w:pStyle w:val="2"/>
        <w:spacing w:before="31" w:line="460" w:lineRule="exact"/>
        <w:jc w:val="both"/>
        <w:rPr>
          <w:color w:val="auto"/>
        </w:rPr>
      </w:pPr>
      <w:bookmarkStart w:id="184" w:name="_Toc30570"/>
      <w:bookmarkStart w:id="185" w:name="_Toc2414"/>
      <w:r>
        <w:rPr>
          <w:rFonts w:hint="eastAsia"/>
          <w:color w:val="auto"/>
        </w:rPr>
        <w:br w:type="page"/>
      </w:r>
      <w:bookmarkStart w:id="186" w:name="_Toc22448"/>
      <w:r>
        <w:rPr>
          <w:rFonts w:hint="eastAsia"/>
          <w:color w:val="auto"/>
          <w:lang w:val="en-US" w:eastAsia="zh-CN"/>
        </w:rPr>
        <w:t xml:space="preserve">    </w:t>
      </w:r>
      <w:r>
        <w:rPr>
          <w:rFonts w:hint="eastAsia"/>
          <w:b/>
          <w:bCs/>
          <w:color w:val="auto"/>
        </w:rPr>
        <w:t>第四章</w:t>
      </w:r>
      <w:r>
        <w:rPr>
          <w:rFonts w:hint="eastAsia"/>
          <w:b/>
          <w:bCs/>
          <w:color w:val="auto"/>
          <w:lang w:val="en-US" w:eastAsia="zh-CN"/>
        </w:rPr>
        <w:t xml:space="preserve"> </w:t>
      </w:r>
      <w:r>
        <w:rPr>
          <w:b/>
          <w:bCs/>
          <w:color w:val="auto"/>
        </w:rPr>
        <w:t>评审办法</w:t>
      </w:r>
      <w:bookmarkEnd w:id="184"/>
      <w:bookmarkEnd w:id="186"/>
    </w:p>
    <w:p w14:paraId="3DEB9B23">
      <w:pPr>
        <w:spacing w:line="460" w:lineRule="exact"/>
        <w:jc w:val="center"/>
        <w:rPr>
          <w:rFonts w:hint="eastAsia" w:eastAsia="宋体"/>
          <w:color w:val="auto"/>
          <w:sz w:val="28"/>
          <w:szCs w:val="28"/>
          <w:lang w:val="en-US" w:eastAsia="zh-CN"/>
        </w:rPr>
      </w:pPr>
      <w:bookmarkStart w:id="187" w:name="_Toc28583_WPSOffice_Level2"/>
      <w:r>
        <w:rPr>
          <w:rFonts w:hint="eastAsia"/>
          <w:color w:val="auto"/>
          <w:sz w:val="28"/>
          <w:szCs w:val="28"/>
        </w:rPr>
        <w:t>评标办法前附表</w:t>
      </w:r>
      <w:bookmarkEnd w:id="187"/>
    </w:p>
    <w:tbl>
      <w:tblPr>
        <w:tblStyle w:val="22"/>
        <w:tblW w:w="9463"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83"/>
        <w:gridCol w:w="2040"/>
        <w:gridCol w:w="5295"/>
      </w:tblGrid>
      <w:tr w14:paraId="0EB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28" w:type="dxa"/>
            <w:gridSpan w:val="2"/>
            <w:noWrap/>
            <w:vAlign w:val="center"/>
          </w:tcPr>
          <w:p w14:paraId="4009522D">
            <w:pPr>
              <w:jc w:val="center"/>
              <w:rPr>
                <w:b/>
                <w:color w:val="auto"/>
                <w:szCs w:val="21"/>
              </w:rPr>
            </w:pPr>
            <w:r>
              <w:rPr>
                <w:rFonts w:hint="eastAsia"/>
                <w:b/>
                <w:color w:val="auto"/>
                <w:szCs w:val="21"/>
              </w:rPr>
              <w:t>条款号</w:t>
            </w:r>
          </w:p>
        </w:tc>
        <w:tc>
          <w:tcPr>
            <w:tcW w:w="2040" w:type="dxa"/>
            <w:noWrap/>
            <w:vAlign w:val="center"/>
          </w:tcPr>
          <w:p w14:paraId="73B68703">
            <w:pPr>
              <w:jc w:val="center"/>
              <w:rPr>
                <w:b/>
                <w:color w:val="auto"/>
                <w:szCs w:val="21"/>
              </w:rPr>
            </w:pPr>
            <w:r>
              <w:rPr>
                <w:rFonts w:hint="eastAsia"/>
                <w:b/>
                <w:color w:val="auto"/>
                <w:szCs w:val="21"/>
              </w:rPr>
              <w:t>评审因素</w:t>
            </w:r>
          </w:p>
        </w:tc>
        <w:tc>
          <w:tcPr>
            <w:tcW w:w="5295" w:type="dxa"/>
            <w:noWrap/>
            <w:vAlign w:val="center"/>
          </w:tcPr>
          <w:p w14:paraId="1BCCD814">
            <w:pPr>
              <w:jc w:val="center"/>
              <w:rPr>
                <w:b/>
                <w:color w:val="auto"/>
                <w:szCs w:val="21"/>
              </w:rPr>
            </w:pPr>
            <w:r>
              <w:rPr>
                <w:rFonts w:hint="eastAsia"/>
                <w:b/>
                <w:color w:val="auto"/>
                <w:szCs w:val="21"/>
              </w:rPr>
              <w:t>评审标准</w:t>
            </w:r>
          </w:p>
        </w:tc>
      </w:tr>
      <w:tr w14:paraId="4348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45" w:type="dxa"/>
            <w:vMerge w:val="restart"/>
            <w:noWrap/>
            <w:vAlign w:val="center"/>
          </w:tcPr>
          <w:p w14:paraId="1C4F1531">
            <w:pPr>
              <w:jc w:val="center"/>
              <w:rPr>
                <w:color w:val="auto"/>
                <w:szCs w:val="21"/>
              </w:rPr>
            </w:pPr>
            <w:r>
              <w:rPr>
                <w:rFonts w:hint="eastAsia"/>
                <w:color w:val="auto"/>
                <w:szCs w:val="21"/>
              </w:rPr>
              <w:t>2.1.1</w:t>
            </w:r>
          </w:p>
        </w:tc>
        <w:tc>
          <w:tcPr>
            <w:tcW w:w="1183" w:type="dxa"/>
            <w:vMerge w:val="restart"/>
            <w:noWrap/>
            <w:vAlign w:val="center"/>
          </w:tcPr>
          <w:p w14:paraId="7E1DAEA9">
            <w:pPr>
              <w:jc w:val="center"/>
              <w:rPr>
                <w:color w:val="auto"/>
                <w:szCs w:val="21"/>
              </w:rPr>
            </w:pPr>
            <w:r>
              <w:rPr>
                <w:rFonts w:hint="eastAsia"/>
                <w:color w:val="auto"/>
                <w:szCs w:val="21"/>
              </w:rPr>
              <w:t>形式评审标准</w:t>
            </w:r>
          </w:p>
        </w:tc>
        <w:tc>
          <w:tcPr>
            <w:tcW w:w="2040" w:type="dxa"/>
            <w:noWrap/>
            <w:vAlign w:val="center"/>
          </w:tcPr>
          <w:p w14:paraId="65D74E88">
            <w:pPr>
              <w:spacing w:line="240" w:lineRule="auto"/>
              <w:ind w:firstLine="210" w:firstLineChars="100"/>
              <w:jc w:val="both"/>
              <w:rPr>
                <w:color w:val="auto"/>
                <w:szCs w:val="21"/>
              </w:rPr>
            </w:pPr>
            <w:r>
              <w:rPr>
                <w:rFonts w:hint="eastAsia"/>
                <w:color w:val="auto"/>
                <w:szCs w:val="21"/>
              </w:rPr>
              <w:t>供应商名称</w:t>
            </w:r>
          </w:p>
        </w:tc>
        <w:tc>
          <w:tcPr>
            <w:tcW w:w="5295" w:type="dxa"/>
            <w:noWrap/>
            <w:vAlign w:val="center"/>
          </w:tcPr>
          <w:p w14:paraId="6CD334D6">
            <w:pPr>
              <w:spacing w:line="240" w:lineRule="auto"/>
              <w:rPr>
                <w:bCs/>
                <w:color w:val="auto"/>
                <w:szCs w:val="21"/>
                <w:lang w:val="en-US"/>
              </w:rPr>
            </w:pPr>
            <w:r>
              <w:rPr>
                <w:rFonts w:hint="eastAsia"/>
                <w:bCs/>
                <w:color w:val="auto"/>
                <w:szCs w:val="21"/>
                <w:lang w:val="en-US"/>
              </w:rPr>
              <w:t>与营业执照等一致</w:t>
            </w:r>
          </w:p>
        </w:tc>
      </w:tr>
      <w:tr w14:paraId="09BC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945" w:type="dxa"/>
            <w:vMerge w:val="continue"/>
            <w:noWrap/>
            <w:vAlign w:val="top"/>
          </w:tcPr>
          <w:p w14:paraId="2CA6B66A">
            <w:pPr>
              <w:rPr>
                <w:color w:val="auto"/>
                <w:szCs w:val="21"/>
              </w:rPr>
            </w:pPr>
          </w:p>
        </w:tc>
        <w:tc>
          <w:tcPr>
            <w:tcW w:w="1183" w:type="dxa"/>
            <w:vMerge w:val="continue"/>
            <w:noWrap/>
            <w:vAlign w:val="top"/>
          </w:tcPr>
          <w:p w14:paraId="4A73F45A">
            <w:pPr>
              <w:rPr>
                <w:color w:val="auto"/>
                <w:szCs w:val="21"/>
              </w:rPr>
            </w:pPr>
          </w:p>
        </w:tc>
        <w:tc>
          <w:tcPr>
            <w:tcW w:w="2040" w:type="dxa"/>
            <w:noWrap/>
            <w:vAlign w:val="center"/>
          </w:tcPr>
          <w:p w14:paraId="6B9717A8">
            <w:pPr>
              <w:spacing w:line="240" w:lineRule="auto"/>
              <w:jc w:val="center"/>
              <w:rPr>
                <w:color w:val="auto"/>
                <w:szCs w:val="21"/>
              </w:rPr>
            </w:pPr>
            <w:r>
              <w:rPr>
                <w:rFonts w:hint="eastAsia"/>
                <w:color w:val="auto"/>
                <w:szCs w:val="21"/>
              </w:rPr>
              <w:t>投标函签章</w:t>
            </w:r>
          </w:p>
        </w:tc>
        <w:tc>
          <w:tcPr>
            <w:tcW w:w="5295" w:type="dxa"/>
            <w:noWrap/>
            <w:vAlign w:val="center"/>
          </w:tcPr>
          <w:p w14:paraId="2E167B84">
            <w:pPr>
              <w:spacing w:line="240" w:lineRule="auto"/>
              <w:rPr>
                <w:bCs/>
                <w:color w:val="auto"/>
                <w:szCs w:val="21"/>
                <w:lang w:val="en-US"/>
              </w:rPr>
            </w:pPr>
            <w:r>
              <w:rPr>
                <w:rFonts w:hint="eastAsia"/>
                <w:bCs/>
                <w:color w:val="auto"/>
                <w:szCs w:val="21"/>
                <w:lang w:val="en-US"/>
              </w:rPr>
              <w:t>符合竞争性磋商文件要求的签章或标注的内容</w:t>
            </w:r>
          </w:p>
        </w:tc>
      </w:tr>
      <w:tr w14:paraId="2C66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45" w:type="dxa"/>
            <w:vMerge w:val="continue"/>
            <w:noWrap/>
            <w:vAlign w:val="top"/>
          </w:tcPr>
          <w:p w14:paraId="18384075">
            <w:pPr>
              <w:rPr>
                <w:color w:val="auto"/>
                <w:szCs w:val="21"/>
              </w:rPr>
            </w:pPr>
          </w:p>
        </w:tc>
        <w:tc>
          <w:tcPr>
            <w:tcW w:w="1183" w:type="dxa"/>
            <w:vMerge w:val="continue"/>
            <w:noWrap/>
            <w:vAlign w:val="top"/>
          </w:tcPr>
          <w:p w14:paraId="5F4162EE">
            <w:pPr>
              <w:rPr>
                <w:color w:val="auto"/>
                <w:szCs w:val="21"/>
              </w:rPr>
            </w:pPr>
          </w:p>
        </w:tc>
        <w:tc>
          <w:tcPr>
            <w:tcW w:w="2040" w:type="dxa"/>
            <w:noWrap/>
            <w:vAlign w:val="center"/>
          </w:tcPr>
          <w:p w14:paraId="6BBD976E">
            <w:pPr>
              <w:spacing w:line="240" w:lineRule="auto"/>
              <w:ind w:firstLine="210" w:firstLineChars="100"/>
              <w:jc w:val="both"/>
              <w:rPr>
                <w:color w:val="auto"/>
                <w:szCs w:val="21"/>
              </w:rPr>
            </w:pPr>
            <w:r>
              <w:rPr>
                <w:rFonts w:hint="eastAsia"/>
                <w:color w:val="auto"/>
                <w:szCs w:val="21"/>
              </w:rPr>
              <w:t>响应文件格式</w:t>
            </w:r>
          </w:p>
        </w:tc>
        <w:tc>
          <w:tcPr>
            <w:tcW w:w="5295" w:type="dxa"/>
            <w:noWrap/>
            <w:vAlign w:val="center"/>
          </w:tcPr>
          <w:p w14:paraId="4ED7817F">
            <w:pPr>
              <w:spacing w:line="240" w:lineRule="auto"/>
              <w:rPr>
                <w:bCs/>
                <w:color w:val="auto"/>
                <w:szCs w:val="21"/>
                <w:lang w:val="en-US"/>
              </w:rPr>
            </w:pPr>
            <w:r>
              <w:rPr>
                <w:rFonts w:hint="eastAsia"/>
                <w:bCs/>
                <w:color w:val="auto"/>
                <w:szCs w:val="21"/>
                <w:lang w:val="en-US"/>
              </w:rPr>
              <w:t>符合“响应文件格式”的要求</w:t>
            </w:r>
          </w:p>
        </w:tc>
      </w:tr>
      <w:tr w14:paraId="710C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45" w:type="dxa"/>
            <w:vMerge w:val="continue"/>
            <w:noWrap/>
            <w:vAlign w:val="top"/>
          </w:tcPr>
          <w:p w14:paraId="25BA645D">
            <w:pPr>
              <w:rPr>
                <w:color w:val="auto"/>
                <w:szCs w:val="21"/>
              </w:rPr>
            </w:pPr>
          </w:p>
        </w:tc>
        <w:tc>
          <w:tcPr>
            <w:tcW w:w="1183" w:type="dxa"/>
            <w:vMerge w:val="continue"/>
            <w:noWrap/>
            <w:vAlign w:val="top"/>
          </w:tcPr>
          <w:p w14:paraId="486A6FBD">
            <w:pPr>
              <w:rPr>
                <w:color w:val="auto"/>
                <w:szCs w:val="21"/>
              </w:rPr>
            </w:pPr>
          </w:p>
        </w:tc>
        <w:tc>
          <w:tcPr>
            <w:tcW w:w="2040" w:type="dxa"/>
            <w:noWrap/>
            <w:vAlign w:val="center"/>
          </w:tcPr>
          <w:p w14:paraId="22F42860">
            <w:pPr>
              <w:spacing w:line="240" w:lineRule="auto"/>
              <w:ind w:firstLine="420" w:firstLineChars="200"/>
              <w:jc w:val="center"/>
              <w:rPr>
                <w:color w:val="auto"/>
                <w:szCs w:val="21"/>
              </w:rPr>
            </w:pPr>
            <w:r>
              <w:rPr>
                <w:rFonts w:hint="eastAsia"/>
                <w:color w:val="auto"/>
                <w:szCs w:val="21"/>
              </w:rPr>
              <w:t>报价唯一</w:t>
            </w:r>
          </w:p>
        </w:tc>
        <w:tc>
          <w:tcPr>
            <w:tcW w:w="5295" w:type="dxa"/>
            <w:noWrap/>
            <w:vAlign w:val="center"/>
          </w:tcPr>
          <w:p w14:paraId="6A138A22">
            <w:pPr>
              <w:spacing w:line="240" w:lineRule="auto"/>
              <w:rPr>
                <w:bCs/>
                <w:color w:val="auto"/>
                <w:szCs w:val="21"/>
                <w:lang w:val="en-US"/>
              </w:rPr>
            </w:pPr>
            <w:r>
              <w:rPr>
                <w:rFonts w:hint="eastAsia"/>
                <w:bCs/>
                <w:color w:val="auto"/>
                <w:szCs w:val="21"/>
                <w:lang w:val="en-US"/>
              </w:rPr>
              <w:t>只能有一个有效报价</w:t>
            </w:r>
          </w:p>
        </w:tc>
      </w:tr>
      <w:tr w14:paraId="4420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945" w:type="dxa"/>
            <w:vMerge w:val="restart"/>
            <w:noWrap/>
            <w:vAlign w:val="center"/>
          </w:tcPr>
          <w:p w14:paraId="4FC1CE1C">
            <w:pPr>
              <w:jc w:val="center"/>
              <w:rPr>
                <w:color w:val="auto"/>
                <w:szCs w:val="21"/>
              </w:rPr>
            </w:pPr>
            <w:r>
              <w:rPr>
                <w:rFonts w:hint="eastAsia"/>
                <w:color w:val="auto"/>
                <w:szCs w:val="21"/>
              </w:rPr>
              <w:t>2.1.2</w:t>
            </w:r>
          </w:p>
        </w:tc>
        <w:tc>
          <w:tcPr>
            <w:tcW w:w="1183" w:type="dxa"/>
            <w:vMerge w:val="restart"/>
            <w:noWrap/>
            <w:vAlign w:val="center"/>
          </w:tcPr>
          <w:p w14:paraId="5D588491">
            <w:pPr>
              <w:jc w:val="center"/>
              <w:rPr>
                <w:color w:val="auto"/>
                <w:szCs w:val="21"/>
              </w:rPr>
            </w:pPr>
            <w:r>
              <w:rPr>
                <w:rFonts w:hint="eastAsia"/>
                <w:color w:val="auto"/>
                <w:szCs w:val="21"/>
              </w:rPr>
              <w:t>资格评审标准</w:t>
            </w:r>
          </w:p>
        </w:tc>
        <w:tc>
          <w:tcPr>
            <w:tcW w:w="2040" w:type="dxa"/>
            <w:noWrap/>
            <w:vAlign w:val="center"/>
          </w:tcPr>
          <w:p w14:paraId="674B219D">
            <w:pPr>
              <w:spacing w:line="240" w:lineRule="auto"/>
              <w:jc w:val="both"/>
              <w:rPr>
                <w:color w:val="auto"/>
                <w:szCs w:val="21"/>
              </w:rPr>
            </w:pPr>
            <w:r>
              <w:rPr>
                <w:rFonts w:hint="eastAsia"/>
                <w:color w:val="auto"/>
                <w:szCs w:val="21"/>
              </w:rPr>
              <w:t>落实政府采购政策满足的资格要求</w:t>
            </w:r>
          </w:p>
        </w:tc>
        <w:tc>
          <w:tcPr>
            <w:tcW w:w="5295" w:type="dxa"/>
            <w:noWrap/>
            <w:vAlign w:val="center"/>
          </w:tcPr>
          <w:p w14:paraId="56862CC9">
            <w:pPr>
              <w:spacing w:line="240" w:lineRule="auto"/>
              <w:jc w:val="both"/>
              <w:rPr>
                <w:bCs/>
                <w:color w:val="auto"/>
                <w:szCs w:val="21"/>
                <w:lang w:val="en-US"/>
              </w:rPr>
            </w:pPr>
            <w:r>
              <w:rPr>
                <w:rFonts w:hint="eastAsia"/>
                <w:bCs/>
                <w:color w:val="auto"/>
                <w:szCs w:val="21"/>
                <w:lang w:val="en-US"/>
              </w:rPr>
              <w:t>根据《政府采购促进中小企业发展管理办法》（财库〔2020〕46号）规定，本项目专门面向中小企业采购；同时投标供应商须提供《中小企业声明函》</w:t>
            </w:r>
          </w:p>
        </w:tc>
      </w:tr>
      <w:tr w14:paraId="7490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945" w:type="dxa"/>
            <w:vMerge w:val="continue"/>
            <w:noWrap/>
            <w:vAlign w:val="center"/>
          </w:tcPr>
          <w:p w14:paraId="797AED98">
            <w:pPr>
              <w:jc w:val="center"/>
              <w:rPr>
                <w:color w:val="auto"/>
                <w:szCs w:val="21"/>
              </w:rPr>
            </w:pPr>
          </w:p>
        </w:tc>
        <w:tc>
          <w:tcPr>
            <w:tcW w:w="1183" w:type="dxa"/>
            <w:vMerge w:val="continue"/>
            <w:noWrap/>
            <w:vAlign w:val="center"/>
          </w:tcPr>
          <w:p w14:paraId="2D73C40A">
            <w:pPr>
              <w:spacing w:line="360" w:lineRule="auto"/>
              <w:rPr>
                <w:color w:val="auto"/>
                <w:szCs w:val="21"/>
              </w:rPr>
            </w:pPr>
          </w:p>
        </w:tc>
        <w:tc>
          <w:tcPr>
            <w:tcW w:w="2040" w:type="dxa"/>
            <w:noWrap/>
            <w:vAlign w:val="center"/>
          </w:tcPr>
          <w:p w14:paraId="4F85223B">
            <w:pPr>
              <w:spacing w:line="240" w:lineRule="auto"/>
              <w:ind w:firstLine="420" w:firstLineChars="200"/>
              <w:jc w:val="both"/>
              <w:rPr>
                <w:rFonts w:hint="eastAsia" w:ascii="宋体" w:hAnsi="宋体" w:eastAsia="宋体" w:cs="宋体"/>
                <w:color w:val="auto"/>
                <w:sz w:val="22"/>
                <w:szCs w:val="21"/>
                <w:lang w:val="zh-CN" w:eastAsia="zh-CN" w:bidi="zh-CN"/>
              </w:rPr>
            </w:pPr>
            <w:r>
              <w:rPr>
                <w:rFonts w:hint="eastAsia"/>
                <w:color w:val="auto"/>
                <w:szCs w:val="21"/>
              </w:rPr>
              <w:t>营业执照</w:t>
            </w:r>
          </w:p>
        </w:tc>
        <w:tc>
          <w:tcPr>
            <w:tcW w:w="5295" w:type="dxa"/>
            <w:noWrap/>
            <w:vAlign w:val="center"/>
          </w:tcPr>
          <w:p w14:paraId="648011D0">
            <w:pPr>
              <w:spacing w:line="240" w:lineRule="auto"/>
              <w:jc w:val="both"/>
              <w:rPr>
                <w:rFonts w:ascii="宋体" w:hAnsi="宋体" w:eastAsia="宋体" w:cs="宋体"/>
                <w:bCs/>
                <w:color w:val="auto"/>
                <w:sz w:val="22"/>
                <w:szCs w:val="21"/>
                <w:lang w:val="en-US" w:eastAsia="zh-CN" w:bidi="zh-CN"/>
              </w:rPr>
            </w:pPr>
            <w:r>
              <w:rPr>
                <w:rFonts w:hint="eastAsia" w:ascii="宋体" w:hAnsi="宋体" w:eastAsia="宋体" w:cs="宋体"/>
                <w:color w:val="auto"/>
                <w:szCs w:val="21"/>
                <w:lang w:val="en-US" w:eastAsia="zh-CN"/>
              </w:rPr>
              <w:t>具有有效的营业执照、税务登记证、组织机构代码证（或有效的统一社会信用代码三证合一营业执照）或事业单位法人证书</w:t>
            </w:r>
          </w:p>
        </w:tc>
      </w:tr>
      <w:tr w14:paraId="36F4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45" w:type="dxa"/>
            <w:vMerge w:val="continue"/>
            <w:noWrap/>
            <w:vAlign w:val="center"/>
          </w:tcPr>
          <w:p w14:paraId="722C4E53">
            <w:pPr>
              <w:jc w:val="center"/>
              <w:rPr>
                <w:color w:val="auto"/>
                <w:szCs w:val="21"/>
              </w:rPr>
            </w:pPr>
          </w:p>
        </w:tc>
        <w:tc>
          <w:tcPr>
            <w:tcW w:w="1183" w:type="dxa"/>
            <w:vMerge w:val="continue"/>
            <w:noWrap/>
            <w:vAlign w:val="center"/>
          </w:tcPr>
          <w:p w14:paraId="31A2C8D4">
            <w:pPr>
              <w:spacing w:line="360" w:lineRule="auto"/>
              <w:rPr>
                <w:color w:val="auto"/>
                <w:szCs w:val="21"/>
              </w:rPr>
            </w:pPr>
          </w:p>
        </w:tc>
        <w:tc>
          <w:tcPr>
            <w:tcW w:w="2040" w:type="dxa"/>
            <w:noWrap/>
            <w:vAlign w:val="center"/>
          </w:tcPr>
          <w:p w14:paraId="5EDFA1D5">
            <w:pPr>
              <w:spacing w:line="240" w:lineRule="auto"/>
              <w:ind w:firstLine="420" w:firstLineChars="200"/>
              <w:jc w:val="both"/>
              <w:rPr>
                <w:color w:val="auto"/>
                <w:szCs w:val="21"/>
              </w:rPr>
            </w:pPr>
            <w:r>
              <w:rPr>
                <w:rFonts w:hint="eastAsia"/>
                <w:color w:val="auto"/>
                <w:szCs w:val="21"/>
              </w:rPr>
              <w:t>供应商资质</w:t>
            </w:r>
          </w:p>
        </w:tc>
        <w:tc>
          <w:tcPr>
            <w:tcW w:w="5295" w:type="dxa"/>
            <w:noWrap/>
            <w:vAlign w:val="center"/>
          </w:tcPr>
          <w:p w14:paraId="7053B8F2">
            <w:pPr>
              <w:spacing w:line="240" w:lineRule="auto"/>
              <w:jc w:val="both"/>
              <w:rPr>
                <w:bCs/>
                <w:color w:val="0000FF"/>
                <w:szCs w:val="21"/>
              </w:rPr>
            </w:pPr>
            <w:r>
              <w:rPr>
                <w:rFonts w:hint="eastAsia"/>
                <w:bCs/>
                <w:color w:val="auto"/>
                <w:szCs w:val="21"/>
                <w:lang w:val="en-US" w:eastAsia="zh-CN"/>
              </w:rPr>
              <w:t>投标人须具备工程设计（农林行业（农业综合开发生态工程））专业乙级及以上资质，同时具备工程测绘乙级及以上资质。</w:t>
            </w:r>
          </w:p>
        </w:tc>
      </w:tr>
      <w:tr w14:paraId="776F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45" w:type="dxa"/>
            <w:vMerge w:val="continue"/>
            <w:noWrap/>
            <w:vAlign w:val="center"/>
          </w:tcPr>
          <w:p w14:paraId="4334B8CC">
            <w:pPr>
              <w:jc w:val="center"/>
              <w:rPr>
                <w:color w:val="auto"/>
                <w:szCs w:val="21"/>
              </w:rPr>
            </w:pPr>
          </w:p>
        </w:tc>
        <w:tc>
          <w:tcPr>
            <w:tcW w:w="1183" w:type="dxa"/>
            <w:vMerge w:val="continue"/>
            <w:noWrap/>
            <w:vAlign w:val="center"/>
          </w:tcPr>
          <w:p w14:paraId="50B6BE9F">
            <w:pPr>
              <w:spacing w:line="360" w:lineRule="auto"/>
              <w:rPr>
                <w:color w:val="auto"/>
                <w:szCs w:val="21"/>
              </w:rPr>
            </w:pPr>
          </w:p>
        </w:tc>
        <w:tc>
          <w:tcPr>
            <w:tcW w:w="2040" w:type="dxa"/>
            <w:noWrap/>
            <w:vAlign w:val="center"/>
          </w:tcPr>
          <w:p w14:paraId="75434984">
            <w:pPr>
              <w:spacing w:line="240" w:lineRule="auto"/>
              <w:ind w:firstLine="420" w:firstLineChars="200"/>
              <w:jc w:val="both"/>
              <w:rPr>
                <w:rFonts w:hint="eastAsia" w:eastAsia="宋体"/>
                <w:color w:val="auto"/>
                <w:szCs w:val="21"/>
                <w:lang w:eastAsia="zh-CN"/>
              </w:rPr>
            </w:pPr>
            <w:r>
              <w:rPr>
                <w:rFonts w:hint="eastAsia"/>
                <w:color w:val="auto"/>
                <w:szCs w:val="21"/>
                <w:lang w:eastAsia="zh-CN"/>
              </w:rPr>
              <w:t>项目负责人</w:t>
            </w:r>
          </w:p>
        </w:tc>
        <w:tc>
          <w:tcPr>
            <w:tcW w:w="5295" w:type="dxa"/>
            <w:noWrap/>
            <w:vAlign w:val="center"/>
          </w:tcPr>
          <w:p w14:paraId="0FCA02A3">
            <w:pPr>
              <w:spacing w:line="240" w:lineRule="auto"/>
              <w:jc w:val="both"/>
              <w:rPr>
                <w:rFonts w:hint="eastAsia"/>
                <w:bCs/>
                <w:color w:val="0000FF"/>
                <w:szCs w:val="21"/>
                <w:lang w:val="en-US" w:eastAsia="zh-CN"/>
              </w:rPr>
            </w:pPr>
            <w:r>
              <w:rPr>
                <w:rFonts w:hint="eastAsia"/>
                <w:bCs/>
                <w:color w:val="auto"/>
                <w:szCs w:val="21"/>
                <w:lang w:val="en-US" w:eastAsia="zh-CN"/>
              </w:rPr>
              <w:t>投标供应商拟派项目负责人须具备相关专业中级及以上工程师职称，为本单位员工且已缴纳社保（提供劳动合同）</w:t>
            </w:r>
          </w:p>
        </w:tc>
      </w:tr>
      <w:tr w14:paraId="099A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945" w:type="dxa"/>
            <w:vMerge w:val="continue"/>
            <w:noWrap/>
            <w:vAlign w:val="center"/>
          </w:tcPr>
          <w:p w14:paraId="677B0251">
            <w:pPr>
              <w:jc w:val="center"/>
              <w:rPr>
                <w:color w:val="auto"/>
                <w:szCs w:val="21"/>
              </w:rPr>
            </w:pPr>
          </w:p>
        </w:tc>
        <w:tc>
          <w:tcPr>
            <w:tcW w:w="1183" w:type="dxa"/>
            <w:vMerge w:val="continue"/>
            <w:noWrap/>
            <w:vAlign w:val="center"/>
          </w:tcPr>
          <w:p w14:paraId="062CA917">
            <w:pPr>
              <w:spacing w:line="360" w:lineRule="auto"/>
              <w:rPr>
                <w:color w:val="auto"/>
                <w:szCs w:val="21"/>
              </w:rPr>
            </w:pPr>
          </w:p>
        </w:tc>
        <w:tc>
          <w:tcPr>
            <w:tcW w:w="2040" w:type="dxa"/>
            <w:noWrap/>
            <w:vAlign w:val="center"/>
          </w:tcPr>
          <w:p w14:paraId="4E457C75">
            <w:pPr>
              <w:spacing w:line="360" w:lineRule="auto"/>
              <w:ind w:firstLine="420" w:firstLineChars="200"/>
              <w:jc w:val="both"/>
              <w:rPr>
                <w:color w:val="auto"/>
                <w:szCs w:val="21"/>
              </w:rPr>
            </w:pPr>
            <w:r>
              <w:rPr>
                <w:rFonts w:hint="eastAsia"/>
                <w:color w:val="auto"/>
                <w:szCs w:val="21"/>
              </w:rPr>
              <w:t>企业税收</w:t>
            </w:r>
          </w:p>
        </w:tc>
        <w:tc>
          <w:tcPr>
            <w:tcW w:w="5295" w:type="dxa"/>
            <w:noWrap/>
            <w:vAlign w:val="center"/>
          </w:tcPr>
          <w:p w14:paraId="69A8476F">
            <w:pPr>
              <w:spacing w:line="360" w:lineRule="auto"/>
              <w:jc w:val="both"/>
              <w:rPr>
                <w:rFonts w:hint="eastAsia" w:eastAsia="宋体"/>
                <w:bCs/>
                <w:color w:val="auto"/>
                <w:szCs w:val="21"/>
                <w:lang w:val="en-US" w:eastAsia="zh-CN"/>
              </w:rPr>
            </w:pPr>
            <w:r>
              <w:rPr>
                <w:rFonts w:hint="eastAsia"/>
                <w:bCs/>
                <w:color w:val="auto"/>
                <w:szCs w:val="21"/>
                <w:lang w:val="en-US"/>
              </w:rPr>
              <w:t>须提供企业近半年任意连续三个月依法缴纳税收的证明资料（新成立的企业从成立之日起计算）主要是指缴纳增值税或企业所得税或企业附加税的缴费证明，依法免税的投标响应人，应提供相应文件证明其依法免税</w:t>
            </w:r>
            <w:r>
              <w:rPr>
                <w:rFonts w:hint="eastAsia"/>
                <w:bCs/>
                <w:color w:val="auto"/>
                <w:szCs w:val="21"/>
                <w:lang w:val="en-US" w:eastAsia="zh-CN"/>
              </w:rPr>
              <w:t>；</w:t>
            </w:r>
          </w:p>
        </w:tc>
      </w:tr>
      <w:tr w14:paraId="3B55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945" w:type="dxa"/>
            <w:vMerge w:val="continue"/>
            <w:noWrap/>
            <w:vAlign w:val="center"/>
          </w:tcPr>
          <w:p w14:paraId="7268AEB7">
            <w:pPr>
              <w:jc w:val="center"/>
              <w:rPr>
                <w:color w:val="auto"/>
                <w:szCs w:val="21"/>
              </w:rPr>
            </w:pPr>
          </w:p>
        </w:tc>
        <w:tc>
          <w:tcPr>
            <w:tcW w:w="1183" w:type="dxa"/>
            <w:vMerge w:val="continue"/>
            <w:noWrap/>
            <w:vAlign w:val="center"/>
          </w:tcPr>
          <w:p w14:paraId="5156BD1A">
            <w:pPr>
              <w:spacing w:line="360" w:lineRule="auto"/>
              <w:rPr>
                <w:color w:val="auto"/>
                <w:szCs w:val="21"/>
              </w:rPr>
            </w:pPr>
          </w:p>
        </w:tc>
        <w:tc>
          <w:tcPr>
            <w:tcW w:w="2040" w:type="dxa"/>
            <w:noWrap/>
            <w:vAlign w:val="center"/>
          </w:tcPr>
          <w:p w14:paraId="68EC704A">
            <w:pPr>
              <w:spacing w:line="240" w:lineRule="atLeast"/>
              <w:rPr>
                <w:rFonts w:hint="eastAsia"/>
                <w:color w:val="auto"/>
                <w:szCs w:val="21"/>
                <w:lang w:eastAsia="zh-CN"/>
              </w:rPr>
            </w:pPr>
            <w:r>
              <w:rPr>
                <w:rFonts w:hint="eastAsia"/>
                <w:color w:val="auto"/>
                <w:szCs w:val="21"/>
                <w:lang w:eastAsia="zh-CN"/>
              </w:rPr>
              <w:t>诚信承诺及网站查询</w:t>
            </w:r>
          </w:p>
        </w:tc>
        <w:tc>
          <w:tcPr>
            <w:tcW w:w="5295" w:type="dxa"/>
            <w:noWrap/>
            <w:vAlign w:val="center"/>
          </w:tcPr>
          <w:p w14:paraId="461D3256">
            <w:pPr>
              <w:tabs>
                <w:tab w:val="left" w:pos="360"/>
              </w:tabs>
              <w:wordWrap w:val="0"/>
              <w:spacing w:line="320" w:lineRule="exact"/>
              <w:rPr>
                <w:color w:val="auto"/>
                <w:szCs w:val="21"/>
                <w:lang w:val="en-US"/>
              </w:rPr>
            </w:pPr>
            <w:r>
              <w:rPr>
                <w:rFonts w:hint="eastAsia"/>
                <w:color w:val="auto"/>
                <w:szCs w:val="21"/>
                <w:lang w:val="en-US"/>
              </w:rPr>
              <w:t>1、参加政府采购活动前3年内无行贿犯罪记录、商业贿赂、不正当竞争行为、骗取中标、严重违约等问题承诺；</w:t>
            </w:r>
          </w:p>
          <w:p w14:paraId="4E5806E9">
            <w:pPr>
              <w:tabs>
                <w:tab w:val="left" w:pos="360"/>
              </w:tabs>
              <w:wordWrap w:val="0"/>
              <w:spacing w:line="320" w:lineRule="exact"/>
              <w:rPr>
                <w:color w:val="auto"/>
                <w:szCs w:val="21"/>
                <w:lang w:val="en-US"/>
              </w:rPr>
            </w:pPr>
            <w:r>
              <w:rPr>
                <w:rFonts w:hint="eastAsia"/>
                <w:color w:val="auto"/>
                <w:szCs w:val="21"/>
                <w:lang w:val="en-US"/>
              </w:rPr>
              <w:t>2、供应商出具无行贿犯罪记录在中国裁判文书网自行查询或自行承诺（查询对象：企业、法定代表人）；</w:t>
            </w:r>
          </w:p>
          <w:p w14:paraId="589626A0">
            <w:pPr>
              <w:tabs>
                <w:tab w:val="left" w:pos="360"/>
              </w:tabs>
              <w:wordWrap w:val="0"/>
              <w:spacing w:line="320" w:lineRule="exact"/>
              <w:rPr>
                <w:rFonts w:hint="eastAsia"/>
                <w:color w:val="auto"/>
                <w:szCs w:val="21"/>
                <w:lang w:val="en-US"/>
              </w:rPr>
            </w:pPr>
            <w:r>
              <w:rPr>
                <w:rFonts w:hint="eastAsia"/>
                <w:color w:val="auto"/>
                <w:szCs w:val="21"/>
                <w:lang w:val="en-US" w:eastAsia="zh-CN"/>
              </w:rPr>
              <w:t>3</w:t>
            </w:r>
            <w:r>
              <w:rPr>
                <w:rFonts w:hint="eastAsia"/>
                <w:color w:val="auto"/>
                <w:szCs w:val="21"/>
                <w:lang w:val="en-US"/>
              </w:rPr>
              <w:t>、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信息记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4B6D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945" w:type="dxa"/>
            <w:vMerge w:val="continue"/>
            <w:noWrap/>
            <w:vAlign w:val="center"/>
          </w:tcPr>
          <w:p w14:paraId="6AA2BB4C">
            <w:pPr>
              <w:jc w:val="center"/>
              <w:rPr>
                <w:color w:val="auto"/>
                <w:szCs w:val="21"/>
              </w:rPr>
            </w:pPr>
          </w:p>
        </w:tc>
        <w:tc>
          <w:tcPr>
            <w:tcW w:w="1183" w:type="dxa"/>
            <w:vMerge w:val="continue"/>
            <w:noWrap/>
            <w:vAlign w:val="center"/>
          </w:tcPr>
          <w:p w14:paraId="4D149366">
            <w:pPr>
              <w:spacing w:line="360" w:lineRule="auto"/>
              <w:rPr>
                <w:color w:val="auto"/>
                <w:szCs w:val="21"/>
              </w:rPr>
            </w:pPr>
          </w:p>
        </w:tc>
        <w:tc>
          <w:tcPr>
            <w:tcW w:w="2040" w:type="dxa"/>
            <w:noWrap/>
            <w:vAlign w:val="center"/>
          </w:tcPr>
          <w:p w14:paraId="782E2A68">
            <w:pPr>
              <w:spacing w:line="240" w:lineRule="atLeast"/>
              <w:jc w:val="center"/>
              <w:rPr>
                <w:rFonts w:hint="eastAsia" w:eastAsia="宋体"/>
                <w:color w:val="auto"/>
                <w:szCs w:val="21"/>
                <w:lang w:eastAsia="zh-CN"/>
              </w:rPr>
            </w:pPr>
            <w:r>
              <w:rPr>
                <w:rFonts w:hint="eastAsia"/>
                <w:color w:val="auto"/>
                <w:szCs w:val="21"/>
                <w:lang w:eastAsia="zh-CN"/>
              </w:rPr>
              <w:t>其他内容</w:t>
            </w:r>
          </w:p>
        </w:tc>
        <w:tc>
          <w:tcPr>
            <w:tcW w:w="5295" w:type="dxa"/>
            <w:noWrap/>
            <w:vAlign w:val="center"/>
          </w:tcPr>
          <w:p w14:paraId="7F2D1C16">
            <w:pPr>
              <w:tabs>
                <w:tab w:val="left" w:pos="360"/>
              </w:tabs>
              <w:wordWrap w:val="0"/>
              <w:spacing w:line="320" w:lineRule="exact"/>
              <w:rPr>
                <w:rFonts w:hint="eastAsia" w:eastAsia="宋体"/>
                <w:color w:val="auto"/>
                <w:szCs w:val="21"/>
                <w:lang w:val="en-US" w:eastAsia="zh-CN"/>
              </w:rPr>
            </w:pPr>
            <w:r>
              <w:rPr>
                <w:rFonts w:hint="eastAsia"/>
                <w:color w:val="auto"/>
                <w:szCs w:val="21"/>
                <w:lang w:val="en-US" w:eastAsia="zh-CN"/>
              </w:rPr>
              <w:t>竞争性磋商文件规定的其他资格要求资料</w:t>
            </w:r>
          </w:p>
        </w:tc>
      </w:tr>
      <w:tr w14:paraId="4F30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945" w:type="dxa"/>
            <w:vMerge w:val="restart"/>
            <w:noWrap/>
            <w:vAlign w:val="center"/>
          </w:tcPr>
          <w:p w14:paraId="55ACF37A">
            <w:pPr>
              <w:jc w:val="center"/>
              <w:rPr>
                <w:color w:val="auto"/>
                <w:szCs w:val="21"/>
              </w:rPr>
            </w:pPr>
            <w:r>
              <w:rPr>
                <w:rFonts w:hint="eastAsia"/>
                <w:color w:val="auto"/>
                <w:szCs w:val="21"/>
              </w:rPr>
              <w:t>2.1.3</w:t>
            </w:r>
          </w:p>
        </w:tc>
        <w:tc>
          <w:tcPr>
            <w:tcW w:w="1183" w:type="dxa"/>
            <w:vMerge w:val="restart"/>
            <w:noWrap/>
            <w:vAlign w:val="center"/>
          </w:tcPr>
          <w:p w14:paraId="574D40F9">
            <w:pPr>
              <w:jc w:val="center"/>
              <w:rPr>
                <w:color w:val="auto"/>
                <w:szCs w:val="21"/>
              </w:rPr>
            </w:pPr>
            <w:r>
              <w:rPr>
                <w:rFonts w:hint="eastAsia"/>
                <w:color w:val="auto"/>
                <w:szCs w:val="21"/>
              </w:rPr>
              <w:t>响应性评审标准</w:t>
            </w:r>
          </w:p>
        </w:tc>
        <w:tc>
          <w:tcPr>
            <w:tcW w:w="2040" w:type="dxa"/>
            <w:noWrap/>
            <w:vAlign w:val="center"/>
          </w:tcPr>
          <w:p w14:paraId="76BE6619">
            <w:pPr>
              <w:spacing w:line="360" w:lineRule="auto"/>
              <w:ind w:firstLine="420" w:firstLineChars="200"/>
              <w:jc w:val="center"/>
              <w:rPr>
                <w:color w:val="auto"/>
                <w:szCs w:val="21"/>
              </w:rPr>
            </w:pPr>
            <w:r>
              <w:rPr>
                <w:rFonts w:hint="eastAsia"/>
                <w:color w:val="auto"/>
                <w:szCs w:val="21"/>
              </w:rPr>
              <w:t>投标内容</w:t>
            </w:r>
          </w:p>
        </w:tc>
        <w:tc>
          <w:tcPr>
            <w:tcW w:w="5295" w:type="dxa"/>
            <w:noWrap/>
            <w:vAlign w:val="center"/>
          </w:tcPr>
          <w:p w14:paraId="7A5231C7">
            <w:pPr>
              <w:spacing w:line="360" w:lineRule="auto"/>
              <w:jc w:val="both"/>
              <w:rPr>
                <w:color w:val="auto"/>
                <w:szCs w:val="21"/>
              </w:rPr>
            </w:pPr>
            <w:r>
              <w:rPr>
                <w:rFonts w:hint="eastAsia"/>
                <w:color w:val="auto"/>
                <w:szCs w:val="21"/>
              </w:rPr>
              <w:t>符合第二章“供应商须知”规定</w:t>
            </w:r>
          </w:p>
        </w:tc>
      </w:tr>
      <w:tr w14:paraId="746A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45" w:type="dxa"/>
            <w:vMerge w:val="continue"/>
            <w:noWrap/>
            <w:vAlign w:val="top"/>
          </w:tcPr>
          <w:p w14:paraId="49109AF4">
            <w:pPr>
              <w:rPr>
                <w:color w:val="auto"/>
                <w:szCs w:val="21"/>
              </w:rPr>
            </w:pPr>
          </w:p>
        </w:tc>
        <w:tc>
          <w:tcPr>
            <w:tcW w:w="1183" w:type="dxa"/>
            <w:vMerge w:val="continue"/>
            <w:noWrap/>
            <w:vAlign w:val="top"/>
          </w:tcPr>
          <w:p w14:paraId="19F3E2AD">
            <w:pPr>
              <w:rPr>
                <w:color w:val="auto"/>
                <w:szCs w:val="21"/>
              </w:rPr>
            </w:pPr>
          </w:p>
        </w:tc>
        <w:tc>
          <w:tcPr>
            <w:tcW w:w="2040" w:type="dxa"/>
            <w:noWrap/>
            <w:vAlign w:val="center"/>
          </w:tcPr>
          <w:p w14:paraId="732A008B">
            <w:pPr>
              <w:spacing w:line="360" w:lineRule="auto"/>
              <w:ind w:firstLine="420" w:firstLineChars="200"/>
              <w:jc w:val="center"/>
              <w:rPr>
                <w:rFonts w:hint="eastAsia" w:eastAsia="宋体"/>
                <w:color w:val="auto"/>
                <w:szCs w:val="21"/>
                <w:lang w:eastAsia="zh-CN"/>
              </w:rPr>
            </w:pPr>
            <w:r>
              <w:rPr>
                <w:rFonts w:hint="eastAsia"/>
                <w:color w:val="auto"/>
                <w:szCs w:val="21"/>
                <w:lang w:eastAsia="zh-CN"/>
              </w:rPr>
              <w:t>设计周期</w:t>
            </w:r>
          </w:p>
        </w:tc>
        <w:tc>
          <w:tcPr>
            <w:tcW w:w="5295" w:type="dxa"/>
            <w:noWrap/>
            <w:vAlign w:val="center"/>
          </w:tcPr>
          <w:p w14:paraId="7947EF8B">
            <w:pPr>
              <w:spacing w:line="360" w:lineRule="auto"/>
              <w:jc w:val="both"/>
              <w:rPr>
                <w:color w:val="auto"/>
                <w:szCs w:val="21"/>
              </w:rPr>
            </w:pPr>
            <w:r>
              <w:rPr>
                <w:rFonts w:hint="eastAsia"/>
                <w:color w:val="auto"/>
                <w:szCs w:val="21"/>
              </w:rPr>
              <w:t>符合第二章“供应商须知”规定</w:t>
            </w:r>
          </w:p>
        </w:tc>
      </w:tr>
      <w:tr w14:paraId="6ABC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45" w:type="dxa"/>
            <w:vMerge w:val="continue"/>
            <w:noWrap/>
            <w:vAlign w:val="top"/>
          </w:tcPr>
          <w:p w14:paraId="184A5F2C">
            <w:pPr>
              <w:rPr>
                <w:color w:val="auto"/>
                <w:szCs w:val="21"/>
              </w:rPr>
            </w:pPr>
          </w:p>
        </w:tc>
        <w:tc>
          <w:tcPr>
            <w:tcW w:w="1183" w:type="dxa"/>
            <w:vMerge w:val="continue"/>
            <w:noWrap/>
            <w:vAlign w:val="top"/>
          </w:tcPr>
          <w:p w14:paraId="007017B0">
            <w:pPr>
              <w:rPr>
                <w:color w:val="auto"/>
                <w:szCs w:val="21"/>
              </w:rPr>
            </w:pPr>
          </w:p>
        </w:tc>
        <w:tc>
          <w:tcPr>
            <w:tcW w:w="2040" w:type="dxa"/>
            <w:noWrap/>
            <w:vAlign w:val="center"/>
          </w:tcPr>
          <w:p w14:paraId="1AFCA617">
            <w:pPr>
              <w:spacing w:line="360" w:lineRule="auto"/>
              <w:ind w:firstLine="420" w:firstLineChars="200"/>
              <w:jc w:val="center"/>
              <w:rPr>
                <w:color w:val="auto"/>
                <w:szCs w:val="21"/>
              </w:rPr>
            </w:pPr>
            <w:r>
              <w:rPr>
                <w:rFonts w:hint="eastAsia"/>
                <w:color w:val="auto"/>
                <w:szCs w:val="21"/>
              </w:rPr>
              <w:t>质量要求</w:t>
            </w:r>
          </w:p>
        </w:tc>
        <w:tc>
          <w:tcPr>
            <w:tcW w:w="5295" w:type="dxa"/>
            <w:noWrap/>
            <w:vAlign w:val="center"/>
          </w:tcPr>
          <w:p w14:paraId="4E9E5276">
            <w:pPr>
              <w:spacing w:line="360" w:lineRule="auto"/>
              <w:jc w:val="both"/>
              <w:rPr>
                <w:color w:val="auto"/>
                <w:szCs w:val="21"/>
              </w:rPr>
            </w:pPr>
            <w:r>
              <w:rPr>
                <w:rFonts w:hint="eastAsia"/>
                <w:color w:val="auto"/>
                <w:szCs w:val="21"/>
              </w:rPr>
              <w:t>符合第二章“供应商须知”规定</w:t>
            </w:r>
          </w:p>
        </w:tc>
      </w:tr>
      <w:tr w14:paraId="7B25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45" w:type="dxa"/>
            <w:vMerge w:val="continue"/>
            <w:noWrap/>
            <w:vAlign w:val="top"/>
          </w:tcPr>
          <w:p w14:paraId="1E34D097">
            <w:pPr>
              <w:rPr>
                <w:color w:val="auto"/>
                <w:szCs w:val="21"/>
              </w:rPr>
            </w:pPr>
          </w:p>
        </w:tc>
        <w:tc>
          <w:tcPr>
            <w:tcW w:w="1183" w:type="dxa"/>
            <w:vMerge w:val="continue"/>
            <w:noWrap/>
            <w:vAlign w:val="top"/>
          </w:tcPr>
          <w:p w14:paraId="4364729A">
            <w:pPr>
              <w:rPr>
                <w:color w:val="auto"/>
                <w:szCs w:val="21"/>
              </w:rPr>
            </w:pPr>
          </w:p>
        </w:tc>
        <w:tc>
          <w:tcPr>
            <w:tcW w:w="2040" w:type="dxa"/>
            <w:noWrap/>
            <w:vAlign w:val="center"/>
          </w:tcPr>
          <w:p w14:paraId="5EBDED74">
            <w:pPr>
              <w:spacing w:line="360" w:lineRule="auto"/>
              <w:ind w:firstLine="420" w:firstLineChars="200"/>
              <w:jc w:val="center"/>
              <w:rPr>
                <w:color w:val="auto"/>
                <w:szCs w:val="21"/>
              </w:rPr>
            </w:pPr>
            <w:r>
              <w:rPr>
                <w:rFonts w:hint="eastAsia"/>
                <w:color w:val="auto"/>
                <w:szCs w:val="21"/>
              </w:rPr>
              <w:t>投标有效期</w:t>
            </w:r>
          </w:p>
        </w:tc>
        <w:tc>
          <w:tcPr>
            <w:tcW w:w="5295" w:type="dxa"/>
            <w:noWrap/>
            <w:vAlign w:val="center"/>
          </w:tcPr>
          <w:p w14:paraId="3574AF05">
            <w:pPr>
              <w:spacing w:line="360" w:lineRule="auto"/>
              <w:jc w:val="both"/>
              <w:rPr>
                <w:color w:val="auto"/>
                <w:szCs w:val="21"/>
              </w:rPr>
            </w:pPr>
            <w:r>
              <w:rPr>
                <w:rFonts w:hint="eastAsia"/>
                <w:color w:val="auto"/>
                <w:szCs w:val="21"/>
              </w:rPr>
              <w:t>符合第二章“供应商须知”规定</w:t>
            </w:r>
          </w:p>
        </w:tc>
      </w:tr>
      <w:tr w14:paraId="6E24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noWrap/>
            <w:vAlign w:val="top"/>
          </w:tcPr>
          <w:p w14:paraId="6B5DBA4D">
            <w:pPr>
              <w:rPr>
                <w:color w:val="auto"/>
                <w:szCs w:val="21"/>
              </w:rPr>
            </w:pPr>
          </w:p>
        </w:tc>
        <w:tc>
          <w:tcPr>
            <w:tcW w:w="1183" w:type="dxa"/>
            <w:vMerge w:val="continue"/>
            <w:noWrap/>
            <w:vAlign w:val="top"/>
          </w:tcPr>
          <w:p w14:paraId="42D967E3">
            <w:pPr>
              <w:rPr>
                <w:color w:val="auto"/>
                <w:szCs w:val="21"/>
              </w:rPr>
            </w:pPr>
          </w:p>
        </w:tc>
        <w:tc>
          <w:tcPr>
            <w:tcW w:w="2040" w:type="dxa"/>
            <w:noWrap/>
            <w:vAlign w:val="center"/>
          </w:tcPr>
          <w:p w14:paraId="7FDD4CD5">
            <w:pPr>
              <w:spacing w:line="360" w:lineRule="auto"/>
              <w:ind w:firstLine="420" w:firstLineChars="200"/>
              <w:jc w:val="center"/>
              <w:rPr>
                <w:rFonts w:hint="eastAsia" w:ascii="宋体" w:hAnsi="宋体" w:eastAsia="宋体" w:cs="宋体"/>
                <w:color w:val="auto"/>
                <w:sz w:val="22"/>
                <w:szCs w:val="21"/>
                <w:lang w:val="zh-CN" w:eastAsia="zh-CN" w:bidi="zh-CN"/>
              </w:rPr>
            </w:pPr>
            <w:r>
              <w:rPr>
                <w:rFonts w:hint="eastAsia"/>
                <w:color w:val="auto"/>
                <w:szCs w:val="21"/>
              </w:rPr>
              <w:t>投标承诺书</w:t>
            </w:r>
          </w:p>
        </w:tc>
        <w:tc>
          <w:tcPr>
            <w:tcW w:w="5295" w:type="dxa"/>
            <w:noWrap/>
            <w:vAlign w:val="center"/>
          </w:tcPr>
          <w:p w14:paraId="4B3A830A">
            <w:pPr>
              <w:spacing w:line="360" w:lineRule="auto"/>
              <w:jc w:val="both"/>
              <w:rPr>
                <w:rFonts w:hint="eastAsia" w:ascii="宋体" w:hAnsi="宋体" w:eastAsia="宋体" w:cs="宋体"/>
                <w:color w:val="auto"/>
                <w:sz w:val="22"/>
                <w:szCs w:val="21"/>
                <w:lang w:val="zh-CN" w:eastAsia="zh-CN" w:bidi="zh-CN"/>
              </w:rPr>
            </w:pPr>
            <w:r>
              <w:rPr>
                <w:rFonts w:hint="eastAsia"/>
                <w:color w:val="auto"/>
                <w:szCs w:val="21"/>
              </w:rPr>
              <w:t>符合第二章“供应商须知”规定</w:t>
            </w:r>
          </w:p>
        </w:tc>
      </w:tr>
      <w:tr w14:paraId="1D0A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noWrap/>
            <w:vAlign w:val="top"/>
          </w:tcPr>
          <w:p w14:paraId="4CE46B14">
            <w:pPr>
              <w:rPr>
                <w:color w:val="auto"/>
                <w:szCs w:val="21"/>
              </w:rPr>
            </w:pPr>
          </w:p>
        </w:tc>
        <w:tc>
          <w:tcPr>
            <w:tcW w:w="1183" w:type="dxa"/>
            <w:vMerge w:val="continue"/>
            <w:noWrap/>
            <w:vAlign w:val="top"/>
          </w:tcPr>
          <w:p w14:paraId="2E17205A">
            <w:pPr>
              <w:rPr>
                <w:color w:val="auto"/>
                <w:szCs w:val="21"/>
              </w:rPr>
            </w:pPr>
          </w:p>
        </w:tc>
        <w:tc>
          <w:tcPr>
            <w:tcW w:w="2040" w:type="dxa"/>
            <w:noWrap/>
            <w:vAlign w:val="center"/>
          </w:tcPr>
          <w:p w14:paraId="6A55B3E3">
            <w:pPr>
              <w:spacing w:line="360" w:lineRule="auto"/>
              <w:ind w:firstLine="420" w:firstLineChars="200"/>
              <w:jc w:val="center"/>
              <w:rPr>
                <w:rFonts w:hint="eastAsia" w:eastAsia="宋体"/>
                <w:color w:val="auto"/>
                <w:szCs w:val="21"/>
                <w:lang w:eastAsia="zh-CN"/>
              </w:rPr>
            </w:pPr>
            <w:r>
              <w:rPr>
                <w:rFonts w:hint="eastAsia"/>
                <w:color w:val="auto"/>
                <w:szCs w:val="21"/>
                <w:lang w:eastAsia="zh-CN"/>
              </w:rPr>
              <w:t>其他内容</w:t>
            </w:r>
          </w:p>
        </w:tc>
        <w:tc>
          <w:tcPr>
            <w:tcW w:w="5295" w:type="dxa"/>
            <w:noWrap/>
            <w:vAlign w:val="center"/>
          </w:tcPr>
          <w:p w14:paraId="4FC25BF0">
            <w:pPr>
              <w:spacing w:line="360" w:lineRule="auto"/>
              <w:jc w:val="both"/>
              <w:rPr>
                <w:color w:val="auto"/>
                <w:szCs w:val="21"/>
              </w:rPr>
            </w:pPr>
            <w:r>
              <w:rPr>
                <w:rFonts w:hint="eastAsia"/>
                <w:color w:val="auto"/>
                <w:szCs w:val="21"/>
              </w:rPr>
              <w:t>符合第二章“供应商须知”规定</w:t>
            </w:r>
          </w:p>
        </w:tc>
      </w:tr>
      <w:tr w14:paraId="55F8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128" w:type="dxa"/>
            <w:gridSpan w:val="2"/>
            <w:noWrap/>
            <w:vAlign w:val="center"/>
          </w:tcPr>
          <w:p w14:paraId="63F8ABE3">
            <w:pPr>
              <w:spacing w:line="360" w:lineRule="auto"/>
              <w:jc w:val="center"/>
              <w:rPr>
                <w:color w:val="auto"/>
                <w:szCs w:val="21"/>
              </w:rPr>
            </w:pPr>
            <w:r>
              <w:rPr>
                <w:rFonts w:hint="eastAsia"/>
                <w:color w:val="auto"/>
                <w:szCs w:val="21"/>
              </w:rPr>
              <w:t>2.2.1</w:t>
            </w:r>
          </w:p>
        </w:tc>
        <w:tc>
          <w:tcPr>
            <w:tcW w:w="2040" w:type="dxa"/>
            <w:noWrap/>
            <w:vAlign w:val="center"/>
          </w:tcPr>
          <w:p w14:paraId="24AAC275">
            <w:pPr>
              <w:spacing w:line="360" w:lineRule="auto"/>
              <w:ind w:firstLine="420" w:firstLineChars="200"/>
              <w:jc w:val="both"/>
              <w:rPr>
                <w:color w:val="auto"/>
                <w:szCs w:val="21"/>
              </w:rPr>
            </w:pPr>
            <w:r>
              <w:rPr>
                <w:rFonts w:hint="eastAsia"/>
                <w:color w:val="auto"/>
                <w:szCs w:val="21"/>
              </w:rPr>
              <w:t>分值构成</w:t>
            </w:r>
          </w:p>
          <w:p w14:paraId="2D5A5D80">
            <w:pPr>
              <w:spacing w:line="360" w:lineRule="auto"/>
              <w:jc w:val="center"/>
              <w:rPr>
                <w:color w:val="auto"/>
                <w:szCs w:val="21"/>
              </w:rPr>
            </w:pPr>
            <w:r>
              <w:rPr>
                <w:rFonts w:hint="eastAsia"/>
                <w:color w:val="auto"/>
                <w:szCs w:val="21"/>
              </w:rPr>
              <w:t>(总分100分)</w:t>
            </w:r>
          </w:p>
        </w:tc>
        <w:tc>
          <w:tcPr>
            <w:tcW w:w="5295" w:type="dxa"/>
            <w:noWrap/>
            <w:vAlign w:val="top"/>
          </w:tcPr>
          <w:p w14:paraId="0FE1A432">
            <w:pPr>
              <w:spacing w:line="360" w:lineRule="auto"/>
              <w:rPr>
                <w:color w:val="auto"/>
                <w:szCs w:val="21"/>
              </w:rPr>
            </w:pPr>
            <w:r>
              <w:rPr>
                <w:rFonts w:hint="eastAsia"/>
                <w:color w:val="auto"/>
                <w:szCs w:val="21"/>
              </w:rPr>
              <w:t>投标报价：</w:t>
            </w:r>
            <w:r>
              <w:rPr>
                <w:rFonts w:hint="eastAsia"/>
                <w:color w:val="auto"/>
                <w:szCs w:val="21"/>
                <w:u w:val="single"/>
              </w:rPr>
              <w:t>30</w:t>
            </w:r>
            <w:r>
              <w:rPr>
                <w:rFonts w:hint="eastAsia"/>
                <w:color w:val="auto"/>
                <w:szCs w:val="21"/>
              </w:rPr>
              <w:t>分</w:t>
            </w:r>
          </w:p>
          <w:p w14:paraId="05845ABF">
            <w:pPr>
              <w:spacing w:line="360" w:lineRule="auto"/>
              <w:rPr>
                <w:color w:val="auto"/>
                <w:szCs w:val="21"/>
              </w:rPr>
            </w:pPr>
            <w:r>
              <w:rPr>
                <w:rFonts w:hint="eastAsia"/>
                <w:color w:val="auto"/>
                <w:szCs w:val="21"/>
              </w:rPr>
              <w:t>技术部分：</w:t>
            </w:r>
            <w:r>
              <w:rPr>
                <w:rFonts w:hint="eastAsia"/>
                <w:color w:val="auto"/>
                <w:szCs w:val="21"/>
                <w:u w:val="single"/>
                <w:lang w:val="en-US" w:eastAsia="zh-CN"/>
              </w:rPr>
              <w:t>40</w:t>
            </w:r>
            <w:r>
              <w:rPr>
                <w:rFonts w:hint="eastAsia"/>
                <w:color w:val="auto"/>
                <w:szCs w:val="21"/>
              </w:rPr>
              <w:t>分</w:t>
            </w:r>
          </w:p>
          <w:p w14:paraId="5E5B8891">
            <w:pPr>
              <w:spacing w:line="360" w:lineRule="auto"/>
              <w:rPr>
                <w:color w:val="auto"/>
                <w:szCs w:val="21"/>
                <w:u w:val="single"/>
              </w:rPr>
            </w:pPr>
            <w:r>
              <w:rPr>
                <w:rFonts w:hint="eastAsia"/>
                <w:color w:val="auto"/>
                <w:szCs w:val="21"/>
              </w:rPr>
              <w:t>商务部分：</w:t>
            </w:r>
            <w:r>
              <w:rPr>
                <w:rFonts w:hint="eastAsia"/>
                <w:color w:val="auto"/>
                <w:szCs w:val="21"/>
                <w:u w:val="single"/>
                <w:lang w:val="en-US" w:eastAsia="zh-CN"/>
              </w:rPr>
              <w:t>30</w:t>
            </w:r>
            <w:r>
              <w:rPr>
                <w:rFonts w:hint="eastAsia"/>
                <w:color w:val="auto"/>
                <w:szCs w:val="21"/>
              </w:rPr>
              <w:t>分</w:t>
            </w:r>
          </w:p>
        </w:tc>
      </w:tr>
    </w:tbl>
    <w:p w14:paraId="197E9CC1">
      <w:pPr>
        <w:rPr>
          <w:color w:val="auto"/>
        </w:rPr>
      </w:pPr>
    </w:p>
    <w:p w14:paraId="639424EC">
      <w:pPr>
        <w:pStyle w:val="8"/>
        <w:rPr>
          <w:color w:val="auto"/>
        </w:rPr>
      </w:pPr>
    </w:p>
    <w:tbl>
      <w:tblPr>
        <w:tblStyle w:val="22"/>
        <w:tblW w:w="9639"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165"/>
        <w:gridCol w:w="1622"/>
        <w:gridCol w:w="5888"/>
      </w:tblGrid>
      <w:tr w14:paraId="2C18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964" w:type="dxa"/>
            <w:noWrap/>
            <w:vAlign w:val="center"/>
          </w:tcPr>
          <w:p w14:paraId="143D9FCE">
            <w:pPr>
              <w:spacing w:line="400" w:lineRule="exact"/>
              <w:ind w:firstLine="28"/>
              <w:jc w:val="center"/>
              <w:rPr>
                <w:b/>
                <w:color w:val="auto"/>
                <w:szCs w:val="21"/>
              </w:rPr>
            </w:pPr>
            <w:r>
              <w:rPr>
                <w:rFonts w:hint="eastAsia"/>
                <w:b/>
                <w:color w:val="auto"/>
                <w:szCs w:val="21"/>
              </w:rPr>
              <w:t>序号</w:t>
            </w:r>
          </w:p>
        </w:tc>
        <w:tc>
          <w:tcPr>
            <w:tcW w:w="1165" w:type="dxa"/>
            <w:noWrap/>
            <w:vAlign w:val="center"/>
          </w:tcPr>
          <w:p w14:paraId="5853A574">
            <w:pPr>
              <w:spacing w:line="400" w:lineRule="exact"/>
              <w:ind w:firstLine="28"/>
              <w:jc w:val="center"/>
              <w:rPr>
                <w:b/>
                <w:color w:val="auto"/>
                <w:szCs w:val="21"/>
              </w:rPr>
            </w:pPr>
            <w:r>
              <w:rPr>
                <w:rFonts w:hint="eastAsia"/>
                <w:b/>
                <w:color w:val="auto"/>
                <w:szCs w:val="21"/>
              </w:rPr>
              <w:t>评分因素</w:t>
            </w:r>
          </w:p>
          <w:p w14:paraId="3D680730">
            <w:pPr>
              <w:spacing w:line="400" w:lineRule="exact"/>
              <w:ind w:firstLine="28"/>
              <w:jc w:val="center"/>
              <w:rPr>
                <w:b/>
                <w:color w:val="auto"/>
                <w:szCs w:val="21"/>
              </w:rPr>
            </w:pPr>
            <w:r>
              <w:rPr>
                <w:rFonts w:hint="eastAsia"/>
                <w:b/>
                <w:color w:val="auto"/>
                <w:szCs w:val="21"/>
              </w:rPr>
              <w:t>及分值</w:t>
            </w:r>
          </w:p>
        </w:tc>
        <w:tc>
          <w:tcPr>
            <w:tcW w:w="7510" w:type="dxa"/>
            <w:gridSpan w:val="2"/>
            <w:noWrap/>
            <w:vAlign w:val="center"/>
          </w:tcPr>
          <w:p w14:paraId="01CFAACE">
            <w:pPr>
              <w:spacing w:line="400" w:lineRule="exact"/>
              <w:ind w:firstLine="28"/>
              <w:jc w:val="center"/>
              <w:rPr>
                <w:b/>
                <w:color w:val="auto"/>
                <w:szCs w:val="21"/>
              </w:rPr>
            </w:pPr>
            <w:r>
              <w:rPr>
                <w:rFonts w:hint="eastAsia"/>
                <w:b/>
                <w:color w:val="auto"/>
                <w:szCs w:val="21"/>
              </w:rPr>
              <w:t>评分标准</w:t>
            </w:r>
          </w:p>
        </w:tc>
      </w:tr>
      <w:tr w14:paraId="2B2F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964" w:type="dxa"/>
            <w:noWrap/>
            <w:vAlign w:val="center"/>
          </w:tcPr>
          <w:p w14:paraId="7F6B883E">
            <w:pPr>
              <w:spacing w:line="400" w:lineRule="exact"/>
              <w:ind w:firstLine="28"/>
              <w:jc w:val="center"/>
              <w:rPr>
                <w:color w:val="auto"/>
                <w:szCs w:val="21"/>
              </w:rPr>
            </w:pPr>
            <w:r>
              <w:rPr>
                <w:rFonts w:hint="eastAsia"/>
                <w:color w:val="auto"/>
                <w:szCs w:val="21"/>
                <w:lang w:val="en-US"/>
              </w:rPr>
              <w:t>2.2.2</w:t>
            </w:r>
          </w:p>
        </w:tc>
        <w:tc>
          <w:tcPr>
            <w:tcW w:w="1165" w:type="dxa"/>
            <w:noWrap/>
            <w:vAlign w:val="center"/>
          </w:tcPr>
          <w:p w14:paraId="079A7A5F">
            <w:pPr>
              <w:spacing w:line="400" w:lineRule="exact"/>
              <w:ind w:firstLine="28"/>
              <w:jc w:val="center"/>
              <w:rPr>
                <w:color w:val="auto"/>
                <w:szCs w:val="21"/>
              </w:rPr>
            </w:pPr>
            <w:r>
              <w:rPr>
                <w:rFonts w:hint="eastAsia"/>
                <w:color w:val="auto"/>
                <w:szCs w:val="21"/>
              </w:rPr>
              <w:t>报价（</w:t>
            </w:r>
            <w:r>
              <w:rPr>
                <w:rFonts w:hint="eastAsia"/>
                <w:color w:val="auto"/>
                <w:szCs w:val="21"/>
                <w:lang w:val="en-US"/>
              </w:rPr>
              <w:t>3</w:t>
            </w:r>
            <w:r>
              <w:rPr>
                <w:rFonts w:hint="eastAsia"/>
                <w:color w:val="auto"/>
                <w:szCs w:val="21"/>
              </w:rPr>
              <w:t>0分）</w:t>
            </w:r>
          </w:p>
        </w:tc>
        <w:tc>
          <w:tcPr>
            <w:tcW w:w="7510" w:type="dxa"/>
            <w:gridSpan w:val="2"/>
            <w:noWrap/>
            <w:vAlign w:val="center"/>
          </w:tcPr>
          <w:p w14:paraId="228A21AC">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1、价格分采用低价优先法计算，即通过资格性和初步审查且第二轮投标价格最低的投标报价为评标基准价，其价格得分为满分</w:t>
            </w:r>
            <w:r>
              <w:rPr>
                <w:rFonts w:hint="eastAsia"/>
                <w:color w:val="auto"/>
                <w:sz w:val="22"/>
                <w:szCs w:val="22"/>
                <w:lang w:val="en-US" w:eastAsia="zh-CN"/>
              </w:rPr>
              <w:t>30</w:t>
            </w:r>
            <w:r>
              <w:rPr>
                <w:rFonts w:hint="eastAsia" w:eastAsia="宋体"/>
                <w:color w:val="auto"/>
                <w:sz w:val="22"/>
                <w:szCs w:val="22"/>
                <w:lang w:val="en-US" w:eastAsia="zh-CN"/>
              </w:rPr>
              <w:t>分。</w:t>
            </w:r>
          </w:p>
          <w:p w14:paraId="48582CA6">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其他投标供应商的价格分统一按照下列公式计算：</w:t>
            </w:r>
          </w:p>
          <w:p w14:paraId="7E7210B8">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投标报价得分＝（评标基准价/投标报价）×</w:t>
            </w:r>
            <w:r>
              <w:rPr>
                <w:rFonts w:hint="eastAsia"/>
                <w:color w:val="auto"/>
                <w:sz w:val="22"/>
                <w:szCs w:val="22"/>
                <w:lang w:val="en-US" w:eastAsia="zh-CN"/>
              </w:rPr>
              <w:t>30</w:t>
            </w:r>
            <w:r>
              <w:rPr>
                <w:rFonts w:hint="eastAsia" w:eastAsia="宋体"/>
                <w:color w:val="auto"/>
                <w:sz w:val="22"/>
                <w:szCs w:val="22"/>
                <w:lang w:val="en-US" w:eastAsia="zh-CN"/>
              </w:rPr>
              <w:t>％×100</w:t>
            </w:r>
          </w:p>
          <w:p w14:paraId="2F020D47">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2、磋商小组认为响应人的报价明显低于其他通过符合性审查响应人的报价，有可能影响项目实施进度或者不能诚信履约的，应当要求其在评标现场合理的时间内提供书面说明，必要时提交相关证明材料；响应人不能证明其报价合理性的，磋商小组应当将其作为无效投标处理。</w:t>
            </w:r>
          </w:p>
          <w:p w14:paraId="03390962">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3、超出采购人预算价的响应报价为无效报价。</w:t>
            </w:r>
          </w:p>
        </w:tc>
      </w:tr>
      <w:tr w14:paraId="3A0E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64" w:type="dxa"/>
            <w:vMerge w:val="restart"/>
            <w:noWrap/>
            <w:vAlign w:val="center"/>
          </w:tcPr>
          <w:p w14:paraId="67190BD6">
            <w:pPr>
              <w:spacing w:line="400" w:lineRule="exact"/>
              <w:ind w:firstLine="28"/>
              <w:jc w:val="center"/>
              <w:rPr>
                <w:color w:val="auto"/>
                <w:szCs w:val="21"/>
                <w:lang w:val="en-US"/>
              </w:rPr>
            </w:pPr>
            <w:r>
              <w:rPr>
                <w:rFonts w:hint="eastAsia"/>
                <w:color w:val="auto"/>
                <w:szCs w:val="21"/>
              </w:rPr>
              <w:t>2</w:t>
            </w:r>
            <w:r>
              <w:rPr>
                <w:rFonts w:hint="eastAsia"/>
                <w:color w:val="auto"/>
                <w:szCs w:val="21"/>
                <w:lang w:val="en-US"/>
              </w:rPr>
              <w:t>.2.3</w:t>
            </w:r>
          </w:p>
        </w:tc>
        <w:tc>
          <w:tcPr>
            <w:tcW w:w="1165" w:type="dxa"/>
            <w:vMerge w:val="restart"/>
            <w:noWrap/>
            <w:vAlign w:val="center"/>
          </w:tcPr>
          <w:p w14:paraId="12D36C98">
            <w:pPr>
              <w:spacing w:line="400" w:lineRule="exact"/>
              <w:ind w:firstLine="28"/>
              <w:jc w:val="center"/>
              <w:rPr>
                <w:rFonts w:hint="eastAsia" w:ascii="宋体" w:hAnsi="宋体" w:eastAsia="宋体" w:cs="宋体"/>
                <w:color w:val="auto"/>
                <w:sz w:val="22"/>
                <w:szCs w:val="22"/>
              </w:rPr>
            </w:pPr>
            <w:r>
              <w:rPr>
                <w:rFonts w:hint="eastAsia" w:ascii="宋体" w:hAnsi="宋体" w:eastAsia="宋体" w:cs="宋体"/>
                <w:color w:val="auto"/>
                <w:sz w:val="22"/>
                <w:szCs w:val="22"/>
              </w:rPr>
              <w:t>技术标（</w:t>
            </w:r>
            <w:r>
              <w:rPr>
                <w:rFonts w:hint="eastAsia" w:ascii="宋体" w:hAnsi="宋体" w:eastAsia="宋体" w:cs="宋体"/>
                <w:color w:val="auto"/>
                <w:sz w:val="22"/>
                <w:szCs w:val="22"/>
                <w:lang w:val="en-US" w:eastAsia="zh-CN"/>
              </w:rPr>
              <w:t>4</w:t>
            </w:r>
            <w:r>
              <w:rPr>
                <w:rFonts w:hint="eastAsia" w:ascii="宋体" w:hAnsi="宋体" w:cs="宋体"/>
                <w:color w:val="auto"/>
                <w:sz w:val="22"/>
                <w:szCs w:val="22"/>
                <w:lang w:val="en-US" w:eastAsia="zh-CN"/>
              </w:rPr>
              <w:t>0</w:t>
            </w:r>
            <w:r>
              <w:rPr>
                <w:rFonts w:hint="eastAsia" w:ascii="宋体" w:hAnsi="宋体" w:eastAsia="宋体" w:cs="宋体"/>
                <w:color w:val="auto"/>
                <w:sz w:val="22"/>
                <w:szCs w:val="22"/>
              </w:rPr>
              <w:t>分）</w:t>
            </w:r>
          </w:p>
        </w:tc>
        <w:tc>
          <w:tcPr>
            <w:tcW w:w="1622" w:type="dxa"/>
            <w:noWrap/>
            <w:vAlign w:val="center"/>
          </w:tcPr>
          <w:p w14:paraId="208EDFA4">
            <w:pPr>
              <w:spacing w:line="360" w:lineRule="auto"/>
              <w:jc w:val="center"/>
              <w:rPr>
                <w:rFonts w:hint="eastAsia" w:ascii="宋体" w:hAnsi="宋体" w:eastAsia="宋体" w:cs="宋体"/>
                <w:color w:val="auto"/>
                <w:kern w:val="2"/>
                <w:sz w:val="22"/>
                <w:szCs w:val="22"/>
                <w:lang w:val="en-US"/>
              </w:rPr>
            </w:pPr>
            <w:r>
              <w:rPr>
                <w:rFonts w:hint="eastAsia" w:ascii="宋体" w:hAnsi="宋体" w:eastAsia="宋体" w:cs="宋体"/>
                <w:color w:val="auto"/>
                <w:spacing w:val="-6"/>
                <w:sz w:val="22"/>
                <w:szCs w:val="22"/>
                <w:lang w:val="en-US" w:eastAsia="zh-CN"/>
              </w:rPr>
              <w:t>对本项目的认识、理解（8分）</w:t>
            </w:r>
          </w:p>
        </w:tc>
        <w:tc>
          <w:tcPr>
            <w:tcW w:w="5888" w:type="dxa"/>
            <w:noWrap/>
            <w:vAlign w:val="center"/>
          </w:tcPr>
          <w:p w14:paraId="485F333B">
            <w:pPr>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pacing w:val="-6"/>
                <w:sz w:val="22"/>
                <w:szCs w:val="22"/>
                <w:lang w:val="en-US" w:eastAsia="zh-CN"/>
              </w:rPr>
              <w:t>对该项目的理解、整体情况熟悉，对实施任务、要求的理解把握程度：准确的得8分；一般的得5分；不够准确的得</w:t>
            </w:r>
            <w:r>
              <w:rPr>
                <w:rFonts w:hint="eastAsia"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分，没有不得分。</w:t>
            </w:r>
          </w:p>
        </w:tc>
      </w:tr>
      <w:tr w14:paraId="311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 w:type="dxa"/>
            <w:vMerge w:val="continue"/>
            <w:noWrap/>
            <w:vAlign w:val="center"/>
          </w:tcPr>
          <w:p w14:paraId="6B354591">
            <w:pPr>
              <w:spacing w:line="400" w:lineRule="exact"/>
              <w:ind w:firstLine="28"/>
              <w:jc w:val="center"/>
              <w:rPr>
                <w:color w:val="auto"/>
                <w:szCs w:val="21"/>
              </w:rPr>
            </w:pPr>
          </w:p>
        </w:tc>
        <w:tc>
          <w:tcPr>
            <w:tcW w:w="1165" w:type="dxa"/>
            <w:vMerge w:val="continue"/>
            <w:noWrap/>
            <w:vAlign w:val="center"/>
          </w:tcPr>
          <w:p w14:paraId="3DE9A2F3">
            <w:pPr>
              <w:spacing w:line="400" w:lineRule="exact"/>
              <w:ind w:firstLine="28"/>
              <w:jc w:val="center"/>
              <w:rPr>
                <w:rFonts w:hint="eastAsia" w:ascii="宋体" w:hAnsi="宋体" w:eastAsia="宋体" w:cs="宋体"/>
                <w:color w:val="auto"/>
                <w:sz w:val="22"/>
                <w:szCs w:val="22"/>
              </w:rPr>
            </w:pPr>
          </w:p>
        </w:tc>
        <w:tc>
          <w:tcPr>
            <w:tcW w:w="1622" w:type="dxa"/>
            <w:noWrap/>
            <w:vAlign w:val="center"/>
          </w:tcPr>
          <w:p w14:paraId="5C514ADF">
            <w:pPr>
              <w:spacing w:line="360" w:lineRule="auto"/>
              <w:jc w:val="center"/>
              <w:rPr>
                <w:rFonts w:hint="eastAsia" w:cs="宋体"/>
                <w:color w:val="auto"/>
                <w:spacing w:val="-6"/>
                <w:sz w:val="22"/>
                <w:szCs w:val="22"/>
                <w:lang w:val="en-US" w:eastAsia="zh-CN"/>
              </w:rPr>
            </w:pPr>
            <w:r>
              <w:rPr>
                <w:rFonts w:hint="eastAsia" w:cs="宋体"/>
                <w:color w:val="auto"/>
                <w:spacing w:val="-6"/>
                <w:sz w:val="22"/>
                <w:szCs w:val="22"/>
                <w:lang w:val="en-US" w:eastAsia="zh-CN"/>
              </w:rPr>
              <w:t>总体设计思路</w:t>
            </w:r>
          </w:p>
          <w:p w14:paraId="6389EC6A">
            <w:pPr>
              <w:spacing w:line="360" w:lineRule="auto"/>
              <w:jc w:val="center"/>
              <w:rPr>
                <w:rFonts w:hint="eastAsia" w:ascii="宋体" w:hAnsi="宋体" w:eastAsia="宋体" w:cs="宋体"/>
                <w:color w:val="auto"/>
                <w:spacing w:val="0"/>
                <w:sz w:val="22"/>
                <w:szCs w:val="22"/>
                <w:highlight w:val="none"/>
                <w:lang w:val="en-US" w:eastAsia="zh-CN"/>
              </w:rPr>
            </w:pPr>
            <w:r>
              <w:rPr>
                <w:rFonts w:hint="eastAsia" w:ascii="宋体" w:hAnsi="宋体" w:eastAsia="宋体" w:cs="宋体"/>
                <w:color w:val="auto"/>
                <w:spacing w:val="-6"/>
                <w:sz w:val="22"/>
                <w:szCs w:val="22"/>
                <w:lang w:val="en-US" w:eastAsia="zh-CN"/>
              </w:rPr>
              <w:t>（</w:t>
            </w:r>
            <w:r>
              <w:rPr>
                <w:rFonts w:hint="eastAsia" w:cs="宋体"/>
                <w:color w:val="auto"/>
                <w:spacing w:val="-6"/>
                <w:sz w:val="22"/>
                <w:szCs w:val="22"/>
                <w:lang w:val="en-US" w:eastAsia="zh-CN"/>
              </w:rPr>
              <w:t>9</w:t>
            </w:r>
            <w:r>
              <w:rPr>
                <w:rFonts w:hint="eastAsia" w:ascii="宋体" w:hAnsi="宋体" w:eastAsia="宋体" w:cs="宋体"/>
                <w:color w:val="auto"/>
                <w:spacing w:val="-6"/>
                <w:sz w:val="22"/>
                <w:szCs w:val="22"/>
                <w:lang w:val="en-US" w:eastAsia="zh-CN"/>
              </w:rPr>
              <w:t>分）</w:t>
            </w:r>
          </w:p>
        </w:tc>
        <w:tc>
          <w:tcPr>
            <w:tcW w:w="5888" w:type="dxa"/>
            <w:noWrap/>
            <w:vAlign w:val="center"/>
          </w:tcPr>
          <w:p w14:paraId="2130A9E5">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1、对招标项目的总体设计思路内容全面，设计构思描述清晰、合理，完全满足项目建设功能，符合规范标准，设计理念先进、新颖得</w:t>
            </w:r>
            <w:r>
              <w:rPr>
                <w:rFonts w:hint="eastAsia" w:cs="宋体"/>
                <w:color w:val="auto"/>
                <w:spacing w:val="-6"/>
                <w:sz w:val="22"/>
                <w:szCs w:val="22"/>
                <w:lang w:val="en-US" w:eastAsia="zh-CN"/>
              </w:rPr>
              <w:t>9</w:t>
            </w:r>
            <w:r>
              <w:rPr>
                <w:rFonts w:hint="eastAsia" w:ascii="宋体" w:hAnsi="宋体" w:eastAsia="宋体" w:cs="宋体"/>
                <w:color w:val="auto"/>
                <w:spacing w:val="-6"/>
                <w:sz w:val="22"/>
                <w:szCs w:val="22"/>
                <w:lang w:val="en-US" w:eastAsia="zh-CN"/>
              </w:rPr>
              <w:t>分；</w:t>
            </w:r>
          </w:p>
          <w:p w14:paraId="0B6C0325">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2、对招标项目的总体设计思路内容较完整，设计构思描述较清晰、较合理，满足项目建设功能，设计理念较新颖得</w:t>
            </w:r>
            <w:r>
              <w:rPr>
                <w:rFonts w:hint="eastAsia" w:cs="宋体"/>
                <w:color w:val="auto"/>
                <w:spacing w:val="-6"/>
                <w:sz w:val="22"/>
                <w:szCs w:val="22"/>
                <w:lang w:val="en-US" w:eastAsia="zh-CN"/>
              </w:rPr>
              <w:t>6</w:t>
            </w:r>
            <w:r>
              <w:rPr>
                <w:rFonts w:hint="eastAsia" w:ascii="宋体" w:hAnsi="宋体" w:eastAsia="宋体" w:cs="宋体"/>
                <w:color w:val="auto"/>
                <w:spacing w:val="-6"/>
                <w:sz w:val="22"/>
                <w:szCs w:val="22"/>
                <w:lang w:val="en-US" w:eastAsia="zh-CN"/>
              </w:rPr>
              <w:t>分；</w:t>
            </w:r>
          </w:p>
          <w:p w14:paraId="45E21E50">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3、对招标项目的总体设计思路内容一般，设计构思描述一般，基本满足项目建设功能，设计理念一般得</w:t>
            </w:r>
            <w:r>
              <w:rPr>
                <w:rFonts w:hint="eastAsia"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w:t>
            </w:r>
          </w:p>
          <w:p w14:paraId="3E7AA5F0">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注：未提供或提供的内容完全与本项目无关的，得0分。</w:t>
            </w:r>
          </w:p>
        </w:tc>
      </w:tr>
      <w:tr w14:paraId="6036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64" w:type="dxa"/>
            <w:vMerge w:val="continue"/>
            <w:noWrap/>
            <w:vAlign w:val="center"/>
          </w:tcPr>
          <w:p w14:paraId="245EE5C8">
            <w:pPr>
              <w:spacing w:line="400" w:lineRule="exact"/>
              <w:ind w:firstLine="28"/>
              <w:jc w:val="center"/>
              <w:rPr>
                <w:color w:val="auto"/>
                <w:szCs w:val="21"/>
              </w:rPr>
            </w:pPr>
          </w:p>
        </w:tc>
        <w:tc>
          <w:tcPr>
            <w:tcW w:w="1165" w:type="dxa"/>
            <w:vMerge w:val="continue"/>
            <w:noWrap/>
            <w:vAlign w:val="center"/>
          </w:tcPr>
          <w:p w14:paraId="2BAE99FE">
            <w:pPr>
              <w:spacing w:line="400" w:lineRule="exact"/>
              <w:ind w:firstLine="28"/>
              <w:jc w:val="center"/>
              <w:rPr>
                <w:rFonts w:hint="eastAsia" w:ascii="宋体" w:hAnsi="宋体" w:eastAsia="宋体" w:cs="宋体"/>
                <w:color w:val="auto"/>
                <w:sz w:val="22"/>
                <w:szCs w:val="22"/>
              </w:rPr>
            </w:pPr>
          </w:p>
        </w:tc>
        <w:tc>
          <w:tcPr>
            <w:tcW w:w="1622" w:type="dxa"/>
            <w:noWrap/>
            <w:vAlign w:val="center"/>
          </w:tcPr>
          <w:p w14:paraId="638CC625">
            <w:p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项目进度安排</w:t>
            </w:r>
          </w:p>
          <w:p w14:paraId="2B5BBDC9">
            <w:pPr>
              <w:spacing w:line="360" w:lineRule="auto"/>
              <w:jc w:val="center"/>
              <w:rPr>
                <w:rFonts w:hint="eastAsia" w:ascii="宋体" w:hAnsi="宋体" w:eastAsia="宋体" w:cs="宋体"/>
                <w:color w:val="auto"/>
                <w:spacing w:val="0"/>
                <w:sz w:val="22"/>
                <w:szCs w:val="22"/>
                <w:highlight w:val="none"/>
              </w:rPr>
            </w:pPr>
            <w:r>
              <w:rPr>
                <w:rFonts w:hint="eastAsia" w:ascii="宋体" w:hAnsi="宋体" w:eastAsia="宋体" w:cs="宋体"/>
                <w:color w:val="auto"/>
                <w:spacing w:val="-6"/>
                <w:sz w:val="22"/>
                <w:szCs w:val="22"/>
                <w:lang w:val="en-US" w:eastAsia="zh-CN"/>
              </w:rPr>
              <w:t>（5分）</w:t>
            </w:r>
          </w:p>
        </w:tc>
        <w:tc>
          <w:tcPr>
            <w:tcW w:w="5888" w:type="dxa"/>
            <w:noWrap/>
            <w:vAlign w:val="center"/>
          </w:tcPr>
          <w:p w14:paraId="1A97FD60">
            <w:pPr>
              <w:numPr>
                <w:ilvl w:val="0"/>
                <w:numId w:val="16"/>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项目进度安排详实具体、合理可行，完全满足各阶段要求的得5分；</w:t>
            </w:r>
          </w:p>
          <w:p w14:paraId="27285C7F">
            <w:pPr>
              <w:numPr>
                <w:ilvl w:val="0"/>
                <w:numId w:val="16"/>
              </w:numPr>
              <w:spacing w:line="360" w:lineRule="auto"/>
              <w:ind w:left="0" w:leftChars="0" w:firstLine="0" w:firstLine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项目进度安排基本合理，基本满足各阶段要求的得</w:t>
            </w:r>
            <w:r>
              <w:rPr>
                <w:rFonts w:hint="eastAsia"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w:t>
            </w:r>
          </w:p>
          <w:p w14:paraId="31F20F75">
            <w:pPr>
              <w:numPr>
                <w:ilvl w:val="0"/>
                <w:numId w:val="16"/>
              </w:numPr>
              <w:spacing w:line="360" w:lineRule="auto"/>
              <w:ind w:left="0" w:leftChars="0" w:firstLine="0" w:firstLine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工作计划不够合理，可行性差的得</w:t>
            </w:r>
            <w:r>
              <w:rPr>
                <w:rFonts w:hint="eastAsia" w:cs="宋体"/>
                <w:color w:val="auto"/>
                <w:spacing w:val="-6"/>
                <w:sz w:val="22"/>
                <w:szCs w:val="22"/>
                <w:lang w:val="en-US" w:eastAsia="zh-CN"/>
              </w:rPr>
              <w:t>1</w:t>
            </w:r>
            <w:r>
              <w:rPr>
                <w:rFonts w:hint="eastAsia" w:ascii="宋体" w:hAnsi="宋体" w:eastAsia="宋体" w:cs="宋体"/>
                <w:color w:val="auto"/>
                <w:spacing w:val="-6"/>
                <w:sz w:val="22"/>
                <w:szCs w:val="22"/>
                <w:lang w:val="en-US" w:eastAsia="zh-CN"/>
              </w:rPr>
              <w:t>分。</w:t>
            </w:r>
          </w:p>
          <w:p w14:paraId="3D1D71B8">
            <w:pPr>
              <w:numPr>
                <w:ilvl w:val="0"/>
                <w:numId w:val="16"/>
              </w:numPr>
              <w:spacing w:line="360" w:lineRule="auto"/>
              <w:ind w:left="0" w:leftChars="0" w:firstLine="0" w:firstLine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没有不得分。</w:t>
            </w:r>
          </w:p>
        </w:tc>
      </w:tr>
      <w:tr w14:paraId="5052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noWrap/>
            <w:vAlign w:val="center"/>
          </w:tcPr>
          <w:p w14:paraId="1AE5B33E">
            <w:pPr>
              <w:spacing w:line="400" w:lineRule="exact"/>
              <w:ind w:firstLine="28"/>
              <w:jc w:val="center"/>
              <w:rPr>
                <w:color w:val="auto"/>
                <w:szCs w:val="21"/>
              </w:rPr>
            </w:pPr>
          </w:p>
        </w:tc>
        <w:tc>
          <w:tcPr>
            <w:tcW w:w="1165" w:type="dxa"/>
            <w:vMerge w:val="continue"/>
            <w:noWrap/>
            <w:vAlign w:val="center"/>
          </w:tcPr>
          <w:p w14:paraId="43D773B6">
            <w:pPr>
              <w:spacing w:line="400" w:lineRule="exact"/>
              <w:ind w:firstLine="28"/>
              <w:jc w:val="center"/>
              <w:rPr>
                <w:rFonts w:hint="eastAsia" w:ascii="宋体" w:hAnsi="宋体" w:eastAsia="宋体" w:cs="宋体"/>
                <w:color w:val="auto"/>
                <w:sz w:val="22"/>
                <w:szCs w:val="22"/>
              </w:rPr>
            </w:pPr>
          </w:p>
        </w:tc>
        <w:tc>
          <w:tcPr>
            <w:tcW w:w="1622" w:type="dxa"/>
            <w:noWrap/>
            <w:vAlign w:val="center"/>
          </w:tcPr>
          <w:p w14:paraId="4B59B91A">
            <w:pPr>
              <w:spacing w:line="360" w:lineRule="auto"/>
              <w:jc w:val="center"/>
              <w:rPr>
                <w:rFonts w:hint="eastAsia" w:ascii="宋体" w:hAnsi="宋体" w:eastAsia="宋体" w:cs="宋体"/>
                <w:color w:val="auto"/>
                <w:spacing w:val="0"/>
                <w:sz w:val="22"/>
                <w:szCs w:val="22"/>
                <w:highlight w:val="none"/>
              </w:rPr>
            </w:pPr>
            <w:r>
              <w:rPr>
                <w:rFonts w:hint="eastAsia" w:ascii="宋体" w:hAnsi="宋体" w:eastAsia="宋体" w:cs="宋体"/>
                <w:color w:val="auto"/>
                <w:spacing w:val="-6"/>
                <w:sz w:val="22"/>
                <w:szCs w:val="22"/>
                <w:lang w:val="en-US" w:eastAsia="zh-CN"/>
              </w:rPr>
              <w:t>成果质量保证措施（</w:t>
            </w:r>
            <w:r>
              <w:rPr>
                <w:rFonts w:hint="eastAsia" w:cs="宋体"/>
                <w:color w:val="auto"/>
                <w:spacing w:val="-6"/>
                <w:sz w:val="22"/>
                <w:szCs w:val="22"/>
                <w:lang w:val="en-US" w:eastAsia="zh-CN"/>
              </w:rPr>
              <w:t>5</w:t>
            </w:r>
            <w:r>
              <w:rPr>
                <w:rFonts w:hint="eastAsia" w:ascii="宋体" w:hAnsi="宋体" w:eastAsia="宋体" w:cs="宋体"/>
                <w:color w:val="auto"/>
                <w:spacing w:val="-6"/>
                <w:sz w:val="22"/>
                <w:szCs w:val="22"/>
                <w:lang w:val="en-US" w:eastAsia="zh-CN"/>
              </w:rPr>
              <w:t>分）</w:t>
            </w:r>
          </w:p>
        </w:tc>
        <w:tc>
          <w:tcPr>
            <w:tcW w:w="5888" w:type="dxa"/>
            <w:noWrap/>
            <w:vAlign w:val="center"/>
          </w:tcPr>
          <w:p w14:paraId="197CD5C5">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针对本项目的成果质量保证措施详细全面、合理可行。</w:t>
            </w:r>
          </w:p>
          <w:p w14:paraId="5542C86B">
            <w:pPr>
              <w:numPr>
                <w:ilvl w:val="0"/>
                <w:numId w:val="17"/>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可保证方案顺利实施的得</w:t>
            </w:r>
            <w:r>
              <w:rPr>
                <w:rFonts w:hint="eastAsia" w:cs="宋体"/>
                <w:color w:val="auto"/>
                <w:spacing w:val="-6"/>
                <w:sz w:val="22"/>
                <w:szCs w:val="22"/>
                <w:lang w:val="en-US" w:eastAsia="zh-CN"/>
              </w:rPr>
              <w:t>5</w:t>
            </w:r>
            <w:r>
              <w:rPr>
                <w:rFonts w:hint="eastAsia" w:ascii="宋体" w:hAnsi="宋体" w:eastAsia="宋体" w:cs="宋体"/>
                <w:color w:val="auto"/>
                <w:spacing w:val="-6"/>
                <w:sz w:val="22"/>
                <w:szCs w:val="22"/>
                <w:lang w:val="en-US" w:eastAsia="zh-CN"/>
              </w:rPr>
              <w:t>分；</w:t>
            </w:r>
          </w:p>
          <w:p w14:paraId="73C3FA15">
            <w:pPr>
              <w:numPr>
                <w:ilvl w:val="0"/>
                <w:numId w:val="17"/>
              </w:numPr>
              <w:spacing w:line="360" w:lineRule="auto"/>
              <w:jc w:val="left"/>
              <w:rPr>
                <w:rFonts w:hint="eastAsia" w:ascii="宋体" w:hAnsi="宋体" w:eastAsia="宋体" w:cs="宋体"/>
                <w:color w:val="auto"/>
                <w:spacing w:val="-6"/>
                <w:kern w:val="2"/>
                <w:sz w:val="22"/>
                <w:szCs w:val="22"/>
                <w:lang w:val="en-US" w:eastAsia="zh-CN" w:bidi="ar-SA"/>
              </w:rPr>
            </w:pPr>
            <w:r>
              <w:rPr>
                <w:rFonts w:hint="eastAsia" w:ascii="宋体" w:hAnsi="宋体" w:eastAsia="宋体" w:cs="宋体"/>
                <w:color w:val="auto"/>
                <w:spacing w:val="-6"/>
                <w:sz w:val="22"/>
                <w:szCs w:val="22"/>
                <w:lang w:val="en-US" w:eastAsia="zh-CN"/>
              </w:rPr>
              <w:t>质量保障措施基本可行的得</w:t>
            </w:r>
            <w:r>
              <w:rPr>
                <w:rFonts w:hint="eastAsia"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w:t>
            </w:r>
          </w:p>
          <w:p w14:paraId="3754313A">
            <w:pPr>
              <w:numPr>
                <w:ilvl w:val="0"/>
                <w:numId w:val="17"/>
              </w:numPr>
              <w:spacing w:line="360" w:lineRule="auto"/>
              <w:jc w:val="left"/>
              <w:rPr>
                <w:rFonts w:hint="eastAsia" w:ascii="宋体" w:hAnsi="宋体" w:eastAsia="宋体" w:cs="宋体"/>
                <w:color w:val="auto"/>
                <w:spacing w:val="0"/>
                <w:sz w:val="22"/>
                <w:szCs w:val="22"/>
                <w:highlight w:val="none"/>
              </w:rPr>
            </w:pPr>
            <w:r>
              <w:rPr>
                <w:rFonts w:hint="eastAsia" w:ascii="宋体" w:hAnsi="宋体" w:eastAsia="宋体" w:cs="宋体"/>
                <w:color w:val="auto"/>
                <w:spacing w:val="-6"/>
                <w:sz w:val="22"/>
                <w:szCs w:val="22"/>
                <w:lang w:val="en-US" w:eastAsia="zh-CN"/>
              </w:rPr>
              <w:t>质量保障措施可行性差的得</w:t>
            </w:r>
            <w:r>
              <w:rPr>
                <w:rFonts w:hint="eastAsia" w:cs="宋体"/>
                <w:color w:val="auto"/>
                <w:spacing w:val="-6"/>
                <w:sz w:val="22"/>
                <w:szCs w:val="22"/>
                <w:lang w:val="en-US" w:eastAsia="zh-CN"/>
              </w:rPr>
              <w:t>1</w:t>
            </w:r>
            <w:r>
              <w:rPr>
                <w:rFonts w:hint="eastAsia" w:ascii="宋体" w:hAnsi="宋体" w:eastAsia="宋体" w:cs="宋体"/>
                <w:color w:val="auto"/>
                <w:spacing w:val="-6"/>
                <w:sz w:val="22"/>
                <w:szCs w:val="22"/>
                <w:lang w:val="en-US" w:eastAsia="zh-CN"/>
              </w:rPr>
              <w:t>分；</w:t>
            </w:r>
          </w:p>
          <w:p w14:paraId="39190474">
            <w:pPr>
              <w:numPr>
                <w:ilvl w:val="0"/>
                <w:numId w:val="17"/>
              </w:numPr>
              <w:spacing w:line="360" w:lineRule="auto"/>
              <w:jc w:val="left"/>
              <w:rPr>
                <w:rFonts w:hint="eastAsia" w:ascii="宋体" w:hAnsi="宋体" w:eastAsia="宋体" w:cs="宋体"/>
                <w:color w:val="auto"/>
                <w:spacing w:val="0"/>
                <w:sz w:val="22"/>
                <w:szCs w:val="22"/>
                <w:highlight w:val="none"/>
              </w:rPr>
            </w:pPr>
            <w:r>
              <w:rPr>
                <w:rFonts w:hint="eastAsia" w:ascii="宋体" w:hAnsi="宋体" w:eastAsia="宋体" w:cs="宋体"/>
                <w:color w:val="auto"/>
                <w:spacing w:val="-6"/>
                <w:sz w:val="22"/>
                <w:szCs w:val="22"/>
                <w:lang w:val="en-US" w:eastAsia="zh-CN"/>
              </w:rPr>
              <w:t>没有不得分。</w:t>
            </w:r>
          </w:p>
        </w:tc>
      </w:tr>
      <w:tr w14:paraId="30FF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4" w:type="dxa"/>
            <w:vMerge w:val="continue"/>
            <w:noWrap/>
            <w:vAlign w:val="center"/>
          </w:tcPr>
          <w:p w14:paraId="06171EE6">
            <w:pPr>
              <w:spacing w:line="400" w:lineRule="exact"/>
              <w:ind w:firstLine="28"/>
              <w:jc w:val="center"/>
              <w:rPr>
                <w:color w:val="auto"/>
                <w:szCs w:val="21"/>
              </w:rPr>
            </w:pPr>
          </w:p>
        </w:tc>
        <w:tc>
          <w:tcPr>
            <w:tcW w:w="1165" w:type="dxa"/>
            <w:vMerge w:val="continue"/>
            <w:noWrap/>
            <w:vAlign w:val="center"/>
          </w:tcPr>
          <w:p w14:paraId="3C1C7709">
            <w:pPr>
              <w:spacing w:line="400" w:lineRule="exact"/>
              <w:ind w:firstLine="28"/>
              <w:jc w:val="center"/>
              <w:rPr>
                <w:rFonts w:hint="eastAsia" w:ascii="宋体" w:hAnsi="宋体" w:eastAsia="宋体" w:cs="宋体"/>
                <w:color w:val="auto"/>
                <w:sz w:val="22"/>
                <w:szCs w:val="22"/>
              </w:rPr>
            </w:pPr>
          </w:p>
        </w:tc>
        <w:tc>
          <w:tcPr>
            <w:tcW w:w="1622" w:type="dxa"/>
            <w:noWrap/>
            <w:vAlign w:val="center"/>
          </w:tcPr>
          <w:p w14:paraId="767328BF">
            <w:p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设计方案难点分析及对策</w:t>
            </w:r>
          </w:p>
          <w:p w14:paraId="7FAAFEE8">
            <w:pPr>
              <w:spacing w:line="360" w:lineRule="auto"/>
              <w:jc w:val="center"/>
              <w:rPr>
                <w:rFonts w:hint="eastAsia" w:ascii="宋体" w:hAnsi="宋体" w:eastAsia="宋体" w:cs="宋体"/>
                <w:color w:val="auto"/>
                <w:spacing w:val="0"/>
                <w:sz w:val="22"/>
                <w:szCs w:val="22"/>
                <w:highlight w:val="none"/>
              </w:rPr>
            </w:pPr>
            <w:r>
              <w:rPr>
                <w:rFonts w:hint="eastAsia" w:ascii="宋体" w:hAnsi="宋体" w:eastAsia="宋体" w:cs="宋体"/>
                <w:color w:val="auto"/>
                <w:spacing w:val="-6"/>
                <w:sz w:val="22"/>
                <w:szCs w:val="22"/>
                <w:lang w:val="en-US" w:eastAsia="zh-CN"/>
              </w:rPr>
              <w:t>（</w:t>
            </w:r>
            <w:r>
              <w:rPr>
                <w:rFonts w:hint="eastAsia" w:cs="宋体"/>
                <w:color w:val="auto"/>
                <w:spacing w:val="-6"/>
                <w:sz w:val="22"/>
                <w:szCs w:val="22"/>
                <w:lang w:val="en-US" w:eastAsia="zh-CN"/>
              </w:rPr>
              <w:t>5</w:t>
            </w:r>
            <w:r>
              <w:rPr>
                <w:rFonts w:hint="eastAsia" w:ascii="宋体" w:hAnsi="宋体" w:eastAsia="宋体" w:cs="宋体"/>
                <w:color w:val="auto"/>
                <w:spacing w:val="-6"/>
                <w:sz w:val="22"/>
                <w:szCs w:val="22"/>
                <w:lang w:val="en-US" w:eastAsia="zh-CN"/>
              </w:rPr>
              <w:t>分）</w:t>
            </w:r>
          </w:p>
        </w:tc>
        <w:tc>
          <w:tcPr>
            <w:tcW w:w="5888" w:type="dxa"/>
            <w:noWrap/>
            <w:vAlign w:val="center"/>
          </w:tcPr>
          <w:p w14:paraId="1CF9826F">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1、分析及对策详细、全面、合理得</w:t>
            </w:r>
            <w:r>
              <w:rPr>
                <w:rFonts w:hint="eastAsia" w:cs="宋体"/>
                <w:color w:val="auto"/>
                <w:spacing w:val="-6"/>
                <w:sz w:val="22"/>
                <w:szCs w:val="22"/>
                <w:lang w:val="en-US" w:eastAsia="zh-CN"/>
              </w:rPr>
              <w:t>5</w:t>
            </w:r>
            <w:r>
              <w:rPr>
                <w:rFonts w:hint="eastAsia" w:ascii="宋体" w:hAnsi="宋体" w:eastAsia="宋体" w:cs="宋体"/>
                <w:color w:val="auto"/>
                <w:spacing w:val="-6"/>
                <w:sz w:val="22"/>
                <w:szCs w:val="22"/>
                <w:lang w:val="en-US" w:eastAsia="zh-CN"/>
              </w:rPr>
              <w:t>分；</w:t>
            </w:r>
          </w:p>
          <w:p w14:paraId="292E0759">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2、分析及对策较详细、较全面、较合理得</w:t>
            </w:r>
            <w:r>
              <w:rPr>
                <w:rFonts w:hint="eastAsia"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w:t>
            </w:r>
          </w:p>
          <w:p w14:paraId="1ED82E1D">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3、分析及对策基本详细、基本全面、基本合理得</w:t>
            </w:r>
            <w:r>
              <w:rPr>
                <w:rFonts w:hint="eastAsia" w:cs="宋体"/>
                <w:color w:val="auto"/>
                <w:spacing w:val="-6"/>
                <w:sz w:val="22"/>
                <w:szCs w:val="22"/>
                <w:lang w:val="en-US" w:eastAsia="zh-CN"/>
              </w:rPr>
              <w:t>1</w:t>
            </w:r>
            <w:r>
              <w:rPr>
                <w:rFonts w:hint="eastAsia" w:ascii="宋体" w:hAnsi="宋体" w:eastAsia="宋体" w:cs="宋体"/>
                <w:color w:val="auto"/>
                <w:spacing w:val="-6"/>
                <w:sz w:val="22"/>
                <w:szCs w:val="22"/>
                <w:lang w:val="en-US" w:eastAsia="zh-CN"/>
              </w:rPr>
              <w:t>分；</w:t>
            </w:r>
          </w:p>
          <w:p w14:paraId="49F96067">
            <w:pPr>
              <w:spacing w:line="360" w:lineRule="auto"/>
              <w:jc w:val="left"/>
              <w:rPr>
                <w:rFonts w:hint="default"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4、没有不得分。</w:t>
            </w:r>
          </w:p>
        </w:tc>
      </w:tr>
      <w:tr w14:paraId="69CE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964" w:type="dxa"/>
            <w:vMerge w:val="continue"/>
            <w:noWrap/>
            <w:vAlign w:val="center"/>
          </w:tcPr>
          <w:p w14:paraId="24C3CCB5">
            <w:pPr>
              <w:spacing w:line="400" w:lineRule="exact"/>
              <w:ind w:firstLine="28"/>
              <w:jc w:val="center"/>
              <w:rPr>
                <w:color w:val="auto"/>
                <w:szCs w:val="21"/>
              </w:rPr>
            </w:pPr>
          </w:p>
        </w:tc>
        <w:tc>
          <w:tcPr>
            <w:tcW w:w="1165" w:type="dxa"/>
            <w:vMerge w:val="continue"/>
            <w:noWrap/>
            <w:vAlign w:val="center"/>
          </w:tcPr>
          <w:p w14:paraId="4A1020B0">
            <w:pPr>
              <w:spacing w:line="400" w:lineRule="exact"/>
              <w:ind w:firstLine="28"/>
              <w:jc w:val="center"/>
              <w:rPr>
                <w:rFonts w:hint="eastAsia" w:ascii="宋体" w:hAnsi="宋体" w:eastAsia="宋体" w:cs="宋体"/>
                <w:color w:val="auto"/>
                <w:sz w:val="22"/>
                <w:szCs w:val="22"/>
              </w:rPr>
            </w:pPr>
          </w:p>
        </w:tc>
        <w:tc>
          <w:tcPr>
            <w:tcW w:w="1622" w:type="dxa"/>
            <w:noWrap/>
            <w:vAlign w:val="center"/>
          </w:tcPr>
          <w:p w14:paraId="3AFE221A">
            <w:pPr>
              <w:numPr>
                <w:ilvl w:val="0"/>
                <w:numId w:val="0"/>
              </w:num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合理化建议</w:t>
            </w:r>
          </w:p>
          <w:p w14:paraId="00933ACA">
            <w:pPr>
              <w:numPr>
                <w:ilvl w:val="0"/>
                <w:numId w:val="0"/>
              </w:num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w:t>
            </w:r>
            <w:r>
              <w:rPr>
                <w:rFonts w:hint="eastAsia" w:ascii="宋体" w:hAnsi="宋体"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w:t>
            </w:r>
          </w:p>
        </w:tc>
        <w:tc>
          <w:tcPr>
            <w:tcW w:w="5888" w:type="dxa"/>
            <w:noWrap/>
            <w:vAlign w:val="center"/>
          </w:tcPr>
          <w:p w14:paraId="46B1697A">
            <w:pPr>
              <w:numPr>
                <w:ilvl w:val="0"/>
                <w:numId w:val="18"/>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供应商提出有利于项目实施的合理化 建议。建议科学、合理、完善得</w:t>
            </w:r>
            <w:r>
              <w:rPr>
                <w:rFonts w:hint="eastAsia" w:ascii="宋体" w:hAnsi="宋体"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 建议相对科学、合理、完善得</w:t>
            </w:r>
            <w:r>
              <w:rPr>
                <w:rFonts w:hint="eastAsia" w:ascii="宋体" w:hAnsi="宋体" w:cs="宋体"/>
                <w:color w:val="auto"/>
                <w:spacing w:val="-6"/>
                <w:sz w:val="22"/>
                <w:szCs w:val="22"/>
                <w:lang w:val="en-US" w:eastAsia="zh-CN"/>
              </w:rPr>
              <w:t>2</w:t>
            </w:r>
            <w:r>
              <w:rPr>
                <w:rFonts w:hint="eastAsia" w:ascii="宋体" w:hAnsi="宋体" w:eastAsia="宋体" w:cs="宋体"/>
                <w:color w:val="auto"/>
                <w:spacing w:val="-6"/>
                <w:sz w:val="22"/>
                <w:szCs w:val="22"/>
                <w:lang w:val="en-US" w:eastAsia="zh-CN"/>
              </w:rPr>
              <w:t>分； 建议一般得1分。不响应不得分。</w:t>
            </w:r>
          </w:p>
        </w:tc>
      </w:tr>
      <w:tr w14:paraId="5684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964" w:type="dxa"/>
            <w:vMerge w:val="continue"/>
            <w:noWrap/>
            <w:vAlign w:val="center"/>
          </w:tcPr>
          <w:p w14:paraId="6B000DED">
            <w:pPr>
              <w:spacing w:line="400" w:lineRule="exact"/>
              <w:ind w:firstLine="28"/>
              <w:jc w:val="center"/>
              <w:rPr>
                <w:color w:val="auto"/>
                <w:szCs w:val="21"/>
              </w:rPr>
            </w:pPr>
          </w:p>
        </w:tc>
        <w:tc>
          <w:tcPr>
            <w:tcW w:w="1165" w:type="dxa"/>
            <w:vMerge w:val="continue"/>
            <w:noWrap/>
            <w:vAlign w:val="center"/>
          </w:tcPr>
          <w:p w14:paraId="0864B1ED">
            <w:pPr>
              <w:spacing w:line="400" w:lineRule="exact"/>
              <w:ind w:firstLine="28"/>
              <w:jc w:val="center"/>
              <w:rPr>
                <w:rFonts w:hint="eastAsia" w:ascii="宋体" w:hAnsi="宋体" w:eastAsia="宋体" w:cs="宋体"/>
                <w:color w:val="auto"/>
                <w:sz w:val="22"/>
                <w:szCs w:val="22"/>
              </w:rPr>
            </w:pPr>
          </w:p>
        </w:tc>
        <w:tc>
          <w:tcPr>
            <w:tcW w:w="1622" w:type="dxa"/>
            <w:noWrap/>
            <w:vAlign w:val="center"/>
          </w:tcPr>
          <w:p w14:paraId="651704A5">
            <w:pPr>
              <w:spacing w:line="360" w:lineRule="auto"/>
              <w:jc w:val="center"/>
              <w:rPr>
                <w:rFonts w:hint="eastAsia" w:ascii="宋体" w:hAnsi="宋体" w:eastAsia="宋体" w:cs="宋体"/>
                <w:color w:val="auto"/>
                <w:sz w:val="22"/>
                <w:szCs w:val="22"/>
                <w:lang w:val="en-US"/>
              </w:rPr>
            </w:pPr>
            <w:r>
              <w:rPr>
                <w:rFonts w:hint="eastAsia" w:ascii="宋体" w:hAnsi="宋体" w:eastAsia="宋体" w:cs="宋体"/>
                <w:color w:val="auto"/>
                <w:spacing w:val="-6"/>
                <w:sz w:val="22"/>
                <w:szCs w:val="22"/>
                <w:lang w:val="en-US" w:eastAsia="zh-CN"/>
              </w:rPr>
              <w:t>后续技术服务的便利性（</w:t>
            </w:r>
            <w:r>
              <w:rPr>
                <w:rFonts w:hint="eastAsia" w:cs="宋体"/>
                <w:color w:val="auto"/>
                <w:spacing w:val="-6"/>
                <w:sz w:val="22"/>
                <w:szCs w:val="22"/>
                <w:lang w:val="en-US" w:eastAsia="zh-CN"/>
              </w:rPr>
              <w:t>5</w:t>
            </w:r>
            <w:r>
              <w:rPr>
                <w:rFonts w:hint="eastAsia" w:ascii="宋体" w:hAnsi="宋体" w:eastAsia="宋体" w:cs="宋体"/>
                <w:color w:val="auto"/>
                <w:spacing w:val="-6"/>
                <w:sz w:val="22"/>
                <w:szCs w:val="22"/>
                <w:lang w:val="en-US" w:eastAsia="zh-CN"/>
              </w:rPr>
              <w:t>分）</w:t>
            </w:r>
          </w:p>
        </w:tc>
        <w:tc>
          <w:tcPr>
            <w:tcW w:w="5888" w:type="dxa"/>
            <w:noWrap/>
            <w:vAlign w:val="center"/>
          </w:tcPr>
          <w:p w14:paraId="62470595">
            <w:pPr>
              <w:numPr>
                <w:ilvl w:val="0"/>
                <w:numId w:val="19"/>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后续技术服务计划详细、合理可行，能够承诺针对本项目安排专门人员提供及时、专业化后续服务的得</w:t>
            </w:r>
            <w:r>
              <w:rPr>
                <w:rFonts w:hint="eastAsia" w:cs="宋体"/>
                <w:color w:val="auto"/>
                <w:spacing w:val="-6"/>
                <w:sz w:val="22"/>
                <w:szCs w:val="22"/>
                <w:lang w:val="en-US" w:eastAsia="zh-CN"/>
              </w:rPr>
              <w:t>5</w:t>
            </w:r>
            <w:r>
              <w:rPr>
                <w:rFonts w:hint="eastAsia" w:ascii="宋体" w:hAnsi="宋体" w:eastAsia="宋体" w:cs="宋体"/>
                <w:color w:val="auto"/>
                <w:spacing w:val="-6"/>
                <w:sz w:val="22"/>
                <w:szCs w:val="22"/>
                <w:lang w:val="en-US" w:eastAsia="zh-CN"/>
              </w:rPr>
              <w:t>分；</w:t>
            </w:r>
          </w:p>
          <w:p w14:paraId="75E438B8">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2、后续技术服务计划基本可行、合理，能够承诺针对本项目提供及时、专业化后续服务的得</w:t>
            </w:r>
            <w:r>
              <w:rPr>
                <w:rFonts w:hint="eastAsia"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w:t>
            </w:r>
          </w:p>
          <w:p w14:paraId="2EA267D5">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3、后续技术服务计划不太合理，能够承诺针对本项目提供及时、专业化后续服务的得</w:t>
            </w:r>
            <w:r>
              <w:rPr>
                <w:rFonts w:hint="eastAsia" w:cs="宋体"/>
                <w:color w:val="auto"/>
                <w:spacing w:val="-6"/>
                <w:sz w:val="22"/>
                <w:szCs w:val="22"/>
                <w:lang w:val="en-US" w:eastAsia="zh-CN"/>
              </w:rPr>
              <w:t>1</w:t>
            </w:r>
            <w:r>
              <w:rPr>
                <w:rFonts w:hint="eastAsia" w:ascii="宋体" w:hAnsi="宋体" w:eastAsia="宋体" w:cs="宋体"/>
                <w:color w:val="auto"/>
                <w:spacing w:val="-6"/>
                <w:sz w:val="22"/>
                <w:szCs w:val="22"/>
                <w:lang w:val="en-US" w:eastAsia="zh-CN"/>
              </w:rPr>
              <w:t>分。</w:t>
            </w:r>
          </w:p>
          <w:p w14:paraId="149EDF96">
            <w:pPr>
              <w:spacing w:line="360" w:lineRule="auto"/>
              <w:jc w:val="left"/>
              <w:rPr>
                <w:rFonts w:hint="default"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4、没有不得分。</w:t>
            </w:r>
          </w:p>
        </w:tc>
      </w:tr>
      <w:tr w14:paraId="669F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64" w:type="dxa"/>
            <w:vMerge w:val="restart"/>
            <w:noWrap/>
            <w:vAlign w:val="center"/>
          </w:tcPr>
          <w:p w14:paraId="2AF7A2D6">
            <w:pPr>
              <w:spacing w:line="400" w:lineRule="exact"/>
              <w:ind w:firstLine="28"/>
              <w:jc w:val="center"/>
              <w:rPr>
                <w:color w:val="auto"/>
                <w:szCs w:val="21"/>
                <w:lang w:val="en-US"/>
              </w:rPr>
            </w:pPr>
            <w:r>
              <w:rPr>
                <w:rFonts w:hint="eastAsia"/>
                <w:color w:val="auto"/>
                <w:szCs w:val="21"/>
                <w:lang w:val="en-US"/>
              </w:rPr>
              <w:t>2.2.4</w:t>
            </w:r>
          </w:p>
        </w:tc>
        <w:tc>
          <w:tcPr>
            <w:tcW w:w="1165" w:type="dxa"/>
            <w:vMerge w:val="restart"/>
            <w:noWrap/>
            <w:vAlign w:val="center"/>
          </w:tcPr>
          <w:p w14:paraId="20529F6F">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商务标（</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lang w:val="en-US"/>
              </w:rPr>
              <w:t>分</w:t>
            </w:r>
            <w:r>
              <w:rPr>
                <w:rFonts w:hint="eastAsia" w:ascii="宋体" w:hAnsi="宋体" w:eastAsia="宋体" w:cs="宋体"/>
                <w:color w:val="auto"/>
                <w:sz w:val="22"/>
                <w:szCs w:val="22"/>
              </w:rPr>
              <w:t>）</w:t>
            </w:r>
          </w:p>
        </w:tc>
        <w:tc>
          <w:tcPr>
            <w:tcW w:w="1622" w:type="dxa"/>
            <w:noWrap/>
            <w:vAlign w:val="center"/>
          </w:tcPr>
          <w:p w14:paraId="7D16532D">
            <w:p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项目团队人员配备情况</w:t>
            </w:r>
            <w:r>
              <w:rPr>
                <w:rFonts w:hint="eastAsia" w:ascii="宋体" w:hAnsi="宋体" w:cs="宋体"/>
                <w:color w:val="auto"/>
                <w:spacing w:val="-6"/>
                <w:sz w:val="22"/>
                <w:szCs w:val="22"/>
                <w:lang w:val="en-US" w:eastAsia="zh-CN"/>
              </w:rPr>
              <w:t>（12分）</w:t>
            </w:r>
          </w:p>
        </w:tc>
        <w:tc>
          <w:tcPr>
            <w:tcW w:w="5888" w:type="dxa"/>
            <w:noWrap/>
            <w:vAlign w:val="center"/>
          </w:tcPr>
          <w:p w14:paraId="0DCAB7C6">
            <w:pPr>
              <w:numPr>
                <w:ilvl w:val="0"/>
                <w:numId w:val="20"/>
              </w:numPr>
              <w:spacing w:line="360" w:lineRule="auto"/>
              <w:jc w:val="left"/>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拟派项目组成人员中（项目负责人除外），具有中级及以上工程师职称的，每有一人加2分；最多得8分。</w:t>
            </w:r>
          </w:p>
          <w:p w14:paraId="43D3BA4E">
            <w:pPr>
              <w:numPr>
                <w:ilvl w:val="0"/>
                <w:numId w:val="0"/>
              </w:numPr>
              <w:spacing w:line="360" w:lineRule="auto"/>
              <w:jc w:val="left"/>
              <w:rPr>
                <w:rFonts w:hint="default" w:ascii="宋体" w:hAnsi="宋体" w:eastAsia="宋体" w:cs="宋体"/>
                <w:color w:val="auto"/>
                <w:spacing w:val="-6"/>
                <w:sz w:val="22"/>
                <w:szCs w:val="22"/>
                <w:lang w:val="en-US" w:eastAsia="zh-CN"/>
              </w:rPr>
            </w:pPr>
            <w:r>
              <w:rPr>
                <w:rFonts w:hint="eastAsia" w:ascii="宋体" w:hAnsi="宋体" w:eastAsia="宋体" w:cs="宋体"/>
                <w:snapToGrid w:val="0"/>
                <w:color w:val="000000"/>
                <w:kern w:val="2"/>
                <w:sz w:val="24"/>
                <w:szCs w:val="24"/>
                <w:lang w:val="en-US" w:eastAsia="zh-CN" w:bidi="ar-SA"/>
              </w:rPr>
              <w:t>2、拟投入项目组其他人员配备情况是否合理，根据情况进行酌情打分。项目团队组建人员配备，十分合理得4分，基本合理得2分，一般合理得1分，缺项不得分。（注：提供人员证书、在本单位缴纳本年度任意三个月的社保证明。）</w:t>
            </w:r>
            <w:bookmarkStart w:id="370" w:name="_GoBack"/>
            <w:bookmarkEnd w:id="370"/>
          </w:p>
        </w:tc>
      </w:tr>
      <w:tr w14:paraId="3E4A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964" w:type="dxa"/>
            <w:vMerge w:val="continue"/>
            <w:noWrap/>
            <w:vAlign w:val="center"/>
          </w:tcPr>
          <w:p w14:paraId="144A4329">
            <w:pPr>
              <w:spacing w:line="400" w:lineRule="exact"/>
              <w:ind w:firstLine="28"/>
              <w:jc w:val="center"/>
              <w:rPr>
                <w:color w:val="auto"/>
                <w:szCs w:val="21"/>
                <w:lang w:val="en-US"/>
              </w:rPr>
            </w:pPr>
          </w:p>
        </w:tc>
        <w:tc>
          <w:tcPr>
            <w:tcW w:w="1165" w:type="dxa"/>
            <w:vMerge w:val="continue"/>
            <w:noWrap/>
            <w:vAlign w:val="center"/>
          </w:tcPr>
          <w:p w14:paraId="3F016401">
            <w:pPr>
              <w:spacing w:line="400" w:lineRule="exact"/>
              <w:jc w:val="center"/>
              <w:rPr>
                <w:rFonts w:hint="eastAsia" w:ascii="宋体" w:hAnsi="宋体" w:eastAsia="宋体" w:cs="宋体"/>
                <w:color w:val="auto"/>
                <w:sz w:val="22"/>
                <w:szCs w:val="22"/>
              </w:rPr>
            </w:pPr>
          </w:p>
        </w:tc>
        <w:tc>
          <w:tcPr>
            <w:tcW w:w="1622" w:type="dxa"/>
            <w:noWrap/>
            <w:vAlign w:val="center"/>
          </w:tcPr>
          <w:p w14:paraId="7C759D5A">
            <w:p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投标企业业绩（12分）</w:t>
            </w:r>
          </w:p>
        </w:tc>
        <w:tc>
          <w:tcPr>
            <w:tcW w:w="5888" w:type="dxa"/>
            <w:noWrap/>
            <w:vAlign w:val="center"/>
          </w:tcPr>
          <w:p w14:paraId="152FF6F1">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企业自202</w:t>
            </w:r>
            <w:r>
              <w:rPr>
                <w:rFonts w:hint="eastAsia" w:ascii="宋体" w:hAnsi="宋体" w:cs="宋体"/>
                <w:color w:val="auto"/>
                <w:spacing w:val="-6"/>
                <w:sz w:val="22"/>
                <w:szCs w:val="22"/>
                <w:lang w:val="en-US" w:eastAsia="zh-CN"/>
              </w:rPr>
              <w:t>2</w:t>
            </w:r>
            <w:r>
              <w:rPr>
                <w:rFonts w:hint="eastAsia" w:ascii="宋体" w:hAnsi="宋体" w:eastAsia="宋体" w:cs="宋体"/>
                <w:color w:val="auto"/>
                <w:spacing w:val="-6"/>
                <w:sz w:val="22"/>
                <w:szCs w:val="22"/>
                <w:lang w:val="en-US" w:eastAsia="zh-CN"/>
              </w:rPr>
              <w:t>年1月1日以来具有类似设计业绩的，每有一份得3分,最多得12分，没有不得分。</w:t>
            </w:r>
          </w:p>
          <w:p w14:paraId="0F4E91B1">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注：以合同签订时间为准。响应文件中应附业绩合同</w:t>
            </w:r>
            <w:r>
              <w:rPr>
                <w:rFonts w:hint="eastAsia" w:cs="宋体"/>
                <w:color w:val="auto"/>
                <w:spacing w:val="-6"/>
                <w:sz w:val="22"/>
                <w:szCs w:val="22"/>
                <w:lang w:val="en-US" w:eastAsia="zh-CN"/>
              </w:rPr>
              <w:t>或</w:t>
            </w:r>
            <w:r>
              <w:rPr>
                <w:rFonts w:hint="eastAsia" w:ascii="宋体" w:hAnsi="宋体" w:eastAsia="宋体" w:cs="宋体"/>
                <w:color w:val="auto"/>
                <w:spacing w:val="-6"/>
                <w:sz w:val="22"/>
                <w:szCs w:val="22"/>
                <w:lang w:val="en-US" w:eastAsia="zh-CN"/>
              </w:rPr>
              <w:t>中标通知书扫描件并加盖单位公章，否则不得分。供应商业绩和项目负责人业绩不重复计分。</w:t>
            </w:r>
          </w:p>
        </w:tc>
      </w:tr>
      <w:tr w14:paraId="2DA9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964" w:type="dxa"/>
            <w:vMerge w:val="continue"/>
            <w:noWrap/>
            <w:vAlign w:val="center"/>
          </w:tcPr>
          <w:p w14:paraId="21EBA009">
            <w:pPr>
              <w:spacing w:line="400" w:lineRule="exact"/>
              <w:ind w:firstLine="28"/>
              <w:jc w:val="center"/>
              <w:rPr>
                <w:color w:val="auto"/>
                <w:szCs w:val="21"/>
              </w:rPr>
            </w:pPr>
          </w:p>
        </w:tc>
        <w:tc>
          <w:tcPr>
            <w:tcW w:w="1165" w:type="dxa"/>
            <w:vMerge w:val="continue"/>
            <w:noWrap/>
            <w:vAlign w:val="center"/>
          </w:tcPr>
          <w:p w14:paraId="07CBDC1E">
            <w:pPr>
              <w:spacing w:line="400" w:lineRule="exact"/>
              <w:ind w:firstLine="28"/>
              <w:jc w:val="center"/>
              <w:rPr>
                <w:rFonts w:hint="eastAsia" w:ascii="宋体" w:hAnsi="宋体" w:eastAsia="宋体" w:cs="宋体"/>
                <w:color w:val="auto"/>
                <w:sz w:val="22"/>
                <w:szCs w:val="22"/>
              </w:rPr>
            </w:pPr>
          </w:p>
        </w:tc>
        <w:tc>
          <w:tcPr>
            <w:tcW w:w="1622" w:type="dxa"/>
            <w:tcBorders>
              <w:top w:val="single" w:color="auto" w:sz="4" w:space="0"/>
              <w:left w:val="single" w:color="auto" w:sz="4" w:space="0"/>
              <w:bottom w:val="single" w:color="auto" w:sz="4" w:space="0"/>
              <w:right w:val="single" w:color="auto" w:sz="4" w:space="0"/>
            </w:tcBorders>
            <w:noWrap/>
            <w:vAlign w:val="center"/>
          </w:tcPr>
          <w:p w14:paraId="6C892FA4">
            <w:p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实质性优惠承诺</w:t>
            </w:r>
          </w:p>
          <w:p w14:paraId="4B79148D">
            <w:p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w:t>
            </w:r>
            <w:r>
              <w:rPr>
                <w:rFonts w:hint="eastAsia" w:ascii="宋体" w:hAnsi="宋体"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w:t>
            </w:r>
          </w:p>
        </w:tc>
        <w:tc>
          <w:tcPr>
            <w:tcW w:w="5888" w:type="dxa"/>
            <w:tcBorders>
              <w:top w:val="single" w:color="auto" w:sz="4" w:space="0"/>
              <w:left w:val="single" w:color="auto" w:sz="4" w:space="0"/>
              <w:bottom w:val="single" w:color="auto" w:sz="4" w:space="0"/>
              <w:right w:val="single" w:color="auto" w:sz="4" w:space="0"/>
            </w:tcBorders>
            <w:noWrap/>
            <w:vAlign w:val="center"/>
          </w:tcPr>
          <w:p w14:paraId="15072516">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投标人根据企业自身情况做出更有利于采购人的优惠条件：</w:t>
            </w:r>
          </w:p>
          <w:p w14:paraId="07BF0784">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投标人作出的优惠条件力度大，全面，完整，确实 可靠能实现，对</w:t>
            </w:r>
            <w:r>
              <w:rPr>
                <w:rFonts w:hint="eastAsia" w:ascii="宋体" w:hAnsi="宋体" w:cs="宋体"/>
                <w:color w:val="auto"/>
                <w:spacing w:val="-6"/>
                <w:sz w:val="22"/>
                <w:szCs w:val="22"/>
                <w:lang w:val="en-US" w:eastAsia="zh-CN"/>
              </w:rPr>
              <w:t>采购人</w:t>
            </w:r>
            <w:r>
              <w:rPr>
                <w:rFonts w:hint="eastAsia" w:ascii="宋体" w:hAnsi="宋体" w:eastAsia="宋体" w:cs="宋体"/>
                <w:color w:val="auto"/>
                <w:spacing w:val="-6"/>
                <w:sz w:val="22"/>
                <w:szCs w:val="22"/>
                <w:lang w:val="en-US" w:eastAsia="zh-CN"/>
              </w:rPr>
              <w:t>最有利为优得</w:t>
            </w:r>
            <w:r>
              <w:rPr>
                <w:rFonts w:hint="eastAsia" w:ascii="宋体" w:hAnsi="宋体"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w:t>
            </w:r>
          </w:p>
          <w:p w14:paraId="0ADCB41B">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投标人作出的优惠条件力度一般，完整，确实可靠 略显差距，为良得</w:t>
            </w:r>
            <w:r>
              <w:rPr>
                <w:rFonts w:hint="eastAsia" w:ascii="宋体" w:hAnsi="宋体" w:cs="宋体"/>
                <w:color w:val="auto"/>
                <w:spacing w:val="-6"/>
                <w:sz w:val="22"/>
                <w:szCs w:val="22"/>
                <w:lang w:val="en-US" w:eastAsia="zh-CN"/>
              </w:rPr>
              <w:t>2</w:t>
            </w:r>
            <w:r>
              <w:rPr>
                <w:rFonts w:hint="eastAsia" w:ascii="宋体" w:hAnsi="宋体" w:eastAsia="宋体" w:cs="宋体"/>
                <w:color w:val="auto"/>
                <w:spacing w:val="-6"/>
                <w:sz w:val="22"/>
                <w:szCs w:val="22"/>
                <w:lang w:val="en-US" w:eastAsia="zh-CN"/>
              </w:rPr>
              <w:t>分；</w:t>
            </w:r>
          </w:p>
          <w:p w14:paraId="67EA4E77">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投标人作出的无优惠条件，实现难度大为差得</w:t>
            </w:r>
            <w:r>
              <w:rPr>
                <w:rFonts w:hint="eastAsia" w:ascii="宋体" w:hAnsi="宋体" w:cs="宋体"/>
                <w:color w:val="auto"/>
                <w:spacing w:val="-6"/>
                <w:sz w:val="22"/>
                <w:szCs w:val="22"/>
                <w:lang w:val="en-US" w:eastAsia="zh-CN"/>
              </w:rPr>
              <w:t>1</w:t>
            </w:r>
            <w:r>
              <w:rPr>
                <w:rFonts w:hint="eastAsia" w:ascii="宋体" w:hAnsi="宋体" w:eastAsia="宋体" w:cs="宋体"/>
                <w:color w:val="auto"/>
                <w:spacing w:val="-6"/>
                <w:sz w:val="22"/>
                <w:szCs w:val="22"/>
                <w:lang w:val="en-US" w:eastAsia="zh-CN"/>
              </w:rPr>
              <w:t>分；</w:t>
            </w:r>
          </w:p>
          <w:p w14:paraId="0CC3C02E">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未提供者不得分。</w:t>
            </w:r>
          </w:p>
        </w:tc>
      </w:tr>
      <w:tr w14:paraId="6A36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964" w:type="dxa"/>
            <w:vMerge w:val="continue"/>
            <w:noWrap/>
            <w:vAlign w:val="center"/>
          </w:tcPr>
          <w:p w14:paraId="07D472EB">
            <w:pPr>
              <w:spacing w:line="400" w:lineRule="exact"/>
              <w:ind w:firstLine="28"/>
              <w:jc w:val="center"/>
              <w:rPr>
                <w:color w:val="auto"/>
                <w:szCs w:val="21"/>
              </w:rPr>
            </w:pPr>
          </w:p>
        </w:tc>
        <w:tc>
          <w:tcPr>
            <w:tcW w:w="1165" w:type="dxa"/>
            <w:vMerge w:val="continue"/>
            <w:noWrap/>
            <w:vAlign w:val="center"/>
          </w:tcPr>
          <w:p w14:paraId="0F8D587E">
            <w:pPr>
              <w:spacing w:line="400" w:lineRule="exact"/>
              <w:ind w:firstLine="28"/>
              <w:jc w:val="center"/>
              <w:rPr>
                <w:rFonts w:hint="eastAsia" w:ascii="宋体" w:hAnsi="宋体" w:eastAsia="宋体" w:cs="宋体"/>
                <w:color w:val="auto"/>
                <w:sz w:val="22"/>
                <w:szCs w:val="22"/>
              </w:rPr>
            </w:pPr>
          </w:p>
        </w:tc>
        <w:tc>
          <w:tcPr>
            <w:tcW w:w="1622" w:type="dxa"/>
            <w:tcBorders>
              <w:top w:val="single" w:color="auto" w:sz="4" w:space="0"/>
              <w:left w:val="single" w:color="auto" w:sz="4" w:space="0"/>
              <w:bottom w:val="single" w:color="auto" w:sz="4" w:space="0"/>
              <w:right w:val="single" w:color="auto" w:sz="4" w:space="0"/>
            </w:tcBorders>
            <w:noWrap/>
            <w:vAlign w:val="center"/>
          </w:tcPr>
          <w:p w14:paraId="14A75062">
            <w:p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服务承诺（</w:t>
            </w:r>
            <w:r>
              <w:rPr>
                <w:rFonts w:hint="eastAsia" w:ascii="宋体" w:hAnsi="宋体"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w:t>
            </w:r>
          </w:p>
        </w:tc>
        <w:tc>
          <w:tcPr>
            <w:tcW w:w="5888" w:type="dxa"/>
            <w:tcBorders>
              <w:top w:val="single" w:color="auto" w:sz="4" w:space="0"/>
              <w:left w:val="single" w:color="auto" w:sz="4" w:space="0"/>
              <w:bottom w:val="single" w:color="auto" w:sz="4" w:space="0"/>
              <w:right w:val="single" w:color="auto" w:sz="4" w:space="0"/>
            </w:tcBorders>
            <w:noWrap/>
            <w:vAlign w:val="center"/>
          </w:tcPr>
          <w:p w14:paraId="419E3328">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根据投标人提供的后续服务承诺，内容应包括服务响应时间、响应程度、解决问题的能力等情况：</w:t>
            </w:r>
          </w:p>
          <w:p w14:paraId="26503370">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1、承诺内容全面广泛，清晰合理、可行性强得</w:t>
            </w:r>
            <w:r>
              <w:rPr>
                <w:rFonts w:hint="eastAsia" w:ascii="宋体" w:hAnsi="宋体"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w:t>
            </w:r>
          </w:p>
          <w:p w14:paraId="32675141">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2、承诺内容基本全面、较为合理、具有一定可行性得</w:t>
            </w:r>
            <w:r>
              <w:rPr>
                <w:rFonts w:hint="eastAsia" w:ascii="宋体" w:hAnsi="宋体" w:cs="宋体"/>
                <w:color w:val="auto"/>
                <w:spacing w:val="-6"/>
                <w:sz w:val="22"/>
                <w:szCs w:val="22"/>
                <w:lang w:val="en-US" w:eastAsia="zh-CN"/>
              </w:rPr>
              <w:t>2</w:t>
            </w:r>
            <w:r>
              <w:rPr>
                <w:rFonts w:hint="eastAsia" w:ascii="宋体" w:hAnsi="宋体" w:eastAsia="宋体" w:cs="宋体"/>
                <w:color w:val="auto"/>
                <w:spacing w:val="-6"/>
                <w:sz w:val="22"/>
                <w:szCs w:val="22"/>
                <w:lang w:val="en-US" w:eastAsia="zh-CN"/>
              </w:rPr>
              <w:t>分；</w:t>
            </w:r>
          </w:p>
          <w:p w14:paraId="64E94D24">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3、承诺内容不全面、合理性欠缺、可行性较差得</w:t>
            </w:r>
            <w:r>
              <w:rPr>
                <w:rFonts w:hint="eastAsia" w:ascii="宋体" w:hAnsi="宋体" w:cs="宋体"/>
                <w:color w:val="auto"/>
                <w:spacing w:val="-6"/>
                <w:sz w:val="22"/>
                <w:szCs w:val="22"/>
                <w:lang w:val="en-US" w:eastAsia="zh-CN"/>
              </w:rPr>
              <w:t>1</w:t>
            </w:r>
            <w:r>
              <w:rPr>
                <w:rFonts w:hint="eastAsia" w:ascii="宋体" w:hAnsi="宋体" w:eastAsia="宋体" w:cs="宋体"/>
                <w:color w:val="auto"/>
                <w:spacing w:val="-6"/>
                <w:sz w:val="22"/>
                <w:szCs w:val="22"/>
                <w:lang w:val="en-US" w:eastAsia="zh-CN"/>
              </w:rPr>
              <w:t>分；</w:t>
            </w:r>
          </w:p>
          <w:p w14:paraId="7B0A1F7D">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不提供则不得分。</w:t>
            </w:r>
          </w:p>
        </w:tc>
      </w:tr>
      <w:tr w14:paraId="4E06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trPr>
        <w:tc>
          <w:tcPr>
            <w:tcW w:w="9639" w:type="dxa"/>
            <w:gridSpan w:val="4"/>
            <w:tcBorders>
              <w:top w:val="single" w:color="auto" w:sz="4" w:space="0"/>
              <w:left w:val="single" w:color="auto" w:sz="4" w:space="0"/>
              <w:bottom w:val="single" w:color="auto" w:sz="4" w:space="0"/>
              <w:right w:val="single" w:color="auto" w:sz="4" w:space="0"/>
            </w:tcBorders>
            <w:noWrap/>
            <w:vAlign w:val="center"/>
          </w:tcPr>
          <w:p w14:paraId="3127396E">
            <w:pPr>
              <w:spacing w:line="400" w:lineRule="exact"/>
              <w:rPr>
                <w:color w:val="auto"/>
                <w:szCs w:val="21"/>
                <w:lang w:val="en-US"/>
              </w:rPr>
            </w:pPr>
            <w:r>
              <w:rPr>
                <w:rFonts w:hint="eastAsia"/>
                <w:color w:val="auto"/>
                <w:szCs w:val="21"/>
                <w:lang w:val="en-US"/>
              </w:rPr>
              <w:t>供应商综合得分﹦报价得分+技术标＋</w:t>
            </w:r>
            <w:r>
              <w:rPr>
                <w:rFonts w:hint="eastAsia"/>
                <w:color w:val="auto"/>
                <w:szCs w:val="21"/>
                <w:lang w:val="en-US" w:eastAsia="zh-CN"/>
              </w:rPr>
              <w:t>商务</w:t>
            </w:r>
            <w:r>
              <w:rPr>
                <w:rFonts w:hint="eastAsia"/>
                <w:color w:val="auto"/>
                <w:szCs w:val="21"/>
                <w:lang w:val="en-US"/>
              </w:rPr>
              <w:t>标</w:t>
            </w:r>
          </w:p>
          <w:p w14:paraId="117DB0BC">
            <w:pPr>
              <w:spacing w:line="400" w:lineRule="exact"/>
              <w:rPr>
                <w:color w:val="auto"/>
                <w:szCs w:val="21"/>
                <w:lang w:val="en-US"/>
              </w:rPr>
            </w:pPr>
            <w:r>
              <w:rPr>
                <w:rFonts w:hint="eastAsia"/>
                <w:color w:val="auto"/>
                <w:szCs w:val="21"/>
                <w:lang w:val="en-US"/>
              </w:rPr>
              <w:t>1．</w:t>
            </w:r>
            <w:r>
              <w:rPr>
                <w:rFonts w:hint="eastAsia"/>
                <w:color w:val="auto"/>
                <w:szCs w:val="21"/>
                <w:lang w:val="en-US" w:eastAsia="zh-CN"/>
              </w:rPr>
              <w:t>磋商小组</w:t>
            </w:r>
            <w:r>
              <w:rPr>
                <w:rFonts w:hint="eastAsia"/>
                <w:color w:val="auto"/>
                <w:szCs w:val="21"/>
                <w:lang w:val="en-US"/>
              </w:rPr>
              <w:t>对所有评审项得分的算术平均值，作为该供应商的最终得分。</w:t>
            </w:r>
          </w:p>
          <w:p w14:paraId="359A83D0">
            <w:pPr>
              <w:spacing w:line="400" w:lineRule="exact"/>
              <w:rPr>
                <w:color w:val="auto"/>
                <w:szCs w:val="21"/>
                <w:lang w:val="en-US"/>
              </w:rPr>
            </w:pPr>
            <w:r>
              <w:rPr>
                <w:rFonts w:hint="eastAsia"/>
                <w:color w:val="auto"/>
                <w:szCs w:val="21"/>
                <w:lang w:val="en-US"/>
              </w:rPr>
              <w:t>2．计分过程中按四舍五入的法则，取至小数点后</w:t>
            </w:r>
            <w:r>
              <w:rPr>
                <w:rFonts w:hint="eastAsia"/>
                <w:color w:val="auto"/>
                <w:szCs w:val="21"/>
                <w:lang w:val="en-US" w:eastAsia="zh-CN"/>
              </w:rPr>
              <w:t>2</w:t>
            </w:r>
            <w:r>
              <w:rPr>
                <w:rFonts w:hint="eastAsia"/>
                <w:color w:val="auto"/>
                <w:szCs w:val="21"/>
                <w:lang w:val="en-US"/>
              </w:rPr>
              <w:t>位，</w:t>
            </w:r>
            <w:r>
              <w:rPr>
                <w:rFonts w:hint="eastAsia"/>
                <w:color w:val="auto"/>
                <w:szCs w:val="21"/>
                <w:lang w:val="en-US" w:eastAsia="zh-CN"/>
              </w:rPr>
              <w:t>磋商小组</w:t>
            </w:r>
            <w:r>
              <w:rPr>
                <w:rFonts w:hint="eastAsia"/>
                <w:color w:val="auto"/>
                <w:szCs w:val="21"/>
                <w:lang w:val="en-US"/>
              </w:rPr>
              <w:t>将按供应商得分高低排序向</w:t>
            </w:r>
            <w:r>
              <w:rPr>
                <w:rFonts w:hint="eastAsia"/>
                <w:color w:val="auto"/>
                <w:szCs w:val="21"/>
                <w:lang w:val="en-US" w:eastAsia="zh-CN"/>
              </w:rPr>
              <w:t>采购人</w:t>
            </w:r>
            <w:r>
              <w:rPr>
                <w:rFonts w:hint="eastAsia"/>
                <w:color w:val="auto"/>
                <w:szCs w:val="21"/>
                <w:lang w:val="en-US"/>
              </w:rPr>
              <w:t>推荐3名成交候选人。</w:t>
            </w:r>
          </w:p>
        </w:tc>
      </w:tr>
    </w:tbl>
    <w:p w14:paraId="5177471E">
      <w:pPr>
        <w:pStyle w:val="30"/>
        <w:ind w:left="0"/>
        <w:outlineLvl w:val="9"/>
        <w:rPr>
          <w:rFonts w:ascii="宋体" w:hAnsi="宋体"/>
          <w:color w:val="auto"/>
          <w:sz w:val="24"/>
          <w:szCs w:val="24"/>
        </w:rPr>
      </w:pPr>
    </w:p>
    <w:p w14:paraId="2EA52744">
      <w:pPr>
        <w:pStyle w:val="30"/>
        <w:ind w:left="0" w:firstLine="482" w:firstLineChars="200"/>
        <w:outlineLvl w:val="0"/>
        <w:rPr>
          <w:rFonts w:ascii="宋体" w:hAnsi="宋体"/>
          <w:color w:val="auto"/>
          <w:sz w:val="24"/>
          <w:szCs w:val="24"/>
        </w:rPr>
      </w:pPr>
      <w:bookmarkStart w:id="188" w:name="_Toc29721_WPSOffice_Level2"/>
      <w:bookmarkStart w:id="189" w:name="_Toc9678"/>
      <w:r>
        <w:rPr>
          <w:rFonts w:hint="eastAsia" w:ascii="宋体" w:hAnsi="宋体"/>
          <w:color w:val="auto"/>
          <w:sz w:val="24"/>
          <w:szCs w:val="24"/>
        </w:rPr>
        <w:br w:type="page"/>
      </w:r>
      <w:bookmarkStart w:id="190" w:name="_Toc1597"/>
      <w:r>
        <w:rPr>
          <w:rFonts w:hint="eastAsia" w:ascii="宋体" w:hAnsi="宋体"/>
          <w:color w:val="auto"/>
          <w:sz w:val="24"/>
          <w:szCs w:val="24"/>
        </w:rPr>
        <w:t>1. 评标方法</w:t>
      </w:r>
      <w:bookmarkEnd w:id="185"/>
      <w:bookmarkEnd w:id="188"/>
      <w:bookmarkEnd w:id="189"/>
      <w:bookmarkEnd w:id="190"/>
    </w:p>
    <w:p w14:paraId="40F63C46">
      <w:pPr>
        <w:spacing w:line="400" w:lineRule="exact"/>
        <w:ind w:firstLine="480" w:firstLineChars="200"/>
        <w:rPr>
          <w:color w:val="auto"/>
          <w:sz w:val="24"/>
        </w:rPr>
      </w:pPr>
      <w:r>
        <w:rPr>
          <w:rFonts w:hint="eastAsia"/>
          <w:color w:val="auto"/>
          <w:sz w:val="24"/>
          <w:lang w:bidi="en-US"/>
        </w:rPr>
        <w:t>本次评标采用综合评分法。磋商小组对满足磋商文件实质性要求的响应文件</w:t>
      </w:r>
      <w:r>
        <w:rPr>
          <w:rFonts w:hint="eastAsia"/>
          <w:color w:val="auto"/>
          <w:sz w:val="24"/>
        </w:rPr>
        <w:t>，按照本章规定的评分标准进行打分，并按得分由高到低顺序推荐成交候选人，综合评分相等时，以报价得分高的优先；报价得分也相等的，由采购人自行确定。</w:t>
      </w:r>
    </w:p>
    <w:p w14:paraId="5864954D">
      <w:pPr>
        <w:pStyle w:val="30"/>
        <w:ind w:left="0" w:firstLine="482" w:firstLineChars="200"/>
        <w:outlineLvl w:val="0"/>
        <w:rPr>
          <w:rFonts w:ascii="宋体" w:hAnsi="宋体"/>
          <w:color w:val="auto"/>
          <w:sz w:val="24"/>
          <w:szCs w:val="24"/>
        </w:rPr>
      </w:pPr>
      <w:bookmarkStart w:id="191" w:name="_Toc20649"/>
      <w:bookmarkStart w:id="192" w:name="_Toc487498487"/>
      <w:bookmarkStart w:id="193" w:name="_Toc152045601"/>
      <w:bookmarkStart w:id="194" w:name="_Toc152042378"/>
      <w:bookmarkStart w:id="195" w:name="_Toc281405529"/>
      <w:bookmarkStart w:id="196" w:name="_Toc455080157"/>
      <w:bookmarkStart w:id="197" w:name="_Toc318450723"/>
      <w:bookmarkStart w:id="198" w:name="_Toc5817"/>
      <w:bookmarkStart w:id="199" w:name="_Toc144974568"/>
      <w:bookmarkStart w:id="200" w:name="_Toc26640_WPSOffice_Level2"/>
      <w:bookmarkStart w:id="201" w:name="_Toc24936"/>
      <w:bookmarkStart w:id="202" w:name="_Toc16578"/>
      <w:bookmarkStart w:id="203" w:name="_Toc22439"/>
      <w:bookmarkStart w:id="204" w:name="_Toc30189"/>
      <w:bookmarkStart w:id="205" w:name="_Toc144974570"/>
      <w:bookmarkStart w:id="206" w:name="_Toc455080159"/>
      <w:bookmarkStart w:id="207" w:name="_Toc281405531"/>
      <w:bookmarkStart w:id="208" w:name="_Toc12013"/>
      <w:bookmarkStart w:id="209" w:name="_Toc152045603"/>
      <w:bookmarkStart w:id="210" w:name="_Toc11061"/>
      <w:bookmarkStart w:id="211" w:name="_Toc318450725"/>
      <w:bookmarkStart w:id="212" w:name="_Toc463701081"/>
      <w:bookmarkStart w:id="213" w:name="_Toc25492"/>
      <w:bookmarkStart w:id="214" w:name="_Toc464035560"/>
      <w:bookmarkStart w:id="215" w:name="_Toc152042380"/>
      <w:r>
        <w:rPr>
          <w:rFonts w:hint="eastAsia" w:ascii="宋体" w:hAnsi="宋体"/>
          <w:color w:val="auto"/>
          <w:sz w:val="24"/>
          <w:szCs w:val="24"/>
        </w:rPr>
        <w:t>2. 评审标准</w:t>
      </w:r>
      <w:bookmarkEnd w:id="191"/>
      <w:bookmarkEnd w:id="192"/>
      <w:bookmarkEnd w:id="193"/>
      <w:bookmarkEnd w:id="194"/>
      <w:bookmarkEnd w:id="195"/>
      <w:bookmarkEnd w:id="196"/>
      <w:bookmarkEnd w:id="197"/>
      <w:bookmarkEnd w:id="198"/>
      <w:bookmarkEnd w:id="199"/>
      <w:bookmarkEnd w:id="200"/>
      <w:bookmarkEnd w:id="201"/>
      <w:bookmarkEnd w:id="202"/>
    </w:p>
    <w:bookmarkEnd w:id="203"/>
    <w:bookmarkEnd w:id="204"/>
    <w:bookmarkEnd w:id="205"/>
    <w:bookmarkEnd w:id="206"/>
    <w:bookmarkEnd w:id="207"/>
    <w:bookmarkEnd w:id="208"/>
    <w:bookmarkEnd w:id="209"/>
    <w:bookmarkEnd w:id="210"/>
    <w:bookmarkEnd w:id="211"/>
    <w:bookmarkEnd w:id="212"/>
    <w:bookmarkEnd w:id="213"/>
    <w:bookmarkEnd w:id="214"/>
    <w:bookmarkEnd w:id="215"/>
    <w:p w14:paraId="41F3022F">
      <w:pPr>
        <w:adjustRightInd w:val="0"/>
        <w:spacing w:beforeLines="50" w:afterLines="50" w:line="360" w:lineRule="auto"/>
        <w:ind w:firstLine="480" w:firstLineChars="200"/>
        <w:rPr>
          <w:color w:val="auto"/>
          <w:sz w:val="24"/>
        </w:rPr>
      </w:pPr>
      <w:bookmarkStart w:id="216" w:name="_Toc15878"/>
      <w:bookmarkStart w:id="217" w:name="_Toc30922_WPSOffice_Level3"/>
      <w:bookmarkStart w:id="218" w:name="_Toc16952"/>
      <w:bookmarkStart w:id="219" w:name="_Toc281405532"/>
      <w:bookmarkStart w:id="220" w:name="_Toc318450726"/>
      <w:bookmarkStart w:id="221" w:name="_Toc455080160"/>
      <w:bookmarkStart w:id="222" w:name="_Toc17308"/>
      <w:r>
        <w:rPr>
          <w:rFonts w:hint="eastAsia"/>
          <w:color w:val="auto"/>
          <w:sz w:val="24"/>
        </w:rPr>
        <w:t>2.1 初步评审标准</w:t>
      </w:r>
      <w:bookmarkEnd w:id="216"/>
      <w:bookmarkEnd w:id="217"/>
      <w:bookmarkEnd w:id="218"/>
    </w:p>
    <w:p w14:paraId="1AD58A66">
      <w:pPr>
        <w:adjustRightInd w:val="0"/>
        <w:spacing w:beforeLines="50" w:afterLines="50" w:line="360" w:lineRule="auto"/>
        <w:ind w:left="540" w:leftChars="257"/>
        <w:rPr>
          <w:color w:val="auto"/>
          <w:sz w:val="24"/>
        </w:rPr>
      </w:pPr>
      <w:r>
        <w:rPr>
          <w:rFonts w:hint="eastAsia"/>
          <w:color w:val="auto"/>
          <w:sz w:val="24"/>
        </w:rPr>
        <w:t>2.1.1 资格评审标准：由磋商小组审核。</w:t>
      </w:r>
    </w:p>
    <w:p w14:paraId="53BEEF9E">
      <w:pPr>
        <w:adjustRightInd w:val="0"/>
        <w:spacing w:beforeLines="50" w:afterLines="50" w:line="360" w:lineRule="auto"/>
        <w:ind w:left="540" w:leftChars="257"/>
        <w:rPr>
          <w:color w:val="auto"/>
          <w:sz w:val="24"/>
        </w:rPr>
      </w:pPr>
      <w:r>
        <w:rPr>
          <w:rFonts w:hint="eastAsia"/>
          <w:color w:val="auto"/>
          <w:sz w:val="24"/>
        </w:rPr>
        <w:t>2.1.2 形式评审标准：由磋商小组审核。</w:t>
      </w:r>
    </w:p>
    <w:p w14:paraId="2819C879">
      <w:pPr>
        <w:adjustRightInd w:val="0"/>
        <w:spacing w:beforeLines="50" w:afterLines="50" w:line="360" w:lineRule="auto"/>
        <w:ind w:left="540" w:leftChars="257"/>
        <w:rPr>
          <w:color w:val="auto"/>
          <w:sz w:val="24"/>
        </w:rPr>
      </w:pPr>
      <w:r>
        <w:rPr>
          <w:rFonts w:hint="eastAsia"/>
          <w:color w:val="auto"/>
          <w:sz w:val="24"/>
        </w:rPr>
        <w:t>2.1.3 响应性评审标准：由磋商小组审核。</w:t>
      </w:r>
    </w:p>
    <w:p w14:paraId="441A1AB4">
      <w:pPr>
        <w:spacing w:line="400" w:lineRule="exact"/>
        <w:ind w:firstLine="240" w:firstLineChars="100"/>
        <w:rPr>
          <w:color w:val="auto"/>
          <w:sz w:val="24"/>
        </w:rPr>
      </w:pPr>
      <w:r>
        <w:rPr>
          <w:rFonts w:hint="eastAsia"/>
          <w:color w:val="auto"/>
          <w:sz w:val="24"/>
        </w:rPr>
        <w:t>以上有一项不符合要求的按无效标处理。</w:t>
      </w:r>
    </w:p>
    <w:p w14:paraId="06668C4A">
      <w:pPr>
        <w:spacing w:line="400" w:lineRule="exact"/>
        <w:ind w:firstLine="480" w:firstLineChars="200"/>
        <w:rPr>
          <w:color w:val="auto"/>
          <w:sz w:val="24"/>
        </w:rPr>
      </w:pPr>
      <w:bookmarkStart w:id="223" w:name="_Toc17292_WPSOffice_Level3"/>
      <w:r>
        <w:rPr>
          <w:rFonts w:hint="eastAsia"/>
          <w:color w:val="auto"/>
          <w:sz w:val="24"/>
        </w:rPr>
        <w:t>2.2 分值构成与评分标准</w:t>
      </w:r>
      <w:bookmarkEnd w:id="223"/>
    </w:p>
    <w:p w14:paraId="7143CC67">
      <w:pPr>
        <w:spacing w:line="400" w:lineRule="exact"/>
        <w:ind w:firstLine="480" w:firstLineChars="200"/>
        <w:rPr>
          <w:color w:val="auto"/>
          <w:sz w:val="24"/>
        </w:rPr>
      </w:pPr>
      <w:r>
        <w:rPr>
          <w:rFonts w:hint="eastAsia"/>
          <w:color w:val="auto"/>
          <w:sz w:val="24"/>
        </w:rPr>
        <w:t>2.2.1 分值构成</w:t>
      </w:r>
    </w:p>
    <w:p w14:paraId="13A9DE7F">
      <w:pPr>
        <w:spacing w:line="400" w:lineRule="exact"/>
        <w:ind w:firstLine="820" w:firstLineChars="342"/>
        <w:rPr>
          <w:color w:val="auto"/>
          <w:sz w:val="24"/>
        </w:rPr>
      </w:pPr>
      <w:r>
        <w:rPr>
          <w:rFonts w:hint="eastAsia"/>
          <w:color w:val="auto"/>
          <w:sz w:val="24"/>
        </w:rPr>
        <w:t>（1）最后磋商报价：见评标办法前附表</w:t>
      </w:r>
    </w:p>
    <w:p w14:paraId="6F15FF79">
      <w:pPr>
        <w:spacing w:line="400" w:lineRule="exact"/>
        <w:ind w:firstLine="820" w:firstLineChars="342"/>
        <w:rPr>
          <w:color w:val="auto"/>
          <w:sz w:val="24"/>
        </w:rPr>
      </w:pPr>
      <w:r>
        <w:rPr>
          <w:rFonts w:hint="eastAsia"/>
          <w:color w:val="auto"/>
          <w:sz w:val="24"/>
        </w:rPr>
        <w:t>（2）技术标：见评标办法前附表</w:t>
      </w:r>
    </w:p>
    <w:p w14:paraId="7BA85D6D">
      <w:pPr>
        <w:spacing w:line="400" w:lineRule="exact"/>
        <w:ind w:firstLine="820" w:firstLineChars="342"/>
        <w:rPr>
          <w:color w:val="auto"/>
          <w:sz w:val="24"/>
        </w:rPr>
      </w:pPr>
      <w:r>
        <w:rPr>
          <w:rFonts w:hint="eastAsia"/>
          <w:color w:val="auto"/>
          <w:sz w:val="24"/>
        </w:rPr>
        <w:t>（3）商务标：见评标办法前附表</w:t>
      </w:r>
    </w:p>
    <w:p w14:paraId="7788420F">
      <w:pPr>
        <w:spacing w:line="400" w:lineRule="exact"/>
        <w:ind w:firstLine="480" w:firstLineChars="200"/>
        <w:rPr>
          <w:color w:val="auto"/>
          <w:sz w:val="24"/>
        </w:rPr>
      </w:pPr>
      <w:r>
        <w:rPr>
          <w:rFonts w:hint="eastAsia"/>
          <w:color w:val="auto"/>
          <w:sz w:val="24"/>
        </w:rPr>
        <w:t>2.2.2 评分标准</w:t>
      </w:r>
    </w:p>
    <w:p w14:paraId="1BFB7427">
      <w:pPr>
        <w:spacing w:line="400" w:lineRule="exact"/>
        <w:ind w:firstLine="820" w:firstLineChars="342"/>
        <w:rPr>
          <w:color w:val="auto"/>
          <w:sz w:val="24"/>
        </w:rPr>
      </w:pPr>
      <w:bookmarkStart w:id="224" w:name="_Toc487498488"/>
      <w:bookmarkStart w:id="225" w:name="_Toc25340"/>
      <w:r>
        <w:rPr>
          <w:rFonts w:hint="eastAsia"/>
          <w:color w:val="auto"/>
          <w:sz w:val="24"/>
        </w:rPr>
        <w:t>（1）最后磋商报价：见评标办法前附表</w:t>
      </w:r>
    </w:p>
    <w:p w14:paraId="710678D0">
      <w:pPr>
        <w:spacing w:line="400" w:lineRule="exact"/>
        <w:ind w:firstLine="820" w:firstLineChars="342"/>
        <w:rPr>
          <w:color w:val="auto"/>
          <w:sz w:val="24"/>
        </w:rPr>
      </w:pPr>
      <w:r>
        <w:rPr>
          <w:rFonts w:hint="eastAsia"/>
          <w:color w:val="auto"/>
          <w:sz w:val="24"/>
        </w:rPr>
        <w:t>（2）技术标：见评标办法前附表</w:t>
      </w:r>
    </w:p>
    <w:p w14:paraId="07AC4585">
      <w:pPr>
        <w:spacing w:line="400" w:lineRule="exact"/>
        <w:ind w:firstLine="820" w:firstLineChars="342"/>
        <w:rPr>
          <w:color w:val="auto"/>
          <w:sz w:val="24"/>
        </w:rPr>
      </w:pPr>
      <w:r>
        <w:rPr>
          <w:rFonts w:hint="eastAsia"/>
          <w:color w:val="auto"/>
          <w:sz w:val="24"/>
        </w:rPr>
        <w:t>（3）商务标：见评标办法前附表</w:t>
      </w:r>
    </w:p>
    <w:p w14:paraId="10D4FED7">
      <w:pPr>
        <w:pStyle w:val="30"/>
        <w:ind w:left="0" w:firstLine="482" w:firstLineChars="200"/>
        <w:outlineLvl w:val="0"/>
        <w:rPr>
          <w:rFonts w:ascii="宋体" w:hAnsi="宋体"/>
          <w:color w:val="auto"/>
          <w:sz w:val="24"/>
          <w:szCs w:val="24"/>
        </w:rPr>
      </w:pPr>
      <w:bookmarkStart w:id="226" w:name="_Toc14449_WPSOffice_Level2"/>
      <w:bookmarkStart w:id="227" w:name="_Toc15225"/>
      <w:bookmarkStart w:id="228" w:name="_Toc29132"/>
      <w:r>
        <w:rPr>
          <w:rFonts w:hint="eastAsia" w:ascii="宋体" w:hAnsi="宋体"/>
          <w:color w:val="auto"/>
          <w:sz w:val="24"/>
          <w:szCs w:val="24"/>
        </w:rPr>
        <w:t>3. 评审程序</w:t>
      </w:r>
      <w:bookmarkEnd w:id="219"/>
      <w:bookmarkEnd w:id="220"/>
      <w:bookmarkEnd w:id="221"/>
      <w:bookmarkEnd w:id="222"/>
      <w:bookmarkEnd w:id="224"/>
      <w:bookmarkEnd w:id="225"/>
      <w:bookmarkEnd w:id="226"/>
      <w:bookmarkEnd w:id="227"/>
      <w:bookmarkEnd w:id="228"/>
    </w:p>
    <w:p w14:paraId="3260E98B">
      <w:pPr>
        <w:spacing w:line="400" w:lineRule="exact"/>
        <w:ind w:firstLine="480" w:firstLineChars="200"/>
        <w:rPr>
          <w:color w:val="auto"/>
          <w:sz w:val="24"/>
        </w:rPr>
      </w:pPr>
      <w:bookmarkStart w:id="229" w:name="_Toc5427"/>
      <w:bookmarkStart w:id="230" w:name="_Toc11862_WPSOffice_Level3"/>
      <w:bookmarkStart w:id="231" w:name="_Toc7272"/>
      <w:bookmarkStart w:id="232" w:name="_Toc318450727"/>
      <w:bookmarkStart w:id="233" w:name="_Toc464035562"/>
      <w:bookmarkStart w:id="234" w:name="_Toc455080161"/>
      <w:bookmarkStart w:id="235" w:name="_Toc281405533"/>
      <w:bookmarkStart w:id="236" w:name="_Toc18886"/>
      <w:bookmarkStart w:id="237" w:name="_Toc463701083"/>
      <w:bookmarkStart w:id="238" w:name="_Toc30986"/>
      <w:bookmarkStart w:id="239" w:name="_Toc14633"/>
      <w:bookmarkStart w:id="240" w:name="_Toc29614"/>
      <w:r>
        <w:rPr>
          <w:rFonts w:hint="eastAsia"/>
          <w:color w:val="auto"/>
          <w:sz w:val="24"/>
        </w:rPr>
        <w:t>3.1 初步评审</w:t>
      </w:r>
      <w:bookmarkEnd w:id="229"/>
      <w:bookmarkEnd w:id="230"/>
      <w:bookmarkEnd w:id="231"/>
      <w:bookmarkEnd w:id="232"/>
      <w:bookmarkEnd w:id="233"/>
      <w:bookmarkEnd w:id="234"/>
      <w:bookmarkEnd w:id="235"/>
      <w:bookmarkEnd w:id="236"/>
      <w:bookmarkEnd w:id="237"/>
      <w:bookmarkEnd w:id="238"/>
      <w:bookmarkEnd w:id="239"/>
      <w:bookmarkEnd w:id="240"/>
    </w:p>
    <w:p w14:paraId="729527A4">
      <w:pPr>
        <w:spacing w:line="400" w:lineRule="exact"/>
        <w:ind w:firstLine="480" w:firstLineChars="200"/>
        <w:rPr>
          <w:color w:val="auto"/>
          <w:sz w:val="24"/>
        </w:rPr>
      </w:pPr>
      <w:r>
        <w:rPr>
          <w:rFonts w:hint="eastAsia"/>
          <w:color w:val="auto"/>
          <w:sz w:val="24"/>
        </w:rPr>
        <w:t>3.1.1 磋商小组依据本章第2.1款规定的标准对响应文件进行初步评审。有一项不符合评审标准的，作废标处理。</w:t>
      </w:r>
    </w:p>
    <w:p w14:paraId="2D13A0C7">
      <w:pPr>
        <w:spacing w:line="400" w:lineRule="exact"/>
        <w:ind w:firstLine="480" w:firstLineChars="200"/>
        <w:rPr>
          <w:color w:val="auto"/>
          <w:sz w:val="24"/>
        </w:rPr>
      </w:pPr>
      <w:r>
        <w:rPr>
          <w:rFonts w:hint="eastAsia"/>
          <w:color w:val="auto"/>
          <w:sz w:val="24"/>
        </w:rPr>
        <w:t>3.1.2 供应商有以下情形之一的，其投标作废标处理：</w:t>
      </w:r>
    </w:p>
    <w:p w14:paraId="11FA03AD">
      <w:pPr>
        <w:spacing w:line="400" w:lineRule="exact"/>
        <w:ind w:firstLine="820" w:firstLineChars="342"/>
        <w:rPr>
          <w:color w:val="auto"/>
          <w:sz w:val="24"/>
        </w:rPr>
      </w:pPr>
      <w:r>
        <w:rPr>
          <w:rFonts w:hint="eastAsia"/>
          <w:color w:val="auto"/>
          <w:sz w:val="24"/>
        </w:rPr>
        <w:t>（1）串通投标或弄虚作假或有其他违法行为的；</w:t>
      </w:r>
    </w:p>
    <w:p w14:paraId="7257E225">
      <w:pPr>
        <w:spacing w:line="400" w:lineRule="exact"/>
        <w:ind w:firstLine="820" w:firstLineChars="342"/>
        <w:rPr>
          <w:color w:val="auto"/>
          <w:sz w:val="24"/>
        </w:rPr>
      </w:pPr>
      <w:r>
        <w:rPr>
          <w:rFonts w:hint="eastAsia"/>
          <w:color w:val="auto"/>
          <w:sz w:val="24"/>
        </w:rPr>
        <w:t>（</w:t>
      </w:r>
      <w:r>
        <w:rPr>
          <w:rFonts w:hint="eastAsia"/>
          <w:color w:val="auto"/>
          <w:sz w:val="24"/>
          <w:lang w:val="en-US" w:eastAsia="zh-CN"/>
        </w:rPr>
        <w:t>2</w:t>
      </w:r>
      <w:r>
        <w:rPr>
          <w:rFonts w:hint="eastAsia"/>
          <w:color w:val="auto"/>
          <w:sz w:val="24"/>
        </w:rPr>
        <w:t>）不按磋商小组要求澄清、说明或补正的；</w:t>
      </w:r>
    </w:p>
    <w:p w14:paraId="299920DA">
      <w:pPr>
        <w:spacing w:line="400" w:lineRule="exact"/>
        <w:ind w:firstLine="820" w:firstLineChars="342"/>
        <w:rPr>
          <w:color w:val="auto"/>
          <w:sz w:val="24"/>
        </w:rPr>
      </w:pPr>
      <w:r>
        <w:rPr>
          <w:rFonts w:hint="eastAsia"/>
          <w:color w:val="auto"/>
          <w:sz w:val="24"/>
        </w:rPr>
        <w:t>（</w:t>
      </w:r>
      <w:r>
        <w:rPr>
          <w:rFonts w:hint="eastAsia"/>
          <w:color w:val="auto"/>
          <w:sz w:val="24"/>
          <w:lang w:val="en-US" w:eastAsia="zh-CN"/>
        </w:rPr>
        <w:t>3</w:t>
      </w:r>
      <w:r>
        <w:rPr>
          <w:rFonts w:hint="eastAsia"/>
          <w:color w:val="auto"/>
          <w:sz w:val="24"/>
        </w:rPr>
        <w:t>）未按规定格式填写、内容不全或关键字迹模糊、无法辨认的；</w:t>
      </w:r>
    </w:p>
    <w:p w14:paraId="601719D5">
      <w:pPr>
        <w:spacing w:line="400" w:lineRule="exact"/>
        <w:ind w:firstLine="820" w:firstLineChars="342"/>
        <w:rPr>
          <w:color w:val="auto"/>
          <w:sz w:val="24"/>
        </w:rPr>
      </w:pPr>
      <w:r>
        <w:rPr>
          <w:rFonts w:hint="eastAsia"/>
          <w:color w:val="auto"/>
          <w:sz w:val="24"/>
        </w:rPr>
        <w:t>（</w:t>
      </w:r>
      <w:r>
        <w:rPr>
          <w:rFonts w:hint="eastAsia"/>
          <w:color w:val="auto"/>
          <w:sz w:val="24"/>
          <w:lang w:val="en-US" w:eastAsia="zh-CN"/>
        </w:rPr>
        <w:t>4</w:t>
      </w:r>
      <w:r>
        <w:rPr>
          <w:rFonts w:hint="eastAsia"/>
          <w:color w:val="auto"/>
          <w:sz w:val="24"/>
        </w:rPr>
        <w:t>）响应文件附有采购人不能接受的条件；</w:t>
      </w:r>
    </w:p>
    <w:p w14:paraId="1598688C">
      <w:pPr>
        <w:spacing w:line="400" w:lineRule="exact"/>
        <w:ind w:firstLine="820" w:firstLineChars="342"/>
        <w:rPr>
          <w:color w:val="auto"/>
          <w:sz w:val="24"/>
        </w:rPr>
      </w:pPr>
      <w:r>
        <w:rPr>
          <w:rFonts w:hint="eastAsia"/>
          <w:color w:val="auto"/>
          <w:sz w:val="24"/>
        </w:rPr>
        <w:t>（</w:t>
      </w:r>
      <w:r>
        <w:rPr>
          <w:rFonts w:hint="eastAsia"/>
          <w:color w:val="auto"/>
          <w:sz w:val="24"/>
          <w:lang w:val="en-US" w:eastAsia="zh-CN"/>
        </w:rPr>
        <w:t>5</w:t>
      </w:r>
      <w:r>
        <w:rPr>
          <w:rFonts w:hint="eastAsia"/>
          <w:color w:val="auto"/>
          <w:sz w:val="24"/>
        </w:rPr>
        <w:t>）不符合磋商文件规定的其他实质性要求。</w:t>
      </w:r>
    </w:p>
    <w:p w14:paraId="65791028">
      <w:pPr>
        <w:spacing w:line="400" w:lineRule="exact"/>
        <w:ind w:firstLine="480" w:firstLineChars="200"/>
        <w:rPr>
          <w:color w:val="auto"/>
          <w:sz w:val="24"/>
        </w:rPr>
      </w:pPr>
      <w:bookmarkStart w:id="241" w:name="_Toc455080162"/>
      <w:bookmarkStart w:id="242" w:name="_Toc463701084"/>
      <w:bookmarkStart w:id="243" w:name="_Toc21570"/>
      <w:bookmarkStart w:id="244" w:name="_Toc281405534"/>
      <w:bookmarkStart w:id="245" w:name="_Toc21032"/>
      <w:bookmarkStart w:id="246" w:name="_Toc10692"/>
      <w:bookmarkStart w:id="247" w:name="_Toc10295_WPSOffice_Level3"/>
      <w:bookmarkStart w:id="248" w:name="_Toc26049"/>
      <w:bookmarkStart w:id="249" w:name="_Toc7121"/>
      <w:bookmarkStart w:id="250" w:name="_Toc464035563"/>
      <w:bookmarkStart w:id="251" w:name="_Toc318450728"/>
      <w:bookmarkStart w:id="252" w:name="_Toc12406"/>
      <w:r>
        <w:rPr>
          <w:rFonts w:hint="eastAsia"/>
          <w:color w:val="auto"/>
          <w:sz w:val="24"/>
        </w:rPr>
        <w:t>3.2 详细评审</w:t>
      </w:r>
      <w:bookmarkEnd w:id="241"/>
      <w:bookmarkEnd w:id="242"/>
      <w:bookmarkEnd w:id="243"/>
      <w:bookmarkEnd w:id="244"/>
      <w:bookmarkEnd w:id="245"/>
      <w:bookmarkEnd w:id="246"/>
      <w:bookmarkEnd w:id="247"/>
      <w:bookmarkEnd w:id="248"/>
      <w:bookmarkEnd w:id="249"/>
      <w:bookmarkEnd w:id="250"/>
      <w:bookmarkEnd w:id="251"/>
      <w:bookmarkEnd w:id="252"/>
    </w:p>
    <w:p w14:paraId="4EFCA468">
      <w:pPr>
        <w:spacing w:line="400" w:lineRule="exact"/>
        <w:ind w:firstLine="480" w:firstLineChars="200"/>
        <w:rPr>
          <w:color w:val="auto"/>
          <w:sz w:val="24"/>
        </w:rPr>
      </w:pPr>
      <w:r>
        <w:rPr>
          <w:rFonts w:hint="eastAsia"/>
          <w:color w:val="auto"/>
          <w:sz w:val="24"/>
        </w:rPr>
        <w:t>3.2.1 磋商小组邀请通过初步评审的供应商进行磋商报价，磋商报价为供应商最终有效报价。</w:t>
      </w:r>
    </w:p>
    <w:p w14:paraId="6BD5AC32">
      <w:pPr>
        <w:spacing w:line="400" w:lineRule="exact"/>
        <w:ind w:firstLine="480" w:firstLineChars="200"/>
        <w:rPr>
          <w:color w:val="auto"/>
          <w:sz w:val="24"/>
        </w:rPr>
      </w:pPr>
      <w:r>
        <w:rPr>
          <w:rFonts w:hint="eastAsia"/>
          <w:color w:val="auto"/>
          <w:sz w:val="24"/>
          <w:lang w:val="en-US"/>
        </w:rPr>
        <w:t>3.2.2磋商小组</w:t>
      </w:r>
      <w:r>
        <w:rPr>
          <w:rFonts w:hint="eastAsia"/>
          <w:color w:val="auto"/>
          <w:sz w:val="24"/>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color w:val="auto"/>
          <w:sz w:val="24"/>
          <w:lang w:val="en-US"/>
        </w:rPr>
        <w:t>磋商小组</w:t>
      </w:r>
      <w:r>
        <w:rPr>
          <w:rFonts w:hint="eastAsia"/>
          <w:color w:val="auto"/>
          <w:sz w:val="24"/>
        </w:rPr>
        <w:t>应当将其作为无效投标处理。</w:t>
      </w:r>
    </w:p>
    <w:p w14:paraId="7759217A">
      <w:pPr>
        <w:spacing w:line="400" w:lineRule="exact"/>
        <w:ind w:firstLine="480" w:firstLineChars="200"/>
        <w:rPr>
          <w:color w:val="auto"/>
          <w:sz w:val="24"/>
        </w:rPr>
      </w:pPr>
      <w:r>
        <w:rPr>
          <w:rFonts w:hint="eastAsia"/>
          <w:color w:val="auto"/>
          <w:sz w:val="24"/>
        </w:rPr>
        <w:t>3.2.</w:t>
      </w:r>
      <w:r>
        <w:rPr>
          <w:rFonts w:hint="eastAsia"/>
          <w:color w:val="auto"/>
          <w:sz w:val="24"/>
          <w:lang w:val="en-US"/>
        </w:rPr>
        <w:t>3</w:t>
      </w:r>
      <w:r>
        <w:rPr>
          <w:rFonts w:hint="eastAsia"/>
          <w:color w:val="auto"/>
          <w:sz w:val="24"/>
        </w:rPr>
        <w:t>磋商小组按本章第2.2款规定的量化因素和分值进行打分，并计算出综合评分得分。</w:t>
      </w:r>
    </w:p>
    <w:p w14:paraId="51721615">
      <w:pPr>
        <w:spacing w:line="400" w:lineRule="exact"/>
        <w:ind w:firstLine="480" w:firstLineChars="200"/>
        <w:rPr>
          <w:color w:val="auto"/>
          <w:sz w:val="24"/>
        </w:rPr>
      </w:pPr>
      <w:r>
        <w:rPr>
          <w:rFonts w:hint="eastAsia"/>
          <w:color w:val="auto"/>
          <w:sz w:val="24"/>
        </w:rPr>
        <w:t>3.2.</w:t>
      </w:r>
      <w:r>
        <w:rPr>
          <w:rFonts w:hint="eastAsia"/>
          <w:color w:val="auto"/>
          <w:sz w:val="24"/>
          <w:lang w:val="en-US"/>
        </w:rPr>
        <w:t>4</w:t>
      </w:r>
      <w:r>
        <w:rPr>
          <w:rFonts w:hint="eastAsia"/>
          <w:color w:val="auto"/>
          <w:sz w:val="24"/>
        </w:rPr>
        <w:t>评分分值计算保留小数点后两位，小数点后第三位“四舍五入”。</w:t>
      </w:r>
    </w:p>
    <w:p w14:paraId="3D21F724">
      <w:pPr>
        <w:spacing w:line="400" w:lineRule="exact"/>
        <w:ind w:firstLine="480" w:firstLineChars="200"/>
        <w:rPr>
          <w:color w:val="auto"/>
          <w:sz w:val="24"/>
        </w:rPr>
      </w:pPr>
      <w:r>
        <w:rPr>
          <w:rFonts w:hint="eastAsia"/>
          <w:color w:val="auto"/>
          <w:sz w:val="24"/>
        </w:rPr>
        <w:t>3.2.</w:t>
      </w:r>
      <w:r>
        <w:rPr>
          <w:rFonts w:hint="eastAsia"/>
          <w:color w:val="auto"/>
          <w:sz w:val="24"/>
          <w:lang w:val="en-US"/>
        </w:rPr>
        <w:t>5</w:t>
      </w:r>
      <w:r>
        <w:rPr>
          <w:rFonts w:hint="eastAsia"/>
          <w:color w:val="auto"/>
          <w:sz w:val="24"/>
        </w:rPr>
        <w:t>供应商的最终得分以全部小组成员打分的算术平均值为准，作为该供应商的最终得分。</w:t>
      </w:r>
    </w:p>
    <w:p w14:paraId="12DF0918">
      <w:pPr>
        <w:spacing w:line="400" w:lineRule="exact"/>
        <w:ind w:firstLine="480" w:firstLineChars="200"/>
        <w:rPr>
          <w:color w:val="auto"/>
          <w:sz w:val="24"/>
        </w:rPr>
      </w:pPr>
      <w:r>
        <w:rPr>
          <w:rFonts w:hint="eastAsia"/>
          <w:color w:val="auto"/>
          <w:sz w:val="24"/>
        </w:rPr>
        <w:t>3.2.</w:t>
      </w:r>
      <w:r>
        <w:rPr>
          <w:rFonts w:hint="eastAsia"/>
          <w:color w:val="auto"/>
          <w:sz w:val="24"/>
          <w:lang w:val="en-US"/>
        </w:rPr>
        <w:t>6</w:t>
      </w:r>
      <w:r>
        <w:rPr>
          <w:rFonts w:hint="eastAsia"/>
          <w:color w:val="auto"/>
          <w:sz w:val="24"/>
        </w:rPr>
        <w:t>在磋商过程中，凡遇到磋商文件中无界定或界定不清、前后不一致使磋商小组意见有分歧且又难以协商一致的问题，均由磋商小组予以表决，获半数以上同意的即为通过，未获半数同意的即为否决。</w:t>
      </w:r>
    </w:p>
    <w:p w14:paraId="0395BC2E">
      <w:pPr>
        <w:spacing w:line="400" w:lineRule="exact"/>
        <w:ind w:firstLine="480" w:firstLineChars="200"/>
        <w:rPr>
          <w:color w:val="auto"/>
          <w:sz w:val="24"/>
        </w:rPr>
      </w:pPr>
      <w:bookmarkStart w:id="253" w:name="_Toc10153"/>
      <w:bookmarkStart w:id="254" w:name="_Toc11958"/>
      <w:bookmarkStart w:id="255" w:name="_Toc31110_WPSOffice_Level3"/>
      <w:bookmarkStart w:id="256" w:name="_Toc281405535"/>
      <w:bookmarkStart w:id="257" w:name="_Toc318450729"/>
      <w:bookmarkStart w:id="258" w:name="_Toc8342"/>
      <w:bookmarkStart w:id="259" w:name="_Toc455080163"/>
      <w:bookmarkStart w:id="260" w:name="_Toc24862"/>
      <w:bookmarkStart w:id="261" w:name="_Toc28633"/>
      <w:bookmarkStart w:id="262" w:name="_Toc463701085"/>
      <w:bookmarkStart w:id="263" w:name="_Toc464035564"/>
      <w:bookmarkStart w:id="264" w:name="_Toc8813"/>
      <w:r>
        <w:rPr>
          <w:rFonts w:hint="eastAsia"/>
          <w:color w:val="auto"/>
          <w:sz w:val="24"/>
        </w:rPr>
        <w:t>3.3 响应文件的澄清和补正</w:t>
      </w:r>
      <w:bookmarkEnd w:id="253"/>
      <w:bookmarkEnd w:id="254"/>
      <w:bookmarkEnd w:id="255"/>
      <w:bookmarkEnd w:id="256"/>
      <w:bookmarkEnd w:id="257"/>
      <w:bookmarkEnd w:id="258"/>
      <w:bookmarkEnd w:id="259"/>
      <w:bookmarkEnd w:id="260"/>
      <w:bookmarkEnd w:id="261"/>
      <w:bookmarkEnd w:id="262"/>
      <w:bookmarkEnd w:id="263"/>
      <w:bookmarkEnd w:id="264"/>
    </w:p>
    <w:p w14:paraId="586C5545">
      <w:pPr>
        <w:spacing w:line="400" w:lineRule="exact"/>
        <w:ind w:firstLine="480" w:firstLineChars="200"/>
        <w:rPr>
          <w:color w:val="auto"/>
          <w:sz w:val="24"/>
        </w:rPr>
      </w:pPr>
      <w:r>
        <w:rPr>
          <w:rFonts w:hint="eastAsia"/>
          <w:color w:val="auto"/>
          <w:sz w:val="24"/>
        </w:rPr>
        <w:t>3.3.1在磋商过程中，磋商小组可以书面形式要求供应商对所提交的响应文件中不明确的内容进行书面澄清或说明，或者对细微偏离进行补正。磋商小组不接受供应商主动提出的澄清、说明或补正。</w:t>
      </w:r>
    </w:p>
    <w:p w14:paraId="33734B59">
      <w:pPr>
        <w:spacing w:line="400" w:lineRule="exact"/>
        <w:ind w:firstLine="480" w:firstLineChars="200"/>
        <w:rPr>
          <w:color w:val="auto"/>
          <w:sz w:val="24"/>
        </w:rPr>
      </w:pPr>
      <w:r>
        <w:rPr>
          <w:rFonts w:hint="eastAsia"/>
          <w:color w:val="auto"/>
          <w:sz w:val="24"/>
        </w:rPr>
        <w:t>3.3.2 澄清、说明和补正不得超出响应文件的范围或者改变响应文件的实质性内容（算术性错误修正的除外）。供应商的书面澄清、说明和补正属于响应文件的组成部分。</w:t>
      </w:r>
    </w:p>
    <w:p w14:paraId="4F57DD4D">
      <w:pPr>
        <w:spacing w:line="400" w:lineRule="exact"/>
        <w:ind w:firstLine="480" w:firstLineChars="200"/>
        <w:rPr>
          <w:color w:val="auto"/>
          <w:sz w:val="24"/>
        </w:rPr>
      </w:pPr>
      <w:r>
        <w:rPr>
          <w:rFonts w:hint="eastAsia"/>
          <w:color w:val="auto"/>
          <w:sz w:val="24"/>
        </w:rPr>
        <w:t>3.3.3 磋商小组对供应商提交的澄清、说明或补正有疑问的，可以要求供应商进一步澄清、说明或补正，直至满足磋商小组的要求。</w:t>
      </w:r>
    </w:p>
    <w:p w14:paraId="5A9C7276">
      <w:pPr>
        <w:spacing w:line="400" w:lineRule="exact"/>
        <w:ind w:firstLine="480" w:firstLineChars="200"/>
        <w:rPr>
          <w:color w:val="auto"/>
          <w:sz w:val="24"/>
        </w:rPr>
      </w:pPr>
      <w:bookmarkStart w:id="265" w:name="_Toc32183"/>
      <w:bookmarkStart w:id="266" w:name="_Toc318450730"/>
      <w:bookmarkStart w:id="267" w:name="_Toc464035565"/>
      <w:bookmarkStart w:id="268" w:name="_Toc26894"/>
      <w:bookmarkStart w:id="269" w:name="_Toc5903"/>
      <w:bookmarkStart w:id="270" w:name="_Toc463701086"/>
      <w:bookmarkStart w:id="271" w:name="_Toc455080164"/>
      <w:bookmarkStart w:id="272" w:name="_Toc1857"/>
      <w:bookmarkStart w:id="273" w:name="_Toc16310_WPSOffice_Level3"/>
      <w:bookmarkStart w:id="274" w:name="_Toc19453"/>
      <w:bookmarkStart w:id="275" w:name="_Toc281405536"/>
      <w:bookmarkStart w:id="276" w:name="_Toc22986"/>
      <w:r>
        <w:rPr>
          <w:rFonts w:hint="eastAsia"/>
          <w:color w:val="auto"/>
          <w:sz w:val="24"/>
        </w:rPr>
        <w:t>3.4 评标结果</w:t>
      </w:r>
      <w:bookmarkEnd w:id="265"/>
      <w:bookmarkEnd w:id="266"/>
      <w:bookmarkEnd w:id="267"/>
      <w:bookmarkEnd w:id="268"/>
      <w:bookmarkEnd w:id="269"/>
      <w:bookmarkEnd w:id="270"/>
      <w:bookmarkEnd w:id="271"/>
      <w:bookmarkEnd w:id="272"/>
      <w:bookmarkEnd w:id="273"/>
      <w:bookmarkEnd w:id="274"/>
      <w:bookmarkEnd w:id="275"/>
      <w:bookmarkEnd w:id="276"/>
    </w:p>
    <w:p w14:paraId="05B39722">
      <w:pPr>
        <w:spacing w:line="400" w:lineRule="exact"/>
        <w:ind w:firstLine="480" w:firstLineChars="200"/>
        <w:rPr>
          <w:color w:val="auto"/>
          <w:sz w:val="24"/>
        </w:rPr>
      </w:pPr>
      <w:r>
        <w:rPr>
          <w:rFonts w:hint="eastAsia"/>
          <w:color w:val="auto"/>
          <w:sz w:val="24"/>
        </w:rPr>
        <w:t>3.4.1除第二章“供应商须知”前附表授权直接确定成交人外，磋商小组按照得分由高到低的顺序推荐成交候选人。</w:t>
      </w:r>
    </w:p>
    <w:p w14:paraId="759F471C">
      <w:pPr>
        <w:spacing w:line="400" w:lineRule="exact"/>
        <w:ind w:firstLine="480" w:firstLineChars="200"/>
        <w:rPr>
          <w:color w:val="auto"/>
          <w:sz w:val="24"/>
        </w:rPr>
      </w:pPr>
      <w:r>
        <w:rPr>
          <w:rFonts w:hint="eastAsia"/>
          <w:color w:val="auto"/>
          <w:sz w:val="24"/>
          <w:lang w:val="en-US"/>
        </w:rPr>
        <w:t>3.4.2供应商</w:t>
      </w:r>
      <w:r>
        <w:rPr>
          <w:rFonts w:hint="eastAsia"/>
          <w:color w:val="auto"/>
          <w:sz w:val="24"/>
        </w:rPr>
        <w:t>提供相同品牌产品且通过资格审查、符合性审查的不同供应商参加同一合同项下投标的，按一家供应商计算，评审后得分最高的同品牌供应商获得中标人推荐资格；</w:t>
      </w:r>
    </w:p>
    <w:p w14:paraId="4B0845CB">
      <w:pPr>
        <w:spacing w:line="400" w:lineRule="exact"/>
        <w:rPr>
          <w:color w:val="auto"/>
          <w:sz w:val="24"/>
        </w:rPr>
      </w:pPr>
      <w:r>
        <w:rPr>
          <w:rFonts w:hint="eastAsia"/>
          <w:color w:val="auto"/>
          <w:sz w:val="24"/>
        </w:rPr>
        <w:t xml:space="preserve">   3.4.</w:t>
      </w:r>
      <w:r>
        <w:rPr>
          <w:rFonts w:hint="eastAsia"/>
          <w:color w:val="auto"/>
          <w:sz w:val="24"/>
          <w:lang w:val="en-US"/>
        </w:rPr>
        <w:t>3</w:t>
      </w:r>
      <w:r>
        <w:rPr>
          <w:rFonts w:hint="eastAsia"/>
          <w:color w:val="auto"/>
          <w:sz w:val="24"/>
        </w:rPr>
        <w:t xml:space="preserve"> 磋商小组完成评标后，应当向采购人提交书面评审报告。</w:t>
      </w:r>
    </w:p>
    <w:p w14:paraId="0BDC90F0">
      <w:pPr>
        <w:pStyle w:val="2"/>
        <w:spacing w:before="24"/>
        <w:ind w:left="841" w:right="909"/>
        <w:jc w:val="center"/>
        <w:outlineLvl w:val="9"/>
        <w:rPr>
          <w:color w:val="auto"/>
        </w:rPr>
      </w:pPr>
      <w:r>
        <w:rPr>
          <w:color w:val="auto"/>
        </w:rPr>
        <w:br w:type="page"/>
      </w:r>
    </w:p>
    <w:p w14:paraId="1D3CC23C">
      <w:pPr>
        <w:pStyle w:val="2"/>
        <w:spacing w:before="31"/>
        <w:jc w:val="both"/>
        <w:rPr>
          <w:b/>
          <w:bCs/>
          <w:color w:val="auto"/>
        </w:rPr>
      </w:pPr>
      <w:bookmarkStart w:id="277" w:name="_Toc22577"/>
      <w:bookmarkStart w:id="278" w:name="_Toc20625"/>
      <w:r>
        <w:rPr>
          <w:rFonts w:hint="eastAsia"/>
          <w:b/>
          <w:bCs/>
          <w:color w:val="auto"/>
        </w:rPr>
        <w:t>第五章 合同主要条款及格式</w:t>
      </w:r>
      <w:bookmarkEnd w:id="277"/>
      <w:bookmarkEnd w:id="278"/>
    </w:p>
    <w:p w14:paraId="79A5D14E">
      <w:pPr>
        <w:spacing w:line="360" w:lineRule="auto"/>
        <w:jc w:val="center"/>
        <w:rPr>
          <w:rFonts w:ascii="宋体" w:hAnsi="宋体" w:cs="宋体"/>
          <w:color w:val="auto"/>
          <w:sz w:val="24"/>
        </w:rPr>
      </w:pPr>
      <w:bookmarkStart w:id="279" w:name="_Toc2461"/>
      <w:r>
        <w:rPr>
          <w:rFonts w:hint="eastAsia" w:ascii="宋体" w:hAnsi="宋体" w:cs="宋体"/>
          <w:color w:val="auto"/>
          <w:sz w:val="24"/>
        </w:rPr>
        <w:t>注：本合同仅为合同的参考文本</w:t>
      </w:r>
    </w:p>
    <w:p w14:paraId="694CAFF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甲方（需方）：_________</w:t>
      </w:r>
    </w:p>
    <w:p w14:paraId="32E7FFC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乙方（供方）：_________</w:t>
      </w:r>
    </w:p>
    <w:p w14:paraId="2979829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经过双方友好协商，依据《中华人民共和国合同法》，双方同意签订以下合同条款，以便双方共同遵守、履行合同。</w:t>
      </w:r>
    </w:p>
    <w:p w14:paraId="180FCEA9">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一、合同金额</w:t>
      </w:r>
    </w:p>
    <w:p w14:paraId="331A9A05">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宋体" w:hAnsi="宋体" w:eastAsia="宋体" w:cs="宋体"/>
          <w:color w:val="auto"/>
          <w:kern w:val="0"/>
          <w:sz w:val="24"/>
          <w:u w:val="single"/>
          <w:lang w:val="en-US" w:eastAsia="zh-CN"/>
        </w:rPr>
      </w:pPr>
      <w:r>
        <w:rPr>
          <w:rFonts w:hint="eastAsia" w:ascii="宋体" w:hAnsi="宋体" w:cs="宋体"/>
          <w:color w:val="auto"/>
          <w:kern w:val="0"/>
          <w:sz w:val="24"/>
        </w:rPr>
        <w:t>合同金额为</w:t>
      </w:r>
      <w:r>
        <w:rPr>
          <w:rFonts w:hint="eastAsia" w:ascii="宋体" w:hAnsi="宋体" w:cs="宋体"/>
          <w:color w:val="auto"/>
          <w:kern w:val="0"/>
          <w:sz w:val="24"/>
          <w:lang w:eastAsia="zh-CN"/>
        </w:rPr>
        <w:t>：（大写）</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eastAsia="zh-CN"/>
        </w:rPr>
        <w:t>（小写）</w:t>
      </w:r>
      <w:r>
        <w:rPr>
          <w:rFonts w:hint="eastAsia" w:ascii="宋体" w:hAnsi="宋体" w:cs="宋体"/>
          <w:color w:val="auto"/>
          <w:kern w:val="0"/>
          <w:sz w:val="24"/>
          <w:u w:val="single"/>
          <w:lang w:val="en-US" w:eastAsia="zh-CN"/>
        </w:rPr>
        <w:t xml:space="preserve">        </w:t>
      </w:r>
    </w:p>
    <w:p w14:paraId="273596D0">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二、服务范围</w:t>
      </w:r>
    </w:p>
    <w:p w14:paraId="1E26759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乙方提供以下服务：</w:t>
      </w:r>
    </w:p>
    <w:p w14:paraId="71594AEE">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bCs/>
          <w:color w:val="auto"/>
          <w:sz w:val="24"/>
        </w:rPr>
      </w:pPr>
      <w:r>
        <w:rPr>
          <w:rFonts w:hint="eastAsia" w:ascii="宋体" w:hAnsi="宋体" w:cs="宋体"/>
          <w:bCs/>
          <w:color w:val="auto"/>
          <w:sz w:val="24"/>
        </w:rPr>
        <w:t>1.__________________________</w:t>
      </w:r>
    </w:p>
    <w:p w14:paraId="42A7786E">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bCs/>
          <w:color w:val="auto"/>
          <w:sz w:val="24"/>
        </w:rPr>
      </w:pPr>
      <w:r>
        <w:rPr>
          <w:rFonts w:hint="eastAsia" w:ascii="宋体" w:hAnsi="宋体" w:cs="宋体"/>
          <w:bCs/>
          <w:color w:val="auto"/>
          <w:sz w:val="24"/>
        </w:rPr>
        <w:t>2.__________________________</w:t>
      </w:r>
    </w:p>
    <w:p w14:paraId="66513AF8">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w:t>
      </w:r>
    </w:p>
    <w:p w14:paraId="4454FCB3">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三、甲方乙方的权利和义务</w:t>
      </w:r>
    </w:p>
    <w:p w14:paraId="3915068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1.甲方的权利和义务</w:t>
      </w:r>
    </w:p>
    <w:p w14:paraId="273B9B6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2.乙方的权利和义务</w:t>
      </w:r>
    </w:p>
    <w:p w14:paraId="181BCD36">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四、服务期限（项目完成期限）</w:t>
      </w:r>
    </w:p>
    <w:p w14:paraId="2D968EF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委托服务期限自____年____月至____年____月止。</w:t>
      </w:r>
    </w:p>
    <w:p w14:paraId="7E7AD3D6">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五、付款方式</w:t>
      </w:r>
    </w:p>
    <w:p w14:paraId="5A8F75C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green"/>
        </w:rPr>
      </w:pPr>
      <w:r>
        <w:rPr>
          <w:rFonts w:hint="eastAsia" w:ascii="宋体" w:hAnsi="宋体" w:cs="宋体"/>
          <w:color w:val="auto"/>
          <w:kern w:val="0"/>
          <w:sz w:val="24"/>
        </w:rPr>
        <w:t>合同签订之后，甲方负责对乙方进行全过程监管，并支付其工程款：</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p>
    <w:p w14:paraId="085B29CF">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六、 知识产权归属</w:t>
      </w:r>
    </w:p>
    <w:p w14:paraId="2719EE1E">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七、 保密 </w:t>
      </w:r>
    </w:p>
    <w:p w14:paraId="02DF6C8E">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八、 违约责任与赔偿损失 </w:t>
      </w:r>
    </w:p>
    <w:p w14:paraId="3152A17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乙方提供的服务不符合本合同规定的，甲方有权拒收，并且乙方须向甲方方支付本合同总价__%的违约金。 </w:t>
      </w:r>
    </w:p>
    <w:p w14:paraId="76FE31B9">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2.乙方未能按本合同规定的交货时间提供服务，从逾期之日起每日按本合同总价__%的数额向甲方支付违约金；逾期半个月以上的，甲方有权终止合同，由此造成的甲方经济损失由乙方承担。 </w:t>
      </w:r>
    </w:p>
    <w:p w14:paraId="183018AA">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3. 甲方无正当理由拒收接受服务，到期拒付服务款项的，甲方向乙方偿付本合同总的__%的违约金。甲方人逾期付款，则每日按本合同总价的__%向乙方偿付违约金。 </w:t>
      </w:r>
    </w:p>
    <w:p w14:paraId="4EEE54CB">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4. 其它违约责任按《中华人民共和国合同法》处理。 </w:t>
      </w:r>
    </w:p>
    <w:p w14:paraId="602AE7D2">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九、 争议的解决</w:t>
      </w:r>
    </w:p>
    <w:p w14:paraId="35BF07BF">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合同执行过程中发生的任何争议，如双方不能通过友好协商解决，按相关法律法规处理。 </w:t>
      </w:r>
    </w:p>
    <w:p w14:paraId="5904F066">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十、 不可抗力</w:t>
      </w:r>
    </w:p>
    <w:p w14:paraId="2D851CD5">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13A5000D">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十一、 税费 </w:t>
      </w:r>
    </w:p>
    <w:p w14:paraId="782084BF">
      <w:pPr>
        <w:keepNext w:val="0"/>
        <w:keepLines w:val="0"/>
        <w:pageBreakBefore w:val="0"/>
        <w:kinsoku/>
        <w:wordWrap/>
        <w:overflowPunct/>
        <w:topLinePunct w:val="0"/>
        <w:bidi w:val="0"/>
        <w:snapToGrid/>
        <w:spacing w:line="440" w:lineRule="exact"/>
        <w:ind w:firstLine="480" w:firstLineChars="200"/>
        <w:textAlignment w:val="auto"/>
        <w:rPr>
          <w:rFonts w:ascii="宋体" w:hAnsi="宋体" w:cs="宋体"/>
          <w:color w:val="auto"/>
          <w:sz w:val="24"/>
        </w:rPr>
      </w:pPr>
      <w:r>
        <w:rPr>
          <w:rFonts w:hint="eastAsia" w:ascii="宋体" w:hAnsi="宋体" w:cs="宋体"/>
          <w:color w:val="auto"/>
          <w:kern w:val="0"/>
          <w:sz w:val="24"/>
        </w:rPr>
        <w:t>1. 在中国境内、外发生的与本合同执行有关的一切税费均由乙方负担。</w:t>
      </w:r>
    </w:p>
    <w:p w14:paraId="557F1DC4">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十二、 其它 </w:t>
      </w:r>
    </w:p>
    <w:p w14:paraId="391F246B">
      <w:pPr>
        <w:keepNext w:val="0"/>
        <w:keepLines w:val="0"/>
        <w:pageBreakBefore w:val="0"/>
        <w:widowControl/>
        <w:kinsoku/>
        <w:wordWrap/>
        <w:overflowPunct/>
        <w:topLinePunct w:val="0"/>
        <w:bidi w:val="0"/>
        <w:snapToGrid/>
        <w:spacing w:line="440" w:lineRule="exact"/>
        <w:ind w:firstLine="480" w:firstLineChars="200"/>
        <w:jc w:val="left"/>
        <w:textAlignment w:val="auto"/>
        <w:rPr>
          <w:rFonts w:ascii="宋体" w:hAnsi="宋体" w:cs="宋体"/>
          <w:color w:val="auto"/>
          <w:sz w:val="24"/>
        </w:rPr>
      </w:pPr>
      <w:r>
        <w:rPr>
          <w:rFonts w:hint="eastAsia" w:ascii="宋体" w:hAnsi="宋体" w:cs="宋体"/>
          <w:color w:val="auto"/>
          <w:sz w:val="24"/>
        </w:rPr>
        <w:t>1. 本合同所有附件、</w:t>
      </w:r>
      <w:r>
        <w:rPr>
          <w:rFonts w:hint="eastAsia" w:ascii="宋体" w:hAnsi="宋体" w:cs="宋体"/>
          <w:color w:val="auto"/>
          <w:sz w:val="24"/>
          <w:lang w:eastAsia="zh-CN"/>
        </w:rPr>
        <w:t>磋商</w:t>
      </w:r>
      <w:r>
        <w:rPr>
          <w:rFonts w:hint="eastAsia" w:ascii="宋体" w:hAnsi="宋体" w:cs="宋体"/>
          <w:color w:val="auto"/>
          <w:sz w:val="24"/>
        </w:rPr>
        <w:t>文件、</w:t>
      </w:r>
      <w:r>
        <w:rPr>
          <w:rFonts w:hint="eastAsia" w:ascii="宋体" w:hAnsi="宋体" w:cs="宋体"/>
          <w:color w:val="auto"/>
          <w:sz w:val="24"/>
          <w:lang w:eastAsia="zh-CN"/>
        </w:rPr>
        <w:t>响应</w:t>
      </w:r>
      <w:r>
        <w:rPr>
          <w:rFonts w:hint="eastAsia" w:ascii="宋体" w:hAnsi="宋体" w:cs="宋体"/>
          <w:color w:val="auto"/>
          <w:sz w:val="24"/>
        </w:rPr>
        <w:t>文件、中标通知书均为合同的有效组成部分，与本合</w:t>
      </w:r>
    </w:p>
    <w:p w14:paraId="607D2AF9">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同具有同等法律效力。</w:t>
      </w:r>
    </w:p>
    <w:p w14:paraId="083DEC67">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 2. 在执行本合同的过程中，所有经双方签署确认的文件（包括会议纪要、补充协议、往来信函）即成为本合同的有效组成部分。 </w:t>
      </w:r>
    </w:p>
    <w:p w14:paraId="3C6CA4F2">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如一方地址、电话、传真号码有变更，应在变更当日内书面通知对方，否则，应承担相应责任。</w:t>
      </w:r>
    </w:p>
    <w:p w14:paraId="65C93D73">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 4. 除甲方事先书面同意外，乙方不得部分或全部转让其应履行的合同项下的义务。 </w:t>
      </w:r>
    </w:p>
    <w:p w14:paraId="3BE703E3">
      <w:pPr>
        <w:keepNext w:val="0"/>
        <w:keepLines w:val="0"/>
        <w:pageBreakBefore w:val="0"/>
        <w:kinsoku/>
        <w:wordWrap/>
        <w:overflowPunct/>
        <w:topLinePunct w:val="0"/>
        <w:autoSpaceDE w:val="0"/>
        <w:autoSpaceDN w:val="0"/>
        <w:bidi w:val="0"/>
        <w:adjustRightInd w:val="0"/>
        <w:snapToGrid/>
        <w:spacing w:line="44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十三、 合同生效： </w:t>
      </w:r>
    </w:p>
    <w:p w14:paraId="298DCF28">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1.本合同在甲乙双方法人代表或其授权代表签字盖章后生效。 </w:t>
      </w:r>
    </w:p>
    <w:p w14:paraId="7B429B89">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2. 合同一式__份。 </w:t>
      </w:r>
    </w:p>
    <w:p w14:paraId="7892424E">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甲方（盖章）：                    乙方（盖章）： </w:t>
      </w:r>
    </w:p>
    <w:p w14:paraId="7E590196">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代表：                            代表： </w:t>
      </w:r>
    </w:p>
    <w:p w14:paraId="28F5614A">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签定地点： </w:t>
      </w:r>
    </w:p>
    <w:p w14:paraId="1C2DEE66">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签定日期： 年 月 日                签定日期： 年 月 日 </w:t>
      </w:r>
    </w:p>
    <w:p w14:paraId="0DC2C5A1">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rPr>
      </w:pPr>
      <w:r>
        <w:rPr>
          <w:rFonts w:hint="eastAsia" w:ascii="宋体" w:hAnsi="宋体" w:cs="宋体"/>
          <w:color w:val="auto"/>
          <w:kern w:val="0"/>
          <w:sz w:val="24"/>
        </w:rPr>
        <w:t xml:space="preserve">                                   开户名称： </w:t>
      </w:r>
    </w:p>
    <w:p w14:paraId="58339288">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rPr>
      </w:pPr>
      <w:r>
        <w:rPr>
          <w:rFonts w:hint="eastAsia" w:ascii="宋体" w:hAnsi="宋体" w:cs="宋体"/>
          <w:color w:val="auto"/>
          <w:kern w:val="0"/>
          <w:sz w:val="24"/>
        </w:rPr>
        <w:t xml:space="preserve">                                   银行帐号： </w:t>
      </w:r>
    </w:p>
    <w:p w14:paraId="258EBEF3">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auto"/>
          <w:kern w:val="0"/>
          <w:sz w:val="24"/>
        </w:rPr>
      </w:pPr>
      <w:r>
        <w:rPr>
          <w:rFonts w:hint="eastAsia" w:ascii="宋体" w:hAnsi="宋体" w:cs="宋体"/>
          <w:color w:val="auto"/>
          <w:kern w:val="0"/>
          <w:sz w:val="24"/>
        </w:rPr>
        <w:t xml:space="preserve">                                   开 户 行： </w:t>
      </w:r>
    </w:p>
    <w:p w14:paraId="44FE1FE1">
      <w:pPr>
        <w:pStyle w:val="2"/>
        <w:spacing w:before="31"/>
        <w:jc w:val="both"/>
        <w:rPr>
          <w:color w:val="auto"/>
        </w:rPr>
      </w:pPr>
      <w:r>
        <w:rPr>
          <w:rFonts w:hint="eastAsia"/>
          <w:color w:val="auto"/>
        </w:rPr>
        <w:br w:type="page"/>
      </w:r>
      <w:bookmarkStart w:id="280" w:name="_Toc9875"/>
      <w:r>
        <w:rPr>
          <w:rFonts w:hint="eastAsia"/>
          <w:b/>
          <w:bCs/>
          <w:color w:val="auto"/>
        </w:rPr>
        <w:t>第六章</w:t>
      </w:r>
      <w:r>
        <w:rPr>
          <w:rFonts w:hint="eastAsia"/>
          <w:b/>
          <w:bCs/>
          <w:color w:val="auto"/>
          <w:lang w:val="en-US" w:eastAsia="zh-CN"/>
        </w:rPr>
        <w:t xml:space="preserve"> </w:t>
      </w:r>
      <w:r>
        <w:rPr>
          <w:rFonts w:hint="eastAsia"/>
          <w:b/>
          <w:bCs/>
          <w:color w:val="auto"/>
        </w:rPr>
        <w:t>响应文件内容及格式</w:t>
      </w:r>
      <w:bookmarkEnd w:id="279"/>
      <w:bookmarkEnd w:id="280"/>
    </w:p>
    <w:p w14:paraId="0A522CDC">
      <w:pPr>
        <w:pStyle w:val="5"/>
        <w:spacing w:before="198"/>
        <w:ind w:left="897" w:right="909"/>
        <w:jc w:val="center"/>
        <w:rPr>
          <w:color w:val="auto"/>
        </w:rPr>
      </w:pPr>
      <w:bookmarkStart w:id="281" w:name="_Toc9511_WPSOffice_Level1"/>
      <w:r>
        <w:rPr>
          <w:color w:val="auto"/>
        </w:rPr>
        <w:t>（此格式仅供参考）</w:t>
      </w:r>
      <w:bookmarkEnd w:id="281"/>
    </w:p>
    <w:p w14:paraId="27054E7E">
      <w:pPr>
        <w:pStyle w:val="8"/>
        <w:ind w:left="0"/>
        <w:rPr>
          <w:b/>
          <w:color w:val="auto"/>
        </w:rPr>
      </w:pPr>
    </w:p>
    <w:p w14:paraId="3D21DF58">
      <w:pPr>
        <w:pStyle w:val="8"/>
        <w:spacing w:before="3"/>
        <w:ind w:left="0"/>
        <w:rPr>
          <w:b/>
          <w:color w:val="auto"/>
          <w:sz w:val="35"/>
        </w:rPr>
      </w:pPr>
    </w:p>
    <w:p w14:paraId="6E3EEB03">
      <w:pPr>
        <w:pStyle w:val="8"/>
        <w:ind w:left="0"/>
        <w:jc w:val="center"/>
        <w:rPr>
          <w:rFonts w:hint="eastAsia"/>
          <w:b/>
          <w:color w:val="auto"/>
          <w:sz w:val="48"/>
          <w:szCs w:val="28"/>
          <w:lang w:val="en-US" w:eastAsia="zh-CN"/>
        </w:rPr>
      </w:pPr>
    </w:p>
    <w:p w14:paraId="37693686">
      <w:pPr>
        <w:pStyle w:val="8"/>
        <w:ind w:left="0"/>
        <w:jc w:val="center"/>
        <w:rPr>
          <w:rFonts w:hint="default"/>
          <w:b/>
          <w:color w:val="auto"/>
          <w:sz w:val="52"/>
          <w:szCs w:val="32"/>
          <w:u w:val="single"/>
          <w:lang w:val="en-US" w:eastAsia="zh-CN"/>
        </w:rPr>
      </w:pPr>
      <w:r>
        <w:rPr>
          <w:rFonts w:hint="eastAsia"/>
          <w:b/>
          <w:color w:val="auto"/>
          <w:sz w:val="52"/>
          <w:szCs w:val="32"/>
          <w:u w:val="single"/>
          <w:lang w:val="en-US" w:eastAsia="zh-CN"/>
        </w:rPr>
        <w:t xml:space="preserve"> 项目名称 </w:t>
      </w:r>
    </w:p>
    <w:p w14:paraId="5F2A4483">
      <w:pPr>
        <w:pStyle w:val="18"/>
        <w:rPr>
          <w:rFonts w:hint="eastAsia"/>
          <w:color w:val="auto"/>
          <w:lang w:val="en-US" w:eastAsia="zh-CN"/>
        </w:rPr>
      </w:pPr>
    </w:p>
    <w:p w14:paraId="44F178E1">
      <w:pPr>
        <w:spacing w:before="375"/>
        <w:jc w:val="center"/>
        <w:outlineLvl w:val="9"/>
        <w:rPr>
          <w:rFonts w:hint="eastAsia" w:ascii="Times New Roman" w:hAnsi="Times New Roman" w:eastAsia="宋体" w:cs="Times New Roman"/>
          <w:b/>
          <w:color w:val="auto"/>
          <w:sz w:val="48"/>
          <w:szCs w:val="28"/>
          <w:lang w:val="en-US" w:eastAsia="zh-CN" w:bidi="ar-SA"/>
        </w:rPr>
      </w:pPr>
      <w:bookmarkStart w:id="282" w:name="_Toc839"/>
      <w:bookmarkStart w:id="283" w:name="_Toc20123_WPSOffice_Level1"/>
    </w:p>
    <w:p w14:paraId="261CB106">
      <w:pPr>
        <w:pStyle w:val="2"/>
        <w:outlineLvl w:val="9"/>
        <w:rPr>
          <w:rFonts w:hint="eastAsia"/>
          <w:lang w:val="en-US" w:eastAsia="zh-CN"/>
        </w:rPr>
      </w:pPr>
    </w:p>
    <w:p w14:paraId="4EE41A68">
      <w:pPr>
        <w:spacing w:before="375"/>
        <w:jc w:val="center"/>
        <w:outlineLvl w:val="0"/>
        <w:rPr>
          <w:b/>
          <w:color w:val="auto"/>
          <w:sz w:val="72"/>
        </w:rPr>
      </w:pPr>
      <w:bookmarkStart w:id="284" w:name="_Toc15721"/>
      <w:r>
        <w:rPr>
          <w:b/>
          <w:color w:val="auto"/>
          <w:sz w:val="72"/>
        </w:rPr>
        <w:t>响应文件</w:t>
      </w:r>
      <w:bookmarkEnd w:id="282"/>
      <w:bookmarkEnd w:id="283"/>
      <w:bookmarkEnd w:id="284"/>
    </w:p>
    <w:p w14:paraId="04F1FD90">
      <w:pPr>
        <w:pStyle w:val="8"/>
        <w:spacing w:before="3"/>
        <w:ind w:left="0"/>
        <w:jc w:val="center"/>
        <w:rPr>
          <w:b/>
          <w:color w:val="auto"/>
          <w:sz w:val="60"/>
        </w:rPr>
      </w:pPr>
    </w:p>
    <w:p w14:paraId="796E16AC">
      <w:pPr>
        <w:pStyle w:val="8"/>
        <w:ind w:left="0"/>
        <w:jc w:val="center"/>
        <w:outlineLvl w:val="0"/>
        <w:rPr>
          <w:b/>
          <w:color w:val="auto"/>
          <w:sz w:val="30"/>
        </w:rPr>
      </w:pPr>
      <w:bookmarkStart w:id="285" w:name="_Toc7912"/>
      <w:bookmarkStart w:id="286" w:name="_Toc25794"/>
      <w:bookmarkStart w:id="287" w:name="_Toc12366_WPSOffice_Level1"/>
      <w:r>
        <w:rPr>
          <w:b/>
          <w:color w:val="auto"/>
          <w:sz w:val="32"/>
        </w:rPr>
        <w:t>项目编号：</w:t>
      </w:r>
      <w:bookmarkEnd w:id="285"/>
      <w:bookmarkEnd w:id="286"/>
      <w:bookmarkEnd w:id="287"/>
    </w:p>
    <w:p w14:paraId="016C3C6D">
      <w:pPr>
        <w:pStyle w:val="8"/>
        <w:ind w:left="0"/>
        <w:rPr>
          <w:b/>
          <w:color w:val="auto"/>
          <w:sz w:val="30"/>
        </w:rPr>
      </w:pPr>
    </w:p>
    <w:p w14:paraId="6D92C648">
      <w:pPr>
        <w:pStyle w:val="8"/>
        <w:ind w:left="0"/>
        <w:rPr>
          <w:b/>
          <w:color w:val="auto"/>
          <w:sz w:val="30"/>
        </w:rPr>
      </w:pPr>
    </w:p>
    <w:p w14:paraId="4AE3F810">
      <w:pPr>
        <w:pStyle w:val="8"/>
        <w:ind w:left="0"/>
        <w:rPr>
          <w:b/>
          <w:color w:val="auto"/>
          <w:sz w:val="30"/>
        </w:rPr>
      </w:pPr>
    </w:p>
    <w:p w14:paraId="11681272">
      <w:pPr>
        <w:pStyle w:val="8"/>
        <w:ind w:left="0"/>
        <w:rPr>
          <w:b/>
          <w:color w:val="auto"/>
          <w:sz w:val="30"/>
        </w:rPr>
      </w:pPr>
    </w:p>
    <w:p w14:paraId="0BAB1517">
      <w:pPr>
        <w:pStyle w:val="8"/>
        <w:ind w:left="0"/>
        <w:rPr>
          <w:b/>
          <w:color w:val="auto"/>
          <w:sz w:val="30"/>
        </w:rPr>
      </w:pPr>
    </w:p>
    <w:p w14:paraId="56E1D79B">
      <w:pPr>
        <w:pStyle w:val="18"/>
        <w:rPr>
          <w:b/>
          <w:color w:val="auto"/>
          <w:sz w:val="30"/>
        </w:rPr>
      </w:pPr>
    </w:p>
    <w:p w14:paraId="6478C047">
      <w:pPr>
        <w:pStyle w:val="13"/>
        <w:rPr>
          <w:color w:val="auto"/>
        </w:rPr>
      </w:pPr>
    </w:p>
    <w:p w14:paraId="20969FF1">
      <w:pPr>
        <w:pStyle w:val="8"/>
        <w:keepNext w:val="0"/>
        <w:keepLines w:val="0"/>
        <w:pageBreakBefore w:val="0"/>
        <w:widowControl w:val="0"/>
        <w:kinsoku/>
        <w:wordWrap/>
        <w:overflowPunct/>
        <w:topLinePunct w:val="0"/>
        <w:autoSpaceDE w:val="0"/>
        <w:autoSpaceDN w:val="0"/>
        <w:bidi w:val="0"/>
        <w:adjustRightInd/>
        <w:snapToGrid/>
        <w:spacing w:line="480" w:lineRule="auto"/>
        <w:ind w:left="0" w:firstLine="0" w:firstLineChars="0"/>
        <w:textAlignment w:val="auto"/>
        <w:rPr>
          <w:b/>
          <w:color w:val="auto"/>
          <w:sz w:val="30"/>
        </w:rPr>
      </w:pPr>
    </w:p>
    <w:p w14:paraId="3B28FA0D">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rFonts w:hint="eastAsia"/>
          <w:color w:val="auto"/>
          <w:sz w:val="28"/>
          <w:szCs w:val="28"/>
        </w:rPr>
      </w:pPr>
      <w:bookmarkStart w:id="288" w:name="_Toc30532_WPSOffice_Level2"/>
    </w:p>
    <w:p w14:paraId="57F1D5A9">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r>
        <w:rPr>
          <w:rFonts w:hint="eastAsia"/>
          <w:color w:val="auto"/>
          <w:sz w:val="28"/>
          <w:szCs w:val="28"/>
        </w:rPr>
        <w:t>供应商：（公章签章）</w:t>
      </w:r>
      <w:bookmarkEnd w:id="288"/>
    </w:p>
    <w:p w14:paraId="08108128">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bookmarkStart w:id="289" w:name="_Toc1100_WPSOffice_Level3"/>
      <w:r>
        <w:rPr>
          <w:rFonts w:hint="eastAsia"/>
          <w:color w:val="auto"/>
          <w:sz w:val="28"/>
          <w:szCs w:val="28"/>
        </w:rPr>
        <w:t>法定代表人或其委托代理人：（法人签章）</w:t>
      </w:r>
      <w:bookmarkEnd w:id="289"/>
    </w:p>
    <w:p w14:paraId="5F406E02">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bookmarkStart w:id="290" w:name="_Toc31948_WPSOffice_Level2"/>
      <w:r>
        <w:rPr>
          <w:rFonts w:hint="eastAsia"/>
          <w:color w:val="auto"/>
          <w:sz w:val="28"/>
          <w:szCs w:val="28"/>
        </w:rPr>
        <w:t>年</w:t>
      </w:r>
      <w:r>
        <w:rPr>
          <w:rFonts w:hint="eastAsia"/>
          <w:color w:val="auto"/>
          <w:sz w:val="28"/>
          <w:szCs w:val="28"/>
          <w:lang w:val="en-US" w:eastAsia="zh-CN"/>
        </w:rPr>
        <w:t xml:space="preserve"> </w:t>
      </w:r>
      <w:r>
        <w:rPr>
          <w:rFonts w:hint="eastAsia"/>
          <w:color w:val="auto"/>
          <w:sz w:val="28"/>
          <w:szCs w:val="28"/>
        </w:rPr>
        <w:t>月</w:t>
      </w:r>
      <w:r>
        <w:rPr>
          <w:rFonts w:hint="eastAsia"/>
          <w:color w:val="auto"/>
          <w:sz w:val="28"/>
          <w:szCs w:val="28"/>
          <w:lang w:val="en-US" w:eastAsia="zh-CN"/>
        </w:rPr>
        <w:t xml:space="preserve"> </w:t>
      </w:r>
      <w:r>
        <w:rPr>
          <w:rFonts w:hint="eastAsia"/>
          <w:color w:val="auto"/>
          <w:sz w:val="28"/>
          <w:szCs w:val="28"/>
        </w:rPr>
        <w:t>日</w:t>
      </w:r>
      <w:bookmarkEnd w:id="290"/>
    </w:p>
    <w:p w14:paraId="3802C517">
      <w:pPr>
        <w:spacing w:before="13"/>
        <w:ind w:right="446"/>
        <w:jc w:val="center"/>
        <w:rPr>
          <w:color w:val="auto"/>
          <w:sz w:val="44"/>
          <w:szCs w:val="21"/>
        </w:rPr>
      </w:pPr>
      <w:r>
        <w:rPr>
          <w:color w:val="auto"/>
          <w:sz w:val="48"/>
        </w:rPr>
        <w:br w:type="page"/>
      </w:r>
      <w:bookmarkStart w:id="291" w:name="_Toc28927_WPSOffice_Level3"/>
      <w:r>
        <w:rPr>
          <w:color w:val="auto"/>
          <w:sz w:val="44"/>
          <w:szCs w:val="21"/>
        </w:rPr>
        <w:t>目</w:t>
      </w:r>
      <w:r>
        <w:rPr>
          <w:rFonts w:hint="eastAsia"/>
          <w:color w:val="auto"/>
          <w:sz w:val="44"/>
          <w:szCs w:val="21"/>
          <w:lang w:val="en-US" w:eastAsia="zh-CN"/>
        </w:rPr>
        <w:t xml:space="preserve"> </w:t>
      </w:r>
      <w:r>
        <w:rPr>
          <w:color w:val="auto"/>
          <w:sz w:val="44"/>
          <w:szCs w:val="21"/>
        </w:rPr>
        <w:t>录</w:t>
      </w:r>
      <w:bookmarkEnd w:id="291"/>
    </w:p>
    <w:p w14:paraId="132C93E9">
      <w:pPr>
        <w:pStyle w:val="8"/>
        <w:spacing w:before="12"/>
        <w:ind w:left="0"/>
        <w:jc w:val="center"/>
        <w:rPr>
          <w:color w:val="auto"/>
          <w:sz w:val="44"/>
        </w:rPr>
      </w:pPr>
    </w:p>
    <w:p w14:paraId="137B314A">
      <w:pPr>
        <w:jc w:val="center"/>
        <w:rPr>
          <w:rFonts w:hint="eastAsia" w:eastAsia="宋体"/>
          <w:color w:val="auto"/>
          <w:lang w:eastAsia="zh-CN"/>
        </w:rPr>
        <w:sectPr>
          <w:footerReference r:id="rId7" w:type="default"/>
          <w:pgSz w:w="11910" w:h="16840"/>
          <w:pgMar w:top="1340" w:right="1020" w:bottom="900" w:left="1040" w:header="0" w:footer="720" w:gutter="0"/>
          <w:pgNumType w:fmt="decimal"/>
          <w:cols w:space="720" w:num="1"/>
        </w:sectPr>
      </w:pPr>
      <w:r>
        <w:rPr>
          <w:rFonts w:hint="eastAsia"/>
          <w:color w:val="auto"/>
          <w:lang w:eastAsia="zh-CN"/>
        </w:rPr>
        <w:t>（格式自拟）</w:t>
      </w:r>
    </w:p>
    <w:p w14:paraId="140F4987">
      <w:pPr>
        <w:spacing w:line="360" w:lineRule="auto"/>
        <w:jc w:val="center"/>
        <w:outlineLvl w:val="0"/>
        <w:rPr>
          <w:b/>
          <w:bCs/>
          <w:color w:val="auto"/>
          <w:sz w:val="28"/>
          <w:szCs w:val="20"/>
          <w:lang w:val="en-US"/>
        </w:rPr>
      </w:pPr>
      <w:bookmarkStart w:id="292" w:name="_Toc152045788"/>
      <w:bookmarkStart w:id="293" w:name="_Toc144974857"/>
      <w:bookmarkStart w:id="294" w:name="_Toc152042577"/>
      <w:bookmarkStart w:id="295" w:name="_Toc487498495"/>
      <w:bookmarkStart w:id="296" w:name="_Toc28978"/>
      <w:bookmarkStart w:id="297" w:name="_Toc17559"/>
      <w:bookmarkStart w:id="298" w:name="_Toc25215"/>
      <w:bookmarkStart w:id="299" w:name="_Toc8655_WPSOffice_Level1"/>
      <w:r>
        <w:rPr>
          <w:rFonts w:hint="eastAsia"/>
          <w:b/>
          <w:bCs/>
          <w:color w:val="auto"/>
          <w:sz w:val="28"/>
          <w:szCs w:val="20"/>
          <w:lang w:val="en-US"/>
        </w:rPr>
        <w:t>一、磋商函及</w:t>
      </w:r>
      <w:bookmarkEnd w:id="292"/>
      <w:bookmarkEnd w:id="293"/>
      <w:bookmarkEnd w:id="294"/>
      <w:r>
        <w:rPr>
          <w:rFonts w:hint="eastAsia"/>
          <w:b/>
          <w:bCs/>
          <w:color w:val="auto"/>
          <w:sz w:val="28"/>
          <w:szCs w:val="20"/>
          <w:lang w:val="en-US"/>
        </w:rPr>
        <w:t>磋商函附录</w:t>
      </w:r>
      <w:bookmarkEnd w:id="295"/>
      <w:bookmarkEnd w:id="296"/>
      <w:bookmarkEnd w:id="297"/>
      <w:bookmarkEnd w:id="298"/>
      <w:bookmarkEnd w:id="299"/>
    </w:p>
    <w:p w14:paraId="3C7D2FDA">
      <w:pPr>
        <w:spacing w:line="360" w:lineRule="auto"/>
        <w:jc w:val="center"/>
        <w:outlineLvl w:val="2"/>
        <w:rPr>
          <w:color w:val="auto"/>
          <w:sz w:val="28"/>
          <w:szCs w:val="20"/>
          <w:lang w:val="en-US"/>
        </w:rPr>
      </w:pPr>
      <w:bookmarkStart w:id="300" w:name="_Toc455080170"/>
      <w:bookmarkStart w:id="301" w:name="_Toc144974858"/>
      <w:bookmarkStart w:id="302" w:name="_Toc26262"/>
      <w:bookmarkStart w:id="303" w:name="_Toc318450744"/>
      <w:bookmarkStart w:id="304" w:name="_Toc8915"/>
      <w:bookmarkStart w:id="305" w:name="_Toc7366_WPSOffice_Level2"/>
      <w:bookmarkStart w:id="306" w:name="_Toc464035571"/>
      <w:bookmarkStart w:id="307" w:name="_Toc152045789"/>
      <w:bookmarkStart w:id="308" w:name="_Toc26765"/>
      <w:bookmarkStart w:id="309" w:name="_Toc463701092"/>
      <w:bookmarkStart w:id="310" w:name="_Toc23888"/>
      <w:bookmarkStart w:id="311" w:name="_Toc11855"/>
      <w:bookmarkStart w:id="312" w:name="_Toc487498496"/>
      <w:bookmarkStart w:id="313" w:name="_Toc30581"/>
      <w:bookmarkStart w:id="314" w:name="_Toc18705"/>
      <w:bookmarkStart w:id="315" w:name="_Toc152042578"/>
      <w:bookmarkStart w:id="316" w:name="_Toc488504497"/>
      <w:r>
        <w:rPr>
          <w:rFonts w:hint="eastAsia"/>
          <w:color w:val="auto"/>
          <w:sz w:val="28"/>
          <w:szCs w:val="20"/>
          <w:lang w:val="en-US"/>
        </w:rPr>
        <w:t>（一）磋商函</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CAF3EC5">
      <w:pPr>
        <w:spacing w:line="360" w:lineRule="auto"/>
        <w:rPr>
          <w:color w:val="auto"/>
          <w:sz w:val="24"/>
        </w:rPr>
      </w:pPr>
      <w:r>
        <w:rPr>
          <w:rFonts w:hint="eastAsia"/>
          <w:color w:val="auto"/>
          <w:sz w:val="24"/>
          <w:u w:val="single"/>
        </w:rPr>
        <w:t>（采购人名称）</w:t>
      </w:r>
      <w:r>
        <w:rPr>
          <w:rFonts w:hint="eastAsia"/>
          <w:color w:val="auto"/>
          <w:sz w:val="24"/>
        </w:rPr>
        <w:t>：</w:t>
      </w:r>
    </w:p>
    <w:p w14:paraId="58FADC04">
      <w:pPr>
        <w:spacing w:line="360" w:lineRule="auto"/>
        <w:ind w:firstLine="480" w:firstLineChars="200"/>
        <w:rPr>
          <w:color w:val="auto"/>
          <w:sz w:val="24"/>
        </w:rPr>
      </w:pPr>
      <w:r>
        <w:rPr>
          <w:rFonts w:hint="eastAsia"/>
          <w:color w:val="auto"/>
          <w:sz w:val="24"/>
        </w:rPr>
        <w:t xml:space="preserve">1．我方在考察现场并充分研究 </w:t>
      </w:r>
      <w:r>
        <w:rPr>
          <w:rFonts w:hint="eastAsia"/>
          <w:color w:val="auto"/>
          <w:sz w:val="24"/>
          <w:u w:val="single"/>
        </w:rPr>
        <w:t xml:space="preserve">      （项目名称）</w:t>
      </w:r>
      <w:r>
        <w:rPr>
          <w:rFonts w:hint="eastAsia"/>
          <w:color w:val="auto"/>
          <w:sz w:val="24"/>
          <w:u w:val="single"/>
          <w:lang w:val="en-US" w:eastAsia="zh-CN"/>
        </w:rPr>
        <w:t xml:space="preserve"> </w:t>
      </w:r>
      <w:r>
        <w:rPr>
          <w:rFonts w:hint="eastAsia"/>
          <w:color w:val="auto"/>
          <w:sz w:val="24"/>
        </w:rPr>
        <w:t>磋商文件的全部内容，</w:t>
      </w:r>
      <w:r>
        <w:rPr>
          <w:rFonts w:hint="eastAsia" w:ascii="宋体" w:hAnsi="宋体"/>
          <w:b w:val="0"/>
          <w:bCs w:val="0"/>
          <w:color w:val="auto"/>
          <w:sz w:val="24"/>
          <w:szCs w:val="24"/>
          <w:highlight w:val="none"/>
        </w:rPr>
        <w:t>我方愿以人民币（大写）：</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（小写：</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元）的投标报价；</w:t>
      </w:r>
      <w:r>
        <w:rPr>
          <w:rFonts w:hint="eastAsia" w:ascii="宋体" w:hAnsi="宋体"/>
          <w:b w:val="0"/>
          <w:bCs w:val="0"/>
          <w:color w:val="auto"/>
          <w:sz w:val="24"/>
          <w:szCs w:val="24"/>
          <w:highlight w:val="none"/>
          <w:lang w:val="en-US" w:eastAsia="zh-CN"/>
        </w:rPr>
        <w:t>服务地点：</w:t>
      </w:r>
      <w:r>
        <w:rPr>
          <w:rFonts w:hint="eastAsia" w:ascii="宋体" w:hAnsi="宋体"/>
          <w:b w:val="0"/>
          <w:bCs w:val="0"/>
          <w:color w:val="auto"/>
          <w:kern w:val="0"/>
          <w:sz w:val="24"/>
          <w:szCs w:val="28"/>
          <w:highlight w:val="none"/>
          <w:u w:val="single"/>
        </w:rPr>
        <w:t xml:space="preserve">         </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设计周期</w:t>
      </w:r>
      <w:r>
        <w:rPr>
          <w:rFonts w:hint="eastAsia" w:ascii="宋体" w:hAnsi="宋体"/>
          <w:b w:val="0"/>
          <w:bCs w:val="0"/>
          <w:color w:val="auto"/>
          <w:kern w:val="0"/>
          <w:sz w:val="24"/>
          <w:szCs w:val="28"/>
          <w:highlight w:val="none"/>
        </w:rPr>
        <w:t>：</w:t>
      </w:r>
      <w:r>
        <w:rPr>
          <w:rFonts w:hint="eastAsia" w:ascii="宋体" w:hAnsi="宋体"/>
          <w:b w:val="0"/>
          <w:bCs w:val="0"/>
          <w:color w:val="auto"/>
          <w:kern w:val="0"/>
          <w:sz w:val="24"/>
          <w:szCs w:val="28"/>
          <w:highlight w:val="none"/>
          <w:u w:val="single"/>
        </w:rPr>
        <w:t xml:space="preserve">         </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质量要求：</w:t>
      </w:r>
      <w:r>
        <w:rPr>
          <w:rFonts w:hint="eastAsia" w:ascii="宋体" w:hAnsi="宋体"/>
          <w:b w:val="0"/>
          <w:bCs w:val="0"/>
          <w:color w:val="auto"/>
          <w:sz w:val="24"/>
          <w:szCs w:val="24"/>
          <w:highlight w:val="none"/>
          <w:u w:val="single"/>
          <w:lang w:val="en-US" w:eastAsia="zh-CN"/>
        </w:rPr>
        <w:t xml:space="preserve">             </w:t>
      </w:r>
      <w:r>
        <w:rPr>
          <w:rFonts w:hint="eastAsia" w:ascii="宋体" w:hAnsi="宋体"/>
          <w:b w:val="0"/>
          <w:bCs w:val="0"/>
          <w:color w:val="auto"/>
          <w:sz w:val="24"/>
          <w:szCs w:val="24"/>
          <w:highlight w:val="none"/>
          <w:u w:val="none"/>
          <w:lang w:val="en-US" w:eastAsia="zh-CN"/>
        </w:rPr>
        <w:t>；</w:t>
      </w:r>
      <w:r>
        <w:rPr>
          <w:rFonts w:hint="eastAsia" w:ascii="宋体" w:hAnsi="宋体"/>
          <w:b w:val="0"/>
          <w:bCs w:val="0"/>
          <w:color w:val="auto"/>
          <w:sz w:val="24"/>
          <w:szCs w:val="24"/>
          <w:highlight w:val="none"/>
        </w:rPr>
        <w:t>承包上述项目的服务</w:t>
      </w:r>
      <w:r>
        <w:rPr>
          <w:rFonts w:hint="eastAsia" w:ascii="宋体" w:hAnsi="宋体"/>
          <w:b w:val="0"/>
          <w:bCs w:val="0"/>
          <w:color w:val="auto"/>
          <w:sz w:val="24"/>
          <w:szCs w:val="24"/>
          <w:highlight w:val="none"/>
          <w:shd w:val="clear" w:color="auto" w:fill="FFFFFF"/>
        </w:rPr>
        <w:t>。</w:t>
      </w:r>
      <w:r>
        <w:rPr>
          <w:rFonts w:hint="eastAsia"/>
          <w:color w:val="auto"/>
          <w:sz w:val="24"/>
        </w:rPr>
        <w:t>并严格按照合同约定完成相关</w:t>
      </w:r>
      <w:r>
        <w:rPr>
          <w:rFonts w:hint="eastAsia"/>
          <w:color w:val="auto"/>
          <w:sz w:val="24"/>
          <w:lang w:eastAsia="zh-CN"/>
        </w:rPr>
        <w:t>设计</w:t>
      </w:r>
      <w:r>
        <w:rPr>
          <w:rFonts w:hint="eastAsia"/>
          <w:color w:val="auto"/>
          <w:sz w:val="24"/>
        </w:rPr>
        <w:t>服务。</w:t>
      </w:r>
    </w:p>
    <w:p w14:paraId="55D4FDA3">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据此函，经考察现场并</w:t>
      </w:r>
      <w:r>
        <w:rPr>
          <w:rFonts w:hint="eastAsia"/>
          <w:color w:val="auto"/>
          <w:sz w:val="24"/>
        </w:rPr>
        <w:t>认真</w:t>
      </w:r>
      <w:r>
        <w:rPr>
          <w:color w:val="auto"/>
          <w:sz w:val="24"/>
        </w:rPr>
        <w:t>研究</w:t>
      </w:r>
      <w:r>
        <w:rPr>
          <w:rFonts w:hint="eastAsia"/>
          <w:color w:val="auto"/>
          <w:sz w:val="24"/>
        </w:rPr>
        <w:t>磋商</w:t>
      </w:r>
      <w:r>
        <w:rPr>
          <w:color w:val="auto"/>
          <w:sz w:val="24"/>
        </w:rPr>
        <w:t>文件后，</w:t>
      </w:r>
      <w:r>
        <w:rPr>
          <w:rFonts w:hint="eastAsia"/>
          <w:color w:val="auto"/>
          <w:sz w:val="24"/>
        </w:rPr>
        <w:t>我方</w:t>
      </w:r>
      <w:r>
        <w:rPr>
          <w:color w:val="auto"/>
          <w:sz w:val="24"/>
        </w:rPr>
        <w:t>同意：</w:t>
      </w:r>
    </w:p>
    <w:p w14:paraId="27884C79">
      <w:pPr>
        <w:spacing w:line="360" w:lineRule="auto"/>
        <w:ind w:firstLine="480" w:firstLineChars="200"/>
        <w:rPr>
          <w:color w:val="auto"/>
          <w:sz w:val="24"/>
        </w:rPr>
      </w:pPr>
      <w:r>
        <w:rPr>
          <w:rFonts w:hint="eastAsia"/>
          <w:color w:val="auto"/>
          <w:sz w:val="24"/>
          <w:lang w:val="en-US"/>
        </w:rPr>
        <w:t>2</w:t>
      </w:r>
      <w:r>
        <w:rPr>
          <w:color w:val="auto"/>
          <w:sz w:val="24"/>
        </w:rPr>
        <w:t>.1</w:t>
      </w:r>
      <w:r>
        <w:rPr>
          <w:rFonts w:hint="eastAsia"/>
          <w:color w:val="auto"/>
          <w:sz w:val="24"/>
        </w:rPr>
        <w:t>根据项目情况，</w:t>
      </w:r>
      <w:r>
        <w:rPr>
          <w:color w:val="auto"/>
          <w:sz w:val="24"/>
        </w:rPr>
        <w:t>自主报价参与商务投标报价并承担</w:t>
      </w:r>
      <w:r>
        <w:rPr>
          <w:rFonts w:hint="eastAsia"/>
          <w:color w:val="auto"/>
          <w:sz w:val="24"/>
        </w:rPr>
        <w:t>磋商</w:t>
      </w:r>
      <w:r>
        <w:rPr>
          <w:color w:val="auto"/>
          <w:sz w:val="24"/>
        </w:rPr>
        <w:t>文件规定的</w:t>
      </w:r>
      <w:r>
        <w:rPr>
          <w:rFonts w:hint="eastAsia"/>
          <w:color w:val="auto"/>
          <w:sz w:val="24"/>
        </w:rPr>
        <w:t>各项内容及服务</w:t>
      </w:r>
      <w:r>
        <w:rPr>
          <w:color w:val="auto"/>
          <w:sz w:val="24"/>
        </w:rPr>
        <w:t>（报价表附后）。</w:t>
      </w:r>
    </w:p>
    <w:p w14:paraId="3E586523">
      <w:pPr>
        <w:spacing w:line="360" w:lineRule="auto"/>
        <w:ind w:firstLine="480" w:firstLineChars="200"/>
        <w:rPr>
          <w:color w:val="auto"/>
          <w:sz w:val="24"/>
        </w:rPr>
      </w:pPr>
      <w:r>
        <w:rPr>
          <w:rFonts w:hint="eastAsia"/>
          <w:color w:val="auto"/>
          <w:sz w:val="24"/>
          <w:lang w:val="en-US"/>
        </w:rPr>
        <w:t>2</w:t>
      </w:r>
      <w:r>
        <w:rPr>
          <w:color w:val="auto"/>
          <w:sz w:val="24"/>
        </w:rPr>
        <w:t>.2接受</w:t>
      </w:r>
      <w:r>
        <w:rPr>
          <w:rFonts w:hint="eastAsia"/>
          <w:color w:val="auto"/>
          <w:sz w:val="24"/>
        </w:rPr>
        <w:t>采购人“合同文本”中</w:t>
      </w:r>
      <w:r>
        <w:rPr>
          <w:color w:val="auto"/>
          <w:sz w:val="24"/>
        </w:rPr>
        <w:t>条款的所有要求。</w:t>
      </w:r>
    </w:p>
    <w:p w14:paraId="5F6BEEFB">
      <w:pPr>
        <w:spacing w:line="360" w:lineRule="auto"/>
        <w:ind w:firstLine="480" w:firstLineChars="200"/>
        <w:rPr>
          <w:color w:val="auto"/>
          <w:sz w:val="24"/>
        </w:rPr>
      </w:pPr>
      <w:r>
        <w:rPr>
          <w:rFonts w:hint="eastAsia"/>
          <w:color w:val="auto"/>
          <w:sz w:val="24"/>
          <w:lang w:val="en-US"/>
        </w:rPr>
        <w:t>2</w:t>
      </w:r>
      <w:r>
        <w:rPr>
          <w:color w:val="auto"/>
          <w:sz w:val="24"/>
        </w:rPr>
        <w:t>.3一旦我方</w:t>
      </w:r>
      <w:r>
        <w:rPr>
          <w:rFonts w:hint="eastAsia"/>
          <w:color w:val="auto"/>
          <w:sz w:val="24"/>
        </w:rPr>
        <w:t>成交</w:t>
      </w:r>
      <w:r>
        <w:rPr>
          <w:color w:val="auto"/>
          <w:sz w:val="24"/>
        </w:rPr>
        <w:t>，保证按</w:t>
      </w:r>
      <w:r>
        <w:rPr>
          <w:rFonts w:hint="eastAsia"/>
          <w:color w:val="auto"/>
          <w:sz w:val="24"/>
        </w:rPr>
        <w:t>磋商</w:t>
      </w:r>
      <w:r>
        <w:rPr>
          <w:color w:val="auto"/>
          <w:sz w:val="24"/>
        </w:rPr>
        <w:t>文件的规定和投标时的相关承诺提供</w:t>
      </w:r>
      <w:r>
        <w:rPr>
          <w:rFonts w:hint="eastAsia"/>
          <w:color w:val="auto"/>
          <w:sz w:val="24"/>
        </w:rPr>
        <w:t>相关产品及</w:t>
      </w:r>
      <w:r>
        <w:rPr>
          <w:color w:val="auto"/>
          <w:sz w:val="24"/>
        </w:rPr>
        <w:t>服务。</w:t>
      </w:r>
    </w:p>
    <w:p w14:paraId="22104E27">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4按</w:t>
      </w:r>
      <w:r>
        <w:rPr>
          <w:rFonts w:hint="eastAsia"/>
          <w:color w:val="auto"/>
          <w:sz w:val="24"/>
        </w:rPr>
        <w:t>磋商</w:t>
      </w:r>
      <w:r>
        <w:rPr>
          <w:color w:val="auto"/>
          <w:sz w:val="24"/>
        </w:rPr>
        <w:t>文件中的规定，认定本</w:t>
      </w:r>
      <w:r>
        <w:rPr>
          <w:rFonts w:hint="eastAsia"/>
          <w:color w:val="auto"/>
          <w:sz w:val="24"/>
        </w:rPr>
        <w:t>响应</w:t>
      </w:r>
      <w:r>
        <w:rPr>
          <w:color w:val="auto"/>
          <w:sz w:val="24"/>
        </w:rPr>
        <w:t>文件的有效期为</w:t>
      </w:r>
      <w:r>
        <w:rPr>
          <w:rFonts w:hint="eastAsia"/>
          <w:color w:val="auto"/>
          <w:sz w:val="24"/>
        </w:rPr>
        <w:t>响应文件递交</w:t>
      </w:r>
      <w:r>
        <w:rPr>
          <w:color w:val="auto"/>
          <w:sz w:val="24"/>
        </w:rPr>
        <w:t>截止</w:t>
      </w:r>
      <w:r>
        <w:rPr>
          <w:rFonts w:hint="eastAsia"/>
          <w:color w:val="auto"/>
          <w:sz w:val="24"/>
        </w:rPr>
        <w:t>日</w:t>
      </w:r>
      <w:r>
        <w:rPr>
          <w:color w:val="auto"/>
          <w:sz w:val="24"/>
        </w:rPr>
        <w:t>后60</w:t>
      </w:r>
      <w:r>
        <w:rPr>
          <w:rFonts w:hint="eastAsia"/>
          <w:color w:val="auto"/>
          <w:sz w:val="24"/>
        </w:rPr>
        <w:t>日历</w:t>
      </w:r>
      <w:r>
        <w:rPr>
          <w:color w:val="auto"/>
          <w:sz w:val="24"/>
        </w:rPr>
        <w:t>天。本</w:t>
      </w:r>
      <w:r>
        <w:rPr>
          <w:rFonts w:hint="eastAsia"/>
          <w:color w:val="auto"/>
          <w:sz w:val="24"/>
        </w:rPr>
        <w:t>响应</w:t>
      </w:r>
      <w:r>
        <w:rPr>
          <w:color w:val="auto"/>
          <w:sz w:val="24"/>
        </w:rPr>
        <w:t>文件在截止</w:t>
      </w:r>
      <w:r>
        <w:rPr>
          <w:rFonts w:hint="eastAsia"/>
          <w:color w:val="auto"/>
          <w:sz w:val="24"/>
        </w:rPr>
        <w:t>日起即</w:t>
      </w:r>
      <w:r>
        <w:rPr>
          <w:color w:val="auto"/>
          <w:sz w:val="24"/>
        </w:rPr>
        <w:t>对我方</w:t>
      </w:r>
      <w:r>
        <w:rPr>
          <w:rFonts w:hint="eastAsia"/>
          <w:color w:val="auto"/>
          <w:sz w:val="24"/>
        </w:rPr>
        <w:t>具</w:t>
      </w:r>
      <w:r>
        <w:rPr>
          <w:color w:val="auto"/>
          <w:sz w:val="24"/>
        </w:rPr>
        <w:t>有约束力</w:t>
      </w:r>
      <w:r>
        <w:rPr>
          <w:rFonts w:hint="eastAsia"/>
          <w:color w:val="auto"/>
          <w:sz w:val="24"/>
        </w:rPr>
        <w:t>。</w:t>
      </w:r>
    </w:p>
    <w:p w14:paraId="19CF4DEB">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5提供</w:t>
      </w:r>
      <w:r>
        <w:rPr>
          <w:rFonts w:hint="eastAsia"/>
          <w:color w:val="auto"/>
          <w:sz w:val="24"/>
        </w:rPr>
        <w:t>磋商</w:t>
      </w:r>
      <w:r>
        <w:rPr>
          <w:color w:val="auto"/>
          <w:sz w:val="24"/>
        </w:rPr>
        <w:t>文件中要求的所有文件资料。</w:t>
      </w:r>
    </w:p>
    <w:p w14:paraId="7A4CFF78">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6承认报价是评标的重要因素，但不是唯一标准。</w:t>
      </w:r>
      <w:r>
        <w:rPr>
          <w:rFonts w:hint="eastAsia"/>
          <w:color w:val="auto"/>
          <w:sz w:val="24"/>
        </w:rPr>
        <w:t>我方完全理解采购人不一定将合同授予最低报价的供应商的行为。</w:t>
      </w:r>
    </w:p>
    <w:p w14:paraId="4FE6857B">
      <w:pPr>
        <w:spacing w:line="360" w:lineRule="auto"/>
        <w:ind w:firstLine="480" w:firstLineChars="200"/>
        <w:rPr>
          <w:color w:val="auto"/>
          <w:sz w:val="24"/>
        </w:rPr>
      </w:pPr>
      <w:r>
        <w:rPr>
          <w:rFonts w:hint="eastAsia"/>
          <w:color w:val="auto"/>
          <w:sz w:val="24"/>
          <w:lang w:val="en-US"/>
        </w:rPr>
        <w:t>2</w:t>
      </w:r>
      <w:r>
        <w:rPr>
          <w:rFonts w:hint="eastAsia"/>
          <w:color w:val="auto"/>
          <w:sz w:val="24"/>
        </w:rPr>
        <w:t>.7</w:t>
      </w:r>
      <w:r>
        <w:rPr>
          <w:color w:val="auto"/>
          <w:sz w:val="24"/>
        </w:rPr>
        <w:t>已经详细审核了全部</w:t>
      </w:r>
      <w:r>
        <w:rPr>
          <w:rFonts w:hint="eastAsia"/>
          <w:color w:val="auto"/>
          <w:sz w:val="24"/>
        </w:rPr>
        <w:t>磋商</w:t>
      </w:r>
      <w:r>
        <w:rPr>
          <w:color w:val="auto"/>
          <w:sz w:val="24"/>
        </w:rPr>
        <w:t>文件，包括修改、补充的文件（如果有的话）和参考资料，我们完全理解并同意放弃对这方面有不明及误解的权利。</w:t>
      </w:r>
    </w:p>
    <w:p w14:paraId="53F13743">
      <w:pPr>
        <w:spacing w:line="360" w:lineRule="auto"/>
        <w:ind w:firstLine="480" w:firstLineChars="200"/>
        <w:rPr>
          <w:color w:val="auto"/>
          <w:sz w:val="24"/>
        </w:rPr>
      </w:pPr>
      <w:r>
        <w:rPr>
          <w:rFonts w:hint="eastAsia"/>
          <w:color w:val="auto"/>
          <w:sz w:val="24"/>
          <w:lang w:val="en-US"/>
        </w:rPr>
        <w:t>2</w:t>
      </w:r>
      <w:r>
        <w:rPr>
          <w:rFonts w:hint="eastAsia"/>
          <w:color w:val="auto"/>
          <w:sz w:val="24"/>
        </w:rPr>
        <w:t>.8</w:t>
      </w:r>
      <w:r>
        <w:rPr>
          <w:color w:val="auto"/>
          <w:sz w:val="24"/>
        </w:rPr>
        <w:t>按《中华人民共和国</w:t>
      </w:r>
      <w:r>
        <w:rPr>
          <w:rFonts w:hint="eastAsia"/>
          <w:color w:val="auto"/>
          <w:sz w:val="24"/>
          <w:lang w:eastAsia="zh-CN"/>
        </w:rPr>
        <w:t>民法典</w:t>
      </w:r>
      <w:r>
        <w:rPr>
          <w:color w:val="auto"/>
          <w:sz w:val="24"/>
        </w:rPr>
        <w:t>》履行自己的全部责任。</w:t>
      </w:r>
    </w:p>
    <w:p w14:paraId="43BC0124">
      <w:pPr>
        <w:spacing w:line="400" w:lineRule="exact"/>
        <w:ind w:firstLine="4200" w:firstLineChars="1750"/>
        <w:rPr>
          <w:color w:val="auto"/>
          <w:sz w:val="24"/>
        </w:rPr>
      </w:pPr>
    </w:p>
    <w:p w14:paraId="29CEA4F3">
      <w:pPr>
        <w:spacing w:line="360" w:lineRule="auto"/>
        <w:ind w:firstLine="4200" w:firstLineChars="1750"/>
        <w:rPr>
          <w:color w:val="auto"/>
          <w:sz w:val="24"/>
        </w:rPr>
      </w:pPr>
      <w:r>
        <w:rPr>
          <w:rFonts w:hint="eastAsia"/>
          <w:color w:val="auto"/>
          <w:sz w:val="24"/>
        </w:rPr>
        <w:t>供应商：（公章签章）</w:t>
      </w:r>
    </w:p>
    <w:p w14:paraId="10EEEEDC">
      <w:pPr>
        <w:spacing w:line="360" w:lineRule="auto"/>
        <w:jc w:val="center"/>
        <w:rPr>
          <w:color w:val="auto"/>
          <w:sz w:val="24"/>
        </w:rPr>
      </w:pPr>
      <w:bookmarkStart w:id="317" w:name="_Toc13053_WPSOffice_Level3"/>
      <w:r>
        <w:rPr>
          <w:rFonts w:hint="eastAsia"/>
          <w:color w:val="auto"/>
          <w:sz w:val="24"/>
        </w:rPr>
        <w:t>法定代表人或其委托代理人：（法人签章）</w:t>
      </w:r>
      <w:bookmarkEnd w:id="317"/>
    </w:p>
    <w:p w14:paraId="4FEC170E">
      <w:pPr>
        <w:spacing w:line="360" w:lineRule="auto"/>
        <w:ind w:firstLine="960" w:firstLineChars="400"/>
        <w:jc w:val="both"/>
        <w:rPr>
          <w:color w:val="auto"/>
          <w:sz w:val="24"/>
        </w:rPr>
      </w:pPr>
      <w:r>
        <w:rPr>
          <w:rFonts w:hint="eastAsia"/>
          <w:color w:val="auto"/>
          <w:sz w:val="24"/>
        </w:rPr>
        <w:t xml:space="preserve">                                年  月   日</w:t>
      </w:r>
    </w:p>
    <w:p w14:paraId="1C86BDAF">
      <w:pPr>
        <w:spacing w:before="38" w:line="360" w:lineRule="auto"/>
        <w:ind w:left="887" w:right="909"/>
        <w:jc w:val="center"/>
        <w:rPr>
          <w:b/>
          <w:color w:val="auto"/>
          <w:sz w:val="32"/>
        </w:rPr>
      </w:pPr>
      <w:r>
        <w:rPr>
          <w:b/>
          <w:color w:val="auto"/>
          <w:sz w:val="32"/>
        </w:rPr>
        <w:br w:type="page"/>
      </w:r>
    </w:p>
    <w:p w14:paraId="4B927D08">
      <w:pPr>
        <w:spacing w:line="360" w:lineRule="auto"/>
        <w:jc w:val="center"/>
        <w:outlineLvl w:val="2"/>
        <w:rPr>
          <w:color w:val="auto"/>
          <w:sz w:val="28"/>
          <w:szCs w:val="20"/>
          <w:lang w:val="en-US"/>
        </w:rPr>
      </w:pPr>
      <w:bookmarkStart w:id="318" w:name="_Toc403418354"/>
      <w:bookmarkStart w:id="319" w:name="_Toc403418420"/>
      <w:bookmarkStart w:id="320" w:name="_Toc216842529"/>
      <w:bookmarkStart w:id="321" w:name="_Toc14822"/>
      <w:bookmarkStart w:id="322" w:name="_Toc13604_WPSOffice_Level2"/>
      <w:bookmarkStart w:id="323" w:name="_Toc20293"/>
      <w:bookmarkStart w:id="324" w:name="_Toc25194"/>
      <w:r>
        <w:rPr>
          <w:rFonts w:hint="eastAsia"/>
          <w:color w:val="auto"/>
          <w:sz w:val="28"/>
          <w:szCs w:val="20"/>
          <w:lang w:val="en-US"/>
        </w:rPr>
        <w:t>（二）</w:t>
      </w:r>
      <w:bookmarkEnd w:id="318"/>
      <w:bookmarkEnd w:id="319"/>
      <w:bookmarkEnd w:id="320"/>
      <w:r>
        <w:rPr>
          <w:rFonts w:hint="eastAsia"/>
          <w:color w:val="auto"/>
          <w:sz w:val="28"/>
          <w:szCs w:val="20"/>
          <w:lang w:val="en-US"/>
        </w:rPr>
        <w:t>磋商函附录</w:t>
      </w:r>
      <w:bookmarkEnd w:id="321"/>
      <w:bookmarkEnd w:id="322"/>
      <w:bookmarkEnd w:id="323"/>
      <w:bookmarkEnd w:id="324"/>
    </w:p>
    <w:tbl>
      <w:tblPr>
        <w:tblStyle w:val="22"/>
        <w:tblW w:w="8442"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971"/>
        <w:gridCol w:w="2586"/>
        <w:gridCol w:w="2217"/>
      </w:tblGrid>
      <w:tr w14:paraId="68CD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668" w:type="dxa"/>
            <w:noWrap w:val="0"/>
            <w:vAlign w:val="center"/>
          </w:tcPr>
          <w:p w14:paraId="49630344">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项目名称</w:t>
            </w:r>
          </w:p>
        </w:tc>
        <w:tc>
          <w:tcPr>
            <w:tcW w:w="6774" w:type="dxa"/>
            <w:gridSpan w:val="3"/>
            <w:noWrap w:val="0"/>
            <w:vAlign w:val="center"/>
          </w:tcPr>
          <w:p w14:paraId="2449F85B">
            <w:pPr>
              <w:adjustRightInd w:val="0"/>
              <w:snapToGrid w:val="0"/>
              <w:spacing w:line="300" w:lineRule="exact"/>
              <w:jc w:val="center"/>
              <w:rPr>
                <w:rFonts w:ascii="宋体" w:hAnsi="宋体" w:cs="宋体"/>
                <w:color w:val="auto"/>
                <w:sz w:val="24"/>
              </w:rPr>
            </w:pPr>
          </w:p>
        </w:tc>
      </w:tr>
      <w:tr w14:paraId="6F4E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68" w:type="dxa"/>
            <w:noWrap w:val="0"/>
            <w:vAlign w:val="center"/>
          </w:tcPr>
          <w:p w14:paraId="33999083">
            <w:pPr>
              <w:adjustRightInd w:val="0"/>
              <w:snapToGrid w:val="0"/>
              <w:spacing w:line="300" w:lineRule="exact"/>
              <w:jc w:val="center"/>
              <w:rPr>
                <w:rFonts w:hint="eastAsia" w:ascii="宋体" w:hAnsi="宋体" w:eastAsia="宋体" w:cs="宋体"/>
                <w:color w:val="auto"/>
                <w:sz w:val="24"/>
                <w:lang w:eastAsia="zh-CN"/>
              </w:rPr>
            </w:pPr>
            <w:r>
              <w:rPr>
                <w:rFonts w:hint="eastAsia" w:ascii="宋体" w:hAnsi="宋体" w:cs="宋体"/>
                <w:color w:val="auto"/>
                <w:sz w:val="24"/>
              </w:rPr>
              <w:t>供应商</w:t>
            </w:r>
            <w:r>
              <w:rPr>
                <w:rFonts w:hint="eastAsia" w:ascii="宋体" w:hAnsi="宋体" w:cs="宋体"/>
                <w:color w:val="auto"/>
                <w:sz w:val="24"/>
                <w:lang w:eastAsia="zh-CN"/>
              </w:rPr>
              <w:t>名称</w:t>
            </w:r>
          </w:p>
        </w:tc>
        <w:tc>
          <w:tcPr>
            <w:tcW w:w="6774" w:type="dxa"/>
            <w:gridSpan w:val="3"/>
            <w:noWrap w:val="0"/>
            <w:vAlign w:val="center"/>
          </w:tcPr>
          <w:p w14:paraId="1DBA9205">
            <w:pPr>
              <w:adjustRightInd w:val="0"/>
              <w:snapToGrid w:val="0"/>
              <w:spacing w:line="300" w:lineRule="exact"/>
              <w:jc w:val="center"/>
              <w:rPr>
                <w:rFonts w:ascii="宋体" w:hAnsi="宋体" w:cs="宋体"/>
                <w:color w:val="auto"/>
                <w:sz w:val="24"/>
              </w:rPr>
            </w:pPr>
          </w:p>
        </w:tc>
      </w:tr>
      <w:tr w14:paraId="3B79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668" w:type="dxa"/>
            <w:noWrap w:val="0"/>
            <w:vAlign w:val="center"/>
          </w:tcPr>
          <w:p w14:paraId="18CAA5C5">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投标内容</w:t>
            </w:r>
          </w:p>
        </w:tc>
        <w:tc>
          <w:tcPr>
            <w:tcW w:w="6774" w:type="dxa"/>
            <w:gridSpan w:val="3"/>
            <w:noWrap w:val="0"/>
            <w:vAlign w:val="center"/>
          </w:tcPr>
          <w:p w14:paraId="2E20F1CC">
            <w:pPr>
              <w:adjustRightInd w:val="0"/>
              <w:snapToGrid w:val="0"/>
              <w:spacing w:line="380" w:lineRule="exact"/>
              <w:jc w:val="center"/>
              <w:rPr>
                <w:rFonts w:ascii="宋体" w:hAnsi="宋体" w:cs="宋体"/>
                <w:color w:val="auto"/>
                <w:sz w:val="24"/>
              </w:rPr>
            </w:pPr>
          </w:p>
        </w:tc>
      </w:tr>
      <w:tr w14:paraId="63B8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668" w:type="dxa"/>
            <w:noWrap w:val="0"/>
            <w:vAlign w:val="center"/>
          </w:tcPr>
          <w:p w14:paraId="334CA8AD">
            <w:pPr>
              <w:adjustRightInd w:val="0"/>
              <w:snapToGrid w:val="0"/>
              <w:spacing w:line="300" w:lineRule="exact"/>
              <w:jc w:val="center"/>
              <w:rPr>
                <w:rFonts w:hint="eastAsia" w:ascii="宋体" w:hAnsi="宋体" w:eastAsia="宋体" w:cs="宋体"/>
                <w:color w:val="auto"/>
                <w:sz w:val="24"/>
                <w:lang w:eastAsia="zh-CN"/>
              </w:rPr>
            </w:pPr>
            <w:r>
              <w:rPr>
                <w:rFonts w:hint="eastAsia" w:ascii="宋体" w:hAnsi="宋体" w:cs="宋体"/>
                <w:color w:val="auto"/>
                <w:sz w:val="24"/>
              </w:rPr>
              <w:t>投标报价</w:t>
            </w:r>
          </w:p>
        </w:tc>
        <w:tc>
          <w:tcPr>
            <w:tcW w:w="6774" w:type="dxa"/>
            <w:gridSpan w:val="3"/>
            <w:noWrap w:val="0"/>
            <w:vAlign w:val="center"/>
          </w:tcPr>
          <w:p w14:paraId="02F764E5">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2D5C0265">
            <w:pPr>
              <w:adjustRightInd w:val="0"/>
              <w:snapToGrid w:val="0"/>
              <w:spacing w:line="380" w:lineRule="exact"/>
              <w:jc w:val="both"/>
              <w:rPr>
                <w:rFonts w:hint="default" w:ascii="宋体" w:hAnsi="宋体" w:eastAsia="宋体" w:cs="宋体"/>
                <w:color w:val="auto"/>
                <w:sz w:val="24"/>
                <w:u w:val="single"/>
                <w:lang w:val="en-US" w:eastAsia="zh-CN"/>
              </w:rPr>
            </w:pPr>
            <w:r>
              <w:rPr>
                <w:rFonts w:hint="eastAsia" w:ascii="宋体" w:hAnsi="宋体" w:eastAsia="宋体" w:cs="宋体"/>
                <w:color w:val="auto"/>
                <w:sz w:val="24"/>
                <w:szCs w:val="24"/>
                <w:highlight w:val="none"/>
              </w:rPr>
              <w:t>小写：</w:t>
            </w:r>
          </w:p>
        </w:tc>
      </w:tr>
      <w:tr w14:paraId="3617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8" w:type="dxa"/>
            <w:noWrap w:val="0"/>
            <w:vAlign w:val="center"/>
          </w:tcPr>
          <w:p w14:paraId="100C5DE2">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项目负责人</w:t>
            </w:r>
          </w:p>
        </w:tc>
        <w:tc>
          <w:tcPr>
            <w:tcW w:w="1971" w:type="dxa"/>
            <w:noWrap w:val="0"/>
            <w:vAlign w:val="center"/>
          </w:tcPr>
          <w:p w14:paraId="774A094F">
            <w:pPr>
              <w:adjustRightInd w:val="0"/>
              <w:snapToGrid w:val="0"/>
              <w:spacing w:line="300" w:lineRule="exact"/>
              <w:jc w:val="center"/>
              <w:rPr>
                <w:rFonts w:ascii="宋体" w:hAnsi="宋体" w:cs="宋体"/>
                <w:color w:val="auto"/>
                <w:sz w:val="24"/>
              </w:rPr>
            </w:pPr>
          </w:p>
        </w:tc>
        <w:tc>
          <w:tcPr>
            <w:tcW w:w="2586" w:type="dxa"/>
            <w:noWrap w:val="0"/>
            <w:vAlign w:val="center"/>
          </w:tcPr>
          <w:p w14:paraId="5A7265CA">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联系方式</w:t>
            </w:r>
          </w:p>
        </w:tc>
        <w:tc>
          <w:tcPr>
            <w:tcW w:w="2217" w:type="dxa"/>
            <w:noWrap w:val="0"/>
            <w:vAlign w:val="center"/>
          </w:tcPr>
          <w:p w14:paraId="56892530">
            <w:pPr>
              <w:adjustRightInd w:val="0"/>
              <w:snapToGrid w:val="0"/>
              <w:spacing w:line="300" w:lineRule="exact"/>
              <w:jc w:val="center"/>
              <w:rPr>
                <w:rFonts w:ascii="宋体" w:hAnsi="宋体" w:cs="宋体"/>
                <w:color w:val="auto"/>
                <w:sz w:val="24"/>
              </w:rPr>
            </w:pPr>
          </w:p>
        </w:tc>
      </w:tr>
      <w:tr w14:paraId="4954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668" w:type="dxa"/>
            <w:noWrap w:val="0"/>
            <w:vAlign w:val="center"/>
          </w:tcPr>
          <w:p w14:paraId="781556BC">
            <w:pPr>
              <w:adjustRightInd w:val="0"/>
              <w:snapToGrid w:val="0"/>
              <w:spacing w:line="300" w:lineRule="exact"/>
              <w:jc w:val="center"/>
              <w:rPr>
                <w:rFonts w:ascii="宋体" w:hAnsi="宋体" w:cs="宋体"/>
                <w:color w:val="auto"/>
                <w:sz w:val="24"/>
              </w:rPr>
            </w:pPr>
            <w:r>
              <w:rPr>
                <w:rFonts w:hint="eastAsia" w:ascii="宋体" w:hAnsi="宋体" w:cs="宋体"/>
                <w:color w:val="auto"/>
                <w:sz w:val="24"/>
                <w:lang w:eastAsia="zh-CN"/>
              </w:rPr>
              <w:t>设计</w:t>
            </w:r>
            <w:r>
              <w:rPr>
                <w:rFonts w:hint="eastAsia" w:ascii="宋体" w:hAnsi="宋体" w:cs="宋体"/>
                <w:color w:val="auto"/>
                <w:sz w:val="24"/>
              </w:rPr>
              <w:t>周期</w:t>
            </w:r>
          </w:p>
        </w:tc>
        <w:tc>
          <w:tcPr>
            <w:tcW w:w="6774" w:type="dxa"/>
            <w:gridSpan w:val="3"/>
            <w:noWrap w:val="0"/>
            <w:vAlign w:val="center"/>
          </w:tcPr>
          <w:p w14:paraId="17821339">
            <w:pPr>
              <w:adjustRightInd w:val="0"/>
              <w:snapToGrid w:val="0"/>
              <w:spacing w:line="300" w:lineRule="exact"/>
              <w:jc w:val="center"/>
              <w:rPr>
                <w:rFonts w:ascii="宋体" w:hAnsi="宋体" w:cs="宋体"/>
                <w:color w:val="auto"/>
                <w:sz w:val="24"/>
              </w:rPr>
            </w:pPr>
          </w:p>
        </w:tc>
      </w:tr>
      <w:tr w14:paraId="5435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668" w:type="dxa"/>
            <w:noWrap w:val="0"/>
            <w:vAlign w:val="center"/>
          </w:tcPr>
          <w:p w14:paraId="6C9799FD">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质量标准</w:t>
            </w:r>
          </w:p>
        </w:tc>
        <w:tc>
          <w:tcPr>
            <w:tcW w:w="6774" w:type="dxa"/>
            <w:gridSpan w:val="3"/>
            <w:noWrap w:val="0"/>
            <w:vAlign w:val="center"/>
          </w:tcPr>
          <w:p w14:paraId="552792FD">
            <w:pPr>
              <w:adjustRightInd w:val="0"/>
              <w:snapToGrid w:val="0"/>
              <w:spacing w:line="300" w:lineRule="exact"/>
              <w:jc w:val="center"/>
              <w:rPr>
                <w:rFonts w:ascii="宋体" w:hAnsi="宋体" w:cs="宋体"/>
                <w:color w:val="auto"/>
                <w:sz w:val="24"/>
              </w:rPr>
            </w:pPr>
          </w:p>
        </w:tc>
      </w:tr>
      <w:tr w14:paraId="2375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668" w:type="dxa"/>
            <w:noWrap w:val="0"/>
            <w:vAlign w:val="center"/>
          </w:tcPr>
          <w:p w14:paraId="7A6EC094">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投标有效期</w:t>
            </w:r>
          </w:p>
        </w:tc>
        <w:tc>
          <w:tcPr>
            <w:tcW w:w="6774" w:type="dxa"/>
            <w:gridSpan w:val="3"/>
            <w:noWrap w:val="0"/>
            <w:vAlign w:val="center"/>
          </w:tcPr>
          <w:p w14:paraId="43C64099">
            <w:pPr>
              <w:adjustRightInd w:val="0"/>
              <w:snapToGrid w:val="0"/>
              <w:spacing w:line="300" w:lineRule="exact"/>
              <w:jc w:val="center"/>
              <w:rPr>
                <w:rFonts w:ascii="宋体" w:hAnsi="宋体" w:cs="宋体"/>
                <w:color w:val="auto"/>
                <w:sz w:val="24"/>
              </w:rPr>
            </w:pPr>
          </w:p>
        </w:tc>
      </w:tr>
      <w:tr w14:paraId="2991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668" w:type="dxa"/>
            <w:noWrap w:val="0"/>
            <w:vAlign w:val="center"/>
          </w:tcPr>
          <w:p w14:paraId="72023AE2">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备注</w:t>
            </w:r>
          </w:p>
        </w:tc>
        <w:tc>
          <w:tcPr>
            <w:tcW w:w="6774" w:type="dxa"/>
            <w:gridSpan w:val="3"/>
            <w:noWrap w:val="0"/>
            <w:vAlign w:val="center"/>
          </w:tcPr>
          <w:p w14:paraId="12DCE2A3">
            <w:pPr>
              <w:adjustRightInd w:val="0"/>
              <w:snapToGrid w:val="0"/>
              <w:spacing w:line="300" w:lineRule="exact"/>
              <w:jc w:val="center"/>
              <w:rPr>
                <w:rFonts w:ascii="宋体" w:hAnsi="宋体" w:cs="宋体"/>
                <w:color w:val="auto"/>
                <w:sz w:val="24"/>
              </w:rPr>
            </w:pPr>
          </w:p>
        </w:tc>
      </w:tr>
    </w:tbl>
    <w:p w14:paraId="3F3EA7C6">
      <w:pPr>
        <w:spacing w:line="300" w:lineRule="exact"/>
        <w:rPr>
          <w:color w:val="auto"/>
          <w:szCs w:val="21"/>
        </w:rPr>
      </w:pPr>
    </w:p>
    <w:p w14:paraId="085C0321">
      <w:pPr>
        <w:spacing w:line="360" w:lineRule="exact"/>
        <w:rPr>
          <w:b/>
          <w:bCs/>
          <w:color w:val="auto"/>
          <w:szCs w:val="21"/>
        </w:rPr>
      </w:pPr>
      <w:r>
        <w:rPr>
          <w:rFonts w:hint="eastAsia"/>
          <w:b/>
          <w:bCs/>
          <w:color w:val="auto"/>
          <w:szCs w:val="21"/>
        </w:rPr>
        <w:t>注：1、投标报价仅且只有一个有效报价，不得出现两个及以上报价，否则作废标处理。</w:t>
      </w:r>
    </w:p>
    <w:p w14:paraId="5250C4A2">
      <w:pPr>
        <w:spacing w:line="360" w:lineRule="exact"/>
        <w:rPr>
          <w:color w:val="auto"/>
          <w:szCs w:val="21"/>
        </w:rPr>
      </w:pPr>
      <w:r>
        <w:rPr>
          <w:rFonts w:hint="eastAsia"/>
          <w:b/>
          <w:bCs/>
          <w:color w:val="auto"/>
          <w:szCs w:val="21"/>
        </w:rPr>
        <w:t>2、此处为第一轮报价供</w:t>
      </w:r>
      <w:r>
        <w:rPr>
          <w:rFonts w:hint="eastAsia"/>
          <w:b/>
          <w:bCs/>
          <w:color w:val="auto"/>
          <w:szCs w:val="21"/>
          <w:lang w:eastAsia="zh-CN"/>
        </w:rPr>
        <w:t>磋商</w:t>
      </w:r>
      <w:r>
        <w:rPr>
          <w:rFonts w:hint="eastAsia"/>
          <w:b/>
          <w:bCs/>
          <w:color w:val="auto"/>
          <w:szCs w:val="21"/>
        </w:rPr>
        <w:t>小组在评审时参考比较，此时的最低报价并不是成交的条件。</w:t>
      </w:r>
    </w:p>
    <w:p w14:paraId="61B06D75">
      <w:pPr>
        <w:spacing w:line="300" w:lineRule="exact"/>
        <w:rPr>
          <w:color w:val="auto"/>
          <w:szCs w:val="21"/>
        </w:rPr>
      </w:pPr>
    </w:p>
    <w:p w14:paraId="1E872736">
      <w:pPr>
        <w:spacing w:line="300" w:lineRule="exact"/>
        <w:rPr>
          <w:color w:val="auto"/>
          <w:szCs w:val="21"/>
        </w:rPr>
      </w:pPr>
    </w:p>
    <w:p w14:paraId="67867509">
      <w:pPr>
        <w:spacing w:line="300" w:lineRule="exact"/>
        <w:ind w:firstLine="3600" w:firstLineChars="1500"/>
        <w:rPr>
          <w:color w:val="auto"/>
          <w:sz w:val="24"/>
        </w:rPr>
      </w:pPr>
      <w:r>
        <w:rPr>
          <w:rFonts w:hint="eastAsia"/>
          <w:color w:val="auto"/>
          <w:sz w:val="24"/>
        </w:rPr>
        <w:t>供应商：（公章签章）</w:t>
      </w:r>
    </w:p>
    <w:p w14:paraId="42546642">
      <w:pPr>
        <w:spacing w:line="300" w:lineRule="exact"/>
        <w:rPr>
          <w:color w:val="auto"/>
          <w:sz w:val="24"/>
        </w:rPr>
      </w:pPr>
    </w:p>
    <w:p w14:paraId="5844CC2D">
      <w:pPr>
        <w:spacing w:line="300" w:lineRule="exact"/>
        <w:ind w:firstLine="3600" w:firstLineChars="1500"/>
        <w:rPr>
          <w:color w:val="auto"/>
          <w:sz w:val="24"/>
        </w:rPr>
      </w:pPr>
      <w:r>
        <w:rPr>
          <w:rFonts w:hint="eastAsia"/>
          <w:color w:val="auto"/>
          <w:sz w:val="24"/>
        </w:rPr>
        <w:t>联系人：          电话 ：</w:t>
      </w:r>
    </w:p>
    <w:p w14:paraId="381ACCAB">
      <w:pPr>
        <w:spacing w:line="300" w:lineRule="exact"/>
        <w:rPr>
          <w:color w:val="auto"/>
          <w:sz w:val="24"/>
        </w:rPr>
      </w:pPr>
    </w:p>
    <w:p w14:paraId="1376C462">
      <w:pPr>
        <w:spacing w:line="300" w:lineRule="exact"/>
        <w:ind w:firstLine="3600" w:firstLineChars="1500"/>
        <w:rPr>
          <w:color w:val="auto"/>
          <w:sz w:val="24"/>
        </w:rPr>
      </w:pPr>
      <w:r>
        <w:rPr>
          <w:rFonts w:hint="eastAsia"/>
          <w:color w:val="auto"/>
          <w:sz w:val="24"/>
        </w:rPr>
        <w:t xml:space="preserve">法定代表人或其委托代理人：（法人签章）       </w:t>
      </w:r>
    </w:p>
    <w:p w14:paraId="39A8F05D">
      <w:pPr>
        <w:spacing w:line="300" w:lineRule="exact"/>
        <w:rPr>
          <w:color w:val="auto"/>
          <w:sz w:val="24"/>
        </w:rPr>
      </w:pPr>
    </w:p>
    <w:p w14:paraId="7CA846C3">
      <w:pPr>
        <w:spacing w:line="300" w:lineRule="exact"/>
        <w:ind w:firstLine="3600" w:firstLineChars="1500"/>
        <w:rPr>
          <w:color w:val="auto"/>
          <w:sz w:val="24"/>
        </w:rPr>
      </w:pPr>
      <w:r>
        <w:rPr>
          <w:rFonts w:hint="eastAsia"/>
          <w:color w:val="auto"/>
          <w:sz w:val="24"/>
        </w:rPr>
        <w:t>日期：     年   月   日</w:t>
      </w:r>
    </w:p>
    <w:p w14:paraId="280C308D">
      <w:pPr>
        <w:spacing w:before="38"/>
        <w:ind w:right="909"/>
        <w:jc w:val="both"/>
        <w:rPr>
          <w:b/>
          <w:color w:val="auto"/>
          <w:sz w:val="32"/>
        </w:rPr>
      </w:pPr>
      <w:r>
        <w:rPr>
          <w:b/>
          <w:color w:val="auto"/>
          <w:sz w:val="32"/>
        </w:rPr>
        <w:br w:type="page"/>
      </w:r>
    </w:p>
    <w:p w14:paraId="57D91BD2">
      <w:pPr>
        <w:pStyle w:val="30"/>
        <w:ind w:left="0"/>
        <w:jc w:val="center"/>
        <w:outlineLvl w:val="0"/>
        <w:rPr>
          <w:rFonts w:ascii="宋体" w:hAnsi="宋体"/>
          <w:color w:val="auto"/>
        </w:rPr>
      </w:pPr>
      <w:bookmarkStart w:id="325" w:name="_Toc29682"/>
      <w:bookmarkStart w:id="326" w:name="_Toc465887466"/>
      <w:bookmarkStart w:id="327" w:name="_Toc4976_WPSOffice_Level1"/>
      <w:bookmarkStart w:id="328" w:name="_Toc467255652"/>
      <w:bookmarkStart w:id="329" w:name="_Toc424308521"/>
      <w:bookmarkStart w:id="330" w:name="_Toc118"/>
      <w:bookmarkStart w:id="331" w:name="_Toc30441"/>
      <w:r>
        <w:rPr>
          <w:rFonts w:hint="eastAsia" w:ascii="宋体" w:hAnsi="宋体"/>
          <w:color w:val="auto"/>
        </w:rPr>
        <w:t>二、法定代表人身份证明</w:t>
      </w:r>
      <w:bookmarkEnd w:id="325"/>
      <w:bookmarkEnd w:id="326"/>
      <w:bookmarkEnd w:id="327"/>
      <w:bookmarkEnd w:id="328"/>
      <w:bookmarkEnd w:id="329"/>
      <w:bookmarkEnd w:id="330"/>
      <w:bookmarkEnd w:id="331"/>
    </w:p>
    <w:p w14:paraId="52BF6E6F">
      <w:pPr>
        <w:pStyle w:val="3"/>
        <w:tabs>
          <w:tab w:val="left" w:pos="720"/>
        </w:tabs>
        <w:snapToGrid w:val="0"/>
        <w:spacing w:before="0"/>
        <w:ind w:left="0"/>
        <w:outlineLvl w:val="9"/>
        <w:rPr>
          <w:b w:val="0"/>
          <w:color w:val="auto"/>
          <w:sz w:val="24"/>
          <w:szCs w:val="24"/>
        </w:rPr>
      </w:pPr>
      <w:bookmarkStart w:id="332" w:name="_Toc32377"/>
      <w:bookmarkStart w:id="333" w:name="_Toc424308522"/>
      <w:bookmarkStart w:id="334" w:name="_Toc465887467"/>
      <w:bookmarkStart w:id="335" w:name="_Toc467255653"/>
    </w:p>
    <w:p w14:paraId="2CE68943">
      <w:pPr>
        <w:pStyle w:val="3"/>
        <w:tabs>
          <w:tab w:val="left" w:pos="720"/>
        </w:tabs>
        <w:snapToGrid w:val="0"/>
        <w:spacing w:before="0"/>
        <w:ind w:left="0"/>
        <w:rPr>
          <w:b w:val="0"/>
          <w:color w:val="auto"/>
          <w:sz w:val="24"/>
          <w:szCs w:val="24"/>
        </w:rPr>
      </w:pPr>
      <w:r>
        <w:rPr>
          <w:rFonts w:hint="eastAsia"/>
          <w:b w:val="0"/>
          <w:color w:val="auto"/>
          <w:sz w:val="24"/>
          <w:szCs w:val="24"/>
        </w:rPr>
        <w:t>单位名称：</w:t>
      </w:r>
      <w:bookmarkEnd w:id="332"/>
      <w:bookmarkEnd w:id="333"/>
      <w:bookmarkEnd w:id="334"/>
      <w:bookmarkEnd w:id="335"/>
    </w:p>
    <w:p w14:paraId="5CC67447">
      <w:pPr>
        <w:snapToGrid w:val="0"/>
        <w:rPr>
          <w:color w:val="auto"/>
          <w:sz w:val="24"/>
        </w:rPr>
      </w:pPr>
    </w:p>
    <w:p w14:paraId="69FDEC32">
      <w:pPr>
        <w:snapToGrid w:val="0"/>
        <w:rPr>
          <w:color w:val="auto"/>
          <w:sz w:val="24"/>
        </w:rPr>
      </w:pPr>
      <w:r>
        <w:rPr>
          <w:rFonts w:hint="eastAsia"/>
          <w:color w:val="auto"/>
          <w:sz w:val="24"/>
        </w:rPr>
        <w:t>单位性质：</w:t>
      </w:r>
    </w:p>
    <w:p w14:paraId="7154B1FC">
      <w:pPr>
        <w:snapToGrid w:val="0"/>
        <w:rPr>
          <w:color w:val="auto"/>
          <w:sz w:val="24"/>
        </w:rPr>
      </w:pPr>
    </w:p>
    <w:p w14:paraId="5AB0008F">
      <w:pPr>
        <w:snapToGrid w:val="0"/>
        <w:rPr>
          <w:color w:val="auto"/>
          <w:sz w:val="24"/>
        </w:rPr>
      </w:pPr>
      <w:r>
        <w:rPr>
          <w:rFonts w:hint="eastAsia"/>
          <w:color w:val="auto"/>
          <w:sz w:val="24"/>
        </w:rPr>
        <w:t>地   址：</w:t>
      </w:r>
    </w:p>
    <w:p w14:paraId="05A94918">
      <w:pPr>
        <w:snapToGrid w:val="0"/>
        <w:rPr>
          <w:color w:val="auto"/>
          <w:sz w:val="24"/>
        </w:rPr>
      </w:pPr>
    </w:p>
    <w:p w14:paraId="68067DFC">
      <w:pPr>
        <w:snapToGrid w:val="0"/>
        <w:rPr>
          <w:color w:val="auto"/>
          <w:sz w:val="24"/>
        </w:rPr>
      </w:pPr>
      <w:r>
        <w:rPr>
          <w:rFonts w:hint="eastAsia"/>
          <w:color w:val="auto"/>
          <w:sz w:val="24"/>
        </w:rPr>
        <w:t>成立时间：</w:t>
      </w:r>
    </w:p>
    <w:p w14:paraId="646260C3">
      <w:pPr>
        <w:snapToGrid w:val="0"/>
        <w:rPr>
          <w:color w:val="auto"/>
          <w:sz w:val="24"/>
        </w:rPr>
      </w:pPr>
    </w:p>
    <w:p w14:paraId="1CF8A723">
      <w:pPr>
        <w:snapToGrid w:val="0"/>
        <w:rPr>
          <w:color w:val="auto"/>
          <w:sz w:val="24"/>
        </w:rPr>
      </w:pPr>
      <w:r>
        <w:rPr>
          <w:rFonts w:hint="eastAsia"/>
          <w:color w:val="auto"/>
          <w:sz w:val="24"/>
        </w:rPr>
        <w:t>经营期限：</w:t>
      </w:r>
    </w:p>
    <w:p w14:paraId="543419C3">
      <w:pPr>
        <w:snapToGrid w:val="0"/>
        <w:rPr>
          <w:color w:val="auto"/>
          <w:sz w:val="24"/>
        </w:rPr>
      </w:pPr>
    </w:p>
    <w:p w14:paraId="6CA16130">
      <w:pPr>
        <w:snapToGrid w:val="0"/>
        <w:rPr>
          <w:color w:val="auto"/>
          <w:sz w:val="24"/>
          <w:u w:val="single"/>
        </w:rPr>
      </w:pPr>
      <w:r>
        <w:rPr>
          <w:rFonts w:hint="eastAsia"/>
          <w:color w:val="auto"/>
          <w:sz w:val="24"/>
        </w:rPr>
        <w:t>姓  名：</w:t>
      </w:r>
      <w:r>
        <w:rPr>
          <w:rFonts w:hint="eastAsia"/>
          <w:color w:val="auto"/>
          <w:sz w:val="24"/>
          <w:lang w:val="en-US" w:eastAsia="zh-CN"/>
        </w:rPr>
        <w:t xml:space="preserve">     </w:t>
      </w:r>
      <w:r>
        <w:rPr>
          <w:rFonts w:hint="eastAsia"/>
          <w:color w:val="auto"/>
          <w:sz w:val="24"/>
        </w:rPr>
        <w:t xml:space="preserve"> 性 别：</w:t>
      </w:r>
    </w:p>
    <w:p w14:paraId="3A9DB135">
      <w:pPr>
        <w:snapToGrid w:val="0"/>
        <w:rPr>
          <w:color w:val="auto"/>
          <w:sz w:val="24"/>
          <w:u w:val="single"/>
        </w:rPr>
      </w:pPr>
    </w:p>
    <w:p w14:paraId="2C47255D">
      <w:pPr>
        <w:snapToGrid w:val="0"/>
        <w:rPr>
          <w:color w:val="auto"/>
          <w:sz w:val="24"/>
        </w:rPr>
      </w:pPr>
      <w:r>
        <w:rPr>
          <w:rFonts w:hint="eastAsia"/>
          <w:color w:val="auto"/>
          <w:sz w:val="24"/>
        </w:rPr>
        <w:t xml:space="preserve">年 龄：  </w:t>
      </w:r>
      <w:r>
        <w:rPr>
          <w:rFonts w:hint="eastAsia"/>
          <w:color w:val="auto"/>
          <w:sz w:val="24"/>
          <w:lang w:val="en-US" w:eastAsia="zh-CN"/>
        </w:rPr>
        <w:t xml:space="preserve">    </w:t>
      </w:r>
      <w:r>
        <w:rPr>
          <w:rFonts w:hint="eastAsia"/>
          <w:color w:val="auto"/>
          <w:sz w:val="24"/>
        </w:rPr>
        <w:t xml:space="preserve"> 职务：</w:t>
      </w:r>
    </w:p>
    <w:p w14:paraId="71E71637">
      <w:pPr>
        <w:snapToGrid w:val="0"/>
        <w:rPr>
          <w:color w:val="auto"/>
          <w:sz w:val="24"/>
        </w:rPr>
      </w:pPr>
    </w:p>
    <w:p w14:paraId="39C8DEFE">
      <w:pPr>
        <w:snapToGrid w:val="0"/>
        <w:rPr>
          <w:color w:val="auto"/>
          <w:sz w:val="24"/>
        </w:rPr>
      </w:pPr>
      <w:r>
        <w:rPr>
          <w:rFonts w:hint="eastAsia"/>
          <w:color w:val="auto"/>
          <w:sz w:val="24"/>
        </w:rPr>
        <w:t>系（投标供应商名称）的法定代表人。</w:t>
      </w:r>
    </w:p>
    <w:p w14:paraId="09FC0927">
      <w:pPr>
        <w:snapToGrid w:val="0"/>
        <w:spacing w:line="360" w:lineRule="auto"/>
        <w:rPr>
          <w:color w:val="auto"/>
          <w:sz w:val="24"/>
        </w:rPr>
      </w:pPr>
    </w:p>
    <w:p w14:paraId="09C98DE4">
      <w:pPr>
        <w:snapToGrid w:val="0"/>
        <w:spacing w:line="360" w:lineRule="auto"/>
        <w:rPr>
          <w:color w:val="auto"/>
          <w:sz w:val="24"/>
        </w:rPr>
      </w:pPr>
    </w:p>
    <w:p w14:paraId="2A345812">
      <w:pPr>
        <w:snapToGrid w:val="0"/>
        <w:rPr>
          <w:rFonts w:hint="eastAsia"/>
          <w:color w:val="auto"/>
          <w:sz w:val="24"/>
        </w:rPr>
      </w:pPr>
      <w:r>
        <w:rPr>
          <w:rFonts w:hint="eastAsia"/>
          <w:color w:val="auto"/>
          <w:sz w:val="24"/>
        </w:rPr>
        <w:t xml:space="preserve">特此证明   </w:t>
      </w:r>
    </w:p>
    <w:p w14:paraId="4ABCEB8B">
      <w:pPr>
        <w:snapToGrid w:val="0"/>
        <w:rPr>
          <w:rFonts w:hint="eastAsia"/>
          <w:color w:val="auto"/>
          <w:sz w:val="24"/>
        </w:rPr>
      </w:pPr>
    </w:p>
    <w:p w14:paraId="66C43B12">
      <w:pPr>
        <w:snapToGrid w:val="0"/>
        <w:rPr>
          <w:rFonts w:hint="eastAsia"/>
          <w:color w:val="auto"/>
          <w:sz w:val="24"/>
        </w:rPr>
      </w:pPr>
    </w:p>
    <w:p w14:paraId="06DE72ED">
      <w:pPr>
        <w:snapToGrid w:val="0"/>
        <w:rPr>
          <w:rFonts w:hint="eastAsia"/>
          <w:color w:val="auto"/>
          <w:sz w:val="24"/>
        </w:rPr>
      </w:pPr>
      <w:r>
        <w:rPr>
          <w:rFonts w:hint="eastAsia"/>
          <w:color w:val="auto"/>
          <w:sz w:val="24"/>
        </w:rPr>
        <w:t>供应商：（公章签章）</w:t>
      </w:r>
    </w:p>
    <w:p w14:paraId="6E80E9F0">
      <w:pPr>
        <w:snapToGrid w:val="0"/>
        <w:spacing w:line="360" w:lineRule="auto"/>
        <w:rPr>
          <w:color w:val="auto"/>
        </w:rPr>
      </w:pPr>
    </w:p>
    <w:p w14:paraId="739495DD">
      <w:pPr>
        <w:snapToGrid w:val="0"/>
        <w:spacing w:line="360" w:lineRule="auto"/>
        <w:jc w:val="center"/>
        <w:rPr>
          <w:color w:val="auto"/>
          <w:sz w:val="24"/>
        </w:rPr>
      </w:pPr>
      <w:bookmarkStart w:id="336" w:name="_Toc11862_WPSOffice_Level2"/>
      <w:r>
        <w:rPr>
          <w:rFonts w:hint="eastAsia"/>
          <w:color w:val="auto"/>
          <w:sz w:val="24"/>
        </w:rPr>
        <w:t>年    月    日</w:t>
      </w:r>
      <w:bookmarkEnd w:id="336"/>
    </w:p>
    <w:p w14:paraId="13113632">
      <w:pPr>
        <w:pStyle w:val="4"/>
        <w:tabs>
          <w:tab w:val="left" w:pos="425"/>
          <w:tab w:val="left" w:pos="720"/>
        </w:tabs>
        <w:ind w:left="288"/>
        <w:jc w:val="center"/>
        <w:outlineLvl w:val="9"/>
        <w:rPr>
          <w:color w:val="auto"/>
        </w:rPr>
      </w:pPr>
      <w:r>
        <w:rPr>
          <w:rFonts w:hint="eastAsia"/>
          <w:bCs w:val="0"/>
          <w:color w:val="auto"/>
          <w:sz w:val="36"/>
          <w:szCs w:val="36"/>
        </w:rPr>
        <w:br w:type="page"/>
      </w:r>
    </w:p>
    <w:p w14:paraId="34DE2FEA">
      <w:pPr>
        <w:pStyle w:val="30"/>
        <w:ind w:left="0"/>
        <w:jc w:val="center"/>
        <w:outlineLvl w:val="0"/>
        <w:rPr>
          <w:rFonts w:ascii="宋体" w:hAnsi="宋体"/>
          <w:color w:val="auto"/>
        </w:rPr>
      </w:pPr>
      <w:bookmarkStart w:id="337" w:name="_Toc3669_WPSOffice_Level1"/>
      <w:bookmarkStart w:id="338" w:name="_Toc465887468"/>
      <w:bookmarkStart w:id="339" w:name="_Toc467255654"/>
      <w:bookmarkStart w:id="340" w:name="_Toc25543"/>
      <w:bookmarkStart w:id="341" w:name="_Toc424308523"/>
      <w:bookmarkStart w:id="342" w:name="_Toc13521"/>
      <w:bookmarkStart w:id="343" w:name="_Toc29749"/>
      <w:r>
        <w:rPr>
          <w:rFonts w:hint="eastAsia" w:ascii="宋体" w:hAnsi="宋体"/>
          <w:color w:val="auto"/>
        </w:rPr>
        <w:t>三、法定代表人授权书</w:t>
      </w:r>
      <w:bookmarkEnd w:id="337"/>
      <w:bookmarkEnd w:id="338"/>
      <w:bookmarkEnd w:id="339"/>
      <w:bookmarkEnd w:id="340"/>
      <w:bookmarkEnd w:id="341"/>
      <w:bookmarkEnd w:id="342"/>
      <w:bookmarkEnd w:id="343"/>
    </w:p>
    <w:p w14:paraId="011449AA">
      <w:pPr>
        <w:pStyle w:val="31"/>
        <w:jc w:val="both"/>
        <w:rPr>
          <w:rFonts w:hAnsi="宋体"/>
          <w:color w:val="auto"/>
        </w:rPr>
      </w:pPr>
    </w:p>
    <w:p w14:paraId="7FA302C1">
      <w:pPr>
        <w:snapToGrid w:val="0"/>
        <w:spacing w:line="360" w:lineRule="auto"/>
        <w:ind w:firstLine="480" w:firstLineChars="200"/>
        <w:rPr>
          <w:color w:val="auto"/>
          <w:sz w:val="24"/>
        </w:rPr>
      </w:pPr>
    </w:p>
    <w:p w14:paraId="58CFF277">
      <w:pPr>
        <w:spacing w:line="600" w:lineRule="auto"/>
        <w:ind w:firstLine="480" w:firstLineChars="200"/>
        <w:rPr>
          <w:color w:val="auto"/>
          <w:sz w:val="24"/>
          <w:szCs w:val="24"/>
        </w:rPr>
      </w:pPr>
      <w:r>
        <w:rPr>
          <w:rFonts w:hint="eastAsia"/>
          <w:color w:val="auto"/>
          <w:sz w:val="24"/>
          <w:szCs w:val="24"/>
        </w:rPr>
        <w:t>本人</w:t>
      </w:r>
      <w:r>
        <w:rPr>
          <w:rFonts w:hint="eastAsia"/>
          <w:color w:val="auto"/>
          <w:sz w:val="24"/>
          <w:szCs w:val="24"/>
          <w:u w:val="single"/>
        </w:rPr>
        <w:t>（姓名）</w:t>
      </w:r>
      <w:r>
        <w:rPr>
          <w:rFonts w:hint="eastAsia"/>
          <w:color w:val="auto"/>
          <w:sz w:val="24"/>
          <w:szCs w:val="24"/>
        </w:rPr>
        <w:t>系</w:t>
      </w:r>
      <w:r>
        <w:rPr>
          <w:rFonts w:hint="eastAsia"/>
          <w:color w:val="auto"/>
          <w:sz w:val="24"/>
          <w:szCs w:val="24"/>
          <w:u w:val="single"/>
        </w:rPr>
        <w:t>（供应商人名称）</w:t>
      </w:r>
      <w:r>
        <w:rPr>
          <w:rFonts w:hint="eastAsia"/>
          <w:color w:val="auto"/>
          <w:sz w:val="24"/>
          <w:szCs w:val="24"/>
        </w:rPr>
        <w:t>的法定代表人，现委托</w:t>
      </w:r>
      <w:r>
        <w:rPr>
          <w:rFonts w:hint="eastAsia"/>
          <w:color w:val="auto"/>
          <w:sz w:val="24"/>
          <w:szCs w:val="24"/>
          <w:u w:val="single"/>
        </w:rPr>
        <w:t>（姓名）</w:t>
      </w:r>
      <w:r>
        <w:rPr>
          <w:rFonts w:hint="eastAsia"/>
          <w:color w:val="auto"/>
          <w:sz w:val="24"/>
          <w:szCs w:val="24"/>
        </w:rPr>
        <w:t>为我方代理人。代理人根据授权，以我方名义签署、澄清、说明、补正、递交、撤回、修改</w:t>
      </w:r>
      <w:r>
        <w:rPr>
          <w:rFonts w:hint="eastAsia"/>
          <w:color w:val="auto"/>
          <w:sz w:val="24"/>
          <w:szCs w:val="24"/>
          <w:u w:val="single"/>
        </w:rPr>
        <w:t>（项目名称</w:t>
      </w:r>
      <w:r>
        <w:rPr>
          <w:rFonts w:hint="eastAsia"/>
          <w:color w:val="auto"/>
          <w:sz w:val="24"/>
          <w:szCs w:val="24"/>
          <w:u w:val="single"/>
          <w:lang w:eastAsia="zh-CN"/>
        </w:rPr>
        <w:t>）</w:t>
      </w:r>
      <w:r>
        <w:rPr>
          <w:rFonts w:hint="eastAsia"/>
          <w:color w:val="auto"/>
          <w:sz w:val="24"/>
          <w:szCs w:val="24"/>
        </w:rPr>
        <w:t>的响应文件、签订合同和处理有关事宜，其法律后果由我方承担。</w:t>
      </w:r>
    </w:p>
    <w:p w14:paraId="1838A45E">
      <w:pPr>
        <w:spacing w:line="600" w:lineRule="auto"/>
        <w:ind w:firstLine="480" w:firstLineChars="200"/>
        <w:rPr>
          <w:color w:val="auto"/>
          <w:sz w:val="24"/>
          <w:szCs w:val="24"/>
        </w:rPr>
      </w:pPr>
      <w:r>
        <w:rPr>
          <w:rFonts w:hint="eastAsia"/>
          <w:color w:val="auto"/>
          <w:sz w:val="24"/>
          <w:szCs w:val="24"/>
        </w:rPr>
        <w:t>本授权书于</w:t>
      </w:r>
      <w:r>
        <w:rPr>
          <w:rFonts w:hint="eastAsia"/>
          <w:color w:val="auto"/>
          <w:sz w:val="24"/>
          <w:szCs w:val="24"/>
          <w:lang w:val="en-US" w:eastAsia="zh-CN"/>
        </w:rPr>
        <w:t xml:space="preserve">  </w:t>
      </w: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日签字生效， 特此声明。</w:t>
      </w:r>
    </w:p>
    <w:p w14:paraId="68C94D4E">
      <w:pPr>
        <w:ind w:firstLine="480" w:firstLineChars="200"/>
        <w:rPr>
          <w:color w:val="auto"/>
          <w:sz w:val="24"/>
          <w:szCs w:val="24"/>
        </w:rPr>
      </w:pPr>
      <w:r>
        <w:rPr>
          <w:rFonts w:hint="eastAsia"/>
          <w:color w:val="auto"/>
          <w:sz w:val="24"/>
          <w:szCs w:val="24"/>
        </w:rPr>
        <w:t>附：法定代表人身份证和委托人身份证扫描件</w:t>
      </w:r>
    </w:p>
    <w:p w14:paraId="70A60E2E">
      <w:pPr>
        <w:spacing w:line="740" w:lineRule="exact"/>
        <w:ind w:firstLine="480" w:firstLineChars="200"/>
        <w:rPr>
          <w:color w:val="auto"/>
          <w:sz w:val="24"/>
        </w:rPr>
      </w:pPr>
    </w:p>
    <w:p w14:paraId="224CE2A2">
      <w:pPr>
        <w:spacing w:line="740" w:lineRule="exact"/>
        <w:rPr>
          <w:color w:val="auto"/>
          <w:sz w:val="24"/>
        </w:rPr>
      </w:pPr>
      <w:r>
        <w:rPr>
          <w:rFonts w:hint="eastAsia"/>
          <w:color w:val="auto"/>
          <w:sz w:val="24"/>
        </w:rPr>
        <w:t>投标单位： （公章签章）</w:t>
      </w:r>
    </w:p>
    <w:p w14:paraId="4C5D1527">
      <w:pPr>
        <w:spacing w:line="740" w:lineRule="exact"/>
        <w:rPr>
          <w:color w:val="auto"/>
          <w:sz w:val="24"/>
          <w:u w:val="single"/>
        </w:rPr>
      </w:pPr>
      <w:r>
        <w:rPr>
          <w:rFonts w:hint="eastAsia"/>
          <w:color w:val="auto"/>
          <w:sz w:val="24"/>
        </w:rPr>
        <w:t>法定代表人：</w:t>
      </w:r>
      <w:r>
        <w:rPr>
          <w:rFonts w:hint="eastAsia"/>
          <w:color w:val="auto"/>
          <w:sz w:val="24"/>
          <w:u w:val="single"/>
        </w:rPr>
        <w:t xml:space="preserve">        　　　　</w:t>
      </w:r>
      <w:r>
        <w:rPr>
          <w:rFonts w:hint="eastAsia"/>
          <w:color w:val="auto"/>
          <w:sz w:val="24"/>
        </w:rPr>
        <w:t>（法人签章）</w:t>
      </w:r>
    </w:p>
    <w:p w14:paraId="491361AD">
      <w:pPr>
        <w:spacing w:line="740" w:lineRule="exact"/>
        <w:rPr>
          <w:color w:val="auto"/>
          <w:sz w:val="24"/>
        </w:rPr>
      </w:pPr>
      <w:r>
        <w:rPr>
          <w:rFonts w:hint="eastAsia"/>
          <w:color w:val="auto"/>
          <w:sz w:val="24"/>
        </w:rPr>
        <w:t>委托代理人：</w:t>
      </w:r>
      <w:r>
        <w:rPr>
          <w:rFonts w:hint="eastAsia"/>
          <w:color w:val="auto"/>
          <w:sz w:val="24"/>
          <w:u w:val="single"/>
        </w:rPr>
        <w:t xml:space="preserve">  　　　　      </w:t>
      </w:r>
    </w:p>
    <w:p w14:paraId="5E18FBC5">
      <w:pPr>
        <w:pStyle w:val="4"/>
        <w:ind w:left="892" w:right="909"/>
        <w:jc w:val="center"/>
        <w:outlineLvl w:val="9"/>
        <w:rPr>
          <w:color w:val="auto"/>
        </w:rPr>
      </w:pPr>
    </w:p>
    <w:p w14:paraId="04C6F1A1">
      <w:pPr>
        <w:jc w:val="center"/>
        <w:rPr>
          <w:color w:val="auto"/>
        </w:rPr>
      </w:pPr>
      <w:r>
        <w:rPr>
          <w:color w:val="auto"/>
        </w:rPr>
        <w:br w:type="page"/>
      </w:r>
    </w:p>
    <w:p w14:paraId="3D8491DC">
      <w:pPr>
        <w:spacing w:line="400" w:lineRule="exact"/>
        <w:ind w:firstLine="560" w:firstLineChars="200"/>
        <w:jc w:val="center"/>
        <w:outlineLvl w:val="0"/>
        <w:rPr>
          <w:b w:val="0"/>
          <w:bCs w:val="0"/>
          <w:color w:val="auto"/>
          <w:sz w:val="28"/>
          <w:szCs w:val="20"/>
        </w:rPr>
      </w:pPr>
      <w:bookmarkStart w:id="344" w:name="_Toc31152"/>
      <w:bookmarkStart w:id="345" w:name="_Toc27582"/>
      <w:bookmarkStart w:id="346" w:name="_Toc23548"/>
      <w:bookmarkStart w:id="347" w:name="_Toc25188"/>
      <w:r>
        <w:rPr>
          <w:rFonts w:hint="eastAsia"/>
          <w:b w:val="0"/>
          <w:bCs w:val="0"/>
          <w:color w:val="auto"/>
          <w:sz w:val="28"/>
          <w:szCs w:val="20"/>
        </w:rPr>
        <w:t>四、投标承诺书</w:t>
      </w:r>
      <w:bookmarkEnd w:id="344"/>
      <w:bookmarkEnd w:id="345"/>
      <w:bookmarkEnd w:id="346"/>
      <w:bookmarkEnd w:id="347"/>
    </w:p>
    <w:p w14:paraId="57B22094">
      <w:pPr>
        <w:pStyle w:val="30"/>
        <w:outlineLvl w:val="9"/>
        <w:rPr>
          <w:rFonts w:cs="Times New Roman"/>
          <w:b w:val="0"/>
          <w:bCs w:val="0"/>
          <w:color w:val="auto"/>
          <w:sz w:val="21"/>
          <w:szCs w:val="21"/>
        </w:rPr>
      </w:pPr>
    </w:p>
    <w:p w14:paraId="3593C966">
      <w:pPr>
        <w:spacing w:line="360" w:lineRule="auto"/>
        <w:rPr>
          <w:rFonts w:hint="eastAsia" w:eastAsia="宋体"/>
          <w:b w:val="0"/>
          <w:bCs w:val="0"/>
          <w:color w:val="auto"/>
          <w:sz w:val="24"/>
          <w:szCs w:val="28"/>
          <w:u w:val="single"/>
          <w:lang w:eastAsia="zh-CN"/>
        </w:rPr>
      </w:pPr>
      <w:r>
        <w:rPr>
          <w:rFonts w:hint="eastAsia"/>
          <w:b w:val="0"/>
          <w:bCs w:val="0"/>
          <w:color w:val="auto"/>
          <w:sz w:val="24"/>
          <w:szCs w:val="28"/>
        </w:rPr>
        <w:t>致：</w:t>
      </w:r>
      <w:r>
        <w:rPr>
          <w:rFonts w:hint="eastAsia"/>
          <w:b w:val="0"/>
          <w:bCs w:val="0"/>
          <w:color w:val="auto"/>
          <w:sz w:val="24"/>
          <w:szCs w:val="28"/>
          <w:u w:val="single"/>
          <w:lang w:eastAsia="zh-CN"/>
        </w:rPr>
        <w:t>（采购人）</w:t>
      </w:r>
    </w:p>
    <w:p w14:paraId="1BAD014D">
      <w:pPr>
        <w:pStyle w:val="31"/>
        <w:spacing w:line="500" w:lineRule="exact"/>
        <w:ind w:firstLine="564" w:firstLineChars="235"/>
        <w:rPr>
          <w:rFonts w:hAnsi="宋体"/>
          <w:b w:val="0"/>
          <w:bCs w:val="0"/>
          <w:color w:val="auto"/>
        </w:rPr>
      </w:pPr>
      <w:r>
        <w:rPr>
          <w:rFonts w:hint="eastAsia" w:hAnsi="宋体"/>
          <w:b w:val="0"/>
          <w:bCs w:val="0"/>
          <w:color w:val="auto"/>
        </w:rPr>
        <w:t>我方已充分了解了</w:t>
      </w:r>
      <w:r>
        <w:rPr>
          <w:rFonts w:hint="eastAsia" w:hAnsi="宋体"/>
          <w:b w:val="0"/>
          <w:bCs w:val="0"/>
          <w:color w:val="auto"/>
          <w:u w:val="single"/>
        </w:rPr>
        <w:t>（项目名称）（项目编号）</w:t>
      </w:r>
      <w:r>
        <w:rPr>
          <w:rFonts w:hint="eastAsia" w:hAnsi="宋体"/>
          <w:b w:val="0"/>
          <w:bCs w:val="0"/>
          <w:color w:val="auto"/>
        </w:rPr>
        <w:t>的竞争性磋商文件，愿意遵照本项目磋商文件、《中华人民共和国政府采购法》等有关规定参与竞标，并承诺如下：</w:t>
      </w:r>
    </w:p>
    <w:p w14:paraId="2A2A76AF">
      <w:pPr>
        <w:pStyle w:val="31"/>
        <w:spacing w:line="500" w:lineRule="exact"/>
        <w:ind w:firstLine="564" w:firstLineChars="235"/>
        <w:rPr>
          <w:rFonts w:hAnsi="宋体"/>
          <w:b w:val="0"/>
          <w:bCs w:val="0"/>
          <w:color w:val="auto"/>
        </w:rPr>
      </w:pPr>
      <w:r>
        <w:rPr>
          <w:rFonts w:hint="eastAsia" w:hAnsi="宋体"/>
          <w:b w:val="0"/>
          <w:bCs w:val="0"/>
          <w:color w:val="auto"/>
        </w:rPr>
        <w:t>1、我方承诺将严格按照“公开、公平、公正和诚实信用原则”参与本项目竞标活动。</w:t>
      </w:r>
    </w:p>
    <w:p w14:paraId="7E9CABFB">
      <w:pPr>
        <w:pStyle w:val="31"/>
        <w:spacing w:line="500" w:lineRule="exact"/>
        <w:ind w:firstLine="564" w:firstLineChars="235"/>
        <w:jc w:val="both"/>
        <w:rPr>
          <w:rFonts w:hAnsi="宋体"/>
          <w:b w:val="0"/>
          <w:bCs w:val="0"/>
          <w:color w:val="auto"/>
        </w:rPr>
      </w:pPr>
      <w:r>
        <w:rPr>
          <w:rFonts w:hint="eastAsia" w:hAnsi="宋体"/>
          <w:b w:val="0"/>
          <w:bCs w:val="0"/>
          <w:color w:val="auto"/>
        </w:rPr>
        <w:t>2、我方承诺在投标有效期内不撤销响应文件；</w:t>
      </w:r>
    </w:p>
    <w:p w14:paraId="2FFD6B45">
      <w:pPr>
        <w:pStyle w:val="31"/>
        <w:spacing w:line="500" w:lineRule="exact"/>
        <w:ind w:firstLine="564" w:firstLineChars="235"/>
        <w:jc w:val="left"/>
        <w:rPr>
          <w:rFonts w:hAnsi="宋体"/>
          <w:b w:val="0"/>
          <w:bCs w:val="0"/>
          <w:color w:val="auto"/>
        </w:rPr>
      </w:pPr>
      <w:r>
        <w:rPr>
          <w:rFonts w:hint="eastAsia" w:hAnsi="宋体"/>
          <w:b w:val="0"/>
          <w:bCs w:val="0"/>
          <w:color w:val="auto"/>
        </w:rPr>
        <w:t>3、我方承诺在响应文件中及三门峡市公共资源交易供应商市场主体信息库中提供的材料真实有效；</w:t>
      </w:r>
    </w:p>
    <w:p w14:paraId="213CBB69">
      <w:pPr>
        <w:pStyle w:val="31"/>
        <w:spacing w:line="500" w:lineRule="exact"/>
        <w:ind w:firstLine="564" w:firstLineChars="235"/>
        <w:jc w:val="left"/>
        <w:rPr>
          <w:rFonts w:hAnsi="宋体"/>
          <w:b w:val="0"/>
          <w:bCs w:val="0"/>
          <w:color w:val="auto"/>
        </w:rPr>
      </w:pPr>
      <w:r>
        <w:rPr>
          <w:rFonts w:hint="eastAsia" w:hAnsi="宋体"/>
          <w:b w:val="0"/>
          <w:bCs w:val="0"/>
          <w:color w:val="auto"/>
        </w:rPr>
        <w:t>4、我方承诺绝不采取不正当手段谋取中标；</w:t>
      </w:r>
    </w:p>
    <w:p w14:paraId="6C95D757">
      <w:pPr>
        <w:pStyle w:val="31"/>
        <w:spacing w:line="500" w:lineRule="exact"/>
        <w:ind w:firstLine="564" w:firstLineChars="235"/>
        <w:jc w:val="left"/>
        <w:rPr>
          <w:rFonts w:hAnsi="宋体"/>
          <w:b w:val="0"/>
          <w:bCs w:val="0"/>
          <w:color w:val="auto"/>
        </w:rPr>
      </w:pPr>
      <w:r>
        <w:rPr>
          <w:rFonts w:hint="eastAsia" w:hAnsi="宋体"/>
          <w:b w:val="0"/>
          <w:bCs w:val="0"/>
          <w:color w:val="auto"/>
        </w:rPr>
        <w:t>5、如我方中标，我方承诺在收到成交通知书后，在成交通知书规定的期限内，根据</w:t>
      </w:r>
      <w:r>
        <w:rPr>
          <w:rFonts w:hint="eastAsia" w:hAnsi="宋体"/>
          <w:b w:val="0"/>
          <w:bCs w:val="0"/>
          <w:color w:val="auto"/>
          <w:lang w:eastAsia="zh-CN"/>
        </w:rPr>
        <w:t>磋商</w:t>
      </w:r>
      <w:r>
        <w:rPr>
          <w:rFonts w:hint="eastAsia" w:hAnsi="宋体"/>
          <w:b w:val="0"/>
          <w:bCs w:val="0"/>
          <w:color w:val="auto"/>
        </w:rPr>
        <w:t>文件、我方的响应文件及有关澄清承诺书的要求，与采购人订立书面合同，并按照合同约定承担完成合同的责任和义务.</w:t>
      </w:r>
    </w:p>
    <w:p w14:paraId="7F432F6B">
      <w:pPr>
        <w:pStyle w:val="31"/>
        <w:spacing w:line="500" w:lineRule="exact"/>
        <w:ind w:firstLine="564" w:firstLineChars="235"/>
        <w:jc w:val="left"/>
        <w:rPr>
          <w:rFonts w:hAnsi="宋体"/>
          <w:b w:val="0"/>
          <w:bCs w:val="0"/>
          <w:color w:val="auto"/>
        </w:rPr>
      </w:pPr>
      <w:r>
        <w:rPr>
          <w:rFonts w:hint="eastAsia" w:hAnsi="宋体"/>
          <w:b w:val="0"/>
          <w:bCs w:val="0"/>
          <w:color w:val="auto"/>
        </w:rPr>
        <w:t>6、如我方违反以上承诺，愿意接受本项目预算金额10%的处罚，同时依法承担相应法律责任。</w:t>
      </w:r>
    </w:p>
    <w:p w14:paraId="793C8B96">
      <w:pPr>
        <w:pStyle w:val="31"/>
        <w:spacing w:line="500" w:lineRule="exact"/>
        <w:ind w:firstLine="564" w:firstLineChars="235"/>
        <w:rPr>
          <w:rFonts w:hAnsi="宋体"/>
          <w:b w:val="0"/>
          <w:bCs w:val="0"/>
          <w:color w:val="auto"/>
        </w:rPr>
      </w:pPr>
    </w:p>
    <w:p w14:paraId="3D95B4FA">
      <w:pPr>
        <w:pStyle w:val="31"/>
        <w:spacing w:line="500" w:lineRule="exact"/>
        <w:ind w:firstLine="564" w:firstLineChars="235"/>
        <w:rPr>
          <w:rFonts w:hAnsi="宋体"/>
          <w:b w:val="0"/>
          <w:bCs w:val="0"/>
          <w:color w:val="auto"/>
        </w:rPr>
      </w:pPr>
    </w:p>
    <w:p w14:paraId="17B16878">
      <w:pPr>
        <w:spacing w:line="500" w:lineRule="exact"/>
        <w:ind w:firstLine="4252" w:firstLineChars="1772"/>
        <w:rPr>
          <w:bCs/>
          <w:color w:val="auto"/>
          <w:sz w:val="24"/>
        </w:rPr>
      </w:pPr>
      <w:r>
        <w:rPr>
          <w:rFonts w:hint="eastAsia"/>
          <w:bCs/>
          <w:color w:val="auto"/>
          <w:sz w:val="24"/>
        </w:rPr>
        <w:t>供应商：（公章签章）</w:t>
      </w:r>
    </w:p>
    <w:p w14:paraId="25020D84">
      <w:pPr>
        <w:spacing w:line="500" w:lineRule="exact"/>
        <w:ind w:firstLine="4252" w:firstLineChars="1772"/>
        <w:rPr>
          <w:bCs/>
          <w:color w:val="auto"/>
          <w:sz w:val="24"/>
        </w:rPr>
      </w:pPr>
      <w:r>
        <w:rPr>
          <w:rFonts w:hint="eastAsia"/>
          <w:bCs/>
          <w:color w:val="auto"/>
          <w:sz w:val="24"/>
        </w:rPr>
        <w:t>法定代表人：（签章）</w:t>
      </w:r>
    </w:p>
    <w:p w14:paraId="3C7BCC3A">
      <w:pPr>
        <w:spacing w:line="500" w:lineRule="exact"/>
        <w:ind w:firstLine="4252" w:firstLineChars="1772"/>
        <w:rPr>
          <w:bCs/>
          <w:color w:val="auto"/>
          <w:sz w:val="24"/>
        </w:rPr>
      </w:pPr>
      <w:r>
        <w:rPr>
          <w:rFonts w:hint="eastAsia"/>
          <w:bCs/>
          <w:color w:val="auto"/>
          <w:sz w:val="24"/>
        </w:rPr>
        <w:t>日期：</w:t>
      </w:r>
    </w:p>
    <w:p w14:paraId="26D113F7">
      <w:pPr>
        <w:pStyle w:val="8"/>
        <w:rPr>
          <w:color w:val="auto"/>
        </w:rPr>
      </w:pPr>
      <w:r>
        <w:rPr>
          <w:color w:val="auto"/>
        </w:rPr>
        <w:br w:type="page"/>
      </w:r>
    </w:p>
    <w:p w14:paraId="6780E80E">
      <w:pPr>
        <w:pStyle w:val="30"/>
        <w:numPr>
          <w:ilvl w:val="0"/>
          <w:numId w:val="21"/>
        </w:numPr>
        <w:ind w:left="0"/>
        <w:jc w:val="center"/>
        <w:outlineLvl w:val="0"/>
        <w:rPr>
          <w:rFonts w:hint="eastAsia" w:ascii="宋体" w:hAnsi="宋体"/>
          <w:color w:val="auto"/>
          <w:lang w:eastAsia="zh-CN"/>
        </w:rPr>
      </w:pPr>
      <w:bookmarkStart w:id="348" w:name="_Toc6163"/>
      <w:bookmarkStart w:id="349" w:name="_Toc4328_WPSOffice_Level1"/>
      <w:bookmarkStart w:id="350" w:name="_Toc25743"/>
      <w:bookmarkStart w:id="351" w:name="_Toc30303"/>
      <w:r>
        <w:rPr>
          <w:rFonts w:hint="eastAsia" w:ascii="宋体" w:hAnsi="宋体"/>
          <w:color w:val="auto"/>
        </w:rPr>
        <w:t>资格审查资料</w:t>
      </w:r>
      <w:bookmarkEnd w:id="348"/>
      <w:bookmarkEnd w:id="349"/>
      <w:bookmarkEnd w:id="350"/>
      <w:bookmarkEnd w:id="351"/>
    </w:p>
    <w:p w14:paraId="3AF43181">
      <w:pPr>
        <w:jc w:val="both"/>
        <w:rPr>
          <w:rFonts w:hint="eastAsia"/>
          <w:color w:val="auto"/>
          <w:sz w:val="24"/>
          <w:szCs w:val="32"/>
        </w:rPr>
      </w:pPr>
      <w:bookmarkStart w:id="352" w:name="_Toc10295_WPSOffice_Level2"/>
      <w:r>
        <w:rPr>
          <w:rFonts w:hint="eastAsia"/>
          <w:color w:val="auto"/>
          <w:sz w:val="24"/>
          <w:szCs w:val="32"/>
        </w:rPr>
        <w:t>（</w:t>
      </w:r>
      <w:r>
        <w:rPr>
          <w:rFonts w:hint="eastAsia"/>
          <w:color w:val="auto"/>
          <w:sz w:val="24"/>
          <w:szCs w:val="32"/>
          <w:lang w:eastAsia="zh-CN"/>
        </w:rPr>
        <w:t>一</w:t>
      </w:r>
      <w:r>
        <w:rPr>
          <w:rFonts w:hint="eastAsia"/>
          <w:color w:val="auto"/>
          <w:sz w:val="24"/>
          <w:szCs w:val="32"/>
        </w:rPr>
        <w:t>）供应商基本情况表</w:t>
      </w:r>
      <w:bookmarkEnd w:id="352"/>
    </w:p>
    <w:tbl>
      <w:tblPr>
        <w:tblStyle w:val="22"/>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63FA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5303005">
            <w:pPr>
              <w:spacing w:line="360" w:lineRule="auto"/>
              <w:rPr>
                <w:color w:val="auto"/>
                <w:sz w:val="24"/>
              </w:rPr>
            </w:pPr>
            <w:r>
              <w:rPr>
                <w:rFonts w:hint="eastAsia"/>
                <w:color w:val="auto"/>
                <w:sz w:val="24"/>
              </w:rPr>
              <w:t>供应商名称</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0DCD015D">
            <w:pPr>
              <w:spacing w:line="360" w:lineRule="auto"/>
              <w:rPr>
                <w:color w:val="auto"/>
                <w:sz w:val="24"/>
              </w:rPr>
            </w:pPr>
          </w:p>
        </w:tc>
      </w:tr>
      <w:tr w14:paraId="0533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8EE6E4D">
            <w:pPr>
              <w:spacing w:line="360" w:lineRule="auto"/>
              <w:rPr>
                <w:color w:val="auto"/>
                <w:sz w:val="24"/>
              </w:rPr>
            </w:pPr>
            <w:r>
              <w:rPr>
                <w:rFonts w:hint="eastAsia"/>
                <w:color w:val="auto"/>
                <w:sz w:val="24"/>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ign w:val="center"/>
          </w:tcPr>
          <w:p w14:paraId="5710FC32">
            <w:pPr>
              <w:spacing w:line="360" w:lineRule="auto"/>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65465232">
            <w:pPr>
              <w:spacing w:line="360" w:lineRule="auto"/>
              <w:rPr>
                <w:color w:val="auto"/>
                <w:sz w:val="24"/>
              </w:rPr>
            </w:pPr>
            <w:r>
              <w:rPr>
                <w:rFonts w:hint="eastAsia"/>
                <w:color w:val="auto"/>
                <w:sz w:val="24"/>
              </w:rPr>
              <w:t>邮政编码</w:t>
            </w:r>
          </w:p>
        </w:tc>
        <w:tc>
          <w:tcPr>
            <w:tcW w:w="1679" w:type="dxa"/>
            <w:tcBorders>
              <w:top w:val="single" w:color="auto" w:sz="4" w:space="0"/>
              <w:left w:val="single" w:color="auto" w:sz="4" w:space="0"/>
              <w:bottom w:val="single" w:color="auto" w:sz="4" w:space="0"/>
              <w:right w:val="single" w:color="auto" w:sz="4" w:space="0"/>
            </w:tcBorders>
            <w:noWrap/>
            <w:vAlign w:val="center"/>
          </w:tcPr>
          <w:p w14:paraId="16695FE3">
            <w:pPr>
              <w:spacing w:line="360" w:lineRule="auto"/>
              <w:rPr>
                <w:color w:val="auto"/>
                <w:sz w:val="24"/>
              </w:rPr>
            </w:pPr>
          </w:p>
        </w:tc>
      </w:tr>
      <w:tr w14:paraId="63B3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noWrap/>
            <w:vAlign w:val="center"/>
          </w:tcPr>
          <w:p w14:paraId="3A3A1A9D">
            <w:pPr>
              <w:spacing w:line="360" w:lineRule="auto"/>
              <w:rPr>
                <w:color w:val="auto"/>
                <w:sz w:val="24"/>
              </w:rPr>
            </w:pPr>
            <w:r>
              <w:rPr>
                <w:rFonts w:hint="eastAsia"/>
                <w:color w:val="auto"/>
                <w:sz w:val="24"/>
              </w:rPr>
              <w:t>联系方式</w:t>
            </w:r>
          </w:p>
        </w:tc>
        <w:tc>
          <w:tcPr>
            <w:tcW w:w="973" w:type="dxa"/>
            <w:tcBorders>
              <w:top w:val="single" w:color="auto" w:sz="4" w:space="0"/>
              <w:left w:val="single" w:color="auto" w:sz="4" w:space="0"/>
              <w:bottom w:val="single" w:color="auto" w:sz="4" w:space="0"/>
              <w:right w:val="single" w:color="auto" w:sz="4" w:space="0"/>
            </w:tcBorders>
            <w:noWrap/>
            <w:vAlign w:val="center"/>
          </w:tcPr>
          <w:p w14:paraId="2DEE38A7">
            <w:pPr>
              <w:spacing w:line="360" w:lineRule="auto"/>
              <w:rPr>
                <w:color w:val="auto"/>
                <w:sz w:val="24"/>
              </w:rPr>
            </w:pPr>
            <w:r>
              <w:rPr>
                <w:rFonts w:hint="eastAsia"/>
                <w:color w:val="auto"/>
                <w:sz w:val="24"/>
              </w:rPr>
              <w:t>联系人</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5AFD8D2E">
            <w:pPr>
              <w:spacing w:line="360" w:lineRule="auto"/>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3659E194">
            <w:pPr>
              <w:spacing w:line="360" w:lineRule="auto"/>
              <w:rPr>
                <w:color w:val="auto"/>
                <w:sz w:val="24"/>
              </w:rPr>
            </w:pPr>
            <w:r>
              <w:rPr>
                <w:rFonts w:hint="eastAsia"/>
                <w:color w:val="auto"/>
                <w:sz w:val="24"/>
              </w:rPr>
              <w:t>电话</w:t>
            </w:r>
          </w:p>
        </w:tc>
        <w:tc>
          <w:tcPr>
            <w:tcW w:w="1679" w:type="dxa"/>
            <w:tcBorders>
              <w:top w:val="single" w:color="auto" w:sz="4" w:space="0"/>
              <w:left w:val="single" w:color="auto" w:sz="4" w:space="0"/>
              <w:bottom w:val="single" w:color="auto" w:sz="4" w:space="0"/>
              <w:right w:val="single" w:color="auto" w:sz="4" w:space="0"/>
            </w:tcBorders>
            <w:noWrap/>
            <w:vAlign w:val="center"/>
          </w:tcPr>
          <w:p w14:paraId="26435543">
            <w:pPr>
              <w:spacing w:line="360" w:lineRule="auto"/>
              <w:rPr>
                <w:color w:val="auto"/>
                <w:sz w:val="24"/>
              </w:rPr>
            </w:pPr>
          </w:p>
        </w:tc>
      </w:tr>
      <w:tr w14:paraId="680A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noWrap/>
            <w:vAlign w:val="center"/>
          </w:tcPr>
          <w:p w14:paraId="7C0CFCDD">
            <w:pPr>
              <w:rPr>
                <w:color w:val="auto"/>
                <w:sz w:val="20"/>
                <w:szCs w:val="20"/>
              </w:rPr>
            </w:pPr>
          </w:p>
        </w:tc>
        <w:tc>
          <w:tcPr>
            <w:tcW w:w="973" w:type="dxa"/>
            <w:tcBorders>
              <w:top w:val="single" w:color="auto" w:sz="4" w:space="0"/>
              <w:left w:val="single" w:color="auto" w:sz="4" w:space="0"/>
              <w:bottom w:val="single" w:color="auto" w:sz="4" w:space="0"/>
              <w:right w:val="single" w:color="auto" w:sz="4" w:space="0"/>
            </w:tcBorders>
            <w:noWrap/>
            <w:vAlign w:val="center"/>
          </w:tcPr>
          <w:p w14:paraId="4BD8912B">
            <w:pPr>
              <w:spacing w:line="360" w:lineRule="auto"/>
              <w:rPr>
                <w:color w:val="auto"/>
                <w:sz w:val="24"/>
              </w:rPr>
            </w:pPr>
            <w:r>
              <w:rPr>
                <w:rFonts w:hint="eastAsia"/>
                <w:color w:val="auto"/>
                <w:sz w:val="24"/>
              </w:rPr>
              <w:t>传真</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7139831A">
            <w:pPr>
              <w:spacing w:line="360" w:lineRule="auto"/>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63A61E47">
            <w:pPr>
              <w:spacing w:line="360" w:lineRule="auto"/>
              <w:rPr>
                <w:color w:val="auto"/>
                <w:sz w:val="24"/>
              </w:rPr>
            </w:pPr>
            <w:r>
              <w:rPr>
                <w:rFonts w:hint="eastAsia"/>
                <w:color w:val="auto"/>
                <w:sz w:val="24"/>
              </w:rPr>
              <w:t>网址</w:t>
            </w:r>
          </w:p>
        </w:tc>
        <w:tc>
          <w:tcPr>
            <w:tcW w:w="1679" w:type="dxa"/>
            <w:tcBorders>
              <w:top w:val="single" w:color="auto" w:sz="4" w:space="0"/>
              <w:left w:val="single" w:color="auto" w:sz="4" w:space="0"/>
              <w:bottom w:val="single" w:color="auto" w:sz="4" w:space="0"/>
              <w:right w:val="single" w:color="auto" w:sz="4" w:space="0"/>
            </w:tcBorders>
            <w:noWrap/>
            <w:vAlign w:val="center"/>
          </w:tcPr>
          <w:p w14:paraId="623562A9">
            <w:pPr>
              <w:spacing w:line="360" w:lineRule="auto"/>
              <w:rPr>
                <w:color w:val="auto"/>
                <w:sz w:val="24"/>
              </w:rPr>
            </w:pPr>
          </w:p>
        </w:tc>
      </w:tr>
      <w:tr w14:paraId="23B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76DE5C1">
            <w:pPr>
              <w:spacing w:line="360" w:lineRule="auto"/>
              <w:rPr>
                <w:color w:val="auto"/>
                <w:sz w:val="24"/>
              </w:rPr>
            </w:pPr>
            <w:r>
              <w:rPr>
                <w:rFonts w:hint="eastAsia"/>
                <w:color w:val="auto"/>
                <w:sz w:val="24"/>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7194E39C">
            <w:pPr>
              <w:tabs>
                <w:tab w:val="left" w:pos="4776"/>
              </w:tabs>
              <w:spacing w:line="360" w:lineRule="auto"/>
              <w:rPr>
                <w:color w:val="auto"/>
                <w:sz w:val="24"/>
              </w:rPr>
            </w:pPr>
          </w:p>
        </w:tc>
      </w:tr>
      <w:tr w14:paraId="7C04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FDC4F4D">
            <w:pPr>
              <w:spacing w:line="360" w:lineRule="auto"/>
              <w:rPr>
                <w:color w:val="auto"/>
                <w:sz w:val="24"/>
              </w:rPr>
            </w:pPr>
            <w:r>
              <w:rPr>
                <w:rFonts w:hint="eastAsia"/>
                <w:color w:val="auto"/>
                <w:sz w:val="24"/>
              </w:rPr>
              <w:t>法定代表人</w:t>
            </w:r>
          </w:p>
        </w:tc>
        <w:tc>
          <w:tcPr>
            <w:tcW w:w="973" w:type="dxa"/>
            <w:tcBorders>
              <w:top w:val="single" w:color="auto" w:sz="4" w:space="0"/>
              <w:left w:val="single" w:color="auto" w:sz="4" w:space="0"/>
              <w:bottom w:val="single" w:color="auto" w:sz="4" w:space="0"/>
              <w:right w:val="single" w:color="auto" w:sz="4" w:space="0"/>
            </w:tcBorders>
            <w:noWrap/>
            <w:vAlign w:val="center"/>
          </w:tcPr>
          <w:p w14:paraId="28AFB2C4">
            <w:pPr>
              <w:spacing w:line="360" w:lineRule="auto"/>
              <w:rPr>
                <w:color w:val="auto"/>
                <w:sz w:val="24"/>
              </w:rPr>
            </w:pPr>
            <w:r>
              <w:rPr>
                <w:rFonts w:hint="eastAsia"/>
                <w:color w:val="auto"/>
                <w:sz w:val="24"/>
              </w:rPr>
              <w:t>姓名</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0E803C70">
            <w:pPr>
              <w:spacing w:line="360" w:lineRule="auto"/>
              <w:rPr>
                <w:color w:val="auto"/>
                <w:sz w:val="24"/>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2D110910">
            <w:pPr>
              <w:spacing w:line="360" w:lineRule="auto"/>
              <w:rPr>
                <w:color w:val="auto"/>
                <w:sz w:val="24"/>
              </w:rPr>
            </w:pPr>
            <w:r>
              <w:rPr>
                <w:rFonts w:hint="eastAsia"/>
                <w:color w:val="auto"/>
                <w:sz w:val="24"/>
              </w:rPr>
              <w:t>电话</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4D25C257">
            <w:pPr>
              <w:spacing w:line="360" w:lineRule="auto"/>
              <w:rPr>
                <w:color w:val="auto"/>
                <w:sz w:val="24"/>
              </w:rPr>
            </w:pPr>
          </w:p>
        </w:tc>
      </w:tr>
      <w:tr w14:paraId="4AFB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3B21C1D">
            <w:pPr>
              <w:spacing w:line="360" w:lineRule="auto"/>
              <w:rPr>
                <w:color w:val="auto"/>
                <w:sz w:val="24"/>
              </w:rPr>
            </w:pPr>
            <w:r>
              <w:rPr>
                <w:rFonts w:hint="eastAsia"/>
                <w:color w:val="auto"/>
                <w:sz w:val="24"/>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5E6D5A28">
            <w:pPr>
              <w:spacing w:line="360" w:lineRule="auto"/>
              <w:rPr>
                <w:color w:val="auto"/>
                <w:sz w:val="24"/>
              </w:rPr>
            </w:pPr>
          </w:p>
        </w:tc>
        <w:tc>
          <w:tcPr>
            <w:tcW w:w="4165" w:type="dxa"/>
            <w:gridSpan w:val="4"/>
            <w:tcBorders>
              <w:top w:val="single" w:color="auto" w:sz="4" w:space="0"/>
              <w:left w:val="single" w:color="auto" w:sz="4" w:space="0"/>
              <w:bottom w:val="single" w:color="auto" w:sz="4" w:space="0"/>
              <w:right w:val="single" w:color="auto" w:sz="4" w:space="0"/>
            </w:tcBorders>
            <w:noWrap/>
            <w:vAlign w:val="center"/>
          </w:tcPr>
          <w:p w14:paraId="215C21CC">
            <w:pPr>
              <w:spacing w:line="360" w:lineRule="auto"/>
              <w:rPr>
                <w:color w:val="auto"/>
                <w:sz w:val="24"/>
              </w:rPr>
            </w:pPr>
            <w:r>
              <w:rPr>
                <w:rFonts w:hint="eastAsia"/>
                <w:color w:val="auto"/>
                <w:sz w:val="24"/>
              </w:rPr>
              <w:t>员工总人数：</w:t>
            </w:r>
          </w:p>
        </w:tc>
      </w:tr>
      <w:tr w14:paraId="19DF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60C7BAD5">
            <w:pPr>
              <w:spacing w:line="360" w:lineRule="auto"/>
              <w:rPr>
                <w:color w:val="auto"/>
                <w:sz w:val="24"/>
              </w:rPr>
            </w:pPr>
            <w:r>
              <w:rPr>
                <w:rFonts w:hint="eastAsia"/>
                <w:color w:val="auto"/>
                <w:sz w:val="24"/>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6E289EA4">
            <w:pPr>
              <w:spacing w:line="360" w:lineRule="auto"/>
              <w:rPr>
                <w:color w:val="auto"/>
                <w:sz w:val="24"/>
              </w:rPr>
            </w:pPr>
          </w:p>
        </w:tc>
      </w:tr>
      <w:tr w14:paraId="2962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2330EF6">
            <w:pPr>
              <w:spacing w:line="360" w:lineRule="auto"/>
              <w:rPr>
                <w:color w:val="auto"/>
                <w:sz w:val="24"/>
              </w:rPr>
            </w:pPr>
            <w:r>
              <w:rPr>
                <w:rFonts w:hint="eastAsia"/>
                <w:color w:val="auto"/>
                <w:sz w:val="24"/>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3E3B28B5">
            <w:pPr>
              <w:spacing w:line="360" w:lineRule="auto"/>
              <w:rPr>
                <w:color w:val="auto"/>
                <w:sz w:val="24"/>
              </w:rPr>
            </w:pPr>
          </w:p>
        </w:tc>
        <w:tc>
          <w:tcPr>
            <w:tcW w:w="2251" w:type="dxa"/>
            <w:gridSpan w:val="2"/>
            <w:tcBorders>
              <w:top w:val="single" w:color="auto" w:sz="4" w:space="0"/>
              <w:left w:val="single" w:color="auto" w:sz="4" w:space="0"/>
              <w:bottom w:val="single" w:color="auto" w:sz="4" w:space="0"/>
              <w:right w:val="single" w:color="auto" w:sz="4" w:space="0"/>
            </w:tcBorders>
            <w:noWrap/>
            <w:vAlign w:val="center"/>
          </w:tcPr>
          <w:p w14:paraId="06605970">
            <w:pPr>
              <w:spacing w:line="360" w:lineRule="auto"/>
              <w:rPr>
                <w:color w:val="auto"/>
                <w:sz w:val="24"/>
              </w:rPr>
            </w:pPr>
            <w:r>
              <w:rPr>
                <w:rFonts w:hint="eastAsia"/>
                <w:color w:val="auto"/>
                <w:sz w:val="24"/>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2EB4BD28">
            <w:pPr>
              <w:spacing w:line="360" w:lineRule="auto"/>
              <w:rPr>
                <w:color w:val="auto"/>
                <w:sz w:val="24"/>
              </w:rPr>
            </w:pPr>
          </w:p>
        </w:tc>
      </w:tr>
      <w:tr w14:paraId="5504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6C39977E">
            <w:pPr>
              <w:spacing w:line="360" w:lineRule="auto"/>
              <w:rPr>
                <w:color w:val="auto"/>
                <w:sz w:val="24"/>
              </w:rPr>
            </w:pPr>
            <w:r>
              <w:rPr>
                <w:rFonts w:hint="eastAsia"/>
                <w:color w:val="auto"/>
                <w:sz w:val="24"/>
              </w:rPr>
              <w:t>账号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6998814B">
            <w:pPr>
              <w:spacing w:line="360" w:lineRule="auto"/>
              <w:rPr>
                <w:color w:val="auto"/>
                <w:sz w:val="24"/>
              </w:rPr>
            </w:pPr>
          </w:p>
        </w:tc>
      </w:tr>
      <w:tr w14:paraId="1342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2CCF3EDB">
            <w:pPr>
              <w:spacing w:line="360" w:lineRule="auto"/>
              <w:rPr>
                <w:color w:val="auto"/>
                <w:sz w:val="24"/>
              </w:rPr>
            </w:pPr>
            <w:r>
              <w:rPr>
                <w:rFonts w:hint="eastAsia"/>
                <w:color w:val="auto"/>
                <w:sz w:val="24"/>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244FC7F">
            <w:pPr>
              <w:spacing w:line="360" w:lineRule="auto"/>
              <w:rPr>
                <w:color w:val="auto"/>
                <w:sz w:val="24"/>
              </w:rPr>
            </w:pPr>
          </w:p>
        </w:tc>
      </w:tr>
    </w:tbl>
    <w:p w14:paraId="4D262732">
      <w:pPr>
        <w:spacing w:line="360" w:lineRule="auto"/>
        <w:rPr>
          <w:color w:val="auto"/>
          <w:sz w:val="24"/>
        </w:rPr>
      </w:pPr>
      <w:bookmarkStart w:id="353" w:name="_Toc15473_WPSOffice_Level3"/>
      <w:r>
        <w:rPr>
          <w:rFonts w:hint="eastAsia"/>
          <w:color w:val="auto"/>
          <w:sz w:val="24"/>
        </w:rPr>
        <w:t>附：1、营业执照、税务登记证、组织机构代码证等相关证件的扫描件</w:t>
      </w:r>
      <w:bookmarkEnd w:id="353"/>
    </w:p>
    <w:p w14:paraId="20298228">
      <w:pPr>
        <w:spacing w:line="360" w:lineRule="auto"/>
        <w:rPr>
          <w:color w:val="auto"/>
          <w:sz w:val="24"/>
        </w:rPr>
      </w:pPr>
    </w:p>
    <w:p w14:paraId="51F26EA7">
      <w:pPr>
        <w:spacing w:line="360" w:lineRule="auto"/>
        <w:rPr>
          <w:color w:val="auto"/>
          <w:sz w:val="24"/>
        </w:rPr>
      </w:pPr>
    </w:p>
    <w:p w14:paraId="2513A409">
      <w:pPr>
        <w:spacing w:line="360" w:lineRule="auto"/>
        <w:rPr>
          <w:color w:val="auto"/>
          <w:sz w:val="24"/>
        </w:rPr>
      </w:pPr>
    </w:p>
    <w:p w14:paraId="038C7A83">
      <w:pPr>
        <w:spacing w:line="360" w:lineRule="auto"/>
        <w:rPr>
          <w:color w:val="auto"/>
          <w:sz w:val="24"/>
        </w:rPr>
      </w:pPr>
    </w:p>
    <w:p w14:paraId="6792D729">
      <w:pPr>
        <w:spacing w:line="360" w:lineRule="auto"/>
        <w:rPr>
          <w:color w:val="auto"/>
          <w:sz w:val="24"/>
        </w:rPr>
      </w:pPr>
    </w:p>
    <w:p w14:paraId="4813B4C9">
      <w:pPr>
        <w:spacing w:line="360" w:lineRule="auto"/>
        <w:rPr>
          <w:color w:val="auto"/>
          <w:sz w:val="24"/>
        </w:rPr>
      </w:pPr>
    </w:p>
    <w:p w14:paraId="3EC640C5">
      <w:pPr>
        <w:spacing w:line="360" w:lineRule="auto"/>
        <w:rPr>
          <w:color w:val="auto"/>
          <w:sz w:val="24"/>
        </w:rPr>
      </w:pPr>
    </w:p>
    <w:p w14:paraId="09245C96">
      <w:pPr>
        <w:spacing w:line="360" w:lineRule="auto"/>
        <w:rPr>
          <w:color w:val="auto"/>
          <w:sz w:val="24"/>
        </w:rPr>
      </w:pPr>
    </w:p>
    <w:p w14:paraId="7D4A4BF1">
      <w:pPr>
        <w:widowControl/>
        <w:rPr>
          <w:rFonts w:ascii="宋体" w:hAnsi="宋体" w:cs="宋体"/>
          <w:b/>
          <w:bCs/>
          <w:color w:val="auto"/>
          <w:kern w:val="0"/>
          <w:sz w:val="24"/>
        </w:rPr>
      </w:pPr>
      <w:bookmarkStart w:id="354" w:name="_Toc13068_WPSOffice_Level2"/>
    </w:p>
    <w:p w14:paraId="1E4C356D">
      <w:pPr>
        <w:rPr>
          <w:rFonts w:hint="eastAsia"/>
          <w:color w:val="auto"/>
          <w:sz w:val="24"/>
          <w:szCs w:val="32"/>
        </w:rPr>
      </w:pPr>
      <w:r>
        <w:rPr>
          <w:rFonts w:hint="eastAsia"/>
          <w:color w:val="auto"/>
          <w:sz w:val="24"/>
          <w:szCs w:val="32"/>
        </w:rPr>
        <w:br w:type="page"/>
      </w:r>
    </w:p>
    <w:p w14:paraId="4F64FFC5">
      <w:pPr>
        <w:jc w:val="both"/>
        <w:rPr>
          <w:color w:val="auto"/>
          <w:sz w:val="24"/>
          <w:szCs w:val="32"/>
        </w:rPr>
      </w:pPr>
      <w:r>
        <w:rPr>
          <w:rFonts w:hint="eastAsia"/>
          <w:color w:val="auto"/>
          <w:sz w:val="24"/>
          <w:szCs w:val="32"/>
        </w:rPr>
        <w:t>（二）近三年来完成</w:t>
      </w:r>
      <w:r>
        <w:rPr>
          <w:rFonts w:hint="eastAsia"/>
          <w:color w:val="auto"/>
          <w:sz w:val="24"/>
          <w:szCs w:val="32"/>
          <w:lang w:eastAsia="zh-CN"/>
        </w:rPr>
        <w:t>类似</w:t>
      </w:r>
      <w:r>
        <w:rPr>
          <w:rFonts w:hint="eastAsia"/>
          <w:color w:val="auto"/>
          <w:sz w:val="24"/>
          <w:szCs w:val="32"/>
        </w:rPr>
        <w:t>项目情况表</w:t>
      </w:r>
    </w:p>
    <w:tbl>
      <w:tblPr>
        <w:tblStyle w:val="22"/>
        <w:tblpPr w:leftFromText="180" w:rightFromText="180" w:vertAnchor="text" w:horzAnchor="page" w:tblpX="2102" w:tblpY="786"/>
        <w:tblOverlap w:val="never"/>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5795"/>
      </w:tblGrid>
      <w:tr w14:paraId="4FEE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57C99444">
            <w:pPr>
              <w:adjustRightInd w:val="0"/>
              <w:snapToGrid w:val="0"/>
              <w:spacing w:line="480" w:lineRule="exact"/>
              <w:jc w:val="center"/>
              <w:rPr>
                <w:rFonts w:ascii="宋体" w:cs="宋体"/>
                <w:color w:val="auto"/>
              </w:rPr>
            </w:pPr>
            <w:r>
              <w:rPr>
                <w:rFonts w:hint="eastAsia" w:ascii="宋体" w:hAnsi="宋体" w:cs="宋体"/>
                <w:color w:val="auto"/>
              </w:rPr>
              <w:t>建设单位</w:t>
            </w:r>
          </w:p>
          <w:p w14:paraId="646DE9AA">
            <w:pPr>
              <w:adjustRightInd w:val="0"/>
              <w:snapToGrid w:val="0"/>
              <w:spacing w:line="480" w:lineRule="exact"/>
              <w:jc w:val="center"/>
              <w:rPr>
                <w:rFonts w:ascii="宋体" w:cs="宋体"/>
                <w:color w:val="auto"/>
              </w:rPr>
            </w:pPr>
            <w:r>
              <w:rPr>
                <w:rFonts w:hint="eastAsia" w:ascii="宋体" w:hAnsi="宋体" w:cs="宋体"/>
                <w:color w:val="auto"/>
              </w:rPr>
              <w:t>（业主）</w:t>
            </w:r>
          </w:p>
        </w:tc>
        <w:tc>
          <w:tcPr>
            <w:tcW w:w="5795" w:type="dxa"/>
            <w:noWrap w:val="0"/>
            <w:vAlign w:val="center"/>
          </w:tcPr>
          <w:p w14:paraId="1C2ABB11">
            <w:pPr>
              <w:adjustRightInd w:val="0"/>
              <w:snapToGrid w:val="0"/>
              <w:spacing w:line="480" w:lineRule="exact"/>
              <w:jc w:val="center"/>
              <w:rPr>
                <w:rFonts w:ascii="宋体" w:cs="宋体"/>
                <w:color w:val="auto"/>
              </w:rPr>
            </w:pPr>
          </w:p>
        </w:tc>
      </w:tr>
      <w:tr w14:paraId="4BD8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24A0C64D">
            <w:pPr>
              <w:adjustRightInd w:val="0"/>
              <w:snapToGrid w:val="0"/>
              <w:spacing w:line="480" w:lineRule="exact"/>
              <w:jc w:val="center"/>
              <w:rPr>
                <w:rFonts w:ascii="宋体" w:cs="宋体"/>
                <w:color w:val="auto"/>
              </w:rPr>
            </w:pPr>
            <w:r>
              <w:rPr>
                <w:rFonts w:hint="eastAsia" w:ascii="宋体" w:hAnsi="宋体" w:cs="宋体"/>
                <w:color w:val="auto"/>
              </w:rPr>
              <w:t>工程名称</w:t>
            </w:r>
          </w:p>
        </w:tc>
        <w:tc>
          <w:tcPr>
            <w:tcW w:w="5795" w:type="dxa"/>
            <w:noWrap w:val="0"/>
            <w:vAlign w:val="center"/>
          </w:tcPr>
          <w:p w14:paraId="26BC0AE4">
            <w:pPr>
              <w:adjustRightInd w:val="0"/>
              <w:snapToGrid w:val="0"/>
              <w:spacing w:line="480" w:lineRule="exact"/>
              <w:jc w:val="center"/>
              <w:rPr>
                <w:rFonts w:ascii="宋体" w:cs="宋体"/>
                <w:color w:val="auto"/>
              </w:rPr>
            </w:pPr>
          </w:p>
        </w:tc>
      </w:tr>
      <w:tr w14:paraId="170E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07C6E7C5">
            <w:pPr>
              <w:adjustRightInd w:val="0"/>
              <w:snapToGrid w:val="0"/>
              <w:spacing w:line="480" w:lineRule="exact"/>
              <w:jc w:val="center"/>
              <w:rPr>
                <w:rFonts w:ascii="宋体" w:cs="宋体"/>
                <w:color w:val="auto"/>
              </w:rPr>
            </w:pPr>
            <w:r>
              <w:rPr>
                <w:rFonts w:hint="eastAsia" w:ascii="宋体" w:hAnsi="宋体" w:cs="宋体"/>
                <w:color w:val="auto"/>
              </w:rPr>
              <w:t>建设规模</w:t>
            </w:r>
          </w:p>
        </w:tc>
        <w:tc>
          <w:tcPr>
            <w:tcW w:w="5795" w:type="dxa"/>
            <w:noWrap w:val="0"/>
            <w:vAlign w:val="center"/>
          </w:tcPr>
          <w:p w14:paraId="1401B459">
            <w:pPr>
              <w:adjustRightInd w:val="0"/>
              <w:snapToGrid w:val="0"/>
              <w:spacing w:line="480" w:lineRule="exact"/>
              <w:jc w:val="center"/>
              <w:rPr>
                <w:rFonts w:ascii="宋体" w:cs="宋体"/>
                <w:color w:val="auto"/>
              </w:rPr>
            </w:pPr>
          </w:p>
        </w:tc>
      </w:tr>
      <w:tr w14:paraId="4A86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190578F1">
            <w:pPr>
              <w:adjustRightInd w:val="0"/>
              <w:snapToGrid w:val="0"/>
              <w:spacing w:line="480" w:lineRule="exact"/>
              <w:jc w:val="center"/>
              <w:rPr>
                <w:rFonts w:ascii="宋体" w:cs="宋体"/>
                <w:color w:val="auto"/>
              </w:rPr>
            </w:pPr>
            <w:r>
              <w:rPr>
                <w:rFonts w:hint="eastAsia" w:ascii="宋体" w:hAnsi="宋体" w:cs="宋体"/>
                <w:color w:val="auto"/>
              </w:rPr>
              <w:t>完成日期</w:t>
            </w:r>
          </w:p>
          <w:p w14:paraId="182D79F8">
            <w:pPr>
              <w:adjustRightInd w:val="0"/>
              <w:snapToGrid w:val="0"/>
              <w:spacing w:line="480" w:lineRule="exact"/>
              <w:jc w:val="center"/>
              <w:rPr>
                <w:rFonts w:ascii="宋体" w:cs="宋体"/>
                <w:color w:val="auto"/>
              </w:rPr>
            </w:pPr>
            <w:r>
              <w:rPr>
                <w:rFonts w:hint="eastAsia" w:ascii="宋体" w:hAnsi="宋体" w:cs="宋体"/>
                <w:color w:val="auto"/>
              </w:rPr>
              <w:t>（年</w:t>
            </w:r>
            <w:r>
              <w:rPr>
                <w:rFonts w:ascii="宋体" w:hAnsi="宋体" w:cs="宋体"/>
                <w:color w:val="auto"/>
              </w:rPr>
              <w:t>/</w:t>
            </w:r>
            <w:r>
              <w:rPr>
                <w:rFonts w:hint="eastAsia" w:ascii="宋体" w:hAnsi="宋体" w:cs="宋体"/>
                <w:color w:val="auto"/>
              </w:rPr>
              <w:t>月</w:t>
            </w:r>
            <w:r>
              <w:rPr>
                <w:rFonts w:ascii="宋体" w:hAnsi="宋体" w:cs="宋体"/>
                <w:color w:val="auto"/>
              </w:rPr>
              <w:t>/</w:t>
            </w:r>
            <w:r>
              <w:rPr>
                <w:rFonts w:hint="eastAsia" w:ascii="宋体" w:hAnsi="宋体" w:cs="宋体"/>
                <w:color w:val="auto"/>
              </w:rPr>
              <w:t>日）</w:t>
            </w:r>
          </w:p>
        </w:tc>
        <w:tc>
          <w:tcPr>
            <w:tcW w:w="5795" w:type="dxa"/>
            <w:noWrap w:val="0"/>
            <w:vAlign w:val="center"/>
          </w:tcPr>
          <w:p w14:paraId="6F513D1C">
            <w:pPr>
              <w:adjustRightInd w:val="0"/>
              <w:snapToGrid w:val="0"/>
              <w:spacing w:line="480" w:lineRule="exact"/>
              <w:jc w:val="center"/>
              <w:rPr>
                <w:rFonts w:ascii="宋体" w:cs="宋体"/>
                <w:color w:val="auto"/>
              </w:rPr>
            </w:pPr>
          </w:p>
        </w:tc>
      </w:tr>
      <w:tr w14:paraId="3AA0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73992D32">
            <w:pPr>
              <w:adjustRightInd w:val="0"/>
              <w:snapToGrid w:val="0"/>
              <w:spacing w:line="480" w:lineRule="exact"/>
              <w:jc w:val="center"/>
              <w:rPr>
                <w:rFonts w:ascii="宋体" w:cs="宋体"/>
                <w:color w:val="auto"/>
              </w:rPr>
            </w:pPr>
            <w:r>
              <w:rPr>
                <w:rFonts w:hint="eastAsia" w:ascii="宋体" w:hAnsi="宋体" w:cs="宋体"/>
                <w:color w:val="auto"/>
              </w:rPr>
              <w:t>主要设计人员情况</w:t>
            </w:r>
          </w:p>
        </w:tc>
        <w:tc>
          <w:tcPr>
            <w:tcW w:w="5795" w:type="dxa"/>
            <w:noWrap w:val="0"/>
            <w:vAlign w:val="center"/>
          </w:tcPr>
          <w:p w14:paraId="54BDC4E3">
            <w:pPr>
              <w:adjustRightInd w:val="0"/>
              <w:snapToGrid w:val="0"/>
              <w:spacing w:line="480" w:lineRule="exact"/>
              <w:jc w:val="center"/>
              <w:rPr>
                <w:rFonts w:ascii="宋体" w:cs="宋体"/>
                <w:color w:val="auto"/>
              </w:rPr>
            </w:pPr>
          </w:p>
        </w:tc>
      </w:tr>
      <w:tr w14:paraId="2BD7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noWrap w:val="0"/>
            <w:vAlign w:val="center"/>
          </w:tcPr>
          <w:p w14:paraId="41A3620E">
            <w:pPr>
              <w:adjustRightInd w:val="0"/>
              <w:snapToGrid w:val="0"/>
              <w:spacing w:line="480" w:lineRule="exact"/>
              <w:jc w:val="center"/>
              <w:rPr>
                <w:rFonts w:ascii="宋体" w:cs="宋体"/>
                <w:color w:val="auto"/>
              </w:rPr>
            </w:pPr>
            <w:r>
              <w:rPr>
                <w:rFonts w:hint="eastAsia" w:ascii="宋体" w:hAnsi="宋体" w:cs="宋体"/>
                <w:color w:val="auto"/>
              </w:rPr>
              <w:t>……</w:t>
            </w:r>
          </w:p>
        </w:tc>
        <w:tc>
          <w:tcPr>
            <w:tcW w:w="5795" w:type="dxa"/>
            <w:noWrap w:val="0"/>
            <w:vAlign w:val="center"/>
          </w:tcPr>
          <w:p w14:paraId="6A6E2BF3">
            <w:pPr>
              <w:adjustRightInd w:val="0"/>
              <w:snapToGrid w:val="0"/>
              <w:spacing w:line="480" w:lineRule="exact"/>
              <w:jc w:val="center"/>
              <w:rPr>
                <w:rFonts w:ascii="宋体" w:cs="宋体"/>
                <w:color w:val="auto"/>
              </w:rPr>
            </w:pPr>
          </w:p>
        </w:tc>
      </w:tr>
    </w:tbl>
    <w:p w14:paraId="117458BD">
      <w:pPr>
        <w:autoSpaceDE w:val="0"/>
        <w:autoSpaceDN w:val="0"/>
        <w:adjustRightInd w:val="0"/>
        <w:snapToGrid w:val="0"/>
        <w:spacing w:line="480" w:lineRule="exact"/>
        <w:rPr>
          <w:rFonts w:ascii="宋体" w:cs="宋体"/>
          <w:b/>
          <w:color w:val="auto"/>
        </w:rPr>
      </w:pPr>
    </w:p>
    <w:p w14:paraId="74F2D707">
      <w:pPr>
        <w:spacing w:line="480" w:lineRule="exact"/>
        <w:ind w:left="2625" w:leftChars="1250"/>
        <w:rPr>
          <w:rFonts w:ascii="宋体" w:hAnsi="宋体" w:cs="宋体"/>
          <w:color w:val="auto"/>
        </w:rPr>
      </w:pPr>
    </w:p>
    <w:p w14:paraId="29A6E039">
      <w:pPr>
        <w:spacing w:line="480" w:lineRule="exact"/>
        <w:rPr>
          <w:rFonts w:ascii="宋体" w:hAnsi="宋体" w:cs="宋体"/>
          <w:color w:val="auto"/>
        </w:rPr>
      </w:pPr>
    </w:p>
    <w:p w14:paraId="50914440">
      <w:pPr>
        <w:spacing w:line="500" w:lineRule="exact"/>
        <w:ind w:firstLine="4252" w:firstLineChars="1772"/>
        <w:rPr>
          <w:bCs/>
          <w:color w:val="auto"/>
          <w:sz w:val="24"/>
        </w:rPr>
      </w:pPr>
      <w:r>
        <w:rPr>
          <w:rFonts w:hint="eastAsia"/>
          <w:bCs/>
          <w:color w:val="auto"/>
          <w:sz w:val="24"/>
        </w:rPr>
        <w:t>供应商：（公章签章）</w:t>
      </w:r>
    </w:p>
    <w:p w14:paraId="7442A301">
      <w:pPr>
        <w:spacing w:line="500" w:lineRule="exact"/>
        <w:ind w:firstLine="4252" w:firstLineChars="1772"/>
        <w:rPr>
          <w:bCs/>
          <w:color w:val="auto"/>
          <w:sz w:val="24"/>
        </w:rPr>
      </w:pPr>
      <w:r>
        <w:rPr>
          <w:rFonts w:hint="eastAsia"/>
          <w:bCs/>
          <w:color w:val="auto"/>
          <w:sz w:val="24"/>
        </w:rPr>
        <w:t>法定代表人：（签章）</w:t>
      </w:r>
    </w:p>
    <w:p w14:paraId="68B5221A">
      <w:pPr>
        <w:spacing w:line="500" w:lineRule="exact"/>
        <w:ind w:firstLine="4252" w:firstLineChars="1772"/>
        <w:rPr>
          <w:bCs/>
          <w:color w:val="auto"/>
          <w:sz w:val="24"/>
        </w:rPr>
      </w:pPr>
      <w:r>
        <w:rPr>
          <w:rFonts w:hint="eastAsia"/>
          <w:bCs/>
          <w:color w:val="auto"/>
          <w:sz w:val="24"/>
        </w:rPr>
        <w:t>日期：</w:t>
      </w:r>
    </w:p>
    <w:p w14:paraId="4C680BD9">
      <w:pPr>
        <w:widowControl/>
        <w:spacing w:line="700" w:lineRule="exact"/>
        <w:jc w:val="center"/>
        <w:rPr>
          <w:rFonts w:ascii="宋体" w:hAnsi="宋体" w:cs="宋体"/>
          <w:b/>
          <w:bCs/>
          <w:color w:val="auto"/>
          <w:kern w:val="0"/>
          <w:sz w:val="24"/>
        </w:rPr>
      </w:pPr>
    </w:p>
    <w:p w14:paraId="2E69ED2F">
      <w:pPr>
        <w:adjustRightInd w:val="0"/>
        <w:snapToGrid w:val="0"/>
        <w:spacing w:line="480" w:lineRule="exact"/>
        <w:ind w:left="826" w:hanging="826" w:hangingChars="392"/>
        <w:rPr>
          <w:rFonts w:ascii="宋体" w:cs="宋体"/>
          <w:b/>
          <w:color w:val="auto"/>
        </w:rPr>
      </w:pPr>
    </w:p>
    <w:p w14:paraId="11A4906E">
      <w:pPr>
        <w:adjustRightInd w:val="0"/>
        <w:snapToGrid w:val="0"/>
        <w:spacing w:line="480" w:lineRule="exact"/>
        <w:ind w:left="826" w:hanging="826" w:hangingChars="392"/>
        <w:rPr>
          <w:rFonts w:ascii="宋体" w:cs="宋体"/>
          <w:b/>
          <w:color w:val="auto"/>
        </w:rPr>
      </w:pPr>
      <w:r>
        <w:rPr>
          <w:rFonts w:hint="eastAsia" w:ascii="宋体" w:hAnsi="宋体" w:cs="宋体"/>
          <w:b/>
          <w:color w:val="auto"/>
        </w:rPr>
        <w:t>注：</w:t>
      </w:r>
      <w:r>
        <w:rPr>
          <w:rFonts w:ascii="宋体" w:hAnsi="宋体" w:cs="宋体"/>
          <w:b/>
          <w:color w:val="auto"/>
        </w:rPr>
        <w:t>1</w:t>
      </w:r>
      <w:r>
        <w:rPr>
          <w:rFonts w:hint="eastAsia" w:ascii="宋体" w:hAnsi="宋体" w:cs="宋体"/>
          <w:b/>
          <w:color w:val="auto"/>
        </w:rPr>
        <w:t>、</w:t>
      </w:r>
      <w:r>
        <w:rPr>
          <w:rFonts w:hint="eastAsia" w:ascii="宋体" w:hAnsi="宋体" w:cs="宋体"/>
          <w:b/>
          <w:color w:val="auto"/>
          <w:lang w:eastAsia="zh-CN"/>
        </w:rPr>
        <w:t>供应商</w:t>
      </w:r>
      <w:r>
        <w:rPr>
          <w:rFonts w:hint="eastAsia" w:ascii="宋体" w:hAnsi="宋体" w:cs="宋体"/>
          <w:b/>
          <w:color w:val="auto"/>
        </w:rPr>
        <w:t>应随此表附上相关的业绩证明（合同</w:t>
      </w:r>
      <w:r>
        <w:rPr>
          <w:rFonts w:hint="eastAsia" w:cs="宋体"/>
          <w:b/>
          <w:color w:val="auto"/>
          <w:lang w:eastAsia="zh-CN"/>
        </w:rPr>
        <w:t>或</w:t>
      </w:r>
      <w:r>
        <w:rPr>
          <w:rFonts w:hint="eastAsia" w:ascii="宋体" w:hAnsi="宋体" w:cs="宋体"/>
          <w:b/>
          <w:color w:val="auto"/>
          <w:lang w:eastAsia="zh-CN"/>
        </w:rPr>
        <w:t>中标通知书</w:t>
      </w:r>
      <w:r>
        <w:rPr>
          <w:rFonts w:hint="eastAsia" w:ascii="宋体" w:hAnsi="宋体" w:cs="宋体"/>
          <w:b/>
          <w:color w:val="auto"/>
        </w:rPr>
        <w:t>的</w:t>
      </w:r>
      <w:r>
        <w:rPr>
          <w:rFonts w:hint="eastAsia" w:ascii="宋体" w:hAnsi="宋体" w:cs="宋体"/>
          <w:b/>
          <w:color w:val="auto"/>
          <w:lang w:val="en-US" w:eastAsia="zh-CN"/>
        </w:rPr>
        <w:t>扫描</w:t>
      </w:r>
      <w:r>
        <w:rPr>
          <w:rFonts w:hint="eastAsia" w:ascii="宋体" w:hAnsi="宋体" w:cs="宋体"/>
          <w:b/>
          <w:color w:val="auto"/>
        </w:rPr>
        <w:t>件）。</w:t>
      </w:r>
    </w:p>
    <w:p w14:paraId="460951BB">
      <w:pPr>
        <w:adjustRightInd w:val="0"/>
        <w:snapToGrid w:val="0"/>
        <w:spacing w:line="480" w:lineRule="exact"/>
        <w:rPr>
          <w:rFonts w:ascii="宋体" w:cs="宋体"/>
          <w:b/>
          <w:color w:val="auto"/>
        </w:rPr>
      </w:pPr>
      <w:r>
        <w:rPr>
          <w:rFonts w:ascii="宋体" w:hAnsi="宋体" w:cs="宋体"/>
          <w:b/>
          <w:color w:val="auto"/>
        </w:rPr>
        <w:t xml:space="preserve">    2</w:t>
      </w:r>
      <w:r>
        <w:rPr>
          <w:rFonts w:hint="eastAsia" w:ascii="宋体" w:hAnsi="宋体" w:cs="宋体"/>
          <w:b/>
          <w:color w:val="auto"/>
        </w:rPr>
        <w:t>、如有多个已完成项目，每个项目填一张此表，附后。</w:t>
      </w:r>
    </w:p>
    <w:p w14:paraId="5F73CD2E">
      <w:pPr>
        <w:adjustRightInd w:val="0"/>
        <w:snapToGrid w:val="0"/>
        <w:spacing w:line="480" w:lineRule="exact"/>
        <w:rPr>
          <w:rFonts w:ascii="宋体" w:cs="宋体"/>
          <w:b/>
          <w:color w:val="auto"/>
        </w:rPr>
      </w:pPr>
    </w:p>
    <w:p w14:paraId="117A88DF">
      <w:pPr>
        <w:adjustRightInd w:val="0"/>
        <w:snapToGrid w:val="0"/>
        <w:spacing w:line="480" w:lineRule="exact"/>
        <w:rPr>
          <w:rFonts w:ascii="宋体" w:cs="宋体"/>
          <w:b/>
          <w:color w:val="auto"/>
        </w:rPr>
      </w:pPr>
    </w:p>
    <w:p w14:paraId="73EA1BEB">
      <w:pPr>
        <w:rPr>
          <w:rFonts w:hint="eastAsia" w:ascii="宋体" w:hAnsi="宋体" w:cs="宋体"/>
          <w:bCs/>
          <w:color w:val="auto"/>
          <w:sz w:val="24"/>
        </w:rPr>
      </w:pPr>
    </w:p>
    <w:p w14:paraId="7EE72CDD">
      <w:pPr>
        <w:adjustRightInd w:val="0"/>
        <w:snapToGrid w:val="0"/>
        <w:spacing w:after="100" w:afterAutospacing="1" w:line="480" w:lineRule="exact"/>
        <w:jc w:val="both"/>
        <w:rPr>
          <w:rFonts w:ascii="宋体" w:cs="宋体"/>
          <w:bCs/>
          <w:color w:val="auto"/>
          <w:sz w:val="24"/>
        </w:rPr>
      </w:pPr>
      <w:r>
        <w:rPr>
          <w:rFonts w:hint="eastAsia" w:ascii="宋体" w:hAnsi="宋体" w:cs="宋体"/>
          <w:bCs/>
          <w:color w:val="auto"/>
          <w:sz w:val="24"/>
        </w:rPr>
        <w:t>（三）拟投入项目人员汇总表</w:t>
      </w:r>
    </w:p>
    <w:tbl>
      <w:tblPr>
        <w:tblStyle w:val="22"/>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72"/>
        <w:gridCol w:w="1339"/>
        <w:gridCol w:w="1036"/>
        <w:gridCol w:w="1721"/>
        <w:gridCol w:w="3188"/>
      </w:tblGrid>
      <w:tr w14:paraId="003A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tcBorders>
              <w:top w:val="single" w:color="auto" w:sz="4" w:space="0"/>
              <w:left w:val="single" w:color="auto" w:sz="4" w:space="0"/>
              <w:bottom w:val="single" w:color="auto" w:sz="4" w:space="0"/>
              <w:right w:val="single" w:color="auto" w:sz="4" w:space="0"/>
            </w:tcBorders>
            <w:noWrap w:val="0"/>
            <w:vAlign w:val="center"/>
          </w:tcPr>
          <w:p w14:paraId="29EEAADA">
            <w:pPr>
              <w:jc w:val="center"/>
              <w:outlineLvl w:val="2"/>
              <w:rPr>
                <w:rFonts w:ascii="宋体" w:hAnsi="宋体" w:cs="宋体"/>
                <w:color w:val="auto"/>
                <w:kern w:val="0"/>
                <w:sz w:val="22"/>
                <w:szCs w:val="22"/>
              </w:rPr>
            </w:pPr>
            <w:bookmarkStart w:id="355" w:name="_Toc18603"/>
            <w:r>
              <w:rPr>
                <w:rFonts w:hint="eastAsia" w:ascii="宋体" w:hAnsi="宋体" w:cs="仿宋_GB2312"/>
                <w:color w:val="auto"/>
                <w:kern w:val="0"/>
                <w:sz w:val="22"/>
                <w:szCs w:val="22"/>
              </w:rPr>
              <w:t>人员类别</w:t>
            </w:r>
            <w:bookmarkEnd w:id="355"/>
          </w:p>
        </w:tc>
        <w:tc>
          <w:tcPr>
            <w:tcW w:w="972" w:type="dxa"/>
            <w:tcBorders>
              <w:top w:val="single" w:color="auto" w:sz="4" w:space="0"/>
              <w:left w:val="single" w:color="auto" w:sz="4" w:space="0"/>
              <w:bottom w:val="single" w:color="auto" w:sz="4" w:space="0"/>
              <w:right w:val="single" w:color="auto" w:sz="4" w:space="0"/>
            </w:tcBorders>
            <w:noWrap w:val="0"/>
            <w:vAlign w:val="center"/>
          </w:tcPr>
          <w:p w14:paraId="0597D0C6">
            <w:pPr>
              <w:jc w:val="center"/>
              <w:outlineLvl w:val="2"/>
              <w:rPr>
                <w:rFonts w:ascii="宋体" w:hAnsi="宋体" w:cs="宋体"/>
                <w:color w:val="auto"/>
                <w:kern w:val="0"/>
                <w:sz w:val="22"/>
                <w:szCs w:val="22"/>
              </w:rPr>
            </w:pPr>
            <w:bookmarkStart w:id="356" w:name="_Toc30313"/>
            <w:r>
              <w:rPr>
                <w:rFonts w:hint="eastAsia" w:ascii="宋体" w:hAnsi="宋体" w:cs="仿宋_GB2312"/>
                <w:color w:val="auto"/>
                <w:kern w:val="0"/>
                <w:sz w:val="22"/>
                <w:szCs w:val="22"/>
              </w:rPr>
              <w:t>姓名</w:t>
            </w:r>
            <w:bookmarkEnd w:id="356"/>
          </w:p>
        </w:tc>
        <w:tc>
          <w:tcPr>
            <w:tcW w:w="1339" w:type="dxa"/>
            <w:tcBorders>
              <w:top w:val="single" w:color="auto" w:sz="4" w:space="0"/>
              <w:left w:val="single" w:color="auto" w:sz="4" w:space="0"/>
              <w:bottom w:val="single" w:color="auto" w:sz="4" w:space="0"/>
              <w:right w:val="single" w:color="auto" w:sz="4" w:space="0"/>
            </w:tcBorders>
            <w:noWrap w:val="0"/>
            <w:vAlign w:val="center"/>
          </w:tcPr>
          <w:p w14:paraId="57D8A9BB">
            <w:pPr>
              <w:jc w:val="center"/>
              <w:outlineLvl w:val="2"/>
              <w:rPr>
                <w:rFonts w:ascii="宋体" w:hAnsi="宋体" w:cs="宋体"/>
                <w:color w:val="auto"/>
                <w:kern w:val="0"/>
                <w:sz w:val="22"/>
                <w:szCs w:val="22"/>
              </w:rPr>
            </w:pPr>
            <w:bookmarkStart w:id="357" w:name="_Toc15828"/>
            <w:r>
              <w:rPr>
                <w:rFonts w:hint="eastAsia" w:ascii="宋体" w:hAnsi="宋体" w:cs="仿宋_GB2312"/>
                <w:color w:val="auto"/>
                <w:kern w:val="0"/>
                <w:sz w:val="22"/>
                <w:szCs w:val="22"/>
              </w:rPr>
              <w:t>年龄</w:t>
            </w:r>
            <w:bookmarkEnd w:id="357"/>
          </w:p>
        </w:tc>
        <w:tc>
          <w:tcPr>
            <w:tcW w:w="1036" w:type="dxa"/>
            <w:tcBorders>
              <w:top w:val="single" w:color="auto" w:sz="4" w:space="0"/>
              <w:left w:val="single" w:color="auto" w:sz="4" w:space="0"/>
              <w:bottom w:val="single" w:color="auto" w:sz="4" w:space="0"/>
              <w:right w:val="single" w:color="auto" w:sz="4" w:space="0"/>
            </w:tcBorders>
            <w:noWrap w:val="0"/>
            <w:vAlign w:val="center"/>
          </w:tcPr>
          <w:p w14:paraId="4F0916AD">
            <w:pPr>
              <w:jc w:val="center"/>
              <w:outlineLvl w:val="2"/>
              <w:rPr>
                <w:rFonts w:ascii="宋体" w:hAnsi="宋体" w:cs="宋体"/>
                <w:color w:val="auto"/>
                <w:kern w:val="0"/>
                <w:sz w:val="22"/>
                <w:szCs w:val="22"/>
              </w:rPr>
            </w:pPr>
            <w:bookmarkStart w:id="358" w:name="_Toc4817"/>
            <w:r>
              <w:rPr>
                <w:rFonts w:hint="eastAsia" w:ascii="宋体" w:hAnsi="宋体" w:cs="仿宋_GB2312"/>
                <w:color w:val="auto"/>
                <w:kern w:val="0"/>
                <w:sz w:val="22"/>
                <w:szCs w:val="22"/>
              </w:rPr>
              <w:t>性别</w:t>
            </w:r>
            <w:bookmarkEnd w:id="358"/>
          </w:p>
        </w:tc>
        <w:tc>
          <w:tcPr>
            <w:tcW w:w="1721" w:type="dxa"/>
            <w:tcBorders>
              <w:top w:val="single" w:color="auto" w:sz="4" w:space="0"/>
              <w:left w:val="single" w:color="auto" w:sz="4" w:space="0"/>
              <w:bottom w:val="single" w:color="auto" w:sz="4" w:space="0"/>
              <w:right w:val="single" w:color="auto" w:sz="4" w:space="0"/>
            </w:tcBorders>
            <w:noWrap w:val="0"/>
            <w:vAlign w:val="center"/>
          </w:tcPr>
          <w:p w14:paraId="24A4B384">
            <w:pPr>
              <w:jc w:val="center"/>
              <w:outlineLvl w:val="2"/>
              <w:rPr>
                <w:rFonts w:ascii="宋体" w:hAnsi="宋体" w:cs="宋体"/>
                <w:color w:val="auto"/>
                <w:kern w:val="0"/>
                <w:sz w:val="22"/>
                <w:szCs w:val="22"/>
              </w:rPr>
            </w:pPr>
            <w:bookmarkStart w:id="359" w:name="_Toc31374"/>
            <w:r>
              <w:rPr>
                <w:rFonts w:hint="eastAsia" w:ascii="宋体" w:hAnsi="宋体" w:cs="仿宋_GB2312"/>
                <w:color w:val="auto"/>
                <w:kern w:val="0"/>
                <w:sz w:val="22"/>
                <w:szCs w:val="22"/>
              </w:rPr>
              <w:t>职务</w:t>
            </w:r>
            <w:bookmarkEnd w:id="359"/>
          </w:p>
          <w:p w14:paraId="7F48F709">
            <w:pPr>
              <w:jc w:val="center"/>
              <w:outlineLvl w:val="2"/>
              <w:rPr>
                <w:rFonts w:ascii="宋体" w:hAnsi="宋体" w:cs="宋体"/>
                <w:color w:val="auto"/>
                <w:kern w:val="0"/>
                <w:sz w:val="22"/>
                <w:szCs w:val="22"/>
              </w:rPr>
            </w:pPr>
            <w:bookmarkStart w:id="360" w:name="_Toc5617"/>
            <w:r>
              <w:rPr>
                <w:rFonts w:hint="eastAsia" w:ascii="宋体" w:hAnsi="宋体" w:cs="仿宋_GB2312"/>
                <w:color w:val="auto"/>
                <w:kern w:val="0"/>
                <w:sz w:val="22"/>
                <w:szCs w:val="22"/>
              </w:rPr>
              <w:t>或职称</w:t>
            </w:r>
            <w:bookmarkEnd w:id="360"/>
          </w:p>
        </w:tc>
        <w:tc>
          <w:tcPr>
            <w:tcW w:w="3188" w:type="dxa"/>
            <w:tcBorders>
              <w:top w:val="single" w:color="auto" w:sz="4" w:space="0"/>
              <w:left w:val="single" w:color="auto" w:sz="4" w:space="0"/>
              <w:bottom w:val="single" w:color="auto" w:sz="4" w:space="0"/>
              <w:right w:val="single" w:color="auto" w:sz="4" w:space="0"/>
            </w:tcBorders>
            <w:noWrap w:val="0"/>
            <w:vAlign w:val="center"/>
          </w:tcPr>
          <w:p w14:paraId="10B7B783">
            <w:pPr>
              <w:jc w:val="center"/>
              <w:outlineLvl w:val="2"/>
              <w:rPr>
                <w:rFonts w:ascii="宋体" w:hAnsi="宋体" w:cs="宋体"/>
                <w:color w:val="auto"/>
                <w:kern w:val="0"/>
                <w:sz w:val="22"/>
                <w:szCs w:val="22"/>
              </w:rPr>
            </w:pPr>
            <w:bookmarkStart w:id="361" w:name="_Toc30697"/>
            <w:r>
              <w:rPr>
                <w:rFonts w:hint="eastAsia" w:ascii="宋体" w:hAnsi="宋体" w:cs="仿宋_GB2312"/>
                <w:color w:val="auto"/>
                <w:kern w:val="0"/>
                <w:sz w:val="22"/>
                <w:szCs w:val="22"/>
              </w:rPr>
              <w:t>专业经验、相关业绩及</w:t>
            </w:r>
            <w:bookmarkEnd w:id="361"/>
          </w:p>
          <w:p w14:paraId="1D31F237">
            <w:pPr>
              <w:jc w:val="center"/>
              <w:outlineLvl w:val="2"/>
              <w:rPr>
                <w:rFonts w:ascii="宋体" w:hAnsi="宋体" w:cs="宋体"/>
                <w:color w:val="auto"/>
                <w:kern w:val="0"/>
                <w:sz w:val="22"/>
                <w:szCs w:val="22"/>
              </w:rPr>
            </w:pPr>
            <w:bookmarkStart w:id="362" w:name="_Toc29133"/>
            <w:r>
              <w:rPr>
                <w:rFonts w:hint="eastAsia" w:ascii="宋体" w:hAnsi="宋体" w:cs="仿宋_GB2312"/>
                <w:color w:val="auto"/>
                <w:kern w:val="0"/>
                <w:sz w:val="22"/>
                <w:szCs w:val="22"/>
              </w:rPr>
              <w:t>拟在本项目中承担分工</w:t>
            </w:r>
            <w:bookmarkEnd w:id="362"/>
          </w:p>
        </w:tc>
      </w:tr>
      <w:tr w14:paraId="3A12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14:paraId="7941D868">
            <w:pPr>
              <w:jc w:val="center"/>
              <w:outlineLvl w:val="2"/>
              <w:rPr>
                <w:rFonts w:ascii="宋体" w:hAnsi="宋体" w:cs="宋体"/>
                <w:color w:val="auto"/>
                <w:kern w:val="0"/>
                <w:sz w:val="22"/>
                <w:szCs w:val="22"/>
              </w:rPr>
            </w:pPr>
            <w:bookmarkStart w:id="363" w:name="_Toc12332"/>
            <w:r>
              <w:rPr>
                <w:rFonts w:hint="eastAsia" w:ascii="宋体" w:hAnsi="宋体" w:cs="仿宋_GB2312"/>
                <w:color w:val="auto"/>
                <w:kern w:val="0"/>
                <w:sz w:val="22"/>
                <w:szCs w:val="22"/>
              </w:rPr>
              <w:t>项目</w:t>
            </w:r>
            <w:bookmarkEnd w:id="363"/>
          </w:p>
          <w:p w14:paraId="1085BDD5">
            <w:pPr>
              <w:jc w:val="center"/>
              <w:outlineLvl w:val="2"/>
              <w:rPr>
                <w:rFonts w:ascii="宋体" w:hAnsi="宋体" w:cs="宋体"/>
                <w:color w:val="auto"/>
                <w:kern w:val="0"/>
                <w:sz w:val="22"/>
                <w:szCs w:val="22"/>
              </w:rPr>
            </w:pPr>
            <w:bookmarkStart w:id="364" w:name="_Toc3741"/>
            <w:r>
              <w:rPr>
                <w:rFonts w:hint="eastAsia" w:ascii="宋体" w:hAnsi="宋体" w:cs="仿宋_GB2312"/>
                <w:color w:val="auto"/>
                <w:kern w:val="0"/>
                <w:sz w:val="22"/>
                <w:szCs w:val="22"/>
              </w:rPr>
              <w:t>负责人</w:t>
            </w:r>
            <w:bookmarkEnd w:id="364"/>
          </w:p>
        </w:tc>
        <w:tc>
          <w:tcPr>
            <w:tcW w:w="972" w:type="dxa"/>
            <w:tcBorders>
              <w:top w:val="single" w:color="auto" w:sz="4" w:space="0"/>
              <w:left w:val="single" w:color="auto" w:sz="4" w:space="0"/>
              <w:bottom w:val="single" w:color="auto" w:sz="4" w:space="0"/>
              <w:right w:val="single" w:color="auto" w:sz="4" w:space="0"/>
            </w:tcBorders>
            <w:noWrap w:val="0"/>
            <w:vAlign w:val="center"/>
          </w:tcPr>
          <w:p w14:paraId="6DD7D1BC">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B929E93">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0DC9E09E">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A35AA18">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024F9550">
            <w:pPr>
              <w:jc w:val="center"/>
              <w:outlineLvl w:val="9"/>
              <w:rPr>
                <w:rFonts w:ascii="宋体" w:hAnsi="宋体" w:cs="宋体"/>
                <w:color w:val="auto"/>
                <w:kern w:val="0"/>
                <w:sz w:val="22"/>
                <w:szCs w:val="22"/>
              </w:rPr>
            </w:pPr>
          </w:p>
        </w:tc>
      </w:tr>
      <w:tr w14:paraId="2EB4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1F092C66">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8F92DF6">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E08B044">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5A1549F3">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2E4C57A3">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73A9D409">
            <w:pPr>
              <w:jc w:val="center"/>
              <w:outlineLvl w:val="9"/>
              <w:rPr>
                <w:rFonts w:ascii="宋体" w:hAnsi="宋体" w:cs="宋体"/>
                <w:color w:val="auto"/>
                <w:kern w:val="0"/>
                <w:sz w:val="22"/>
                <w:szCs w:val="22"/>
              </w:rPr>
            </w:pPr>
          </w:p>
        </w:tc>
      </w:tr>
      <w:tr w14:paraId="404A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14:paraId="54298707">
            <w:pPr>
              <w:jc w:val="center"/>
              <w:outlineLvl w:val="2"/>
              <w:rPr>
                <w:rFonts w:ascii="宋体" w:hAnsi="宋体" w:cs="宋体"/>
                <w:color w:val="auto"/>
                <w:kern w:val="0"/>
                <w:sz w:val="22"/>
                <w:szCs w:val="22"/>
              </w:rPr>
            </w:pPr>
            <w:bookmarkStart w:id="365" w:name="_Toc3475"/>
            <w:r>
              <w:rPr>
                <w:rFonts w:hint="eastAsia" w:ascii="宋体" w:hAnsi="宋体" w:cs="仿宋_GB2312"/>
                <w:color w:val="auto"/>
                <w:kern w:val="0"/>
                <w:sz w:val="22"/>
                <w:szCs w:val="22"/>
              </w:rPr>
              <w:t>其 他</w:t>
            </w:r>
            <w:bookmarkEnd w:id="365"/>
          </w:p>
          <w:p w14:paraId="08AD8B6B">
            <w:pPr>
              <w:jc w:val="center"/>
              <w:outlineLvl w:val="2"/>
              <w:rPr>
                <w:rFonts w:ascii="宋体" w:hAnsi="宋体" w:cs="宋体"/>
                <w:color w:val="auto"/>
                <w:kern w:val="0"/>
                <w:sz w:val="22"/>
                <w:szCs w:val="22"/>
              </w:rPr>
            </w:pPr>
            <w:bookmarkStart w:id="366" w:name="_Toc19718"/>
            <w:r>
              <w:rPr>
                <w:rFonts w:hint="eastAsia" w:ascii="宋体" w:hAnsi="宋体" w:cs="仿宋_GB2312"/>
                <w:color w:val="auto"/>
                <w:kern w:val="0"/>
                <w:sz w:val="22"/>
                <w:szCs w:val="22"/>
              </w:rPr>
              <w:t>人 员</w:t>
            </w:r>
            <w:bookmarkEnd w:id="366"/>
          </w:p>
        </w:tc>
        <w:tc>
          <w:tcPr>
            <w:tcW w:w="972" w:type="dxa"/>
            <w:tcBorders>
              <w:top w:val="single" w:color="auto" w:sz="4" w:space="0"/>
              <w:left w:val="single" w:color="auto" w:sz="4" w:space="0"/>
              <w:bottom w:val="single" w:color="auto" w:sz="4" w:space="0"/>
              <w:right w:val="single" w:color="auto" w:sz="4" w:space="0"/>
            </w:tcBorders>
            <w:noWrap w:val="0"/>
            <w:vAlign w:val="center"/>
          </w:tcPr>
          <w:p w14:paraId="344BE0B1">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94B677F">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0055A163">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26C2835">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231D40EA">
            <w:pPr>
              <w:jc w:val="center"/>
              <w:outlineLvl w:val="9"/>
              <w:rPr>
                <w:rFonts w:ascii="宋体" w:hAnsi="宋体" w:cs="宋体"/>
                <w:color w:val="auto"/>
                <w:kern w:val="0"/>
                <w:sz w:val="22"/>
                <w:szCs w:val="22"/>
              </w:rPr>
            </w:pPr>
          </w:p>
        </w:tc>
      </w:tr>
      <w:tr w14:paraId="3982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78496890">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4DCCA1E6">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270A321">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75C2BD20">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FFFE0D7">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1CE07C4E">
            <w:pPr>
              <w:jc w:val="center"/>
              <w:outlineLvl w:val="9"/>
              <w:rPr>
                <w:rFonts w:ascii="宋体" w:hAnsi="宋体" w:cs="宋体"/>
                <w:color w:val="auto"/>
                <w:kern w:val="0"/>
                <w:sz w:val="22"/>
                <w:szCs w:val="22"/>
              </w:rPr>
            </w:pPr>
          </w:p>
        </w:tc>
      </w:tr>
      <w:tr w14:paraId="7FC4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52874C7B">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31FFC491">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C9AB0A4">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5F6D2248">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F5E72EA">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1169F0A4">
            <w:pPr>
              <w:jc w:val="center"/>
              <w:outlineLvl w:val="9"/>
              <w:rPr>
                <w:rFonts w:ascii="宋体" w:hAnsi="宋体" w:cs="宋体"/>
                <w:color w:val="auto"/>
                <w:kern w:val="0"/>
                <w:sz w:val="22"/>
                <w:szCs w:val="22"/>
              </w:rPr>
            </w:pPr>
          </w:p>
        </w:tc>
      </w:tr>
      <w:tr w14:paraId="400B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732952A5">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C2F4D3C">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D8DDA04">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6149E0C8">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6904664">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46EA7F38">
            <w:pPr>
              <w:jc w:val="center"/>
              <w:outlineLvl w:val="9"/>
              <w:rPr>
                <w:rFonts w:ascii="宋体" w:hAnsi="宋体" w:cs="宋体"/>
                <w:color w:val="auto"/>
                <w:kern w:val="0"/>
                <w:sz w:val="22"/>
                <w:szCs w:val="22"/>
              </w:rPr>
            </w:pPr>
          </w:p>
        </w:tc>
      </w:tr>
      <w:tr w14:paraId="4927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2995D065">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23661E92">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5373DC0">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4B17C2A0">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EC2E938">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73E69BC8">
            <w:pPr>
              <w:spacing w:beforeLines="50"/>
              <w:jc w:val="center"/>
              <w:rPr>
                <w:rFonts w:ascii="宋体" w:hAnsi="宋体" w:cs="宋体"/>
                <w:color w:val="auto"/>
                <w:sz w:val="22"/>
                <w:szCs w:val="22"/>
              </w:rPr>
            </w:pPr>
          </w:p>
        </w:tc>
      </w:tr>
      <w:tr w14:paraId="78B6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0DD040DA">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25B340B">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F3CCC8D">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4A64044F">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76BE0D5">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619898E3">
            <w:pPr>
              <w:spacing w:beforeLines="50"/>
              <w:jc w:val="center"/>
              <w:rPr>
                <w:rFonts w:ascii="宋体" w:hAnsi="宋体" w:cs="宋体"/>
                <w:color w:val="auto"/>
                <w:sz w:val="22"/>
                <w:szCs w:val="22"/>
              </w:rPr>
            </w:pPr>
          </w:p>
        </w:tc>
      </w:tr>
      <w:tr w14:paraId="1629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784D6D95">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C92A59A">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E332780">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3B943540">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3C3DDF6">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715CF212">
            <w:pPr>
              <w:spacing w:beforeLines="50"/>
              <w:jc w:val="center"/>
              <w:rPr>
                <w:rFonts w:ascii="宋体" w:hAnsi="宋体" w:cs="宋体"/>
                <w:color w:val="auto"/>
                <w:sz w:val="22"/>
                <w:szCs w:val="22"/>
              </w:rPr>
            </w:pPr>
          </w:p>
        </w:tc>
      </w:tr>
      <w:tr w14:paraId="7E26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14:paraId="2B607277">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3BC1349">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FCB9232">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5071DA86">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9BF7972">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11C81AAB">
            <w:pPr>
              <w:spacing w:beforeLines="50"/>
              <w:jc w:val="center"/>
              <w:rPr>
                <w:rFonts w:ascii="宋体" w:hAnsi="宋体" w:cs="宋体"/>
                <w:color w:val="auto"/>
                <w:sz w:val="22"/>
                <w:szCs w:val="22"/>
              </w:rPr>
            </w:pPr>
          </w:p>
        </w:tc>
      </w:tr>
    </w:tbl>
    <w:p w14:paraId="7B56BEBC">
      <w:pPr>
        <w:pageBreakBefore/>
        <w:spacing w:line="480" w:lineRule="exact"/>
        <w:jc w:val="both"/>
        <w:rPr>
          <w:rFonts w:ascii="宋体" w:cs="宋体"/>
          <w:b/>
          <w:color w:val="auto"/>
          <w:sz w:val="24"/>
        </w:rPr>
      </w:pPr>
      <w:r>
        <w:rPr>
          <w:rFonts w:hint="eastAsia" w:ascii="宋体" w:hAnsi="宋体" w:cs="宋体"/>
          <w:color w:val="auto"/>
          <w:kern w:val="1"/>
          <w:sz w:val="24"/>
        </w:rPr>
        <w:t>（四）主要人员简历表</w:t>
      </w:r>
    </w:p>
    <w:p w14:paraId="510BA6DE">
      <w:pPr>
        <w:adjustRightInd w:val="0"/>
        <w:snapToGrid w:val="0"/>
        <w:spacing w:after="100" w:afterAutospacing="1" w:line="480" w:lineRule="exact"/>
        <w:jc w:val="center"/>
        <w:rPr>
          <w:rFonts w:ascii="宋体" w:cs="宋体"/>
          <w:b/>
          <w:color w:val="auto"/>
        </w:rPr>
      </w:pPr>
      <w:r>
        <w:rPr>
          <w:rFonts w:ascii="宋体" w:hAnsi="宋体" w:cs="宋体"/>
          <w:b/>
          <w:color w:val="auto"/>
        </w:rPr>
        <w:t>1</w:t>
      </w:r>
      <w:r>
        <w:rPr>
          <w:rFonts w:hint="eastAsia" w:ascii="宋体" w:hAnsi="宋体" w:cs="宋体"/>
          <w:b/>
          <w:color w:val="auto"/>
        </w:rPr>
        <w:t>、项目负责人基本情况表</w:t>
      </w:r>
    </w:p>
    <w:tbl>
      <w:tblPr>
        <w:tblStyle w:val="22"/>
        <w:tblW w:w="8380" w:type="dxa"/>
        <w:jc w:val="center"/>
        <w:tblLayout w:type="fixed"/>
        <w:tblCellMar>
          <w:top w:w="0" w:type="dxa"/>
          <w:left w:w="0" w:type="dxa"/>
          <w:bottom w:w="0" w:type="dxa"/>
          <w:right w:w="0" w:type="dxa"/>
        </w:tblCellMar>
      </w:tblPr>
      <w:tblGrid>
        <w:gridCol w:w="720"/>
        <w:gridCol w:w="811"/>
        <w:gridCol w:w="556"/>
        <w:gridCol w:w="1063"/>
        <w:gridCol w:w="730"/>
        <w:gridCol w:w="746"/>
        <w:gridCol w:w="1833"/>
        <w:gridCol w:w="1921"/>
      </w:tblGrid>
      <w:tr w14:paraId="797C2D2B">
        <w:tblPrEx>
          <w:tblCellMar>
            <w:top w:w="0" w:type="dxa"/>
            <w:left w:w="0" w:type="dxa"/>
            <w:bottom w:w="0" w:type="dxa"/>
            <w:right w:w="0" w:type="dxa"/>
          </w:tblCellMar>
        </w:tblPrEx>
        <w:trPr>
          <w:trHeight w:val="680" w:hRule="exact"/>
          <w:jc w:val="center"/>
        </w:trPr>
        <w:tc>
          <w:tcPr>
            <w:tcW w:w="1531" w:type="dxa"/>
            <w:gridSpan w:val="2"/>
            <w:tcBorders>
              <w:top w:val="single" w:color="auto" w:sz="8" w:space="0"/>
              <w:left w:val="single" w:color="auto" w:sz="8" w:space="0"/>
              <w:bottom w:val="single" w:color="auto" w:sz="8" w:space="0"/>
              <w:right w:val="single" w:color="auto" w:sz="8" w:space="0"/>
            </w:tcBorders>
            <w:noWrap w:val="0"/>
            <w:vAlign w:val="center"/>
          </w:tcPr>
          <w:p w14:paraId="34A69CF9">
            <w:pPr>
              <w:adjustRightInd w:val="0"/>
              <w:snapToGrid w:val="0"/>
              <w:spacing w:line="480" w:lineRule="exact"/>
              <w:jc w:val="center"/>
              <w:rPr>
                <w:rFonts w:ascii="宋体" w:cs="宋体"/>
                <w:color w:val="auto"/>
              </w:rPr>
            </w:pPr>
            <w:r>
              <w:rPr>
                <w:rFonts w:hint="eastAsia" w:ascii="宋体" w:hAnsi="宋体" w:cs="宋体"/>
                <w:color w:val="auto"/>
              </w:rPr>
              <w:t>姓名</w:t>
            </w:r>
          </w:p>
        </w:tc>
        <w:tc>
          <w:tcPr>
            <w:tcW w:w="1619" w:type="dxa"/>
            <w:gridSpan w:val="2"/>
            <w:tcBorders>
              <w:top w:val="single" w:color="auto" w:sz="8" w:space="0"/>
              <w:left w:val="single" w:color="auto" w:sz="8" w:space="0"/>
              <w:bottom w:val="single" w:color="auto" w:sz="8" w:space="0"/>
              <w:right w:val="single" w:color="auto" w:sz="8" w:space="0"/>
            </w:tcBorders>
            <w:noWrap w:val="0"/>
            <w:vAlign w:val="center"/>
          </w:tcPr>
          <w:p w14:paraId="28741350">
            <w:pPr>
              <w:adjustRightInd w:val="0"/>
              <w:snapToGrid w:val="0"/>
              <w:spacing w:line="480" w:lineRule="exact"/>
              <w:jc w:val="center"/>
              <w:rPr>
                <w:rFonts w:ascii="宋体" w:cs="宋体"/>
                <w:color w:val="auto"/>
              </w:rPr>
            </w:pPr>
          </w:p>
        </w:tc>
        <w:tc>
          <w:tcPr>
            <w:tcW w:w="730" w:type="dxa"/>
            <w:tcBorders>
              <w:top w:val="single" w:color="auto" w:sz="8" w:space="0"/>
              <w:left w:val="single" w:color="auto" w:sz="8" w:space="0"/>
              <w:bottom w:val="single" w:color="auto" w:sz="8" w:space="0"/>
              <w:right w:val="single" w:color="auto" w:sz="8" w:space="0"/>
            </w:tcBorders>
            <w:noWrap w:val="0"/>
            <w:vAlign w:val="center"/>
          </w:tcPr>
          <w:p w14:paraId="17B32CB1">
            <w:pPr>
              <w:adjustRightInd w:val="0"/>
              <w:snapToGrid w:val="0"/>
              <w:spacing w:line="480" w:lineRule="exact"/>
              <w:jc w:val="center"/>
              <w:rPr>
                <w:rFonts w:ascii="宋体" w:cs="宋体"/>
                <w:color w:val="auto"/>
              </w:rPr>
            </w:pPr>
            <w:r>
              <w:rPr>
                <w:rFonts w:hint="eastAsia" w:ascii="宋体" w:hAnsi="宋体" w:cs="宋体"/>
                <w:color w:val="auto"/>
              </w:rPr>
              <w:t>性别</w:t>
            </w:r>
          </w:p>
        </w:tc>
        <w:tc>
          <w:tcPr>
            <w:tcW w:w="746" w:type="dxa"/>
            <w:tcBorders>
              <w:top w:val="single" w:color="auto" w:sz="8" w:space="0"/>
              <w:left w:val="single" w:color="auto" w:sz="8" w:space="0"/>
              <w:bottom w:val="single" w:color="auto" w:sz="8" w:space="0"/>
              <w:right w:val="single" w:color="auto" w:sz="8" w:space="0"/>
            </w:tcBorders>
            <w:noWrap w:val="0"/>
            <w:vAlign w:val="center"/>
          </w:tcPr>
          <w:p w14:paraId="7FFC8BD0">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noWrap w:val="0"/>
            <w:vAlign w:val="center"/>
          </w:tcPr>
          <w:p w14:paraId="274ACA7D">
            <w:pPr>
              <w:adjustRightInd w:val="0"/>
              <w:snapToGrid w:val="0"/>
              <w:spacing w:line="480" w:lineRule="exact"/>
              <w:jc w:val="center"/>
              <w:rPr>
                <w:rFonts w:ascii="宋体" w:cs="宋体"/>
                <w:color w:val="auto"/>
              </w:rPr>
            </w:pPr>
            <w:r>
              <w:rPr>
                <w:rFonts w:hint="eastAsia" w:ascii="宋体" w:hAnsi="宋体" w:cs="宋体"/>
                <w:color w:val="auto"/>
              </w:rPr>
              <w:t>出生</w:t>
            </w:r>
          </w:p>
          <w:p w14:paraId="11B937B1">
            <w:pPr>
              <w:adjustRightInd w:val="0"/>
              <w:snapToGrid w:val="0"/>
              <w:spacing w:line="480" w:lineRule="exact"/>
              <w:jc w:val="center"/>
              <w:rPr>
                <w:rFonts w:ascii="宋体" w:cs="宋体"/>
                <w:color w:val="auto"/>
              </w:rPr>
            </w:pPr>
            <w:r>
              <w:rPr>
                <w:rFonts w:hint="eastAsia" w:ascii="宋体" w:hAnsi="宋体" w:cs="宋体"/>
                <w:color w:val="auto"/>
              </w:rPr>
              <w:t>日期</w:t>
            </w:r>
          </w:p>
        </w:tc>
        <w:tc>
          <w:tcPr>
            <w:tcW w:w="1921" w:type="dxa"/>
            <w:tcBorders>
              <w:top w:val="single" w:color="auto" w:sz="8" w:space="0"/>
              <w:left w:val="single" w:color="auto" w:sz="8" w:space="0"/>
              <w:bottom w:val="single" w:color="auto" w:sz="8" w:space="0"/>
              <w:right w:val="single" w:color="auto" w:sz="8" w:space="0"/>
            </w:tcBorders>
            <w:noWrap w:val="0"/>
            <w:vAlign w:val="center"/>
          </w:tcPr>
          <w:p w14:paraId="0ACDB8FB">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7F6FF6F7">
        <w:tblPrEx>
          <w:tblCellMar>
            <w:top w:w="0" w:type="dxa"/>
            <w:left w:w="0" w:type="dxa"/>
            <w:bottom w:w="0" w:type="dxa"/>
            <w:right w:w="0" w:type="dxa"/>
          </w:tblCellMar>
        </w:tblPrEx>
        <w:trPr>
          <w:trHeight w:val="1085" w:hRule="exact"/>
          <w:jc w:val="center"/>
        </w:trPr>
        <w:tc>
          <w:tcPr>
            <w:tcW w:w="1531" w:type="dxa"/>
            <w:gridSpan w:val="2"/>
            <w:tcBorders>
              <w:top w:val="single" w:color="auto" w:sz="8" w:space="0"/>
              <w:left w:val="single" w:color="auto" w:sz="8" w:space="0"/>
              <w:bottom w:val="single" w:color="auto" w:sz="8" w:space="0"/>
              <w:right w:val="single" w:color="auto" w:sz="8" w:space="0"/>
            </w:tcBorders>
            <w:noWrap w:val="0"/>
            <w:vAlign w:val="center"/>
          </w:tcPr>
          <w:p w14:paraId="7E354F41">
            <w:pPr>
              <w:adjustRightInd w:val="0"/>
              <w:snapToGrid w:val="0"/>
              <w:spacing w:line="480" w:lineRule="exact"/>
              <w:jc w:val="center"/>
              <w:rPr>
                <w:rFonts w:ascii="宋体" w:cs="宋体"/>
                <w:color w:val="auto"/>
              </w:rPr>
            </w:pPr>
            <w:r>
              <w:rPr>
                <w:rFonts w:hint="eastAsia" w:ascii="宋体" w:hAnsi="宋体" w:cs="宋体"/>
                <w:color w:val="auto"/>
              </w:rPr>
              <w:t>毕业院校专业</w:t>
            </w:r>
          </w:p>
        </w:tc>
        <w:tc>
          <w:tcPr>
            <w:tcW w:w="3095" w:type="dxa"/>
            <w:gridSpan w:val="4"/>
            <w:tcBorders>
              <w:top w:val="single" w:color="auto" w:sz="8" w:space="0"/>
              <w:left w:val="single" w:color="auto" w:sz="8" w:space="0"/>
              <w:bottom w:val="single" w:color="auto" w:sz="8" w:space="0"/>
              <w:right w:val="single" w:color="auto" w:sz="8" w:space="0"/>
            </w:tcBorders>
            <w:noWrap w:val="0"/>
            <w:vAlign w:val="center"/>
          </w:tcPr>
          <w:p w14:paraId="07EF2334">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4294D55">
            <w:pPr>
              <w:adjustRightInd w:val="0"/>
              <w:snapToGrid w:val="0"/>
              <w:spacing w:line="480" w:lineRule="exact"/>
              <w:jc w:val="center"/>
              <w:rPr>
                <w:rFonts w:ascii="宋体" w:cs="宋体"/>
                <w:color w:val="auto"/>
              </w:rPr>
            </w:pPr>
            <w:r>
              <w:rPr>
                <w:rFonts w:hint="eastAsia" w:ascii="宋体" w:hAnsi="宋体" w:cs="宋体"/>
                <w:color w:val="auto"/>
              </w:rPr>
              <w:t>毕业时间</w:t>
            </w:r>
          </w:p>
        </w:tc>
        <w:tc>
          <w:tcPr>
            <w:tcW w:w="1921" w:type="dxa"/>
            <w:tcBorders>
              <w:top w:val="single" w:color="auto" w:sz="8" w:space="0"/>
              <w:left w:val="single" w:color="auto" w:sz="8" w:space="0"/>
              <w:bottom w:val="single" w:color="auto" w:sz="8" w:space="0"/>
              <w:right w:val="single" w:color="auto" w:sz="8" w:space="0"/>
            </w:tcBorders>
            <w:noWrap w:val="0"/>
            <w:vAlign w:val="center"/>
          </w:tcPr>
          <w:p w14:paraId="531A1A0E">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653BAE06">
        <w:tblPrEx>
          <w:tblCellMar>
            <w:top w:w="0" w:type="dxa"/>
            <w:left w:w="0" w:type="dxa"/>
            <w:bottom w:w="0" w:type="dxa"/>
            <w:right w:w="0" w:type="dxa"/>
          </w:tblCellMar>
        </w:tblPrEx>
        <w:trPr>
          <w:trHeight w:val="1068" w:hRule="exact"/>
          <w:jc w:val="center"/>
        </w:trPr>
        <w:tc>
          <w:tcPr>
            <w:tcW w:w="1531" w:type="dxa"/>
            <w:gridSpan w:val="2"/>
            <w:tcBorders>
              <w:top w:val="single" w:color="auto" w:sz="8" w:space="0"/>
              <w:left w:val="single" w:color="auto" w:sz="8" w:space="0"/>
              <w:bottom w:val="single" w:color="auto" w:sz="8" w:space="0"/>
              <w:right w:val="single" w:color="auto" w:sz="8" w:space="0"/>
            </w:tcBorders>
            <w:noWrap w:val="0"/>
            <w:vAlign w:val="center"/>
          </w:tcPr>
          <w:p w14:paraId="491B5E97">
            <w:pPr>
              <w:adjustRightInd w:val="0"/>
              <w:snapToGrid w:val="0"/>
              <w:spacing w:line="480" w:lineRule="exact"/>
              <w:jc w:val="center"/>
              <w:rPr>
                <w:rFonts w:ascii="宋体" w:hAnsi="宋体" w:cs="宋体"/>
                <w:color w:val="auto"/>
              </w:rPr>
            </w:pPr>
            <w:r>
              <w:rPr>
                <w:rFonts w:hint="eastAsia" w:ascii="宋体" w:hAnsi="宋体" w:cs="宋体"/>
                <w:color w:val="auto"/>
              </w:rPr>
              <w:t>参加工作时间</w:t>
            </w:r>
          </w:p>
        </w:tc>
        <w:tc>
          <w:tcPr>
            <w:tcW w:w="3095" w:type="dxa"/>
            <w:gridSpan w:val="4"/>
            <w:tcBorders>
              <w:top w:val="single" w:color="auto" w:sz="8" w:space="0"/>
              <w:left w:val="single" w:color="auto" w:sz="8" w:space="0"/>
              <w:bottom w:val="single" w:color="auto" w:sz="8" w:space="0"/>
              <w:right w:val="single" w:color="auto" w:sz="8" w:space="0"/>
            </w:tcBorders>
            <w:noWrap w:val="0"/>
            <w:vAlign w:val="center"/>
          </w:tcPr>
          <w:p w14:paraId="3449A39E">
            <w:pPr>
              <w:adjustRightInd w:val="0"/>
              <w:snapToGrid w:val="0"/>
              <w:spacing w:line="480" w:lineRule="exact"/>
              <w:jc w:val="center"/>
              <w:rPr>
                <w:rFonts w:ascii="宋体" w:hAnsi="宋体" w:cs="宋体"/>
                <w:color w:val="auto"/>
              </w:rPr>
            </w:pPr>
          </w:p>
        </w:tc>
        <w:tc>
          <w:tcPr>
            <w:tcW w:w="1833" w:type="dxa"/>
            <w:tcBorders>
              <w:top w:val="single" w:color="auto" w:sz="8" w:space="0"/>
              <w:left w:val="single" w:color="auto" w:sz="8" w:space="0"/>
              <w:bottom w:val="single" w:color="auto" w:sz="8" w:space="0"/>
              <w:right w:val="single" w:color="auto" w:sz="8" w:space="0"/>
            </w:tcBorders>
            <w:noWrap w:val="0"/>
            <w:vAlign w:val="center"/>
          </w:tcPr>
          <w:p w14:paraId="73446D79">
            <w:pPr>
              <w:adjustRightInd w:val="0"/>
              <w:snapToGrid w:val="0"/>
              <w:spacing w:line="480" w:lineRule="exact"/>
              <w:jc w:val="center"/>
              <w:rPr>
                <w:rFonts w:ascii="宋体" w:hAnsi="宋体" w:cs="宋体"/>
                <w:color w:val="auto"/>
              </w:rPr>
            </w:pPr>
            <w:r>
              <w:rPr>
                <w:rFonts w:hint="eastAsia" w:ascii="宋体" w:hAnsi="宋体" w:cs="宋体"/>
                <w:color w:val="auto"/>
              </w:rPr>
              <w:t>从事本专业年限</w:t>
            </w:r>
          </w:p>
        </w:tc>
        <w:tc>
          <w:tcPr>
            <w:tcW w:w="1921" w:type="dxa"/>
            <w:tcBorders>
              <w:top w:val="single" w:color="auto" w:sz="8" w:space="0"/>
              <w:left w:val="single" w:color="auto" w:sz="8" w:space="0"/>
              <w:bottom w:val="single" w:color="auto" w:sz="8" w:space="0"/>
              <w:right w:val="single" w:color="auto" w:sz="8" w:space="0"/>
            </w:tcBorders>
            <w:noWrap w:val="0"/>
            <w:vAlign w:val="center"/>
          </w:tcPr>
          <w:p w14:paraId="314DEB45">
            <w:pPr>
              <w:adjustRightInd w:val="0"/>
              <w:snapToGrid w:val="0"/>
              <w:spacing w:line="480" w:lineRule="exact"/>
              <w:jc w:val="center"/>
              <w:rPr>
                <w:rFonts w:ascii="宋体" w:hAnsi="宋体" w:cs="宋体"/>
                <w:color w:val="auto"/>
              </w:rPr>
            </w:pPr>
          </w:p>
        </w:tc>
      </w:tr>
      <w:tr w14:paraId="5F101491">
        <w:tblPrEx>
          <w:tblCellMar>
            <w:top w:w="0" w:type="dxa"/>
            <w:left w:w="0" w:type="dxa"/>
            <w:bottom w:w="0" w:type="dxa"/>
            <w:right w:w="0" w:type="dxa"/>
          </w:tblCellMar>
        </w:tblPrEx>
        <w:trPr>
          <w:trHeight w:val="1636" w:hRule="exact"/>
          <w:jc w:val="center"/>
        </w:trPr>
        <w:tc>
          <w:tcPr>
            <w:tcW w:w="1531" w:type="dxa"/>
            <w:gridSpan w:val="2"/>
            <w:tcBorders>
              <w:top w:val="single" w:color="auto" w:sz="8" w:space="0"/>
              <w:left w:val="single" w:color="auto" w:sz="8" w:space="0"/>
              <w:bottom w:val="single" w:color="auto" w:sz="8" w:space="0"/>
              <w:right w:val="single" w:color="auto" w:sz="8" w:space="0"/>
            </w:tcBorders>
            <w:noWrap w:val="0"/>
            <w:vAlign w:val="center"/>
          </w:tcPr>
          <w:p w14:paraId="1E266C8B">
            <w:pPr>
              <w:adjustRightInd w:val="0"/>
              <w:snapToGrid w:val="0"/>
              <w:spacing w:line="480" w:lineRule="exact"/>
              <w:jc w:val="center"/>
              <w:rPr>
                <w:rFonts w:ascii="宋体" w:cs="宋体"/>
                <w:color w:val="auto"/>
              </w:rPr>
            </w:pPr>
            <w:r>
              <w:rPr>
                <w:rFonts w:hint="eastAsia" w:ascii="宋体" w:hAnsi="宋体" w:cs="宋体"/>
                <w:color w:val="auto"/>
              </w:rPr>
              <w:t>执业注册资格职称（须提供复印件）</w:t>
            </w:r>
          </w:p>
        </w:tc>
        <w:tc>
          <w:tcPr>
            <w:tcW w:w="3095" w:type="dxa"/>
            <w:gridSpan w:val="4"/>
            <w:tcBorders>
              <w:top w:val="single" w:color="auto" w:sz="8" w:space="0"/>
              <w:left w:val="single" w:color="auto" w:sz="8" w:space="0"/>
              <w:bottom w:val="single" w:color="auto" w:sz="8" w:space="0"/>
              <w:right w:val="single" w:color="auto" w:sz="8" w:space="0"/>
            </w:tcBorders>
            <w:noWrap w:val="0"/>
            <w:vAlign w:val="center"/>
          </w:tcPr>
          <w:p w14:paraId="069A233B">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A74E92B">
            <w:pPr>
              <w:adjustRightInd w:val="0"/>
              <w:snapToGrid w:val="0"/>
              <w:spacing w:line="480" w:lineRule="exact"/>
              <w:jc w:val="center"/>
              <w:rPr>
                <w:rFonts w:ascii="宋体" w:cs="宋体"/>
                <w:color w:val="auto"/>
              </w:rPr>
            </w:pPr>
            <w:r>
              <w:rPr>
                <w:rFonts w:hint="eastAsia" w:ascii="宋体" w:hAnsi="宋体" w:cs="宋体"/>
                <w:color w:val="auto"/>
              </w:rPr>
              <w:t>是否本单位</w:t>
            </w:r>
          </w:p>
          <w:p w14:paraId="29FE5A80">
            <w:pPr>
              <w:adjustRightInd w:val="0"/>
              <w:snapToGrid w:val="0"/>
              <w:spacing w:line="480" w:lineRule="exact"/>
              <w:jc w:val="center"/>
              <w:rPr>
                <w:rFonts w:ascii="宋体" w:cs="宋体"/>
                <w:color w:val="auto"/>
              </w:rPr>
            </w:pPr>
            <w:r>
              <w:rPr>
                <w:rFonts w:hint="eastAsia" w:ascii="宋体" w:hAnsi="宋体" w:cs="宋体"/>
                <w:color w:val="auto"/>
              </w:rPr>
              <w:t>长期雇员</w:t>
            </w:r>
          </w:p>
        </w:tc>
        <w:tc>
          <w:tcPr>
            <w:tcW w:w="1921" w:type="dxa"/>
            <w:tcBorders>
              <w:top w:val="single" w:color="auto" w:sz="8" w:space="0"/>
              <w:left w:val="single" w:color="auto" w:sz="8" w:space="0"/>
              <w:bottom w:val="single" w:color="auto" w:sz="8" w:space="0"/>
              <w:right w:val="single" w:color="auto" w:sz="8" w:space="0"/>
            </w:tcBorders>
            <w:noWrap w:val="0"/>
            <w:vAlign w:val="center"/>
          </w:tcPr>
          <w:p w14:paraId="38CD4510">
            <w:pPr>
              <w:adjustRightInd w:val="0"/>
              <w:snapToGrid w:val="0"/>
              <w:spacing w:line="480" w:lineRule="exact"/>
              <w:jc w:val="center"/>
              <w:rPr>
                <w:rFonts w:ascii="宋体" w:cs="宋体"/>
                <w:color w:val="auto"/>
              </w:rPr>
            </w:pPr>
          </w:p>
        </w:tc>
      </w:tr>
      <w:tr w14:paraId="5F69D057">
        <w:tblPrEx>
          <w:tblCellMar>
            <w:top w:w="0" w:type="dxa"/>
            <w:left w:w="0" w:type="dxa"/>
            <w:bottom w:w="0" w:type="dxa"/>
            <w:right w:w="0" w:type="dxa"/>
          </w:tblCellMar>
        </w:tblPrEx>
        <w:trPr>
          <w:trHeight w:val="1290" w:hRule="exact"/>
          <w:jc w:val="center"/>
        </w:trPr>
        <w:tc>
          <w:tcPr>
            <w:tcW w:w="1531" w:type="dxa"/>
            <w:gridSpan w:val="2"/>
            <w:tcBorders>
              <w:top w:val="single" w:color="auto" w:sz="8" w:space="0"/>
              <w:left w:val="single" w:color="auto" w:sz="8" w:space="0"/>
              <w:bottom w:val="single" w:color="auto" w:sz="8" w:space="0"/>
              <w:right w:val="single" w:color="auto" w:sz="8" w:space="0"/>
            </w:tcBorders>
            <w:noWrap w:val="0"/>
            <w:vAlign w:val="center"/>
          </w:tcPr>
          <w:p w14:paraId="012E15EB">
            <w:pPr>
              <w:adjustRightInd w:val="0"/>
              <w:snapToGrid w:val="0"/>
              <w:spacing w:line="480" w:lineRule="exact"/>
              <w:jc w:val="center"/>
              <w:rPr>
                <w:rFonts w:ascii="宋体" w:cs="宋体"/>
                <w:color w:val="auto"/>
              </w:rPr>
            </w:pPr>
            <w:r>
              <w:rPr>
                <w:rFonts w:hint="eastAsia" w:ascii="宋体" w:hAnsi="宋体" w:cs="宋体"/>
                <w:color w:val="auto"/>
              </w:rPr>
              <w:t>在本项目中担任任务</w:t>
            </w:r>
          </w:p>
        </w:tc>
        <w:tc>
          <w:tcPr>
            <w:tcW w:w="6849" w:type="dxa"/>
            <w:gridSpan w:val="6"/>
            <w:tcBorders>
              <w:top w:val="single" w:color="auto" w:sz="8" w:space="0"/>
              <w:left w:val="single" w:color="auto" w:sz="8" w:space="0"/>
              <w:bottom w:val="single" w:color="auto" w:sz="8" w:space="0"/>
              <w:right w:val="single" w:color="auto" w:sz="8" w:space="0"/>
            </w:tcBorders>
            <w:noWrap w:val="0"/>
            <w:vAlign w:val="center"/>
          </w:tcPr>
          <w:p w14:paraId="1ABD150D">
            <w:pPr>
              <w:adjustRightInd w:val="0"/>
              <w:snapToGrid w:val="0"/>
              <w:spacing w:line="480" w:lineRule="exact"/>
              <w:jc w:val="center"/>
              <w:rPr>
                <w:rFonts w:ascii="宋体" w:cs="宋体"/>
                <w:color w:val="auto"/>
              </w:rPr>
            </w:pPr>
          </w:p>
        </w:tc>
      </w:tr>
      <w:tr w14:paraId="655ADFE4">
        <w:tblPrEx>
          <w:tblCellMar>
            <w:top w:w="0" w:type="dxa"/>
            <w:left w:w="0" w:type="dxa"/>
            <w:bottom w:w="0" w:type="dxa"/>
            <w:right w:w="0" w:type="dxa"/>
          </w:tblCellMar>
        </w:tblPrEx>
        <w:trPr>
          <w:cantSplit/>
          <w:trHeight w:val="516" w:hRule="exact"/>
          <w:jc w:val="center"/>
        </w:trPr>
        <w:tc>
          <w:tcPr>
            <w:tcW w:w="8380" w:type="dxa"/>
            <w:gridSpan w:val="8"/>
            <w:tcBorders>
              <w:top w:val="single" w:color="auto" w:sz="8" w:space="0"/>
              <w:left w:val="single" w:color="auto" w:sz="8" w:space="0"/>
              <w:bottom w:val="single" w:color="auto" w:sz="4" w:space="0"/>
              <w:right w:val="single" w:color="auto" w:sz="8" w:space="0"/>
            </w:tcBorders>
            <w:noWrap w:val="0"/>
            <w:vAlign w:val="center"/>
          </w:tcPr>
          <w:p w14:paraId="2A14C855">
            <w:pPr>
              <w:adjustRightInd w:val="0"/>
              <w:snapToGrid w:val="0"/>
              <w:spacing w:line="480" w:lineRule="exact"/>
              <w:jc w:val="center"/>
              <w:rPr>
                <w:rFonts w:ascii="宋体" w:cs="宋体"/>
                <w:color w:val="auto"/>
              </w:rPr>
            </w:pPr>
            <w:r>
              <w:rPr>
                <w:rFonts w:hint="eastAsia" w:ascii="宋体" w:hAnsi="宋体" w:cs="宋体"/>
                <w:color w:val="auto"/>
              </w:rPr>
              <w:t>主要经历</w:t>
            </w:r>
          </w:p>
          <w:p w14:paraId="030BA25C">
            <w:pPr>
              <w:adjustRightInd w:val="0"/>
              <w:snapToGrid w:val="0"/>
              <w:spacing w:line="480" w:lineRule="exact"/>
              <w:jc w:val="center"/>
              <w:rPr>
                <w:rFonts w:ascii="宋体" w:cs="宋体"/>
                <w:color w:val="auto"/>
              </w:rPr>
            </w:pPr>
          </w:p>
          <w:p w14:paraId="5A95A66C">
            <w:pPr>
              <w:adjustRightInd w:val="0"/>
              <w:snapToGrid w:val="0"/>
              <w:spacing w:line="480" w:lineRule="exact"/>
              <w:jc w:val="center"/>
              <w:rPr>
                <w:rFonts w:ascii="宋体" w:cs="宋体"/>
                <w:color w:val="auto"/>
              </w:rPr>
            </w:pPr>
            <w:r>
              <w:rPr>
                <w:rFonts w:hint="eastAsia" w:ascii="宋体" w:hAnsi="宋体" w:cs="宋体"/>
                <w:color w:val="auto"/>
              </w:rPr>
              <w:t>本人主要设计成果</w:t>
            </w:r>
          </w:p>
        </w:tc>
      </w:tr>
      <w:tr w14:paraId="5E7A87CE">
        <w:tblPrEx>
          <w:tblCellMar>
            <w:top w:w="0" w:type="dxa"/>
            <w:left w:w="0" w:type="dxa"/>
            <w:bottom w:w="0" w:type="dxa"/>
            <w:right w:w="0" w:type="dxa"/>
          </w:tblCellMar>
        </w:tblPrEx>
        <w:trPr>
          <w:cantSplit/>
          <w:trHeight w:val="742" w:hRule="exac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4541B9C9">
            <w:pPr>
              <w:adjustRightInd w:val="0"/>
              <w:snapToGrid w:val="0"/>
              <w:spacing w:line="480" w:lineRule="exact"/>
              <w:jc w:val="center"/>
              <w:rPr>
                <w:rFonts w:ascii="宋体" w:cs="宋体"/>
                <w:color w:val="auto"/>
              </w:rPr>
            </w:pPr>
            <w:r>
              <w:rPr>
                <w:rFonts w:hint="eastAsia" w:ascii="宋体" w:hAnsi="宋体" w:cs="宋体"/>
                <w:color w:val="auto"/>
              </w:rPr>
              <w:t>序号</w:t>
            </w:r>
          </w:p>
        </w:tc>
        <w:tc>
          <w:tcPr>
            <w:tcW w:w="1367" w:type="dxa"/>
            <w:gridSpan w:val="2"/>
            <w:tcBorders>
              <w:top w:val="single" w:color="auto" w:sz="4" w:space="0"/>
              <w:left w:val="single" w:color="auto" w:sz="4" w:space="0"/>
              <w:bottom w:val="single" w:color="auto" w:sz="4" w:space="0"/>
              <w:right w:val="single" w:color="auto" w:sz="8" w:space="0"/>
            </w:tcBorders>
            <w:noWrap w:val="0"/>
            <w:vAlign w:val="center"/>
          </w:tcPr>
          <w:p w14:paraId="5C56A313">
            <w:pPr>
              <w:adjustRightInd w:val="0"/>
              <w:snapToGrid w:val="0"/>
              <w:spacing w:line="480" w:lineRule="exact"/>
              <w:jc w:val="center"/>
              <w:rPr>
                <w:rFonts w:ascii="宋体" w:cs="宋体"/>
                <w:color w:val="auto"/>
              </w:rPr>
            </w:pPr>
            <w:r>
              <w:rPr>
                <w:rFonts w:hint="eastAsia" w:ascii="宋体" w:hAnsi="宋体" w:cs="宋体"/>
                <w:color w:val="auto"/>
              </w:rPr>
              <w:t>时间</w:t>
            </w:r>
          </w:p>
        </w:tc>
        <w:tc>
          <w:tcPr>
            <w:tcW w:w="4372" w:type="dxa"/>
            <w:gridSpan w:val="4"/>
            <w:tcBorders>
              <w:top w:val="single" w:color="auto" w:sz="8" w:space="0"/>
              <w:left w:val="single" w:color="auto" w:sz="8" w:space="0"/>
              <w:bottom w:val="single" w:color="auto" w:sz="8" w:space="0"/>
              <w:right w:val="single" w:color="auto" w:sz="8" w:space="0"/>
            </w:tcBorders>
            <w:noWrap w:val="0"/>
            <w:vAlign w:val="center"/>
          </w:tcPr>
          <w:p w14:paraId="6026FEDA">
            <w:pPr>
              <w:adjustRightInd w:val="0"/>
              <w:snapToGrid w:val="0"/>
              <w:spacing w:line="480" w:lineRule="exact"/>
              <w:jc w:val="center"/>
              <w:rPr>
                <w:rFonts w:ascii="宋体" w:cs="宋体"/>
                <w:color w:val="auto"/>
              </w:rPr>
            </w:pPr>
            <w:r>
              <w:rPr>
                <w:rFonts w:hint="eastAsia" w:ascii="宋体" w:hAnsi="宋体" w:cs="宋体"/>
                <w:color w:val="auto"/>
              </w:rPr>
              <w:t>参加过的工程项目名称及规模</w:t>
            </w:r>
          </w:p>
        </w:tc>
        <w:tc>
          <w:tcPr>
            <w:tcW w:w="1921" w:type="dxa"/>
            <w:tcBorders>
              <w:top w:val="single" w:color="auto" w:sz="8" w:space="0"/>
              <w:left w:val="single" w:color="auto" w:sz="8" w:space="0"/>
              <w:bottom w:val="single" w:color="auto" w:sz="8" w:space="0"/>
              <w:right w:val="single" w:color="auto" w:sz="8" w:space="0"/>
            </w:tcBorders>
            <w:noWrap w:val="0"/>
            <w:vAlign w:val="center"/>
          </w:tcPr>
          <w:p w14:paraId="559843A5">
            <w:pPr>
              <w:adjustRightInd w:val="0"/>
              <w:snapToGrid w:val="0"/>
              <w:spacing w:line="480" w:lineRule="exact"/>
              <w:jc w:val="center"/>
              <w:rPr>
                <w:rFonts w:ascii="宋体" w:cs="宋体"/>
                <w:color w:val="auto"/>
              </w:rPr>
            </w:pPr>
            <w:r>
              <w:rPr>
                <w:rFonts w:hint="eastAsia" w:ascii="宋体" w:hAnsi="宋体" w:cs="宋体"/>
                <w:color w:val="auto"/>
              </w:rPr>
              <w:t>该项目中任职</w:t>
            </w:r>
          </w:p>
        </w:tc>
      </w:tr>
      <w:tr w14:paraId="22200DBA">
        <w:tblPrEx>
          <w:tblCellMar>
            <w:top w:w="0" w:type="dxa"/>
            <w:left w:w="0" w:type="dxa"/>
            <w:bottom w:w="0" w:type="dxa"/>
            <w:right w:w="0" w:type="dxa"/>
          </w:tblCellMar>
        </w:tblPrEx>
        <w:trPr>
          <w:cantSplit/>
          <w:trHeight w:val="487" w:hRule="exac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58F9CF99">
            <w:pPr>
              <w:spacing w:line="480" w:lineRule="exact"/>
              <w:jc w:val="center"/>
              <w:rPr>
                <w:rFonts w:ascii="宋体" w:hAnsi="宋体" w:cs="宋体"/>
                <w:color w:val="auto"/>
              </w:rPr>
            </w:pPr>
            <w:r>
              <w:rPr>
                <w:rFonts w:ascii="宋体" w:hAnsi="宋体" w:cs="宋体"/>
                <w:color w:val="auto"/>
              </w:rPr>
              <w:t>1</w:t>
            </w:r>
          </w:p>
        </w:tc>
        <w:tc>
          <w:tcPr>
            <w:tcW w:w="1367" w:type="dxa"/>
            <w:gridSpan w:val="2"/>
            <w:tcBorders>
              <w:top w:val="single" w:color="auto" w:sz="4" w:space="0"/>
              <w:left w:val="single" w:color="auto" w:sz="4" w:space="0"/>
              <w:bottom w:val="single" w:color="auto" w:sz="8" w:space="0"/>
              <w:right w:val="single" w:color="auto" w:sz="8" w:space="0"/>
            </w:tcBorders>
            <w:noWrap w:val="0"/>
            <w:vAlign w:val="center"/>
          </w:tcPr>
          <w:p w14:paraId="3C726688">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noWrap w:val="0"/>
            <w:vAlign w:val="center"/>
          </w:tcPr>
          <w:p w14:paraId="7F0A25E2">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noWrap w:val="0"/>
            <w:vAlign w:val="center"/>
          </w:tcPr>
          <w:p w14:paraId="21F2397F">
            <w:pPr>
              <w:adjustRightInd w:val="0"/>
              <w:snapToGrid w:val="0"/>
              <w:spacing w:line="480" w:lineRule="exact"/>
              <w:jc w:val="center"/>
              <w:rPr>
                <w:rFonts w:ascii="宋体" w:cs="宋体"/>
                <w:color w:val="auto"/>
              </w:rPr>
            </w:pPr>
          </w:p>
        </w:tc>
      </w:tr>
      <w:tr w14:paraId="19B5D4F8">
        <w:tblPrEx>
          <w:tblCellMar>
            <w:top w:w="0" w:type="dxa"/>
            <w:left w:w="0" w:type="dxa"/>
            <w:bottom w:w="0" w:type="dxa"/>
            <w:right w:w="0" w:type="dxa"/>
          </w:tblCellMar>
        </w:tblPrEx>
        <w:trPr>
          <w:cantSplit/>
          <w:trHeight w:val="504" w:hRule="exact"/>
          <w:jc w:val="center"/>
        </w:trPr>
        <w:tc>
          <w:tcPr>
            <w:tcW w:w="720" w:type="dxa"/>
            <w:tcBorders>
              <w:top w:val="single" w:color="auto" w:sz="4" w:space="0"/>
              <w:left w:val="single" w:color="auto" w:sz="8" w:space="0"/>
              <w:bottom w:val="single" w:color="auto" w:sz="4" w:space="0"/>
              <w:right w:val="single" w:color="auto" w:sz="8" w:space="0"/>
            </w:tcBorders>
            <w:noWrap w:val="0"/>
            <w:vAlign w:val="center"/>
          </w:tcPr>
          <w:p w14:paraId="01827D24">
            <w:pPr>
              <w:spacing w:line="480" w:lineRule="exact"/>
              <w:jc w:val="center"/>
              <w:rPr>
                <w:rFonts w:ascii="宋体" w:hAnsi="宋体" w:cs="宋体"/>
                <w:color w:val="auto"/>
              </w:rPr>
            </w:pPr>
            <w:r>
              <w:rPr>
                <w:rFonts w:ascii="宋体" w:hAnsi="宋体" w:cs="宋体"/>
                <w:color w:val="auto"/>
              </w:rPr>
              <w:t>2</w:t>
            </w:r>
          </w:p>
        </w:tc>
        <w:tc>
          <w:tcPr>
            <w:tcW w:w="1367" w:type="dxa"/>
            <w:gridSpan w:val="2"/>
            <w:tcBorders>
              <w:top w:val="single" w:color="auto" w:sz="8" w:space="0"/>
              <w:left w:val="single" w:color="auto" w:sz="8" w:space="0"/>
              <w:bottom w:val="single" w:color="auto" w:sz="4" w:space="0"/>
              <w:right w:val="single" w:color="auto" w:sz="8" w:space="0"/>
            </w:tcBorders>
            <w:noWrap w:val="0"/>
            <w:vAlign w:val="center"/>
          </w:tcPr>
          <w:p w14:paraId="522CCEE8">
            <w:pPr>
              <w:adjustRightInd w:val="0"/>
              <w:snapToGrid w:val="0"/>
              <w:spacing w:line="480" w:lineRule="exact"/>
              <w:jc w:val="center"/>
              <w:rPr>
                <w:rFonts w:ascii="宋体" w:cs="宋体"/>
                <w:color w:val="auto"/>
              </w:rPr>
            </w:pPr>
          </w:p>
          <w:p w14:paraId="23BF3EBE">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noWrap w:val="0"/>
            <w:vAlign w:val="center"/>
          </w:tcPr>
          <w:p w14:paraId="0E1FC31B">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noWrap w:val="0"/>
            <w:vAlign w:val="center"/>
          </w:tcPr>
          <w:p w14:paraId="62D5C141">
            <w:pPr>
              <w:adjustRightInd w:val="0"/>
              <w:snapToGrid w:val="0"/>
              <w:spacing w:line="480" w:lineRule="exact"/>
              <w:jc w:val="center"/>
              <w:rPr>
                <w:rFonts w:ascii="宋体" w:cs="宋体"/>
                <w:color w:val="auto"/>
              </w:rPr>
            </w:pPr>
          </w:p>
        </w:tc>
      </w:tr>
      <w:tr w14:paraId="080D4AE3">
        <w:tblPrEx>
          <w:tblCellMar>
            <w:top w:w="0" w:type="dxa"/>
            <w:left w:w="0" w:type="dxa"/>
            <w:bottom w:w="0" w:type="dxa"/>
            <w:right w:w="0" w:type="dxa"/>
          </w:tblCellMar>
        </w:tblPrEx>
        <w:trPr>
          <w:cantSplit/>
          <w:trHeight w:val="482" w:hRule="exact"/>
          <w:jc w:val="center"/>
        </w:trPr>
        <w:tc>
          <w:tcPr>
            <w:tcW w:w="720" w:type="dxa"/>
            <w:tcBorders>
              <w:top w:val="single" w:color="auto" w:sz="4" w:space="0"/>
              <w:left w:val="single" w:color="auto" w:sz="8" w:space="0"/>
              <w:bottom w:val="single" w:color="auto" w:sz="8" w:space="0"/>
              <w:right w:val="single" w:color="auto" w:sz="8" w:space="0"/>
            </w:tcBorders>
            <w:noWrap w:val="0"/>
            <w:vAlign w:val="center"/>
          </w:tcPr>
          <w:p w14:paraId="49881954">
            <w:pPr>
              <w:spacing w:line="480" w:lineRule="exact"/>
              <w:jc w:val="center"/>
              <w:rPr>
                <w:rFonts w:ascii="宋体" w:hAnsi="宋体" w:cs="宋体"/>
                <w:color w:val="auto"/>
              </w:rPr>
            </w:pPr>
            <w:r>
              <w:rPr>
                <w:rFonts w:ascii="宋体" w:hAnsi="宋体" w:cs="宋体"/>
                <w:color w:val="auto"/>
              </w:rPr>
              <w:t>3</w:t>
            </w:r>
          </w:p>
        </w:tc>
        <w:tc>
          <w:tcPr>
            <w:tcW w:w="1367" w:type="dxa"/>
            <w:gridSpan w:val="2"/>
            <w:tcBorders>
              <w:top w:val="single" w:color="auto" w:sz="4" w:space="0"/>
              <w:left w:val="single" w:color="auto" w:sz="8" w:space="0"/>
              <w:bottom w:val="single" w:color="auto" w:sz="8" w:space="0"/>
              <w:right w:val="single" w:color="auto" w:sz="8" w:space="0"/>
            </w:tcBorders>
            <w:noWrap w:val="0"/>
            <w:vAlign w:val="center"/>
          </w:tcPr>
          <w:p w14:paraId="06CC3BE0">
            <w:pPr>
              <w:adjustRightInd w:val="0"/>
              <w:snapToGrid w:val="0"/>
              <w:spacing w:line="480" w:lineRule="exact"/>
              <w:jc w:val="center"/>
              <w:rPr>
                <w:rFonts w:ascii="宋体" w:cs="宋体"/>
                <w:color w:val="auto"/>
              </w:rPr>
            </w:pPr>
          </w:p>
          <w:p w14:paraId="141DDBF5">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noWrap w:val="0"/>
            <w:vAlign w:val="center"/>
          </w:tcPr>
          <w:p w14:paraId="1D3C81A3">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noWrap w:val="0"/>
            <w:vAlign w:val="center"/>
          </w:tcPr>
          <w:p w14:paraId="5CB5D6C8">
            <w:pPr>
              <w:adjustRightInd w:val="0"/>
              <w:snapToGrid w:val="0"/>
              <w:spacing w:line="480" w:lineRule="exact"/>
              <w:jc w:val="center"/>
              <w:rPr>
                <w:rFonts w:ascii="宋体" w:cs="宋体"/>
                <w:color w:val="auto"/>
              </w:rPr>
            </w:pPr>
          </w:p>
        </w:tc>
      </w:tr>
    </w:tbl>
    <w:p w14:paraId="4AE9A51B">
      <w:pPr>
        <w:spacing w:line="480" w:lineRule="exact"/>
        <w:ind w:left="2625" w:leftChars="1250"/>
        <w:rPr>
          <w:rFonts w:ascii="宋体" w:hAnsi="宋体" w:cs="宋体"/>
          <w:color w:val="auto"/>
        </w:rPr>
      </w:pPr>
    </w:p>
    <w:p w14:paraId="3F44CA15">
      <w:pPr>
        <w:spacing w:line="500" w:lineRule="exact"/>
        <w:ind w:firstLine="4252" w:firstLineChars="1772"/>
        <w:rPr>
          <w:bCs/>
          <w:color w:val="auto"/>
          <w:sz w:val="24"/>
        </w:rPr>
      </w:pPr>
      <w:r>
        <w:rPr>
          <w:rFonts w:hint="eastAsia"/>
          <w:bCs/>
          <w:color w:val="auto"/>
          <w:sz w:val="24"/>
        </w:rPr>
        <w:t>供应商：（公章签章）</w:t>
      </w:r>
    </w:p>
    <w:p w14:paraId="116A1A9F">
      <w:pPr>
        <w:spacing w:line="500" w:lineRule="exact"/>
        <w:ind w:firstLine="4252" w:firstLineChars="1772"/>
        <w:rPr>
          <w:bCs/>
          <w:color w:val="auto"/>
          <w:sz w:val="24"/>
        </w:rPr>
      </w:pPr>
      <w:r>
        <w:rPr>
          <w:rFonts w:hint="eastAsia"/>
          <w:bCs/>
          <w:color w:val="auto"/>
          <w:sz w:val="24"/>
        </w:rPr>
        <w:t>法定代表人：（签章）</w:t>
      </w:r>
    </w:p>
    <w:p w14:paraId="2CFA2ADC">
      <w:pPr>
        <w:spacing w:line="500" w:lineRule="exact"/>
        <w:ind w:firstLine="4252" w:firstLineChars="1772"/>
        <w:rPr>
          <w:bCs/>
          <w:color w:val="auto"/>
          <w:sz w:val="24"/>
        </w:rPr>
      </w:pPr>
      <w:r>
        <w:rPr>
          <w:rFonts w:hint="eastAsia"/>
          <w:bCs/>
          <w:color w:val="auto"/>
          <w:sz w:val="24"/>
        </w:rPr>
        <w:t>日期：</w:t>
      </w:r>
    </w:p>
    <w:p w14:paraId="1E8CEC2E">
      <w:pPr>
        <w:widowControl/>
        <w:spacing w:line="700" w:lineRule="exact"/>
        <w:jc w:val="center"/>
        <w:rPr>
          <w:rFonts w:ascii="宋体" w:hAnsi="宋体" w:cs="宋体"/>
          <w:color w:val="auto"/>
          <w:kern w:val="0"/>
          <w:sz w:val="24"/>
        </w:rPr>
      </w:pPr>
    </w:p>
    <w:p w14:paraId="2DF7BC95">
      <w:pPr>
        <w:widowControl/>
        <w:spacing w:line="700" w:lineRule="exact"/>
        <w:jc w:val="both"/>
        <w:rPr>
          <w:rFonts w:ascii="宋体" w:hAnsi="宋体" w:cs="宋体"/>
          <w:b/>
          <w:color w:val="auto"/>
        </w:rPr>
      </w:pPr>
    </w:p>
    <w:p w14:paraId="26A24DF4">
      <w:pPr>
        <w:widowControl/>
        <w:spacing w:line="700" w:lineRule="exact"/>
        <w:jc w:val="center"/>
        <w:rPr>
          <w:rFonts w:ascii="宋体" w:hAnsi="宋体" w:cs="宋体"/>
          <w:b/>
          <w:color w:val="auto"/>
        </w:rPr>
      </w:pPr>
    </w:p>
    <w:p w14:paraId="504F7CFD">
      <w:pPr>
        <w:widowControl/>
        <w:spacing w:line="700" w:lineRule="exact"/>
        <w:jc w:val="center"/>
        <w:rPr>
          <w:rFonts w:ascii="宋体" w:cs="宋体"/>
          <w:b/>
          <w:color w:val="auto"/>
        </w:rPr>
      </w:pPr>
      <w:r>
        <w:rPr>
          <w:rFonts w:ascii="宋体" w:hAnsi="宋体" w:cs="宋体"/>
          <w:b/>
          <w:color w:val="auto"/>
        </w:rPr>
        <w:t>2</w:t>
      </w:r>
      <w:r>
        <w:rPr>
          <w:rFonts w:hint="eastAsia" w:ascii="宋体" w:hAnsi="宋体" w:cs="宋体"/>
          <w:b/>
          <w:color w:val="auto"/>
        </w:rPr>
        <w:t>、拟投入主要人员简历表</w:t>
      </w:r>
    </w:p>
    <w:tbl>
      <w:tblPr>
        <w:tblStyle w:val="22"/>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305"/>
        <w:gridCol w:w="1177"/>
        <w:gridCol w:w="942"/>
        <w:gridCol w:w="404"/>
        <w:gridCol w:w="1454"/>
        <w:gridCol w:w="2062"/>
      </w:tblGrid>
      <w:tr w14:paraId="398B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noWrap w:val="0"/>
            <w:vAlign w:val="center"/>
          </w:tcPr>
          <w:p w14:paraId="208A1771">
            <w:pPr>
              <w:adjustRightInd w:val="0"/>
              <w:snapToGrid w:val="0"/>
              <w:spacing w:line="480" w:lineRule="exact"/>
              <w:jc w:val="center"/>
              <w:rPr>
                <w:rFonts w:ascii="宋体" w:cs="宋体"/>
                <w:color w:val="auto"/>
              </w:rPr>
            </w:pPr>
            <w:r>
              <w:rPr>
                <w:rFonts w:hint="eastAsia" w:ascii="宋体" w:hAnsi="宋体" w:cs="宋体"/>
                <w:color w:val="auto"/>
              </w:rPr>
              <w:t>姓名</w:t>
            </w:r>
          </w:p>
        </w:tc>
        <w:tc>
          <w:tcPr>
            <w:tcW w:w="1305" w:type="dxa"/>
            <w:noWrap w:val="0"/>
            <w:vAlign w:val="center"/>
          </w:tcPr>
          <w:p w14:paraId="14C8C668">
            <w:pPr>
              <w:adjustRightInd w:val="0"/>
              <w:snapToGrid w:val="0"/>
              <w:spacing w:line="480" w:lineRule="exact"/>
              <w:jc w:val="center"/>
              <w:rPr>
                <w:rFonts w:ascii="宋体" w:cs="宋体"/>
                <w:color w:val="auto"/>
              </w:rPr>
            </w:pPr>
          </w:p>
        </w:tc>
        <w:tc>
          <w:tcPr>
            <w:tcW w:w="1177" w:type="dxa"/>
            <w:noWrap w:val="0"/>
            <w:vAlign w:val="center"/>
          </w:tcPr>
          <w:p w14:paraId="3BFD55C8">
            <w:pPr>
              <w:adjustRightInd w:val="0"/>
              <w:snapToGrid w:val="0"/>
              <w:spacing w:line="480" w:lineRule="exact"/>
              <w:jc w:val="center"/>
              <w:rPr>
                <w:rFonts w:ascii="宋体" w:cs="宋体"/>
                <w:color w:val="auto"/>
              </w:rPr>
            </w:pPr>
            <w:r>
              <w:rPr>
                <w:rFonts w:hint="eastAsia" w:ascii="宋体" w:hAnsi="宋体" w:cs="宋体"/>
                <w:color w:val="auto"/>
              </w:rPr>
              <w:t>性别</w:t>
            </w:r>
          </w:p>
        </w:tc>
        <w:tc>
          <w:tcPr>
            <w:tcW w:w="942" w:type="dxa"/>
            <w:noWrap w:val="0"/>
            <w:vAlign w:val="center"/>
          </w:tcPr>
          <w:p w14:paraId="7F2B2118">
            <w:pPr>
              <w:adjustRightInd w:val="0"/>
              <w:snapToGrid w:val="0"/>
              <w:spacing w:line="480" w:lineRule="exact"/>
              <w:jc w:val="center"/>
              <w:rPr>
                <w:rFonts w:ascii="宋体" w:cs="宋体"/>
                <w:color w:val="auto"/>
              </w:rPr>
            </w:pPr>
          </w:p>
        </w:tc>
        <w:tc>
          <w:tcPr>
            <w:tcW w:w="1858" w:type="dxa"/>
            <w:gridSpan w:val="2"/>
            <w:noWrap w:val="0"/>
            <w:vAlign w:val="center"/>
          </w:tcPr>
          <w:p w14:paraId="23605E78">
            <w:pPr>
              <w:adjustRightInd w:val="0"/>
              <w:snapToGrid w:val="0"/>
              <w:spacing w:line="480" w:lineRule="exact"/>
              <w:jc w:val="center"/>
              <w:rPr>
                <w:rFonts w:ascii="宋体" w:cs="宋体"/>
                <w:color w:val="auto"/>
              </w:rPr>
            </w:pPr>
            <w:r>
              <w:rPr>
                <w:rFonts w:hint="eastAsia" w:ascii="宋体" w:hAnsi="宋体" w:cs="宋体"/>
                <w:color w:val="auto"/>
              </w:rPr>
              <w:t>出生日期</w:t>
            </w:r>
          </w:p>
        </w:tc>
        <w:tc>
          <w:tcPr>
            <w:tcW w:w="2062" w:type="dxa"/>
            <w:noWrap w:val="0"/>
            <w:vAlign w:val="center"/>
          </w:tcPr>
          <w:p w14:paraId="305C89DA">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101B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noWrap w:val="0"/>
            <w:vAlign w:val="center"/>
          </w:tcPr>
          <w:p w14:paraId="18A7C095">
            <w:pPr>
              <w:adjustRightInd w:val="0"/>
              <w:snapToGrid w:val="0"/>
              <w:spacing w:line="480" w:lineRule="exact"/>
              <w:jc w:val="center"/>
              <w:rPr>
                <w:rFonts w:ascii="宋体" w:cs="宋体"/>
                <w:color w:val="auto"/>
              </w:rPr>
            </w:pPr>
            <w:r>
              <w:rPr>
                <w:rFonts w:hint="eastAsia" w:ascii="宋体" w:hAnsi="宋体" w:cs="宋体"/>
                <w:color w:val="auto"/>
              </w:rPr>
              <w:t>毕业院校专业</w:t>
            </w:r>
          </w:p>
        </w:tc>
        <w:tc>
          <w:tcPr>
            <w:tcW w:w="3424" w:type="dxa"/>
            <w:gridSpan w:val="3"/>
            <w:noWrap w:val="0"/>
            <w:vAlign w:val="center"/>
          </w:tcPr>
          <w:p w14:paraId="6CA32367">
            <w:pPr>
              <w:adjustRightInd w:val="0"/>
              <w:snapToGrid w:val="0"/>
              <w:spacing w:line="480" w:lineRule="exact"/>
              <w:jc w:val="center"/>
              <w:rPr>
                <w:rFonts w:ascii="宋体" w:cs="宋体"/>
                <w:color w:val="auto"/>
              </w:rPr>
            </w:pPr>
          </w:p>
        </w:tc>
        <w:tc>
          <w:tcPr>
            <w:tcW w:w="1858" w:type="dxa"/>
            <w:gridSpan w:val="2"/>
            <w:noWrap w:val="0"/>
            <w:vAlign w:val="center"/>
          </w:tcPr>
          <w:p w14:paraId="1EE903D1">
            <w:pPr>
              <w:adjustRightInd w:val="0"/>
              <w:snapToGrid w:val="0"/>
              <w:spacing w:line="480" w:lineRule="exact"/>
              <w:jc w:val="center"/>
              <w:rPr>
                <w:rFonts w:ascii="宋体" w:cs="宋体"/>
                <w:color w:val="auto"/>
              </w:rPr>
            </w:pPr>
            <w:r>
              <w:rPr>
                <w:rFonts w:hint="eastAsia" w:ascii="宋体" w:hAnsi="宋体" w:cs="宋体"/>
                <w:color w:val="auto"/>
              </w:rPr>
              <w:t>毕业时间</w:t>
            </w:r>
          </w:p>
        </w:tc>
        <w:tc>
          <w:tcPr>
            <w:tcW w:w="2062" w:type="dxa"/>
            <w:noWrap w:val="0"/>
            <w:vAlign w:val="center"/>
          </w:tcPr>
          <w:p w14:paraId="7275120A">
            <w:pPr>
              <w:adjustRightInd w:val="0"/>
              <w:snapToGrid w:val="0"/>
              <w:spacing w:line="480" w:lineRule="exact"/>
              <w:ind w:firstLine="210" w:firstLineChars="100"/>
              <w:rPr>
                <w:rFonts w:ascii="宋体" w:cs="宋体"/>
                <w:color w:val="auto"/>
              </w:rPr>
            </w:pPr>
            <w:r>
              <w:rPr>
                <w:rFonts w:hint="eastAsia" w:ascii="宋体" w:hAnsi="宋体" w:cs="宋体"/>
                <w:color w:val="auto"/>
              </w:rPr>
              <w:t>年月日</w:t>
            </w:r>
          </w:p>
        </w:tc>
      </w:tr>
      <w:tr w14:paraId="07C1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noWrap w:val="0"/>
            <w:vAlign w:val="center"/>
          </w:tcPr>
          <w:p w14:paraId="5145C7D9">
            <w:pPr>
              <w:adjustRightInd w:val="0"/>
              <w:snapToGrid w:val="0"/>
              <w:spacing w:line="480" w:lineRule="exact"/>
              <w:jc w:val="center"/>
              <w:rPr>
                <w:rFonts w:ascii="宋体" w:cs="宋体"/>
                <w:color w:val="auto"/>
              </w:rPr>
            </w:pPr>
            <w:r>
              <w:rPr>
                <w:rFonts w:hint="eastAsia" w:ascii="宋体" w:hAnsi="宋体" w:cs="宋体"/>
                <w:color w:val="auto"/>
              </w:rPr>
              <w:t>参加工作时间</w:t>
            </w:r>
          </w:p>
        </w:tc>
        <w:tc>
          <w:tcPr>
            <w:tcW w:w="2482" w:type="dxa"/>
            <w:gridSpan w:val="2"/>
            <w:noWrap w:val="0"/>
            <w:vAlign w:val="center"/>
          </w:tcPr>
          <w:p w14:paraId="5B9035F4">
            <w:pPr>
              <w:adjustRightInd w:val="0"/>
              <w:snapToGrid w:val="0"/>
              <w:spacing w:line="480" w:lineRule="exact"/>
              <w:jc w:val="center"/>
              <w:rPr>
                <w:rFonts w:ascii="宋体" w:cs="宋体"/>
                <w:color w:val="auto"/>
              </w:rPr>
            </w:pPr>
          </w:p>
        </w:tc>
        <w:tc>
          <w:tcPr>
            <w:tcW w:w="2800" w:type="dxa"/>
            <w:gridSpan w:val="3"/>
            <w:noWrap w:val="0"/>
            <w:vAlign w:val="center"/>
          </w:tcPr>
          <w:p w14:paraId="535C2D78">
            <w:pPr>
              <w:adjustRightInd w:val="0"/>
              <w:snapToGrid w:val="0"/>
              <w:spacing w:line="480" w:lineRule="exact"/>
              <w:jc w:val="center"/>
              <w:rPr>
                <w:rFonts w:ascii="宋体" w:cs="宋体"/>
                <w:color w:val="auto"/>
              </w:rPr>
            </w:pPr>
            <w:r>
              <w:rPr>
                <w:rFonts w:hint="eastAsia" w:ascii="宋体" w:hAnsi="宋体" w:cs="宋体"/>
                <w:color w:val="auto"/>
              </w:rPr>
              <w:t>从事本专业年限</w:t>
            </w:r>
          </w:p>
        </w:tc>
        <w:tc>
          <w:tcPr>
            <w:tcW w:w="2062" w:type="dxa"/>
            <w:noWrap w:val="0"/>
            <w:vAlign w:val="center"/>
          </w:tcPr>
          <w:p w14:paraId="5BE6C364">
            <w:pPr>
              <w:adjustRightInd w:val="0"/>
              <w:snapToGrid w:val="0"/>
              <w:spacing w:line="480" w:lineRule="exact"/>
              <w:jc w:val="center"/>
              <w:rPr>
                <w:rFonts w:ascii="宋体" w:cs="宋体"/>
                <w:color w:val="auto"/>
              </w:rPr>
            </w:pPr>
          </w:p>
        </w:tc>
      </w:tr>
      <w:tr w14:paraId="2240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noWrap w:val="0"/>
            <w:vAlign w:val="center"/>
          </w:tcPr>
          <w:p w14:paraId="3D533FC3">
            <w:pPr>
              <w:adjustRightInd w:val="0"/>
              <w:snapToGrid w:val="0"/>
              <w:spacing w:line="480" w:lineRule="exact"/>
              <w:jc w:val="center"/>
              <w:rPr>
                <w:rFonts w:ascii="宋体" w:cs="宋体"/>
                <w:color w:val="auto"/>
              </w:rPr>
            </w:pPr>
            <w:r>
              <w:rPr>
                <w:rFonts w:hint="eastAsia" w:ascii="宋体" w:hAnsi="宋体" w:cs="宋体"/>
                <w:color w:val="auto"/>
              </w:rPr>
              <w:t>执业注册</w:t>
            </w:r>
          </w:p>
        </w:tc>
        <w:tc>
          <w:tcPr>
            <w:tcW w:w="2482" w:type="dxa"/>
            <w:gridSpan w:val="2"/>
            <w:noWrap w:val="0"/>
            <w:vAlign w:val="center"/>
          </w:tcPr>
          <w:p w14:paraId="121CCEB2">
            <w:pPr>
              <w:adjustRightInd w:val="0"/>
              <w:snapToGrid w:val="0"/>
              <w:spacing w:line="480" w:lineRule="exact"/>
              <w:jc w:val="center"/>
              <w:rPr>
                <w:rFonts w:ascii="宋体" w:cs="宋体"/>
                <w:color w:val="auto"/>
              </w:rPr>
            </w:pPr>
          </w:p>
        </w:tc>
        <w:tc>
          <w:tcPr>
            <w:tcW w:w="2800" w:type="dxa"/>
            <w:gridSpan w:val="3"/>
            <w:noWrap w:val="0"/>
            <w:vAlign w:val="center"/>
          </w:tcPr>
          <w:p w14:paraId="604A4143">
            <w:pPr>
              <w:adjustRightInd w:val="0"/>
              <w:snapToGrid w:val="0"/>
              <w:spacing w:line="480" w:lineRule="exact"/>
              <w:jc w:val="center"/>
              <w:rPr>
                <w:rFonts w:ascii="宋体" w:cs="宋体"/>
                <w:color w:val="auto"/>
              </w:rPr>
            </w:pPr>
            <w:r>
              <w:rPr>
                <w:rFonts w:hint="eastAsia" w:ascii="宋体" w:hAnsi="宋体" w:cs="宋体"/>
                <w:color w:val="auto"/>
              </w:rPr>
              <w:t>职称</w:t>
            </w:r>
          </w:p>
        </w:tc>
        <w:tc>
          <w:tcPr>
            <w:tcW w:w="2062" w:type="dxa"/>
            <w:noWrap w:val="0"/>
            <w:vAlign w:val="center"/>
          </w:tcPr>
          <w:p w14:paraId="788E4CAF">
            <w:pPr>
              <w:adjustRightInd w:val="0"/>
              <w:snapToGrid w:val="0"/>
              <w:spacing w:line="480" w:lineRule="exact"/>
              <w:jc w:val="center"/>
              <w:rPr>
                <w:rFonts w:ascii="宋体" w:cs="宋体"/>
                <w:color w:val="auto"/>
              </w:rPr>
            </w:pPr>
          </w:p>
        </w:tc>
      </w:tr>
      <w:tr w14:paraId="1821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615" w:type="dxa"/>
            <w:gridSpan w:val="3"/>
            <w:noWrap w:val="0"/>
            <w:vAlign w:val="center"/>
          </w:tcPr>
          <w:p w14:paraId="0A093D1B">
            <w:pPr>
              <w:adjustRightInd w:val="0"/>
              <w:snapToGrid w:val="0"/>
              <w:spacing w:line="480" w:lineRule="exact"/>
              <w:jc w:val="center"/>
              <w:rPr>
                <w:rFonts w:ascii="宋体" w:cs="宋体"/>
                <w:color w:val="auto"/>
              </w:rPr>
            </w:pPr>
            <w:r>
              <w:rPr>
                <w:rFonts w:hint="eastAsia" w:ascii="宋体" w:hAnsi="宋体" w:cs="宋体"/>
                <w:color w:val="auto"/>
              </w:rPr>
              <w:t>在本项目拟任职务</w:t>
            </w:r>
          </w:p>
        </w:tc>
        <w:tc>
          <w:tcPr>
            <w:tcW w:w="4862" w:type="dxa"/>
            <w:gridSpan w:val="4"/>
            <w:noWrap w:val="0"/>
            <w:vAlign w:val="center"/>
          </w:tcPr>
          <w:p w14:paraId="3A715047">
            <w:pPr>
              <w:adjustRightInd w:val="0"/>
              <w:snapToGrid w:val="0"/>
              <w:spacing w:line="480" w:lineRule="exact"/>
              <w:jc w:val="center"/>
              <w:rPr>
                <w:rFonts w:ascii="宋体" w:cs="宋体"/>
                <w:color w:val="auto"/>
              </w:rPr>
            </w:pPr>
          </w:p>
        </w:tc>
      </w:tr>
      <w:tr w14:paraId="066A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477" w:type="dxa"/>
            <w:gridSpan w:val="7"/>
            <w:noWrap w:val="0"/>
            <w:vAlign w:val="center"/>
          </w:tcPr>
          <w:p w14:paraId="0DB17A5E">
            <w:pPr>
              <w:adjustRightInd w:val="0"/>
              <w:snapToGrid w:val="0"/>
              <w:spacing w:line="480" w:lineRule="exact"/>
              <w:jc w:val="center"/>
              <w:rPr>
                <w:rFonts w:ascii="宋体" w:cs="宋体"/>
                <w:color w:val="auto"/>
              </w:rPr>
            </w:pPr>
            <w:r>
              <w:rPr>
                <w:rFonts w:hint="eastAsia" w:ascii="宋体" w:hAnsi="宋体" w:cs="宋体"/>
                <w:color w:val="auto"/>
              </w:rPr>
              <w:t>主要经历</w:t>
            </w:r>
          </w:p>
        </w:tc>
      </w:tr>
      <w:tr w14:paraId="2817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noWrap w:val="0"/>
            <w:vAlign w:val="center"/>
          </w:tcPr>
          <w:p w14:paraId="5D8402B7">
            <w:pPr>
              <w:adjustRightInd w:val="0"/>
              <w:snapToGrid w:val="0"/>
              <w:spacing w:line="480" w:lineRule="exact"/>
              <w:jc w:val="center"/>
              <w:rPr>
                <w:rFonts w:ascii="宋体" w:cs="宋体"/>
                <w:color w:val="auto"/>
              </w:rPr>
            </w:pPr>
            <w:r>
              <w:rPr>
                <w:rFonts w:hint="eastAsia" w:ascii="宋体" w:hAnsi="宋体" w:cs="宋体"/>
                <w:color w:val="auto"/>
              </w:rPr>
              <w:t>时间</w:t>
            </w:r>
          </w:p>
        </w:tc>
        <w:tc>
          <w:tcPr>
            <w:tcW w:w="3828" w:type="dxa"/>
            <w:gridSpan w:val="4"/>
            <w:noWrap w:val="0"/>
            <w:vAlign w:val="center"/>
          </w:tcPr>
          <w:p w14:paraId="6A84EC4E">
            <w:pPr>
              <w:adjustRightInd w:val="0"/>
              <w:snapToGrid w:val="0"/>
              <w:spacing w:line="480" w:lineRule="exact"/>
              <w:jc w:val="center"/>
              <w:rPr>
                <w:rFonts w:ascii="宋体" w:cs="宋体"/>
                <w:color w:val="auto"/>
              </w:rPr>
            </w:pPr>
            <w:r>
              <w:rPr>
                <w:rFonts w:hint="eastAsia" w:ascii="宋体" w:hAnsi="宋体" w:cs="宋体"/>
                <w:color w:val="auto"/>
              </w:rPr>
              <w:t>参加过的工程项目名称及规模</w:t>
            </w:r>
          </w:p>
        </w:tc>
        <w:tc>
          <w:tcPr>
            <w:tcW w:w="3516" w:type="dxa"/>
            <w:gridSpan w:val="2"/>
            <w:noWrap w:val="0"/>
            <w:vAlign w:val="center"/>
          </w:tcPr>
          <w:p w14:paraId="55027D22">
            <w:pPr>
              <w:adjustRightInd w:val="0"/>
              <w:snapToGrid w:val="0"/>
              <w:spacing w:line="480" w:lineRule="exact"/>
              <w:jc w:val="center"/>
              <w:rPr>
                <w:rFonts w:ascii="宋体" w:cs="宋体"/>
                <w:color w:val="auto"/>
              </w:rPr>
            </w:pPr>
            <w:r>
              <w:rPr>
                <w:rFonts w:hint="eastAsia" w:ascii="宋体" w:hAnsi="宋体" w:cs="宋体"/>
                <w:color w:val="auto"/>
              </w:rPr>
              <w:t>该项目中任职</w:t>
            </w:r>
          </w:p>
        </w:tc>
      </w:tr>
      <w:tr w14:paraId="4720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33" w:type="dxa"/>
            <w:noWrap w:val="0"/>
            <w:vAlign w:val="center"/>
          </w:tcPr>
          <w:p w14:paraId="619A64C9">
            <w:pPr>
              <w:adjustRightInd w:val="0"/>
              <w:snapToGrid w:val="0"/>
              <w:spacing w:line="480" w:lineRule="exact"/>
              <w:jc w:val="center"/>
              <w:rPr>
                <w:rFonts w:ascii="宋体" w:cs="宋体"/>
                <w:color w:val="auto"/>
              </w:rPr>
            </w:pPr>
          </w:p>
        </w:tc>
        <w:tc>
          <w:tcPr>
            <w:tcW w:w="3828" w:type="dxa"/>
            <w:gridSpan w:val="4"/>
            <w:noWrap w:val="0"/>
            <w:vAlign w:val="center"/>
          </w:tcPr>
          <w:p w14:paraId="091BF3F1">
            <w:pPr>
              <w:adjustRightInd w:val="0"/>
              <w:snapToGrid w:val="0"/>
              <w:spacing w:line="480" w:lineRule="exact"/>
              <w:jc w:val="center"/>
              <w:rPr>
                <w:rFonts w:ascii="宋体" w:cs="宋体"/>
                <w:color w:val="auto"/>
              </w:rPr>
            </w:pPr>
          </w:p>
        </w:tc>
        <w:tc>
          <w:tcPr>
            <w:tcW w:w="3516" w:type="dxa"/>
            <w:gridSpan w:val="2"/>
            <w:noWrap w:val="0"/>
            <w:vAlign w:val="center"/>
          </w:tcPr>
          <w:p w14:paraId="32085804">
            <w:pPr>
              <w:adjustRightInd w:val="0"/>
              <w:snapToGrid w:val="0"/>
              <w:spacing w:line="480" w:lineRule="exact"/>
              <w:jc w:val="center"/>
              <w:rPr>
                <w:rFonts w:ascii="宋体" w:cs="宋体"/>
                <w:color w:val="auto"/>
              </w:rPr>
            </w:pPr>
          </w:p>
        </w:tc>
      </w:tr>
    </w:tbl>
    <w:p w14:paraId="03D268C5">
      <w:pPr>
        <w:adjustRightInd w:val="0"/>
        <w:snapToGrid w:val="0"/>
        <w:spacing w:line="480" w:lineRule="exact"/>
        <w:rPr>
          <w:rFonts w:ascii="宋体" w:cs="宋体"/>
          <w:b/>
          <w:color w:val="auto"/>
        </w:rPr>
      </w:pPr>
    </w:p>
    <w:p w14:paraId="15D5AEEC">
      <w:pPr>
        <w:adjustRightInd w:val="0"/>
        <w:snapToGrid w:val="0"/>
        <w:spacing w:line="480" w:lineRule="exact"/>
        <w:ind w:firstLine="420" w:firstLineChars="200"/>
        <w:rPr>
          <w:rFonts w:ascii="宋体" w:cs="宋体"/>
          <w:color w:val="auto"/>
        </w:rPr>
      </w:pPr>
    </w:p>
    <w:p w14:paraId="24676367">
      <w:pPr>
        <w:adjustRightInd w:val="0"/>
        <w:snapToGrid w:val="0"/>
        <w:spacing w:line="480" w:lineRule="exact"/>
        <w:ind w:firstLine="420" w:firstLineChars="200"/>
        <w:rPr>
          <w:rFonts w:ascii="宋体" w:cs="宋体"/>
          <w:color w:val="auto"/>
        </w:rPr>
      </w:pPr>
    </w:p>
    <w:p w14:paraId="62A4604F">
      <w:pPr>
        <w:spacing w:line="500" w:lineRule="exact"/>
        <w:jc w:val="center"/>
        <w:rPr>
          <w:bCs/>
          <w:color w:val="auto"/>
          <w:sz w:val="24"/>
        </w:rPr>
      </w:pPr>
      <w:r>
        <w:rPr>
          <w:rFonts w:hint="eastAsia"/>
          <w:bCs/>
          <w:color w:val="auto"/>
          <w:sz w:val="24"/>
        </w:rPr>
        <w:t>供应商：（公章签章）</w:t>
      </w:r>
    </w:p>
    <w:p w14:paraId="3548362B">
      <w:pPr>
        <w:spacing w:line="500" w:lineRule="exact"/>
        <w:jc w:val="center"/>
        <w:rPr>
          <w:bCs/>
          <w:color w:val="auto"/>
          <w:sz w:val="24"/>
        </w:rPr>
      </w:pPr>
      <w:r>
        <w:rPr>
          <w:rFonts w:hint="eastAsia"/>
          <w:bCs/>
          <w:color w:val="auto"/>
          <w:sz w:val="24"/>
        </w:rPr>
        <w:t>法定代表人：（签章）</w:t>
      </w:r>
    </w:p>
    <w:p w14:paraId="4B175820">
      <w:pPr>
        <w:spacing w:line="500" w:lineRule="exact"/>
        <w:jc w:val="center"/>
        <w:rPr>
          <w:bCs/>
          <w:color w:val="auto"/>
          <w:sz w:val="24"/>
        </w:rPr>
      </w:pPr>
      <w:r>
        <w:rPr>
          <w:rFonts w:hint="eastAsia"/>
          <w:bCs/>
          <w:color w:val="auto"/>
          <w:sz w:val="24"/>
        </w:rPr>
        <w:t>日期：</w:t>
      </w:r>
    </w:p>
    <w:p w14:paraId="2B6053B2">
      <w:pPr>
        <w:widowControl/>
        <w:spacing w:line="700" w:lineRule="exact"/>
        <w:jc w:val="center"/>
        <w:rPr>
          <w:rFonts w:ascii="宋体" w:hAnsi="宋体" w:cs="宋体"/>
          <w:color w:val="auto"/>
          <w:kern w:val="0"/>
          <w:sz w:val="24"/>
        </w:rPr>
      </w:pPr>
    </w:p>
    <w:p w14:paraId="590C75F8">
      <w:pPr>
        <w:spacing w:line="360" w:lineRule="auto"/>
        <w:jc w:val="center"/>
        <w:rPr>
          <w:rFonts w:hint="eastAsia"/>
          <w:color w:val="auto"/>
          <w:sz w:val="28"/>
          <w:szCs w:val="20"/>
        </w:rPr>
      </w:pPr>
    </w:p>
    <w:p w14:paraId="52530C4D">
      <w:pPr>
        <w:spacing w:line="360" w:lineRule="auto"/>
        <w:jc w:val="center"/>
        <w:rPr>
          <w:rFonts w:hint="eastAsia"/>
          <w:color w:val="auto"/>
          <w:sz w:val="28"/>
          <w:szCs w:val="20"/>
        </w:rPr>
      </w:pPr>
    </w:p>
    <w:p w14:paraId="2B47A47D">
      <w:pPr>
        <w:spacing w:line="360" w:lineRule="auto"/>
        <w:jc w:val="center"/>
        <w:rPr>
          <w:rFonts w:hint="eastAsia"/>
          <w:color w:val="auto"/>
          <w:sz w:val="28"/>
          <w:szCs w:val="20"/>
        </w:rPr>
      </w:pPr>
    </w:p>
    <w:p w14:paraId="02808C17">
      <w:pPr>
        <w:spacing w:line="360" w:lineRule="auto"/>
        <w:jc w:val="center"/>
        <w:rPr>
          <w:rFonts w:hint="eastAsia"/>
          <w:color w:val="auto"/>
          <w:sz w:val="28"/>
          <w:szCs w:val="20"/>
        </w:rPr>
      </w:pPr>
    </w:p>
    <w:p w14:paraId="4FBA4519">
      <w:pPr>
        <w:pStyle w:val="2"/>
        <w:rPr>
          <w:rFonts w:hint="eastAsia"/>
        </w:rPr>
      </w:pPr>
    </w:p>
    <w:p w14:paraId="22E184C6">
      <w:pPr>
        <w:spacing w:line="360" w:lineRule="auto"/>
        <w:jc w:val="center"/>
        <w:rPr>
          <w:rFonts w:hint="eastAsia"/>
          <w:color w:val="auto"/>
          <w:sz w:val="28"/>
          <w:szCs w:val="20"/>
        </w:rPr>
      </w:pPr>
    </w:p>
    <w:bookmarkEnd w:id="354"/>
    <w:p w14:paraId="1236DE75">
      <w:pPr>
        <w:spacing w:line="360" w:lineRule="auto"/>
        <w:rPr>
          <w:color w:val="auto"/>
          <w:sz w:val="24"/>
        </w:rPr>
      </w:pPr>
    </w:p>
    <w:p w14:paraId="491E1EA1">
      <w:pPr>
        <w:pStyle w:val="7"/>
        <w:rPr>
          <w:color w:val="auto"/>
        </w:rPr>
      </w:pPr>
    </w:p>
    <w:p w14:paraId="50F927AD">
      <w:pPr>
        <w:pStyle w:val="30"/>
        <w:numPr>
          <w:ilvl w:val="0"/>
          <w:numId w:val="21"/>
        </w:numPr>
        <w:ind w:left="0" w:leftChars="0" w:firstLine="0" w:firstLineChars="0"/>
        <w:jc w:val="center"/>
        <w:outlineLvl w:val="0"/>
        <w:rPr>
          <w:rFonts w:hint="eastAsia" w:ascii="宋体" w:hAnsi="宋体"/>
          <w:color w:val="auto"/>
        </w:rPr>
      </w:pPr>
      <w:bookmarkStart w:id="367" w:name="_Toc13086"/>
      <w:bookmarkStart w:id="368" w:name="_Toc5151"/>
      <w:r>
        <w:rPr>
          <w:rFonts w:hint="eastAsia" w:ascii="宋体" w:hAnsi="宋体"/>
          <w:color w:val="auto"/>
        </w:rPr>
        <w:t>资格审查资料</w:t>
      </w:r>
      <w:bookmarkEnd w:id="367"/>
      <w:bookmarkEnd w:id="368"/>
      <w:bookmarkStart w:id="369" w:name="5、资格审查资料"/>
      <w:bookmarkEnd w:id="369"/>
    </w:p>
    <w:p w14:paraId="23BB763C">
      <w:pPr>
        <w:pStyle w:val="30"/>
        <w:widowControl w:val="0"/>
        <w:numPr>
          <w:ilvl w:val="0"/>
          <w:numId w:val="0"/>
        </w:numPr>
        <w:spacing w:before="100" w:line="400" w:lineRule="exact"/>
        <w:jc w:val="center"/>
        <w:outlineLvl w:val="0"/>
        <w:rPr>
          <w:rFonts w:hint="default" w:ascii="宋体" w:hAnsi="宋体"/>
          <w:color w:val="auto"/>
          <w:lang w:val="en-US" w:eastAsia="zh-CN"/>
        </w:rPr>
      </w:pPr>
    </w:p>
    <w:p w14:paraId="618BFF6C">
      <w:pPr>
        <w:pStyle w:val="30"/>
        <w:widowControl w:val="0"/>
        <w:numPr>
          <w:ilvl w:val="0"/>
          <w:numId w:val="0"/>
        </w:numPr>
        <w:spacing w:before="100" w:line="400" w:lineRule="exact"/>
        <w:jc w:val="center"/>
        <w:outlineLvl w:val="0"/>
        <w:rPr>
          <w:rFonts w:hint="default" w:ascii="宋体" w:hAnsi="宋体"/>
          <w:color w:val="auto"/>
          <w:lang w:val="en-US" w:eastAsia="zh-CN"/>
        </w:rPr>
      </w:pPr>
    </w:p>
    <w:p w14:paraId="1F0565EF">
      <w:pPr>
        <w:pStyle w:val="30"/>
        <w:widowControl w:val="0"/>
        <w:numPr>
          <w:ilvl w:val="0"/>
          <w:numId w:val="0"/>
        </w:numPr>
        <w:spacing w:before="100" w:line="400" w:lineRule="exact"/>
        <w:jc w:val="center"/>
        <w:outlineLvl w:val="0"/>
        <w:rPr>
          <w:rFonts w:hint="default" w:ascii="宋体" w:hAnsi="宋体"/>
          <w:color w:val="auto"/>
          <w:lang w:val="en-US" w:eastAsia="zh-CN"/>
        </w:rPr>
      </w:pPr>
    </w:p>
    <w:p w14:paraId="14C070FF">
      <w:pPr>
        <w:pStyle w:val="30"/>
        <w:widowControl w:val="0"/>
        <w:numPr>
          <w:ilvl w:val="0"/>
          <w:numId w:val="0"/>
        </w:numPr>
        <w:spacing w:before="100" w:line="400" w:lineRule="exact"/>
        <w:jc w:val="center"/>
        <w:outlineLvl w:val="0"/>
        <w:rPr>
          <w:rFonts w:hint="default" w:ascii="宋体" w:hAnsi="宋体"/>
          <w:color w:val="auto"/>
          <w:lang w:val="en-US" w:eastAsia="zh-CN"/>
        </w:rPr>
      </w:pPr>
    </w:p>
    <w:p w14:paraId="6435CDBD">
      <w:pPr>
        <w:pStyle w:val="30"/>
        <w:widowControl w:val="0"/>
        <w:numPr>
          <w:ilvl w:val="0"/>
          <w:numId w:val="0"/>
        </w:numPr>
        <w:spacing w:before="100" w:line="400" w:lineRule="exact"/>
        <w:jc w:val="center"/>
        <w:outlineLvl w:val="0"/>
        <w:rPr>
          <w:rFonts w:hint="default" w:ascii="宋体" w:hAnsi="宋体"/>
          <w:color w:val="auto"/>
          <w:lang w:val="en-US" w:eastAsia="zh-CN"/>
        </w:rPr>
      </w:pPr>
    </w:p>
    <w:p w14:paraId="7213894F">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A8C89A9">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5650EA7">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8C434C0">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929D543">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189E50A">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4F447B3">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35B2B62">
      <w:pPr>
        <w:pStyle w:val="30"/>
        <w:widowControl w:val="0"/>
        <w:numPr>
          <w:ilvl w:val="0"/>
          <w:numId w:val="0"/>
        </w:numPr>
        <w:spacing w:before="100" w:line="400" w:lineRule="exact"/>
        <w:jc w:val="center"/>
        <w:outlineLvl w:val="0"/>
        <w:rPr>
          <w:rFonts w:hint="default" w:ascii="宋体" w:hAnsi="宋体"/>
          <w:color w:val="auto"/>
          <w:lang w:val="en-US" w:eastAsia="zh-CN"/>
        </w:rPr>
      </w:pPr>
    </w:p>
    <w:p w14:paraId="1D05C250">
      <w:pPr>
        <w:pStyle w:val="30"/>
        <w:widowControl w:val="0"/>
        <w:numPr>
          <w:ilvl w:val="0"/>
          <w:numId w:val="0"/>
        </w:numPr>
        <w:spacing w:before="100" w:line="400" w:lineRule="exact"/>
        <w:jc w:val="center"/>
        <w:outlineLvl w:val="0"/>
        <w:rPr>
          <w:rFonts w:hint="default" w:ascii="宋体" w:hAnsi="宋体"/>
          <w:color w:val="auto"/>
          <w:lang w:val="en-US" w:eastAsia="zh-CN"/>
        </w:rPr>
      </w:pPr>
    </w:p>
    <w:p w14:paraId="60B17939">
      <w:pPr>
        <w:pStyle w:val="30"/>
        <w:widowControl w:val="0"/>
        <w:numPr>
          <w:ilvl w:val="0"/>
          <w:numId w:val="0"/>
        </w:numPr>
        <w:spacing w:before="100" w:line="400" w:lineRule="exact"/>
        <w:jc w:val="center"/>
        <w:outlineLvl w:val="0"/>
        <w:rPr>
          <w:rFonts w:hint="default" w:ascii="宋体" w:hAnsi="宋体"/>
          <w:color w:val="auto"/>
          <w:lang w:val="en-US" w:eastAsia="zh-CN"/>
        </w:rPr>
      </w:pPr>
    </w:p>
    <w:p w14:paraId="69626529">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D2B5363">
      <w:pPr>
        <w:pStyle w:val="30"/>
        <w:widowControl w:val="0"/>
        <w:numPr>
          <w:ilvl w:val="0"/>
          <w:numId w:val="0"/>
        </w:numPr>
        <w:spacing w:before="100" w:line="400" w:lineRule="exact"/>
        <w:jc w:val="center"/>
        <w:outlineLvl w:val="0"/>
        <w:rPr>
          <w:rFonts w:hint="default" w:ascii="宋体" w:hAnsi="宋体"/>
          <w:color w:val="auto"/>
          <w:lang w:val="en-US" w:eastAsia="zh-CN"/>
        </w:rPr>
      </w:pPr>
    </w:p>
    <w:p w14:paraId="1B1D6F82">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273A2B2">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B973FF4">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68FEB58">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D08A35B">
      <w:pPr>
        <w:pStyle w:val="30"/>
        <w:widowControl w:val="0"/>
        <w:numPr>
          <w:ilvl w:val="0"/>
          <w:numId w:val="0"/>
        </w:numPr>
        <w:spacing w:before="100" w:line="400" w:lineRule="exact"/>
        <w:jc w:val="center"/>
        <w:outlineLvl w:val="0"/>
        <w:rPr>
          <w:rFonts w:hint="default" w:ascii="宋体" w:hAnsi="宋体"/>
          <w:color w:val="auto"/>
          <w:lang w:val="en-US" w:eastAsia="zh-CN"/>
        </w:rPr>
      </w:pPr>
    </w:p>
    <w:p w14:paraId="15E68A61">
      <w:pPr>
        <w:pStyle w:val="30"/>
        <w:widowControl w:val="0"/>
        <w:numPr>
          <w:ilvl w:val="0"/>
          <w:numId w:val="0"/>
        </w:numPr>
        <w:spacing w:before="100" w:line="400" w:lineRule="exact"/>
        <w:jc w:val="center"/>
        <w:outlineLvl w:val="0"/>
        <w:rPr>
          <w:rFonts w:hint="default" w:ascii="宋体" w:hAnsi="宋体"/>
          <w:color w:val="auto"/>
          <w:lang w:val="en-US" w:eastAsia="zh-CN"/>
        </w:rPr>
      </w:pPr>
    </w:p>
    <w:p w14:paraId="176D7E4D">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016304E">
      <w:pPr>
        <w:pStyle w:val="30"/>
        <w:widowControl w:val="0"/>
        <w:numPr>
          <w:ilvl w:val="0"/>
          <w:numId w:val="0"/>
        </w:numPr>
        <w:spacing w:before="100" w:line="400" w:lineRule="exact"/>
        <w:jc w:val="center"/>
        <w:outlineLvl w:val="0"/>
        <w:rPr>
          <w:rFonts w:hint="default" w:ascii="宋体" w:hAnsi="宋体"/>
          <w:color w:val="auto"/>
          <w:lang w:val="en-US" w:eastAsia="zh-CN"/>
        </w:rPr>
      </w:pPr>
      <w:r>
        <w:rPr>
          <w:rFonts w:hint="default" w:ascii="宋体" w:hAnsi="宋体"/>
          <w:color w:val="auto"/>
          <w:lang w:val="en-US" w:eastAsia="zh-CN"/>
        </w:rPr>
        <w:t>七、技术标</w:t>
      </w:r>
    </w:p>
    <w:p w14:paraId="069E0902">
      <w:pPr>
        <w:pStyle w:val="30"/>
        <w:widowControl w:val="0"/>
        <w:numPr>
          <w:ilvl w:val="0"/>
          <w:numId w:val="0"/>
        </w:numPr>
        <w:spacing w:before="100" w:line="400" w:lineRule="exact"/>
        <w:jc w:val="center"/>
        <w:outlineLvl w:val="0"/>
        <w:rPr>
          <w:rFonts w:hint="default" w:ascii="宋体" w:hAnsi="宋体"/>
          <w:b w:val="0"/>
          <w:bCs w:val="0"/>
          <w:color w:val="auto"/>
          <w:lang w:val="en-US" w:eastAsia="zh-CN"/>
        </w:rPr>
      </w:pPr>
      <w:r>
        <w:rPr>
          <w:rFonts w:hint="default" w:ascii="宋体" w:hAnsi="宋体"/>
          <w:b w:val="0"/>
          <w:bCs w:val="0"/>
          <w:color w:val="auto"/>
          <w:lang w:val="en-US" w:eastAsia="zh-CN"/>
        </w:rPr>
        <w:t>（格式自拟）</w:t>
      </w:r>
    </w:p>
    <w:p w14:paraId="63F54ED8">
      <w:pPr>
        <w:pStyle w:val="30"/>
        <w:keepNext w:val="0"/>
        <w:keepLines w:val="0"/>
        <w:pageBreakBefore w:val="0"/>
        <w:widowControl w:val="0"/>
        <w:numPr>
          <w:ilvl w:val="0"/>
          <w:numId w:val="0"/>
        </w:numPr>
        <w:kinsoku/>
        <w:wordWrap/>
        <w:overflowPunct/>
        <w:topLinePunct w:val="0"/>
        <w:autoSpaceDE/>
        <w:autoSpaceDN/>
        <w:bidi w:val="0"/>
        <w:adjustRightInd/>
        <w:snapToGrid/>
        <w:spacing w:before="100" w:line="400" w:lineRule="exact"/>
        <w:ind w:firstLine="560" w:firstLineChars="200"/>
        <w:jc w:val="left"/>
        <w:textAlignment w:val="auto"/>
        <w:outlineLvl w:val="0"/>
        <w:rPr>
          <w:rFonts w:hint="default" w:ascii="宋体" w:hAnsi="宋体"/>
          <w:b w:val="0"/>
          <w:bCs w:val="0"/>
          <w:color w:val="auto"/>
          <w:lang w:val="en-US" w:eastAsia="zh-CN"/>
        </w:rPr>
      </w:pPr>
      <w:r>
        <w:rPr>
          <w:rFonts w:hint="default" w:ascii="宋体" w:hAnsi="宋体"/>
          <w:b w:val="0"/>
          <w:bCs w:val="0"/>
          <w:color w:val="auto"/>
          <w:lang w:val="en-US" w:eastAsia="zh-CN"/>
        </w:rPr>
        <w:t>供应商应在充分理解竞争性磋商文件第三章《服务需求》的基础上，编制本项目技术服务方案</w:t>
      </w:r>
    </w:p>
    <w:p w14:paraId="7EE8C2EE">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0B8FD1F">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BDB1167">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4F45A9D">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85AC2DB">
      <w:pPr>
        <w:pStyle w:val="30"/>
        <w:widowControl w:val="0"/>
        <w:numPr>
          <w:ilvl w:val="0"/>
          <w:numId w:val="0"/>
        </w:numPr>
        <w:spacing w:before="100" w:line="400" w:lineRule="exact"/>
        <w:jc w:val="center"/>
        <w:outlineLvl w:val="0"/>
        <w:rPr>
          <w:rFonts w:hint="default" w:ascii="宋体" w:hAnsi="宋体"/>
          <w:color w:val="auto"/>
          <w:lang w:val="en-US" w:eastAsia="zh-CN"/>
        </w:rPr>
      </w:pPr>
    </w:p>
    <w:p w14:paraId="77A90F65">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3BE728B">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CDE9490">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FB1AAD6">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4E0F1A7">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9EF1149">
      <w:pPr>
        <w:pStyle w:val="30"/>
        <w:widowControl w:val="0"/>
        <w:numPr>
          <w:ilvl w:val="0"/>
          <w:numId w:val="0"/>
        </w:numPr>
        <w:spacing w:before="100" w:line="400" w:lineRule="exact"/>
        <w:jc w:val="center"/>
        <w:outlineLvl w:val="0"/>
        <w:rPr>
          <w:rFonts w:hint="default" w:ascii="宋体" w:hAnsi="宋体"/>
          <w:color w:val="auto"/>
          <w:lang w:val="en-US" w:eastAsia="zh-CN"/>
        </w:rPr>
      </w:pPr>
    </w:p>
    <w:p w14:paraId="649109AE">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9B122A1">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2EEAF16">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3EECBBC">
      <w:pPr>
        <w:pStyle w:val="30"/>
        <w:widowControl w:val="0"/>
        <w:numPr>
          <w:ilvl w:val="0"/>
          <w:numId w:val="0"/>
        </w:numPr>
        <w:spacing w:before="100" w:line="400" w:lineRule="exact"/>
        <w:jc w:val="center"/>
        <w:outlineLvl w:val="0"/>
        <w:rPr>
          <w:rFonts w:hint="default" w:ascii="宋体" w:hAnsi="宋体"/>
          <w:color w:val="auto"/>
          <w:lang w:val="en-US" w:eastAsia="zh-CN"/>
        </w:rPr>
      </w:pPr>
    </w:p>
    <w:p w14:paraId="14866F8E">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BF46039">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F8EB38C">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BD6AB9F">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214BF84">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5FAF89C">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F711464">
      <w:pPr>
        <w:pStyle w:val="30"/>
        <w:widowControl w:val="0"/>
        <w:numPr>
          <w:ilvl w:val="0"/>
          <w:numId w:val="0"/>
        </w:numPr>
        <w:spacing w:before="100" w:line="400" w:lineRule="exact"/>
        <w:jc w:val="center"/>
        <w:outlineLvl w:val="0"/>
        <w:rPr>
          <w:rFonts w:hint="default" w:ascii="宋体" w:hAnsi="宋体"/>
          <w:color w:val="auto"/>
          <w:lang w:val="en-US" w:eastAsia="zh-CN"/>
        </w:rPr>
      </w:pPr>
    </w:p>
    <w:p w14:paraId="1A8801A9">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BB71CE4">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25E449E">
      <w:pPr>
        <w:pStyle w:val="30"/>
        <w:widowControl w:val="0"/>
        <w:numPr>
          <w:ilvl w:val="0"/>
          <w:numId w:val="0"/>
        </w:numPr>
        <w:spacing w:before="100" w:line="400" w:lineRule="exact"/>
        <w:jc w:val="center"/>
        <w:outlineLvl w:val="0"/>
        <w:rPr>
          <w:rFonts w:hint="default" w:ascii="宋体" w:hAnsi="宋体"/>
          <w:color w:val="auto"/>
          <w:lang w:val="en-US" w:eastAsia="zh-CN"/>
        </w:rPr>
      </w:pPr>
      <w:r>
        <w:rPr>
          <w:rFonts w:hint="default" w:ascii="宋体" w:hAnsi="宋体"/>
          <w:color w:val="auto"/>
          <w:lang w:val="en-US" w:eastAsia="zh-CN"/>
        </w:rPr>
        <w:t>八、商务标</w:t>
      </w:r>
    </w:p>
    <w:p w14:paraId="7F2785B7">
      <w:pPr>
        <w:pStyle w:val="30"/>
        <w:widowControl w:val="0"/>
        <w:numPr>
          <w:ilvl w:val="0"/>
          <w:numId w:val="0"/>
        </w:numPr>
        <w:spacing w:before="100" w:line="400" w:lineRule="exact"/>
        <w:jc w:val="center"/>
        <w:outlineLvl w:val="0"/>
        <w:rPr>
          <w:rFonts w:hint="default" w:ascii="宋体" w:hAnsi="宋体"/>
          <w:color w:val="auto"/>
          <w:lang w:val="en-US" w:eastAsia="zh-CN"/>
        </w:rPr>
      </w:pPr>
      <w:r>
        <w:rPr>
          <w:rFonts w:hint="default" w:ascii="宋体" w:hAnsi="宋体"/>
          <w:color w:val="auto"/>
          <w:lang w:val="en-US" w:eastAsia="zh-CN"/>
        </w:rPr>
        <w:t>（格式自拟）</w:t>
      </w:r>
    </w:p>
    <w:p w14:paraId="26E65434">
      <w:pPr>
        <w:pStyle w:val="30"/>
        <w:widowControl w:val="0"/>
        <w:numPr>
          <w:ilvl w:val="0"/>
          <w:numId w:val="0"/>
        </w:numPr>
        <w:spacing w:before="100" w:line="400" w:lineRule="exact"/>
        <w:jc w:val="center"/>
        <w:outlineLvl w:val="0"/>
        <w:rPr>
          <w:rFonts w:hint="default" w:ascii="宋体" w:hAnsi="宋体"/>
          <w:color w:val="auto"/>
          <w:lang w:val="en-US" w:eastAsia="zh-CN"/>
        </w:rPr>
      </w:pPr>
    </w:p>
    <w:p w14:paraId="75B35EC3">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C3BB3F4">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587ECCC">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617C6D1">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4E3EC2F">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0FFE227">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F251736">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BA204FF">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BF87658">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2EB8775">
      <w:pPr>
        <w:pStyle w:val="30"/>
        <w:widowControl w:val="0"/>
        <w:numPr>
          <w:ilvl w:val="0"/>
          <w:numId w:val="0"/>
        </w:numPr>
        <w:spacing w:before="100" w:line="400" w:lineRule="exact"/>
        <w:jc w:val="center"/>
        <w:outlineLvl w:val="0"/>
        <w:rPr>
          <w:rFonts w:hint="default" w:ascii="宋体" w:hAnsi="宋体"/>
          <w:color w:val="auto"/>
          <w:lang w:val="en-US" w:eastAsia="zh-CN"/>
        </w:rPr>
      </w:pPr>
    </w:p>
    <w:p w14:paraId="7F60E142">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4BE1B7B">
      <w:pPr>
        <w:pStyle w:val="30"/>
        <w:widowControl w:val="0"/>
        <w:numPr>
          <w:ilvl w:val="0"/>
          <w:numId w:val="0"/>
        </w:numPr>
        <w:spacing w:before="100" w:line="400" w:lineRule="exact"/>
        <w:jc w:val="center"/>
        <w:outlineLvl w:val="0"/>
        <w:rPr>
          <w:rFonts w:hint="default" w:ascii="宋体" w:hAnsi="宋体"/>
          <w:color w:val="auto"/>
          <w:lang w:val="en-US" w:eastAsia="zh-CN"/>
        </w:rPr>
      </w:pPr>
    </w:p>
    <w:p w14:paraId="7B7A0194">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AE56078">
      <w:pPr>
        <w:pStyle w:val="30"/>
        <w:widowControl w:val="0"/>
        <w:numPr>
          <w:ilvl w:val="0"/>
          <w:numId w:val="0"/>
        </w:numPr>
        <w:spacing w:before="100" w:line="400" w:lineRule="exact"/>
        <w:jc w:val="center"/>
        <w:outlineLvl w:val="0"/>
        <w:rPr>
          <w:rFonts w:hint="default" w:ascii="宋体" w:hAnsi="宋体"/>
          <w:color w:val="auto"/>
          <w:lang w:val="en-US" w:eastAsia="zh-CN"/>
        </w:rPr>
      </w:pPr>
    </w:p>
    <w:p w14:paraId="1033C395">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12B5156">
      <w:pPr>
        <w:pStyle w:val="30"/>
        <w:widowControl w:val="0"/>
        <w:numPr>
          <w:ilvl w:val="0"/>
          <w:numId w:val="0"/>
        </w:numPr>
        <w:spacing w:before="100" w:line="400" w:lineRule="exact"/>
        <w:jc w:val="center"/>
        <w:outlineLvl w:val="0"/>
        <w:rPr>
          <w:rFonts w:hint="default" w:ascii="宋体" w:hAnsi="宋体"/>
          <w:color w:val="auto"/>
          <w:lang w:val="en-US" w:eastAsia="zh-CN"/>
        </w:rPr>
      </w:pPr>
    </w:p>
    <w:p w14:paraId="7BC5B6EB">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1673CFA">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FBD107F">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A51FA14">
      <w:pPr>
        <w:pStyle w:val="30"/>
        <w:widowControl w:val="0"/>
        <w:numPr>
          <w:ilvl w:val="0"/>
          <w:numId w:val="0"/>
        </w:numPr>
        <w:spacing w:before="100" w:line="400" w:lineRule="exact"/>
        <w:jc w:val="center"/>
        <w:outlineLvl w:val="0"/>
        <w:rPr>
          <w:rFonts w:hint="default" w:ascii="宋体" w:hAnsi="宋体"/>
          <w:color w:val="auto"/>
          <w:lang w:val="en-US" w:eastAsia="zh-CN"/>
        </w:rPr>
      </w:pPr>
    </w:p>
    <w:p w14:paraId="66144528">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9D1C67D">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8FAC340">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B132A2D">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90CCE85">
      <w:pPr>
        <w:pStyle w:val="30"/>
        <w:widowControl w:val="0"/>
        <w:numPr>
          <w:ilvl w:val="0"/>
          <w:numId w:val="0"/>
        </w:numPr>
        <w:spacing w:before="100" w:line="400" w:lineRule="exact"/>
        <w:jc w:val="center"/>
        <w:outlineLvl w:val="0"/>
        <w:rPr>
          <w:rFonts w:hint="default" w:ascii="宋体" w:hAnsi="宋体"/>
          <w:color w:val="auto"/>
          <w:lang w:val="en-US" w:eastAsia="zh-CN"/>
        </w:rPr>
      </w:pPr>
      <w:r>
        <w:rPr>
          <w:rFonts w:hint="default" w:ascii="宋体" w:hAnsi="宋体"/>
          <w:color w:val="auto"/>
          <w:lang w:val="en-US" w:eastAsia="zh-CN"/>
        </w:rPr>
        <w:t>九、其他材料</w:t>
      </w:r>
    </w:p>
    <w:p w14:paraId="7A55138A">
      <w:pPr>
        <w:pStyle w:val="30"/>
        <w:widowControl w:val="0"/>
        <w:numPr>
          <w:ilvl w:val="0"/>
          <w:numId w:val="0"/>
        </w:numPr>
        <w:spacing w:before="100" w:line="400" w:lineRule="exact"/>
        <w:jc w:val="center"/>
        <w:outlineLvl w:val="0"/>
        <w:rPr>
          <w:rFonts w:hint="default" w:ascii="宋体" w:hAnsi="宋体"/>
          <w:b w:val="0"/>
          <w:bCs w:val="0"/>
          <w:color w:val="auto"/>
          <w:lang w:val="en-US" w:eastAsia="zh-CN"/>
        </w:rPr>
      </w:pPr>
    </w:p>
    <w:p w14:paraId="0D54F190">
      <w:pPr>
        <w:pStyle w:val="30"/>
        <w:widowControl w:val="0"/>
        <w:numPr>
          <w:ilvl w:val="0"/>
          <w:numId w:val="0"/>
        </w:numPr>
        <w:spacing w:before="100" w:line="400" w:lineRule="exact"/>
        <w:jc w:val="both"/>
        <w:outlineLvl w:val="0"/>
        <w:rPr>
          <w:rFonts w:hint="default" w:ascii="宋体" w:hAnsi="宋体"/>
          <w:b w:val="0"/>
          <w:bCs w:val="0"/>
          <w:color w:val="auto"/>
          <w:lang w:val="en-US" w:eastAsia="zh-CN"/>
        </w:rPr>
      </w:pPr>
      <w:r>
        <w:rPr>
          <w:rFonts w:hint="default" w:ascii="宋体" w:hAnsi="宋体"/>
          <w:b w:val="0"/>
          <w:bCs w:val="0"/>
          <w:color w:val="auto"/>
          <w:lang w:val="en-US" w:eastAsia="zh-CN"/>
        </w:rPr>
        <w:t>一、响应文件的组成中要求的其他内容；</w:t>
      </w:r>
    </w:p>
    <w:p w14:paraId="6E1739AD">
      <w:pPr>
        <w:pStyle w:val="30"/>
        <w:widowControl w:val="0"/>
        <w:numPr>
          <w:ilvl w:val="0"/>
          <w:numId w:val="0"/>
        </w:numPr>
        <w:spacing w:before="100" w:line="400" w:lineRule="exact"/>
        <w:jc w:val="both"/>
        <w:outlineLvl w:val="0"/>
        <w:rPr>
          <w:rFonts w:hint="default" w:ascii="宋体" w:hAnsi="宋体"/>
          <w:b w:val="0"/>
          <w:bCs w:val="0"/>
          <w:color w:val="auto"/>
          <w:lang w:val="en-US" w:eastAsia="zh-CN"/>
        </w:rPr>
      </w:pPr>
      <w:r>
        <w:rPr>
          <w:rFonts w:hint="default" w:ascii="宋体" w:hAnsi="宋体"/>
          <w:b w:val="0"/>
          <w:bCs w:val="0"/>
          <w:color w:val="auto"/>
          <w:lang w:val="en-US" w:eastAsia="zh-CN"/>
        </w:rPr>
        <w:t>二、供应商认为有必要提供的、有利于其成交的其他文件材料。</w:t>
      </w:r>
    </w:p>
    <w:p w14:paraId="73BDE28D">
      <w:pPr>
        <w:pStyle w:val="30"/>
        <w:widowControl w:val="0"/>
        <w:numPr>
          <w:ilvl w:val="0"/>
          <w:numId w:val="0"/>
        </w:numPr>
        <w:spacing w:before="100" w:line="400" w:lineRule="exact"/>
        <w:jc w:val="center"/>
        <w:outlineLvl w:val="0"/>
        <w:rPr>
          <w:rFonts w:hint="default" w:ascii="宋体" w:hAnsi="宋体"/>
          <w:color w:val="auto"/>
          <w:lang w:val="en-US" w:eastAsia="zh-CN"/>
        </w:rPr>
      </w:pPr>
    </w:p>
    <w:p w14:paraId="79662104">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C84794A">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74CD0C6">
      <w:pPr>
        <w:pStyle w:val="30"/>
        <w:widowControl w:val="0"/>
        <w:numPr>
          <w:ilvl w:val="0"/>
          <w:numId w:val="0"/>
        </w:numPr>
        <w:spacing w:before="100" w:line="400" w:lineRule="exact"/>
        <w:jc w:val="center"/>
        <w:outlineLvl w:val="0"/>
        <w:rPr>
          <w:rFonts w:hint="default" w:ascii="宋体" w:hAnsi="宋体"/>
          <w:color w:val="auto"/>
          <w:lang w:val="en-US" w:eastAsia="zh-CN"/>
        </w:rPr>
      </w:pPr>
    </w:p>
    <w:p w14:paraId="73BF48A5">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5FE7696">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8918689">
      <w:pPr>
        <w:pStyle w:val="30"/>
        <w:widowControl w:val="0"/>
        <w:numPr>
          <w:ilvl w:val="0"/>
          <w:numId w:val="0"/>
        </w:numPr>
        <w:spacing w:before="100" w:line="400" w:lineRule="exact"/>
        <w:jc w:val="center"/>
        <w:outlineLvl w:val="0"/>
        <w:rPr>
          <w:rFonts w:hint="default" w:ascii="宋体" w:hAnsi="宋体"/>
          <w:color w:val="auto"/>
          <w:lang w:val="en-US" w:eastAsia="zh-CN"/>
        </w:rPr>
      </w:pPr>
    </w:p>
    <w:p w14:paraId="7B2499E5">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7635020">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5C4832D">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C045759">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9F730EC">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DF525DC">
      <w:pPr>
        <w:pStyle w:val="30"/>
        <w:widowControl w:val="0"/>
        <w:numPr>
          <w:ilvl w:val="0"/>
          <w:numId w:val="0"/>
        </w:numPr>
        <w:spacing w:before="100" w:line="400" w:lineRule="exact"/>
        <w:jc w:val="center"/>
        <w:outlineLvl w:val="0"/>
        <w:rPr>
          <w:rFonts w:hint="default" w:ascii="宋体" w:hAnsi="宋体"/>
          <w:color w:val="auto"/>
          <w:lang w:val="en-US" w:eastAsia="zh-CN"/>
        </w:rPr>
      </w:pPr>
    </w:p>
    <w:p w14:paraId="7FC46A39">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BF372B9">
      <w:pPr>
        <w:pStyle w:val="30"/>
        <w:widowControl w:val="0"/>
        <w:numPr>
          <w:ilvl w:val="0"/>
          <w:numId w:val="0"/>
        </w:numPr>
        <w:spacing w:before="100" w:line="400" w:lineRule="exact"/>
        <w:jc w:val="center"/>
        <w:outlineLvl w:val="0"/>
        <w:rPr>
          <w:rFonts w:hint="default" w:ascii="宋体" w:hAnsi="宋体"/>
          <w:color w:val="auto"/>
          <w:lang w:val="en-US" w:eastAsia="zh-CN"/>
        </w:rPr>
      </w:pPr>
    </w:p>
    <w:p w14:paraId="03D6DE8B">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4BA3F87">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2B8BAE4">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D007C6B">
      <w:pPr>
        <w:pStyle w:val="30"/>
        <w:widowControl w:val="0"/>
        <w:numPr>
          <w:ilvl w:val="0"/>
          <w:numId w:val="0"/>
        </w:numPr>
        <w:spacing w:before="100" w:line="400" w:lineRule="exact"/>
        <w:jc w:val="center"/>
        <w:outlineLvl w:val="0"/>
        <w:rPr>
          <w:rFonts w:hint="default" w:ascii="宋体" w:hAnsi="宋体"/>
          <w:color w:val="auto"/>
          <w:lang w:val="en-US" w:eastAsia="zh-CN"/>
        </w:rPr>
      </w:pPr>
    </w:p>
    <w:p w14:paraId="280E97EA">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22853B6">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0AC2243">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BF22A43">
      <w:pPr>
        <w:pStyle w:val="30"/>
        <w:widowControl w:val="0"/>
        <w:numPr>
          <w:ilvl w:val="0"/>
          <w:numId w:val="0"/>
        </w:numPr>
        <w:spacing w:before="100" w:line="400" w:lineRule="exact"/>
        <w:jc w:val="center"/>
        <w:outlineLvl w:val="0"/>
        <w:rPr>
          <w:rFonts w:hint="default" w:ascii="宋体" w:hAnsi="宋体"/>
          <w:color w:val="auto"/>
          <w:lang w:val="en-US" w:eastAsia="zh-CN"/>
        </w:rPr>
      </w:pPr>
    </w:p>
    <w:p w14:paraId="3B0B8BBB">
      <w:pPr>
        <w:pStyle w:val="30"/>
        <w:widowControl w:val="0"/>
        <w:numPr>
          <w:ilvl w:val="0"/>
          <w:numId w:val="0"/>
        </w:numPr>
        <w:spacing w:before="100" w:line="400" w:lineRule="exact"/>
        <w:jc w:val="left"/>
        <w:outlineLvl w:val="0"/>
        <w:rPr>
          <w:rFonts w:hint="default" w:ascii="宋体" w:hAnsi="宋体"/>
          <w:color w:val="auto"/>
          <w:lang w:val="en-US" w:eastAsia="zh-CN"/>
        </w:rPr>
      </w:pPr>
    </w:p>
    <w:p w14:paraId="548DF70D">
      <w:pPr>
        <w:pStyle w:val="30"/>
        <w:widowControl w:val="0"/>
        <w:numPr>
          <w:ilvl w:val="0"/>
          <w:numId w:val="0"/>
        </w:numPr>
        <w:spacing w:before="100" w:line="400" w:lineRule="exact"/>
        <w:jc w:val="left"/>
        <w:outlineLvl w:val="0"/>
        <w:rPr>
          <w:rFonts w:hint="default" w:ascii="宋体" w:hAnsi="宋体"/>
          <w:color w:val="auto"/>
          <w:lang w:val="en-US" w:eastAsia="zh-CN"/>
        </w:rPr>
      </w:pPr>
      <w:r>
        <w:rPr>
          <w:rFonts w:hint="default" w:ascii="宋体" w:hAnsi="宋体"/>
          <w:color w:val="auto"/>
          <w:lang w:val="en-US" w:eastAsia="zh-CN"/>
        </w:rPr>
        <w:t>附件：</w:t>
      </w:r>
    </w:p>
    <w:p w14:paraId="0DF7ABB4">
      <w:pPr>
        <w:pStyle w:val="30"/>
        <w:widowControl w:val="0"/>
        <w:numPr>
          <w:ilvl w:val="0"/>
          <w:numId w:val="0"/>
        </w:numPr>
        <w:spacing w:before="100" w:line="400" w:lineRule="exact"/>
        <w:jc w:val="center"/>
        <w:outlineLvl w:val="0"/>
        <w:rPr>
          <w:rFonts w:hint="default" w:ascii="宋体" w:hAnsi="宋体"/>
          <w:color w:val="auto"/>
          <w:lang w:val="en-US" w:eastAsia="zh-CN"/>
        </w:rPr>
      </w:pPr>
    </w:p>
    <w:p w14:paraId="4A99B120">
      <w:pPr>
        <w:pStyle w:val="30"/>
        <w:widowControl w:val="0"/>
        <w:numPr>
          <w:ilvl w:val="0"/>
          <w:numId w:val="0"/>
        </w:numPr>
        <w:spacing w:before="100" w:line="400" w:lineRule="exact"/>
        <w:jc w:val="center"/>
        <w:outlineLvl w:val="0"/>
        <w:rPr>
          <w:rFonts w:hint="default" w:ascii="宋体" w:hAnsi="宋体"/>
          <w:b w:val="0"/>
          <w:bCs w:val="0"/>
          <w:color w:val="auto"/>
          <w:lang w:val="en-US" w:eastAsia="zh-CN"/>
        </w:rPr>
      </w:pPr>
      <w:r>
        <w:rPr>
          <w:rFonts w:hint="default" w:ascii="宋体" w:hAnsi="宋体"/>
          <w:b w:val="0"/>
          <w:bCs w:val="0"/>
          <w:color w:val="auto"/>
          <w:lang w:val="en-US" w:eastAsia="zh-CN"/>
        </w:rPr>
        <w:t>中小企业声明函（服务）</w:t>
      </w:r>
    </w:p>
    <w:p w14:paraId="15E2B63F">
      <w:pPr>
        <w:autoSpaceDE w:val="0"/>
        <w:autoSpaceDN w:val="0"/>
        <w:adjustRightInd w:val="0"/>
        <w:spacing w:line="440" w:lineRule="exact"/>
        <w:ind w:firstLine="480" w:firstLineChars="200"/>
        <w:rPr>
          <w:rFonts w:ascii="宋体" w:hAnsi="宋体" w:cs="仿宋"/>
          <w:color w:val="auto"/>
          <w:sz w:val="24"/>
          <w:szCs w:val="24"/>
        </w:rPr>
      </w:pPr>
      <w:r>
        <w:rPr>
          <w:rFonts w:hint="eastAsia" w:ascii="宋体" w:hAnsi="宋体" w:cs="仿宋"/>
          <w:color w:val="auto"/>
          <w:sz w:val="24"/>
          <w:szCs w:val="24"/>
        </w:rPr>
        <w:t>本公司（联合体）郑重声明，根据《政府采购促进中小企业发展管理办法》（财库</w:t>
      </w:r>
      <w:r>
        <w:rPr>
          <w:rFonts w:hint="eastAsia" w:ascii="宋体" w:hAnsi="宋体" w:cs="宋体"/>
          <w:color w:val="auto"/>
          <w:sz w:val="24"/>
          <w:szCs w:val="24"/>
        </w:rPr>
        <w:t>﹝</w:t>
      </w:r>
      <w:r>
        <w:rPr>
          <w:rFonts w:ascii="宋体" w:hAnsi="宋体" w:cs="仿宋"/>
          <w:color w:val="auto"/>
          <w:sz w:val="24"/>
          <w:szCs w:val="24"/>
        </w:rPr>
        <w:t>2020</w:t>
      </w:r>
      <w:r>
        <w:rPr>
          <w:rFonts w:hint="eastAsia" w:ascii="宋体" w:hAnsi="宋体" w:cs="宋体"/>
          <w:color w:val="auto"/>
          <w:sz w:val="24"/>
          <w:szCs w:val="24"/>
        </w:rPr>
        <w:t>﹞</w:t>
      </w:r>
      <w:r>
        <w:rPr>
          <w:rFonts w:ascii="宋体" w:hAnsi="宋体" w:cs="仿宋"/>
          <w:color w:val="auto"/>
          <w:sz w:val="24"/>
          <w:szCs w:val="24"/>
        </w:rPr>
        <w:t xml:space="preserve">46 </w:t>
      </w:r>
      <w:r>
        <w:rPr>
          <w:rFonts w:hint="eastAsia" w:ascii="宋体" w:hAnsi="宋体" w:cs="仿宋"/>
          <w:color w:val="auto"/>
          <w:sz w:val="24"/>
          <w:szCs w:val="24"/>
        </w:rPr>
        <w:t>号）的规定，本公司（联合体）参加</w:t>
      </w:r>
      <w:r>
        <w:rPr>
          <w:rFonts w:hint="eastAsia" w:ascii="宋体" w:hAnsi="宋体" w:cs="仿宋"/>
          <w:color w:val="auto"/>
          <w:sz w:val="24"/>
          <w:szCs w:val="24"/>
          <w:u w:val="single"/>
        </w:rPr>
        <w:t>（单位名称）</w:t>
      </w:r>
      <w:r>
        <w:rPr>
          <w:rFonts w:hint="eastAsia" w:ascii="宋体" w:hAnsi="宋体" w:cs="仿宋"/>
          <w:color w:val="auto"/>
          <w:sz w:val="24"/>
          <w:szCs w:val="24"/>
        </w:rPr>
        <w:t>的</w:t>
      </w:r>
      <w:r>
        <w:rPr>
          <w:rFonts w:hint="eastAsia" w:ascii="宋体" w:hAnsi="宋体" w:cs="仿宋"/>
          <w:color w:val="auto"/>
          <w:sz w:val="24"/>
          <w:szCs w:val="24"/>
          <w:u w:val="single"/>
        </w:rPr>
        <w:t>（项目名称）</w:t>
      </w:r>
      <w:r>
        <w:rPr>
          <w:rFonts w:hint="eastAsia" w:ascii="宋体" w:hAnsi="宋体" w:cs="仿宋"/>
          <w:color w:val="auto"/>
          <w:sz w:val="24"/>
          <w:szCs w:val="24"/>
          <w:u w:val="single"/>
          <w:lang w:eastAsia="zh-CN"/>
        </w:rPr>
        <w:t>（标段）</w:t>
      </w:r>
      <w:r>
        <w:rPr>
          <w:rFonts w:hint="eastAsia" w:ascii="宋体" w:hAnsi="宋体" w:cs="仿宋"/>
          <w:color w:val="auto"/>
          <w:sz w:val="24"/>
          <w:szCs w:val="24"/>
        </w:rPr>
        <w:t>采购活动，工程的施工单位全部为符合政策要求的中小企业（或者：货物全部由符合政策要求的中小企业承接）。相关企业（含联合体中的中小企业、签订分包意向协议的中小企业）的具体情况如下：</w:t>
      </w:r>
    </w:p>
    <w:p w14:paraId="5F9ECDA9">
      <w:pPr>
        <w:autoSpaceDE w:val="0"/>
        <w:autoSpaceDN w:val="0"/>
        <w:adjustRightInd w:val="0"/>
        <w:spacing w:line="440" w:lineRule="exact"/>
        <w:ind w:firstLine="480" w:firstLineChars="200"/>
        <w:rPr>
          <w:rFonts w:ascii="宋体" w:hAnsi="宋体" w:cs="仿宋"/>
          <w:color w:val="auto"/>
          <w:sz w:val="24"/>
          <w:szCs w:val="24"/>
        </w:rPr>
      </w:pPr>
      <w:r>
        <w:rPr>
          <w:rFonts w:ascii="宋体" w:hAnsi="宋体" w:cs="仿宋"/>
          <w:color w:val="auto"/>
          <w:sz w:val="24"/>
          <w:szCs w:val="24"/>
        </w:rPr>
        <w:t xml:space="preserve">1. </w:t>
      </w:r>
      <w:r>
        <w:rPr>
          <w:rFonts w:hint="eastAsia" w:ascii="宋体" w:hAnsi="宋体" w:cs="仿宋"/>
          <w:color w:val="auto"/>
          <w:sz w:val="24"/>
          <w:szCs w:val="24"/>
          <w:u w:val="single"/>
        </w:rPr>
        <w:t>（标的名称）</w:t>
      </w:r>
      <w:r>
        <w:rPr>
          <w:rFonts w:ascii="宋体" w:hAnsi="宋体" w:cs="仿宋"/>
          <w:color w:val="auto"/>
          <w:sz w:val="24"/>
          <w:szCs w:val="24"/>
        </w:rPr>
        <w:t xml:space="preserve"> </w:t>
      </w:r>
      <w:r>
        <w:rPr>
          <w:rFonts w:hint="eastAsia" w:ascii="宋体" w:hAnsi="宋体" w:cs="仿宋"/>
          <w:color w:val="auto"/>
          <w:sz w:val="24"/>
          <w:szCs w:val="24"/>
        </w:rPr>
        <w:t>，属于</w:t>
      </w:r>
      <w:r>
        <w:rPr>
          <w:rFonts w:hint="eastAsia" w:ascii="宋体" w:hAnsi="宋体" w:cs="仿宋"/>
          <w:color w:val="auto"/>
          <w:sz w:val="24"/>
          <w:szCs w:val="24"/>
          <w:u w:val="single"/>
          <w:lang w:val="en-US" w:eastAsia="zh-CN"/>
        </w:rPr>
        <w:t xml:space="preserve">   </w:t>
      </w:r>
      <w:r>
        <w:rPr>
          <w:rFonts w:hint="eastAsia" w:ascii="宋体" w:hAnsi="宋体" w:cs="仿宋"/>
          <w:color w:val="auto"/>
          <w:sz w:val="24"/>
          <w:szCs w:val="24"/>
          <w:u w:val="single"/>
        </w:rPr>
        <w:t>（采购文件中明确的所属行业）</w:t>
      </w:r>
      <w:r>
        <w:rPr>
          <w:rFonts w:hint="eastAsia" w:ascii="宋体" w:hAnsi="宋体" w:cs="仿宋"/>
          <w:color w:val="auto"/>
          <w:sz w:val="24"/>
          <w:szCs w:val="24"/>
        </w:rPr>
        <w:t>；承建（承接）企业为</w:t>
      </w:r>
      <w:r>
        <w:rPr>
          <w:rFonts w:hint="eastAsia" w:ascii="宋体" w:hAnsi="宋体" w:cs="仿宋"/>
          <w:color w:val="auto"/>
          <w:sz w:val="24"/>
          <w:szCs w:val="24"/>
          <w:u w:val="single"/>
        </w:rPr>
        <w:t>（企业名称）</w:t>
      </w:r>
      <w:r>
        <w:rPr>
          <w:rFonts w:hint="eastAsia" w:ascii="宋体" w:hAnsi="宋体" w:cs="仿宋"/>
          <w:color w:val="auto"/>
          <w:sz w:val="24"/>
          <w:szCs w:val="24"/>
        </w:rPr>
        <w:t>，从业人员</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人，营业收入为</w:t>
      </w:r>
      <w:r>
        <w:rPr>
          <w:rFonts w:hint="eastAsia" w:ascii="宋体" w:hAnsi="宋体" w:cs="仿宋"/>
          <w:color w:val="auto"/>
          <w:sz w:val="24"/>
          <w:szCs w:val="24"/>
          <w:u w:val="single"/>
        </w:rPr>
        <w:t xml:space="preserve">     </w:t>
      </w:r>
      <w:r>
        <w:rPr>
          <w:rFonts w:hint="eastAsia" w:ascii="宋体" w:hAnsi="宋体" w:cs="仿宋"/>
          <w:color w:val="auto"/>
          <w:sz w:val="24"/>
          <w:szCs w:val="24"/>
        </w:rPr>
        <w:t>万元，资产总额为</w:t>
      </w:r>
      <w:r>
        <w:rPr>
          <w:rFonts w:hint="eastAsia" w:ascii="宋体" w:hAnsi="宋体" w:cs="仿宋"/>
          <w:color w:val="auto"/>
          <w:sz w:val="24"/>
          <w:szCs w:val="24"/>
          <w:u w:val="single"/>
        </w:rPr>
        <w:t xml:space="preserve">   </w:t>
      </w:r>
      <w:r>
        <w:rPr>
          <w:rFonts w:hint="eastAsia" w:ascii="宋体" w:hAnsi="宋体" w:cs="仿宋"/>
          <w:color w:val="auto"/>
          <w:sz w:val="24"/>
          <w:szCs w:val="24"/>
        </w:rPr>
        <w:t>万元，属于</w:t>
      </w:r>
      <w:r>
        <w:rPr>
          <w:rFonts w:hint="eastAsia" w:ascii="宋体" w:hAnsi="宋体" w:cs="仿宋"/>
          <w:color w:val="auto"/>
          <w:sz w:val="24"/>
          <w:szCs w:val="24"/>
          <w:u w:val="single"/>
        </w:rPr>
        <w:t>（中型企业、小型企业、微型企业）</w:t>
      </w:r>
      <w:r>
        <w:rPr>
          <w:rFonts w:hint="eastAsia" w:ascii="宋体" w:hAnsi="宋体" w:cs="仿宋"/>
          <w:color w:val="auto"/>
          <w:sz w:val="24"/>
          <w:szCs w:val="24"/>
        </w:rPr>
        <w:t>；</w:t>
      </w:r>
    </w:p>
    <w:p w14:paraId="5CD68519">
      <w:pPr>
        <w:autoSpaceDE w:val="0"/>
        <w:autoSpaceDN w:val="0"/>
        <w:adjustRightInd w:val="0"/>
        <w:spacing w:line="440" w:lineRule="exact"/>
        <w:ind w:firstLine="480" w:firstLineChars="200"/>
        <w:rPr>
          <w:rFonts w:ascii="宋体" w:hAnsi="宋体" w:cs="仿宋"/>
          <w:color w:val="auto"/>
          <w:sz w:val="24"/>
          <w:szCs w:val="24"/>
        </w:rPr>
      </w:pPr>
      <w:r>
        <w:rPr>
          <w:rFonts w:ascii="宋体" w:hAnsi="宋体" w:cs="仿宋"/>
          <w:color w:val="auto"/>
          <w:sz w:val="24"/>
          <w:szCs w:val="24"/>
        </w:rPr>
        <w:t xml:space="preserve">2. </w:t>
      </w:r>
      <w:r>
        <w:rPr>
          <w:rFonts w:hint="eastAsia" w:ascii="宋体" w:hAnsi="宋体" w:cs="仿宋"/>
          <w:color w:val="auto"/>
          <w:sz w:val="24"/>
          <w:szCs w:val="24"/>
          <w:u w:val="single"/>
        </w:rPr>
        <w:t>（标的名称</w:t>
      </w:r>
      <w:r>
        <w:rPr>
          <w:rFonts w:hint="eastAsia" w:ascii="宋体" w:hAnsi="宋体" w:cs="仿宋"/>
          <w:color w:val="auto"/>
          <w:sz w:val="24"/>
          <w:szCs w:val="24"/>
        </w:rPr>
        <w:t>）</w:t>
      </w:r>
      <w:r>
        <w:rPr>
          <w:rFonts w:ascii="宋体" w:hAnsi="宋体" w:cs="仿宋"/>
          <w:color w:val="auto"/>
          <w:sz w:val="24"/>
          <w:szCs w:val="24"/>
        </w:rPr>
        <w:t xml:space="preserve"> </w:t>
      </w:r>
      <w:r>
        <w:rPr>
          <w:rFonts w:hint="eastAsia" w:ascii="宋体" w:hAnsi="宋体" w:cs="仿宋"/>
          <w:color w:val="auto"/>
          <w:sz w:val="24"/>
          <w:szCs w:val="24"/>
        </w:rPr>
        <w:t>，属于</w:t>
      </w:r>
      <w:r>
        <w:rPr>
          <w:rFonts w:hint="eastAsia" w:ascii="宋体" w:hAnsi="宋体" w:cs="仿宋"/>
          <w:color w:val="auto"/>
          <w:sz w:val="24"/>
          <w:szCs w:val="24"/>
          <w:u w:val="single"/>
        </w:rPr>
        <w:t>（采购文件中明确的所属行业）</w:t>
      </w:r>
      <w:r>
        <w:rPr>
          <w:rFonts w:hint="eastAsia" w:ascii="宋体" w:hAnsi="宋体" w:cs="仿宋"/>
          <w:color w:val="auto"/>
          <w:sz w:val="24"/>
          <w:szCs w:val="24"/>
        </w:rPr>
        <w:t>；承建（承接）企业为（</w:t>
      </w:r>
      <w:r>
        <w:rPr>
          <w:rFonts w:hint="eastAsia" w:ascii="宋体" w:hAnsi="宋体" w:cs="仿宋"/>
          <w:color w:val="auto"/>
          <w:sz w:val="24"/>
          <w:szCs w:val="24"/>
          <w:u w:val="single"/>
        </w:rPr>
        <w:t>企业名称</w:t>
      </w:r>
      <w:r>
        <w:rPr>
          <w:rFonts w:hint="eastAsia" w:ascii="宋体" w:hAnsi="宋体" w:cs="仿宋"/>
          <w:color w:val="auto"/>
          <w:sz w:val="24"/>
          <w:szCs w:val="24"/>
        </w:rPr>
        <w:t>），从业人员</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人，营业收入为</w:t>
      </w:r>
      <w:r>
        <w:rPr>
          <w:rFonts w:hint="eastAsia" w:ascii="宋体" w:hAnsi="宋体" w:cs="仿宋"/>
          <w:color w:val="auto"/>
          <w:sz w:val="24"/>
          <w:szCs w:val="24"/>
          <w:u w:val="single"/>
        </w:rPr>
        <w:t xml:space="preserve">     </w:t>
      </w:r>
      <w:r>
        <w:rPr>
          <w:rFonts w:hint="eastAsia" w:ascii="宋体" w:hAnsi="宋体" w:cs="仿宋"/>
          <w:color w:val="auto"/>
          <w:sz w:val="24"/>
          <w:szCs w:val="24"/>
        </w:rPr>
        <w:t>万元，资产总额为</w:t>
      </w:r>
      <w:r>
        <w:rPr>
          <w:rFonts w:hint="eastAsia" w:ascii="宋体" w:hAnsi="宋体" w:cs="仿宋"/>
          <w:color w:val="auto"/>
          <w:sz w:val="24"/>
          <w:szCs w:val="24"/>
          <w:u w:val="single"/>
        </w:rPr>
        <w:t xml:space="preserve">   </w:t>
      </w:r>
      <w:r>
        <w:rPr>
          <w:rFonts w:hint="eastAsia" w:ascii="宋体" w:hAnsi="宋体" w:cs="仿宋"/>
          <w:color w:val="auto"/>
          <w:sz w:val="24"/>
          <w:szCs w:val="24"/>
        </w:rPr>
        <w:t>万元，属于</w:t>
      </w:r>
      <w:r>
        <w:rPr>
          <w:rFonts w:hint="eastAsia" w:ascii="宋体" w:hAnsi="宋体" w:cs="仿宋"/>
          <w:color w:val="auto"/>
          <w:sz w:val="24"/>
          <w:szCs w:val="24"/>
          <w:u w:val="single"/>
        </w:rPr>
        <w:t>（中型企业、小型企业、微型企业）</w:t>
      </w:r>
      <w:r>
        <w:rPr>
          <w:rFonts w:hint="eastAsia" w:ascii="宋体" w:hAnsi="宋体" w:cs="仿宋"/>
          <w:color w:val="auto"/>
          <w:sz w:val="24"/>
          <w:szCs w:val="24"/>
        </w:rPr>
        <w:t>；</w:t>
      </w:r>
    </w:p>
    <w:p w14:paraId="2A6D1362">
      <w:pPr>
        <w:pStyle w:val="30"/>
        <w:widowControl w:val="0"/>
        <w:numPr>
          <w:ilvl w:val="0"/>
          <w:numId w:val="0"/>
        </w:numPr>
        <w:spacing w:before="100" w:line="400" w:lineRule="exact"/>
        <w:jc w:val="center"/>
        <w:outlineLvl w:val="0"/>
        <w:rPr>
          <w:rFonts w:hint="default" w:ascii="宋体" w:hAnsi="宋体"/>
          <w:b w:val="0"/>
          <w:bCs w:val="0"/>
          <w:color w:val="auto"/>
          <w:lang w:val="en-US" w:eastAsia="zh-CN"/>
        </w:rPr>
      </w:pPr>
    </w:p>
    <w:p w14:paraId="7B0EBA3E">
      <w:pPr>
        <w:pStyle w:val="30"/>
        <w:keepNext w:val="0"/>
        <w:keepLines w:val="0"/>
        <w:pageBreakBefore w:val="0"/>
        <w:widowControl w:val="0"/>
        <w:numPr>
          <w:ilvl w:val="0"/>
          <w:numId w:val="0"/>
        </w:numPr>
        <w:kinsoku/>
        <w:wordWrap/>
        <w:overflowPunct/>
        <w:topLinePunct w:val="0"/>
        <w:autoSpaceDE/>
        <w:autoSpaceDN/>
        <w:bidi w:val="0"/>
        <w:adjustRightInd/>
        <w:snapToGrid/>
        <w:spacing w:before="100" w:line="400" w:lineRule="exact"/>
        <w:ind w:firstLine="480" w:firstLineChars="200"/>
        <w:jc w:val="left"/>
        <w:textAlignment w:val="auto"/>
        <w:outlineLvl w:val="0"/>
        <w:rPr>
          <w:rFonts w:hint="default" w:ascii="宋体" w:hAnsi="宋体"/>
          <w:b w:val="0"/>
          <w:bCs w:val="0"/>
          <w:color w:val="auto"/>
          <w:sz w:val="24"/>
          <w:szCs w:val="24"/>
          <w:lang w:val="en-US" w:eastAsia="zh-CN"/>
        </w:rPr>
      </w:pPr>
      <w:r>
        <w:rPr>
          <w:rFonts w:hint="default" w:ascii="宋体" w:hAnsi="宋体"/>
          <w:b w:val="0"/>
          <w:bCs w:val="0"/>
          <w:color w:val="auto"/>
          <w:sz w:val="24"/>
          <w:szCs w:val="24"/>
          <w:lang w:val="en-US" w:eastAsia="zh-CN"/>
        </w:rPr>
        <w:t>以上企业，不属于大企业的分支机构，不存在控股股东为大企业的情形，也不存在与大企业的负责人为同一人的情形。</w:t>
      </w:r>
    </w:p>
    <w:p w14:paraId="2FD212AD">
      <w:pPr>
        <w:pStyle w:val="30"/>
        <w:keepNext w:val="0"/>
        <w:keepLines w:val="0"/>
        <w:pageBreakBefore w:val="0"/>
        <w:widowControl w:val="0"/>
        <w:numPr>
          <w:ilvl w:val="0"/>
          <w:numId w:val="0"/>
        </w:numPr>
        <w:kinsoku/>
        <w:wordWrap/>
        <w:overflowPunct/>
        <w:topLinePunct w:val="0"/>
        <w:autoSpaceDE/>
        <w:autoSpaceDN/>
        <w:bidi w:val="0"/>
        <w:adjustRightInd/>
        <w:snapToGrid/>
        <w:spacing w:before="100" w:line="400" w:lineRule="exact"/>
        <w:ind w:firstLine="480" w:firstLineChars="200"/>
        <w:jc w:val="left"/>
        <w:textAlignment w:val="auto"/>
        <w:outlineLvl w:val="0"/>
        <w:rPr>
          <w:rFonts w:hint="default" w:ascii="宋体" w:hAnsi="宋体"/>
          <w:b w:val="0"/>
          <w:bCs w:val="0"/>
          <w:color w:val="auto"/>
          <w:sz w:val="24"/>
          <w:szCs w:val="24"/>
          <w:lang w:val="en-US" w:eastAsia="zh-CN"/>
        </w:rPr>
      </w:pPr>
      <w:r>
        <w:rPr>
          <w:rFonts w:hint="default" w:ascii="宋体" w:hAnsi="宋体"/>
          <w:b w:val="0"/>
          <w:bCs w:val="0"/>
          <w:color w:val="auto"/>
          <w:sz w:val="24"/>
          <w:szCs w:val="24"/>
          <w:lang w:val="en-US" w:eastAsia="zh-CN"/>
        </w:rPr>
        <w:t>本企业对上述声明内容的真实性负责。如有虚假，将依法承担相应责任。</w:t>
      </w:r>
    </w:p>
    <w:p w14:paraId="2E90080C">
      <w:pPr>
        <w:pStyle w:val="30"/>
        <w:widowControl w:val="0"/>
        <w:numPr>
          <w:ilvl w:val="0"/>
          <w:numId w:val="0"/>
        </w:numPr>
        <w:spacing w:before="100" w:line="400" w:lineRule="exact"/>
        <w:jc w:val="left"/>
        <w:outlineLvl w:val="0"/>
        <w:rPr>
          <w:rFonts w:hint="default" w:ascii="宋体" w:hAnsi="宋体"/>
          <w:b w:val="0"/>
          <w:bCs w:val="0"/>
          <w:color w:val="auto"/>
          <w:sz w:val="24"/>
          <w:szCs w:val="24"/>
          <w:lang w:val="en-US" w:eastAsia="zh-CN"/>
        </w:rPr>
      </w:pPr>
    </w:p>
    <w:p w14:paraId="1E7310A6">
      <w:pPr>
        <w:pStyle w:val="30"/>
        <w:widowControl w:val="0"/>
        <w:numPr>
          <w:ilvl w:val="0"/>
          <w:numId w:val="0"/>
        </w:numPr>
        <w:spacing w:before="100" w:line="400" w:lineRule="exact"/>
        <w:jc w:val="left"/>
        <w:outlineLvl w:val="0"/>
        <w:rPr>
          <w:rFonts w:hint="default" w:ascii="宋体" w:hAnsi="宋体"/>
          <w:b w:val="0"/>
          <w:bCs w:val="0"/>
          <w:color w:val="auto"/>
          <w:sz w:val="24"/>
          <w:szCs w:val="24"/>
          <w:lang w:val="en-US" w:eastAsia="zh-CN"/>
        </w:rPr>
      </w:pPr>
    </w:p>
    <w:p w14:paraId="69EB25A7">
      <w:pPr>
        <w:pStyle w:val="30"/>
        <w:widowControl w:val="0"/>
        <w:numPr>
          <w:ilvl w:val="0"/>
          <w:numId w:val="0"/>
        </w:numPr>
        <w:spacing w:before="100" w:line="400" w:lineRule="exact"/>
        <w:jc w:val="left"/>
        <w:outlineLvl w:val="0"/>
        <w:rPr>
          <w:rFonts w:hint="default" w:ascii="宋体" w:hAnsi="宋体"/>
          <w:b w:val="0"/>
          <w:bCs w:val="0"/>
          <w:color w:val="auto"/>
          <w:sz w:val="24"/>
          <w:szCs w:val="24"/>
          <w:lang w:val="en-US" w:eastAsia="zh-CN"/>
        </w:rPr>
      </w:pPr>
      <w:r>
        <w:rPr>
          <w:rFonts w:hint="default" w:ascii="宋体" w:hAnsi="宋体"/>
          <w:b w:val="0"/>
          <w:bCs w:val="0"/>
          <w:color w:val="auto"/>
          <w:sz w:val="24"/>
          <w:szCs w:val="24"/>
          <w:lang w:val="en-US" w:eastAsia="zh-CN"/>
        </w:rPr>
        <w:t>供应商：</w:t>
      </w:r>
      <w:r>
        <w:rPr>
          <w:rFonts w:hint="default" w:ascii="宋体" w:hAnsi="宋体"/>
          <w:b w:val="0"/>
          <w:bCs w:val="0"/>
          <w:color w:val="auto"/>
          <w:sz w:val="24"/>
          <w:szCs w:val="24"/>
          <w:u w:val="single"/>
          <w:lang w:val="en-US" w:eastAsia="zh-CN"/>
        </w:rPr>
        <w:t xml:space="preserve">      </w:t>
      </w:r>
      <w:r>
        <w:rPr>
          <w:rFonts w:hint="default" w:ascii="宋体" w:hAnsi="宋体"/>
          <w:b w:val="0"/>
          <w:bCs w:val="0"/>
          <w:color w:val="auto"/>
          <w:sz w:val="24"/>
          <w:szCs w:val="24"/>
          <w:lang w:val="en-US" w:eastAsia="zh-CN"/>
        </w:rPr>
        <w:t xml:space="preserve">（电子签章） </w:t>
      </w:r>
    </w:p>
    <w:p w14:paraId="56FB3C8D">
      <w:pPr>
        <w:pStyle w:val="30"/>
        <w:widowControl w:val="0"/>
        <w:numPr>
          <w:ilvl w:val="0"/>
          <w:numId w:val="0"/>
        </w:numPr>
        <w:spacing w:before="100" w:line="400" w:lineRule="exact"/>
        <w:jc w:val="left"/>
        <w:outlineLvl w:val="0"/>
        <w:rPr>
          <w:rFonts w:hint="default" w:ascii="宋体" w:hAnsi="宋体"/>
          <w:b w:val="0"/>
          <w:bCs w:val="0"/>
          <w:color w:val="auto"/>
          <w:sz w:val="24"/>
          <w:szCs w:val="24"/>
          <w:lang w:val="en-US" w:eastAsia="zh-CN"/>
        </w:rPr>
      </w:pPr>
      <w:r>
        <w:rPr>
          <w:rFonts w:hint="default" w:ascii="宋体" w:hAnsi="宋体"/>
          <w:b w:val="0"/>
          <w:bCs w:val="0"/>
          <w:color w:val="auto"/>
          <w:sz w:val="24"/>
          <w:szCs w:val="24"/>
          <w:lang w:val="en-US" w:eastAsia="zh-CN"/>
        </w:rPr>
        <w:t>法定代表人或委托代理人：</w:t>
      </w:r>
      <w:r>
        <w:rPr>
          <w:rFonts w:hint="default" w:ascii="宋体" w:hAnsi="宋体"/>
          <w:b w:val="0"/>
          <w:bCs w:val="0"/>
          <w:color w:val="auto"/>
          <w:sz w:val="24"/>
          <w:szCs w:val="24"/>
          <w:u w:val="single"/>
          <w:lang w:val="en-US" w:eastAsia="zh-CN"/>
        </w:rPr>
        <w:t xml:space="preserve">        </w:t>
      </w:r>
      <w:r>
        <w:rPr>
          <w:rFonts w:hint="default" w:ascii="宋体" w:hAnsi="宋体"/>
          <w:b w:val="0"/>
          <w:bCs w:val="0"/>
          <w:color w:val="auto"/>
          <w:sz w:val="24"/>
          <w:szCs w:val="24"/>
          <w:lang w:val="en-US" w:eastAsia="zh-CN"/>
        </w:rPr>
        <w:t xml:space="preserve">（签章） </w:t>
      </w:r>
    </w:p>
    <w:p w14:paraId="048C4F1A">
      <w:pPr>
        <w:pStyle w:val="30"/>
        <w:widowControl w:val="0"/>
        <w:numPr>
          <w:ilvl w:val="0"/>
          <w:numId w:val="0"/>
        </w:numPr>
        <w:spacing w:before="100" w:line="400" w:lineRule="exact"/>
        <w:jc w:val="left"/>
        <w:outlineLvl w:val="0"/>
        <w:rPr>
          <w:rFonts w:hint="default" w:ascii="宋体" w:hAnsi="宋体"/>
          <w:b w:val="0"/>
          <w:bCs w:val="0"/>
          <w:color w:val="auto"/>
          <w:sz w:val="24"/>
          <w:szCs w:val="24"/>
          <w:lang w:val="en-US" w:eastAsia="zh-CN"/>
        </w:rPr>
      </w:pPr>
      <w:r>
        <w:rPr>
          <w:rFonts w:hint="default" w:ascii="宋体" w:hAnsi="宋体"/>
          <w:b w:val="0"/>
          <w:bCs w:val="0"/>
          <w:color w:val="auto"/>
          <w:sz w:val="24"/>
          <w:szCs w:val="24"/>
          <w:lang w:val="en-US" w:eastAsia="zh-CN"/>
        </w:rPr>
        <w:t>日期：   年    月    日</w:t>
      </w:r>
    </w:p>
    <w:p w14:paraId="26B7A4A1">
      <w:pPr>
        <w:pStyle w:val="30"/>
        <w:keepNext w:val="0"/>
        <w:keepLines w:val="0"/>
        <w:pageBreakBefore w:val="0"/>
        <w:widowControl w:val="0"/>
        <w:numPr>
          <w:ilvl w:val="0"/>
          <w:numId w:val="0"/>
        </w:numPr>
        <w:kinsoku/>
        <w:wordWrap/>
        <w:overflowPunct/>
        <w:topLinePunct w:val="0"/>
        <w:autoSpaceDE/>
        <w:autoSpaceDN/>
        <w:bidi w:val="0"/>
        <w:adjustRightInd/>
        <w:snapToGrid/>
        <w:spacing w:before="100" w:line="400" w:lineRule="exact"/>
        <w:ind w:firstLine="480" w:firstLineChars="200"/>
        <w:jc w:val="left"/>
        <w:textAlignment w:val="auto"/>
        <w:outlineLvl w:val="0"/>
        <w:rPr>
          <w:rFonts w:hint="default" w:ascii="宋体" w:hAnsi="宋体"/>
          <w:b w:val="0"/>
          <w:bCs w:val="0"/>
          <w:color w:val="auto"/>
          <w:sz w:val="24"/>
          <w:szCs w:val="24"/>
          <w:lang w:val="en-US" w:eastAsia="zh-CN"/>
        </w:rPr>
      </w:pPr>
    </w:p>
    <w:p w14:paraId="3145D139">
      <w:pPr>
        <w:pStyle w:val="30"/>
        <w:keepNext w:val="0"/>
        <w:keepLines w:val="0"/>
        <w:pageBreakBefore w:val="0"/>
        <w:widowControl w:val="0"/>
        <w:numPr>
          <w:ilvl w:val="0"/>
          <w:numId w:val="0"/>
        </w:numPr>
        <w:kinsoku/>
        <w:wordWrap/>
        <w:overflowPunct/>
        <w:topLinePunct w:val="0"/>
        <w:autoSpaceDE/>
        <w:autoSpaceDN/>
        <w:bidi w:val="0"/>
        <w:adjustRightInd/>
        <w:snapToGrid/>
        <w:spacing w:before="100" w:line="400" w:lineRule="exact"/>
        <w:ind w:firstLine="480" w:firstLineChars="200"/>
        <w:jc w:val="left"/>
        <w:textAlignment w:val="auto"/>
        <w:outlineLvl w:val="0"/>
        <w:rPr>
          <w:rFonts w:hint="default" w:ascii="宋体" w:hAnsi="宋体"/>
          <w:b w:val="0"/>
          <w:bCs w:val="0"/>
          <w:color w:val="auto"/>
          <w:sz w:val="24"/>
          <w:szCs w:val="24"/>
          <w:lang w:val="en-US" w:eastAsia="zh-CN"/>
        </w:rPr>
      </w:pPr>
      <w:r>
        <w:rPr>
          <w:rFonts w:hint="default" w:ascii="宋体" w:hAnsi="宋体"/>
          <w:b w:val="0"/>
          <w:bCs w:val="0"/>
          <w:color w:val="auto"/>
          <w:sz w:val="24"/>
          <w:szCs w:val="24"/>
          <w:lang w:val="en-US" w:eastAsia="zh-CN"/>
        </w:rPr>
        <w:t>从业人员、营业收入、资产总额填报上一年度数据，无上一年度数据的新成立企业可不填报</w:t>
      </w:r>
    </w:p>
    <w:p w14:paraId="0EBEA42B">
      <w:pPr>
        <w:pStyle w:val="30"/>
        <w:widowControl w:val="0"/>
        <w:numPr>
          <w:ilvl w:val="0"/>
          <w:numId w:val="0"/>
        </w:numPr>
        <w:spacing w:before="100" w:line="400" w:lineRule="exact"/>
        <w:jc w:val="center"/>
        <w:outlineLvl w:val="0"/>
        <w:rPr>
          <w:rFonts w:hint="default" w:ascii="宋体" w:hAnsi="宋体"/>
          <w:b w:val="0"/>
          <w:bCs w:val="0"/>
          <w:color w:val="auto"/>
          <w:lang w:val="en-US" w:eastAsia="zh-CN"/>
        </w:rPr>
      </w:pPr>
    </w:p>
    <w:p w14:paraId="223EE3FB">
      <w:pPr>
        <w:pStyle w:val="30"/>
        <w:widowControl w:val="0"/>
        <w:numPr>
          <w:ilvl w:val="0"/>
          <w:numId w:val="0"/>
        </w:numPr>
        <w:spacing w:before="100" w:line="400" w:lineRule="exact"/>
        <w:jc w:val="center"/>
        <w:outlineLvl w:val="0"/>
        <w:rPr>
          <w:rFonts w:hint="default" w:ascii="宋体" w:hAnsi="宋体"/>
          <w:color w:val="auto"/>
          <w:lang w:val="en-US" w:eastAsia="zh-CN"/>
        </w:rPr>
      </w:pPr>
    </w:p>
    <w:p w14:paraId="5084DE08">
      <w:pPr>
        <w:pStyle w:val="30"/>
        <w:widowControl w:val="0"/>
        <w:numPr>
          <w:ilvl w:val="0"/>
          <w:numId w:val="0"/>
        </w:numPr>
        <w:spacing w:before="100" w:line="400" w:lineRule="exact"/>
        <w:jc w:val="both"/>
        <w:outlineLvl w:val="0"/>
        <w:rPr>
          <w:rFonts w:hint="default" w:ascii="宋体" w:hAnsi="宋体"/>
          <w:color w:val="auto"/>
          <w:lang w:val="en-US" w:eastAsia="zh-CN"/>
        </w:rPr>
      </w:pPr>
    </w:p>
    <w:p w14:paraId="09927B69"/>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9A6D8">
    <w:pPr>
      <w:pStyle w:val="8"/>
      <w:spacing w:line="14" w:lineRule="auto"/>
      <w:ind w:left="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C96C9">
    <w:pPr>
      <w:pStyle w:val="8"/>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10E3">
    <w:pPr>
      <w:pStyle w:val="8"/>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9EE5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09EE5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24C0">
    <w:pPr>
      <w:pStyle w:val="8"/>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AB130">
                          <w:pPr>
                            <w:pStyle w:val="1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8AB130">
                    <w:pPr>
                      <w:pStyle w:val="1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36ED">
    <w:pPr>
      <w:pStyle w:val="8"/>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128EC">
                          <w:pPr>
                            <w:pStyle w:val="1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8128EC">
                    <w:pPr>
                      <w:pStyle w:val="1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009F">
    <w:pPr>
      <w:pStyle w:val="8"/>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5B723">
                          <w:pPr>
                            <w:pStyle w:val="1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855B723">
                    <w:pPr>
                      <w:pStyle w:val="1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4CEA"/>
    <w:multiLevelType w:val="singleLevel"/>
    <w:tmpl w:val="83584CEA"/>
    <w:lvl w:ilvl="0" w:tentative="0">
      <w:start w:val="1"/>
      <w:numFmt w:val="decimal"/>
      <w:suff w:val="nothing"/>
      <w:lvlText w:val="%1、"/>
      <w:lvlJc w:val="left"/>
    </w:lvl>
  </w:abstractNum>
  <w:abstractNum w:abstractNumId="1">
    <w:nsid w:val="93E5C44B"/>
    <w:multiLevelType w:val="singleLevel"/>
    <w:tmpl w:val="93E5C44B"/>
    <w:lvl w:ilvl="0" w:tentative="0">
      <w:start w:val="1"/>
      <w:numFmt w:val="decimal"/>
      <w:suff w:val="nothing"/>
      <w:lvlText w:val="%1、"/>
      <w:lvlJc w:val="left"/>
    </w:lvl>
  </w:abstractNum>
  <w:abstractNum w:abstractNumId="2">
    <w:nsid w:val="9C8AC8EF"/>
    <w:multiLevelType w:val="multilevel"/>
    <w:tmpl w:val="9C8AC8EF"/>
    <w:lvl w:ilvl="0" w:tentative="0">
      <w:start w:val="21"/>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3">
    <w:nsid w:val="B0F1ACD9"/>
    <w:multiLevelType w:val="multilevel"/>
    <w:tmpl w:val="B0F1ACD9"/>
    <w:lvl w:ilvl="0" w:tentative="0">
      <w:start w:val="28"/>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4">
    <w:nsid w:val="B78700D7"/>
    <w:multiLevelType w:val="singleLevel"/>
    <w:tmpl w:val="B78700D7"/>
    <w:lvl w:ilvl="0" w:tentative="0">
      <w:start w:val="5"/>
      <w:numFmt w:val="chineseCounting"/>
      <w:suff w:val="nothing"/>
      <w:lvlText w:val="%1、"/>
      <w:lvlJc w:val="left"/>
      <w:rPr>
        <w:rFonts w:hint="eastAsia"/>
      </w:rPr>
    </w:lvl>
  </w:abstractNum>
  <w:abstractNum w:abstractNumId="5">
    <w:nsid w:val="BE5C2D8F"/>
    <w:multiLevelType w:val="singleLevel"/>
    <w:tmpl w:val="BE5C2D8F"/>
    <w:lvl w:ilvl="0" w:tentative="0">
      <w:start w:val="1"/>
      <w:numFmt w:val="decimal"/>
      <w:suff w:val="nothing"/>
      <w:lvlText w:val="%1、"/>
      <w:lvlJc w:val="left"/>
    </w:lvl>
  </w:abstractNum>
  <w:abstractNum w:abstractNumId="6">
    <w:nsid w:val="BE923771"/>
    <w:multiLevelType w:val="multilevel"/>
    <w:tmpl w:val="BE923771"/>
    <w:lvl w:ilvl="0" w:tentative="0">
      <w:start w:val="1"/>
      <w:numFmt w:val="decimal"/>
      <w:lvlText w:val="(%1)"/>
      <w:lvlJc w:val="left"/>
      <w:pPr>
        <w:ind w:left="1220" w:hanging="480"/>
      </w:pPr>
      <w:rPr>
        <w:rFonts w:hint="default" w:ascii="宋体" w:hAnsi="宋体" w:eastAsia="宋体" w:cs="宋体"/>
        <w:w w:val="100"/>
        <w:sz w:val="24"/>
        <w:szCs w:val="24"/>
        <w:lang w:val="zh-CN" w:eastAsia="zh-CN" w:bidi="zh-CN"/>
      </w:rPr>
    </w:lvl>
    <w:lvl w:ilvl="1" w:tentative="0">
      <w:start w:val="0"/>
      <w:numFmt w:val="bullet"/>
      <w:lvlText w:val="•"/>
      <w:lvlJc w:val="left"/>
      <w:pPr>
        <w:ind w:left="2082" w:hanging="480"/>
      </w:pPr>
      <w:rPr>
        <w:rFonts w:hint="default"/>
        <w:lang w:val="zh-CN" w:eastAsia="zh-CN" w:bidi="zh-CN"/>
      </w:rPr>
    </w:lvl>
    <w:lvl w:ilvl="2" w:tentative="0">
      <w:start w:val="0"/>
      <w:numFmt w:val="bullet"/>
      <w:lvlText w:val="•"/>
      <w:lvlJc w:val="left"/>
      <w:pPr>
        <w:ind w:left="2945" w:hanging="480"/>
      </w:pPr>
      <w:rPr>
        <w:rFonts w:hint="default"/>
        <w:lang w:val="zh-CN" w:eastAsia="zh-CN" w:bidi="zh-CN"/>
      </w:rPr>
    </w:lvl>
    <w:lvl w:ilvl="3" w:tentative="0">
      <w:start w:val="0"/>
      <w:numFmt w:val="bullet"/>
      <w:lvlText w:val="•"/>
      <w:lvlJc w:val="left"/>
      <w:pPr>
        <w:ind w:left="3807" w:hanging="480"/>
      </w:pPr>
      <w:rPr>
        <w:rFonts w:hint="default"/>
        <w:lang w:val="zh-CN" w:eastAsia="zh-CN" w:bidi="zh-CN"/>
      </w:rPr>
    </w:lvl>
    <w:lvl w:ilvl="4" w:tentative="0">
      <w:start w:val="0"/>
      <w:numFmt w:val="bullet"/>
      <w:lvlText w:val="•"/>
      <w:lvlJc w:val="left"/>
      <w:pPr>
        <w:ind w:left="4670" w:hanging="480"/>
      </w:pPr>
      <w:rPr>
        <w:rFonts w:hint="default"/>
        <w:lang w:val="zh-CN" w:eastAsia="zh-CN" w:bidi="zh-CN"/>
      </w:rPr>
    </w:lvl>
    <w:lvl w:ilvl="5" w:tentative="0">
      <w:start w:val="0"/>
      <w:numFmt w:val="bullet"/>
      <w:lvlText w:val="•"/>
      <w:lvlJc w:val="left"/>
      <w:pPr>
        <w:ind w:left="5533" w:hanging="480"/>
      </w:pPr>
      <w:rPr>
        <w:rFonts w:hint="default"/>
        <w:lang w:val="zh-CN" w:eastAsia="zh-CN" w:bidi="zh-CN"/>
      </w:rPr>
    </w:lvl>
    <w:lvl w:ilvl="6" w:tentative="0">
      <w:start w:val="0"/>
      <w:numFmt w:val="bullet"/>
      <w:lvlText w:val="•"/>
      <w:lvlJc w:val="left"/>
      <w:pPr>
        <w:ind w:left="6395" w:hanging="480"/>
      </w:pPr>
      <w:rPr>
        <w:rFonts w:hint="default"/>
        <w:lang w:val="zh-CN" w:eastAsia="zh-CN" w:bidi="zh-CN"/>
      </w:rPr>
    </w:lvl>
    <w:lvl w:ilvl="7" w:tentative="0">
      <w:start w:val="0"/>
      <w:numFmt w:val="bullet"/>
      <w:lvlText w:val="•"/>
      <w:lvlJc w:val="left"/>
      <w:pPr>
        <w:ind w:left="7258" w:hanging="480"/>
      </w:pPr>
      <w:rPr>
        <w:rFonts w:hint="default"/>
        <w:lang w:val="zh-CN" w:eastAsia="zh-CN" w:bidi="zh-CN"/>
      </w:rPr>
    </w:lvl>
    <w:lvl w:ilvl="8" w:tentative="0">
      <w:start w:val="0"/>
      <w:numFmt w:val="bullet"/>
      <w:lvlText w:val="•"/>
      <w:lvlJc w:val="left"/>
      <w:pPr>
        <w:ind w:left="8120" w:hanging="480"/>
      </w:pPr>
      <w:rPr>
        <w:rFonts w:hint="default"/>
        <w:lang w:val="zh-CN" w:eastAsia="zh-CN" w:bidi="zh-CN"/>
      </w:rPr>
    </w:lvl>
  </w:abstractNum>
  <w:abstractNum w:abstractNumId="7">
    <w:nsid w:val="DAD5A938"/>
    <w:multiLevelType w:val="singleLevel"/>
    <w:tmpl w:val="DAD5A938"/>
    <w:lvl w:ilvl="0" w:tentative="0">
      <w:start w:val="1"/>
      <w:numFmt w:val="decimal"/>
      <w:suff w:val="nothing"/>
      <w:lvlText w:val="%1、"/>
      <w:lvlJc w:val="left"/>
    </w:lvl>
  </w:abstractNum>
  <w:abstractNum w:abstractNumId="8">
    <w:nsid w:val="DCBA6B53"/>
    <w:multiLevelType w:val="multilevel"/>
    <w:tmpl w:val="DCBA6B53"/>
    <w:lvl w:ilvl="0" w:tentative="0">
      <w:start w:val="20"/>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177" w:hanging="780"/>
      </w:pPr>
      <w:rPr>
        <w:rFonts w:hint="default"/>
        <w:lang w:val="zh-CN" w:eastAsia="zh-CN" w:bidi="zh-CN"/>
      </w:rPr>
    </w:lvl>
    <w:lvl w:ilvl="4" w:tentative="0">
      <w:start w:val="0"/>
      <w:numFmt w:val="bullet"/>
      <w:lvlText w:val="•"/>
      <w:lvlJc w:val="left"/>
      <w:pPr>
        <w:ind w:left="4130" w:hanging="780"/>
      </w:pPr>
      <w:rPr>
        <w:rFonts w:hint="default"/>
        <w:lang w:val="zh-CN" w:eastAsia="zh-CN" w:bidi="zh-CN"/>
      </w:rPr>
    </w:lvl>
    <w:lvl w:ilvl="5" w:tentative="0">
      <w:start w:val="0"/>
      <w:numFmt w:val="bullet"/>
      <w:lvlText w:val="•"/>
      <w:lvlJc w:val="left"/>
      <w:pPr>
        <w:ind w:left="5083" w:hanging="780"/>
      </w:pPr>
      <w:rPr>
        <w:rFonts w:hint="default"/>
        <w:lang w:val="zh-CN" w:eastAsia="zh-CN" w:bidi="zh-CN"/>
      </w:rPr>
    </w:lvl>
    <w:lvl w:ilvl="6" w:tentative="0">
      <w:start w:val="0"/>
      <w:numFmt w:val="bullet"/>
      <w:lvlText w:val="•"/>
      <w:lvlJc w:val="left"/>
      <w:pPr>
        <w:ind w:left="6035" w:hanging="780"/>
      </w:pPr>
      <w:rPr>
        <w:rFonts w:hint="default"/>
        <w:lang w:val="zh-CN" w:eastAsia="zh-CN" w:bidi="zh-CN"/>
      </w:rPr>
    </w:lvl>
    <w:lvl w:ilvl="7" w:tentative="0">
      <w:start w:val="0"/>
      <w:numFmt w:val="bullet"/>
      <w:lvlText w:val="•"/>
      <w:lvlJc w:val="left"/>
      <w:pPr>
        <w:ind w:left="6988" w:hanging="780"/>
      </w:pPr>
      <w:rPr>
        <w:rFonts w:hint="default"/>
        <w:lang w:val="zh-CN" w:eastAsia="zh-CN" w:bidi="zh-CN"/>
      </w:rPr>
    </w:lvl>
    <w:lvl w:ilvl="8" w:tentative="0">
      <w:start w:val="0"/>
      <w:numFmt w:val="bullet"/>
      <w:lvlText w:val="•"/>
      <w:lvlJc w:val="left"/>
      <w:pPr>
        <w:ind w:left="7940" w:hanging="780"/>
      </w:pPr>
      <w:rPr>
        <w:rFonts w:hint="default"/>
        <w:lang w:val="zh-CN" w:eastAsia="zh-CN" w:bidi="zh-CN"/>
      </w:rPr>
    </w:lvl>
  </w:abstractNum>
  <w:abstractNum w:abstractNumId="9">
    <w:nsid w:val="F4B5D9F5"/>
    <w:multiLevelType w:val="multilevel"/>
    <w:tmpl w:val="F4B5D9F5"/>
    <w:lvl w:ilvl="0" w:tentative="0">
      <w:start w:val="18"/>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31" w:hanging="540"/>
      </w:pPr>
      <w:rPr>
        <w:rFonts w:hint="default"/>
        <w:lang w:val="zh-CN" w:eastAsia="zh-CN" w:bidi="zh-CN"/>
      </w:rPr>
    </w:lvl>
    <w:lvl w:ilvl="3" w:tentative="0">
      <w:start w:val="0"/>
      <w:numFmt w:val="bullet"/>
      <w:lvlText w:val="•"/>
      <w:lvlJc w:val="left"/>
      <w:pPr>
        <w:ind w:left="3183" w:hanging="540"/>
      </w:pPr>
      <w:rPr>
        <w:rFonts w:hint="default"/>
        <w:lang w:val="zh-CN" w:eastAsia="zh-CN" w:bidi="zh-CN"/>
      </w:rPr>
    </w:lvl>
    <w:lvl w:ilvl="4" w:tentative="0">
      <w:start w:val="0"/>
      <w:numFmt w:val="bullet"/>
      <w:lvlText w:val="•"/>
      <w:lvlJc w:val="left"/>
      <w:pPr>
        <w:ind w:left="4135" w:hanging="540"/>
      </w:pPr>
      <w:rPr>
        <w:rFonts w:hint="default"/>
        <w:lang w:val="zh-CN" w:eastAsia="zh-CN" w:bidi="zh-CN"/>
      </w:rPr>
    </w:lvl>
    <w:lvl w:ilvl="5" w:tentative="0">
      <w:start w:val="0"/>
      <w:numFmt w:val="bullet"/>
      <w:lvlText w:val="•"/>
      <w:lvlJc w:val="left"/>
      <w:pPr>
        <w:ind w:left="5087" w:hanging="540"/>
      </w:pPr>
      <w:rPr>
        <w:rFonts w:hint="default"/>
        <w:lang w:val="zh-CN" w:eastAsia="zh-CN" w:bidi="zh-CN"/>
      </w:rPr>
    </w:lvl>
    <w:lvl w:ilvl="6" w:tentative="0">
      <w:start w:val="0"/>
      <w:numFmt w:val="bullet"/>
      <w:lvlText w:val="•"/>
      <w:lvlJc w:val="left"/>
      <w:pPr>
        <w:ind w:left="6038" w:hanging="540"/>
      </w:pPr>
      <w:rPr>
        <w:rFonts w:hint="default"/>
        <w:lang w:val="zh-CN" w:eastAsia="zh-CN" w:bidi="zh-CN"/>
      </w:rPr>
    </w:lvl>
    <w:lvl w:ilvl="7" w:tentative="0">
      <w:start w:val="0"/>
      <w:numFmt w:val="bullet"/>
      <w:lvlText w:val="•"/>
      <w:lvlJc w:val="left"/>
      <w:pPr>
        <w:ind w:left="6990" w:hanging="540"/>
      </w:pPr>
      <w:rPr>
        <w:rFonts w:hint="default"/>
        <w:lang w:val="zh-CN" w:eastAsia="zh-CN" w:bidi="zh-CN"/>
      </w:rPr>
    </w:lvl>
    <w:lvl w:ilvl="8" w:tentative="0">
      <w:start w:val="0"/>
      <w:numFmt w:val="bullet"/>
      <w:lvlText w:val="•"/>
      <w:lvlJc w:val="left"/>
      <w:pPr>
        <w:ind w:left="7942" w:hanging="540"/>
      </w:pPr>
      <w:rPr>
        <w:rFonts w:hint="default"/>
        <w:lang w:val="zh-CN" w:eastAsia="zh-CN" w:bidi="zh-CN"/>
      </w:rPr>
    </w:lvl>
  </w:abstractNum>
  <w:abstractNum w:abstractNumId="10">
    <w:nsid w:val="0E640482"/>
    <w:multiLevelType w:val="multilevel"/>
    <w:tmpl w:val="0E640482"/>
    <w:lvl w:ilvl="0" w:tentative="0">
      <w:start w:val="25"/>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993" w:hanging="540"/>
      </w:pPr>
      <w:rPr>
        <w:rFonts w:hint="default"/>
        <w:lang w:val="zh-CN" w:eastAsia="zh-CN" w:bidi="zh-CN"/>
      </w:rPr>
    </w:lvl>
    <w:lvl w:ilvl="3" w:tentative="0">
      <w:start w:val="0"/>
      <w:numFmt w:val="bullet"/>
      <w:lvlText w:val="•"/>
      <w:lvlJc w:val="left"/>
      <w:pPr>
        <w:ind w:left="384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563" w:hanging="540"/>
      </w:pPr>
      <w:rPr>
        <w:rFonts w:hint="default"/>
        <w:lang w:val="zh-CN" w:eastAsia="zh-CN" w:bidi="zh-CN"/>
      </w:rPr>
    </w:lvl>
    <w:lvl w:ilvl="6" w:tentative="0">
      <w:start w:val="0"/>
      <w:numFmt w:val="bullet"/>
      <w:lvlText w:val="•"/>
      <w:lvlJc w:val="left"/>
      <w:pPr>
        <w:ind w:left="6419" w:hanging="540"/>
      </w:pPr>
      <w:rPr>
        <w:rFonts w:hint="default"/>
        <w:lang w:val="zh-CN" w:eastAsia="zh-CN" w:bidi="zh-CN"/>
      </w:rPr>
    </w:lvl>
    <w:lvl w:ilvl="7" w:tentative="0">
      <w:start w:val="0"/>
      <w:numFmt w:val="bullet"/>
      <w:lvlText w:val="•"/>
      <w:lvlJc w:val="left"/>
      <w:pPr>
        <w:ind w:left="7276" w:hanging="540"/>
      </w:pPr>
      <w:rPr>
        <w:rFonts w:hint="default"/>
        <w:lang w:val="zh-CN" w:eastAsia="zh-CN" w:bidi="zh-CN"/>
      </w:rPr>
    </w:lvl>
    <w:lvl w:ilvl="8" w:tentative="0">
      <w:start w:val="0"/>
      <w:numFmt w:val="bullet"/>
      <w:lvlText w:val="•"/>
      <w:lvlJc w:val="left"/>
      <w:pPr>
        <w:ind w:left="8132" w:hanging="540"/>
      </w:pPr>
      <w:rPr>
        <w:rFonts w:hint="default"/>
        <w:lang w:val="zh-CN" w:eastAsia="zh-CN" w:bidi="zh-CN"/>
      </w:rPr>
    </w:lvl>
  </w:abstractNum>
  <w:abstractNum w:abstractNumId="11">
    <w:nsid w:val="2470EC97"/>
    <w:multiLevelType w:val="multilevel"/>
    <w:tmpl w:val="2470EC97"/>
    <w:lvl w:ilvl="0" w:tentative="0">
      <w:start w:val="19"/>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2">
    <w:nsid w:val="25B654F3"/>
    <w:multiLevelType w:val="multilevel"/>
    <w:tmpl w:val="25B654F3"/>
    <w:lvl w:ilvl="0" w:tentative="0">
      <w:start w:val="5"/>
      <w:numFmt w:val="decimal"/>
      <w:lvlText w:val="%1"/>
      <w:lvlJc w:val="left"/>
      <w:pPr>
        <w:ind w:left="320" w:hanging="420"/>
      </w:pPr>
      <w:rPr>
        <w:rFonts w:hint="default"/>
        <w:lang w:val="zh-CN" w:eastAsia="zh-CN" w:bidi="zh-CN"/>
      </w:rPr>
    </w:lvl>
    <w:lvl w:ilvl="1" w:tentative="0">
      <w:start w:val="1"/>
      <w:numFmt w:val="decimal"/>
      <w:lvlText w:val="%1.%2"/>
      <w:lvlJc w:val="left"/>
      <w:pPr>
        <w:ind w:left="3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420"/>
      </w:pPr>
      <w:rPr>
        <w:rFonts w:hint="default"/>
        <w:lang w:val="zh-CN" w:eastAsia="zh-CN" w:bidi="zh-CN"/>
      </w:rPr>
    </w:lvl>
    <w:lvl w:ilvl="3" w:tentative="0">
      <w:start w:val="0"/>
      <w:numFmt w:val="bullet"/>
      <w:lvlText w:val="•"/>
      <w:lvlJc w:val="left"/>
      <w:pPr>
        <w:ind w:left="317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083" w:hanging="420"/>
      </w:pPr>
      <w:rPr>
        <w:rFonts w:hint="default"/>
        <w:lang w:val="zh-CN" w:eastAsia="zh-CN" w:bidi="zh-CN"/>
      </w:rPr>
    </w:lvl>
    <w:lvl w:ilvl="6" w:tentative="0">
      <w:start w:val="0"/>
      <w:numFmt w:val="bullet"/>
      <w:lvlText w:val="•"/>
      <w:lvlJc w:val="left"/>
      <w:pPr>
        <w:ind w:left="6035" w:hanging="420"/>
      </w:pPr>
      <w:rPr>
        <w:rFonts w:hint="default"/>
        <w:lang w:val="zh-CN" w:eastAsia="zh-CN" w:bidi="zh-CN"/>
      </w:rPr>
    </w:lvl>
    <w:lvl w:ilvl="7" w:tentative="0">
      <w:start w:val="0"/>
      <w:numFmt w:val="bullet"/>
      <w:lvlText w:val="•"/>
      <w:lvlJc w:val="left"/>
      <w:pPr>
        <w:ind w:left="6988" w:hanging="420"/>
      </w:pPr>
      <w:rPr>
        <w:rFonts w:hint="default"/>
        <w:lang w:val="zh-CN" w:eastAsia="zh-CN" w:bidi="zh-CN"/>
      </w:rPr>
    </w:lvl>
    <w:lvl w:ilvl="8" w:tentative="0">
      <w:start w:val="0"/>
      <w:numFmt w:val="bullet"/>
      <w:lvlText w:val="•"/>
      <w:lvlJc w:val="left"/>
      <w:pPr>
        <w:ind w:left="7940" w:hanging="420"/>
      </w:pPr>
      <w:rPr>
        <w:rFonts w:hint="default"/>
        <w:lang w:val="zh-CN" w:eastAsia="zh-CN" w:bidi="zh-CN"/>
      </w:rPr>
    </w:lvl>
  </w:abstractNum>
  <w:abstractNum w:abstractNumId="13">
    <w:nsid w:val="260112A8"/>
    <w:multiLevelType w:val="singleLevel"/>
    <w:tmpl w:val="260112A8"/>
    <w:lvl w:ilvl="0" w:tentative="0">
      <w:start w:val="1"/>
      <w:numFmt w:val="decimal"/>
      <w:suff w:val="nothing"/>
      <w:lvlText w:val="%1、"/>
      <w:lvlJc w:val="left"/>
    </w:lvl>
  </w:abstractNum>
  <w:abstractNum w:abstractNumId="14">
    <w:nsid w:val="3CED0BCB"/>
    <w:multiLevelType w:val="singleLevel"/>
    <w:tmpl w:val="3CED0BCB"/>
    <w:lvl w:ilvl="0" w:tentative="0">
      <w:start w:val="1"/>
      <w:numFmt w:val="decimal"/>
      <w:suff w:val="nothing"/>
      <w:lvlText w:val="%1、"/>
      <w:lvlJc w:val="left"/>
    </w:lvl>
  </w:abstractNum>
  <w:abstractNum w:abstractNumId="15">
    <w:nsid w:val="4C1BAE26"/>
    <w:multiLevelType w:val="multilevel"/>
    <w:tmpl w:val="4C1BAE26"/>
    <w:lvl w:ilvl="0" w:tentative="0">
      <w:start w:val="22"/>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6">
    <w:nsid w:val="4D4DC07F"/>
    <w:multiLevelType w:val="multilevel"/>
    <w:tmpl w:val="4D4DC07F"/>
    <w:lvl w:ilvl="0" w:tentative="0">
      <w:start w:val="17"/>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7">
    <w:nsid w:val="4F3FF634"/>
    <w:multiLevelType w:val="singleLevel"/>
    <w:tmpl w:val="4F3FF634"/>
    <w:lvl w:ilvl="0" w:tentative="0">
      <w:start w:val="2"/>
      <w:numFmt w:val="decimal"/>
      <w:lvlText w:val="%1."/>
      <w:lvlJc w:val="left"/>
      <w:pPr>
        <w:tabs>
          <w:tab w:val="left" w:pos="312"/>
        </w:tabs>
      </w:pPr>
    </w:lvl>
  </w:abstractNum>
  <w:abstractNum w:abstractNumId="18">
    <w:nsid w:val="60382F6E"/>
    <w:multiLevelType w:val="multilevel"/>
    <w:tmpl w:val="60382F6E"/>
    <w:lvl w:ilvl="0" w:tentative="0">
      <w:start w:val="23"/>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15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370" w:hanging="780"/>
      </w:pPr>
      <w:rPr>
        <w:rFonts w:hint="default"/>
        <w:lang w:val="zh-CN" w:eastAsia="zh-CN" w:bidi="zh-CN"/>
      </w:rPr>
    </w:lvl>
    <w:lvl w:ilvl="4" w:tentative="0">
      <w:start w:val="0"/>
      <w:numFmt w:val="bullet"/>
      <w:lvlText w:val="•"/>
      <w:lvlJc w:val="left"/>
      <w:pPr>
        <w:ind w:left="4295" w:hanging="780"/>
      </w:pPr>
      <w:rPr>
        <w:rFonts w:hint="default"/>
        <w:lang w:val="zh-CN" w:eastAsia="zh-CN" w:bidi="zh-CN"/>
      </w:rPr>
    </w:lvl>
    <w:lvl w:ilvl="5" w:tentative="0">
      <w:start w:val="0"/>
      <w:numFmt w:val="bullet"/>
      <w:lvlText w:val="•"/>
      <w:lvlJc w:val="left"/>
      <w:pPr>
        <w:ind w:left="5220" w:hanging="780"/>
      </w:pPr>
      <w:rPr>
        <w:rFonts w:hint="default"/>
        <w:lang w:val="zh-CN" w:eastAsia="zh-CN" w:bidi="zh-CN"/>
      </w:rPr>
    </w:lvl>
    <w:lvl w:ilvl="6" w:tentative="0">
      <w:start w:val="0"/>
      <w:numFmt w:val="bullet"/>
      <w:lvlText w:val="•"/>
      <w:lvlJc w:val="left"/>
      <w:pPr>
        <w:ind w:left="6145" w:hanging="780"/>
      </w:pPr>
      <w:rPr>
        <w:rFonts w:hint="default"/>
        <w:lang w:val="zh-CN" w:eastAsia="zh-CN" w:bidi="zh-CN"/>
      </w:rPr>
    </w:lvl>
    <w:lvl w:ilvl="7" w:tentative="0">
      <w:start w:val="0"/>
      <w:numFmt w:val="bullet"/>
      <w:lvlText w:val="•"/>
      <w:lvlJc w:val="left"/>
      <w:pPr>
        <w:ind w:left="7070" w:hanging="780"/>
      </w:pPr>
      <w:rPr>
        <w:rFonts w:hint="default"/>
        <w:lang w:val="zh-CN" w:eastAsia="zh-CN" w:bidi="zh-CN"/>
      </w:rPr>
    </w:lvl>
    <w:lvl w:ilvl="8" w:tentative="0">
      <w:start w:val="0"/>
      <w:numFmt w:val="bullet"/>
      <w:lvlText w:val="•"/>
      <w:lvlJc w:val="left"/>
      <w:pPr>
        <w:ind w:left="7995" w:hanging="780"/>
      </w:pPr>
      <w:rPr>
        <w:rFonts w:hint="default"/>
        <w:lang w:val="zh-CN" w:eastAsia="zh-CN" w:bidi="zh-CN"/>
      </w:rPr>
    </w:lvl>
  </w:abstractNum>
  <w:abstractNum w:abstractNumId="19">
    <w:nsid w:val="77ECEA79"/>
    <w:multiLevelType w:val="multilevel"/>
    <w:tmpl w:val="77ECEA79"/>
    <w:lvl w:ilvl="0" w:tentative="0">
      <w:start w:val="1"/>
      <w:numFmt w:val="decimal"/>
      <w:lvlText w:val="（%1）"/>
      <w:lvlJc w:val="left"/>
      <w:pPr>
        <w:ind w:left="13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9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443" w:hanging="601"/>
      </w:pPr>
      <w:rPr>
        <w:rFonts w:hint="default"/>
        <w:lang w:val="zh-CN" w:eastAsia="zh-CN" w:bidi="zh-CN"/>
      </w:rPr>
    </w:lvl>
    <w:lvl w:ilvl="7" w:tentative="0">
      <w:start w:val="0"/>
      <w:numFmt w:val="bullet"/>
      <w:lvlText w:val="•"/>
      <w:lvlJc w:val="left"/>
      <w:pPr>
        <w:ind w:left="7294" w:hanging="601"/>
      </w:pPr>
      <w:rPr>
        <w:rFonts w:hint="default"/>
        <w:lang w:val="zh-CN" w:eastAsia="zh-CN" w:bidi="zh-CN"/>
      </w:rPr>
    </w:lvl>
    <w:lvl w:ilvl="8" w:tentative="0">
      <w:start w:val="0"/>
      <w:numFmt w:val="bullet"/>
      <w:lvlText w:val="•"/>
      <w:lvlJc w:val="left"/>
      <w:pPr>
        <w:ind w:left="8144" w:hanging="601"/>
      </w:pPr>
      <w:rPr>
        <w:rFonts w:hint="default"/>
        <w:lang w:val="zh-CN" w:eastAsia="zh-CN" w:bidi="zh-CN"/>
      </w:rPr>
    </w:lvl>
  </w:abstractNum>
  <w:abstractNum w:abstractNumId="20">
    <w:nsid w:val="7C246926"/>
    <w:multiLevelType w:val="multilevel"/>
    <w:tmpl w:val="7C246926"/>
    <w:lvl w:ilvl="0" w:tentative="0">
      <w:start w:val="29"/>
      <w:numFmt w:val="decimal"/>
      <w:lvlText w:val="%1."/>
      <w:lvlJc w:val="left"/>
      <w:pPr>
        <w:ind w:left="1221" w:hanging="481"/>
      </w:pPr>
      <w:rPr>
        <w:rFonts w:hint="default"/>
        <w:w w:val="100"/>
        <w:lang w:val="zh-CN" w:eastAsia="zh-CN" w:bidi="zh-CN"/>
      </w:rPr>
    </w:lvl>
    <w:lvl w:ilvl="1" w:tentative="0">
      <w:start w:val="1"/>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1340" w:hanging="600"/>
      </w:pPr>
      <w:rPr>
        <w:rFonts w:hint="default"/>
        <w:lang w:val="zh-CN" w:eastAsia="zh-CN" w:bidi="zh-CN"/>
      </w:rPr>
    </w:lvl>
    <w:lvl w:ilvl="3" w:tentative="0">
      <w:start w:val="0"/>
      <w:numFmt w:val="bullet"/>
      <w:lvlText w:val="•"/>
      <w:lvlJc w:val="left"/>
      <w:pPr>
        <w:ind w:left="2403" w:hanging="600"/>
      </w:pPr>
      <w:rPr>
        <w:rFonts w:hint="default"/>
        <w:lang w:val="zh-CN" w:eastAsia="zh-CN" w:bidi="zh-CN"/>
      </w:rPr>
    </w:lvl>
    <w:lvl w:ilvl="4" w:tentative="0">
      <w:start w:val="0"/>
      <w:numFmt w:val="bullet"/>
      <w:lvlText w:val="•"/>
      <w:lvlJc w:val="left"/>
      <w:pPr>
        <w:ind w:left="3466" w:hanging="600"/>
      </w:pPr>
      <w:rPr>
        <w:rFonts w:hint="default"/>
        <w:lang w:val="zh-CN" w:eastAsia="zh-CN" w:bidi="zh-CN"/>
      </w:rPr>
    </w:lvl>
    <w:lvl w:ilvl="5" w:tentative="0">
      <w:start w:val="0"/>
      <w:numFmt w:val="bullet"/>
      <w:lvlText w:val="•"/>
      <w:lvlJc w:val="left"/>
      <w:pPr>
        <w:ind w:left="4529" w:hanging="600"/>
      </w:pPr>
      <w:rPr>
        <w:rFonts w:hint="default"/>
        <w:lang w:val="zh-CN" w:eastAsia="zh-CN" w:bidi="zh-CN"/>
      </w:rPr>
    </w:lvl>
    <w:lvl w:ilvl="6" w:tentative="0">
      <w:start w:val="0"/>
      <w:numFmt w:val="bullet"/>
      <w:lvlText w:val="•"/>
      <w:lvlJc w:val="left"/>
      <w:pPr>
        <w:ind w:left="5593" w:hanging="600"/>
      </w:pPr>
      <w:rPr>
        <w:rFonts w:hint="default"/>
        <w:lang w:val="zh-CN" w:eastAsia="zh-CN" w:bidi="zh-CN"/>
      </w:rPr>
    </w:lvl>
    <w:lvl w:ilvl="7" w:tentative="0">
      <w:start w:val="0"/>
      <w:numFmt w:val="bullet"/>
      <w:lvlText w:val="•"/>
      <w:lvlJc w:val="left"/>
      <w:pPr>
        <w:ind w:left="6656" w:hanging="600"/>
      </w:pPr>
      <w:rPr>
        <w:rFonts w:hint="default"/>
        <w:lang w:val="zh-CN" w:eastAsia="zh-CN" w:bidi="zh-CN"/>
      </w:rPr>
    </w:lvl>
    <w:lvl w:ilvl="8" w:tentative="0">
      <w:start w:val="0"/>
      <w:numFmt w:val="bullet"/>
      <w:lvlText w:val="•"/>
      <w:lvlJc w:val="left"/>
      <w:pPr>
        <w:ind w:left="7719" w:hanging="600"/>
      </w:pPr>
      <w:rPr>
        <w:rFonts w:hint="default"/>
        <w:lang w:val="zh-CN" w:eastAsia="zh-CN" w:bidi="zh-CN"/>
      </w:rPr>
    </w:lvl>
  </w:abstractNum>
  <w:num w:numId="1">
    <w:abstractNumId w:val="0"/>
  </w:num>
  <w:num w:numId="2">
    <w:abstractNumId w:val="12"/>
  </w:num>
  <w:num w:numId="3">
    <w:abstractNumId w:val="16"/>
  </w:num>
  <w:num w:numId="4">
    <w:abstractNumId w:val="9"/>
  </w:num>
  <w:num w:numId="5">
    <w:abstractNumId w:val="11"/>
  </w:num>
  <w:num w:numId="6">
    <w:abstractNumId w:val="8"/>
  </w:num>
  <w:num w:numId="7">
    <w:abstractNumId w:val="2"/>
  </w:num>
  <w:num w:numId="8">
    <w:abstractNumId w:val="15"/>
  </w:num>
  <w:num w:numId="9">
    <w:abstractNumId w:val="18"/>
  </w:num>
  <w:num w:numId="10">
    <w:abstractNumId w:val="10"/>
  </w:num>
  <w:num w:numId="11">
    <w:abstractNumId w:val="3"/>
  </w:num>
  <w:num w:numId="12">
    <w:abstractNumId w:val="20"/>
  </w:num>
  <w:num w:numId="13">
    <w:abstractNumId w:val="19"/>
  </w:num>
  <w:num w:numId="14">
    <w:abstractNumId w:val="6"/>
  </w:num>
  <w:num w:numId="15">
    <w:abstractNumId w:val="17"/>
  </w:num>
  <w:num w:numId="16">
    <w:abstractNumId w:val="1"/>
  </w:num>
  <w:num w:numId="17">
    <w:abstractNumId w:val="14"/>
  </w:num>
  <w:num w:numId="18">
    <w:abstractNumId w:val="7"/>
  </w:num>
  <w:num w:numId="19">
    <w:abstractNumId w:val="13"/>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23"/>
    <w:rsid w:val="00037D23"/>
    <w:rsid w:val="0093313D"/>
    <w:rsid w:val="00951C43"/>
    <w:rsid w:val="047C3306"/>
    <w:rsid w:val="106E4D22"/>
    <w:rsid w:val="110A6EC0"/>
    <w:rsid w:val="12915850"/>
    <w:rsid w:val="14E374FD"/>
    <w:rsid w:val="16FC40A8"/>
    <w:rsid w:val="17493DC9"/>
    <w:rsid w:val="20A82CBB"/>
    <w:rsid w:val="212B44BF"/>
    <w:rsid w:val="30DE023D"/>
    <w:rsid w:val="31FD54D4"/>
    <w:rsid w:val="326B739A"/>
    <w:rsid w:val="35247887"/>
    <w:rsid w:val="3F3D5139"/>
    <w:rsid w:val="44B85F15"/>
    <w:rsid w:val="58CD5CFE"/>
    <w:rsid w:val="5C1C4F89"/>
    <w:rsid w:val="5C3C5C9F"/>
    <w:rsid w:val="5C7E6D8D"/>
    <w:rsid w:val="62A1772E"/>
    <w:rsid w:val="696D4C70"/>
    <w:rsid w:val="6A527CA7"/>
    <w:rsid w:val="6B7020DE"/>
    <w:rsid w:val="76432C97"/>
    <w:rsid w:val="7787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ind w:left="2237"/>
      <w:outlineLvl w:val="0"/>
    </w:pPr>
    <w:rPr>
      <w:rFonts w:ascii="黑体" w:hAnsi="黑体" w:eastAsia="宋体" w:cs="Times New Roman"/>
      <w:b/>
      <w:sz w:val="44"/>
      <w:szCs w:val="72"/>
    </w:rPr>
  </w:style>
  <w:style w:type="paragraph" w:styleId="3">
    <w:name w:val="heading 2"/>
    <w:basedOn w:val="1"/>
    <w:next w:val="1"/>
    <w:qFormat/>
    <w:uiPriority w:val="0"/>
    <w:pPr>
      <w:jc w:val="center"/>
      <w:outlineLvl w:val="1"/>
    </w:pPr>
    <w:rPr>
      <w:rFonts w:ascii="黑体" w:hAnsi="黑体" w:eastAsia="宋体" w:cs="Times New Roman"/>
      <w:b/>
      <w:sz w:val="32"/>
      <w:szCs w:val="44"/>
    </w:rPr>
  </w:style>
  <w:style w:type="paragraph" w:styleId="4">
    <w:name w:val="heading 3"/>
    <w:basedOn w:val="1"/>
    <w:next w:val="1"/>
    <w:qFormat/>
    <w:uiPriority w:val="0"/>
    <w:pPr>
      <w:jc w:val="center"/>
      <w:outlineLvl w:val="2"/>
    </w:pPr>
    <w:rPr>
      <w:rFonts w:ascii="黑体" w:hAnsi="黑体" w:eastAsia="宋体" w:cs="Times New Roman"/>
      <w:b/>
      <w:sz w:val="30"/>
      <w:szCs w:val="30"/>
    </w:rPr>
  </w:style>
  <w:style w:type="paragraph" w:styleId="5">
    <w:name w:val="heading 4"/>
    <w:basedOn w:val="1"/>
    <w:next w:val="1"/>
    <w:qFormat/>
    <w:uiPriority w:val="0"/>
    <w:pPr>
      <w:ind w:left="740"/>
      <w:outlineLvl w:val="3"/>
    </w:pPr>
    <w:rPr>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line="560" w:lineRule="atLeast"/>
      <w:ind w:firstLine="567"/>
      <w:jc w:val="both"/>
    </w:pPr>
    <w:rPr>
      <w:rFonts w:ascii="Times New Roman" w:hAnsi="Times New Roman" w:cs="Times New Roman"/>
      <w:kern w:val="2"/>
      <w:sz w:val="28"/>
      <w:szCs w:val="20"/>
      <w:lang w:eastAsia="zh-CN"/>
    </w:rPr>
  </w:style>
  <w:style w:type="paragraph" w:styleId="7">
    <w:name w:val="toa heading"/>
    <w:basedOn w:val="1"/>
    <w:next w:val="1"/>
    <w:unhideWhenUsed/>
    <w:qFormat/>
    <w:uiPriority w:val="99"/>
    <w:pPr>
      <w:spacing w:before="120"/>
    </w:pPr>
    <w:rPr>
      <w:rFonts w:ascii="Arial" w:hAnsi="Arial" w:cs="Arial"/>
      <w:sz w:val="24"/>
    </w:rPr>
  </w:style>
  <w:style w:type="paragraph" w:styleId="8">
    <w:name w:val="Body Text"/>
    <w:basedOn w:val="1"/>
    <w:next w:val="9"/>
    <w:qFormat/>
    <w:uiPriority w:val="0"/>
    <w:pPr>
      <w:ind w:left="730"/>
    </w:pPr>
    <w:rPr>
      <w:rFonts w:ascii="宋体" w:hAnsi="宋体" w:cs="Times New Roman"/>
      <w:sz w:val="23"/>
      <w:szCs w:val="23"/>
    </w:rPr>
  </w:style>
  <w:style w:type="paragraph" w:customStyle="1" w:styleId="9">
    <w:name w:val="style4"/>
    <w:basedOn w:val="1"/>
    <w:next w:val="10"/>
    <w:qFormat/>
    <w:uiPriority w:val="0"/>
    <w:pPr>
      <w:widowControl/>
      <w:autoSpaceDE/>
      <w:autoSpaceDN/>
      <w:spacing w:before="280" w:after="280" w:line="240" w:lineRule="auto"/>
      <w:ind w:left="0" w:firstLine="0"/>
      <w:jc w:val="both"/>
    </w:pPr>
    <w:rPr>
      <w:rFonts w:ascii="宋体" w:eastAsia="宋体"/>
      <w:sz w:val="18"/>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Body Text Indent"/>
    <w:basedOn w:val="1"/>
    <w:next w:val="12"/>
    <w:unhideWhenUsed/>
    <w:qFormat/>
    <w:uiPriority w:val="0"/>
    <w:pPr>
      <w:spacing w:line="360" w:lineRule="auto"/>
      <w:ind w:firstLine="353" w:firstLineChars="147"/>
    </w:pPr>
    <w:rPr>
      <w:rFonts w:ascii="宋体" w:hAnsi="宋体"/>
      <w:kern w:val="0"/>
      <w:sz w:val="24"/>
    </w:rPr>
  </w:style>
  <w:style w:type="paragraph" w:styleId="12">
    <w:name w:val="envelope return"/>
    <w:basedOn w:val="1"/>
    <w:qFormat/>
    <w:uiPriority w:val="99"/>
    <w:rPr>
      <w:rFonts w:ascii="Arial" w:hAnsi="Arial"/>
    </w:rPr>
  </w:style>
  <w:style w:type="paragraph" w:styleId="13">
    <w:name w:val="Plain Text"/>
    <w:basedOn w:val="1"/>
    <w:next w:val="14"/>
    <w:qFormat/>
    <w:uiPriority w:val="0"/>
    <w:pPr>
      <w:adjustRightInd w:val="0"/>
      <w:textAlignment w:val="baseline"/>
    </w:pPr>
    <w:rPr>
      <w:rFonts w:ascii="宋体" w:hAnsi="Courier New" w:eastAsia="宋体" w:cs="Times New Roman"/>
      <w:kern w:val="0"/>
      <w:sz w:val="20"/>
      <w:szCs w:val="20"/>
    </w:rPr>
  </w:style>
  <w:style w:type="paragraph" w:styleId="14">
    <w:name w:val="index 7"/>
    <w:basedOn w:val="1"/>
    <w:next w:val="1"/>
    <w:unhideWhenUsed/>
    <w:qFormat/>
    <w:uiPriority w:val="99"/>
    <w:pPr>
      <w:ind w:left="1200" w:leftChars="1200"/>
    </w:pPr>
  </w:style>
  <w:style w:type="paragraph" w:styleId="15">
    <w:name w:val="footer"/>
    <w:basedOn w:val="1"/>
    <w:unhideWhenUsed/>
    <w:qFormat/>
    <w:uiPriority w:val="99"/>
    <w:pPr>
      <w:tabs>
        <w:tab w:val="center" w:pos="4153"/>
        <w:tab w:val="right" w:pos="8306"/>
      </w:tabs>
      <w:snapToGrid w:val="0"/>
    </w:pPr>
    <w:rPr>
      <w:rFonts w:ascii="Times New Roman" w:hAnsi="Times New Roman" w:cs="Times New Roman"/>
      <w:sz w:val="18"/>
      <w:szCs w:val="18"/>
    </w:rPr>
  </w:style>
  <w:style w:type="paragraph" w:styleId="1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2"/>
    <w:basedOn w:val="1"/>
    <w:next w:val="1"/>
    <w:unhideWhenUsed/>
    <w:qFormat/>
    <w:uiPriority w:val="39"/>
    <w:pPr>
      <w:spacing w:line="440" w:lineRule="exact"/>
      <w:ind w:firstLine="300"/>
    </w:pPr>
    <w:rPr>
      <w:rFonts w:ascii="Calibri" w:hAnsi="Calibri" w:cs="Calibri"/>
      <w:smallCaps/>
      <w:sz w:val="20"/>
      <w:szCs w:val="20"/>
    </w:rPr>
  </w:style>
  <w:style w:type="paragraph" w:styleId="18">
    <w:name w:val="Body Text 2"/>
    <w:basedOn w:val="1"/>
    <w:next w:val="8"/>
    <w:qFormat/>
    <w:uiPriority w:val="0"/>
    <w:pPr>
      <w:spacing w:after="120" w:line="480" w:lineRule="auto"/>
      <w:jc w:val="both"/>
    </w:pPr>
    <w:rPr>
      <w:rFonts w:ascii="Times New Roman" w:hAnsi="Times New Roman" w:cs="Times New Roman"/>
      <w:kern w:val="2"/>
      <w:sz w:val="21"/>
      <w:szCs w:val="20"/>
      <w:lang w:eastAsia="zh-CN"/>
    </w:rPr>
  </w:style>
  <w:style w:type="paragraph" w:styleId="19">
    <w:name w:val="Normal (Web)"/>
    <w:basedOn w:val="1"/>
    <w:unhideWhenUsed/>
    <w:qFormat/>
    <w:uiPriority w:val="0"/>
    <w:pPr>
      <w:widowControl/>
      <w:spacing w:before="100" w:beforeAutospacing="1" w:after="100" w:afterAutospacing="1"/>
    </w:pPr>
    <w:rPr>
      <w:rFonts w:ascii="宋体" w:hAnsi="宋体" w:cs="宋体"/>
      <w:sz w:val="24"/>
      <w:szCs w:val="24"/>
      <w:lang w:eastAsia="zh-CN"/>
    </w:rPr>
  </w:style>
  <w:style w:type="paragraph" w:styleId="20">
    <w:name w:val="Title"/>
    <w:basedOn w:val="17"/>
    <w:next w:val="1"/>
    <w:qFormat/>
    <w:uiPriority w:val="0"/>
    <w:pPr>
      <w:spacing w:before="240" w:after="60"/>
      <w:jc w:val="center"/>
      <w:outlineLvl w:val="0"/>
    </w:pPr>
    <w:rPr>
      <w:rFonts w:ascii="Cambria" w:hAnsi="Cambria" w:cs="Times New Roman"/>
      <w:b/>
      <w:bCs/>
      <w:kern w:val="2"/>
      <w:sz w:val="32"/>
      <w:szCs w:val="32"/>
    </w:rPr>
  </w:style>
  <w:style w:type="paragraph" w:styleId="21">
    <w:name w:val="Body Text First Indent 2"/>
    <w:basedOn w:val="11"/>
    <w:next w:val="1"/>
    <w:qFormat/>
    <w:uiPriority w:val="0"/>
    <w:pPr>
      <w:ind w:firstLine="20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FollowedHyperlink"/>
    <w:basedOn w:val="24"/>
    <w:semiHidden/>
    <w:unhideWhenUsed/>
    <w:qFormat/>
    <w:uiPriority w:val="99"/>
    <w:rPr>
      <w:color w:val="444444"/>
      <w:sz w:val="21"/>
      <w:szCs w:val="21"/>
      <w:u w:val="none"/>
    </w:rPr>
  </w:style>
  <w:style w:type="character" w:styleId="27">
    <w:name w:val="Hyperlink"/>
    <w:basedOn w:val="24"/>
    <w:semiHidden/>
    <w:unhideWhenUsed/>
    <w:qFormat/>
    <w:uiPriority w:val="99"/>
    <w:rPr>
      <w:color w:val="444444"/>
      <w:sz w:val="21"/>
      <w:szCs w:val="21"/>
      <w:u w:val="none"/>
    </w:rPr>
  </w:style>
  <w:style w:type="character" w:customStyle="1" w:styleId="28">
    <w:name w:val="hover17"/>
    <w:basedOn w:val="24"/>
    <w:qFormat/>
    <w:uiPriority w:val="0"/>
  </w:style>
  <w:style w:type="character" w:customStyle="1" w:styleId="29">
    <w:name w:val="hover18"/>
    <w:basedOn w:val="24"/>
    <w:qFormat/>
    <w:uiPriority w:val="0"/>
  </w:style>
  <w:style w:type="paragraph" w:customStyle="1" w:styleId="30">
    <w:name w:val="样式 标题 2 + Times New Roman 四号 非加粗 段前: 5 磅 段后: 0 磅 行距: 固定值 20..."/>
    <w:basedOn w:val="3"/>
    <w:qFormat/>
    <w:uiPriority w:val="0"/>
    <w:pPr>
      <w:spacing w:before="100" w:line="400" w:lineRule="exact"/>
    </w:pPr>
    <w:rPr>
      <w:rFonts w:ascii="Times New Roman" w:hAnsi="Times New Roman"/>
      <w:bCs/>
      <w:sz w:val="28"/>
      <w:szCs w:val="20"/>
    </w:rPr>
  </w:style>
  <w:style w:type="paragraph" w:customStyle="1" w:styleId="31">
    <w:name w:val="Default"/>
    <w:basedOn w:val="20"/>
    <w:next w:val="32"/>
    <w:qFormat/>
    <w:uiPriority w:val="0"/>
    <w:pPr>
      <w:widowControl w:val="0"/>
      <w:autoSpaceDE w:val="0"/>
      <w:autoSpaceDN w:val="0"/>
      <w:adjustRightInd w:val="0"/>
    </w:pPr>
    <w:rPr>
      <w:rFonts w:ascii="宋体"/>
      <w:color w:val="000000"/>
      <w:sz w:val="24"/>
      <w:szCs w:val="24"/>
      <w:lang w:val="en-US" w:eastAsia="zh-CN" w:bidi="ar-SA"/>
    </w:rPr>
  </w:style>
  <w:style w:type="paragraph" w:customStyle="1" w:styleId="32">
    <w:name w:val="正文 A"/>
    <w:next w:val="31"/>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33">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Table Paragraph"/>
    <w:basedOn w:val="1"/>
    <w:qFormat/>
    <w:uiPriority w:val="0"/>
  </w:style>
  <w:style w:type="paragraph" w:styleId="36">
    <w:name w:val="List Paragraph"/>
    <w:basedOn w:val="1"/>
    <w:qFormat/>
    <w:uiPriority w:val="0"/>
    <w:pPr>
      <w:ind w:left="320"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24321</Words>
  <Characters>26339</Characters>
  <Lines>1</Lines>
  <Paragraphs>1</Paragraphs>
  <TotalTime>66</TotalTime>
  <ScaleCrop>false</ScaleCrop>
  <LinksUpToDate>false</LinksUpToDate>
  <CharactersWithSpaces>27078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2022-12-14T08:50:00Z</dcterms:created>
  <dc:creator>xb21cn</dc:creator>
  <cp:lastModifiedBy>云帆</cp:lastModifiedBy>
  <cp:lastPrinted>2025-03-31T02:44:00Z</cp:lastPrinted>
  <dcterms:modified xsi:type="dcterms:W3CDTF">2025-06-20T12:22:58Z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eyJoZGlkIjoiNmIxMTE1ZDg0YzdhZDk5M2UzZGFiY2I2MmJjZWU3NDEiLCJ1c2VySWQiOiIxMjU1MjE1MDU0In0=</vt:lpwstr>
  </property>
  <property fmtid="{D5CDD505-2E9C-101B-9397-08002B2CF9AE}" pid="4" name="ICV">
    <vt:lpwstr>479E2154DE4A4D60B90DAF619A4A43C3_13</vt:lpwstr>
  </property>
</Properties>
</file>