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10F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auto"/>
          <w:kern w:val="0"/>
          <w:sz w:val="44"/>
          <w:szCs w:val="44"/>
          <w:highlight w:val="none"/>
          <w:lang w:val="en-US" w:eastAsia="zh-CN" w:bidi="ar"/>
        </w:rPr>
      </w:pPr>
      <w:bookmarkStart w:id="47" w:name="_GoBack"/>
      <w:bookmarkEnd w:id="47"/>
    </w:p>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44"/>
          <w:szCs w:val="44"/>
          <w:highlight w:val="none"/>
          <w:lang w:val="en-US" w:eastAsia="zh-CN" w:bidi="ar"/>
        </w:rPr>
      </w:pPr>
      <w:r>
        <w:rPr>
          <w:rFonts w:hint="eastAsia" w:ascii="宋体" w:hAnsi="宋体" w:cs="宋体"/>
          <w:b/>
          <w:bCs/>
          <w:color w:val="auto"/>
          <w:kern w:val="0"/>
          <w:sz w:val="44"/>
          <w:szCs w:val="44"/>
          <w:highlight w:val="none"/>
          <w:lang w:val="en-US" w:eastAsia="zh-CN" w:bidi="ar"/>
        </w:rPr>
        <w:t>渑池县妇幼保健院保安劳务服务项目（二次）</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4C22BE64">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4814F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项目编号：渑池竞磋采购-2025-</w:t>
      </w:r>
      <w:r>
        <w:rPr>
          <w:rFonts w:hint="eastAsia" w:ascii="宋体" w:hAnsi="宋体" w:cs="宋体"/>
          <w:b/>
          <w:bCs/>
          <w:color w:val="auto"/>
          <w:kern w:val="0"/>
          <w:sz w:val="28"/>
          <w:szCs w:val="28"/>
          <w:highlight w:val="none"/>
          <w:lang w:val="en-US" w:eastAsia="zh-CN" w:bidi="ar"/>
        </w:rPr>
        <w:t>64</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MCGZ[2025]134-ZC097</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2ABF00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D6B6DF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F95C3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0FEB222">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2141B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25DCB03">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渑池县妇幼保健院</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大业信息技术（河南）有限公司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六</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3F4DA8CC">
          <w:pPr>
            <w:pStyle w:val="46"/>
            <w:tabs>
              <w:tab w:val="right" w:leader="dot" w:pos="902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5"/>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5"/>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渑池县妇幼保健院保安劳务服务项目（二次）</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7月10日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MCGZ[2025]134-ZC097</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渑池县妇幼保健院保安劳务服务项目（二次）</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570000.00元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570000.00元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MCGZ[2025]134-ZC097</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渑池县妇幼保健院保安劳务服务项目（二次）</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570000.00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570000.00</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：渑池县妇幼保健院大门的管理执勤、治安巡逻及公共秩序维护；院区的防火、防盗、防破坏、防各类事故以及大型活动的安全保障、临时性的应急处置等工作。（具体详见竞争性磋商文件第五章）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服务期限：三年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三年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137A05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3.2供应商应具备公安部门核发的《保安服务许可证》；</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7月10日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7月10日08时20分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7月10日08时20分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13DC8B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采购人：渑池县妇幼保健院</w:t>
      </w:r>
    </w:p>
    <w:p w14:paraId="7DC51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地址：渑池县新兴街中段</w:t>
      </w:r>
    </w:p>
    <w:p w14:paraId="2A2AC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联系人：刘女士</w:t>
      </w:r>
    </w:p>
    <w:p w14:paraId="044AC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0398-</w:t>
      </w:r>
      <w:r>
        <w:rPr>
          <w:rFonts w:hint="eastAsia" w:ascii="宋体" w:hAnsi="宋体" w:cs="宋体"/>
          <w:color w:val="auto"/>
          <w:kern w:val="0"/>
          <w:sz w:val="24"/>
          <w:szCs w:val="24"/>
          <w:highlight w:val="none"/>
        </w:rPr>
        <w:t>3068113</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名称：大业信息技术（河南）有限公司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11"/>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682BD7AF">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采购人：渑池县妇幼保健院</w:t>
            </w:r>
          </w:p>
          <w:p w14:paraId="74796829">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地址：渑池县新兴街中段</w:t>
            </w:r>
          </w:p>
          <w:p w14:paraId="0997A033">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联系人：刘女士</w:t>
            </w:r>
          </w:p>
          <w:p w14:paraId="2A428E18">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lang w:val="en-US" w:eastAsia="zh-CN"/>
              </w:rPr>
              <w:t>0398-</w:t>
            </w:r>
            <w:r>
              <w:rPr>
                <w:rFonts w:hint="eastAsia" w:ascii="宋体" w:hAnsi="宋体" w:eastAsia="宋体" w:cs="Times New Roman"/>
                <w:color w:val="auto"/>
                <w:sz w:val="24"/>
                <w:szCs w:val="24"/>
                <w:highlight w:val="none"/>
              </w:rPr>
              <w:t>3068113</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52AACF66">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名称：大业信息技术（河南）有限公司</w:t>
            </w:r>
          </w:p>
          <w:p w14:paraId="0594B408">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地址：河南省郑州市管城回族区紫荆山路63号9层911号</w:t>
            </w:r>
          </w:p>
          <w:p w14:paraId="671FCB9B">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联系人：候女士</w:t>
            </w:r>
          </w:p>
          <w:p w14:paraId="286D16BF">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联系方式：17886686505</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570000.00元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项目名称：渑池县妇幼保健院保安劳务服务项目（二次）</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rPr>
              <w:t>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MCGZ[2025]134-ZC097</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渑池县妇幼保健院大门的管理执勤、治安巡逻及公共秩序维护；院区的防火、防盗、防破坏、防各类事故以及大型活动的安全保障、临时性的应急处置等工作。</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三年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05DE6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2DA3B8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4A791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3939A5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34D70F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3B7A78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3.2供应商应具备公安部门核发的《保安服务许可证》；</w:t>
            </w:r>
          </w:p>
          <w:p w14:paraId="7CCFC5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2E0EC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7B6A70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188AB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7E81C5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7月10日08时20分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w:t>
            </w:r>
            <w:r>
              <w:rPr>
                <w:rFonts w:hint="eastAsia" w:ascii="宋体" w:hAnsi="宋体" w:eastAsia="宋体" w:cs="宋体"/>
                <w:color w:val="auto"/>
                <w:kern w:val="0"/>
                <w:sz w:val="24"/>
                <w:szCs w:val="24"/>
                <w:highlight w:val="none"/>
              </w:rPr>
              <w:t>响应文件制作系统制作的（磋商响应文件制作工具下载地址：</w:t>
            </w:r>
            <w:r>
              <w:rPr>
                <w:rFonts w:hint="eastAsia" w:ascii="宋体" w:hAnsi="宋体" w:eastAsia="宋体" w:cs="宋体"/>
                <w:color w:val="auto"/>
                <w:szCs w:val="21"/>
                <w:highlight w:val="none"/>
              </w:rPr>
              <w:t>http://gzjy.smx.gov.cn/fwzn/004003/20200330/0de4b849-7eb7-4f4e-9a30-ae8b6a961d7f.html</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7月10日08时20分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伍拾柒万元整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570000.00元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34A26E52">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CD8848E">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3.5</w:t>
            </w:r>
          </w:p>
        </w:tc>
        <w:tc>
          <w:tcPr>
            <w:tcW w:w="1838" w:type="dxa"/>
            <w:tcBorders>
              <w:top w:val="single" w:color="auto" w:sz="4" w:space="0"/>
              <w:left w:val="nil"/>
              <w:bottom w:val="single" w:color="auto" w:sz="4" w:space="0"/>
              <w:right w:val="single" w:color="auto" w:sz="4" w:space="0"/>
            </w:tcBorders>
            <w:noWrap w:val="0"/>
            <w:vAlign w:val="center"/>
          </w:tcPr>
          <w:p w14:paraId="7BA9DA43">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所属行业</w:t>
            </w:r>
          </w:p>
        </w:tc>
        <w:tc>
          <w:tcPr>
            <w:tcW w:w="6645" w:type="dxa"/>
            <w:tcBorders>
              <w:top w:val="single" w:color="auto" w:sz="4" w:space="0"/>
              <w:left w:val="nil"/>
              <w:bottom w:val="single" w:color="auto" w:sz="4" w:space="0"/>
              <w:right w:val="single" w:color="auto" w:sz="4" w:space="0"/>
            </w:tcBorders>
            <w:noWrap w:val="0"/>
            <w:vAlign w:val="center"/>
          </w:tcPr>
          <w:p w14:paraId="6C75E22D">
            <w:pPr>
              <w:widowControl/>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租赁和商业服务业</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autoSpaceDE w:val="0"/>
        <w:autoSpaceDN w:val="0"/>
        <w:adjustRightIn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1.1</w:t>
      </w:r>
      <w:r>
        <w:rPr>
          <w:rFonts w:hint="eastAsia" w:ascii="宋体" w:hAnsi="宋体" w:cs="Times New Roman"/>
          <w:color w:val="auto"/>
          <w:sz w:val="24"/>
          <w:szCs w:val="24"/>
          <w:highlight w:val="none"/>
          <w:lang w:eastAsia="zh-CN"/>
        </w:rPr>
        <w:t>服务内容</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5B3454C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1.2资金来源：详见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5EA9B747">
      <w:pPr>
        <w:spacing w:line="460" w:lineRule="exact"/>
        <w:ind w:firstLine="420" w:firstLineChars="1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质量要求：详见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3078B031">
      <w:pPr>
        <w:spacing w:line="460" w:lineRule="exact"/>
        <w:ind w:firstLine="420" w:firstLineChars="175"/>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服务期限</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428EF41C">
      <w:pPr>
        <w:spacing w:line="360" w:lineRule="auto"/>
        <w:ind w:firstLine="42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5服务</w:t>
      </w:r>
      <w:r>
        <w:rPr>
          <w:rFonts w:hint="eastAsia" w:ascii="宋体" w:hAnsi="宋体" w:eastAsia="宋体" w:cs="Times New Roman"/>
          <w:color w:val="auto"/>
          <w:kern w:val="0"/>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5"/>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11"/>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11"/>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131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63DE0DC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EB8C0C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305E2A8">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保安服务许可证</w:t>
            </w:r>
          </w:p>
        </w:tc>
        <w:tc>
          <w:tcPr>
            <w:tcW w:w="5575" w:type="dxa"/>
            <w:noWrap w:val="0"/>
            <w:vAlign w:val="center"/>
          </w:tcPr>
          <w:p w14:paraId="0B6C3D6C">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供应商应具备公安部门核发的《保安服务许可证》</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62F872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三年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11"/>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186"/>
        <w:gridCol w:w="5348"/>
      </w:tblGrid>
      <w:tr w14:paraId="4B6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3E6DC8BE">
            <w:pPr>
              <w:spacing w:line="360" w:lineRule="auto"/>
              <w:jc w:val="center"/>
              <w:rPr>
                <w:rFonts w:hint="eastAsia" w:ascii="宋体" w:hAnsi="宋体" w:cs="宋体"/>
                <w:color w:val="000000"/>
                <w:kern w:val="0"/>
                <w:sz w:val="24"/>
                <w:highlight w:val="none"/>
                <w:shd w:val="clear" w:color="auto" w:fill="FFFFFF"/>
              </w:rPr>
            </w:pPr>
          </w:p>
        </w:tc>
        <w:tc>
          <w:tcPr>
            <w:tcW w:w="2186" w:type="dxa"/>
            <w:noWrap w:val="0"/>
            <w:vAlign w:val="center"/>
          </w:tcPr>
          <w:p w14:paraId="7D9B839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7A186CE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348" w:type="dxa"/>
            <w:noWrap w:val="0"/>
            <w:vAlign w:val="center"/>
          </w:tcPr>
          <w:p w14:paraId="5EF4875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报价得分：30分</w:t>
            </w:r>
          </w:p>
          <w:p w14:paraId="579B6BE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60</w:t>
            </w:r>
            <w:r>
              <w:rPr>
                <w:rFonts w:hint="eastAsia" w:ascii="宋体" w:hAnsi="宋体" w:cs="宋体"/>
                <w:color w:val="000000"/>
                <w:kern w:val="0"/>
                <w:sz w:val="24"/>
                <w:highlight w:val="none"/>
                <w:shd w:val="clear" w:color="auto" w:fill="FFFFFF"/>
              </w:rPr>
              <w:t>分</w:t>
            </w:r>
          </w:p>
          <w:p w14:paraId="3CB6A60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10</w:t>
            </w:r>
            <w:r>
              <w:rPr>
                <w:rFonts w:hint="eastAsia" w:ascii="宋体" w:hAnsi="宋体" w:cs="宋体"/>
                <w:color w:val="000000"/>
                <w:kern w:val="0"/>
                <w:sz w:val="24"/>
                <w:highlight w:val="none"/>
                <w:shd w:val="clear" w:color="auto" w:fill="FFFFFF"/>
              </w:rPr>
              <w:t>分</w:t>
            </w:r>
          </w:p>
        </w:tc>
      </w:tr>
      <w:tr w14:paraId="482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721CA64">
            <w:pPr>
              <w:spacing w:line="360" w:lineRule="auto"/>
              <w:jc w:val="center"/>
              <w:rPr>
                <w:rFonts w:hint="eastAsia" w:ascii="宋体" w:hAnsi="宋体" w:cs="宋体"/>
                <w:color w:val="000000"/>
                <w:kern w:val="0"/>
                <w:sz w:val="24"/>
                <w:highlight w:val="none"/>
                <w:shd w:val="clear" w:color="auto" w:fill="FFFFFF"/>
              </w:rPr>
            </w:pPr>
            <w:bookmarkStart w:id="6" w:name="_bookmark2"/>
            <w:bookmarkEnd w:id="6"/>
            <w:bookmarkStart w:id="7" w:name="七、综合标及其它资料"/>
            <w:bookmarkEnd w:id="7"/>
            <w:r>
              <w:rPr>
                <w:rFonts w:hint="eastAsia" w:ascii="宋体" w:hAnsi="宋体" w:cs="宋体"/>
                <w:color w:val="000000"/>
                <w:kern w:val="0"/>
                <w:sz w:val="24"/>
                <w:highlight w:val="none"/>
                <w:shd w:val="clear" w:color="auto" w:fill="FFFFFF"/>
              </w:rPr>
              <w:t>条款号</w:t>
            </w:r>
          </w:p>
        </w:tc>
        <w:tc>
          <w:tcPr>
            <w:tcW w:w="2186" w:type="dxa"/>
            <w:noWrap w:val="0"/>
            <w:vAlign w:val="top"/>
          </w:tcPr>
          <w:p w14:paraId="29535D4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348" w:type="dxa"/>
            <w:noWrap w:val="0"/>
            <w:vAlign w:val="center"/>
          </w:tcPr>
          <w:p w14:paraId="0A1F5058">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2EF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5EEA7F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66C6B1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（30分）</w:t>
            </w:r>
          </w:p>
        </w:tc>
        <w:tc>
          <w:tcPr>
            <w:tcW w:w="2186" w:type="dxa"/>
            <w:noWrap w:val="0"/>
            <w:vAlign w:val="center"/>
          </w:tcPr>
          <w:p w14:paraId="026E20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348" w:type="dxa"/>
            <w:noWrap w:val="0"/>
            <w:vAlign w:val="center"/>
          </w:tcPr>
          <w:p w14:paraId="04ECCE49">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w:t>
            </w:r>
            <w:r>
              <w:rPr>
                <w:rFonts w:hint="eastAsia" w:ascii="宋体" w:hAnsi="宋体" w:eastAsia="宋体" w:cs="宋体"/>
                <w:sz w:val="24"/>
                <w:szCs w:val="24"/>
                <w:highlight w:val="none"/>
              </w:rPr>
              <w:t>库【2007】2 号</w:t>
            </w:r>
            <w:r>
              <w:rPr>
                <w:rFonts w:hint="eastAsia"/>
                <w:sz w:val="24"/>
                <w:szCs w:val="24"/>
                <w:highlight w:val="none"/>
              </w:rPr>
              <w:t>）规定，综合评分法中的价格分用低价优先法计算，即满足竞争性磋商文件要求且最终磋商价</w:t>
            </w:r>
            <w:r>
              <w:rPr>
                <w:rFonts w:hint="eastAsia" w:ascii="宋体" w:hAnsi="宋体" w:eastAsia="宋体" w:cs="宋体"/>
                <w:sz w:val="24"/>
                <w:szCs w:val="24"/>
                <w:highlight w:val="none"/>
              </w:rPr>
              <w:t>格最低的磋商报价为评标基准价，其价格分为满分30分。</w:t>
            </w:r>
          </w:p>
          <w:p w14:paraId="7249A73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值（30%）×100</w:t>
            </w:r>
          </w:p>
          <w:p w14:paraId="52379432">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（1）本项目专门面向中小企业采购，不再进行价格扣除。</w:t>
            </w:r>
          </w:p>
          <w:p w14:paraId="146D1EE1">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（2）关于监狱企业：视同小微企业。须提供由省级以上监狱管理局、戒毒管理局（含新疆生产建设兵团）出具的属于监狱企业的证明文件。</w:t>
            </w:r>
          </w:p>
          <w:p w14:paraId="20639CA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（3）关于残疾人福利性单位：视同小微企业。须提供完整的“残疾人福利性单位声明函”。</w:t>
            </w:r>
          </w:p>
          <w:p w14:paraId="0EE666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sz w:val="24"/>
                <w:szCs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5C8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66" w:type="dxa"/>
            <w:vMerge w:val="restart"/>
            <w:noWrap w:val="0"/>
            <w:vAlign w:val="center"/>
          </w:tcPr>
          <w:p w14:paraId="769CD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C90D2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9734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1319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652E6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511A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0DDAD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60</w:t>
            </w:r>
            <w:r>
              <w:rPr>
                <w:rFonts w:hint="eastAsia" w:ascii="宋体" w:hAnsi="宋体" w:eastAsia="宋体" w:cs="宋体"/>
                <w:b/>
                <w:sz w:val="24"/>
                <w:szCs w:val="24"/>
                <w:highlight w:val="none"/>
              </w:rPr>
              <w:t>分）</w:t>
            </w:r>
          </w:p>
        </w:tc>
        <w:tc>
          <w:tcPr>
            <w:tcW w:w="2186" w:type="dxa"/>
            <w:shd w:val="clear" w:color="auto" w:fill="auto"/>
            <w:noWrap w:val="0"/>
            <w:vAlign w:val="center"/>
          </w:tcPr>
          <w:p w14:paraId="03B9D120">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对项目的服务理念 （8分）</w:t>
            </w:r>
          </w:p>
        </w:tc>
        <w:tc>
          <w:tcPr>
            <w:tcW w:w="5348" w:type="dxa"/>
            <w:shd w:val="clear" w:color="auto" w:fill="auto"/>
            <w:noWrap w:val="0"/>
            <w:vAlign w:val="center"/>
          </w:tcPr>
          <w:p w14:paraId="5C9B2C27">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针对本项目的概述、服务要求方案的整体理解；分析透彻、合理、全面，明确、可行，服务起点高，针对性强得8分；分析比较合理，涵盖所有服务项目，针对性较强得5分；分析基本合理，管理目标不是很明确、针对性不强得2分；缺项不得分。</w:t>
            </w:r>
          </w:p>
        </w:tc>
      </w:tr>
      <w:tr w14:paraId="37E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866" w:type="dxa"/>
            <w:vMerge w:val="continue"/>
            <w:noWrap w:val="0"/>
            <w:vAlign w:val="top"/>
          </w:tcPr>
          <w:p w14:paraId="5B6B56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4E2E6E7F">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服务方案（10分）</w:t>
            </w:r>
          </w:p>
        </w:tc>
        <w:tc>
          <w:tcPr>
            <w:tcW w:w="5348" w:type="dxa"/>
            <w:shd w:val="clear" w:color="auto" w:fill="auto"/>
            <w:noWrap w:val="0"/>
            <w:vAlign w:val="center"/>
          </w:tcPr>
          <w:p w14:paraId="28D4CE3E">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的整体服务方案中包括但不限于以下分项管理方案：负责院区及重点部位巡逻，维护院区治安安全及有序就医环境；参与消防安全和暴恐事件处置；维护院内交通秩序及车辆有序停放等，方案要求内容涵盖全面、有机统一，要有合理性、详细性、针对性、可操作性。</w:t>
            </w:r>
          </w:p>
          <w:p w14:paraId="11B3AF9A">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第一档：方案全面完善、切合本项目实际、合理可行得10分；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档：</w:t>
            </w:r>
            <w:r>
              <w:rPr>
                <w:rFonts w:hint="eastAsia" w:ascii="宋体" w:hAnsi="宋体" w:eastAsia="宋体" w:cs="宋体"/>
                <w:b w:val="0"/>
                <w:bCs/>
                <w:sz w:val="24"/>
                <w:szCs w:val="24"/>
                <w:highlight w:val="none"/>
                <w:lang w:val="en-US" w:eastAsia="zh-CN"/>
              </w:rPr>
              <w:t>方案较为完善、基本切合本项目实际、合理可行的得7分；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档：</w:t>
            </w:r>
            <w:r>
              <w:rPr>
                <w:rFonts w:hint="eastAsia" w:ascii="宋体" w:hAnsi="宋体" w:eastAsia="宋体" w:cs="宋体"/>
                <w:b w:val="0"/>
                <w:bCs/>
                <w:sz w:val="24"/>
                <w:szCs w:val="24"/>
                <w:highlight w:val="none"/>
                <w:lang w:val="en-US" w:eastAsia="zh-CN"/>
              </w:rPr>
              <w:t>方案不完善、与本项目实际切合程度较差的得3分；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档</w:t>
            </w:r>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lang w:val="en-US" w:eastAsia="zh-CN"/>
              </w:rPr>
              <w:t>未提供的得0分</w:t>
            </w:r>
          </w:p>
        </w:tc>
      </w:tr>
      <w:tr w14:paraId="626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866" w:type="dxa"/>
            <w:vMerge w:val="continue"/>
            <w:noWrap w:val="0"/>
            <w:vAlign w:val="top"/>
          </w:tcPr>
          <w:p w14:paraId="35A3E9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6BC657F7">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人员配备要求（8分）</w:t>
            </w:r>
          </w:p>
        </w:tc>
        <w:tc>
          <w:tcPr>
            <w:tcW w:w="5348" w:type="dxa"/>
            <w:shd w:val="clear" w:color="auto" w:fill="auto"/>
            <w:noWrap w:val="0"/>
            <w:vAlign w:val="center"/>
          </w:tcPr>
          <w:p w14:paraId="4F85BACD">
            <w:pPr>
              <w:spacing w:line="360"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根据保安的服务内容、标准和本项目实际情况拟配置各岗位人员的年龄结构、专业技能、文化程度、综合素质。各岗位的分配方案，人员配备年龄老、中、青搭配合理、科学、优化。 </w:t>
            </w:r>
          </w:p>
          <w:p w14:paraId="4A05B95D">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第一档：方案全面完善、切合本项目实际、合理可行得8分；第二档：方案较为完善、基本切合本项目实际、合理可行的得5分；第三档：方案不完善、与本项目实际切合程度较差的得2分；第四档：未提供的得0分</w:t>
            </w:r>
          </w:p>
        </w:tc>
      </w:tr>
      <w:tr w14:paraId="788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6CEA83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71EFE047">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人员培训（8分）</w:t>
            </w:r>
          </w:p>
        </w:tc>
        <w:tc>
          <w:tcPr>
            <w:tcW w:w="5348" w:type="dxa"/>
            <w:shd w:val="clear" w:color="auto" w:fill="auto"/>
            <w:noWrap w:val="0"/>
            <w:vAlign w:val="center"/>
          </w:tcPr>
          <w:p w14:paraId="110B292A">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完善的岗前培训和在岗培训制度，对工作的开展与提升有较强的指导作用。培训计划方案内容详实，科学、合理，考虑周全，措施到位，针对性强，充分满足使用方需要，得8分；内容完整，基本满足使用方的需要，得5分；内容基本完整，满足使用方需要有所欠缺，得2分；缺项不得分。</w:t>
            </w:r>
          </w:p>
        </w:tc>
      </w:tr>
      <w:tr w14:paraId="34EC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1F8480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01300990">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管理制度（8分）</w:t>
            </w:r>
          </w:p>
        </w:tc>
        <w:tc>
          <w:tcPr>
            <w:tcW w:w="5348" w:type="dxa"/>
            <w:shd w:val="clear" w:color="auto" w:fill="auto"/>
            <w:noWrap w:val="0"/>
            <w:vAlign w:val="center"/>
          </w:tcPr>
          <w:p w14:paraId="156238F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对投标人人事用工、持证上岗、优质服务、劳动分配、岗位职责、工作守则、成本核算、监控检查、考核奖惩等制度等进行横向比较后，第一档：方案全面完善、切合本项目实际、合理可行得8分；第二档：方案较为完善、基本切合本项目实际、合理可行的得5分；第三档：方案不完善、与本项目实际切合程度较差的得3分；第四档：未提供的得0分</w:t>
            </w:r>
            <w:r>
              <w:rPr>
                <w:rFonts w:hint="eastAsia" w:ascii="宋体" w:hAnsi="宋体" w:eastAsia="宋体" w:cs="宋体"/>
                <w:sz w:val="24"/>
                <w:szCs w:val="24"/>
                <w:highlight w:val="none"/>
                <w:lang w:val="en-US" w:eastAsia="zh-CN"/>
              </w:rPr>
              <w:t>。</w:t>
            </w:r>
          </w:p>
        </w:tc>
      </w:tr>
      <w:tr w14:paraId="2F1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33F1B7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477BAB8A">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服务质量保证措施（6分）</w:t>
            </w:r>
          </w:p>
        </w:tc>
        <w:tc>
          <w:tcPr>
            <w:tcW w:w="5348" w:type="dxa"/>
            <w:shd w:val="clear" w:color="auto" w:fill="auto"/>
            <w:noWrap w:val="0"/>
            <w:vAlign w:val="center"/>
          </w:tcPr>
          <w:p w14:paraId="2EA51EC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供应商针对本项目需求，制定服务目标和服务质量保证措施；服务质量检查、管理方法和标准；满意度测评等。内容详实、操作性强得6分；内容完整、方案合理得 4分；内容不完整得2分；缺项不得分。</w:t>
            </w:r>
          </w:p>
        </w:tc>
      </w:tr>
      <w:tr w14:paraId="390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66" w:type="dxa"/>
            <w:vMerge w:val="continue"/>
            <w:noWrap w:val="0"/>
            <w:vAlign w:val="top"/>
          </w:tcPr>
          <w:p w14:paraId="7F8809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2D4C97F7">
            <w:pPr>
              <w:wordWrap/>
              <w:topLinePunct w:val="0"/>
              <w:bidi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rPr>
              <w:t>档案的建立与管理</w:t>
            </w:r>
            <w:r>
              <w:rPr>
                <w:rFonts w:hint="eastAsia" w:ascii="宋体" w:hAnsi="宋体" w:eastAsia="宋体" w:cs="宋体"/>
                <w:b w:val="0"/>
                <w:bCs/>
                <w:sz w:val="24"/>
                <w:szCs w:val="24"/>
                <w:highlight w:val="none"/>
                <w:lang w:val="en-US" w:eastAsia="zh-CN"/>
              </w:rPr>
              <w:t>（6分）</w:t>
            </w:r>
          </w:p>
        </w:tc>
        <w:tc>
          <w:tcPr>
            <w:tcW w:w="5348" w:type="dxa"/>
            <w:shd w:val="clear" w:color="auto" w:fill="auto"/>
            <w:noWrap w:val="0"/>
            <w:vAlign w:val="center"/>
          </w:tcPr>
          <w:p w14:paraId="4116DFBF">
            <w:pPr>
              <w:bidi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spacing w:val="-4"/>
                <w:sz w:val="24"/>
                <w:szCs w:val="24"/>
                <w:highlight w:val="none"/>
                <w:lang w:val="en-US" w:eastAsia="zh-CN"/>
              </w:rPr>
              <w:t>供应商针对本项目特点，制定档案管理方案。方案应包括但不限于：档案建立、人员及物资等档案类别、档案日常管理、档案接收移交管理等内容。根据档案管理方案的全面性、合理性、可行性评分。全面、合理、可行得6分；较全面、较合理、较可行得4分；不全面、不合理、不可行得2分；缺项不得分。</w:t>
            </w:r>
          </w:p>
        </w:tc>
      </w:tr>
      <w:tr w14:paraId="254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43C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3E33B849">
            <w:pPr>
              <w:wordWrap/>
              <w:topLinePunct w:val="0"/>
              <w:bidi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rPr>
              <w:t>突发事件应急方案</w:t>
            </w:r>
            <w:r>
              <w:rPr>
                <w:rFonts w:hint="eastAsia" w:ascii="宋体" w:hAnsi="宋体" w:eastAsia="宋体" w:cs="宋体"/>
                <w:b w:val="0"/>
                <w:bCs/>
                <w:sz w:val="24"/>
                <w:szCs w:val="24"/>
                <w:highlight w:val="none"/>
                <w:lang w:val="en-US" w:eastAsia="zh-CN"/>
              </w:rPr>
              <w:t>（6分）</w:t>
            </w:r>
          </w:p>
        </w:tc>
        <w:tc>
          <w:tcPr>
            <w:tcW w:w="5348" w:type="dxa"/>
            <w:shd w:val="clear" w:color="auto" w:fill="auto"/>
            <w:noWrap w:val="0"/>
            <w:vAlign w:val="center"/>
          </w:tcPr>
          <w:p w14:paraId="29B815FB">
            <w:pPr>
              <w:bidi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spacing w:val="-4"/>
                <w:sz w:val="24"/>
                <w:szCs w:val="24"/>
                <w:highlight w:val="none"/>
                <w:lang w:val="en-US" w:eastAsia="zh-CN"/>
              </w:rPr>
              <w:t>供应商针对本项目制定全面的关于应对突发事件（包含但不限于交通事故、交通堵塞、围堵大门、火情、盗抢等）应急预案且能够在短时间内有能力抽调一定数量人员处理突发事件的，预案完整齐全性、具有可操作性、合理周密、切实可行的得6分；预案不太完整、可操作性一般、合理周密一般、切实可行一般的得4分；预案较差、可行性较差得2分；未提供的不得分。</w:t>
            </w:r>
          </w:p>
        </w:tc>
      </w:tr>
      <w:tr w14:paraId="5DF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center"/>
          </w:tcPr>
          <w:p w14:paraId="3138E6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17AF8A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213DB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186" w:type="dxa"/>
            <w:noWrap w:val="0"/>
            <w:vAlign w:val="center"/>
          </w:tcPr>
          <w:p w14:paraId="657EB279">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79F164A1">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348" w:type="dxa"/>
            <w:noWrap w:val="0"/>
            <w:vAlign w:val="center"/>
          </w:tcPr>
          <w:p w14:paraId="4532D8BD">
            <w:pPr>
              <w:widowControl/>
              <w:spacing w:line="360" w:lineRule="auto"/>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遇到重大活动积极配合及保障措施（6分）；</w:t>
            </w:r>
          </w:p>
          <w:p w14:paraId="7CEB4984">
            <w:pPr>
              <w:widowControl/>
              <w:spacing w:line="360" w:lineRule="auto"/>
              <w:jc w:val="left"/>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执行性强，且有完善的保障措施（</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14:paraId="67A16AC7">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执行性较强，且有较完善的保障措施（</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14:paraId="5435AB78">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执行性不强，保障措施不完善（</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tc>
      </w:tr>
      <w:tr w14:paraId="7D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343915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557846C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23CE70A4">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5348" w:type="dxa"/>
            <w:noWrap w:val="0"/>
            <w:vAlign w:val="center"/>
          </w:tcPr>
          <w:p w14:paraId="47D8FD00">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供应商提供类似业绩，每提供一份得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分，此项最多可得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分，未提供则不得分。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3"/>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8" w:name="_Toc19644"/>
      <w:r>
        <w:rPr>
          <w:rFonts w:hint="eastAsia"/>
          <w:b/>
          <w:color w:val="auto"/>
          <w:sz w:val="32"/>
          <w:highlight w:val="none"/>
        </w:rPr>
        <w:t>合同主要条款及格式</w:t>
      </w:r>
      <w:bookmarkEnd w:id="8"/>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670EFE1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9" w:name="_Toc21139"/>
      <w:r>
        <w:rPr>
          <w:rFonts w:hint="eastAsia" w:cs="Times New Roman"/>
          <w:b/>
          <w:color w:val="auto"/>
          <w:sz w:val="32"/>
          <w:highlight w:val="none"/>
          <w:lang w:val="en-US" w:eastAsia="zh-CN"/>
        </w:rPr>
        <w:t xml:space="preserve">第五章 </w:t>
      </w:r>
      <w:bookmarkEnd w:id="9"/>
      <w:r>
        <w:rPr>
          <w:rFonts w:hint="eastAsia" w:cs="Times New Roman"/>
          <w:b/>
          <w:color w:val="auto"/>
          <w:sz w:val="32"/>
          <w:highlight w:val="none"/>
          <w:lang w:val="en-US" w:eastAsia="zh-CN"/>
        </w:rPr>
        <w:t>服务要求</w:t>
      </w:r>
      <w:bookmarkStart w:id="10" w:name="_Toc13307"/>
    </w:p>
    <w:p w14:paraId="460EDC19">
      <w:pPr>
        <w:keepNext w:val="0"/>
        <w:keepLines w:val="0"/>
        <w:pageBreakBefore w:val="0"/>
        <w:widowControl w:val="0"/>
        <w:numPr>
          <w:ilvl w:val="0"/>
          <w:numId w:val="0"/>
        </w:numPr>
        <w:tabs>
          <w:tab w:val="left" w:pos="1283"/>
        </w:tabs>
        <w:kinsoku/>
        <w:wordWrap/>
        <w:overflowPunct/>
        <w:topLinePunct w:val="0"/>
        <w:autoSpaceDE/>
        <w:autoSpaceDN/>
        <w:bidi w:val="0"/>
        <w:adjustRightInd/>
        <w:snapToGrid/>
        <w:spacing w:line="360" w:lineRule="auto"/>
        <w:ind w:leftChars="0" w:right="0" w:rightChars="0" w:firstLine="480" w:firstLineChars="200"/>
        <w:jc w:val="both"/>
        <w:textAlignment w:val="auto"/>
        <w:outlineLvl w:val="0"/>
        <w:rPr>
          <w:rFonts w:hint="eastAsia" w:ascii="宋体" w:hAnsi="宋体" w:eastAsia="宋体" w:cs="宋体"/>
          <w:sz w:val="24"/>
          <w:szCs w:val="24"/>
        </w:rPr>
      </w:pPr>
    </w:p>
    <w:p w14:paraId="19AC5E99">
      <w:pPr>
        <w:keepNext w:val="0"/>
        <w:keepLines w:val="0"/>
        <w:pageBreakBefore w:val="0"/>
        <w:widowControl w:val="0"/>
        <w:numPr>
          <w:ilvl w:val="0"/>
          <w:numId w:val="0"/>
        </w:numPr>
        <w:tabs>
          <w:tab w:val="left" w:pos="1283"/>
        </w:tabs>
        <w:kinsoku/>
        <w:wordWrap/>
        <w:overflowPunct/>
        <w:topLinePunct w:val="0"/>
        <w:autoSpaceDE/>
        <w:autoSpaceDN/>
        <w:bidi w:val="0"/>
        <w:adjustRightInd/>
        <w:snapToGrid/>
        <w:spacing w:line="360" w:lineRule="auto"/>
        <w:ind w:leftChars="0" w:right="0" w:rightChars="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rPr>
        <w:t>为切实维护</w:t>
      </w:r>
      <w:r>
        <w:rPr>
          <w:rFonts w:hint="eastAsia" w:ascii="宋体" w:hAnsi="宋体" w:eastAsia="宋体" w:cs="宋体"/>
          <w:sz w:val="24"/>
          <w:szCs w:val="24"/>
          <w:lang w:eastAsia="zh-CN"/>
        </w:rPr>
        <w:t>保障渑池县妇幼保健院安全有序工作及就医环境，</w:t>
      </w:r>
      <w:r>
        <w:rPr>
          <w:rFonts w:hint="eastAsia" w:ascii="宋体" w:hAnsi="宋体" w:eastAsia="宋体" w:cs="宋体"/>
          <w:sz w:val="24"/>
          <w:szCs w:val="24"/>
          <w:lang w:val="en-US" w:eastAsia="zh-CN"/>
        </w:rPr>
        <w:t>计划选聘一家保安公司全权负责医院的安保服务，服务期三年，预算资金：57万元。</w:t>
      </w:r>
    </w:p>
    <w:p w14:paraId="3955B86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1.服务内容</w:t>
      </w:r>
    </w:p>
    <w:p w14:paraId="3AF165C2">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渑池县妇幼保健院大门的管理执勤、治安巡逻及公共秩序维护；院区的防火、防盗、防破坏、防各类事故以及大型活动的安全保障、临时性的应急处置等工作。</w:t>
      </w:r>
    </w:p>
    <w:p w14:paraId="40B47971">
      <w:pPr>
        <w:pStyle w:val="40"/>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2.服务标准</w:t>
      </w:r>
    </w:p>
    <w:p w14:paraId="3659C0AF">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实施标准军事化管理，按要求着装，文明执勤，礼貌待人，热情服务，认真履行岗位职责，保障服务区域内人身财产安全和正常的工作、生活秩序。</w:t>
      </w:r>
    </w:p>
    <w:p w14:paraId="3238D726">
      <w:pPr>
        <w:pStyle w:val="40"/>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3.保安公司人员岗位要求</w:t>
      </w:r>
    </w:p>
    <w:p w14:paraId="3A1E7675">
      <w:pPr>
        <w:pStyle w:val="40"/>
        <w:keepNext w:val="0"/>
        <w:keepLines w:val="0"/>
        <w:pageBreakBefore w:val="0"/>
        <w:widowControl w:val="0"/>
        <w:tabs>
          <w:tab w:val="center" w:pos="4433"/>
        </w:tabs>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1.应具备的基本条件：</w:t>
      </w:r>
    </w:p>
    <w:p w14:paraId="05F9AF16">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公司严格执行《中华人民共和国劳动法》、《中华人民共和国劳动合同法》等国家有关法律法规，具体负责所属人员的招聘、用工手续、用工合同、购买保险、费用支付、发放福利、责任承担及日常管理，并承担合同期间的所有税费。</w:t>
      </w:r>
    </w:p>
    <w:p w14:paraId="1F6455E7">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（2）年龄在35周岁至55周岁之间，身体健康状况良好，保证每年至少一次体检；</w:t>
      </w:r>
    </w:p>
    <w:p w14:paraId="517988D5">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（3）政治素质高、政治历史清白、无违法犯罪记录；</w:t>
      </w:r>
    </w:p>
    <w:p w14:paraId="274A60EB">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（4）经过严格岗前培训，持有保安员证，业务素质高，专业能力强；</w:t>
      </w:r>
    </w:p>
    <w:p w14:paraId="2C43862E">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（5）品行良好，纪律严明，工作认真负责；</w:t>
      </w:r>
    </w:p>
    <w:p w14:paraId="67B1BDEC">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2.忠于职守，切实履行岗位职责，遵守中医院的各项管理规定</w:t>
      </w:r>
    </w:p>
    <w:p w14:paraId="692FB63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3.严格按规定着装，佩戴保安标志和上岗证，注重仪表仪容，保证执勤岗位的干净整洁。</w:t>
      </w:r>
    </w:p>
    <w:p w14:paraId="4A4C9C3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4.熟悉保安礼仪，坚持文明执勤，礼貌待人，不讲粗话脏话，不与他人发生矛盾冲突。</w:t>
      </w:r>
    </w:p>
    <w:p w14:paraId="1040BE8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5.严格交接班制度和工作纪律，不得空岗、脱岗、睡岗、串岗、提前离岗。</w:t>
      </w:r>
    </w:p>
    <w:p w14:paraId="3385A0D3">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6.牢记常用紧急电话，记清直属上级领导的联系方式。</w:t>
      </w:r>
    </w:p>
    <w:p w14:paraId="128787B7">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7.在岗期间保证通讯畅通，相互配合，加强协作，共同维护好服务区域的安全和秩序。</w:t>
      </w:r>
    </w:p>
    <w:p w14:paraId="0CC352D9">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8.对保安员加强教育和管理，每季度组织不少于一次的岗中培训，并主动接受院方对保安工作的监督、检查和指导，按照提出的意见和建议不断改进工作，提高保安服务水平。</w:t>
      </w:r>
    </w:p>
    <w:p w14:paraId="2BB4DD38">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9.在甲方有紧急任务时，乙方须积极配合，大力支持，满足甲方的保安服务要求。</w:t>
      </w:r>
    </w:p>
    <w:p w14:paraId="0A13A8F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kern w:val="2"/>
          <w:sz w:val="24"/>
          <w:szCs w:val="24"/>
          <w:lang w:val="en-US" w:eastAsia="zh-CN" w:bidi="ar-SA"/>
        </w:rPr>
        <w:t>10.牢固树立为</w:t>
      </w:r>
      <w:r>
        <w:rPr>
          <w:rFonts w:hint="eastAsia" w:ascii="宋体" w:hAnsi="宋体" w:cs="宋体"/>
          <w:kern w:val="2"/>
          <w:sz w:val="24"/>
          <w:szCs w:val="24"/>
          <w:lang w:val="en-US" w:eastAsia="zh-CN" w:bidi="ar-SA"/>
        </w:rPr>
        <w:t>妇幼保健院</w:t>
      </w:r>
      <w:r>
        <w:rPr>
          <w:rFonts w:hint="eastAsia" w:ascii="宋体" w:hAnsi="宋体" w:eastAsia="宋体" w:cs="宋体"/>
          <w:kern w:val="2"/>
          <w:sz w:val="24"/>
          <w:szCs w:val="24"/>
          <w:lang w:val="en-US" w:eastAsia="zh-CN" w:bidi="ar-SA"/>
        </w:rPr>
        <w:t>服务的思想，做好便民服务，提供力所能及的帮助。</w:t>
      </w:r>
    </w:p>
    <w:p w14:paraId="6A843151">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10"/>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11"/>
        <w:rPr>
          <w:b/>
          <w:color w:val="auto"/>
          <w:sz w:val="40"/>
          <w:highlight w:val="none"/>
        </w:rPr>
      </w:pPr>
    </w:p>
    <w:p w14:paraId="2BED2D93">
      <w:pPr>
        <w:pStyle w:val="11"/>
        <w:rPr>
          <w:b/>
          <w:color w:val="auto"/>
          <w:sz w:val="40"/>
          <w:highlight w:val="none"/>
        </w:rPr>
      </w:pPr>
    </w:p>
    <w:p w14:paraId="74C42B77">
      <w:pPr>
        <w:pStyle w:val="11"/>
        <w:rPr>
          <w:b/>
          <w:color w:val="auto"/>
          <w:sz w:val="40"/>
          <w:highlight w:val="none"/>
        </w:rPr>
      </w:pPr>
    </w:p>
    <w:p w14:paraId="19C76406">
      <w:pPr>
        <w:pStyle w:val="11"/>
        <w:rPr>
          <w:b/>
          <w:color w:val="auto"/>
          <w:sz w:val="40"/>
          <w:highlight w:val="none"/>
        </w:rPr>
      </w:pPr>
    </w:p>
    <w:p w14:paraId="64D3BC04">
      <w:pPr>
        <w:pStyle w:val="11"/>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11"/>
        <w:rPr>
          <w:color w:val="auto"/>
          <w:sz w:val="72"/>
          <w:highlight w:val="none"/>
        </w:rPr>
      </w:pPr>
    </w:p>
    <w:p w14:paraId="42929244">
      <w:pPr>
        <w:pStyle w:val="11"/>
        <w:rPr>
          <w:color w:val="auto"/>
          <w:sz w:val="72"/>
          <w:highlight w:val="none"/>
        </w:rPr>
      </w:pPr>
    </w:p>
    <w:p w14:paraId="3A212403">
      <w:pPr>
        <w:pStyle w:val="11"/>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7"/>
        <w:ind w:left="0" w:leftChars="0" w:firstLine="0" w:firstLineChars="0"/>
        <w:jc w:val="center"/>
        <w:outlineLvl w:val="1"/>
        <w:rPr>
          <w:b/>
          <w:bCs/>
          <w:color w:val="auto"/>
          <w:sz w:val="32"/>
          <w:szCs w:val="32"/>
          <w:highlight w:val="none"/>
        </w:rPr>
      </w:pPr>
      <w:bookmarkStart w:id="11" w:name="_bookmark5"/>
      <w:bookmarkEnd w:id="11"/>
      <w:bookmarkStart w:id="12" w:name="一、投标函及投标函附录"/>
      <w:bookmarkEnd w:id="12"/>
      <w:r>
        <w:rPr>
          <w:b/>
          <w:bCs/>
          <w:color w:val="auto"/>
          <w:sz w:val="32"/>
          <w:szCs w:val="32"/>
          <w:highlight w:val="none"/>
        </w:rPr>
        <w:t>一、投标函及投标函附录</w:t>
      </w:r>
    </w:p>
    <w:p w14:paraId="512C4CD8">
      <w:pPr>
        <w:pStyle w:val="11"/>
        <w:spacing w:before="2"/>
        <w:rPr>
          <w:b/>
          <w:color w:val="auto"/>
          <w:sz w:val="30"/>
          <w:highlight w:val="none"/>
        </w:rPr>
      </w:pPr>
    </w:p>
    <w:p w14:paraId="39DF8749">
      <w:pPr>
        <w:pStyle w:val="9"/>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11"/>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11"/>
        <w:rPr>
          <w:rFonts w:hint="eastAsia" w:ascii="宋体" w:hAnsi="宋体" w:eastAsia="宋体" w:cs="宋体"/>
          <w:color w:val="auto"/>
          <w:sz w:val="24"/>
          <w:szCs w:val="24"/>
          <w:highlight w:val="none"/>
        </w:rPr>
      </w:pPr>
    </w:p>
    <w:p w14:paraId="23E1691B">
      <w:pPr>
        <w:pStyle w:val="11"/>
        <w:spacing w:before="7"/>
        <w:rPr>
          <w:rFonts w:hint="eastAsia" w:ascii="宋体" w:hAnsi="宋体" w:eastAsia="宋体" w:cs="宋体"/>
          <w:color w:val="auto"/>
          <w:sz w:val="24"/>
          <w:szCs w:val="24"/>
          <w:highlight w:val="none"/>
        </w:rPr>
      </w:pPr>
    </w:p>
    <w:p w14:paraId="0D5A1A92">
      <w:pPr>
        <w:pStyle w:val="11"/>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11"/>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11"/>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11"/>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11"/>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11"/>
        <w:spacing w:before="72" w:line="360" w:lineRule="auto"/>
        <w:ind w:left="686"/>
        <w:rPr>
          <w:color w:val="auto"/>
          <w:sz w:val="24"/>
          <w:szCs w:val="24"/>
          <w:highlight w:val="none"/>
        </w:rPr>
      </w:pPr>
      <w:r>
        <w:rPr>
          <w:color w:val="auto"/>
          <w:sz w:val="24"/>
          <w:szCs w:val="24"/>
          <w:highlight w:val="none"/>
        </w:rPr>
        <w:t>经营期限：</w:t>
      </w:r>
    </w:p>
    <w:p w14:paraId="0EB73842">
      <w:pPr>
        <w:pStyle w:val="11"/>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11"/>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11"/>
        <w:spacing w:before="11" w:line="360" w:lineRule="auto"/>
        <w:rPr>
          <w:color w:val="auto"/>
          <w:sz w:val="24"/>
          <w:szCs w:val="24"/>
          <w:highlight w:val="none"/>
        </w:rPr>
      </w:pPr>
    </w:p>
    <w:p w14:paraId="623887CC">
      <w:pPr>
        <w:pStyle w:val="11"/>
        <w:spacing w:before="71" w:line="360" w:lineRule="auto"/>
        <w:ind w:left="1102"/>
        <w:rPr>
          <w:color w:val="auto"/>
          <w:sz w:val="24"/>
          <w:szCs w:val="24"/>
          <w:highlight w:val="none"/>
        </w:rPr>
      </w:pPr>
      <w:r>
        <w:rPr>
          <w:color w:val="auto"/>
          <w:sz w:val="24"/>
          <w:szCs w:val="24"/>
          <w:highlight w:val="none"/>
        </w:rPr>
        <w:t>特此证明。</w:t>
      </w:r>
    </w:p>
    <w:p w14:paraId="167485FC">
      <w:pPr>
        <w:pStyle w:val="11"/>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11"/>
        <w:rPr>
          <w:color w:val="auto"/>
          <w:sz w:val="24"/>
          <w:szCs w:val="24"/>
          <w:highlight w:val="none"/>
        </w:rPr>
      </w:pPr>
    </w:p>
    <w:p w14:paraId="1A237ECA">
      <w:pPr>
        <w:pStyle w:val="11"/>
        <w:rPr>
          <w:color w:val="auto"/>
          <w:sz w:val="24"/>
          <w:szCs w:val="24"/>
          <w:highlight w:val="none"/>
        </w:rPr>
      </w:pPr>
    </w:p>
    <w:p w14:paraId="04D3C952">
      <w:pPr>
        <w:pStyle w:val="11"/>
        <w:rPr>
          <w:color w:val="auto"/>
          <w:sz w:val="24"/>
          <w:szCs w:val="24"/>
          <w:highlight w:val="none"/>
        </w:rPr>
      </w:pPr>
    </w:p>
    <w:p w14:paraId="7B882CFE">
      <w:pPr>
        <w:pStyle w:val="11"/>
        <w:rPr>
          <w:color w:val="auto"/>
          <w:sz w:val="24"/>
          <w:szCs w:val="24"/>
          <w:highlight w:val="none"/>
        </w:rPr>
      </w:pPr>
    </w:p>
    <w:p w14:paraId="439B1AD1">
      <w:pPr>
        <w:pStyle w:val="11"/>
        <w:rPr>
          <w:color w:val="auto"/>
          <w:sz w:val="24"/>
          <w:szCs w:val="24"/>
          <w:highlight w:val="none"/>
        </w:rPr>
      </w:pPr>
    </w:p>
    <w:p w14:paraId="64EB85D3">
      <w:pPr>
        <w:pStyle w:val="11"/>
        <w:spacing w:before="5"/>
        <w:rPr>
          <w:color w:val="auto"/>
          <w:sz w:val="24"/>
          <w:szCs w:val="24"/>
          <w:highlight w:val="none"/>
        </w:rPr>
      </w:pPr>
    </w:p>
    <w:p w14:paraId="04B739B5">
      <w:pPr>
        <w:pStyle w:val="11"/>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11"/>
        <w:spacing w:before="11"/>
        <w:rPr>
          <w:color w:val="auto"/>
          <w:sz w:val="24"/>
          <w:szCs w:val="24"/>
          <w:highlight w:val="none"/>
        </w:rPr>
      </w:pPr>
    </w:p>
    <w:p w14:paraId="2856A9BD">
      <w:pPr>
        <w:pStyle w:val="11"/>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7"/>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3" w:name="_Toc466566810"/>
      <w:bookmarkEnd w:id="13"/>
    </w:p>
    <w:p w14:paraId="2D6FCF8E">
      <w:pPr>
        <w:pStyle w:val="7"/>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11"/>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11"/>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11"/>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11"/>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11"/>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11"/>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11"/>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11"/>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11"/>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11"/>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11"/>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11"/>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11"/>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11"/>
        <w:spacing w:before="4" w:line="360" w:lineRule="auto"/>
        <w:rPr>
          <w:rFonts w:hint="eastAsia" w:ascii="宋体" w:hAnsi="宋体" w:eastAsia="宋体" w:cs="宋体"/>
          <w:color w:val="auto"/>
          <w:sz w:val="24"/>
          <w:szCs w:val="24"/>
          <w:highlight w:val="none"/>
        </w:rPr>
      </w:pPr>
    </w:p>
    <w:p w14:paraId="76975567">
      <w:pPr>
        <w:pStyle w:val="11"/>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11"/>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11"/>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11"/>
        <w:spacing w:before="1" w:line="360" w:lineRule="auto"/>
        <w:ind w:right="237"/>
        <w:rPr>
          <w:rFonts w:hint="eastAsia" w:ascii="宋体" w:hAnsi="宋体" w:eastAsia="宋体" w:cs="宋体"/>
          <w:color w:val="auto"/>
          <w:spacing w:val="-6"/>
          <w:sz w:val="24"/>
          <w:szCs w:val="24"/>
          <w:highlight w:val="none"/>
        </w:rPr>
      </w:pPr>
    </w:p>
    <w:p w14:paraId="278EFB90">
      <w:pPr>
        <w:pStyle w:val="11"/>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4" w:name="_Toc30047"/>
      <w:bookmarkStart w:id="15" w:name="_Toc17170"/>
      <w:bookmarkStart w:id="16" w:name="_Toc27309"/>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E2F6E4B">
      <w:pPr>
        <w:rPr>
          <w:rFonts w:hint="eastAsia" w:ascii="宋体" w:hAnsi="宋体" w:cs="Times New Roman"/>
          <w:b/>
          <w:bCs/>
          <w:color w:val="auto"/>
          <w:sz w:val="32"/>
          <w:szCs w:val="32"/>
          <w:highlight w:val="none"/>
          <w:lang w:val="en-US" w:eastAsia="zh-CN"/>
        </w:rPr>
      </w:pPr>
      <w:bookmarkStart w:id="17" w:name="_Toc1751"/>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八</w:t>
      </w:r>
      <w:r>
        <w:rPr>
          <w:rFonts w:hint="eastAsia" w:ascii="宋体" w:hAnsi="宋体" w:eastAsia="宋体" w:cs="Times New Roman"/>
          <w:b/>
          <w:bCs/>
          <w:color w:val="auto"/>
          <w:sz w:val="32"/>
          <w:szCs w:val="32"/>
          <w:highlight w:val="none"/>
        </w:rPr>
        <w:t>、响应供应商可提交的其他资料</w:t>
      </w:r>
      <w:bookmarkEnd w:id="14"/>
      <w:bookmarkEnd w:id="15"/>
      <w:bookmarkEnd w:id="16"/>
      <w:bookmarkEnd w:id="17"/>
    </w:p>
    <w:p w14:paraId="18A3FF45">
      <w:pPr>
        <w:spacing w:line="360" w:lineRule="auto"/>
        <w:jc w:val="center"/>
        <w:outlineLvl w:val="9"/>
        <w:rPr>
          <w:rFonts w:hint="eastAsia" w:ascii="宋体" w:hAnsi="宋体" w:eastAsia="宋体" w:cs="Times New Roman"/>
          <w:b/>
          <w:color w:val="auto"/>
          <w:sz w:val="32"/>
          <w:szCs w:val="32"/>
          <w:highlight w:val="none"/>
        </w:rPr>
      </w:pPr>
      <w:bookmarkStart w:id="18"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8"/>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9" w:name="_Toc3901"/>
      <w:bookmarkStart w:id="20" w:name="_Toc25037"/>
      <w:bookmarkStart w:id="21" w:name="_Toc28455"/>
      <w:bookmarkStart w:id="22" w:name="_Toc18593"/>
      <w:bookmarkStart w:id="23" w:name="_Toc2102"/>
      <w:bookmarkStart w:id="24" w:name="_Toc27316"/>
      <w:bookmarkStart w:id="25" w:name="_Toc24807"/>
      <w:r>
        <w:rPr>
          <w:rFonts w:hint="eastAsia" w:ascii="宋体" w:hAnsi="宋体" w:eastAsia="宋体" w:cs="宋体"/>
          <w:color w:val="auto"/>
          <w:sz w:val="24"/>
          <w:szCs w:val="24"/>
          <w:highlight w:val="none"/>
        </w:rPr>
        <w:t>附件2</w:t>
      </w:r>
      <w:bookmarkEnd w:id="19"/>
      <w:bookmarkEnd w:id="20"/>
      <w:bookmarkEnd w:id="21"/>
      <w:bookmarkEnd w:id="22"/>
      <w:bookmarkEnd w:id="23"/>
      <w:bookmarkEnd w:id="24"/>
      <w:bookmarkEnd w:id="25"/>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 w:name="_Toc9287"/>
      <w:bookmarkStart w:id="27" w:name="_Toc25118"/>
      <w:bookmarkStart w:id="28" w:name="_Toc12776"/>
      <w:bookmarkStart w:id="29" w:name="_Toc20672"/>
      <w:bookmarkStart w:id="30" w:name="_Toc30785"/>
      <w:bookmarkStart w:id="31" w:name="_Toc20491"/>
      <w:bookmarkStart w:id="32" w:name="_Toc22690"/>
      <w:r>
        <w:rPr>
          <w:rFonts w:hint="eastAsia" w:ascii="宋体" w:hAnsi="宋体" w:eastAsia="宋体" w:cs="宋体"/>
          <w:b/>
          <w:bCs/>
          <w:color w:val="auto"/>
          <w:sz w:val="24"/>
          <w:szCs w:val="24"/>
          <w:highlight w:val="none"/>
          <w:lang w:val="zh-CN"/>
        </w:rPr>
        <w:t>监狱企业证明文件</w:t>
      </w:r>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7118"/>
      <w:bookmarkStart w:id="34" w:name="_Toc27716"/>
      <w:bookmarkStart w:id="35" w:name="_Toc14168"/>
      <w:bookmarkStart w:id="36" w:name="_Toc6264"/>
      <w:bookmarkStart w:id="37" w:name="_Toc16416"/>
      <w:bookmarkStart w:id="38" w:name="_Toc11345"/>
      <w:bookmarkStart w:id="39" w:name="_Toc1643"/>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0" w:name="_Toc24744"/>
      <w:bookmarkStart w:id="41" w:name="_Toc8171"/>
      <w:bookmarkStart w:id="42" w:name="_Toc32130"/>
      <w:bookmarkStart w:id="43" w:name="_Toc12807"/>
      <w:bookmarkStart w:id="44" w:name="_Toc27930"/>
      <w:bookmarkStart w:id="45" w:name="_Toc6118"/>
      <w:bookmarkStart w:id="46" w:name="_Toc25433"/>
      <w:r>
        <w:rPr>
          <w:rFonts w:hint="eastAsia" w:ascii="宋体" w:hAnsi="宋体" w:eastAsia="宋体" w:cs="宋体"/>
          <w:b/>
          <w:bCs/>
          <w:color w:val="auto"/>
          <w:kern w:val="36"/>
          <w:sz w:val="24"/>
          <w:szCs w:val="24"/>
          <w:highlight w:val="none"/>
        </w:rPr>
        <w:t>残疾人福利性单位声明函（如有）</w:t>
      </w:r>
      <w:bookmarkEnd w:id="40"/>
      <w:bookmarkEnd w:id="41"/>
      <w:bookmarkEnd w:id="42"/>
      <w:bookmarkEnd w:id="43"/>
      <w:bookmarkEnd w:id="44"/>
      <w:bookmarkEnd w:id="45"/>
      <w:bookmarkEnd w:id="46"/>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3B6C46B3">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oF//rzKvHdH1jqxMi1Y6j1+U88=" w:salt="IBI7/OuVQZpH8DnEXmYK7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0950240"/>
    <w:rsid w:val="014A4B87"/>
    <w:rsid w:val="01D628BE"/>
    <w:rsid w:val="01FD0970"/>
    <w:rsid w:val="03625857"/>
    <w:rsid w:val="03DB0660"/>
    <w:rsid w:val="041264DF"/>
    <w:rsid w:val="04310280"/>
    <w:rsid w:val="04763EE5"/>
    <w:rsid w:val="04CE19A8"/>
    <w:rsid w:val="05286BE1"/>
    <w:rsid w:val="06F832D7"/>
    <w:rsid w:val="07B70FD5"/>
    <w:rsid w:val="07D433FC"/>
    <w:rsid w:val="07FE2B6F"/>
    <w:rsid w:val="09872A61"/>
    <w:rsid w:val="0A307BBE"/>
    <w:rsid w:val="0A60366D"/>
    <w:rsid w:val="0B022976"/>
    <w:rsid w:val="0B683B84"/>
    <w:rsid w:val="0C193AD3"/>
    <w:rsid w:val="0C8A1028"/>
    <w:rsid w:val="0D2070E4"/>
    <w:rsid w:val="0DB066B9"/>
    <w:rsid w:val="0EF54B41"/>
    <w:rsid w:val="0F1D1B2D"/>
    <w:rsid w:val="0F6F5AF2"/>
    <w:rsid w:val="0F7E2EEA"/>
    <w:rsid w:val="0F8E6BA9"/>
    <w:rsid w:val="0F952BE5"/>
    <w:rsid w:val="0FDA4F44"/>
    <w:rsid w:val="10BB784F"/>
    <w:rsid w:val="11012D1B"/>
    <w:rsid w:val="114535BD"/>
    <w:rsid w:val="116003F7"/>
    <w:rsid w:val="12F73583"/>
    <w:rsid w:val="13DF3855"/>
    <w:rsid w:val="14101C60"/>
    <w:rsid w:val="1466786F"/>
    <w:rsid w:val="15532985"/>
    <w:rsid w:val="15E46F00"/>
    <w:rsid w:val="15FC7C1D"/>
    <w:rsid w:val="170B6491"/>
    <w:rsid w:val="17A34AF5"/>
    <w:rsid w:val="17E21B65"/>
    <w:rsid w:val="17FE3BC2"/>
    <w:rsid w:val="18B43502"/>
    <w:rsid w:val="196D1903"/>
    <w:rsid w:val="1A512FD2"/>
    <w:rsid w:val="1AC27484"/>
    <w:rsid w:val="1ACC4407"/>
    <w:rsid w:val="1BA86C22"/>
    <w:rsid w:val="1C7F782D"/>
    <w:rsid w:val="1CA404EA"/>
    <w:rsid w:val="1CFB20F0"/>
    <w:rsid w:val="1DAF5FA9"/>
    <w:rsid w:val="1E5D4451"/>
    <w:rsid w:val="1F4959A5"/>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A3A09D3"/>
    <w:rsid w:val="2AB949A8"/>
    <w:rsid w:val="2B2D4A4E"/>
    <w:rsid w:val="2B443194"/>
    <w:rsid w:val="2BA2095F"/>
    <w:rsid w:val="2BA559E9"/>
    <w:rsid w:val="2BB10633"/>
    <w:rsid w:val="2C113AC3"/>
    <w:rsid w:val="2D0A14EA"/>
    <w:rsid w:val="2DC00351"/>
    <w:rsid w:val="2F821DA3"/>
    <w:rsid w:val="30FE72F1"/>
    <w:rsid w:val="31B7018C"/>
    <w:rsid w:val="3203475A"/>
    <w:rsid w:val="32FE2E9B"/>
    <w:rsid w:val="333126C0"/>
    <w:rsid w:val="3357543B"/>
    <w:rsid w:val="3421711A"/>
    <w:rsid w:val="349B511E"/>
    <w:rsid w:val="34E138A4"/>
    <w:rsid w:val="34ED62D7"/>
    <w:rsid w:val="353F1F4D"/>
    <w:rsid w:val="35754FDA"/>
    <w:rsid w:val="36A77DAA"/>
    <w:rsid w:val="376A7537"/>
    <w:rsid w:val="37E001EA"/>
    <w:rsid w:val="37EE37B7"/>
    <w:rsid w:val="37F457DC"/>
    <w:rsid w:val="383D480E"/>
    <w:rsid w:val="387D4CD1"/>
    <w:rsid w:val="38AC0272"/>
    <w:rsid w:val="38BE2D85"/>
    <w:rsid w:val="3A06303A"/>
    <w:rsid w:val="3CC73725"/>
    <w:rsid w:val="3D6C2D45"/>
    <w:rsid w:val="3EEA117C"/>
    <w:rsid w:val="3F8010AE"/>
    <w:rsid w:val="400E2C48"/>
    <w:rsid w:val="403703F1"/>
    <w:rsid w:val="40CF6117"/>
    <w:rsid w:val="40E8793D"/>
    <w:rsid w:val="41596145"/>
    <w:rsid w:val="422718F0"/>
    <w:rsid w:val="427D6F5C"/>
    <w:rsid w:val="42A930FC"/>
    <w:rsid w:val="42C83582"/>
    <w:rsid w:val="436F1026"/>
    <w:rsid w:val="44DF2E05"/>
    <w:rsid w:val="44EC44AD"/>
    <w:rsid w:val="451E392D"/>
    <w:rsid w:val="46593AA7"/>
    <w:rsid w:val="46641814"/>
    <w:rsid w:val="477B1E7C"/>
    <w:rsid w:val="482E20D9"/>
    <w:rsid w:val="489A776F"/>
    <w:rsid w:val="49340969"/>
    <w:rsid w:val="498B6AC1"/>
    <w:rsid w:val="4A314C56"/>
    <w:rsid w:val="4A747123"/>
    <w:rsid w:val="4B013A36"/>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D7C2E"/>
    <w:rsid w:val="517E1C18"/>
    <w:rsid w:val="518A10D2"/>
    <w:rsid w:val="51BD38CA"/>
    <w:rsid w:val="51E25CE3"/>
    <w:rsid w:val="51FD48CA"/>
    <w:rsid w:val="52E737B8"/>
    <w:rsid w:val="53371980"/>
    <w:rsid w:val="53476745"/>
    <w:rsid w:val="54372316"/>
    <w:rsid w:val="56110247"/>
    <w:rsid w:val="568234D0"/>
    <w:rsid w:val="575A4079"/>
    <w:rsid w:val="577473DD"/>
    <w:rsid w:val="58086DF8"/>
    <w:rsid w:val="5818245E"/>
    <w:rsid w:val="58B82BD2"/>
    <w:rsid w:val="592B6E1F"/>
    <w:rsid w:val="596C0CB3"/>
    <w:rsid w:val="59EF0550"/>
    <w:rsid w:val="5A105AE3"/>
    <w:rsid w:val="5B8175B1"/>
    <w:rsid w:val="5C1C28CE"/>
    <w:rsid w:val="5C8005D2"/>
    <w:rsid w:val="5D1E5865"/>
    <w:rsid w:val="5D2B2C34"/>
    <w:rsid w:val="5D66733F"/>
    <w:rsid w:val="5DC80482"/>
    <w:rsid w:val="5EF153BA"/>
    <w:rsid w:val="5FB46F10"/>
    <w:rsid w:val="5FCB3EDE"/>
    <w:rsid w:val="601C1153"/>
    <w:rsid w:val="60D63D54"/>
    <w:rsid w:val="623C47AA"/>
    <w:rsid w:val="625E65A5"/>
    <w:rsid w:val="63234928"/>
    <w:rsid w:val="63315910"/>
    <w:rsid w:val="63E56E61"/>
    <w:rsid w:val="63F21E4B"/>
    <w:rsid w:val="647E7AED"/>
    <w:rsid w:val="650B2090"/>
    <w:rsid w:val="65617249"/>
    <w:rsid w:val="658924EB"/>
    <w:rsid w:val="67000C8D"/>
    <w:rsid w:val="67F13E67"/>
    <w:rsid w:val="684D7F02"/>
    <w:rsid w:val="68617509"/>
    <w:rsid w:val="687F139E"/>
    <w:rsid w:val="692626AB"/>
    <w:rsid w:val="694641F3"/>
    <w:rsid w:val="694E3F32"/>
    <w:rsid w:val="6BAB5A1A"/>
    <w:rsid w:val="6BF34B5F"/>
    <w:rsid w:val="6C0979E0"/>
    <w:rsid w:val="6C71128E"/>
    <w:rsid w:val="6D3671B7"/>
    <w:rsid w:val="6D5E02EA"/>
    <w:rsid w:val="6EC407F2"/>
    <w:rsid w:val="6EF10793"/>
    <w:rsid w:val="6F043A22"/>
    <w:rsid w:val="6F095BAB"/>
    <w:rsid w:val="6F455122"/>
    <w:rsid w:val="6FB61E83"/>
    <w:rsid w:val="72642EE6"/>
    <w:rsid w:val="72F524C9"/>
    <w:rsid w:val="73922C6D"/>
    <w:rsid w:val="73F73575"/>
    <w:rsid w:val="752244C4"/>
    <w:rsid w:val="7533222E"/>
    <w:rsid w:val="75705230"/>
    <w:rsid w:val="77444892"/>
    <w:rsid w:val="77465356"/>
    <w:rsid w:val="782D11B6"/>
    <w:rsid w:val="789D4075"/>
    <w:rsid w:val="78BA2027"/>
    <w:rsid w:val="7932444C"/>
    <w:rsid w:val="7A081C66"/>
    <w:rsid w:val="7A1C6492"/>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1"/>
    <w:pPr>
      <w:ind w:right="19"/>
      <w:jc w:val="center"/>
      <w:outlineLvl w:val="0"/>
    </w:pPr>
    <w:rPr>
      <w:rFonts w:ascii="宋体" w:hAnsi="宋体" w:eastAsia="宋体" w:cs="宋体"/>
      <w:b/>
      <w:bCs/>
      <w:sz w:val="28"/>
      <w:szCs w:val="28"/>
    </w:rPr>
  </w:style>
  <w:style w:type="paragraph" w:styleId="6">
    <w:name w:val="heading 2"/>
    <w:basedOn w:val="1"/>
    <w:next w:val="1"/>
    <w:qFormat/>
    <w:uiPriority w:val="1"/>
    <w:pPr>
      <w:ind w:left="3553"/>
      <w:outlineLvl w:val="1"/>
    </w:pPr>
    <w:rPr>
      <w:rFonts w:ascii="黑体" w:hAnsi="黑体" w:eastAsia="黑体" w:cs="黑体"/>
      <w:sz w:val="28"/>
      <w:szCs w:val="28"/>
    </w:rPr>
  </w:style>
  <w:style w:type="paragraph" w:styleId="7">
    <w:name w:val="heading 3"/>
    <w:basedOn w:val="1"/>
    <w:next w:val="1"/>
    <w:qFormat/>
    <w:uiPriority w:val="1"/>
    <w:pPr>
      <w:spacing w:before="60"/>
      <w:ind w:left="273"/>
      <w:outlineLvl w:val="2"/>
    </w:pPr>
    <w:rPr>
      <w:rFonts w:ascii="宋体" w:hAnsi="宋体" w:eastAsia="宋体" w:cs="宋体"/>
      <w:sz w:val="29"/>
      <w:szCs w:val="29"/>
    </w:rPr>
  </w:style>
  <w:style w:type="paragraph" w:styleId="8">
    <w:name w:val="heading 4"/>
    <w:basedOn w:val="1"/>
    <w:next w:val="1"/>
    <w:qFormat/>
    <w:uiPriority w:val="99"/>
    <w:pPr>
      <w:keepNext/>
      <w:outlineLvl w:val="3"/>
    </w:pPr>
    <w:rPr>
      <w:b/>
      <w:bCs/>
      <w:kern w:val="0"/>
      <w:sz w:val="24"/>
      <w:szCs w:val="24"/>
    </w:rPr>
  </w:style>
  <w:style w:type="paragraph" w:styleId="9">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adjustRightInd w:val="0"/>
      <w:ind w:left="960"/>
      <w:jc w:val="left"/>
      <w:textAlignment w:val="baseline"/>
    </w:pPr>
    <w:rPr>
      <w:rFonts w:ascii="楷体_GB2312" w:eastAsia="楷体_GB2312"/>
      <w:kern w:val="0"/>
      <w:sz w:val="28"/>
      <w:szCs w:val="20"/>
    </w:rPr>
  </w:style>
  <w:style w:type="paragraph" w:styleId="4">
    <w:name w:val="envelope return"/>
    <w:basedOn w:val="1"/>
    <w:qFormat/>
    <w:uiPriority w:val="0"/>
    <w:pPr>
      <w:snapToGrid w:val="0"/>
    </w:pPr>
    <w:rPr>
      <w:rFonts w:ascii="Arial" w:hAnsi="Arial"/>
    </w:rPr>
  </w:style>
  <w:style w:type="paragraph" w:styleId="10">
    <w:name w:val="annotation text"/>
    <w:basedOn w:val="1"/>
    <w:qFormat/>
    <w:uiPriority w:val="0"/>
    <w:pPr>
      <w:jc w:val="left"/>
    </w:pPr>
    <w:rPr>
      <w:rFonts w:ascii="Times New Roman" w:hAnsi="Times New Roman" w:eastAsia="宋体" w:cs="Times New Roman"/>
    </w:rPr>
  </w:style>
  <w:style w:type="paragraph" w:styleId="11">
    <w:name w:val="Body Text"/>
    <w:basedOn w:val="1"/>
    <w:next w:val="12"/>
    <w:qFormat/>
    <w:uiPriority w:val="1"/>
    <w:rPr>
      <w:rFonts w:ascii="宋体" w:hAnsi="宋体" w:eastAsia="宋体" w:cs="宋体"/>
      <w:sz w:val="23"/>
      <w:szCs w:val="23"/>
    </w:rPr>
  </w:style>
  <w:style w:type="paragraph" w:styleId="12">
    <w:name w:val="Body Text 2"/>
    <w:basedOn w:val="1"/>
    <w:next w:val="1"/>
    <w:qFormat/>
    <w:uiPriority w:val="0"/>
    <w:pPr>
      <w:spacing w:after="120" w:afterLines="0" w:line="480" w:lineRule="auto"/>
    </w:pPr>
    <w:rPr>
      <w:rFonts w:ascii="Times New Roman" w:eastAsia="宋体"/>
    </w:rPr>
  </w:style>
  <w:style w:type="paragraph" w:styleId="13">
    <w:name w:val="Plain Text"/>
    <w:basedOn w:val="1"/>
    <w:qFormat/>
    <w:uiPriority w:val="0"/>
    <w:rPr>
      <w:rFonts w:ascii="宋体" w:hAnsi="Courier New" w:cs="Courier New"/>
      <w:szCs w:val="21"/>
    </w:rPr>
  </w:style>
  <w:style w:type="paragraph" w:styleId="14">
    <w:name w:val="Body Text Indent 2"/>
    <w:basedOn w:val="1"/>
    <w:unhideWhenUsed/>
    <w:qFormat/>
    <w:uiPriority w:val="99"/>
    <w:pPr>
      <w:spacing w:after="120" w:line="480" w:lineRule="auto"/>
      <w:ind w:left="420" w:leftChars="200"/>
      <w:jc w:val="both"/>
    </w:pPr>
    <w:rPr>
      <w:sz w:val="21"/>
      <w:szCs w:val="24"/>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Body Text First Indent"/>
    <w:basedOn w:val="1"/>
    <w:next w:val="2"/>
    <w:qFormat/>
    <w:uiPriority w:val="0"/>
    <w:pPr>
      <w:ind w:firstLine="420" w:firstLineChars="100"/>
    </w:p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样式 样式 行距: 1.5 倍行距 + 首行缩进:  2 字符"/>
    <w:next w:val="11"/>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hover3"/>
    <w:basedOn w:val="21"/>
    <w:qFormat/>
    <w:uiPriority w:val="0"/>
  </w:style>
  <w:style w:type="character" w:customStyle="1" w:styleId="44">
    <w:name w:val="mini-outputtext1"/>
    <w:basedOn w:val="21"/>
    <w:qFormat/>
    <w:uiPriority w:val="0"/>
  </w:style>
  <w:style w:type="character" w:customStyle="1" w:styleId="45">
    <w:name w:val="hover"/>
    <w:basedOn w:val="21"/>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20332</Words>
  <Characters>21777</Characters>
  <Lines>0</Lines>
  <Paragraphs>0</Paragraphs>
  <TotalTime>1</TotalTime>
  <ScaleCrop>false</ScaleCrop>
  <LinksUpToDate>false</LinksUpToDate>
  <CharactersWithSpaces>22236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2025-06-27T06:49:07Z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646517CD9F7D42E7B9E4A1B702F97CE4_13</vt:lpwstr>
  </property>
  <property fmtid="{D5CDD505-2E9C-101B-9397-08002B2CF9AE}" pid="4" name="KSOTemplateDocerSaveRecord">
    <vt:lpwstr>eyJoZGlkIjoiODMwNWNmZTllMTQ2YjMwYjEwNTBhYzVlNTJjODYzNjMiLCJ1c2VySWQiOiI0MzczODk0NzkifQ==</vt:lpwstr>
  </property>
</Properties>
</file>