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985E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8"/>
          <w:szCs w:val="28"/>
          <w:highlight w:val="none"/>
        </w:rPr>
      </w:pPr>
      <w:bookmarkStart w:id="206" w:name="_GoBack"/>
      <w:bookmarkEnd w:id="206"/>
    </w:p>
    <w:p w14:paraId="74F1004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Courier New"/>
          <w:b/>
          <w:color w:val="auto"/>
          <w:sz w:val="52"/>
          <w:szCs w:val="52"/>
          <w:highlight w:val="none"/>
          <w:lang w:val="en-US" w:eastAsia="zh-CN"/>
        </w:rPr>
      </w:pPr>
      <w:r>
        <w:rPr>
          <w:rFonts w:hint="eastAsia" w:ascii="宋体" w:hAnsi="宋体" w:eastAsia="宋体" w:cs="Courier New"/>
          <w:b/>
          <w:color w:val="auto"/>
          <w:sz w:val="52"/>
          <w:szCs w:val="52"/>
          <w:highlight w:val="none"/>
          <w:lang w:val="en-US" w:eastAsia="zh-CN"/>
        </w:rPr>
        <w:t>灵宝市寺河乡人民政府2025年灵宝市烟叶电烤房项目</w:t>
      </w:r>
    </w:p>
    <w:p w14:paraId="5A76A76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textAlignment w:val="auto"/>
        <w:rPr>
          <w:rFonts w:hint="eastAsia" w:ascii="宋体" w:hAnsi="宋体" w:cs="黑体"/>
          <w:b/>
          <w:bCs/>
          <w:color w:val="auto"/>
          <w:sz w:val="24"/>
          <w:szCs w:val="24"/>
          <w:highlight w:val="none"/>
        </w:rPr>
      </w:pPr>
    </w:p>
    <w:p w14:paraId="6259255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eastAsia" w:ascii="宋体" w:hAnsi="宋体" w:cs="Yu Mincho Light"/>
          <w:b/>
          <w:color w:val="auto"/>
          <w:spacing w:val="60"/>
          <w:kern w:val="0"/>
          <w:sz w:val="96"/>
          <w:szCs w:val="96"/>
          <w:highlight w:val="none"/>
        </w:rPr>
      </w:pPr>
      <w:r>
        <w:rPr>
          <w:rFonts w:hint="eastAsia" w:ascii="宋体" w:hAnsi="宋体" w:cs="Yu Mincho Light"/>
          <w:b/>
          <w:color w:val="auto"/>
          <w:spacing w:val="60"/>
          <w:kern w:val="0"/>
          <w:sz w:val="96"/>
          <w:szCs w:val="96"/>
          <w:highlight w:val="none"/>
        </w:rPr>
        <w:t>招标文件</w:t>
      </w:r>
    </w:p>
    <w:p w14:paraId="36924A2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1988" w:firstLineChars="550"/>
        <w:textAlignment w:val="auto"/>
        <w:rPr>
          <w:rFonts w:hint="eastAsia" w:ascii="宋体" w:hAnsi="宋体" w:cs="Courier New"/>
          <w:b/>
          <w:color w:val="auto"/>
          <w:sz w:val="36"/>
          <w:szCs w:val="36"/>
          <w:highlight w:val="none"/>
        </w:rPr>
      </w:pPr>
    </w:p>
    <w:p w14:paraId="2BC4C45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rPr>
          <w:rFonts w:hint="default" w:ascii="宋体" w:hAnsi="宋体" w:cs="Courier New"/>
          <w:b/>
          <w:color w:val="auto"/>
          <w:sz w:val="32"/>
          <w:szCs w:val="32"/>
          <w:highlight w:val="none"/>
          <w:lang w:val="en-US" w:eastAsia="zh-CN"/>
        </w:rPr>
      </w:pPr>
      <w:r>
        <w:rPr>
          <w:rFonts w:hint="eastAsia" w:ascii="宋体" w:hAnsi="宋体" w:cs="Courier New"/>
          <w:b/>
          <w:color w:val="auto"/>
          <w:sz w:val="32"/>
          <w:szCs w:val="32"/>
          <w:highlight w:val="none"/>
        </w:rPr>
        <w:t>项目编号</w:t>
      </w:r>
      <w:r>
        <w:rPr>
          <w:rFonts w:hint="eastAsia" w:ascii="宋体" w:hAnsi="宋体" w:cs="Courier New"/>
          <w:b/>
          <w:color w:val="auto"/>
          <w:sz w:val="32"/>
          <w:szCs w:val="32"/>
          <w:highlight w:val="none"/>
          <w:lang w:eastAsia="zh-CN"/>
        </w:rPr>
        <w:t>：</w:t>
      </w:r>
      <w:r>
        <w:rPr>
          <w:rFonts w:hint="eastAsia" w:ascii="宋体" w:hAnsi="宋体" w:cs="Courier New"/>
          <w:b/>
          <w:color w:val="auto"/>
          <w:sz w:val="32"/>
          <w:szCs w:val="32"/>
          <w:highlight w:val="none"/>
          <w:lang w:val="en-US" w:eastAsia="zh-CN"/>
        </w:rPr>
        <w:t>灵宝公开采购-2025-40、LBGZ[2025]157-ZC107</w:t>
      </w:r>
    </w:p>
    <w:p w14:paraId="274C9101">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6D4DEA4E">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6B3E170A">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color w:val="auto"/>
          <w:highlight w:val="none"/>
        </w:rPr>
      </w:pPr>
    </w:p>
    <w:p w14:paraId="18F9DACB">
      <w:pPr>
        <w:rPr>
          <w:rFonts w:hint="eastAsia"/>
          <w:color w:val="auto"/>
          <w:highlight w:val="none"/>
        </w:rPr>
      </w:pPr>
    </w:p>
    <w:p w14:paraId="78485E90">
      <w:pPr>
        <w:rPr>
          <w:rFonts w:hint="eastAsia"/>
          <w:color w:val="auto"/>
          <w:highlight w:val="none"/>
        </w:rPr>
      </w:pPr>
    </w:p>
    <w:p w14:paraId="0325CE0E">
      <w:pPr>
        <w:rPr>
          <w:rFonts w:hint="eastAsia"/>
          <w:color w:val="auto"/>
          <w:highlight w:val="none"/>
        </w:rPr>
      </w:pPr>
    </w:p>
    <w:p w14:paraId="15072F5E">
      <w:pPr>
        <w:rPr>
          <w:rFonts w:hint="eastAsia"/>
          <w:color w:val="auto"/>
          <w:highlight w:val="none"/>
        </w:rPr>
      </w:pPr>
    </w:p>
    <w:p w14:paraId="403681D0">
      <w:pPr>
        <w:rPr>
          <w:rFonts w:hint="eastAsia"/>
          <w:color w:val="auto"/>
          <w:highlight w:val="none"/>
        </w:rPr>
      </w:pPr>
    </w:p>
    <w:p w14:paraId="3E94572D">
      <w:pPr>
        <w:rPr>
          <w:rFonts w:hint="eastAsia"/>
          <w:color w:val="auto"/>
          <w:highlight w:val="none"/>
        </w:rPr>
      </w:pPr>
    </w:p>
    <w:p w14:paraId="734F670C">
      <w:pPr>
        <w:rPr>
          <w:rFonts w:hint="eastAsia"/>
          <w:color w:val="auto"/>
          <w:highlight w:val="none"/>
        </w:rPr>
      </w:pPr>
    </w:p>
    <w:p w14:paraId="0EB7A377">
      <w:pPr>
        <w:rPr>
          <w:rFonts w:hint="eastAsia"/>
          <w:color w:val="auto"/>
          <w:highlight w:val="none"/>
        </w:rPr>
      </w:pPr>
    </w:p>
    <w:p w14:paraId="14707E8A">
      <w:pPr>
        <w:rPr>
          <w:rFonts w:hint="eastAsia"/>
          <w:color w:val="auto"/>
          <w:highlight w:val="none"/>
        </w:rPr>
      </w:pPr>
    </w:p>
    <w:p w14:paraId="66EDE3D5">
      <w:pPr>
        <w:rPr>
          <w:rFonts w:hint="eastAsia"/>
          <w:color w:val="auto"/>
          <w:highlight w:val="none"/>
        </w:rPr>
      </w:pPr>
    </w:p>
    <w:tbl>
      <w:tblPr>
        <w:tblStyle w:val="22"/>
        <w:tblW w:w="0" w:type="auto"/>
        <w:jc w:val="center"/>
        <w:tblLayout w:type="fixed"/>
        <w:tblCellMar>
          <w:top w:w="0" w:type="dxa"/>
          <w:left w:w="108" w:type="dxa"/>
          <w:bottom w:w="0" w:type="dxa"/>
          <w:right w:w="108" w:type="dxa"/>
        </w:tblCellMar>
      </w:tblPr>
      <w:tblGrid>
        <w:gridCol w:w="2006"/>
        <w:gridCol w:w="5293"/>
      </w:tblGrid>
      <w:tr w14:paraId="73F42941">
        <w:tblPrEx>
          <w:tblCellMar>
            <w:top w:w="0" w:type="dxa"/>
            <w:left w:w="108" w:type="dxa"/>
            <w:bottom w:w="0" w:type="dxa"/>
            <w:right w:w="108" w:type="dxa"/>
          </w:tblCellMar>
        </w:tblPrEx>
        <w:trPr>
          <w:trHeight w:val="680" w:hRule="atLeast"/>
          <w:jc w:val="center"/>
        </w:trPr>
        <w:tc>
          <w:tcPr>
            <w:tcW w:w="2006" w:type="dxa"/>
            <w:vAlign w:val="center"/>
          </w:tcPr>
          <w:p w14:paraId="71664109">
            <w:pPr>
              <w:adjustRightInd/>
              <w:snapToGrid/>
              <w:spacing w:line="360" w:lineRule="auto"/>
              <w:jc w:val="distribute"/>
              <w:rPr>
                <w:rFonts w:hAnsi="Courier New" w:cs="Times New Roman"/>
                <w:b/>
                <w:bCs/>
                <w:color w:val="auto"/>
                <w:sz w:val="32"/>
                <w:szCs w:val="32"/>
                <w:highlight w:val="none"/>
              </w:rPr>
            </w:pPr>
            <w:r>
              <w:rPr>
                <w:rFonts w:hint="default" w:hAnsi="Courier New" w:cs="Times New Roman"/>
                <w:b/>
                <w:bCs/>
                <w:color w:val="auto"/>
                <w:sz w:val="32"/>
                <w:szCs w:val="32"/>
                <w:highlight w:val="none"/>
                <w:lang w:val="en-US" w:eastAsia="zh-CN"/>
              </w:rPr>
              <w:t>采 购 人</w:t>
            </w:r>
            <w:r>
              <w:rPr>
                <w:rFonts w:hint="default" w:hAnsi="Courier New" w:cs="Times New Roman"/>
                <w:b/>
                <w:bCs/>
                <w:color w:val="auto"/>
                <w:sz w:val="32"/>
                <w:szCs w:val="32"/>
                <w:highlight w:val="none"/>
              </w:rPr>
              <w:t>：</w:t>
            </w:r>
          </w:p>
        </w:tc>
        <w:tc>
          <w:tcPr>
            <w:tcW w:w="5293" w:type="dxa"/>
            <w:vAlign w:val="center"/>
          </w:tcPr>
          <w:p w14:paraId="2DA67910">
            <w:pPr>
              <w:adjustRightInd/>
              <w:snapToGrid/>
              <w:spacing w:line="360" w:lineRule="auto"/>
              <w:jc w:val="distribute"/>
              <w:rPr>
                <w:rFonts w:hint="default" w:hAnsi="Courier New" w:eastAsia="宋体" w:cs="Times New Roman"/>
                <w:b/>
                <w:bCs/>
                <w:color w:val="auto"/>
                <w:sz w:val="32"/>
                <w:szCs w:val="32"/>
                <w:highlight w:val="none"/>
                <w:lang w:eastAsia="zh-CN"/>
              </w:rPr>
            </w:pPr>
            <w:r>
              <w:rPr>
                <w:rFonts w:hint="eastAsia" w:hAnsi="Courier New" w:cs="Times New Roman"/>
                <w:b/>
                <w:bCs/>
                <w:color w:val="auto"/>
                <w:spacing w:val="0"/>
                <w:w w:val="100"/>
                <w:sz w:val="32"/>
                <w:szCs w:val="32"/>
                <w:highlight w:val="none"/>
                <w:lang w:eastAsia="zh-CN"/>
              </w:rPr>
              <w:t>灵宝市寺河乡人民政府</w:t>
            </w:r>
          </w:p>
        </w:tc>
      </w:tr>
      <w:tr w14:paraId="5B6D161B">
        <w:tblPrEx>
          <w:tblCellMar>
            <w:top w:w="0" w:type="dxa"/>
            <w:left w:w="108" w:type="dxa"/>
            <w:bottom w:w="0" w:type="dxa"/>
            <w:right w:w="108" w:type="dxa"/>
          </w:tblCellMar>
        </w:tblPrEx>
        <w:trPr>
          <w:trHeight w:val="680" w:hRule="atLeast"/>
          <w:jc w:val="center"/>
        </w:trPr>
        <w:tc>
          <w:tcPr>
            <w:tcW w:w="2006" w:type="dxa"/>
            <w:vAlign w:val="center"/>
          </w:tcPr>
          <w:p w14:paraId="12C1371D">
            <w:pPr>
              <w:adjustRightInd/>
              <w:snapToGrid/>
              <w:spacing w:line="360" w:lineRule="auto"/>
              <w:jc w:val="distribute"/>
              <w:rPr>
                <w:rFonts w:hAnsi="Courier New" w:cs="Times New Roman"/>
                <w:b/>
                <w:bCs/>
                <w:color w:val="auto"/>
                <w:sz w:val="32"/>
                <w:szCs w:val="32"/>
                <w:highlight w:val="none"/>
              </w:rPr>
            </w:pPr>
            <w:r>
              <w:rPr>
                <w:rFonts w:hint="default" w:hAnsi="Courier New" w:cs="Times New Roman"/>
                <w:b/>
                <w:bCs/>
                <w:color w:val="auto"/>
                <w:sz w:val="32"/>
                <w:szCs w:val="32"/>
                <w:highlight w:val="none"/>
              </w:rPr>
              <w:t>代理机构：</w:t>
            </w:r>
          </w:p>
        </w:tc>
        <w:tc>
          <w:tcPr>
            <w:tcW w:w="5293" w:type="dxa"/>
            <w:vAlign w:val="center"/>
          </w:tcPr>
          <w:p w14:paraId="3F9123C5">
            <w:pPr>
              <w:adjustRightInd/>
              <w:snapToGrid/>
              <w:spacing w:line="240" w:lineRule="auto"/>
              <w:jc w:val="distribute"/>
              <w:rPr>
                <w:rFonts w:hint="default" w:ascii="Calibri" w:hAnsi="Calibri" w:eastAsia="宋体" w:cs="Times New Roman"/>
                <w:b/>
                <w:bCs/>
                <w:color w:val="auto"/>
                <w:sz w:val="32"/>
                <w:szCs w:val="32"/>
                <w:highlight w:val="none"/>
                <w:lang w:eastAsia="zh-CN"/>
              </w:rPr>
            </w:pPr>
            <w:r>
              <w:rPr>
                <w:rFonts w:hint="eastAsia" w:cs="Times New Roman"/>
                <w:b/>
                <w:bCs/>
                <w:color w:val="auto"/>
                <w:sz w:val="32"/>
                <w:szCs w:val="32"/>
                <w:highlight w:val="none"/>
                <w:lang w:eastAsia="zh-CN"/>
              </w:rPr>
              <w:t>华睿诚项目管理有限公司</w:t>
            </w:r>
          </w:p>
        </w:tc>
      </w:tr>
      <w:tr w14:paraId="3F834379">
        <w:tblPrEx>
          <w:tblCellMar>
            <w:top w:w="0" w:type="dxa"/>
            <w:left w:w="108" w:type="dxa"/>
            <w:bottom w:w="0" w:type="dxa"/>
            <w:right w:w="108" w:type="dxa"/>
          </w:tblCellMar>
        </w:tblPrEx>
        <w:trPr>
          <w:trHeight w:val="680" w:hRule="atLeast"/>
          <w:jc w:val="center"/>
        </w:trPr>
        <w:tc>
          <w:tcPr>
            <w:tcW w:w="2006" w:type="dxa"/>
            <w:vAlign w:val="center"/>
          </w:tcPr>
          <w:p w14:paraId="4A775F12">
            <w:pPr>
              <w:adjustRightInd/>
              <w:snapToGrid/>
              <w:spacing w:line="360" w:lineRule="auto"/>
              <w:jc w:val="distribute"/>
              <w:rPr>
                <w:rFonts w:hAnsi="Courier New" w:cs="Times New Roman"/>
                <w:b/>
                <w:bCs/>
                <w:color w:val="auto"/>
                <w:sz w:val="32"/>
                <w:szCs w:val="32"/>
                <w:highlight w:val="none"/>
              </w:rPr>
            </w:pPr>
            <w:r>
              <w:rPr>
                <w:rFonts w:hint="default" w:hAnsi="Courier New" w:cs="Times New Roman"/>
                <w:b/>
                <w:bCs/>
                <w:color w:val="auto"/>
                <w:sz w:val="32"/>
                <w:szCs w:val="32"/>
                <w:highlight w:val="none"/>
              </w:rPr>
              <w:t>编制日期：</w:t>
            </w:r>
          </w:p>
        </w:tc>
        <w:tc>
          <w:tcPr>
            <w:tcW w:w="5293" w:type="dxa"/>
            <w:vAlign w:val="center"/>
          </w:tcPr>
          <w:p w14:paraId="6E0F37A2">
            <w:pPr>
              <w:adjustRightInd/>
              <w:snapToGrid/>
              <w:spacing w:line="360" w:lineRule="auto"/>
              <w:jc w:val="distribute"/>
              <w:rPr>
                <w:rFonts w:hAnsi="Courier New" w:cs="Times New Roman"/>
                <w:b/>
                <w:bCs/>
                <w:color w:val="auto"/>
                <w:sz w:val="32"/>
                <w:szCs w:val="32"/>
                <w:highlight w:val="none"/>
              </w:rPr>
            </w:pPr>
            <w:r>
              <w:rPr>
                <w:rFonts w:hint="default" w:hAnsi="Courier New" w:cs="Times New Roman"/>
                <w:b/>
                <w:bCs/>
                <w:color w:val="auto"/>
                <w:sz w:val="32"/>
                <w:szCs w:val="32"/>
                <w:highlight w:val="none"/>
              </w:rPr>
              <w:t>二零二</w:t>
            </w:r>
            <w:r>
              <w:rPr>
                <w:rFonts w:hint="eastAsia" w:hAnsi="Courier New" w:cs="Times New Roman"/>
                <w:b/>
                <w:bCs/>
                <w:color w:val="auto"/>
                <w:sz w:val="32"/>
                <w:szCs w:val="32"/>
                <w:highlight w:val="none"/>
                <w:lang w:val="en-US" w:eastAsia="zh-CN"/>
              </w:rPr>
              <w:t>五</w:t>
            </w:r>
            <w:r>
              <w:rPr>
                <w:rFonts w:hint="default" w:hAnsi="Courier New" w:cs="Times New Roman"/>
                <w:b/>
                <w:bCs/>
                <w:color w:val="auto"/>
                <w:sz w:val="32"/>
                <w:szCs w:val="32"/>
                <w:highlight w:val="none"/>
              </w:rPr>
              <w:t>年</w:t>
            </w:r>
            <w:r>
              <w:rPr>
                <w:rFonts w:hint="eastAsia" w:hAnsi="Courier New" w:cs="Times New Roman"/>
                <w:b/>
                <w:bCs/>
                <w:color w:val="auto"/>
                <w:sz w:val="32"/>
                <w:szCs w:val="32"/>
                <w:highlight w:val="none"/>
                <w:lang w:val="en-US" w:eastAsia="zh-CN"/>
              </w:rPr>
              <w:t>六</w:t>
            </w:r>
            <w:r>
              <w:rPr>
                <w:rFonts w:hint="default" w:hAnsi="Courier New" w:cs="Times New Roman"/>
                <w:b/>
                <w:bCs/>
                <w:color w:val="auto"/>
                <w:sz w:val="32"/>
                <w:szCs w:val="32"/>
                <w:highlight w:val="none"/>
              </w:rPr>
              <w:t>月</w:t>
            </w:r>
          </w:p>
        </w:tc>
      </w:tr>
    </w:tbl>
    <w:p w14:paraId="6723E8B3">
      <w:pPr>
        <w:rPr>
          <w:rFonts w:hint="eastAsia" w:ascii="宋体" w:hAnsi="宋体" w:eastAsia="宋体" w:cs="Courier New"/>
          <w:b/>
          <w:color w:val="auto"/>
          <w:kern w:val="2"/>
          <w:sz w:val="36"/>
          <w:szCs w:val="36"/>
          <w:highlight w:val="none"/>
          <w:lang w:val="en-US" w:eastAsia="zh-CN" w:bidi="ar-SA"/>
        </w:rPr>
      </w:pPr>
      <w:r>
        <w:rPr>
          <w:rFonts w:hint="eastAsia" w:ascii="宋体" w:hAnsi="宋体" w:eastAsia="宋体" w:cs="Courier New"/>
          <w:b/>
          <w:color w:val="auto"/>
          <w:kern w:val="2"/>
          <w:sz w:val="36"/>
          <w:szCs w:val="36"/>
          <w:highlight w:val="none"/>
          <w:lang w:val="en-US" w:eastAsia="zh-CN" w:bidi="ar-SA"/>
        </w:rPr>
        <w:br w:type="page"/>
      </w:r>
    </w:p>
    <w:p w14:paraId="0AAEAE48">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254B05DA">
      <w:pPr>
        <w:pageBreakBefore w:val="0"/>
        <w:kinsoku/>
        <w:overflowPunct/>
        <w:bidi w:val="0"/>
        <w:adjustRightInd w:val="0"/>
        <w:snapToGrid w:val="0"/>
        <w:spacing w:beforeAutospacing="0" w:afterAutospacing="0" w:line="360" w:lineRule="auto"/>
        <w:ind w:left="0" w:leftChars="0" w:right="0" w:rightChars="0"/>
        <w:jc w:val="center"/>
        <w:rPr>
          <w:rFonts w:ascii="宋体" w:hAnsi="宋体" w:cs="黑体"/>
          <w:color w:val="auto"/>
          <w:sz w:val="36"/>
          <w:szCs w:val="36"/>
          <w:highlight w:val="none"/>
        </w:rPr>
      </w:pPr>
      <w:r>
        <w:rPr>
          <w:rFonts w:hint="eastAsia" w:ascii="宋体" w:hAnsi="宋体" w:cs="黑体"/>
          <w:color w:val="auto"/>
          <w:sz w:val="36"/>
          <w:szCs w:val="36"/>
          <w:highlight w:val="none"/>
        </w:rPr>
        <w:t>目  录</w:t>
      </w:r>
    </w:p>
    <w:p w14:paraId="4DFC7FB9">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TOC \o "1-3" \h \z \u </w:instrText>
      </w:r>
      <w:r>
        <w:rPr>
          <w:rFonts w:ascii="宋体" w:hAnsi="宋体"/>
          <w:color w:val="auto"/>
          <w:sz w:val="32"/>
          <w:szCs w:val="48"/>
          <w:highlight w:val="none"/>
        </w:rPr>
        <w:fldChar w:fldCharType="separate"/>
      </w: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_Toc23973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第一章  招标公告</w:t>
      </w:r>
      <w:r>
        <w:rPr>
          <w:rFonts w:ascii="宋体" w:hAnsi="宋体"/>
          <w:color w:val="auto"/>
          <w:sz w:val="32"/>
          <w:szCs w:val="48"/>
          <w:highlight w:val="none"/>
        </w:rPr>
        <w:tab/>
      </w:r>
      <w:r>
        <w:rPr>
          <w:rFonts w:ascii="宋体" w:hAnsi="宋体"/>
          <w:color w:val="auto"/>
          <w:sz w:val="32"/>
          <w:szCs w:val="48"/>
          <w:highlight w:val="none"/>
        </w:rPr>
        <w:fldChar w:fldCharType="begin"/>
      </w:r>
      <w:r>
        <w:rPr>
          <w:rFonts w:ascii="宋体" w:hAnsi="宋体"/>
          <w:color w:val="auto"/>
          <w:sz w:val="32"/>
          <w:szCs w:val="48"/>
          <w:highlight w:val="none"/>
        </w:rPr>
        <w:instrText xml:space="preserve"> PAGEREF _Toc23973 \h </w:instrText>
      </w:r>
      <w:r>
        <w:rPr>
          <w:rFonts w:ascii="宋体" w:hAnsi="宋体"/>
          <w:color w:val="auto"/>
          <w:sz w:val="32"/>
          <w:szCs w:val="48"/>
          <w:highlight w:val="none"/>
        </w:rPr>
        <w:fldChar w:fldCharType="separate"/>
      </w:r>
      <w:r>
        <w:rPr>
          <w:rFonts w:ascii="宋体" w:hAnsi="宋体"/>
          <w:color w:val="auto"/>
          <w:sz w:val="32"/>
          <w:szCs w:val="48"/>
          <w:highlight w:val="none"/>
        </w:rPr>
        <w:t>1</w:t>
      </w:r>
      <w:r>
        <w:rPr>
          <w:rFonts w:ascii="宋体" w:hAnsi="宋体"/>
          <w:color w:val="auto"/>
          <w:sz w:val="32"/>
          <w:szCs w:val="48"/>
          <w:highlight w:val="none"/>
        </w:rPr>
        <w:fldChar w:fldCharType="end"/>
      </w:r>
      <w:r>
        <w:rPr>
          <w:rFonts w:ascii="宋体" w:hAnsi="宋体"/>
          <w:color w:val="auto"/>
          <w:sz w:val="32"/>
          <w:szCs w:val="48"/>
          <w:highlight w:val="none"/>
        </w:rPr>
        <w:fldChar w:fldCharType="end"/>
      </w:r>
    </w:p>
    <w:p w14:paraId="1E4C501E">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_Toc9342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第二章  投标人须知</w:t>
      </w:r>
      <w:r>
        <w:rPr>
          <w:rFonts w:ascii="宋体" w:hAnsi="宋体"/>
          <w:color w:val="auto"/>
          <w:sz w:val="32"/>
          <w:szCs w:val="48"/>
          <w:highlight w:val="none"/>
        </w:rPr>
        <w:tab/>
      </w:r>
      <w:r>
        <w:rPr>
          <w:rFonts w:hint="eastAsia" w:ascii="宋体" w:hAnsi="宋体"/>
          <w:color w:val="auto"/>
          <w:sz w:val="32"/>
          <w:szCs w:val="48"/>
          <w:highlight w:val="none"/>
          <w:lang w:val="en-US" w:eastAsia="zh-CN"/>
        </w:rPr>
        <w:t>6</w:t>
      </w:r>
      <w:r>
        <w:rPr>
          <w:rFonts w:ascii="宋体" w:hAnsi="宋体"/>
          <w:color w:val="auto"/>
          <w:sz w:val="32"/>
          <w:szCs w:val="48"/>
          <w:highlight w:val="none"/>
        </w:rPr>
        <w:fldChar w:fldCharType="end"/>
      </w:r>
    </w:p>
    <w:p w14:paraId="229F1C08">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sz w:val="32"/>
          <w:szCs w:val="48"/>
          <w:highlight w:val="none"/>
          <w:lang w:val="en-US" w:eastAsia="zh-CN"/>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_Toc20932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第三章  评标办法</w:t>
      </w:r>
      <w:r>
        <w:rPr>
          <w:rFonts w:ascii="宋体" w:hAnsi="宋体"/>
          <w:color w:val="auto"/>
          <w:sz w:val="32"/>
          <w:szCs w:val="48"/>
          <w:highlight w:val="none"/>
        </w:rPr>
        <w:tab/>
      </w:r>
      <w:r>
        <w:rPr>
          <w:rFonts w:hint="eastAsia" w:ascii="宋体" w:hAnsi="宋体"/>
          <w:color w:val="auto"/>
          <w:sz w:val="32"/>
          <w:szCs w:val="48"/>
          <w:highlight w:val="none"/>
          <w:lang w:val="en-US" w:eastAsia="zh-CN"/>
        </w:rPr>
        <w:t>2</w:t>
      </w:r>
      <w:r>
        <w:rPr>
          <w:rFonts w:ascii="宋体" w:hAnsi="宋体"/>
          <w:color w:val="auto"/>
          <w:sz w:val="32"/>
          <w:szCs w:val="48"/>
          <w:highlight w:val="none"/>
        </w:rPr>
        <w:fldChar w:fldCharType="end"/>
      </w:r>
      <w:r>
        <w:rPr>
          <w:rFonts w:hint="eastAsia" w:ascii="宋体" w:hAnsi="宋体"/>
          <w:color w:val="auto"/>
          <w:sz w:val="32"/>
          <w:szCs w:val="48"/>
          <w:highlight w:val="none"/>
          <w:lang w:val="en-US" w:eastAsia="zh-CN"/>
        </w:rPr>
        <w:t>8</w:t>
      </w:r>
    </w:p>
    <w:p w14:paraId="74E7D651">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ascii="宋体" w:hAnsi="宋体"/>
          <w:color w:val="auto"/>
          <w:sz w:val="32"/>
          <w:szCs w:val="48"/>
          <w:highlight w:val="none"/>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_Toc23927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第四章  合同主要条款及格式</w:t>
      </w:r>
      <w:r>
        <w:rPr>
          <w:rFonts w:ascii="宋体" w:hAnsi="宋体"/>
          <w:color w:val="auto"/>
          <w:sz w:val="32"/>
          <w:szCs w:val="48"/>
          <w:highlight w:val="none"/>
        </w:rPr>
        <w:tab/>
      </w:r>
      <w:r>
        <w:rPr>
          <w:rFonts w:ascii="宋体" w:hAnsi="宋体"/>
          <w:color w:val="auto"/>
          <w:sz w:val="32"/>
          <w:szCs w:val="48"/>
          <w:highlight w:val="none"/>
        </w:rPr>
        <w:fldChar w:fldCharType="begin"/>
      </w:r>
      <w:r>
        <w:rPr>
          <w:rFonts w:ascii="宋体" w:hAnsi="宋体"/>
          <w:color w:val="auto"/>
          <w:sz w:val="32"/>
          <w:szCs w:val="48"/>
          <w:highlight w:val="none"/>
        </w:rPr>
        <w:instrText xml:space="preserve"> PAGEREF _Toc23927 \h </w:instrText>
      </w:r>
      <w:r>
        <w:rPr>
          <w:rFonts w:ascii="宋体" w:hAnsi="宋体"/>
          <w:color w:val="auto"/>
          <w:sz w:val="32"/>
          <w:szCs w:val="48"/>
          <w:highlight w:val="none"/>
        </w:rPr>
        <w:fldChar w:fldCharType="separate"/>
      </w:r>
      <w:r>
        <w:rPr>
          <w:rFonts w:ascii="宋体" w:hAnsi="宋体"/>
          <w:color w:val="auto"/>
          <w:sz w:val="32"/>
          <w:szCs w:val="48"/>
          <w:highlight w:val="none"/>
        </w:rPr>
        <w:t>36</w:t>
      </w:r>
      <w:r>
        <w:rPr>
          <w:rFonts w:ascii="宋体" w:hAnsi="宋体"/>
          <w:color w:val="auto"/>
          <w:sz w:val="32"/>
          <w:szCs w:val="48"/>
          <w:highlight w:val="none"/>
        </w:rPr>
        <w:fldChar w:fldCharType="end"/>
      </w:r>
      <w:r>
        <w:rPr>
          <w:rFonts w:ascii="宋体" w:hAnsi="宋体"/>
          <w:color w:val="auto"/>
          <w:sz w:val="32"/>
          <w:szCs w:val="48"/>
          <w:highlight w:val="none"/>
        </w:rPr>
        <w:fldChar w:fldCharType="end"/>
      </w:r>
    </w:p>
    <w:p w14:paraId="148674A7">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sz w:val="32"/>
          <w:szCs w:val="48"/>
          <w:highlight w:val="none"/>
          <w:lang w:val="en-US" w:eastAsia="zh-CN"/>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_Toc1478 </w:instrText>
      </w:r>
      <w:r>
        <w:rPr>
          <w:rFonts w:ascii="宋体" w:hAnsi="宋体"/>
          <w:color w:val="auto"/>
          <w:sz w:val="32"/>
          <w:szCs w:val="48"/>
          <w:highlight w:val="none"/>
        </w:rPr>
        <w:fldChar w:fldCharType="separate"/>
      </w:r>
      <w:r>
        <w:rPr>
          <w:rFonts w:hint="eastAsia" w:ascii="宋体" w:hAnsi="宋体"/>
          <w:color w:val="auto"/>
          <w:sz w:val="32"/>
          <w:szCs w:val="48"/>
          <w:highlight w:val="none"/>
        </w:rPr>
        <w:t>第五章  招标内容及技术要求</w:t>
      </w:r>
      <w:r>
        <w:rPr>
          <w:rFonts w:ascii="宋体" w:hAnsi="宋体"/>
          <w:color w:val="auto"/>
          <w:sz w:val="32"/>
          <w:szCs w:val="48"/>
          <w:highlight w:val="none"/>
        </w:rPr>
        <w:tab/>
      </w:r>
      <w:r>
        <w:rPr>
          <w:rFonts w:hint="eastAsia" w:ascii="宋体" w:hAnsi="宋体"/>
          <w:color w:val="auto"/>
          <w:sz w:val="32"/>
          <w:szCs w:val="48"/>
          <w:highlight w:val="none"/>
          <w:lang w:val="en-US" w:eastAsia="zh-CN"/>
        </w:rPr>
        <w:t>5</w:t>
      </w:r>
      <w:r>
        <w:rPr>
          <w:rFonts w:ascii="宋体" w:hAnsi="宋体"/>
          <w:color w:val="auto"/>
          <w:sz w:val="32"/>
          <w:szCs w:val="48"/>
          <w:highlight w:val="none"/>
        </w:rPr>
        <w:fldChar w:fldCharType="end"/>
      </w:r>
      <w:r>
        <w:rPr>
          <w:rFonts w:hint="eastAsia" w:ascii="宋体" w:hAnsi="宋体"/>
          <w:color w:val="auto"/>
          <w:sz w:val="32"/>
          <w:szCs w:val="48"/>
          <w:highlight w:val="none"/>
          <w:lang w:val="en-US" w:eastAsia="zh-CN"/>
        </w:rPr>
        <w:t>3</w:t>
      </w:r>
    </w:p>
    <w:p w14:paraId="5A41D01F">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sz w:val="32"/>
          <w:szCs w:val="48"/>
          <w:highlight w:val="none"/>
          <w:lang w:val="en-US" w:eastAsia="zh-CN"/>
        </w:rPr>
      </w:pPr>
      <w:r>
        <w:rPr>
          <w:rFonts w:ascii="宋体" w:hAnsi="宋体"/>
          <w:color w:val="auto"/>
          <w:sz w:val="32"/>
          <w:szCs w:val="48"/>
          <w:highlight w:val="none"/>
        </w:rPr>
        <w:fldChar w:fldCharType="begin"/>
      </w:r>
      <w:r>
        <w:rPr>
          <w:rFonts w:ascii="宋体" w:hAnsi="宋体"/>
          <w:color w:val="auto"/>
          <w:sz w:val="32"/>
          <w:szCs w:val="48"/>
          <w:highlight w:val="none"/>
        </w:rPr>
        <w:instrText xml:space="preserve"> HYPERLINK \l _Toc16596 </w:instrText>
      </w:r>
      <w:r>
        <w:rPr>
          <w:rFonts w:ascii="宋体" w:hAnsi="宋体"/>
          <w:color w:val="auto"/>
          <w:sz w:val="32"/>
          <w:szCs w:val="48"/>
          <w:highlight w:val="none"/>
        </w:rPr>
        <w:fldChar w:fldCharType="separate"/>
      </w:r>
      <w:r>
        <w:rPr>
          <w:rFonts w:ascii="宋体" w:hAnsi="宋体"/>
          <w:color w:val="auto"/>
          <w:sz w:val="32"/>
          <w:szCs w:val="48"/>
          <w:highlight w:val="none"/>
        </w:rPr>
        <w:t>第</w:t>
      </w:r>
      <w:r>
        <w:rPr>
          <w:rFonts w:hint="eastAsia" w:ascii="宋体" w:hAnsi="宋体"/>
          <w:color w:val="auto"/>
          <w:sz w:val="32"/>
          <w:szCs w:val="48"/>
          <w:highlight w:val="none"/>
        </w:rPr>
        <w:t>六</w:t>
      </w:r>
      <w:r>
        <w:rPr>
          <w:rFonts w:ascii="宋体" w:hAnsi="宋体"/>
          <w:color w:val="auto"/>
          <w:sz w:val="32"/>
          <w:szCs w:val="48"/>
          <w:highlight w:val="none"/>
        </w:rPr>
        <w:t xml:space="preserve">章 </w:t>
      </w:r>
      <w:r>
        <w:rPr>
          <w:rFonts w:hint="eastAsia" w:ascii="宋体" w:hAnsi="宋体"/>
          <w:color w:val="auto"/>
          <w:sz w:val="32"/>
          <w:szCs w:val="48"/>
          <w:highlight w:val="none"/>
        </w:rPr>
        <w:t xml:space="preserve"> </w:t>
      </w:r>
      <w:r>
        <w:rPr>
          <w:rFonts w:ascii="宋体" w:hAnsi="宋体"/>
          <w:color w:val="auto"/>
          <w:sz w:val="32"/>
          <w:szCs w:val="48"/>
          <w:highlight w:val="none"/>
        </w:rPr>
        <w:t>投标</w:t>
      </w:r>
      <w:r>
        <w:rPr>
          <w:rFonts w:hint="eastAsia" w:ascii="宋体" w:hAnsi="宋体"/>
          <w:color w:val="auto"/>
          <w:sz w:val="32"/>
          <w:szCs w:val="48"/>
          <w:highlight w:val="none"/>
        </w:rPr>
        <w:t>文件</w:t>
      </w:r>
      <w:r>
        <w:rPr>
          <w:rFonts w:ascii="宋体" w:hAnsi="宋体"/>
          <w:color w:val="auto"/>
          <w:sz w:val="32"/>
          <w:szCs w:val="48"/>
          <w:highlight w:val="none"/>
        </w:rPr>
        <w:t>格式</w:t>
      </w:r>
      <w:r>
        <w:rPr>
          <w:rFonts w:ascii="宋体" w:hAnsi="宋体"/>
          <w:color w:val="auto"/>
          <w:sz w:val="32"/>
          <w:szCs w:val="48"/>
          <w:highlight w:val="none"/>
        </w:rPr>
        <w:tab/>
      </w:r>
      <w:r>
        <w:rPr>
          <w:rFonts w:hint="eastAsia" w:ascii="宋体" w:hAnsi="宋体"/>
          <w:color w:val="auto"/>
          <w:sz w:val="32"/>
          <w:szCs w:val="48"/>
          <w:highlight w:val="none"/>
          <w:lang w:val="en-US" w:eastAsia="zh-CN"/>
        </w:rPr>
        <w:t>6</w:t>
      </w:r>
      <w:r>
        <w:rPr>
          <w:rFonts w:ascii="宋体" w:hAnsi="宋体"/>
          <w:color w:val="auto"/>
          <w:sz w:val="32"/>
          <w:szCs w:val="48"/>
          <w:highlight w:val="none"/>
        </w:rPr>
        <w:fldChar w:fldCharType="end"/>
      </w:r>
      <w:r>
        <w:rPr>
          <w:rFonts w:hint="eastAsia" w:ascii="宋体" w:hAnsi="宋体"/>
          <w:color w:val="auto"/>
          <w:sz w:val="32"/>
          <w:szCs w:val="48"/>
          <w:highlight w:val="none"/>
          <w:lang w:val="en-US" w:eastAsia="zh-CN"/>
        </w:rPr>
        <w:t>2</w:t>
      </w:r>
    </w:p>
    <w:p w14:paraId="426100C0">
      <w:pPr>
        <w:pStyle w:val="17"/>
        <w:pageBreakBefore w:val="0"/>
        <w:tabs>
          <w:tab w:val="right" w:leader="dot" w:pos="9413"/>
        </w:tabs>
        <w:kinsoku/>
        <w:overflowPunct/>
        <w:bidi w:val="0"/>
        <w:adjustRightInd w:val="0"/>
        <w:snapToGrid w:val="0"/>
        <w:spacing w:beforeAutospacing="0" w:afterAutospacing="0" w:line="480" w:lineRule="auto"/>
        <w:ind w:left="0" w:leftChars="0" w:right="0" w:rightChars="0"/>
        <w:rPr>
          <w:rFonts w:hint="eastAsia" w:ascii="宋体" w:hAnsi="宋体" w:eastAsia="宋体"/>
          <w:color w:val="auto"/>
          <w:highlight w:val="none"/>
        </w:rPr>
        <w:sectPr>
          <w:footerReference r:id="rId5" w:type="first"/>
          <w:headerReference r:id="rId3" w:type="default"/>
          <w:footerReference r:id="rId4" w:type="default"/>
          <w:pgSz w:w="11907" w:h="16840"/>
          <w:pgMar w:top="1417" w:right="1304" w:bottom="1417" w:left="1304" w:header="850" w:footer="992" w:gutter="0"/>
          <w:pgNumType w:fmt="decimal" w:start="0"/>
          <w:cols w:space="720" w:num="1"/>
          <w:titlePg/>
          <w:docGrid w:linePitch="303" w:charSpace="0"/>
        </w:sectPr>
      </w:pPr>
      <w:r>
        <w:rPr>
          <w:rFonts w:ascii="宋体" w:hAnsi="宋体"/>
          <w:color w:val="auto"/>
          <w:sz w:val="32"/>
          <w:szCs w:val="48"/>
          <w:highlight w:val="none"/>
        </w:rPr>
        <w:fldChar w:fldCharType="end"/>
      </w:r>
      <w:bookmarkStart w:id="0" w:name="_Toc8987"/>
      <w:bookmarkStart w:id="1" w:name="_Toc11128"/>
      <w:bookmarkStart w:id="2" w:name="_Toc405210263"/>
      <w:bookmarkStart w:id="3" w:name="_Toc405210977"/>
      <w:bookmarkStart w:id="4" w:name="_Toc17887"/>
      <w:bookmarkStart w:id="5" w:name="_Toc374376332"/>
      <w:bookmarkStart w:id="6" w:name="_Toc257107751"/>
      <w:bookmarkStart w:id="7" w:name="_Toc235706388"/>
      <w:bookmarkStart w:id="8" w:name="_Toc375647564"/>
      <w:bookmarkStart w:id="9" w:name="_Toc247965798"/>
    </w:p>
    <w:p w14:paraId="283338B2">
      <w:pPr>
        <w:pageBreakBefore w:val="0"/>
        <w:kinsoku/>
        <w:overflowPunct/>
        <w:bidi w:val="0"/>
        <w:adjustRightInd w:val="0"/>
        <w:snapToGrid w:val="0"/>
        <w:spacing w:beforeAutospacing="0" w:afterAutospacing="0" w:line="360" w:lineRule="auto"/>
        <w:ind w:left="0" w:leftChars="0" w:right="0" w:rightChars="0"/>
        <w:jc w:val="center"/>
        <w:rPr>
          <w:rFonts w:hint="eastAsia"/>
          <w:b/>
          <w:bCs/>
          <w:color w:val="auto"/>
          <w:sz w:val="32"/>
          <w:szCs w:val="36"/>
          <w:highlight w:val="none"/>
        </w:rPr>
      </w:pPr>
      <w:bookmarkStart w:id="10" w:name="_Toc23973"/>
      <w:r>
        <w:rPr>
          <w:rFonts w:hint="eastAsia"/>
          <w:b/>
          <w:bCs/>
          <w:color w:val="auto"/>
          <w:sz w:val="32"/>
          <w:szCs w:val="36"/>
          <w:highlight w:val="none"/>
        </w:rPr>
        <w:t>第一章  招标公告</w:t>
      </w:r>
      <w:bookmarkEnd w:id="0"/>
      <w:bookmarkEnd w:id="1"/>
      <w:bookmarkEnd w:id="2"/>
      <w:bookmarkEnd w:id="3"/>
      <w:bookmarkEnd w:id="4"/>
      <w:bookmarkEnd w:id="10"/>
      <w:bookmarkStart w:id="11" w:name="_Toc1772"/>
    </w:p>
    <w:p w14:paraId="728793F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一、招标条件</w:t>
      </w:r>
    </w:p>
    <w:p w14:paraId="70A7A7C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华睿诚项目管理有限公司</w:t>
      </w:r>
      <w:r>
        <w:rPr>
          <w:rFonts w:hint="eastAsia" w:ascii="宋体" w:hAnsi="宋体" w:eastAsia="宋体" w:cs="宋体"/>
          <w:color w:val="auto"/>
          <w:sz w:val="24"/>
          <w:szCs w:val="24"/>
          <w:highlight w:val="none"/>
        </w:rPr>
        <w:t>受</w:t>
      </w:r>
      <w:r>
        <w:rPr>
          <w:rFonts w:hint="eastAsia" w:ascii="宋体" w:hAnsi="宋体" w:cs="宋体"/>
          <w:color w:val="auto"/>
          <w:sz w:val="24"/>
          <w:szCs w:val="24"/>
          <w:highlight w:val="none"/>
          <w:lang w:eastAsia="zh-CN"/>
        </w:rPr>
        <w:t>灵宝市寺河乡人民政府</w:t>
      </w:r>
      <w:r>
        <w:rPr>
          <w:rFonts w:hint="eastAsia" w:ascii="宋体" w:hAnsi="宋体" w:eastAsia="宋体" w:cs="宋体"/>
          <w:color w:val="auto"/>
          <w:sz w:val="24"/>
          <w:szCs w:val="24"/>
          <w:highlight w:val="none"/>
        </w:rPr>
        <w:t>的委托，就</w:t>
      </w:r>
      <w:r>
        <w:rPr>
          <w:rFonts w:hint="eastAsia" w:ascii="宋体" w:hAnsi="宋体" w:cs="宋体"/>
          <w:color w:val="auto"/>
          <w:sz w:val="24"/>
          <w:szCs w:val="24"/>
          <w:highlight w:val="none"/>
          <w:lang w:eastAsia="zh-CN"/>
        </w:rPr>
        <w:t>灵宝市寺河乡人民政府2025年灵宝市烟叶电烤房项目</w:t>
      </w:r>
      <w:r>
        <w:rPr>
          <w:rFonts w:hint="eastAsia" w:ascii="宋体" w:hAnsi="宋体" w:eastAsia="宋体" w:cs="宋体"/>
          <w:color w:val="auto"/>
          <w:sz w:val="24"/>
          <w:szCs w:val="24"/>
          <w:highlight w:val="none"/>
        </w:rPr>
        <w:t>进行公开招标，欢迎符合相关条件的潜在投标人参加投标，现将有关事项公告如下：</w:t>
      </w:r>
    </w:p>
    <w:p w14:paraId="2D1193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二、项目概况</w:t>
      </w:r>
    </w:p>
    <w:p w14:paraId="33519E0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1、项目名称</w:t>
      </w:r>
      <w:r>
        <w:rPr>
          <w:rFonts w:hint="eastAsia" w:ascii="宋体" w:hAnsi="宋体" w:eastAsia="宋体" w:cs="宋体"/>
          <w:color w:val="auto"/>
          <w:kern w:val="0"/>
          <w:sz w:val="24"/>
          <w:szCs w:val="24"/>
          <w:highlight w:val="none"/>
          <w:lang w:val="en-US" w:eastAsia="zh-CN"/>
        </w:rPr>
        <w:t>：灵宝市寺河乡人民政府2025年灵宝市烟叶电烤房项目</w:t>
      </w:r>
    </w:p>
    <w:p w14:paraId="0A53B51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2、项目编号：灵宝公开采购-2025-40、LBGZ[2025]157-ZC107</w:t>
      </w:r>
    </w:p>
    <w:p w14:paraId="4A70B99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shd w:val="clear" w:color="auto" w:fill="FFFFFF"/>
        </w:rPr>
      </w:pPr>
      <w:r>
        <w:rPr>
          <w:rFonts w:hint="eastAsia" w:ascii="宋体" w:hAnsi="宋体" w:eastAsia="宋体" w:cs="宋体"/>
          <w:color w:val="auto"/>
          <w:kern w:val="0"/>
          <w:sz w:val="24"/>
          <w:szCs w:val="24"/>
          <w:highlight w:val="none"/>
        </w:rPr>
        <w:t>3、资金来源：</w:t>
      </w:r>
      <w:r>
        <w:rPr>
          <w:rFonts w:hint="eastAsia" w:ascii="宋体" w:hAnsi="宋体" w:cs="宋体"/>
          <w:color w:val="auto"/>
          <w:sz w:val="24"/>
          <w:szCs w:val="24"/>
          <w:highlight w:val="none"/>
          <w:lang w:val="en-US" w:eastAsia="zh-CN"/>
        </w:rPr>
        <w:t>自筹资金3199600.00元</w:t>
      </w:r>
    </w:p>
    <w:p w14:paraId="6152AAE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4、招标</w:t>
      </w:r>
      <w:r>
        <w:rPr>
          <w:rFonts w:hint="eastAsia" w:ascii="宋体" w:hAnsi="宋体" w:eastAsia="宋体" w:cs="宋体"/>
          <w:color w:val="auto"/>
          <w:kern w:val="0"/>
          <w:sz w:val="24"/>
          <w:szCs w:val="24"/>
          <w:highlight w:val="none"/>
          <w:lang w:val="en-US" w:eastAsia="zh-CN"/>
        </w:rPr>
        <w:t>内容：本项目共分为两个标段</w:t>
      </w:r>
    </w:p>
    <w:p w14:paraId="070666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一标段：新建内室长8米、宽2.78米、高4.2米电能烤房32座。</w:t>
      </w:r>
    </w:p>
    <w:p w14:paraId="7FCD507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二标段：</w:t>
      </w:r>
      <w:r>
        <w:rPr>
          <w:rFonts w:hint="eastAsia" w:ascii="宋体" w:hAnsi="宋体" w:cs="宋体"/>
          <w:color w:val="auto"/>
          <w:kern w:val="0"/>
          <w:sz w:val="24"/>
          <w:szCs w:val="24"/>
          <w:highlight w:val="none"/>
          <w:lang w:val="en-US" w:eastAsia="zh-CN"/>
        </w:rPr>
        <w:t>安装配套</w:t>
      </w:r>
      <w:r>
        <w:rPr>
          <w:rFonts w:hint="eastAsia" w:ascii="宋体" w:hAnsi="宋体" w:eastAsia="宋体" w:cs="宋体"/>
          <w:color w:val="auto"/>
          <w:kern w:val="0"/>
          <w:sz w:val="24"/>
          <w:szCs w:val="24"/>
          <w:highlight w:val="none"/>
          <w:lang w:val="en-US" w:eastAsia="zh-CN"/>
        </w:rPr>
        <w:t>变压器400KVA 1台、350KVA 2台、250KVA 1台</w:t>
      </w:r>
      <w:r>
        <w:rPr>
          <w:rFonts w:hint="eastAsia" w:ascii="宋体" w:hAnsi="宋体" w:cs="宋体"/>
          <w:color w:val="auto"/>
          <w:kern w:val="0"/>
          <w:sz w:val="24"/>
          <w:szCs w:val="24"/>
          <w:highlight w:val="none"/>
          <w:lang w:val="en-US" w:eastAsia="zh-CN"/>
        </w:rPr>
        <w:t>。</w:t>
      </w:r>
    </w:p>
    <w:p w14:paraId="758DD0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5、实施地点：灵宝市寺河乡。</w:t>
      </w:r>
    </w:p>
    <w:p w14:paraId="1536F39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6、交货期：自合同签订之日起4</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日历天内交货并安装调试完毕。</w:t>
      </w:r>
    </w:p>
    <w:p w14:paraId="7A30BD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7、质量要求：</w:t>
      </w:r>
    </w:p>
    <w:p w14:paraId="2ECA42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一标段：</w:t>
      </w:r>
      <w:r>
        <w:rPr>
          <w:rFonts w:hint="eastAsia" w:ascii="宋体" w:hAnsi="宋体" w:eastAsia="宋体" w:cs="宋体"/>
          <w:color w:val="auto"/>
          <w:sz w:val="24"/>
          <w:szCs w:val="24"/>
          <w:highlight w:val="none"/>
        </w:rPr>
        <w:t>达到国家相关法律、法规规定的生产、制造、验收合格标准，并符合《空气源热泵密集烤房》（Q/HNYC 050-2020）要求及满足需方使用要求。</w:t>
      </w:r>
    </w:p>
    <w:tbl>
      <w:tblPr>
        <w:tblStyle w:val="22"/>
        <w:tblpPr w:leftFromText="180" w:rightFromText="180" w:vertAnchor="text" w:horzAnchor="page" w:tblpX="1076" w:tblpY="502"/>
        <w:tblOverlap w:val="never"/>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150"/>
        <w:gridCol w:w="820"/>
        <w:gridCol w:w="1926"/>
        <w:gridCol w:w="1697"/>
        <w:gridCol w:w="1580"/>
      </w:tblGrid>
      <w:tr w14:paraId="6276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trPr>
        <w:tc>
          <w:tcPr>
            <w:tcW w:w="999" w:type="dxa"/>
            <w:vAlign w:val="center"/>
          </w:tcPr>
          <w:p w14:paraId="4AEED8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标段</w:t>
            </w:r>
          </w:p>
        </w:tc>
        <w:tc>
          <w:tcPr>
            <w:tcW w:w="3150" w:type="dxa"/>
            <w:vAlign w:val="center"/>
          </w:tcPr>
          <w:p w14:paraId="1E9F0F0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项目内容</w:t>
            </w:r>
          </w:p>
        </w:tc>
        <w:tc>
          <w:tcPr>
            <w:tcW w:w="820" w:type="dxa"/>
            <w:vAlign w:val="center"/>
          </w:tcPr>
          <w:p w14:paraId="4AD420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采购数量</w:t>
            </w:r>
          </w:p>
        </w:tc>
        <w:tc>
          <w:tcPr>
            <w:tcW w:w="1926" w:type="dxa"/>
            <w:vAlign w:val="center"/>
          </w:tcPr>
          <w:p w14:paraId="7B10832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rPr>
              <w:t>价</w:t>
            </w:r>
          </w:p>
          <w:p w14:paraId="5F7C1D4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1697" w:type="dxa"/>
            <w:vAlign w:val="center"/>
          </w:tcPr>
          <w:p w14:paraId="316F4B5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招标控制价</w:t>
            </w:r>
          </w:p>
          <w:p w14:paraId="6F21EAE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1580" w:type="dxa"/>
            <w:vAlign w:val="center"/>
          </w:tcPr>
          <w:p w14:paraId="4EEF383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467C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99" w:type="dxa"/>
            <w:vAlign w:val="center"/>
          </w:tcPr>
          <w:p w14:paraId="7767B8C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标段</w:t>
            </w:r>
          </w:p>
        </w:tc>
        <w:tc>
          <w:tcPr>
            <w:tcW w:w="3150" w:type="dxa"/>
            <w:vAlign w:val="center"/>
          </w:tcPr>
          <w:p w14:paraId="63BF6E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新建</w:t>
            </w:r>
            <w:r>
              <w:rPr>
                <w:rFonts w:hint="eastAsia" w:ascii="宋体" w:hAnsi="宋体" w:eastAsia="宋体" w:cs="宋体"/>
                <w:color w:val="auto"/>
                <w:kern w:val="0"/>
                <w:sz w:val="24"/>
                <w:szCs w:val="24"/>
                <w:highlight w:val="none"/>
                <w:lang w:eastAsia="zh-CN"/>
              </w:rPr>
              <w:t>内室长8米、宽2.78米、高4.2米电能烤房</w:t>
            </w:r>
            <w:r>
              <w:rPr>
                <w:rFonts w:hint="eastAsia" w:ascii="宋体" w:hAnsi="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lang w:eastAsia="zh-CN"/>
              </w:rPr>
              <w:t>座</w:t>
            </w:r>
          </w:p>
        </w:tc>
        <w:tc>
          <w:tcPr>
            <w:tcW w:w="820" w:type="dxa"/>
            <w:vAlign w:val="center"/>
          </w:tcPr>
          <w:p w14:paraId="3DC9064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w:t>
            </w:r>
            <w:r>
              <w:rPr>
                <w:rFonts w:hint="eastAsia" w:ascii="宋体" w:hAnsi="宋体" w:eastAsia="宋体" w:cs="宋体"/>
                <w:b w:val="0"/>
                <w:bCs w:val="0"/>
                <w:color w:val="auto"/>
                <w:sz w:val="24"/>
                <w:szCs w:val="24"/>
                <w:highlight w:val="none"/>
              </w:rPr>
              <w:t>座</w:t>
            </w:r>
          </w:p>
        </w:tc>
        <w:tc>
          <w:tcPr>
            <w:tcW w:w="1926" w:type="dxa"/>
            <w:vAlign w:val="center"/>
          </w:tcPr>
          <w:p w14:paraId="51CE88A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89050.00元/座</w:t>
            </w:r>
          </w:p>
        </w:tc>
        <w:tc>
          <w:tcPr>
            <w:tcW w:w="1697" w:type="dxa"/>
            <w:vAlign w:val="center"/>
          </w:tcPr>
          <w:p w14:paraId="2F5B109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2849600.00元</w:t>
            </w:r>
          </w:p>
        </w:tc>
        <w:tc>
          <w:tcPr>
            <w:tcW w:w="1580" w:type="dxa"/>
            <w:vMerge w:val="restart"/>
            <w:vAlign w:val="center"/>
          </w:tcPr>
          <w:p w14:paraId="4C6472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具体内容详见第五章</w:t>
            </w:r>
          </w:p>
        </w:tc>
      </w:tr>
      <w:tr w14:paraId="4D96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999" w:type="dxa"/>
            <w:vMerge w:val="restart"/>
            <w:vAlign w:val="center"/>
          </w:tcPr>
          <w:p w14:paraId="5246BA0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lang w:val="en-US" w:eastAsia="zh-CN"/>
              </w:rPr>
              <w:t>标段</w:t>
            </w:r>
          </w:p>
        </w:tc>
        <w:tc>
          <w:tcPr>
            <w:tcW w:w="3150" w:type="dxa"/>
            <w:vAlign w:val="center"/>
          </w:tcPr>
          <w:p w14:paraId="5ECCAB0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安装配套变压器400KVA</w:t>
            </w:r>
          </w:p>
        </w:tc>
        <w:tc>
          <w:tcPr>
            <w:tcW w:w="820" w:type="dxa"/>
            <w:vAlign w:val="center"/>
          </w:tcPr>
          <w:p w14:paraId="2441D8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3CC3BCF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100000.00元/台</w:t>
            </w:r>
          </w:p>
        </w:tc>
        <w:tc>
          <w:tcPr>
            <w:tcW w:w="1697" w:type="dxa"/>
            <w:vAlign w:val="center"/>
          </w:tcPr>
          <w:p w14:paraId="5A2D007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100000.00元</w:t>
            </w:r>
          </w:p>
        </w:tc>
        <w:tc>
          <w:tcPr>
            <w:tcW w:w="1580" w:type="dxa"/>
            <w:vMerge w:val="continue"/>
            <w:vAlign w:val="center"/>
          </w:tcPr>
          <w:p w14:paraId="4DEF574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4D9C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99" w:type="dxa"/>
            <w:vMerge w:val="continue"/>
            <w:vAlign w:val="center"/>
          </w:tcPr>
          <w:p w14:paraId="2FA9EA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p>
        </w:tc>
        <w:tc>
          <w:tcPr>
            <w:tcW w:w="3150" w:type="dxa"/>
            <w:vAlign w:val="center"/>
          </w:tcPr>
          <w:p w14:paraId="6D4E9D4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安装配套变压器350KVA</w:t>
            </w:r>
          </w:p>
          <w:p w14:paraId="6D536A0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p>
        </w:tc>
        <w:tc>
          <w:tcPr>
            <w:tcW w:w="820" w:type="dxa"/>
            <w:vAlign w:val="center"/>
          </w:tcPr>
          <w:p w14:paraId="4D90B8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3B2B1C8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90000.00元/台</w:t>
            </w:r>
          </w:p>
        </w:tc>
        <w:tc>
          <w:tcPr>
            <w:tcW w:w="1697" w:type="dxa"/>
            <w:vAlign w:val="center"/>
          </w:tcPr>
          <w:p w14:paraId="1028C7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180000.00元</w:t>
            </w:r>
          </w:p>
        </w:tc>
        <w:tc>
          <w:tcPr>
            <w:tcW w:w="1580" w:type="dxa"/>
            <w:vMerge w:val="continue"/>
            <w:vAlign w:val="center"/>
          </w:tcPr>
          <w:p w14:paraId="1BC92CD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2022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99" w:type="dxa"/>
            <w:vMerge w:val="continue"/>
            <w:vAlign w:val="center"/>
          </w:tcPr>
          <w:p w14:paraId="231271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p>
        </w:tc>
        <w:tc>
          <w:tcPr>
            <w:tcW w:w="3150" w:type="dxa"/>
            <w:vAlign w:val="center"/>
          </w:tcPr>
          <w:p w14:paraId="074E6DC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安装配套变压器250KVA</w:t>
            </w:r>
          </w:p>
          <w:p w14:paraId="7F6B433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p>
          <w:p w14:paraId="7C0FD65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变压器250KVA</w:t>
            </w:r>
            <w:r>
              <w:rPr>
                <w:rFonts w:hint="eastAsia" w:ascii="宋体" w:hAnsi="宋体" w:cs="宋体"/>
                <w:b w:val="0"/>
                <w:bCs w:val="0"/>
                <w:color w:val="auto"/>
                <w:kern w:val="0"/>
                <w:sz w:val="24"/>
                <w:szCs w:val="24"/>
                <w:highlight w:val="none"/>
                <w:lang w:val="en-US" w:eastAsia="zh-CN"/>
              </w:rPr>
              <w:t xml:space="preserve">  1台</w:t>
            </w:r>
          </w:p>
        </w:tc>
        <w:tc>
          <w:tcPr>
            <w:tcW w:w="820" w:type="dxa"/>
            <w:vAlign w:val="center"/>
          </w:tcPr>
          <w:p w14:paraId="3E1F5B5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18B1D8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70000.00元/台</w:t>
            </w:r>
          </w:p>
        </w:tc>
        <w:tc>
          <w:tcPr>
            <w:tcW w:w="1697" w:type="dxa"/>
            <w:vAlign w:val="center"/>
          </w:tcPr>
          <w:p w14:paraId="55DBFC8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70000.00元</w:t>
            </w:r>
          </w:p>
        </w:tc>
        <w:tc>
          <w:tcPr>
            <w:tcW w:w="1580" w:type="dxa"/>
            <w:vMerge w:val="continue"/>
            <w:vAlign w:val="center"/>
          </w:tcPr>
          <w:p w14:paraId="10D96BD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3FAE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6895" w:type="dxa"/>
            <w:gridSpan w:val="4"/>
            <w:vAlign w:val="center"/>
          </w:tcPr>
          <w:p w14:paraId="0AD901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合计</w:t>
            </w:r>
          </w:p>
        </w:tc>
        <w:tc>
          <w:tcPr>
            <w:tcW w:w="1697" w:type="dxa"/>
            <w:vAlign w:val="center"/>
          </w:tcPr>
          <w:p w14:paraId="408F06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cs="宋体"/>
                <w:b w:val="0"/>
                <w:bCs w:val="0"/>
                <w:color w:val="auto"/>
                <w:kern w:val="0"/>
                <w:sz w:val="24"/>
                <w:szCs w:val="24"/>
                <w:highlight w:val="none"/>
                <w:lang w:val="en-US" w:eastAsia="zh-CN"/>
              </w:rPr>
              <w:t>3199600.00元</w:t>
            </w:r>
          </w:p>
        </w:tc>
        <w:tc>
          <w:tcPr>
            <w:tcW w:w="1580" w:type="dxa"/>
            <w:vAlign w:val="center"/>
          </w:tcPr>
          <w:p w14:paraId="1CC29AF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bl>
    <w:p w14:paraId="2D447E3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标段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符合国家规定，达到正常运行使用条件</w:t>
      </w:r>
    </w:p>
    <w:p w14:paraId="02F5B0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8、标段划分：本项目共</w:t>
      </w:r>
      <w:r>
        <w:rPr>
          <w:rFonts w:hint="eastAsia" w:ascii="宋体" w:hAnsi="宋体" w:eastAsia="宋体" w:cs="宋体"/>
          <w:color w:val="auto"/>
          <w:kern w:val="0"/>
          <w:sz w:val="24"/>
          <w:szCs w:val="24"/>
          <w:highlight w:val="none"/>
          <w:lang w:eastAsia="zh-CN"/>
        </w:rPr>
        <w:t>划分为</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个标段</w:t>
      </w:r>
    </w:p>
    <w:p w14:paraId="5DAA1DD3">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kern w:val="0"/>
          <w:sz w:val="24"/>
          <w:szCs w:val="24"/>
          <w:highlight w:val="none"/>
          <w:u w:val="none"/>
          <w:lang w:val="en-US" w:eastAsia="zh-CN"/>
        </w:rPr>
        <w:t>9、质保期：</w:t>
      </w:r>
    </w:p>
    <w:p w14:paraId="0D3D7BA4">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kern w:val="0"/>
          <w:sz w:val="24"/>
          <w:szCs w:val="24"/>
          <w:highlight w:val="none"/>
          <w:u w:val="none"/>
          <w:lang w:val="en-US" w:eastAsia="zh-CN"/>
        </w:rPr>
        <w:t>一标段：质保期自验收合格之日起3年</w:t>
      </w:r>
      <w:r>
        <w:rPr>
          <w:rFonts w:hint="eastAsia" w:ascii="宋体" w:hAnsi="宋体" w:eastAsia="宋体" w:cs="宋体"/>
          <w:color w:val="auto"/>
          <w:sz w:val="24"/>
          <w:szCs w:val="24"/>
          <w:highlight w:val="none"/>
          <w:u w:val="none"/>
          <w:lang w:eastAsia="zh-CN"/>
        </w:rPr>
        <w:t>。</w:t>
      </w:r>
    </w:p>
    <w:p w14:paraId="4B02C75A">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cs="宋体"/>
          <w:color w:val="auto"/>
          <w:sz w:val="24"/>
          <w:szCs w:val="24"/>
          <w:highlight w:val="none"/>
          <w:u w:val="none"/>
          <w:lang w:val="en-US" w:eastAsia="zh-CN"/>
        </w:rPr>
        <w:t>二标段：质保期自验收合格之日起1年</w:t>
      </w:r>
      <w:r>
        <w:rPr>
          <w:rFonts w:hint="eastAsia" w:ascii="宋体" w:hAnsi="宋体" w:eastAsia="宋体" w:cs="宋体"/>
          <w:color w:val="auto"/>
          <w:sz w:val="24"/>
          <w:szCs w:val="24"/>
          <w:highlight w:val="none"/>
          <w:u w:val="none"/>
          <w:lang w:val="en-US" w:eastAsia="zh-CN"/>
        </w:rPr>
        <w:t>。</w:t>
      </w:r>
    </w:p>
    <w:p w14:paraId="2F0156B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u w:val="none"/>
        </w:rPr>
      </w:pPr>
      <w:r>
        <w:rPr>
          <w:rFonts w:hint="eastAsia" w:ascii="宋体" w:hAnsi="宋体" w:eastAsia="宋体" w:cs="宋体"/>
          <w:color w:val="auto"/>
          <w:kern w:val="0"/>
          <w:sz w:val="24"/>
          <w:szCs w:val="24"/>
          <w:highlight w:val="none"/>
          <w:u w:val="none"/>
          <w:lang w:val="en-US" w:eastAsia="zh-CN"/>
        </w:rPr>
        <w:t>10、是否接受进口产品：否。</w:t>
      </w:r>
    </w:p>
    <w:p w14:paraId="680E8B3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、落实政府采购政策满足的资格要求：本项目非专门面向中小企业、监狱企业及残疾人福利性单位采购项目</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执行促进中小型企业发展政策（残疾人福利性企业、监狱企业视同小微企业）。</w:t>
      </w:r>
    </w:p>
    <w:p w14:paraId="608299B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三、投标人资格要求</w:t>
      </w:r>
    </w:p>
    <w:p w14:paraId="3954FB08">
      <w:pPr>
        <w:keepNext w:val="0"/>
        <w:keepLines w:val="0"/>
        <w:widowControl w:val="0"/>
        <w:suppressLineNumbers w:val="0"/>
        <w:pBdr>
          <w:top w:val="none" w:color="auto" w:sz="0" w:space="0"/>
          <w:left w:val="none" w:color="auto" w:sz="0" w:space="0"/>
          <w:bottom w:val="none" w:color="auto" w:sz="0" w:space="0"/>
          <w:right w:val="none" w:color="auto" w:sz="0" w:space="0"/>
        </w:pBdr>
        <w:wordWrap w:val="0"/>
        <w:adjustRightInd w:val="0"/>
        <w:spacing w:before="0" w:beforeAutospacing="0" w:after="0" w:afterAutospacing="0" w:line="560" w:lineRule="exact"/>
        <w:ind w:left="0" w:right="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1、投标人须为具备承担民事责任能力的独立法人，具有有效的营业执照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且经营范围能满足本项目要求；</w:t>
      </w:r>
    </w:p>
    <w:p w14:paraId="0D7D224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、投标人具有履行合同所必须的设备和专业技术能力（投标人自行作出承诺，格式自拟）；</w:t>
      </w:r>
    </w:p>
    <w:p w14:paraId="68D8DB0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、企业出具本单位无商业贿赂及无不正当竞争行为的承诺书（格式自拟）；</w:t>
      </w:r>
    </w:p>
    <w:p w14:paraId="52BDE9C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根据《关于在政府采购活动中查询及使用信用记录有关问题的通知》(财库[2016]125号)的规定，企业没有被列入“中国执行信息公开网”网站的“失信被执行人”、“信用中国”网站的“重大税收违法失信主体”及“中国政府采购网”网站的“政府采购严重违法失信行为记录名单”。【查询渠道：“中国执行信息公开网”网站（http://zxgk.court.gov.cn/shixin）“信用中国”网站（www.creditchina.gov.cn）、中国政府采购网（www.ccgp.gov.cn），提供网站的查询信息截图，查询时间自公告发布之日起）</w:t>
      </w:r>
      <w:r>
        <w:rPr>
          <w:rFonts w:hint="eastAsia" w:ascii="宋体" w:hAnsi="宋体" w:eastAsia="宋体" w:cs="宋体"/>
          <w:color w:val="auto"/>
          <w:sz w:val="24"/>
          <w:szCs w:val="24"/>
          <w:highlight w:val="none"/>
          <w:lang w:val="en-US" w:eastAsia="zh-CN"/>
        </w:rPr>
        <w:t>(2016)125号）的要求，被“信用中国”网站(www.creditchina.gov.cn)列入失信被执行人、重大税收违法失信主体,被中国政府采购网(www.ccgp·gov.cn)网站列入政府采购严重违法失信行为记录名单的单位将被拒绝参与本项目投标活动；</w:t>
      </w:r>
    </w:p>
    <w:p w14:paraId="67F928C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、投标人法定代表人或单位负责人为同一人或者存在控股、管理关系的不同单位，不得参加同一标段投标或者未划分标段的同一招标项目的投标。</w:t>
      </w:r>
      <w:r>
        <w:rPr>
          <w:rFonts w:hint="eastAsia" w:ascii="宋体" w:hAnsi="宋体" w:eastAsia="宋体" w:cs="宋体"/>
          <w:color w:val="auto"/>
          <w:sz w:val="24"/>
          <w:szCs w:val="24"/>
          <w:highlight w:val="none"/>
          <w:lang w:val="en-US" w:eastAsia="zh-CN"/>
        </w:rPr>
        <w:t>提供投标人在“国家企业信用信息公示系统”中公示的公司信息、股东或投资人信息”。</w:t>
      </w:r>
    </w:p>
    <w:p w14:paraId="4371F37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、本项目不接受联合体投标，中标后不得分包或转包。</w:t>
      </w:r>
    </w:p>
    <w:p w14:paraId="748655E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bookmarkStart w:id="12" w:name="_Toc15614"/>
      <w:r>
        <w:rPr>
          <w:rFonts w:hint="eastAsia" w:ascii="宋体" w:hAnsi="宋体" w:eastAsia="宋体" w:cs="宋体"/>
          <w:b/>
          <w:bCs/>
          <w:color w:val="auto"/>
          <w:sz w:val="24"/>
          <w:szCs w:val="24"/>
          <w:highlight w:val="none"/>
        </w:rPr>
        <w:t>四、招标文件的获取方式</w:t>
      </w:r>
    </w:p>
    <w:p w14:paraId="128037B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1、招标文件获取方式：本项目没有报名环节，投标人凭CA数字证书通过三门峡市公共资源交易中心网（网址：</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HYPERLINK "http://gzjy.smx.gov.cn），点击交易平台选择\“市场主体登录\”，在所参与项目右侧点击参与投标，即可直接下载本项目招标文件。" </w:instrText>
      </w:r>
      <w:r>
        <w:rPr>
          <w:rFonts w:hint="eastAsia" w:ascii="宋体" w:hAnsi="宋体" w:eastAsia="宋体" w:cs="宋体"/>
          <w:color w:val="auto"/>
          <w:kern w:val="0"/>
          <w:sz w:val="24"/>
          <w:szCs w:val="24"/>
          <w:highlight w:val="none"/>
        </w:rPr>
        <w:fldChar w:fldCharType="separate"/>
      </w:r>
      <w:r>
        <w:rPr>
          <w:rStyle w:val="32"/>
          <w:rFonts w:hint="eastAsia" w:ascii="宋体" w:hAnsi="宋体" w:eastAsia="宋体" w:cs="宋体"/>
          <w:color w:val="auto"/>
          <w:kern w:val="0"/>
          <w:sz w:val="24"/>
          <w:szCs w:val="24"/>
          <w:highlight w:val="none"/>
        </w:rPr>
        <w:t>http://gzjy.smx.gov.cn），点击交易平台选择“市场主体登录”，在所参与项目右侧点击参与投标，即可直接下载本项目招标文件。</w:t>
      </w:r>
      <w:r>
        <w:rPr>
          <w:rFonts w:hint="eastAsia" w:ascii="宋体" w:hAnsi="宋体" w:eastAsia="宋体" w:cs="宋体"/>
          <w:color w:val="auto"/>
          <w:kern w:val="0"/>
          <w:sz w:val="24"/>
          <w:szCs w:val="24"/>
          <w:highlight w:val="none"/>
        </w:rPr>
        <w:fldChar w:fldCharType="end"/>
      </w:r>
    </w:p>
    <w:p w14:paraId="47F4BB1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sz w:val="24"/>
          <w:szCs w:val="24"/>
          <w:highlight w:val="none"/>
        </w:rPr>
        <w:t>地点：三门峡市公共资源交易中心网。</w:t>
      </w:r>
    </w:p>
    <w:p w14:paraId="246543F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、招标文件下载时间：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6</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28</w:t>
      </w:r>
      <w:r>
        <w:rPr>
          <w:rFonts w:hint="eastAsia" w:ascii="宋体" w:hAnsi="宋体" w:cs="宋体"/>
          <w:b/>
          <w:bCs/>
          <w:color w:val="auto"/>
          <w:kern w:val="0"/>
          <w:sz w:val="24"/>
          <w:szCs w:val="24"/>
          <w:highlight w:val="none"/>
          <w:lang w:eastAsia="zh-CN"/>
        </w:rPr>
        <w:t>日</w:t>
      </w:r>
      <w:r>
        <w:rPr>
          <w:rFonts w:hint="eastAsia" w:ascii="宋体" w:hAnsi="宋体" w:eastAsia="宋体" w:cs="宋体"/>
          <w:b/>
          <w:bCs/>
          <w:color w:val="auto"/>
          <w:kern w:val="0"/>
          <w:sz w:val="24"/>
          <w:szCs w:val="24"/>
          <w:highlight w:val="none"/>
        </w:rPr>
        <w:t>至</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月2</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eastAsia="zh-CN"/>
        </w:rPr>
        <w:t>日08时30分</w:t>
      </w:r>
      <w:r>
        <w:rPr>
          <w:rFonts w:hint="eastAsia" w:ascii="宋体" w:hAnsi="宋体" w:eastAsia="宋体" w:cs="宋体"/>
          <w:color w:val="auto"/>
          <w:kern w:val="0"/>
          <w:sz w:val="24"/>
          <w:szCs w:val="24"/>
          <w:highlight w:val="none"/>
        </w:rPr>
        <w:t>。</w:t>
      </w:r>
    </w:p>
    <w:p w14:paraId="05C8D45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完成。因投标人原因未能解密、解密失败或解密超时的将不予接受。</w:t>
      </w:r>
    </w:p>
    <w:p w14:paraId="451C0D0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、根据《关于进一步加强公共资源交易管理持续优化营商环境的通知》（三公管办〔2020〕2号）文件的要求,招标文件费用不再收取。</w:t>
      </w:r>
    </w:p>
    <w:p w14:paraId="1F49399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五、投标保证金</w:t>
      </w:r>
    </w:p>
    <w:p w14:paraId="499C23C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按照《河南省财政厅关于优化政府招标营商环境有关问题的通知》（豫财购[2019]4号文）的要求本项目不再收取投标保证金。</w:t>
      </w:r>
    </w:p>
    <w:p w14:paraId="01FF008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六、投标文件的递交</w:t>
      </w:r>
    </w:p>
    <w:p w14:paraId="3A24404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1、投标文件递交截止时间：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月2</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eastAsia="zh-CN"/>
        </w:rPr>
        <w:t>日08时30分</w:t>
      </w:r>
      <w:r>
        <w:rPr>
          <w:rFonts w:hint="eastAsia" w:ascii="宋体" w:hAnsi="宋体" w:eastAsia="宋体" w:cs="宋体"/>
          <w:b/>
          <w:bCs/>
          <w:color w:val="auto"/>
          <w:kern w:val="0"/>
          <w:sz w:val="24"/>
          <w:szCs w:val="24"/>
          <w:highlight w:val="none"/>
        </w:rPr>
        <w:t>（北京时间）</w:t>
      </w:r>
      <w:r>
        <w:rPr>
          <w:rFonts w:hint="eastAsia" w:ascii="宋体" w:hAnsi="宋体" w:eastAsia="宋体" w:cs="宋体"/>
          <w:color w:val="auto"/>
          <w:kern w:val="0"/>
          <w:sz w:val="24"/>
          <w:szCs w:val="24"/>
          <w:highlight w:val="none"/>
        </w:rPr>
        <w:t>。</w:t>
      </w:r>
    </w:p>
    <w:p w14:paraId="5060BDB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2、投标文件应为电子投标文件。投标人应在投标文件递交截止时间前，通过互联网使用CA数字证书登录“电子交易平台”，将电子投标文件上传。</w:t>
      </w:r>
    </w:p>
    <w:p w14:paraId="1792825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3、投标文件递交地点：</w:t>
      </w:r>
      <w:r>
        <w:rPr>
          <w:rFonts w:hint="eastAsia" w:ascii="宋体" w:hAnsi="宋体" w:eastAsia="宋体" w:cs="宋体"/>
          <w:b/>
          <w:color w:val="auto"/>
          <w:sz w:val="24"/>
          <w:szCs w:val="24"/>
          <w:highlight w:val="none"/>
        </w:rPr>
        <w:t>加密的电子投标文件上传至三门峡市公共资源交易中心系统。</w:t>
      </w:r>
    </w:p>
    <w:p w14:paraId="582CD94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七、开标时间及地点</w:t>
      </w:r>
    </w:p>
    <w:p w14:paraId="37D2893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1、开标时间：</w:t>
      </w:r>
      <w:r>
        <w:rPr>
          <w:rFonts w:hint="eastAsia" w:ascii="宋体" w:hAnsi="宋体" w:cs="宋体"/>
          <w:b/>
          <w:bCs/>
          <w:color w:val="auto"/>
          <w:kern w:val="0"/>
          <w:sz w:val="24"/>
          <w:szCs w:val="24"/>
          <w:highlight w:val="none"/>
          <w:lang w:eastAsia="zh-CN"/>
        </w:rPr>
        <w:t>202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7</w:t>
      </w:r>
      <w:r>
        <w:rPr>
          <w:rFonts w:hint="eastAsia" w:ascii="宋体" w:hAnsi="宋体" w:cs="宋体"/>
          <w:b/>
          <w:bCs/>
          <w:color w:val="auto"/>
          <w:kern w:val="0"/>
          <w:sz w:val="24"/>
          <w:szCs w:val="24"/>
          <w:highlight w:val="none"/>
          <w:lang w:eastAsia="zh-CN"/>
        </w:rPr>
        <w:t>月2</w:t>
      </w:r>
      <w:r>
        <w:rPr>
          <w:rFonts w:hint="eastAsia" w:ascii="宋体" w:hAnsi="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eastAsia="zh-CN"/>
        </w:rPr>
        <w:t>日08时30分</w:t>
      </w:r>
      <w:r>
        <w:rPr>
          <w:rFonts w:hint="eastAsia" w:ascii="宋体" w:hAnsi="宋体" w:eastAsia="宋体" w:cs="宋体"/>
          <w:color w:val="auto"/>
          <w:kern w:val="0"/>
          <w:sz w:val="24"/>
          <w:szCs w:val="24"/>
          <w:highlight w:val="none"/>
        </w:rPr>
        <w:t>；</w:t>
      </w:r>
    </w:p>
    <w:p w14:paraId="6DC19D4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2、开标地点：</w:t>
      </w:r>
      <w:r>
        <w:rPr>
          <w:rFonts w:hint="eastAsia" w:ascii="宋体" w:hAnsi="宋体" w:eastAsia="宋体" w:cs="宋体"/>
          <w:color w:val="auto"/>
          <w:kern w:val="0"/>
          <w:sz w:val="24"/>
          <w:szCs w:val="24"/>
          <w:highlight w:val="none"/>
          <w:lang w:eastAsia="zh-CN"/>
        </w:rPr>
        <w:t>灵宝市公共资源交易中心</w:t>
      </w:r>
      <w:r>
        <w:rPr>
          <w:rFonts w:hint="eastAsia" w:ascii="宋体" w:hAnsi="宋体" w:cs="宋体"/>
          <w:b/>
          <w:bCs/>
          <w:color w:val="auto"/>
          <w:kern w:val="0"/>
          <w:sz w:val="24"/>
          <w:szCs w:val="24"/>
          <w:highlight w:val="none"/>
          <w:lang w:eastAsia="zh-CN"/>
        </w:rPr>
        <w:t>开标</w:t>
      </w:r>
      <w:r>
        <w:rPr>
          <w:rFonts w:hint="eastAsia" w:ascii="宋体" w:hAnsi="宋体" w:cs="宋体"/>
          <w:b/>
          <w:bCs/>
          <w:color w:val="auto"/>
          <w:kern w:val="0"/>
          <w:sz w:val="24"/>
          <w:szCs w:val="24"/>
          <w:highlight w:val="none"/>
          <w:lang w:val="en-US" w:eastAsia="zh-CN"/>
        </w:rPr>
        <w:t>二</w:t>
      </w:r>
      <w:r>
        <w:rPr>
          <w:rFonts w:hint="eastAsia" w:ascii="宋体" w:hAnsi="宋体" w:cs="宋体"/>
          <w:b/>
          <w:bCs/>
          <w:color w:val="auto"/>
          <w:kern w:val="0"/>
          <w:sz w:val="24"/>
          <w:szCs w:val="24"/>
          <w:highlight w:val="none"/>
          <w:lang w:eastAsia="zh-CN"/>
        </w:rPr>
        <w:t>室、评标</w:t>
      </w:r>
      <w:r>
        <w:rPr>
          <w:rFonts w:hint="eastAsia" w:ascii="宋体" w:hAnsi="宋体" w:cs="宋体"/>
          <w:b/>
          <w:bCs/>
          <w:color w:val="auto"/>
          <w:kern w:val="0"/>
          <w:sz w:val="24"/>
          <w:szCs w:val="24"/>
          <w:highlight w:val="none"/>
          <w:lang w:val="en-US" w:eastAsia="zh-CN"/>
        </w:rPr>
        <w:t>二</w:t>
      </w:r>
      <w:r>
        <w:rPr>
          <w:rFonts w:hint="eastAsia" w:ascii="宋体" w:hAnsi="宋体" w:cs="宋体"/>
          <w:b/>
          <w:bCs/>
          <w:color w:val="auto"/>
          <w:kern w:val="0"/>
          <w:sz w:val="24"/>
          <w:szCs w:val="24"/>
          <w:highlight w:val="none"/>
          <w:lang w:eastAsia="zh-CN"/>
        </w:rPr>
        <w:t>室</w:t>
      </w:r>
      <w:r>
        <w:rPr>
          <w:rFonts w:hint="eastAsia" w:ascii="宋体" w:hAnsi="宋体" w:eastAsia="宋体" w:cs="宋体"/>
          <w:color w:val="auto"/>
          <w:kern w:val="0"/>
          <w:sz w:val="24"/>
          <w:szCs w:val="24"/>
          <w:highlight w:val="none"/>
          <w:lang w:eastAsia="zh-CN"/>
        </w:rPr>
        <w:t>（灵宝市金城大道农村信用联社12楼）</w:t>
      </w:r>
      <w:r>
        <w:rPr>
          <w:rFonts w:hint="eastAsia" w:ascii="宋体" w:hAnsi="宋体" w:eastAsia="宋体" w:cs="宋体"/>
          <w:color w:val="auto"/>
          <w:kern w:val="0"/>
          <w:sz w:val="24"/>
          <w:szCs w:val="24"/>
          <w:highlight w:val="none"/>
        </w:rPr>
        <w:t>。</w:t>
      </w:r>
    </w:p>
    <w:p w14:paraId="37971C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八、其他事项</w:t>
      </w:r>
    </w:p>
    <w:p w14:paraId="7317C2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本项目实行资格后审，根据优化营商环境的要求，评标时审查内容以投标（响应）文件为准：</w:t>
      </w:r>
    </w:p>
    <w:p w14:paraId="1B5F8BE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（1）资格评（预）审部分：资格评（预）审以投标（响应）文件为准，其上传资料真实性由投标人自行承担，同时，投标人要完善主体库。</w:t>
      </w:r>
    </w:p>
    <w:p w14:paraId="544077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（2）评标打分部分：评标打分部分仍按照100分制原则进行，涉及到资格审查、企业荣誉、人员业绩、企业业绩等计分部分时，以投标人自行上传到投标（响应）文件中的相应内容为准。</w:t>
      </w:r>
    </w:p>
    <w:p w14:paraId="7CA3D6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响应文件编制部分：在招标文件中要求投标人按照投标（响应）文件格式进行投标文件编制，在投标文件编制时，应明确将投标单位企业基本情况、资质情况、人员情况、财务情况、业绩情况编入投标文件，便于进行资格审查及评标打分，可使用电子营业执照</w:t>
      </w:r>
      <w:r>
        <w:rPr>
          <w:rFonts w:hint="eastAsia" w:ascii="宋体" w:hAnsi="宋体" w:cs="宋体"/>
          <w:color w:val="auto"/>
          <w:sz w:val="24"/>
          <w:szCs w:val="24"/>
          <w:highlight w:val="none"/>
          <w:lang w:val="en-US" w:eastAsia="zh-CN"/>
        </w:rPr>
        <w:t>。</w:t>
      </w:r>
    </w:p>
    <w:p w14:paraId="65293DD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2、投标人递交的资料和投标（响应）文件不论成交与否均不予退还；</w:t>
      </w:r>
      <w:r>
        <w:rPr>
          <w:rFonts w:hint="eastAsia" w:ascii="宋体" w:hAnsi="宋体" w:eastAsia="宋体" w:cs="宋体"/>
          <w:color w:val="auto"/>
          <w:sz w:val="24"/>
          <w:szCs w:val="24"/>
          <w:highlight w:val="none"/>
        </w:rPr>
        <w:t>投标所发生一切费用由各投标人自行承担，并承担相应的风险和责任。</w:t>
      </w:r>
    </w:p>
    <w:p w14:paraId="6CD41B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同一投标单位可以同时对多个标段进行投标，但最多取得其中一个标段的第一中标候选人资格。</w:t>
      </w:r>
    </w:p>
    <w:p w14:paraId="52B5DD1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本项目为电子化、无纸化交易项目，开标时不再接受任何纸质资料，为保证您能投标成功，请需仔细阅读招标文件和三门峡市公共资源交易中心官网业务办理指南。</w:t>
      </w:r>
    </w:p>
    <w:p w14:paraId="1B90A79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九、发布公告的媒介</w:t>
      </w:r>
    </w:p>
    <w:p w14:paraId="6B639BA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本次招标公告在《河南省政府采购网》《中国采购与招标网》、《三门峡市公共资源交易中心网》上发布</w:t>
      </w:r>
      <w:r>
        <w:rPr>
          <w:rFonts w:hint="eastAsia" w:ascii="宋体" w:hAnsi="宋体" w:cs="宋体"/>
          <w:color w:val="auto"/>
          <w:kern w:val="0"/>
          <w:sz w:val="24"/>
          <w:szCs w:val="24"/>
          <w:highlight w:val="none"/>
          <w:lang w:eastAsia="zh-CN"/>
        </w:rPr>
        <w:t>。</w:t>
      </w:r>
    </w:p>
    <w:p w14:paraId="413CD2E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十、联系方式</w:t>
      </w:r>
    </w:p>
    <w:bookmarkEnd w:id="12"/>
    <w:p w14:paraId="0DA5983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监督单位：灵宝市财政局政府采购监督管理科</w:t>
      </w:r>
    </w:p>
    <w:p w14:paraId="1BF032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联系电话：0398-8852670</w:t>
      </w:r>
    </w:p>
    <w:p w14:paraId="68EB805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监督单位：中共寺河乡纪律检查委员会</w:t>
      </w:r>
    </w:p>
    <w:p w14:paraId="0F3EBB4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联系电话：0398-6368806</w:t>
      </w:r>
    </w:p>
    <w:p w14:paraId="6300F7E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招标人：灵宝市寺河乡人民政府</w:t>
      </w:r>
    </w:p>
    <w:p w14:paraId="28801C1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地址：灵宝市寺河乡</w:t>
      </w:r>
    </w:p>
    <w:p w14:paraId="6143DD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联系人：张先生</w:t>
      </w:r>
    </w:p>
    <w:p w14:paraId="77A1E3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电话：13569618136</w:t>
      </w:r>
    </w:p>
    <w:p w14:paraId="457B9D0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代理机构：华睿诚项目管理有限公司　</w:t>
      </w:r>
    </w:p>
    <w:p w14:paraId="75DD4A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人：刘女士</w:t>
      </w:r>
    </w:p>
    <w:p w14:paraId="6A3072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联系电话：15503982003</w:t>
      </w:r>
    </w:p>
    <w:p w14:paraId="549B65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联系地址：陕西省西安市曲江新区雁翔路3269号旺座曲江E座29层2901号</w:t>
      </w:r>
    </w:p>
    <w:p w14:paraId="008F6271">
      <w:pPr>
        <w:rPr>
          <w:rFonts w:hint="eastAsia"/>
          <w:b/>
          <w:bCs/>
          <w:color w:val="auto"/>
          <w:highlight w:val="none"/>
        </w:rPr>
      </w:pPr>
      <w:r>
        <w:rPr>
          <w:rFonts w:hint="eastAsia"/>
          <w:b/>
          <w:bCs/>
          <w:color w:val="auto"/>
          <w:highlight w:val="none"/>
        </w:rPr>
        <w:br w:type="page"/>
      </w:r>
    </w:p>
    <w:p w14:paraId="63332DAA">
      <w:pPr>
        <w:pageBreakBefore w:val="0"/>
        <w:kinsoku/>
        <w:overflowPunct/>
        <w:bidi w:val="0"/>
        <w:adjustRightInd w:val="0"/>
        <w:snapToGrid w:val="0"/>
        <w:spacing w:beforeAutospacing="0" w:afterAutospacing="0" w:line="360" w:lineRule="auto"/>
        <w:ind w:left="0" w:leftChars="0" w:right="0" w:rightChars="0"/>
        <w:rPr>
          <w:color w:val="auto"/>
          <w:highlight w:val="none"/>
        </w:rPr>
      </w:pPr>
      <w:r>
        <w:rPr>
          <w:rFonts w:hint="eastAsia"/>
          <w:b/>
          <w:bCs/>
          <w:color w:val="auto"/>
          <w:highlight w:val="none"/>
        </w:rPr>
        <w:t>附件格式：</w:t>
      </w:r>
    </w:p>
    <w:p w14:paraId="63DA8D3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书面声明</w:t>
      </w:r>
    </w:p>
    <w:p w14:paraId="3CA7EB35">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p>
    <w:p w14:paraId="42C9B42A">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灵宝市寺河乡人民政府</w:t>
      </w:r>
    </w:p>
    <w:p w14:paraId="06A15542">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我公司具有履行合同所须的资金、设备及能力,具有健全的财务会计制度,没有处于被责令停业、无法清偿到期债务或破产状态,且企业或企业资产未被重组、接管和冻结；</w:t>
      </w:r>
    </w:p>
    <w:p w14:paraId="04BC03C5">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我公司三年内没有重大违法犯罪记录和重大失信行为；三年内没有经司法机关裁定存在组织或个人行贿行为；</w:t>
      </w:r>
    </w:p>
    <w:p w14:paraId="278E98B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我公司符合本项目规定的投标人资格所有要求；</w:t>
      </w:r>
    </w:p>
    <w:p w14:paraId="05DC6F4D">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本次招标投标活动中、中标后签订合同时或在合同履行过程中,如发现我单位存在与上述承诺不符的行为,我单位同意招标人拒绝我单位的投标、取消我单位的中标资格或单方解除与我单位已签订的合同,并不需承担任何违约或赔偿责任；</w:t>
      </w:r>
    </w:p>
    <w:p w14:paraId="05CD114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在相关案件查办时，我公司积极配合提供证据、作证的义务，如果发生拒不配合调查工作的情形，招标人有权采取警示约谈、降低考核评价分数、降低供货份额、缩短服务期限、终止或解除合同等多种处理措施。</w:t>
      </w:r>
    </w:p>
    <w:p w14:paraId="4179747B">
      <w:pPr>
        <w:pageBreakBefore w:val="0"/>
        <w:kinsoku/>
        <w:overflowPunct/>
        <w:bidi w:val="0"/>
        <w:adjustRightInd w:val="0"/>
        <w:snapToGrid w:val="0"/>
        <w:spacing w:beforeAutospacing="0" w:afterAutospacing="0" w:line="360" w:lineRule="auto"/>
        <w:ind w:left="0" w:leftChars="0" w:right="0" w:rightChars="0" w:firstLine="480" w:firstLineChars="200"/>
        <w:rPr>
          <w:rFonts w:hint="default" w:ascii="宋体" w:hAnsi="宋体" w:eastAsia="宋体"/>
          <w:color w:val="auto"/>
          <w:sz w:val="24"/>
          <w:szCs w:val="24"/>
          <w:highlight w:val="none"/>
          <w:lang w:val="en-US" w:eastAsia="zh-CN"/>
        </w:rPr>
      </w:pPr>
      <w:r>
        <w:rPr>
          <w:rFonts w:hint="eastAsia" w:ascii="宋体" w:hAnsi="宋体" w:cs="宋体"/>
          <w:color w:val="auto"/>
          <w:kern w:val="0"/>
          <w:sz w:val="24"/>
          <w:szCs w:val="24"/>
          <w:highlight w:val="none"/>
        </w:rPr>
        <w:t>特此声明</w:t>
      </w:r>
    </w:p>
    <w:p w14:paraId="0AB9049C">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p>
    <w:p w14:paraId="01C56487">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4045C55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u w:val="single"/>
        </w:rPr>
      </w:pPr>
      <w:r>
        <w:rPr>
          <w:rFonts w:hint="eastAsia" w:ascii="宋体" w:hAnsi="宋体"/>
          <w:color w:val="auto"/>
          <w:sz w:val="24"/>
          <w:szCs w:val="24"/>
          <w:highlight w:val="none"/>
        </w:rPr>
        <w:t>法定代表人（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3C49200D">
      <w:pPr>
        <w:pageBreakBefore w:val="0"/>
        <w:kinsoku/>
        <w:overflowPunct/>
        <w:bidi w:val="0"/>
        <w:adjustRightInd w:val="0"/>
        <w:snapToGrid w:val="0"/>
        <w:spacing w:beforeAutospacing="0" w:afterAutospacing="0" w:line="360" w:lineRule="auto"/>
        <w:ind w:left="0" w:leftChars="0" w:right="0" w:rightChars="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1EC1E792">
      <w:pPr>
        <w:pageBreakBefore w:val="0"/>
        <w:kinsoku/>
        <w:overflowPunct/>
        <w:bidi w:val="0"/>
        <w:adjustRightInd w:val="0"/>
        <w:snapToGrid w:val="0"/>
        <w:spacing w:beforeAutospacing="0" w:afterAutospacing="0" w:line="360" w:lineRule="auto"/>
        <w:ind w:left="0" w:leftChars="0" w:right="0" w:rightChars="0"/>
        <w:jc w:val="center"/>
        <w:rPr>
          <w:b/>
          <w:bCs/>
          <w:color w:val="auto"/>
          <w:sz w:val="32"/>
          <w:szCs w:val="32"/>
          <w:highlight w:val="none"/>
        </w:rPr>
      </w:pPr>
      <w:r>
        <w:rPr>
          <w:rFonts w:hint="eastAsia" w:ascii="宋体" w:hAnsi="宋体" w:eastAsia="宋体" w:cs="宋体"/>
          <w:color w:val="auto"/>
          <w:sz w:val="24"/>
          <w:szCs w:val="24"/>
          <w:highlight w:val="none"/>
        </w:rPr>
        <w:br w:type="page"/>
      </w:r>
      <w:bookmarkStart w:id="13" w:name="_Toc9342"/>
      <w:r>
        <w:rPr>
          <w:rFonts w:hint="eastAsia"/>
          <w:b/>
          <w:bCs/>
          <w:color w:val="auto"/>
          <w:sz w:val="32"/>
          <w:szCs w:val="32"/>
          <w:highlight w:val="none"/>
        </w:rPr>
        <w:t>第二章  投标人须知</w:t>
      </w:r>
      <w:bookmarkEnd w:id="11"/>
      <w:bookmarkEnd w:id="13"/>
    </w:p>
    <w:bookmarkEnd w:id="5"/>
    <w:bookmarkEnd w:id="6"/>
    <w:bookmarkEnd w:id="7"/>
    <w:bookmarkEnd w:id="8"/>
    <w:bookmarkEnd w:id="9"/>
    <w:p w14:paraId="364007B3">
      <w:pPr>
        <w:pageBreakBefore w:val="0"/>
        <w:kinsoku/>
        <w:overflowPunct/>
        <w:bidi w:val="0"/>
        <w:adjustRightInd w:val="0"/>
        <w:snapToGrid w:val="0"/>
        <w:spacing w:beforeAutospacing="0" w:afterAutospacing="0" w:line="360" w:lineRule="auto"/>
        <w:ind w:left="0" w:leftChars="0" w:right="0" w:rightChars="0"/>
        <w:jc w:val="both"/>
        <w:rPr>
          <w:b/>
          <w:bCs/>
          <w:color w:val="auto"/>
          <w:sz w:val="32"/>
          <w:szCs w:val="32"/>
          <w:highlight w:val="none"/>
        </w:rPr>
      </w:pPr>
      <w:bookmarkStart w:id="14" w:name="_Toc374376333"/>
      <w:bookmarkStart w:id="15" w:name="_Toc247965799"/>
      <w:bookmarkStart w:id="16" w:name="_Toc257107752"/>
      <w:bookmarkStart w:id="17" w:name="_Toc235706389"/>
      <w:bookmarkStart w:id="18" w:name="_Toc375647565"/>
      <w:bookmarkStart w:id="19" w:name="_Toc32538"/>
      <w:r>
        <w:rPr>
          <w:rFonts w:hint="eastAsia"/>
          <w:b/>
          <w:bCs/>
          <w:color w:val="auto"/>
          <w:sz w:val="32"/>
          <w:szCs w:val="32"/>
          <w:highlight w:val="none"/>
        </w:rPr>
        <w:t>投标人须知前附表</w:t>
      </w:r>
      <w:bookmarkEnd w:id="14"/>
      <w:bookmarkEnd w:id="15"/>
      <w:bookmarkEnd w:id="16"/>
      <w:bookmarkEnd w:id="17"/>
      <w:bookmarkEnd w:id="18"/>
      <w:bookmarkEnd w:id="1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946"/>
        <w:gridCol w:w="6596"/>
      </w:tblGrid>
      <w:tr w14:paraId="4AD3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08" w:type="dxa"/>
            <w:vAlign w:val="center"/>
          </w:tcPr>
          <w:p w14:paraId="0D36AA2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1946" w:type="dxa"/>
            <w:vAlign w:val="center"/>
          </w:tcPr>
          <w:p w14:paraId="46704903">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条款名称</w:t>
            </w:r>
          </w:p>
        </w:tc>
        <w:tc>
          <w:tcPr>
            <w:tcW w:w="6596" w:type="dxa"/>
            <w:vAlign w:val="center"/>
          </w:tcPr>
          <w:p w14:paraId="5172E81A">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编列内容</w:t>
            </w:r>
          </w:p>
        </w:tc>
      </w:tr>
      <w:tr w14:paraId="395D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429B40D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946" w:type="dxa"/>
            <w:vAlign w:val="center"/>
          </w:tcPr>
          <w:p w14:paraId="18F0E6F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tc>
        <w:tc>
          <w:tcPr>
            <w:tcW w:w="6596" w:type="dxa"/>
            <w:vAlign w:val="center"/>
          </w:tcPr>
          <w:p w14:paraId="7E91E5B0">
            <w:pPr>
              <w:pageBreakBefore w:val="0"/>
              <w:kinsoku/>
              <w:overflowPunct/>
              <w:bidi w:val="0"/>
              <w:adjustRightInd w:val="0"/>
              <w:snapToGrid w:val="0"/>
              <w:spacing w:beforeAutospacing="0" w:afterAutospacing="0" w:line="360" w:lineRule="auto"/>
              <w:ind w:left="0" w:leftChars="0" w:right="0" w:rightChars="0"/>
              <w:rPr>
                <w:rFonts w:hint="default" w:ascii="宋体" w:hAnsi="宋体"/>
                <w:color w:val="auto"/>
                <w:sz w:val="24"/>
                <w:szCs w:val="24"/>
                <w:highlight w:val="none"/>
                <w:lang w:val="en-US" w:eastAsia="zh-CN"/>
              </w:rPr>
            </w:pPr>
            <w:r>
              <w:rPr>
                <w:rFonts w:hint="default" w:ascii="宋体" w:hAnsi="宋体"/>
                <w:color w:val="auto"/>
                <w:sz w:val="24"/>
                <w:szCs w:val="24"/>
                <w:highlight w:val="none"/>
                <w:lang w:val="en-US" w:eastAsia="zh-CN"/>
              </w:rPr>
              <w:t>招标人：</w:t>
            </w:r>
            <w:r>
              <w:rPr>
                <w:rFonts w:hint="eastAsia" w:ascii="宋体" w:hAnsi="宋体"/>
                <w:color w:val="auto"/>
                <w:sz w:val="24"/>
                <w:szCs w:val="24"/>
                <w:highlight w:val="none"/>
                <w:lang w:val="en-US" w:eastAsia="zh-CN"/>
              </w:rPr>
              <w:t>灵宝市寺河乡人民政府</w:t>
            </w:r>
          </w:p>
          <w:p w14:paraId="3382C455">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s="Times New Roman"/>
                <w:color w:val="auto"/>
                <w:sz w:val="24"/>
                <w:szCs w:val="24"/>
                <w:highlight w:val="none"/>
                <w:lang w:val="en-US" w:eastAsia="zh-CN"/>
              </w:rPr>
            </w:pPr>
            <w:r>
              <w:rPr>
                <w:rFonts w:hint="default" w:ascii="宋体" w:hAnsi="宋体"/>
                <w:color w:val="auto"/>
                <w:sz w:val="24"/>
                <w:szCs w:val="24"/>
                <w:highlight w:val="none"/>
                <w:lang w:val="en-US" w:eastAsia="zh-CN"/>
              </w:rPr>
              <w:t>地</w:t>
            </w:r>
            <w:r>
              <w:rPr>
                <w:rFonts w:hint="default" w:ascii="宋体" w:hAnsi="宋体" w:eastAsia="宋体" w:cs="Times New Roman"/>
                <w:color w:val="auto"/>
                <w:sz w:val="24"/>
                <w:szCs w:val="24"/>
                <w:highlight w:val="none"/>
                <w:lang w:val="en-US" w:eastAsia="zh-CN"/>
              </w:rPr>
              <w:t>址：灵宝市</w:t>
            </w:r>
            <w:r>
              <w:rPr>
                <w:rFonts w:hint="eastAsia" w:ascii="宋体" w:hAnsi="宋体" w:eastAsia="宋体" w:cs="Times New Roman"/>
                <w:color w:val="auto"/>
                <w:sz w:val="24"/>
                <w:szCs w:val="24"/>
                <w:highlight w:val="none"/>
                <w:lang w:val="en-US" w:eastAsia="zh-CN"/>
              </w:rPr>
              <w:t>寺河乡</w:t>
            </w:r>
          </w:p>
          <w:p w14:paraId="2BE3733F">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联系人：张先生</w:t>
            </w:r>
          </w:p>
          <w:p w14:paraId="4287DC36">
            <w:pPr>
              <w:pageBreakBefore w:val="0"/>
              <w:kinsoku/>
              <w:overflowPunct/>
              <w:bidi w:val="0"/>
              <w:adjustRightInd w:val="0"/>
              <w:snapToGrid w:val="0"/>
              <w:spacing w:beforeAutospacing="0" w:afterAutospacing="0" w:line="360" w:lineRule="auto"/>
              <w:ind w:left="0" w:leftChars="0" w:right="0" w:rightChars="0"/>
              <w:rPr>
                <w:rFonts w:hint="default" w:ascii="宋体" w:hAnsi="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电话：13569618136</w:t>
            </w:r>
          </w:p>
        </w:tc>
      </w:tr>
      <w:tr w14:paraId="079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6314915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946" w:type="dxa"/>
            <w:vAlign w:val="center"/>
          </w:tcPr>
          <w:p w14:paraId="1A920AA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6596" w:type="dxa"/>
            <w:vAlign w:val="center"/>
          </w:tcPr>
          <w:p w14:paraId="3611CB7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代理机构：华睿诚项目管理有限公司　</w:t>
            </w:r>
          </w:p>
          <w:p w14:paraId="2BF16C0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人：刘女士</w:t>
            </w:r>
          </w:p>
          <w:p w14:paraId="590B6B9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联系电话：15503982003</w:t>
            </w:r>
          </w:p>
          <w:p w14:paraId="46BC857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color w:val="auto"/>
                <w:sz w:val="24"/>
                <w:szCs w:val="24"/>
                <w:highlight w:val="none"/>
                <w:lang w:eastAsia="zh-CN"/>
              </w:rPr>
            </w:pPr>
            <w:r>
              <w:rPr>
                <w:rFonts w:hint="eastAsia" w:ascii="宋体" w:hAnsi="宋体" w:eastAsia="宋体" w:cs="宋体"/>
                <w:color w:val="auto"/>
                <w:sz w:val="24"/>
                <w:szCs w:val="24"/>
                <w:highlight w:val="none"/>
                <w:lang w:val="en-US" w:eastAsia="zh-CN"/>
              </w:rPr>
              <w:t>联系地址：陕西省西安市曲江新区雁翔路3269号旺座曲江E座29层2901号</w:t>
            </w:r>
          </w:p>
        </w:tc>
      </w:tr>
      <w:tr w14:paraId="79C5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2C9782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946" w:type="dxa"/>
            <w:vAlign w:val="center"/>
          </w:tcPr>
          <w:p w14:paraId="5223969A">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596" w:type="dxa"/>
            <w:vAlign w:val="center"/>
          </w:tcPr>
          <w:p w14:paraId="078E8867">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olor w:val="auto"/>
                <w:sz w:val="24"/>
                <w:szCs w:val="24"/>
                <w:highlight w:val="none"/>
                <w:lang w:eastAsia="zh-CN"/>
              </w:rPr>
              <w:t>灵宝市寺河乡人民政府2025年灵宝市烟叶电烤房项目</w:t>
            </w:r>
          </w:p>
        </w:tc>
      </w:tr>
      <w:tr w14:paraId="7D67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AD8B01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946" w:type="dxa"/>
            <w:vAlign w:val="center"/>
          </w:tcPr>
          <w:p w14:paraId="5702F9E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实施地点</w:t>
            </w:r>
          </w:p>
        </w:tc>
        <w:tc>
          <w:tcPr>
            <w:tcW w:w="6596" w:type="dxa"/>
            <w:vAlign w:val="center"/>
          </w:tcPr>
          <w:p w14:paraId="49AC7BB6">
            <w:pPr>
              <w:pageBreakBefore w:val="0"/>
              <w:kinsoku/>
              <w:overflowPunct/>
              <w:bidi w:val="0"/>
              <w:adjustRightInd w:val="0"/>
              <w:snapToGrid w:val="0"/>
              <w:spacing w:beforeAutospacing="0" w:afterAutospacing="0" w:line="360" w:lineRule="auto"/>
              <w:ind w:left="0" w:leftChars="0" w:right="0" w:rightChars="0"/>
              <w:jc w:val="left"/>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eastAsia="zh-CN"/>
              </w:rPr>
              <w:t>灵宝市</w:t>
            </w:r>
            <w:r>
              <w:rPr>
                <w:rFonts w:hint="eastAsia" w:ascii="宋体" w:hAnsi="宋体" w:cs="宋体"/>
                <w:color w:val="auto"/>
                <w:sz w:val="24"/>
                <w:szCs w:val="24"/>
                <w:highlight w:val="none"/>
                <w:lang w:val="en-US" w:eastAsia="zh-CN"/>
              </w:rPr>
              <w:t>寺河乡</w:t>
            </w:r>
          </w:p>
        </w:tc>
      </w:tr>
      <w:tr w14:paraId="55F9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E2DFA5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946" w:type="dxa"/>
            <w:vAlign w:val="center"/>
          </w:tcPr>
          <w:p w14:paraId="404D9C7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w:t>
            </w:r>
          </w:p>
        </w:tc>
        <w:tc>
          <w:tcPr>
            <w:tcW w:w="6596" w:type="dxa"/>
            <w:vAlign w:val="center"/>
          </w:tcPr>
          <w:p w14:paraId="5CFE59F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自筹资金</w:t>
            </w:r>
            <w:r>
              <w:rPr>
                <w:rFonts w:hint="eastAsia" w:ascii="宋体" w:hAnsi="宋体" w:cs="宋体"/>
                <w:color w:val="auto"/>
                <w:sz w:val="24"/>
                <w:szCs w:val="24"/>
                <w:highlight w:val="none"/>
              </w:rPr>
              <w:t>；</w:t>
            </w:r>
          </w:p>
        </w:tc>
      </w:tr>
      <w:tr w14:paraId="0C78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908" w:type="dxa"/>
            <w:vAlign w:val="center"/>
          </w:tcPr>
          <w:p w14:paraId="239EF43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946" w:type="dxa"/>
            <w:vAlign w:val="center"/>
          </w:tcPr>
          <w:p w14:paraId="4283D13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招标内容</w:t>
            </w:r>
          </w:p>
        </w:tc>
        <w:tc>
          <w:tcPr>
            <w:tcW w:w="6596" w:type="dxa"/>
            <w:vAlign w:val="center"/>
          </w:tcPr>
          <w:p w14:paraId="67FDCBF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本项目共分为两个标段</w:t>
            </w:r>
          </w:p>
          <w:p w14:paraId="3C7EB25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一标段：</w:t>
            </w:r>
            <w:r>
              <w:rPr>
                <w:rFonts w:hint="eastAsia" w:ascii="宋体" w:hAnsi="宋体" w:cs="宋体"/>
                <w:color w:val="auto"/>
                <w:kern w:val="0"/>
                <w:sz w:val="24"/>
                <w:szCs w:val="24"/>
                <w:highlight w:val="none"/>
                <w:lang w:eastAsia="zh-CN"/>
              </w:rPr>
              <w:t>新建内室长8米、宽2.78米、高4.2米电能烤房</w:t>
            </w:r>
            <w:r>
              <w:rPr>
                <w:rFonts w:hint="eastAsia" w:ascii="宋体" w:hAnsi="宋体" w:cs="宋体"/>
                <w:color w:val="auto"/>
                <w:kern w:val="0"/>
                <w:sz w:val="24"/>
                <w:szCs w:val="24"/>
                <w:highlight w:val="none"/>
                <w:lang w:val="en-US" w:eastAsia="zh-CN"/>
              </w:rPr>
              <w:t>32</w:t>
            </w:r>
            <w:r>
              <w:rPr>
                <w:rFonts w:hint="eastAsia" w:ascii="宋体" w:hAnsi="宋体" w:cs="宋体"/>
                <w:color w:val="auto"/>
                <w:kern w:val="0"/>
                <w:sz w:val="24"/>
                <w:szCs w:val="24"/>
                <w:highlight w:val="none"/>
                <w:lang w:eastAsia="zh-CN"/>
              </w:rPr>
              <w:t>座。</w:t>
            </w:r>
          </w:p>
          <w:p w14:paraId="279BFE79">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宋体" w:hAnsi="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二标段：安装</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配套变压</w:t>
            </w: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器400KVA 1台、350KVA 2台、250KVA 1台。</w:t>
            </w:r>
          </w:p>
        </w:tc>
      </w:tr>
      <w:tr w14:paraId="0D5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0A6E2C1">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946" w:type="dxa"/>
            <w:vAlign w:val="center"/>
          </w:tcPr>
          <w:p w14:paraId="0405F02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交货期</w:t>
            </w:r>
          </w:p>
        </w:tc>
        <w:tc>
          <w:tcPr>
            <w:tcW w:w="6596" w:type="dxa"/>
            <w:vAlign w:val="center"/>
          </w:tcPr>
          <w:p w14:paraId="7ED5045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自合同签订之日起4</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日历天内交货并安装调试完毕</w:t>
            </w:r>
          </w:p>
        </w:tc>
      </w:tr>
      <w:tr w14:paraId="32FC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1338951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946" w:type="dxa"/>
            <w:vAlign w:val="center"/>
          </w:tcPr>
          <w:p w14:paraId="4BBAC52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6596" w:type="dxa"/>
            <w:vAlign w:val="center"/>
          </w:tcPr>
          <w:p w14:paraId="4572C3C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lang w:eastAsia="zh-CN"/>
              </w:rPr>
              <w:t>一标段：</w:t>
            </w:r>
            <w:r>
              <w:rPr>
                <w:rFonts w:hint="eastAsia" w:ascii="宋体" w:hAnsi="宋体"/>
                <w:color w:val="auto"/>
                <w:sz w:val="24"/>
                <w:szCs w:val="24"/>
                <w:highlight w:val="none"/>
              </w:rPr>
              <w:t>达到国家相关法律、法规规定的生产、制造、验收合格标准，并符合《空气源热泵密集烤房》（Q/HNYC 050-2020）要求及满足需方使用要求。</w:t>
            </w:r>
          </w:p>
          <w:p w14:paraId="1AA2625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标段：</w:t>
            </w:r>
            <w:r>
              <w:rPr>
                <w:rFonts w:hint="eastAsia" w:ascii="宋体" w:hAnsi="宋体"/>
                <w:color w:val="auto"/>
                <w:sz w:val="24"/>
                <w:szCs w:val="24"/>
                <w:highlight w:val="none"/>
              </w:rPr>
              <w:t>符合国家规定，达到正常运行使用条件</w:t>
            </w:r>
          </w:p>
        </w:tc>
      </w:tr>
      <w:tr w14:paraId="311B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9F5E39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946" w:type="dxa"/>
            <w:vAlign w:val="center"/>
          </w:tcPr>
          <w:p w14:paraId="7D206154">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质保期</w:t>
            </w:r>
          </w:p>
        </w:tc>
        <w:tc>
          <w:tcPr>
            <w:tcW w:w="6596" w:type="dxa"/>
            <w:vAlign w:val="center"/>
          </w:tcPr>
          <w:p w14:paraId="166A37C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lang w:eastAsia="zh-CN"/>
              </w:rPr>
              <w:t>一标段质保期自验收合格之日起</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年</w:t>
            </w:r>
            <w:r>
              <w:rPr>
                <w:rFonts w:hint="eastAsia" w:ascii="宋体" w:hAnsi="宋体"/>
                <w:color w:val="auto"/>
                <w:sz w:val="24"/>
                <w:szCs w:val="24"/>
                <w:highlight w:val="none"/>
              </w:rPr>
              <w:t>。</w:t>
            </w:r>
          </w:p>
          <w:p w14:paraId="0B6E8C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二标段质保期自验收合格之日起1年</w:t>
            </w:r>
            <w:r>
              <w:rPr>
                <w:rFonts w:hint="eastAsia" w:ascii="宋体" w:hAnsi="宋体"/>
                <w:color w:val="auto"/>
                <w:sz w:val="24"/>
                <w:szCs w:val="24"/>
                <w:highlight w:val="none"/>
              </w:rPr>
              <w:t>。</w:t>
            </w:r>
          </w:p>
        </w:tc>
      </w:tr>
      <w:tr w14:paraId="62F5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08" w:type="dxa"/>
            <w:vAlign w:val="center"/>
          </w:tcPr>
          <w:p w14:paraId="6786FB4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946" w:type="dxa"/>
            <w:vAlign w:val="center"/>
          </w:tcPr>
          <w:p w14:paraId="447C1F0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投标人资格要求</w:t>
            </w:r>
          </w:p>
        </w:tc>
        <w:tc>
          <w:tcPr>
            <w:tcW w:w="6596" w:type="dxa"/>
            <w:vAlign w:val="center"/>
          </w:tcPr>
          <w:p w14:paraId="5D9C593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详见招标文件第一章招标公告“三、投标人资格要求”</w:t>
            </w:r>
          </w:p>
        </w:tc>
      </w:tr>
      <w:tr w14:paraId="5966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2DB695F">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946" w:type="dxa"/>
            <w:tcMar>
              <w:top w:w="0" w:type="dxa"/>
              <w:left w:w="0" w:type="dxa"/>
              <w:bottom w:w="0" w:type="dxa"/>
              <w:right w:w="0" w:type="dxa"/>
            </w:tcMar>
            <w:vAlign w:val="center"/>
          </w:tcPr>
          <w:p w14:paraId="015F4B8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是否接受</w:t>
            </w:r>
          </w:p>
          <w:p w14:paraId="6EE7BA3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联合体投标</w:t>
            </w:r>
          </w:p>
        </w:tc>
        <w:tc>
          <w:tcPr>
            <w:tcW w:w="6596" w:type="dxa"/>
            <w:vAlign w:val="center"/>
          </w:tcPr>
          <w:p w14:paraId="1405F771">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不接受</w:t>
            </w:r>
          </w:p>
        </w:tc>
      </w:tr>
      <w:tr w14:paraId="0F74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3343B29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1946" w:type="dxa"/>
            <w:tcMar>
              <w:top w:w="0" w:type="dxa"/>
              <w:left w:w="0" w:type="dxa"/>
              <w:bottom w:w="0" w:type="dxa"/>
              <w:right w:w="0" w:type="dxa"/>
            </w:tcMar>
            <w:vAlign w:val="center"/>
          </w:tcPr>
          <w:p w14:paraId="1B5C60A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6596" w:type="dxa"/>
            <w:vAlign w:val="center"/>
          </w:tcPr>
          <w:p w14:paraId="212DE9DE">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招标人不组织投标人踏勘现场，投标人自行踏勘现场。</w:t>
            </w:r>
          </w:p>
        </w:tc>
      </w:tr>
      <w:tr w14:paraId="322F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1EB5BC6">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1946" w:type="dxa"/>
            <w:vAlign w:val="center"/>
          </w:tcPr>
          <w:p w14:paraId="38782E04">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6596" w:type="dxa"/>
            <w:vAlign w:val="center"/>
          </w:tcPr>
          <w:p w14:paraId="2E4B9D45">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不召开</w:t>
            </w:r>
          </w:p>
        </w:tc>
      </w:tr>
      <w:tr w14:paraId="2CB2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10ADBD6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946" w:type="dxa"/>
            <w:vAlign w:val="center"/>
          </w:tcPr>
          <w:p w14:paraId="7276628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分包或转包</w:t>
            </w:r>
          </w:p>
        </w:tc>
        <w:tc>
          <w:tcPr>
            <w:tcW w:w="6596" w:type="dxa"/>
            <w:vAlign w:val="center"/>
          </w:tcPr>
          <w:p w14:paraId="26A44933">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不允许</w:t>
            </w:r>
          </w:p>
        </w:tc>
      </w:tr>
      <w:tr w14:paraId="71F1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58FBE0D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946" w:type="dxa"/>
            <w:vAlign w:val="center"/>
          </w:tcPr>
          <w:p w14:paraId="765EF9D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w:t>
            </w:r>
          </w:p>
        </w:tc>
        <w:tc>
          <w:tcPr>
            <w:tcW w:w="6596" w:type="dxa"/>
            <w:vAlign w:val="center"/>
          </w:tcPr>
          <w:p w14:paraId="0CE1C346">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允许正偏离</w:t>
            </w:r>
          </w:p>
        </w:tc>
      </w:tr>
      <w:tr w14:paraId="2DD1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30050F3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1946" w:type="dxa"/>
            <w:vAlign w:val="center"/>
          </w:tcPr>
          <w:p w14:paraId="7E75B294">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构成招标文件</w:t>
            </w:r>
          </w:p>
          <w:p w14:paraId="4C3A083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的其他材料</w:t>
            </w:r>
          </w:p>
        </w:tc>
        <w:tc>
          <w:tcPr>
            <w:tcW w:w="6596" w:type="dxa"/>
            <w:vAlign w:val="center"/>
          </w:tcPr>
          <w:p w14:paraId="0F915CBD">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补充、答疑文件（如有）</w:t>
            </w:r>
          </w:p>
        </w:tc>
      </w:tr>
      <w:tr w14:paraId="2E95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E865EE5">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w:t>
            </w:r>
          </w:p>
        </w:tc>
        <w:tc>
          <w:tcPr>
            <w:tcW w:w="1946" w:type="dxa"/>
            <w:vAlign w:val="center"/>
          </w:tcPr>
          <w:p w14:paraId="451FD5B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投标人要求澄清招标文件的截止时间</w:t>
            </w:r>
          </w:p>
        </w:tc>
        <w:tc>
          <w:tcPr>
            <w:tcW w:w="6596" w:type="dxa"/>
            <w:vAlign w:val="center"/>
          </w:tcPr>
          <w:p w14:paraId="7A7AC79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投标截止时间15天前</w:t>
            </w:r>
          </w:p>
        </w:tc>
      </w:tr>
      <w:tr w14:paraId="6BC5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08" w:type="dxa"/>
            <w:vAlign w:val="center"/>
          </w:tcPr>
          <w:p w14:paraId="743F08E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w:t>
            </w:r>
          </w:p>
        </w:tc>
        <w:tc>
          <w:tcPr>
            <w:tcW w:w="1946" w:type="dxa"/>
            <w:vAlign w:val="center"/>
          </w:tcPr>
          <w:p w14:paraId="7B229B0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投标截止时间</w:t>
            </w:r>
          </w:p>
        </w:tc>
        <w:tc>
          <w:tcPr>
            <w:tcW w:w="6596" w:type="dxa"/>
            <w:vAlign w:val="center"/>
          </w:tcPr>
          <w:p w14:paraId="2EAFF853">
            <w:pPr>
              <w:pageBreakBefore w:val="0"/>
              <w:kinsoku/>
              <w:overflowPunct/>
              <w:bidi w:val="0"/>
              <w:adjustRightInd w:val="0"/>
              <w:snapToGrid w:val="0"/>
              <w:spacing w:beforeAutospacing="0" w:afterAutospacing="0" w:line="360" w:lineRule="auto"/>
              <w:ind w:left="0" w:leftChars="0" w:right="0" w:rightChars="0"/>
              <w:rPr>
                <w:rFonts w:ascii="宋体" w:hAnsi="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rPr>
              <w:t>详见招标公告</w:t>
            </w:r>
          </w:p>
        </w:tc>
      </w:tr>
      <w:tr w14:paraId="520F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5C464C03">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1946" w:type="dxa"/>
            <w:vAlign w:val="center"/>
          </w:tcPr>
          <w:p w14:paraId="4FDB0CE6">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招标文件修改发出的形式</w:t>
            </w:r>
          </w:p>
        </w:tc>
        <w:tc>
          <w:tcPr>
            <w:tcW w:w="6596" w:type="dxa"/>
            <w:vAlign w:val="center"/>
          </w:tcPr>
          <w:p w14:paraId="7CCCEFA6">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宋体"/>
                <w:b/>
                <w:color w:val="auto"/>
                <w:sz w:val="24"/>
                <w:szCs w:val="24"/>
                <w:highlight w:val="none"/>
              </w:rPr>
            </w:pPr>
            <w:r>
              <w:rPr>
                <w:rFonts w:hint="eastAsia" w:ascii="宋体" w:hAnsi="宋体" w:cs="MingLiU"/>
                <w:color w:val="auto"/>
                <w:kern w:val="0"/>
                <w:sz w:val="24"/>
                <w:highlight w:val="none"/>
              </w:rPr>
              <w:t>在三门峡市公共资源交易中心电子招标投标平台上</w:t>
            </w:r>
            <w:r>
              <w:rPr>
                <w:rFonts w:hint="eastAsia" w:ascii="宋体" w:hAnsi="宋体" w:cs="宋体"/>
                <w:color w:val="auto"/>
                <w:kern w:val="0"/>
                <w:sz w:val="24"/>
                <w:szCs w:val="24"/>
                <w:highlight w:val="none"/>
              </w:rPr>
              <w:t>公布</w:t>
            </w:r>
          </w:p>
        </w:tc>
      </w:tr>
      <w:tr w14:paraId="72A1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68AC9DC3">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1946" w:type="dxa"/>
            <w:vAlign w:val="center"/>
          </w:tcPr>
          <w:p w14:paraId="61F3EAA9">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招标文件的异议提出时间</w:t>
            </w:r>
          </w:p>
        </w:tc>
        <w:tc>
          <w:tcPr>
            <w:tcW w:w="6596" w:type="dxa"/>
            <w:vAlign w:val="center"/>
          </w:tcPr>
          <w:p w14:paraId="449E8B9E">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递交投标文件的截止之日10日前</w:t>
            </w:r>
          </w:p>
        </w:tc>
      </w:tr>
      <w:tr w14:paraId="279D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5F1AC5E1">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c>
          <w:tcPr>
            <w:tcW w:w="1946" w:type="dxa"/>
            <w:vAlign w:val="center"/>
          </w:tcPr>
          <w:p w14:paraId="6C252FE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构成投标文件</w:t>
            </w:r>
          </w:p>
          <w:p w14:paraId="450A317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的其他材料</w:t>
            </w:r>
          </w:p>
        </w:tc>
        <w:tc>
          <w:tcPr>
            <w:tcW w:w="6596" w:type="dxa"/>
            <w:vAlign w:val="center"/>
          </w:tcPr>
          <w:p w14:paraId="45473EF5">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招标文件中要求提交和投标人认为有利于其投标的其他资料</w:t>
            </w:r>
          </w:p>
        </w:tc>
      </w:tr>
      <w:tr w14:paraId="27C4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08" w:type="dxa"/>
            <w:vAlign w:val="center"/>
          </w:tcPr>
          <w:p w14:paraId="07BF9FE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p>
        </w:tc>
        <w:tc>
          <w:tcPr>
            <w:tcW w:w="1946" w:type="dxa"/>
            <w:vAlign w:val="center"/>
          </w:tcPr>
          <w:p w14:paraId="64B3149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招标控制价</w:t>
            </w:r>
          </w:p>
          <w:p w14:paraId="203D305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（含税）</w:t>
            </w:r>
          </w:p>
        </w:tc>
        <w:tc>
          <w:tcPr>
            <w:tcW w:w="6596" w:type="dxa"/>
            <w:vAlign w:val="center"/>
          </w:tcPr>
          <w:p w14:paraId="75F45F41">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1标段：</w:t>
            </w:r>
          </w:p>
          <w:p w14:paraId="1134569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olor w:val="auto"/>
                <w:sz w:val="24"/>
                <w:szCs w:val="24"/>
                <w:highlight w:val="none"/>
              </w:rPr>
              <w:t>招标控制总价：</w:t>
            </w:r>
            <w:r>
              <w:rPr>
                <w:rFonts w:hint="eastAsia" w:ascii="宋体" w:hAnsi="宋体" w:cs="宋体"/>
                <w:color w:val="auto"/>
                <w:sz w:val="24"/>
                <w:szCs w:val="24"/>
                <w:highlight w:val="none"/>
              </w:rPr>
              <w:t>人民币</w:t>
            </w:r>
            <w:r>
              <w:rPr>
                <w:rFonts w:hint="eastAsia" w:ascii="宋体" w:hAnsi="宋体" w:cs="宋体"/>
                <w:color w:val="auto"/>
                <w:sz w:val="24"/>
                <w:szCs w:val="24"/>
                <w:highlight w:val="none"/>
                <w:lang w:val="en-US" w:eastAsia="zh-CN"/>
              </w:rPr>
              <w:t>贰佰捌拾肆万玖仟陆佰元整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2849600.00</w:t>
            </w:r>
            <w:r>
              <w:rPr>
                <w:rFonts w:hint="eastAsia" w:ascii="宋体" w:hAnsi="宋体" w:cs="宋体"/>
                <w:color w:val="auto"/>
                <w:sz w:val="24"/>
                <w:szCs w:val="24"/>
                <w:highlight w:val="none"/>
              </w:rPr>
              <w:t>元）。</w:t>
            </w:r>
          </w:p>
          <w:p w14:paraId="0D6423B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2标段：</w:t>
            </w:r>
          </w:p>
          <w:p w14:paraId="42842EB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招标控制总价：人民币</w:t>
            </w:r>
            <w:r>
              <w:rPr>
                <w:rFonts w:hint="eastAsia" w:ascii="宋体" w:hAnsi="宋体" w:cs="宋体"/>
                <w:color w:val="auto"/>
                <w:sz w:val="24"/>
                <w:szCs w:val="24"/>
                <w:highlight w:val="none"/>
                <w:lang w:val="en-US" w:eastAsia="zh-CN"/>
              </w:rPr>
              <w:t>叁拾伍万元整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350000.00元</w:t>
            </w:r>
            <w:r>
              <w:rPr>
                <w:rFonts w:hint="eastAsia" w:ascii="宋体" w:hAnsi="宋体" w:cs="宋体"/>
                <w:color w:val="auto"/>
                <w:sz w:val="24"/>
                <w:szCs w:val="24"/>
                <w:highlight w:val="none"/>
              </w:rPr>
              <w:t>）。</w:t>
            </w:r>
            <w:bookmarkStart w:id="20" w:name="_Hlk97812264"/>
          </w:p>
          <w:p w14:paraId="0AD70513">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s="宋体"/>
                <w:color w:val="auto"/>
                <w:sz w:val="24"/>
                <w:szCs w:val="24"/>
                <w:highlight w:val="none"/>
              </w:rPr>
              <w:t>招标控制价为投标最高限价，投标人投标报价超过所投标段招标控制价的，投标文件按无效标处理。</w:t>
            </w:r>
            <w:bookmarkEnd w:id="20"/>
          </w:p>
        </w:tc>
      </w:tr>
      <w:tr w14:paraId="5B12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08" w:type="dxa"/>
            <w:vAlign w:val="center"/>
          </w:tcPr>
          <w:p w14:paraId="281ACAFE">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w:t>
            </w:r>
          </w:p>
        </w:tc>
        <w:tc>
          <w:tcPr>
            <w:tcW w:w="1946" w:type="dxa"/>
            <w:vAlign w:val="center"/>
          </w:tcPr>
          <w:p w14:paraId="0000FD2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596" w:type="dxa"/>
            <w:vAlign w:val="center"/>
          </w:tcPr>
          <w:p w14:paraId="5BF71ABA">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自投标文件递交截止之日起60日历天</w:t>
            </w:r>
          </w:p>
        </w:tc>
      </w:tr>
      <w:tr w14:paraId="7D69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8" w:type="dxa"/>
            <w:vAlign w:val="center"/>
          </w:tcPr>
          <w:p w14:paraId="7FCBEB84">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946" w:type="dxa"/>
            <w:vAlign w:val="center"/>
          </w:tcPr>
          <w:p w14:paraId="023B3DB3">
            <w:pPr>
              <w:pageBreakBefore w:val="0"/>
              <w:kinsoku/>
              <w:overflowPunct/>
              <w:bidi w:val="0"/>
              <w:adjustRightInd w:val="0"/>
              <w:snapToGrid w:val="0"/>
              <w:spacing w:beforeAutospacing="0" w:afterAutospacing="0" w:line="360" w:lineRule="auto"/>
              <w:ind w:left="0" w:leftChars="0" w:right="0" w:rightChars="0" w:firstLine="240" w:firstLineChars="1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投标保证金</w:t>
            </w:r>
          </w:p>
        </w:tc>
        <w:tc>
          <w:tcPr>
            <w:tcW w:w="6596" w:type="dxa"/>
          </w:tcPr>
          <w:p w14:paraId="5FC5FFC0">
            <w:pPr>
              <w:pageBreakBefore w:val="0"/>
              <w:kinsoku/>
              <w:overflowPunct/>
              <w:bidi w:val="0"/>
              <w:adjustRightInd w:val="0"/>
              <w:snapToGrid w:val="0"/>
              <w:spacing w:beforeAutospacing="0" w:afterAutospacing="0" w:line="360" w:lineRule="auto"/>
              <w:ind w:left="0" w:leftChars="0" w:right="0" w:rightChars="0" w:firstLine="240" w:firstLineChars="100"/>
              <w:rPr>
                <w:rFonts w:hint="eastAsia"/>
                <w:color w:val="auto"/>
                <w:highlight w:val="none"/>
              </w:rPr>
            </w:pPr>
            <w:r>
              <w:rPr>
                <w:rFonts w:hint="eastAsia" w:ascii="宋体" w:hAnsi="宋体" w:eastAsia="宋体" w:cs="宋体"/>
                <w:color w:val="auto"/>
                <w:kern w:val="0"/>
                <w:sz w:val="24"/>
                <w:szCs w:val="24"/>
                <w:highlight w:val="none"/>
              </w:rPr>
              <w:t>按照《河南省财政厅关于优化政府招标营商环境有关问题的通知》（豫财购[2019]4号文）的要求本项目不再收取投标保证金。</w:t>
            </w:r>
          </w:p>
        </w:tc>
      </w:tr>
      <w:tr w14:paraId="1D0E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08" w:type="dxa"/>
            <w:vAlign w:val="center"/>
          </w:tcPr>
          <w:p w14:paraId="16217834">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1946" w:type="dxa"/>
            <w:vAlign w:val="center"/>
          </w:tcPr>
          <w:p w14:paraId="3DAE67A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是否允许递交</w:t>
            </w:r>
          </w:p>
          <w:p w14:paraId="2A1171C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备选投标方案</w:t>
            </w:r>
          </w:p>
        </w:tc>
        <w:tc>
          <w:tcPr>
            <w:tcW w:w="6596" w:type="dxa"/>
            <w:vAlign w:val="center"/>
          </w:tcPr>
          <w:p w14:paraId="18BF96D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否</w:t>
            </w:r>
          </w:p>
        </w:tc>
      </w:tr>
      <w:tr w14:paraId="4E7E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3943ACC0">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w:t>
            </w:r>
          </w:p>
        </w:tc>
        <w:tc>
          <w:tcPr>
            <w:tcW w:w="1946" w:type="dxa"/>
            <w:vAlign w:val="center"/>
          </w:tcPr>
          <w:p w14:paraId="6AC2D4F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签字或盖章要求</w:t>
            </w:r>
          </w:p>
        </w:tc>
        <w:tc>
          <w:tcPr>
            <w:tcW w:w="6596" w:type="dxa"/>
          </w:tcPr>
          <w:p w14:paraId="5CB74995">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sz w:val="24"/>
                <w:szCs w:val="24"/>
                <w:highlight w:val="none"/>
              </w:rPr>
            </w:pPr>
            <w:r>
              <w:rPr>
                <w:rFonts w:hint="eastAsia" w:ascii="宋体" w:hAnsi="宋体" w:cs="Courier New"/>
                <w:color w:val="auto"/>
                <w:sz w:val="24"/>
                <w:szCs w:val="24"/>
                <w:highlight w:val="none"/>
              </w:rPr>
              <w:t>1．投标人在生成电子化投标文件后，应对电子化投标文件进行签章，未进行签章的视为无效投标。</w:t>
            </w:r>
          </w:p>
          <w:p w14:paraId="014DDB2A">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sz w:val="24"/>
                <w:szCs w:val="24"/>
                <w:highlight w:val="none"/>
              </w:rPr>
            </w:pPr>
            <w:r>
              <w:rPr>
                <w:rFonts w:hint="eastAsia" w:ascii="宋体" w:hAnsi="宋体" w:cs="Courier New"/>
                <w:color w:val="auto"/>
                <w:sz w:val="24"/>
                <w:szCs w:val="24"/>
                <w:highlight w:val="none"/>
              </w:rPr>
              <w:t>2．投标文件中须加盖公章的地方均应使用投标人企业的 CA 印章进行签章；所有要求法定代表人盖章的地方均应使用投标人法定代表人的CA 印章进行签章。</w:t>
            </w:r>
          </w:p>
        </w:tc>
      </w:tr>
      <w:tr w14:paraId="0620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50B83A45">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default" w:ascii="宋体" w:hAnsi="宋体" w:eastAsia="宋体" w:cs="Courier New"/>
                <w:color w:val="auto"/>
                <w:kern w:val="0"/>
                <w:sz w:val="24"/>
                <w:szCs w:val="24"/>
                <w:highlight w:val="none"/>
                <w:lang w:val="en-US" w:eastAsia="zh-CN"/>
              </w:rPr>
            </w:pPr>
            <w:r>
              <w:rPr>
                <w:rFonts w:hint="eastAsia" w:ascii="宋体" w:hAnsi="宋体" w:cs="Courier New"/>
                <w:color w:val="auto"/>
                <w:kern w:val="0"/>
                <w:sz w:val="24"/>
                <w:szCs w:val="24"/>
                <w:highlight w:val="none"/>
                <w:lang w:val="en-US" w:eastAsia="zh-CN"/>
              </w:rPr>
              <w:t>27</w:t>
            </w:r>
          </w:p>
        </w:tc>
        <w:tc>
          <w:tcPr>
            <w:tcW w:w="1946" w:type="dxa"/>
            <w:vAlign w:val="center"/>
          </w:tcPr>
          <w:p w14:paraId="45EC954A">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Courier New"/>
                <w:b w:val="0"/>
                <w:bCs w:val="0"/>
                <w:color w:val="auto"/>
                <w:kern w:val="0"/>
                <w:sz w:val="24"/>
                <w:szCs w:val="24"/>
                <w:highlight w:val="none"/>
              </w:rPr>
            </w:pPr>
            <w:r>
              <w:rPr>
                <w:rFonts w:hint="eastAsia" w:ascii="宋体" w:hAnsi="宋体" w:cs="Courier New"/>
                <w:b w:val="0"/>
                <w:bCs w:val="0"/>
                <w:color w:val="auto"/>
                <w:sz w:val="24"/>
                <w:szCs w:val="24"/>
                <w:highlight w:val="none"/>
              </w:rPr>
              <w:t>电子投标文件要求</w:t>
            </w:r>
          </w:p>
        </w:tc>
        <w:tc>
          <w:tcPr>
            <w:tcW w:w="6596" w:type="dxa"/>
            <w:vAlign w:val="center"/>
          </w:tcPr>
          <w:p w14:paraId="7B20B7B2">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1．投标人所上传的电子化投标文件，应是通过中心投标文件制作系统制作的（投标文件制作工具下载地址：</w:t>
            </w:r>
          </w:p>
          <w:p w14:paraId="04B14745">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ascii="宋体" w:hAnsi="宋体" w:cs="Courier New"/>
                <w:b w:val="0"/>
                <w:bCs w:val="0"/>
                <w:color w:val="auto"/>
                <w:kern w:val="0"/>
                <w:sz w:val="24"/>
                <w:szCs w:val="24"/>
                <w:highlight w:val="none"/>
              </w:rPr>
              <w:t>https://download.bqpoint.com/download/downloadlist.html?SoftTypeCode=03</w:t>
            </w:r>
            <w:r>
              <w:rPr>
                <w:rFonts w:hint="eastAsia" w:ascii="宋体" w:hAnsi="宋体" w:cs="Courier New"/>
                <w:b w:val="0"/>
                <w:bCs w:val="0"/>
                <w:color w:val="auto"/>
                <w:kern w:val="0"/>
                <w:sz w:val="24"/>
                <w:szCs w:val="24"/>
                <w:highlight w:val="none"/>
              </w:rPr>
              <w:t>），经过签章和加密后生成的电子版投标文件。其中包含用于投标文件上传的主文件（后缀为.smxtf）和用于应急补救的投标文件备份文件（后缀为.nsmxtf）。</w:t>
            </w:r>
          </w:p>
          <w:p w14:paraId="3553A513">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2．电子化投标文件应在投标截止时间前成功上传至三门峡市公共资源电子化交易系统。至投标截止时间止，仍未上传成功的电子化投标文件将不予接收。</w:t>
            </w:r>
          </w:p>
          <w:p w14:paraId="3550930E">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注：（1）投标人报多个标段的，每个标段都要生成独立的电子投标文件。</w:t>
            </w:r>
          </w:p>
          <w:p w14:paraId="4AB7D551">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如按照电子化投标操作教材制作完成的电子化投标文件无法上传的，投标人应在投标截止时间前尽早的联系中心技术人员（0398-3117871），以便有充分的时间进行处理。投标人应充分考虑到处理技术问题和上传数据等工作所需的时间问题，投标文件未在投标截止时间前成功上传的，其投标文件不予接收。</w:t>
            </w:r>
          </w:p>
        </w:tc>
      </w:tr>
      <w:tr w14:paraId="66B3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08" w:type="dxa"/>
            <w:vAlign w:val="center"/>
          </w:tcPr>
          <w:p w14:paraId="4E426238">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1946" w:type="dxa"/>
            <w:vAlign w:val="center"/>
          </w:tcPr>
          <w:p w14:paraId="7B34667F">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递交投标文件地点</w:t>
            </w:r>
          </w:p>
        </w:tc>
        <w:tc>
          <w:tcPr>
            <w:tcW w:w="6596" w:type="dxa"/>
            <w:vAlign w:val="center"/>
          </w:tcPr>
          <w:p w14:paraId="369DFD71">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加密的电子投标文件上传至</w:t>
            </w:r>
            <w:r>
              <w:rPr>
                <w:rFonts w:hint="eastAsia" w:ascii="宋体" w:hAnsi="宋体" w:cs="宋体"/>
                <w:b w:val="0"/>
                <w:bCs w:val="0"/>
                <w:color w:val="auto"/>
                <w:kern w:val="0"/>
                <w:sz w:val="24"/>
                <w:szCs w:val="24"/>
                <w:highlight w:val="none"/>
              </w:rPr>
              <w:t>三门峡市公共资源交易中心系统</w:t>
            </w:r>
          </w:p>
        </w:tc>
      </w:tr>
      <w:tr w14:paraId="5C00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8" w:type="dxa"/>
            <w:vAlign w:val="center"/>
          </w:tcPr>
          <w:p w14:paraId="62AD04A1">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29</w:t>
            </w:r>
          </w:p>
        </w:tc>
        <w:tc>
          <w:tcPr>
            <w:tcW w:w="1946" w:type="dxa"/>
            <w:vAlign w:val="center"/>
          </w:tcPr>
          <w:p w14:paraId="0080414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是否退还投标文件</w:t>
            </w:r>
          </w:p>
        </w:tc>
        <w:tc>
          <w:tcPr>
            <w:tcW w:w="6596" w:type="dxa"/>
            <w:vAlign w:val="center"/>
          </w:tcPr>
          <w:p w14:paraId="72042995">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否</w:t>
            </w:r>
          </w:p>
        </w:tc>
      </w:tr>
      <w:tr w14:paraId="034A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08" w:type="dxa"/>
            <w:vAlign w:val="center"/>
          </w:tcPr>
          <w:p w14:paraId="1CEEF607">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w:t>
            </w:r>
          </w:p>
        </w:tc>
        <w:tc>
          <w:tcPr>
            <w:tcW w:w="1946" w:type="dxa"/>
            <w:vAlign w:val="center"/>
          </w:tcPr>
          <w:p w14:paraId="4594F04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开标时间</w:t>
            </w:r>
          </w:p>
          <w:p w14:paraId="7A61735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和地点</w:t>
            </w:r>
          </w:p>
        </w:tc>
        <w:tc>
          <w:tcPr>
            <w:tcW w:w="6596" w:type="dxa"/>
            <w:vAlign w:val="center"/>
          </w:tcPr>
          <w:p w14:paraId="4BB55E92">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详见招标公告</w:t>
            </w:r>
          </w:p>
        </w:tc>
      </w:tr>
      <w:tr w14:paraId="6B4B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45964058">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w:t>
            </w:r>
          </w:p>
        </w:tc>
        <w:tc>
          <w:tcPr>
            <w:tcW w:w="1946" w:type="dxa"/>
            <w:vAlign w:val="center"/>
          </w:tcPr>
          <w:p w14:paraId="238471D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开标程序及注意事项</w:t>
            </w:r>
          </w:p>
        </w:tc>
        <w:tc>
          <w:tcPr>
            <w:tcW w:w="6596" w:type="dxa"/>
          </w:tcPr>
          <w:p w14:paraId="5FEC94B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textAlignment w:val="auto"/>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1．本项目采用电子化、无纸化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150999C5">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2．电子化投标文件采用一次加密方式。开标时，由投标人使用CA 证书，在规定时间内对其电子化投标文件进行解密。每位投标人的解密时间为开标时间起30分钟，因投标人原因未能解密、解密失败或解密超时的将不予接受。</w:t>
            </w:r>
          </w:p>
          <w:p w14:paraId="7849A8A5">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3．电子化投标文件解密异常的处理</w:t>
            </w:r>
          </w:p>
          <w:p w14:paraId="71CC84A5">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如出现投标人的电子投标文件无法解密等异常情况，投标人应及时致电招标代理机构说明。投标文件异常，按以下步骤进行处理：</w:t>
            </w:r>
          </w:p>
          <w:p w14:paraId="31E409E0">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（1）首先由技术人员进行问题排查。</w:t>
            </w:r>
          </w:p>
          <w:p w14:paraId="0435F340">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（2）经技术人员排查后，是投标人文件自身问题导致投标文件无法解密的，该投标文件将不予接收、解密和唱标。开标会议继续进行。</w:t>
            </w:r>
          </w:p>
          <w:p w14:paraId="6D323A6B">
            <w:pPr>
              <w:pageBreakBefore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3）经技术人员排查后，如果是电子化交易系统问题造成投标文件无法解密的，将由技术人员对问题进行处理。如短时间内问题无法解决的，将由招标代理机构向监督部门申请，经监督部门同意后，暂停开标会议，待问题解决后继续开标。</w:t>
            </w:r>
          </w:p>
          <w:p w14:paraId="0F7125AF">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4．待所有投标人投标文件解密完成后，由招标代理机构操作，对所有已解密投标文件进行唱标。</w:t>
            </w:r>
          </w:p>
          <w:p w14:paraId="08D0712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投标人应保证在开标期间电话、电脑、网络能够正常工作，投标人因停电、电脑病毒、网络堵塞等原因，未在规定的解密时间内对投标文件进行解密的，其投标文件不予接收、唱标。</w:t>
            </w:r>
          </w:p>
          <w:p w14:paraId="3C034FA8">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5．开标时投标人可登录到交易系统中在开标解密栏中点击报价一览表查看自己的投标报价。如对自己的唱标内容有异议的，应在投标人解密成功后10分钟内向</w:t>
            </w:r>
            <w:r>
              <w:rPr>
                <w:rFonts w:hint="eastAsia" w:ascii="宋体" w:hAnsi="宋体" w:cs="宋体"/>
                <w:b w:val="0"/>
                <w:bCs w:val="0"/>
                <w:color w:val="auto"/>
                <w:sz w:val="24"/>
                <w:highlight w:val="none"/>
              </w:rPr>
              <w:t>招标代理机构</w:t>
            </w:r>
            <w:r>
              <w:rPr>
                <w:rFonts w:hint="eastAsia" w:ascii="宋体" w:hAnsi="宋体" w:cs="Courier New"/>
                <w:b w:val="0"/>
                <w:bCs w:val="0"/>
                <w:color w:val="auto"/>
                <w:kern w:val="0"/>
                <w:sz w:val="24"/>
                <w:szCs w:val="24"/>
                <w:highlight w:val="none"/>
              </w:rPr>
              <w:t>电话质疑。招标代理机构应在监督人员的监督下进行免提通话接受投标人的质疑并做好书面记录。投标人未在规定时间内提出质疑的，视为认可唱标内容。</w:t>
            </w:r>
          </w:p>
        </w:tc>
      </w:tr>
      <w:tr w14:paraId="732E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8" w:type="dxa"/>
            <w:vAlign w:val="center"/>
          </w:tcPr>
          <w:p w14:paraId="67A6C798">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p>
        </w:tc>
        <w:tc>
          <w:tcPr>
            <w:tcW w:w="1946" w:type="dxa"/>
            <w:vAlign w:val="center"/>
          </w:tcPr>
          <w:p w14:paraId="32ACA06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6596" w:type="dxa"/>
            <w:vAlign w:val="center"/>
          </w:tcPr>
          <w:p w14:paraId="1652E7B5">
            <w:pPr>
              <w:pageBreakBefore w:val="0"/>
              <w:tabs>
                <w:tab w:val="left" w:pos="1240"/>
                <w:tab w:val="left" w:pos="2720"/>
              </w:tabs>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宋体"/>
                <w:color w:val="auto"/>
                <w:kern w:val="0"/>
                <w:sz w:val="24"/>
                <w:szCs w:val="24"/>
                <w:highlight w:val="none"/>
              </w:rPr>
            </w:pPr>
            <w:r>
              <w:rPr>
                <w:rFonts w:hint="eastAsia" w:ascii="宋体" w:hAnsi="宋体" w:cs="宋体"/>
                <w:color w:val="auto"/>
                <w:spacing w:val="2"/>
                <w:kern w:val="0"/>
                <w:sz w:val="24"/>
                <w:szCs w:val="24"/>
                <w:highlight w:val="none"/>
              </w:rPr>
              <w:t>评标</w:t>
            </w:r>
            <w:r>
              <w:rPr>
                <w:rFonts w:hint="eastAsia" w:ascii="宋体" w:hAnsi="宋体" w:cs="宋体"/>
                <w:color w:val="auto"/>
                <w:spacing w:val="4"/>
                <w:kern w:val="0"/>
                <w:sz w:val="24"/>
                <w:szCs w:val="24"/>
                <w:highlight w:val="none"/>
              </w:rPr>
              <w:t>委</w:t>
            </w:r>
            <w:r>
              <w:rPr>
                <w:rFonts w:hint="eastAsia" w:ascii="宋体" w:hAnsi="宋体" w:cs="宋体"/>
                <w:color w:val="auto"/>
                <w:spacing w:val="2"/>
                <w:kern w:val="0"/>
                <w:sz w:val="24"/>
                <w:szCs w:val="24"/>
                <w:highlight w:val="none"/>
              </w:rPr>
              <w:t>员</w:t>
            </w:r>
            <w:r>
              <w:rPr>
                <w:rFonts w:hint="eastAsia" w:ascii="宋体" w:hAnsi="宋体" w:cs="宋体"/>
                <w:color w:val="auto"/>
                <w:spacing w:val="4"/>
                <w:kern w:val="0"/>
                <w:sz w:val="24"/>
                <w:szCs w:val="24"/>
                <w:highlight w:val="none"/>
              </w:rPr>
              <w:t>会</w:t>
            </w:r>
            <w:r>
              <w:rPr>
                <w:rFonts w:hint="eastAsia" w:ascii="宋体" w:hAnsi="宋体" w:cs="宋体"/>
                <w:color w:val="auto"/>
                <w:spacing w:val="2"/>
                <w:kern w:val="0"/>
                <w:sz w:val="24"/>
                <w:szCs w:val="24"/>
                <w:highlight w:val="none"/>
              </w:rPr>
              <w:t>构成：</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rPr>
              <w:t>人，</w:t>
            </w:r>
            <w:r>
              <w:rPr>
                <w:rFonts w:hint="eastAsia" w:ascii="宋体" w:hAnsi="宋体" w:cs="宋体"/>
                <w:color w:val="auto"/>
                <w:sz w:val="24"/>
                <w:szCs w:val="24"/>
                <w:highlight w:val="none"/>
              </w:rPr>
              <w:t>由招标人代表</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rPr>
              <w:t>人及</w:t>
            </w:r>
            <w:r>
              <w:rPr>
                <w:rFonts w:hint="eastAsia" w:ascii="宋体" w:hAnsi="宋体" w:cs="宋体"/>
                <w:color w:val="auto"/>
                <w:kern w:val="0"/>
                <w:sz w:val="24"/>
                <w:szCs w:val="24"/>
                <w:highlight w:val="none"/>
              </w:rPr>
              <w:t>技术、经济方面的专家</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4</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人组成；</w:t>
            </w:r>
          </w:p>
          <w:p w14:paraId="0053D273">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技术、经济方面评标专家确定方式：</w:t>
            </w:r>
            <w:r>
              <w:rPr>
                <w:rFonts w:hint="eastAsia" w:ascii="宋体" w:hAnsi="宋体" w:cs="Courier New"/>
                <w:color w:val="auto"/>
                <w:kern w:val="0"/>
                <w:sz w:val="24"/>
                <w:szCs w:val="24"/>
                <w:highlight w:val="none"/>
              </w:rPr>
              <w:t>在开标前由监督人代表及招标人代表从综合评标专家库中随机抽取</w:t>
            </w:r>
            <w:r>
              <w:rPr>
                <w:rFonts w:hint="eastAsia" w:ascii="宋体" w:hAnsi="宋体" w:cs="宋体"/>
                <w:color w:val="auto"/>
                <w:kern w:val="0"/>
                <w:sz w:val="24"/>
                <w:szCs w:val="24"/>
                <w:highlight w:val="none"/>
              </w:rPr>
              <w:t>。</w:t>
            </w:r>
          </w:p>
        </w:tc>
      </w:tr>
      <w:tr w14:paraId="30D8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73CBDE48">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33</w:t>
            </w:r>
          </w:p>
        </w:tc>
        <w:tc>
          <w:tcPr>
            <w:tcW w:w="1946" w:type="dxa"/>
            <w:vAlign w:val="center"/>
          </w:tcPr>
          <w:p w14:paraId="5EF72D9F">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是否授权评标委员会确定</w:t>
            </w:r>
          </w:p>
          <w:p w14:paraId="4BB601A3">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中标人</w:t>
            </w:r>
          </w:p>
        </w:tc>
        <w:tc>
          <w:tcPr>
            <w:tcW w:w="6596" w:type="dxa"/>
            <w:vAlign w:val="center"/>
          </w:tcPr>
          <w:p w14:paraId="17E21EDD">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b w:val="0"/>
                <w:bCs w:val="0"/>
                <w:color w:val="auto"/>
                <w:kern w:val="0"/>
                <w:sz w:val="24"/>
                <w:szCs w:val="24"/>
                <w:highlight w:val="none"/>
              </w:rPr>
            </w:pPr>
            <w:r>
              <w:rPr>
                <w:rFonts w:hint="eastAsia" w:ascii="宋体" w:hAnsi="宋体" w:cs="Courier New"/>
                <w:b w:val="0"/>
                <w:bCs w:val="0"/>
                <w:color w:val="auto"/>
                <w:kern w:val="0"/>
                <w:sz w:val="24"/>
                <w:szCs w:val="24"/>
                <w:highlight w:val="none"/>
              </w:rPr>
              <w:t>否，评标委员会按照下列要求，从高分到低分顺序向招标人每标段推荐1-3名中标候选人。</w:t>
            </w:r>
          </w:p>
          <w:p w14:paraId="3846F5BE">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同一投标单位可以同时对多个标段进行投标，但最多取得其中一个标段的第一中标候选人资格。</w:t>
            </w:r>
          </w:p>
          <w:p w14:paraId="423432B8">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排名第一的成交候选人若放弃中标、因不可抗力提出不能履行合同，招标人可以确定排名第二的成交候选人为中标人。排名第二的成交候选人因前款原因不能签订合同的，招标人可以确定排名第三的成交候选人为中标人。</w:t>
            </w:r>
          </w:p>
        </w:tc>
      </w:tr>
      <w:tr w14:paraId="5320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54BDE6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34</w:t>
            </w:r>
          </w:p>
        </w:tc>
        <w:tc>
          <w:tcPr>
            <w:tcW w:w="1946" w:type="dxa"/>
            <w:vAlign w:val="center"/>
          </w:tcPr>
          <w:p w14:paraId="24BC456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w:t>
            </w:r>
          </w:p>
          <w:p w14:paraId="49EBAFE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履约能力审查</w:t>
            </w:r>
          </w:p>
        </w:tc>
        <w:tc>
          <w:tcPr>
            <w:tcW w:w="6596" w:type="dxa"/>
            <w:vAlign w:val="center"/>
          </w:tcPr>
          <w:p w14:paraId="05F1AB0E">
            <w:pPr>
              <w:pageBreakBefore w:val="0"/>
              <w:widowControl/>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人有权对中标候选人投标文件中所附的相关证明材料、证件等真实性进行实地考察，如发现与投标文件所提供的相关资料不符、存在弄虚作假行为，将根据相关法律、法规的规定，取消其中标资格，顺延至其它中标候选人。</w:t>
            </w:r>
          </w:p>
        </w:tc>
      </w:tr>
      <w:tr w14:paraId="1513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6C8EABCD">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c>
          <w:tcPr>
            <w:tcW w:w="1946" w:type="dxa"/>
            <w:vAlign w:val="center"/>
          </w:tcPr>
          <w:p w14:paraId="01407AFC">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r>
              <w:rPr>
                <w:rFonts w:hint="eastAsia" w:ascii="宋体" w:hAnsi="宋体"/>
                <w:color w:val="auto"/>
                <w:sz w:val="24"/>
                <w:szCs w:val="24"/>
                <w:highlight w:val="none"/>
              </w:rPr>
              <w:t>其他定标情形</w:t>
            </w:r>
          </w:p>
        </w:tc>
        <w:tc>
          <w:tcPr>
            <w:tcW w:w="6596" w:type="dxa"/>
            <w:vAlign w:val="center"/>
          </w:tcPr>
          <w:p w14:paraId="3D7A1D3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ascii="宋体" w:hAnsi="宋体" w:cs="宋体"/>
                <w:color w:val="auto"/>
                <w:sz w:val="24"/>
                <w:szCs w:val="24"/>
                <w:highlight w:val="none"/>
              </w:rPr>
              <w:t>排名第一的中标候选人放弃中标、因不可抗力不能履行合同、不按照招标文件要求提交履约保证金，</w:t>
            </w:r>
            <w:r>
              <w:rPr>
                <w:rFonts w:hint="eastAsia" w:ascii="宋体" w:hAnsi="宋体" w:cs="宋体"/>
                <w:color w:val="auto"/>
                <w:sz w:val="24"/>
                <w:szCs w:val="24"/>
                <w:highlight w:val="none"/>
              </w:rPr>
              <w:t>未通过中标候选人履约能力审查的</w:t>
            </w:r>
            <w:r>
              <w:rPr>
                <w:rFonts w:ascii="宋体" w:hAnsi="宋体" w:cs="宋体"/>
                <w:color w:val="auto"/>
                <w:sz w:val="24"/>
                <w:szCs w:val="24"/>
                <w:highlight w:val="none"/>
              </w:rPr>
              <w:t>或者被查实存在影响中标结果的违法行为等情形，不符合中标条件的，招标人可以按照评标委员会提出的中标候选人名单排序依次确定其他中标候选人为中标人，也可以重新招标。</w:t>
            </w:r>
          </w:p>
        </w:tc>
      </w:tr>
      <w:tr w14:paraId="329E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14:paraId="1E2ACFF7">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w:t>
            </w:r>
          </w:p>
        </w:tc>
        <w:tc>
          <w:tcPr>
            <w:tcW w:w="1946" w:type="dxa"/>
            <w:vAlign w:val="center"/>
          </w:tcPr>
          <w:p w14:paraId="71629B5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履约担保</w:t>
            </w:r>
          </w:p>
        </w:tc>
        <w:tc>
          <w:tcPr>
            <w:tcW w:w="6596" w:type="dxa"/>
            <w:vAlign w:val="center"/>
          </w:tcPr>
          <w:p w14:paraId="356B1A29">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甲乙双方协商</w:t>
            </w:r>
          </w:p>
        </w:tc>
      </w:tr>
      <w:tr w14:paraId="755A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8" w:type="dxa"/>
            <w:vAlign w:val="center"/>
          </w:tcPr>
          <w:p w14:paraId="17827FD7">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1946" w:type="dxa"/>
            <w:vAlign w:val="center"/>
          </w:tcPr>
          <w:p w14:paraId="72087B2F">
            <w:pPr>
              <w:pStyle w:val="20"/>
              <w:pageBreakBefore w:val="0"/>
              <w:tabs>
                <w:tab w:val="left" w:pos="219"/>
              </w:tabs>
              <w:kinsoku/>
              <w:overflowPunct/>
              <w:bidi w:val="0"/>
              <w:adjustRightInd w:val="0"/>
              <w:snapToGrid w:val="0"/>
              <w:spacing w:beforeAutospacing="0" w:after="0" w:afterAutospacing="0" w:line="360" w:lineRule="auto"/>
              <w:ind w:left="0" w:leftChars="0" w:right="0" w:rightChars="0"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付款方式</w:t>
            </w:r>
          </w:p>
        </w:tc>
        <w:tc>
          <w:tcPr>
            <w:tcW w:w="6596" w:type="dxa"/>
            <w:vAlign w:val="center"/>
          </w:tcPr>
          <w:p w14:paraId="1D9A34A3">
            <w:pPr>
              <w:pageBreakBefore w:val="0"/>
              <w:kinsoku/>
              <w:overflowPunct/>
              <w:bidi w:val="0"/>
              <w:adjustRightInd w:val="0"/>
              <w:snapToGrid w:val="0"/>
              <w:spacing w:beforeAutospacing="0" w:afterAutospacing="0" w:line="360" w:lineRule="auto"/>
              <w:ind w:left="0" w:leftChars="0" w:right="0" w:rightChars="0"/>
              <w:jc w:val="both"/>
              <w:rPr>
                <w:rFonts w:hint="eastAsia" w:ascii="宋体" w:hAnsi="宋体" w:eastAsia="宋体"/>
                <w:b/>
                <w:bCs/>
                <w:color w:val="auto"/>
                <w:sz w:val="24"/>
                <w:szCs w:val="24"/>
                <w:highlight w:val="none"/>
                <w:lang w:val="en-US" w:eastAsia="zh-CN"/>
              </w:rPr>
            </w:pPr>
            <w:r>
              <w:rPr>
                <w:rFonts w:hint="eastAsia" w:ascii="宋体" w:hAnsi="宋体" w:cs="宋体"/>
                <w:color w:val="auto"/>
                <w:sz w:val="24"/>
                <w:szCs w:val="24"/>
                <w:highlight w:val="none"/>
                <w:lang w:val="en-US" w:eastAsia="zh-CN"/>
              </w:rPr>
              <w:t>甲乙双方协商</w:t>
            </w:r>
          </w:p>
        </w:tc>
      </w:tr>
      <w:tr w14:paraId="33AC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29F1299B">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w:t>
            </w:r>
          </w:p>
        </w:tc>
        <w:tc>
          <w:tcPr>
            <w:tcW w:w="1946" w:type="dxa"/>
            <w:vAlign w:val="center"/>
          </w:tcPr>
          <w:p w14:paraId="0E0084E9">
            <w:pPr>
              <w:pageBreakBefore w:val="0"/>
              <w:kinsoku/>
              <w:wordWrap w:val="0"/>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中标结果公告媒介及期限</w:t>
            </w:r>
          </w:p>
        </w:tc>
        <w:tc>
          <w:tcPr>
            <w:tcW w:w="6596" w:type="dxa"/>
            <w:vAlign w:val="center"/>
          </w:tcPr>
          <w:p w14:paraId="01B45031">
            <w:pPr>
              <w:pageBreakBefore w:val="0"/>
              <w:kinsoku/>
              <w:wordWrap w:val="0"/>
              <w:overflowPunct/>
              <w:bidi w:val="0"/>
              <w:adjustRightInd w:val="0"/>
              <w:snapToGrid w:val="0"/>
              <w:spacing w:beforeAutospacing="0" w:afterAutospacing="0" w:line="360" w:lineRule="auto"/>
              <w:ind w:left="0" w:leftChars="0" w:right="0" w:rightChars="0"/>
              <w:jc w:val="both"/>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公示媒介：《中国采购与招标网》、《三门峡市公共资源交易中心平台网》、《河南省政府采购网》公示期限：不少于</w:t>
            </w:r>
            <w:r>
              <w:rPr>
                <w:rFonts w:hint="eastAsia" w:ascii="宋体" w:hAnsi="宋体" w:cs="宋体"/>
                <w:color w:val="auto"/>
                <w:sz w:val="24"/>
                <w:szCs w:val="24"/>
                <w:highlight w:val="none"/>
                <w:lang w:val="en-US" w:eastAsia="zh-CN"/>
              </w:rPr>
              <w:t>1工作</w:t>
            </w:r>
            <w:r>
              <w:rPr>
                <w:rFonts w:hint="eastAsia" w:ascii="宋体" w:hAnsi="宋体" w:eastAsia="宋体" w:cs="宋体"/>
                <w:color w:val="auto"/>
                <w:sz w:val="24"/>
                <w:szCs w:val="24"/>
                <w:highlight w:val="none"/>
                <w:lang w:eastAsia="zh-CN"/>
              </w:rPr>
              <w:t>日</w:t>
            </w:r>
          </w:p>
        </w:tc>
      </w:tr>
      <w:tr w14:paraId="0D19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44876941">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39</w:t>
            </w:r>
          </w:p>
        </w:tc>
        <w:tc>
          <w:tcPr>
            <w:tcW w:w="1946" w:type="dxa"/>
            <w:vAlign w:val="center"/>
          </w:tcPr>
          <w:p w14:paraId="6B37FCBB">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r>
              <w:rPr>
                <w:rFonts w:hint="eastAsia" w:ascii="宋体" w:hAnsi="宋体"/>
                <w:color w:val="auto"/>
                <w:sz w:val="24"/>
                <w:szCs w:val="24"/>
                <w:highlight w:val="none"/>
              </w:rPr>
              <w:t>重新招标的其他情形</w:t>
            </w:r>
          </w:p>
        </w:tc>
        <w:tc>
          <w:tcPr>
            <w:tcW w:w="6596" w:type="dxa"/>
            <w:vAlign w:val="center"/>
          </w:tcPr>
          <w:p w14:paraId="06A4BC4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除投标人须知正文第8条规定的情形外，除非已经产生中标候选人，在投标有效期内同意延长投标有效期的投标人少于三个的，招标人应当依法重新招标。</w:t>
            </w:r>
          </w:p>
        </w:tc>
      </w:tr>
      <w:tr w14:paraId="6FAD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645C7F6F">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w:t>
            </w:r>
          </w:p>
        </w:tc>
        <w:tc>
          <w:tcPr>
            <w:tcW w:w="1946" w:type="dxa"/>
            <w:vAlign w:val="center"/>
          </w:tcPr>
          <w:p w14:paraId="6B29BF7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招标人需要补充的其他内容</w:t>
            </w:r>
          </w:p>
        </w:tc>
        <w:tc>
          <w:tcPr>
            <w:tcW w:w="6596" w:type="dxa"/>
            <w:vAlign w:val="center"/>
          </w:tcPr>
          <w:p w14:paraId="591BE583">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（1）投标人所投的设备必须符合国家和行业标准，并达到设计要求，满足项目需要，且所有部件均应为全新的合格产品。</w:t>
            </w:r>
          </w:p>
          <w:p w14:paraId="122EF5DE">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r>
              <w:rPr>
                <w:rFonts w:hint="eastAsia" w:ascii="宋体" w:hAnsi="宋体"/>
                <w:color w:val="auto"/>
                <w:sz w:val="24"/>
                <w:szCs w:val="24"/>
                <w:highlight w:val="none"/>
              </w:rPr>
              <w:t>（2）招标人有权对中标人的设备采购过程进行监督。</w:t>
            </w:r>
          </w:p>
          <w:p w14:paraId="720E50C8">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3）投标人必须提供有关投标货物符合招标文件要求的证明文件，这些文件可以是说明书、技术白皮书、产品彩页、检测报告等；投标设备有强制性认证要求的，须提供设备的3C认证证书（如有）。投标货物功能及用途详见“第五章 招标内容及技术要求”。</w:t>
            </w:r>
          </w:p>
          <w:p w14:paraId="715C7DA2">
            <w:pPr>
              <w:pageBreakBefore w:val="0"/>
              <w:kinsoku/>
              <w:overflowPunct/>
              <w:bidi w:val="0"/>
              <w:adjustRightInd w:val="0"/>
              <w:snapToGrid w:val="0"/>
              <w:spacing w:beforeAutospacing="0" w:afterAutospacing="0" w:line="360" w:lineRule="auto"/>
              <w:ind w:left="0" w:leftChars="0" w:right="0" w:rightChars="0" w:firstLine="1"/>
              <w:rPr>
                <w:rFonts w:hint="eastAsia" w:ascii="宋体" w:hAnsi="宋体" w:cs="宋体"/>
                <w:color w:val="auto"/>
                <w:sz w:val="24"/>
                <w:szCs w:val="24"/>
                <w:highlight w:val="none"/>
              </w:rPr>
            </w:pPr>
            <w:r>
              <w:rPr>
                <w:rFonts w:hint="eastAsia" w:ascii="宋体" w:hAnsi="宋体"/>
                <w:color w:val="auto"/>
                <w:sz w:val="24"/>
                <w:szCs w:val="24"/>
                <w:highlight w:val="none"/>
              </w:rPr>
              <w:t>（4）中标人对合同义务全面全责；对本项目供货范围内的采购、安装、调试、验收、培训、质保期内外服务、与货物有关的运输和保险及其他伴随服务等全面负责。</w:t>
            </w:r>
          </w:p>
        </w:tc>
      </w:tr>
      <w:tr w14:paraId="64EB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15530521">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41</w:t>
            </w:r>
          </w:p>
        </w:tc>
        <w:tc>
          <w:tcPr>
            <w:tcW w:w="1946" w:type="dxa"/>
            <w:vAlign w:val="center"/>
          </w:tcPr>
          <w:p w14:paraId="3C2ED3B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其他事项</w:t>
            </w:r>
          </w:p>
        </w:tc>
        <w:tc>
          <w:tcPr>
            <w:tcW w:w="6596" w:type="dxa"/>
            <w:vAlign w:val="center"/>
          </w:tcPr>
          <w:p w14:paraId="70F16467">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参与采购活动的采购人，经调查并报经“三项工作”管理委员会认定有下列行为之一的，即列入河南省烟草公司“黑名单”: </w:t>
            </w:r>
          </w:p>
          <w:p w14:paraId="63C335C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（一）弄虚作假、隐瞒真实情况，骗取认证资格或骗取中标的； </w:t>
            </w:r>
          </w:p>
          <w:p w14:paraId="3C7AE7B1">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（二）提供虚假材料或采用不正当手段诋毁、排挤其他供应商的； </w:t>
            </w:r>
          </w:p>
          <w:p w14:paraId="47A3D004">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三）被行业纪检监察部门通报或禁止投标的，包括但不限于以下行为：经审判机关依法判决的行贿行为，被检察机关等执法部门查证属实的行贿行为，烟草行业纪检监察部门在办理信访或案件中查证属实的行贿行为；</w:t>
            </w:r>
          </w:p>
          <w:p w14:paraId="457FB2C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（四）与采购单位、招标代理机构或者其他供应商恶意串通的； </w:t>
            </w:r>
          </w:p>
          <w:p w14:paraId="7324903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（五）发生围标、串标行为的；</w:t>
            </w:r>
          </w:p>
          <w:p w14:paraId="2A4937A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（六）转包或者非法分包的；</w:t>
            </w:r>
          </w:p>
          <w:p w14:paraId="3CDB70E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（七）中标后无正当理由不与采购单位签订采购合同的；</w:t>
            </w:r>
          </w:p>
          <w:p w14:paraId="201F2137">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（八）擅自变更或者终止采购合同的；</w:t>
            </w:r>
          </w:p>
          <w:p w14:paraId="1469EC1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（九）采购货物在使用后发现存有质量缺陷造成较大经济损失或安全事故，被采购实施部门或使用单位认定情节严重的；</w:t>
            </w:r>
          </w:p>
          <w:p w14:paraId="14902F6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（十）向采购单位、采购代理机构等行贿或者提供其他不正当利益的；</w:t>
            </w:r>
          </w:p>
          <w:p w14:paraId="1411FB7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（十一）未按合同及时交货2次（含）及以上的；</w:t>
            </w:r>
          </w:p>
          <w:p w14:paraId="70407D5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（十二）无正当理由质疑或投诉他人2次（含）及以上的；</w:t>
            </w:r>
          </w:p>
          <w:p w14:paraId="46B9518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（十三）拒绝采购单位监督检查或者提供虚假情况的；</w:t>
            </w:r>
          </w:p>
          <w:p w14:paraId="705BB419">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（十四）被省外烟草企业列入“黑名单”的；</w:t>
            </w:r>
          </w:p>
          <w:p w14:paraId="168F562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（十五）投标产品3年内在工商、质监、行业主管部门抽检中不合格的；</w:t>
            </w:r>
          </w:p>
          <w:p w14:paraId="61213F99">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（十六）法律法规规定的其他供应商不良行为的。</w:t>
            </w:r>
          </w:p>
          <w:p w14:paraId="3B3AF68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（十七）中标人及其工作人员在监委调查相关案件查办时，有配合提供证据、作证的义务。</w:t>
            </w:r>
          </w:p>
          <w:p w14:paraId="421E1284">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highlight w:val="none"/>
              </w:rPr>
              <w:t>（十八）中标人及其工作人员发生拒不配合监委调查工作的情形，招标人有权采取警示约谈、降低考核评价分数、降低供货份额、缩短服务期限、终止或解除合同等多种处理措施。</w:t>
            </w:r>
          </w:p>
        </w:tc>
      </w:tr>
      <w:tr w14:paraId="6F21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2F046DAF">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69A9BE2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68F71BD4">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w:t>
            </w:r>
          </w:p>
        </w:tc>
        <w:tc>
          <w:tcPr>
            <w:tcW w:w="1946" w:type="dxa"/>
            <w:vAlign w:val="center"/>
          </w:tcPr>
          <w:p w14:paraId="4554EE16">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779EB639">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562811C9">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异议</w:t>
            </w:r>
          </w:p>
        </w:tc>
        <w:tc>
          <w:tcPr>
            <w:tcW w:w="6596" w:type="dxa"/>
            <w:vAlign w:val="center"/>
          </w:tcPr>
          <w:p w14:paraId="5AB33687">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1.对招标文件的异议：投标人应仔细阅读招标文件所有内容，如有异议应当在招标文件规定的时间（即投标截止时间10日前）内在三门峡市公共资源交易中心平台一次性提出答疑问题并将异议相应的问题可编辑word版本和盖章后的扫描件发送至招标代理机构邮箱（下同），招标人或招标代理机构将在收到异议之日起3日内作出答复。在规定时间内，若投标人未提出异议的，则视同投标人理解并认可招标文件，招标人或招标代理机构将不再接收涉及招标文件的异议。</w:t>
            </w:r>
          </w:p>
          <w:p w14:paraId="39ABA88A">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中标公告</w:t>
            </w:r>
            <w:r>
              <w:rPr>
                <w:rFonts w:hint="eastAsia" w:ascii="宋体" w:hAnsi="宋体" w:cs="宋体"/>
                <w:color w:val="auto"/>
                <w:sz w:val="24"/>
                <w:szCs w:val="24"/>
                <w:highlight w:val="none"/>
              </w:rPr>
              <w:t>的异议：投标人或其他利害关系人对本次招标项目的</w:t>
            </w:r>
            <w:r>
              <w:rPr>
                <w:rFonts w:hint="eastAsia" w:ascii="宋体" w:hAnsi="宋体" w:cs="宋体"/>
                <w:color w:val="auto"/>
                <w:sz w:val="24"/>
                <w:szCs w:val="24"/>
                <w:highlight w:val="none"/>
                <w:lang w:eastAsia="zh-CN"/>
              </w:rPr>
              <w:t>中标公告</w:t>
            </w:r>
            <w:r>
              <w:rPr>
                <w:rFonts w:hint="eastAsia" w:ascii="宋体" w:hAnsi="宋体" w:cs="宋体"/>
                <w:color w:val="auto"/>
                <w:sz w:val="24"/>
                <w:szCs w:val="24"/>
                <w:highlight w:val="none"/>
              </w:rPr>
              <w:t>有异议的，应当在</w:t>
            </w:r>
            <w:r>
              <w:rPr>
                <w:rFonts w:hint="eastAsia" w:ascii="宋体" w:hAnsi="宋体" w:cs="宋体"/>
                <w:color w:val="auto"/>
                <w:sz w:val="24"/>
                <w:szCs w:val="24"/>
                <w:highlight w:val="none"/>
                <w:lang w:eastAsia="zh-CN"/>
              </w:rPr>
              <w:t>中标公告</w:t>
            </w:r>
            <w:r>
              <w:rPr>
                <w:rFonts w:hint="eastAsia" w:ascii="宋体" w:hAnsi="宋体" w:cs="宋体"/>
                <w:color w:val="auto"/>
                <w:sz w:val="24"/>
                <w:szCs w:val="24"/>
                <w:highlight w:val="none"/>
              </w:rPr>
              <w:t>公示期间在三门峡市公共资源交易中心平台线上提出并按照要求发至招标代理机构邮箱，逾期提出的将不予受理。</w:t>
            </w:r>
          </w:p>
          <w:p w14:paraId="3289449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14:paraId="349EEA8A">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（1）投标人提出异议时，应提交异议函和必要的证明材料（质疑函应当包含投标人名称、地址、联系人及联系电话、邮箱；质疑项目的名称、编号；提出异议的日期）。</w:t>
            </w:r>
          </w:p>
          <w:p w14:paraId="17C4545D">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2）异议投标人若委托代理人进行异议的，异议函应列明“授权代表”的有关内容，并在异议函中提交由质疑函投标人签署的授权委托书（法定代表人签字或盖章，并加盖单位公章）。授权委托书应载明委托代理人的姓名、代理事项、具体权限、期限和相关事项。</w:t>
            </w:r>
          </w:p>
          <w:p w14:paraId="1833C89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（3）异议函的异议事项应具体、明确，并有必要的事实依据和法律依据。</w:t>
            </w:r>
          </w:p>
          <w:p w14:paraId="2E5FC4CF">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4）异议投标人若存在捏造事实、伪造材料、以非法手段取得的证明材料（异议投标人无法证明其取得方式合法的，视为非法手段取得的证明材料）将被招标人列入不良行为记录名单，造成损失的应依法承担相应法律责任。</w:t>
            </w:r>
          </w:p>
        </w:tc>
      </w:tr>
      <w:tr w14:paraId="509B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4F04D12">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43</w:t>
            </w:r>
          </w:p>
        </w:tc>
        <w:tc>
          <w:tcPr>
            <w:tcW w:w="1946" w:type="dxa"/>
            <w:vAlign w:val="center"/>
          </w:tcPr>
          <w:p w14:paraId="6F068C52">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r>
              <w:rPr>
                <w:rFonts w:hint="eastAsia" w:ascii="宋体" w:hAnsi="宋体"/>
                <w:color w:val="auto"/>
                <w:sz w:val="24"/>
                <w:szCs w:val="24"/>
                <w:highlight w:val="none"/>
              </w:rPr>
              <w:t>电子化交易注意事项</w:t>
            </w:r>
          </w:p>
        </w:tc>
        <w:tc>
          <w:tcPr>
            <w:tcW w:w="6596" w:type="dxa"/>
            <w:vAlign w:val="center"/>
          </w:tcPr>
          <w:p w14:paraId="0158981C">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b/>
                <w:color w:val="auto"/>
                <w:kern w:val="0"/>
                <w:sz w:val="24"/>
                <w:szCs w:val="24"/>
                <w:highlight w:val="none"/>
              </w:rPr>
              <w:t>温馨提示：本项目为电子化、无纸化交易项目，为保证您能投标成功，请需仔细阅读以下条款。</w:t>
            </w:r>
          </w:p>
          <w:p w14:paraId="314C487C">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一、电子化项目评标</w:t>
            </w:r>
          </w:p>
          <w:p w14:paraId="03D1553F">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1.</w:t>
            </w:r>
            <w:r>
              <w:rPr>
                <w:rFonts w:hint="eastAsia" w:ascii="宋体" w:hAnsi="宋体" w:cs="宋体"/>
                <w:color w:val="auto"/>
                <w:sz w:val="24"/>
                <w:highlight w:val="none"/>
              </w:rPr>
              <w:t>评标时，评标委员会对电子化投标文件有质疑的，将通过电子化交易系统对投标人发起质疑，并在监督人员的监督下，用免提模式致电需要答复的投标人对质疑进行回复。投标人的回复文件必须以经过投标人和其法定代表人签章的PDF格式文件为准，并通过电子化交易系统提交至评标委员会</w:t>
            </w:r>
            <w:r>
              <w:rPr>
                <w:rFonts w:hint="eastAsia" w:ascii="宋体" w:hAnsi="宋体" w:cs="Courier New"/>
                <w:color w:val="auto"/>
                <w:kern w:val="0"/>
                <w:sz w:val="24"/>
                <w:szCs w:val="24"/>
                <w:highlight w:val="none"/>
              </w:rPr>
              <w:t>。</w:t>
            </w:r>
          </w:p>
          <w:p w14:paraId="7DA8D650">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2.如评标委员会对需要回复的投标人连续三次致电未接通的，视为投标人放弃回复，评标委员会将自行对需要回复的内容进行认定。</w:t>
            </w:r>
          </w:p>
          <w:p w14:paraId="7389D5CF">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bCs/>
                <w:color w:val="auto"/>
                <w:kern w:val="0"/>
                <w:sz w:val="24"/>
                <w:szCs w:val="24"/>
                <w:highlight w:val="none"/>
              </w:rPr>
            </w:pPr>
            <w:r>
              <w:rPr>
                <w:rFonts w:hint="eastAsia" w:ascii="宋体" w:hAnsi="宋体" w:cs="Courier New"/>
                <w:b/>
                <w:bCs/>
                <w:color w:val="auto"/>
                <w:kern w:val="0"/>
                <w:sz w:val="24"/>
                <w:szCs w:val="24"/>
                <w:highlight w:val="none"/>
              </w:rPr>
              <w:t>二、相关证书原件的上传</w:t>
            </w:r>
          </w:p>
          <w:p w14:paraId="4CB58E13">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资格评审部分：</w:t>
            </w:r>
          </w:p>
          <w:p w14:paraId="365528FC">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color w:val="auto"/>
                <w:kern w:val="0"/>
                <w:sz w:val="24"/>
                <w:szCs w:val="24"/>
                <w:highlight w:val="none"/>
              </w:rPr>
              <w:t>本项目实行资格后审，</w:t>
            </w:r>
            <w:r>
              <w:rPr>
                <w:rFonts w:hint="eastAsia" w:ascii="宋体" w:hAnsi="宋体" w:cs="Courier New"/>
                <w:b/>
                <w:color w:val="auto"/>
                <w:kern w:val="0"/>
                <w:sz w:val="24"/>
                <w:szCs w:val="24"/>
                <w:highlight w:val="none"/>
              </w:rPr>
              <w:t>资格评审资料以投标文件为准，其上传资料真实性由投标人自行承担，同时，投标人要完善主体库。</w:t>
            </w:r>
          </w:p>
          <w:p w14:paraId="11754239">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三门峡市公共资源交易平台主体信息库</w:t>
            </w:r>
          </w:p>
          <w:p w14:paraId="3D3B2F8C">
            <w:pPr>
              <w:keepNext w:val="0"/>
              <w:keepLines w:val="0"/>
              <w:pageBreakBefore w:val="0"/>
              <w:widowControl w:val="0"/>
              <w:kinsoku/>
              <w:wordWrap w:val="0"/>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ascii="宋体" w:hAnsi="宋体" w:cs="Courier New"/>
                <w:color w:val="auto"/>
                <w:kern w:val="0"/>
                <w:sz w:val="24"/>
                <w:szCs w:val="24"/>
                <w:highlight w:val="none"/>
              </w:rPr>
            </w:pPr>
            <w:r>
              <w:rPr>
                <w:rFonts w:hint="eastAsia" w:ascii="宋体" w:hAnsi="宋体" w:cs="Courier New"/>
                <w:color w:val="auto"/>
                <w:kern w:val="0"/>
                <w:sz w:val="24"/>
                <w:szCs w:val="24"/>
                <w:highlight w:val="none"/>
              </w:rPr>
              <w:t>（1）具体操作详见《三门峡市公共资源交易平台主体信息库操作手册》。</w:t>
            </w:r>
          </w:p>
          <w:p w14:paraId="2DE95DFE">
            <w:pPr>
              <w:keepNext w:val="0"/>
              <w:keepLines w:val="0"/>
              <w:pageBreakBefore w:val="0"/>
              <w:widowControl w:val="0"/>
              <w:kinsoku/>
              <w:wordWrap w:val="0"/>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链接地址：http://gzjy.smx.gov.cn/fwzn/004003/20200325/b13aa3fa-a543-403f-b537-82cb417132bd.html</w:t>
            </w:r>
          </w:p>
          <w:p w14:paraId="20EBD61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注：（</w:t>
            </w:r>
            <w:r>
              <w:rPr>
                <w:rFonts w:ascii="宋体" w:hAnsi="宋体" w:cs="Courier New"/>
                <w:color w:val="auto"/>
                <w:kern w:val="0"/>
                <w:sz w:val="24"/>
                <w:szCs w:val="24"/>
                <w:highlight w:val="none"/>
              </w:rPr>
              <w:t>1</w:t>
            </w:r>
            <w:r>
              <w:rPr>
                <w:rFonts w:hint="eastAsia" w:ascii="宋体" w:hAnsi="宋体" w:cs="Courier New"/>
                <w:color w:val="auto"/>
                <w:kern w:val="0"/>
                <w:sz w:val="24"/>
                <w:szCs w:val="24"/>
                <w:highlight w:val="none"/>
              </w:rPr>
              <w:t>）项目中标结果公告时，将同时公示中标候选人主体信息库信息，接受社会监督。</w:t>
            </w:r>
          </w:p>
          <w:p w14:paraId="395DBC9B">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w:t>
            </w:r>
            <w:r>
              <w:rPr>
                <w:rFonts w:ascii="宋体" w:hAnsi="宋体" w:cs="Courier New"/>
                <w:color w:val="auto"/>
                <w:kern w:val="0"/>
                <w:sz w:val="24"/>
                <w:szCs w:val="24"/>
                <w:highlight w:val="none"/>
              </w:rPr>
              <w:t>2</w:t>
            </w:r>
            <w:r>
              <w:rPr>
                <w:rFonts w:hint="eastAsia" w:ascii="宋体" w:hAnsi="宋体" w:cs="Courier New"/>
                <w:color w:val="auto"/>
                <w:kern w:val="0"/>
                <w:sz w:val="24"/>
                <w:szCs w:val="24"/>
                <w:highlight w:val="none"/>
              </w:rPr>
              <w:t>）投标人需应仔细阅读操作手册，保证上传内容齐全，真实有效，原件扫描件或图片清晰可辨。</w:t>
            </w:r>
          </w:p>
          <w:p w14:paraId="1FEA17AF">
            <w:pPr>
              <w:pageBreakBefore w:val="0"/>
              <w:kinsoku/>
              <w:overflowPunct/>
              <w:autoSpaceDE w:val="0"/>
              <w:autoSpaceDN w:val="0"/>
              <w:bidi w:val="0"/>
              <w:adjustRightInd w:val="0"/>
              <w:snapToGrid w:val="0"/>
              <w:spacing w:beforeAutospacing="0" w:afterAutospacing="0" w:line="360" w:lineRule="auto"/>
              <w:ind w:left="0" w:leftChars="0" w:right="0" w:rightChars="0" w:firstLine="120" w:firstLineChars="5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评标打分部分：</w:t>
            </w:r>
          </w:p>
          <w:p w14:paraId="75C11D61">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color w:val="auto"/>
                <w:kern w:val="0"/>
                <w:sz w:val="24"/>
                <w:szCs w:val="24"/>
                <w:highlight w:val="none"/>
              </w:rPr>
              <w:t>评标打分部分仍按照100分制原则进行，涉及到资格审查、企业荣誉、企业业绩等计分部分时，以投标单位自行上传到投标文件中的相应内容为准。</w:t>
            </w:r>
          </w:p>
          <w:p w14:paraId="773A4C87">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b/>
                <w:color w:val="auto"/>
                <w:kern w:val="0"/>
                <w:sz w:val="24"/>
                <w:szCs w:val="24"/>
                <w:highlight w:val="none"/>
              </w:rPr>
              <w:t>投标文件编制部分：</w:t>
            </w:r>
          </w:p>
          <w:p w14:paraId="272363F2">
            <w:pPr>
              <w:pageBreakBefore w:val="0"/>
              <w:kinsoku/>
              <w:overflowPunct/>
              <w:autoSpaceDE w:val="0"/>
              <w:autoSpaceDN w:val="0"/>
              <w:bidi w:val="0"/>
              <w:adjustRightInd w:val="0"/>
              <w:snapToGrid w:val="0"/>
              <w:spacing w:beforeAutospacing="0" w:afterAutospacing="0" w:line="360" w:lineRule="auto"/>
              <w:ind w:left="0" w:leftChars="0" w:right="0" w:rightChars="0"/>
              <w:rPr>
                <w:rFonts w:hint="eastAsia" w:ascii="宋体" w:hAnsi="宋体" w:cs="Courier New"/>
                <w:b/>
                <w:color w:val="auto"/>
                <w:kern w:val="0"/>
                <w:sz w:val="24"/>
                <w:szCs w:val="24"/>
                <w:highlight w:val="none"/>
              </w:rPr>
            </w:pPr>
            <w:r>
              <w:rPr>
                <w:rFonts w:hint="eastAsia" w:ascii="宋体" w:hAnsi="宋体" w:cs="Courier New"/>
                <w:color w:val="auto"/>
                <w:kern w:val="0"/>
                <w:sz w:val="24"/>
                <w:szCs w:val="24"/>
                <w:highlight w:val="none"/>
              </w:rPr>
              <w:t>在招标文件中要求投标人按照投标文件格式进行投标文件编制，在投标文件编制时，应将投标单位企业基本情况（如本项目要求）、资质情况（如本项目要求）、人员情况（如本项目要求）、财务情况（如本项目要求）、业绩情况编入投标文件，便于进行资格审查及评标打分。</w:t>
            </w:r>
          </w:p>
        </w:tc>
      </w:tr>
      <w:tr w14:paraId="483A3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4935F919">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w:t>
            </w:r>
          </w:p>
        </w:tc>
        <w:tc>
          <w:tcPr>
            <w:tcW w:w="1946" w:type="dxa"/>
            <w:vAlign w:val="center"/>
          </w:tcPr>
          <w:p w14:paraId="1A86F3E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中标人须补充投标文件要求</w:t>
            </w:r>
          </w:p>
        </w:tc>
        <w:tc>
          <w:tcPr>
            <w:tcW w:w="6596" w:type="dxa"/>
            <w:vAlign w:val="center"/>
          </w:tcPr>
          <w:p w14:paraId="3867A34B">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各标段中标人收到中标通知书后三日内，向招标人提供与上传三门峡公共资源交易中心系统一致的电子投标文件的纸质版投标文件4份，电子版1份。</w:t>
            </w:r>
          </w:p>
        </w:tc>
      </w:tr>
      <w:tr w14:paraId="7E8F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dxa"/>
            <w:vAlign w:val="center"/>
          </w:tcPr>
          <w:p w14:paraId="0D797613">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c>
          <w:tcPr>
            <w:tcW w:w="1946" w:type="dxa"/>
            <w:vAlign w:val="center"/>
          </w:tcPr>
          <w:p w14:paraId="2ADE83E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r>
              <w:rPr>
                <w:rFonts w:hint="eastAsia" w:ascii="宋体" w:hAnsi="宋体" w:cs="Courier New"/>
                <w:color w:val="auto"/>
                <w:kern w:val="0"/>
                <w:sz w:val="24"/>
                <w:szCs w:val="24"/>
                <w:highlight w:val="none"/>
              </w:rPr>
              <w:t>招标代理服务费</w:t>
            </w:r>
          </w:p>
        </w:tc>
        <w:tc>
          <w:tcPr>
            <w:tcW w:w="6596" w:type="dxa"/>
            <w:vAlign w:val="center"/>
          </w:tcPr>
          <w:p w14:paraId="472FBE94">
            <w:pPr>
              <w:wordWrap w:val="0"/>
              <w:topLinePunct/>
              <w:spacing w:line="360" w:lineRule="auto"/>
              <w:jc w:val="left"/>
              <w:rPr>
                <w:rFonts w:hint="eastAsia" w:ascii="宋体" w:hAnsi="宋体" w:eastAsia="宋体" w:cs="宋体"/>
                <w:sz w:val="24"/>
                <w:szCs w:val="24"/>
              </w:rPr>
            </w:pPr>
            <w:r>
              <w:rPr>
                <w:rFonts w:hint="eastAsia" w:ascii="宋体" w:hAnsi="宋体" w:eastAsia="宋体" w:cs="宋体"/>
                <w:sz w:val="24"/>
                <w:szCs w:val="24"/>
              </w:rPr>
              <w:t>本次招标项目的招标代理服务费，按豫招协[2023]002号河南省招标投标协会关于印发《河南省招标代理服务收费指导意见》规定的收费标准收取，由中标人缴纳中标服务费。</w:t>
            </w:r>
          </w:p>
          <w:p w14:paraId="020DCAF5">
            <w:pPr>
              <w:wordWrap w:val="0"/>
              <w:topLinePunct/>
              <w:spacing w:line="360" w:lineRule="auto"/>
              <w:jc w:val="left"/>
              <w:rPr>
                <w:rFonts w:hint="eastAsia"/>
                <w:color w:val="auto"/>
                <w:highlight w:val="none"/>
              </w:rPr>
            </w:pPr>
            <w:r>
              <w:rPr>
                <w:rFonts w:hint="eastAsia" w:ascii="宋体" w:hAnsi="宋体" w:eastAsia="宋体" w:cs="宋体"/>
                <w:sz w:val="24"/>
                <w:szCs w:val="24"/>
              </w:rPr>
              <w:t>收取方式：中标人在领取中标通知书时，以现金或转账的方式一次性向代理机构缴纳招标代理服务费。</w:t>
            </w:r>
          </w:p>
        </w:tc>
      </w:tr>
      <w:tr w14:paraId="7480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14:paraId="767F3FDA">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w:t>
            </w:r>
          </w:p>
        </w:tc>
        <w:tc>
          <w:tcPr>
            <w:tcW w:w="1946" w:type="dxa"/>
            <w:vAlign w:val="center"/>
          </w:tcPr>
          <w:p w14:paraId="05FC265C">
            <w:pPr>
              <w:pageBreakBefore w:val="0"/>
              <w:kinsoku/>
              <w:wordWrap w:val="0"/>
              <w:overflowPunct/>
              <w:bidi w:val="0"/>
              <w:adjustRightInd w:val="0"/>
              <w:snapToGrid w:val="0"/>
              <w:spacing w:beforeAutospacing="0" w:afterAutospacing="0" w:line="360" w:lineRule="auto"/>
              <w:ind w:left="0" w:leftChars="0" w:right="0" w:rightChars="0"/>
              <w:jc w:val="both"/>
              <w:rPr>
                <w:rFonts w:ascii="宋体" w:hAnsi="宋体" w:eastAsia="宋体"/>
                <w:color w:val="auto"/>
                <w:kern w:val="10"/>
                <w:sz w:val="24"/>
                <w:szCs w:val="24"/>
                <w:highlight w:val="none"/>
                <w:lang w:eastAsia="zh-CN"/>
              </w:rPr>
            </w:pPr>
            <w:r>
              <w:rPr>
                <w:rFonts w:hint="eastAsia" w:ascii="宋体" w:hAnsi="宋体" w:eastAsia="宋体"/>
                <w:color w:val="auto"/>
                <w:sz w:val="24"/>
                <w:szCs w:val="24"/>
                <w:highlight w:val="none"/>
                <w:lang w:eastAsia="zh-CN"/>
              </w:rPr>
              <w:t>政府采购政策</w:t>
            </w:r>
          </w:p>
          <w:p w14:paraId="16C37B8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Courier New"/>
                <w:color w:val="auto"/>
                <w:kern w:val="0"/>
                <w:sz w:val="24"/>
                <w:szCs w:val="24"/>
                <w:highlight w:val="none"/>
              </w:rPr>
            </w:pPr>
          </w:p>
        </w:tc>
        <w:tc>
          <w:tcPr>
            <w:tcW w:w="6596" w:type="dxa"/>
            <w:vAlign w:val="center"/>
          </w:tcPr>
          <w:p w14:paraId="25B9FC44">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1、供应商应优先采购“节能产品政府采购清单”中的产品，供应商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供应商优先采用该产品。</w:t>
            </w:r>
          </w:p>
          <w:p w14:paraId="6559058D">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2、关于计算机办公设备，必须执行国家版权局、信息产业部、财政部等部门规定，供应商所投货物必须是国家信息部、版权局、商务部等部门认可的预装正版操作系统软件的计算机产品。</w:t>
            </w:r>
          </w:p>
          <w:p w14:paraId="5205B856">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3、优先采购本国产品。采购进口产品应符合《中华人民共和国政府采购法》并依法办理论证、公示、审批手续。</w:t>
            </w:r>
          </w:p>
          <w:p w14:paraId="3D2F561D">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4、供应商应优先采购“环境标志产品政府采购清单”中的产品时，供应商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供应商优先采用该产品。</w:t>
            </w:r>
          </w:p>
          <w:p w14:paraId="64FCDCF2">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5、（1）根据财政部、工业和信息化部《政府采购促进中小企业发展管理办法》（财库〔2020〕46 号）的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4DF3E8E">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 xml:space="preserve">在政府采购活动中，供应商提供的货物、工程或者服务符合下列情形的，享受本办法规定的中小企业扶持政策： </w:t>
            </w:r>
          </w:p>
          <w:p w14:paraId="490F229C">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b/>
                <w:bCs/>
                <w:color w:val="auto"/>
                <w:kern w:val="10"/>
                <w:sz w:val="24"/>
                <w:szCs w:val="24"/>
                <w:highlight w:val="none"/>
                <w:lang w:eastAsia="zh-CN"/>
              </w:rPr>
              <w:t>（一）在货物采购项目中，货物由中小企业制造，即货物由中小企业生产且使用该中小企业商号或者注册商标；</w:t>
            </w:r>
            <w:r>
              <w:rPr>
                <w:rFonts w:hint="eastAsia" w:ascii="宋体" w:hAnsi="宋体" w:eastAsia="宋体"/>
                <w:color w:val="auto"/>
                <w:kern w:val="10"/>
                <w:sz w:val="24"/>
                <w:szCs w:val="24"/>
                <w:highlight w:val="none"/>
                <w:lang w:eastAsia="zh-CN"/>
              </w:rPr>
              <w:t xml:space="preserve"> </w:t>
            </w:r>
          </w:p>
          <w:p w14:paraId="603197CB">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 xml:space="preserve">（二）在工程采购项目中，工程由中小企业承建，即工程施工单位为中小企业； </w:t>
            </w:r>
          </w:p>
          <w:p w14:paraId="777FE3F7">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 以联合体形式参加政府采购活动，联合体各方均为中小企业的，联合体视同中小企业。其中，联合体各方均为小微企业的，联合体视同小微企业。</w:t>
            </w:r>
          </w:p>
          <w:p w14:paraId="137C86C9">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（2）根据财政部、工业和信息化部《政府采购促进中小企业发展管理办法》（财库﹝2020﹞46 号）的规定，如本采购项目或本采购包非专门面向中小企业采购，供应商所提供的货物全部由小微企业制造的，对其报价给予</w:t>
            </w:r>
            <w:r>
              <w:rPr>
                <w:rFonts w:hint="eastAsia" w:ascii="宋体" w:hAnsi="宋体"/>
                <w:color w:val="auto"/>
                <w:kern w:val="10"/>
                <w:sz w:val="24"/>
                <w:szCs w:val="24"/>
                <w:highlight w:val="none"/>
                <w:lang w:val="en-US" w:eastAsia="zh-CN"/>
              </w:rPr>
              <w:t>2</w:t>
            </w:r>
            <w:r>
              <w:rPr>
                <w:rFonts w:hint="eastAsia" w:ascii="宋体" w:hAnsi="宋体" w:eastAsia="宋体"/>
                <w:color w:val="auto"/>
                <w:kern w:val="10"/>
                <w:sz w:val="24"/>
                <w:szCs w:val="24"/>
                <w:highlight w:val="none"/>
                <w:lang w:eastAsia="zh-CN"/>
              </w:rPr>
              <w:t>0%的扣除，用扣除后的价格参加评审。供应商提供的货物既有中小企业制造货物，也有大型企业制造货物的，不享受价格扣除。</w:t>
            </w:r>
          </w:p>
          <w:p w14:paraId="467656CA">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中小企业参加政府采购活动时，应当出具《中小企业声明函》（本次采购标的对应的中小企业划分标准依据《中小企业划型标准规定》（工信部联企业〔2011〕300 号）），否则不享受相关中小企业扶持政策。</w:t>
            </w:r>
          </w:p>
          <w:p w14:paraId="284C0CB9">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（3）国务院5月31日印发《扎实稳住经济的一揽子政策措施》，加大政府采购支持中小企业力度。将对所投标的小型和微型企业制造的产品的价格给予</w:t>
            </w:r>
            <w:r>
              <w:rPr>
                <w:rFonts w:hint="eastAsia" w:ascii="宋体" w:hAnsi="宋体"/>
                <w:b w:val="0"/>
                <w:bCs w:val="0"/>
                <w:color w:val="auto"/>
                <w:kern w:val="10"/>
                <w:sz w:val="24"/>
                <w:szCs w:val="24"/>
                <w:highlight w:val="none"/>
                <w:lang w:val="en-US" w:eastAsia="zh-CN"/>
              </w:rPr>
              <w:t>20%</w:t>
            </w:r>
            <w:r>
              <w:rPr>
                <w:rFonts w:hint="eastAsia" w:ascii="宋体" w:hAnsi="宋体" w:eastAsia="宋体"/>
                <w:color w:val="auto"/>
                <w:kern w:val="10"/>
                <w:sz w:val="24"/>
                <w:szCs w:val="24"/>
                <w:highlight w:val="none"/>
                <w:lang w:eastAsia="zh-CN"/>
              </w:rPr>
              <w:t>的扣除，用扣除后的价格参与评审。</w:t>
            </w:r>
          </w:p>
          <w:p w14:paraId="7028F4AE">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（4）根据财政部司法部《关于政府采购支持监狱企业发展有关问题的通知》（财库〔2014〕68号）规定，监狱企业视同小型、微型企业，享受评审中价格扣除等政府采购促进中小企业发展的政府采购政策。</w:t>
            </w:r>
          </w:p>
          <w:p w14:paraId="0A99379D">
            <w:pPr>
              <w:pageBreakBefore w:val="0"/>
              <w:kinsoku/>
              <w:wordWrap w:val="0"/>
              <w:overflowPunct/>
              <w:bidi w:val="0"/>
              <w:adjustRightInd w:val="0"/>
              <w:snapToGrid w:val="0"/>
              <w:spacing w:beforeAutospacing="0" w:afterAutospacing="0" w:line="360" w:lineRule="auto"/>
              <w:ind w:left="0" w:leftChars="0" w:right="0" w:rightChars="0"/>
              <w:rPr>
                <w:rFonts w:ascii="宋体" w:hAnsi="宋体" w:eastAsia="宋体"/>
                <w:color w:val="auto"/>
                <w:kern w:val="10"/>
                <w:sz w:val="24"/>
                <w:szCs w:val="24"/>
                <w:highlight w:val="none"/>
                <w:lang w:eastAsia="zh-CN"/>
              </w:rPr>
            </w:pPr>
            <w:r>
              <w:rPr>
                <w:rFonts w:hint="eastAsia" w:ascii="宋体" w:hAnsi="宋体" w:eastAsia="宋体"/>
                <w:color w:val="auto"/>
                <w:kern w:val="10"/>
                <w:sz w:val="24"/>
                <w:szCs w:val="24"/>
                <w:highlight w:val="none"/>
                <w:lang w:eastAsia="zh-CN"/>
              </w:rPr>
              <w:t>（5）根据财政部民政部中国残疾人联合会《关于促进残疾人就业政府采购政策的通知》（财库〔2017〕141号）规定，残疾人福利性单位视同小型、微型企业，享受评审中价格扣除等政府采购促进中小企业发展的政府采购政策。</w:t>
            </w:r>
          </w:p>
          <w:p w14:paraId="60D0B8F8">
            <w:pPr>
              <w:pageBreakBefore w:val="0"/>
              <w:kinsoku/>
              <w:overflowPunct/>
              <w:bidi w:val="0"/>
              <w:adjustRightInd w:val="0"/>
              <w:snapToGrid w:val="0"/>
              <w:spacing w:beforeAutospacing="0" w:afterAutospacing="0" w:line="360" w:lineRule="auto"/>
              <w:ind w:left="0" w:leftChars="0" w:right="0" w:rightChars="0"/>
              <w:rPr>
                <w:rFonts w:hint="eastAsia" w:ascii="宋体" w:hAnsi="宋体" w:cs="Courier New"/>
                <w:color w:val="auto"/>
                <w:kern w:val="0"/>
                <w:sz w:val="24"/>
                <w:szCs w:val="24"/>
                <w:highlight w:val="none"/>
              </w:rPr>
            </w:pPr>
            <w:r>
              <w:rPr>
                <w:rFonts w:hint="eastAsia" w:ascii="宋体" w:hAnsi="宋体" w:eastAsia="宋体"/>
                <w:color w:val="auto"/>
                <w:kern w:val="10"/>
                <w:sz w:val="24"/>
                <w:szCs w:val="24"/>
                <w:highlight w:val="none"/>
                <w:lang w:eastAsia="zh-CN"/>
              </w:rPr>
              <w:t>（6）同一供应商（包括联合体），中小微企业产品、监狱企业产品、残疾人福利性单位产品价格扣除优惠只享受一次，不得重复享受。</w:t>
            </w:r>
          </w:p>
        </w:tc>
      </w:tr>
      <w:tr w14:paraId="4C32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14:paraId="55F28C79">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w:t>
            </w:r>
          </w:p>
        </w:tc>
        <w:tc>
          <w:tcPr>
            <w:tcW w:w="1946" w:type="dxa"/>
            <w:vAlign w:val="center"/>
          </w:tcPr>
          <w:p w14:paraId="0600FE93">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Courier New"/>
                <w:color w:val="auto"/>
                <w:kern w:val="0"/>
                <w:sz w:val="24"/>
                <w:szCs w:val="24"/>
                <w:highlight w:val="none"/>
                <w:lang w:val="en-US" w:eastAsia="zh-CN"/>
              </w:rPr>
            </w:pPr>
            <w:r>
              <w:rPr>
                <w:rFonts w:hint="eastAsia" w:ascii="宋体" w:hAnsi="宋体" w:cs="Courier New"/>
                <w:color w:val="auto"/>
                <w:kern w:val="0"/>
                <w:sz w:val="24"/>
                <w:szCs w:val="24"/>
                <w:highlight w:val="none"/>
                <w:lang w:val="en-US" w:eastAsia="zh-CN"/>
              </w:rPr>
              <w:t>说明</w:t>
            </w:r>
          </w:p>
        </w:tc>
        <w:tc>
          <w:tcPr>
            <w:tcW w:w="6596" w:type="dxa"/>
            <w:vAlign w:val="center"/>
          </w:tcPr>
          <w:p w14:paraId="1AA2E616">
            <w:pPr>
              <w:pageBreakBefore w:val="0"/>
              <w:numPr>
                <w:ilvl w:val="0"/>
                <w:numId w:val="1"/>
              </w:numPr>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招标文件其他部分内容与投标人须知前附表不一致的部分，以投标人须知前附表为准</w:t>
            </w:r>
            <w:r>
              <w:rPr>
                <w:rFonts w:hint="eastAsia" w:ascii="宋体" w:hAnsi="宋体" w:cs="宋体"/>
                <w:bCs/>
                <w:color w:val="auto"/>
                <w:sz w:val="24"/>
                <w:szCs w:val="24"/>
                <w:highlight w:val="none"/>
                <w:lang w:eastAsia="zh-CN"/>
              </w:rPr>
              <w:t>。</w:t>
            </w:r>
          </w:p>
          <w:p w14:paraId="0D953092">
            <w:pPr>
              <w:pageBreakBefore w:val="0"/>
              <w:numPr>
                <w:ilvl w:val="0"/>
                <w:numId w:val="0"/>
              </w:numPr>
              <w:kinsoku/>
              <w:overflowPunct/>
              <w:bidi w:val="0"/>
              <w:adjustRightInd w:val="0"/>
              <w:snapToGrid w:val="0"/>
              <w:spacing w:beforeAutospacing="0" w:afterAutospacing="0" w:line="360" w:lineRule="auto"/>
              <w:ind w:left="0" w:leftChars="0" w:right="0" w:rightChars="0"/>
              <w:rPr>
                <w:rFonts w:ascii="宋体" w:hAnsi="宋体" w:cs="宋体"/>
                <w:bCs/>
                <w:color w:val="auto"/>
                <w:sz w:val="24"/>
                <w:szCs w:val="24"/>
                <w:highlight w:val="none"/>
              </w:rPr>
            </w:pPr>
            <w:r>
              <w:rPr>
                <w:rFonts w:hint="eastAsia" w:ascii="宋体" w:hAnsi="宋体" w:cs="宋体"/>
                <w:bCs/>
                <w:color w:val="auto"/>
                <w:sz w:val="24"/>
                <w:szCs w:val="24"/>
                <w:highlight w:val="none"/>
              </w:rPr>
              <w:t>2.招标文件最终解释权归招标人。</w:t>
            </w:r>
          </w:p>
          <w:p w14:paraId="4672E50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rPr>
              <w:t>3.评标时，若出现招标文件无明确说明和处理的情况时，由评标委员会讨论确定处理方案；评标委员会成员之间对处理方案有争议时，采取少数服从多数的投票方式确定。</w:t>
            </w:r>
          </w:p>
        </w:tc>
      </w:tr>
      <w:tr w14:paraId="2652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Align w:val="center"/>
          </w:tcPr>
          <w:p w14:paraId="73E05F0C">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p>
        </w:tc>
        <w:tc>
          <w:tcPr>
            <w:tcW w:w="1946" w:type="dxa"/>
            <w:vAlign w:val="center"/>
          </w:tcPr>
          <w:p w14:paraId="74D1226F">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cs="Courier New"/>
                <w:color w:val="auto"/>
                <w:kern w:val="0"/>
                <w:sz w:val="24"/>
                <w:szCs w:val="24"/>
                <w:highlight w:val="none"/>
                <w:lang w:val="en-US" w:eastAsia="zh-CN"/>
              </w:rPr>
            </w:pPr>
            <w:r>
              <w:rPr>
                <w:rFonts w:hint="eastAsia" w:ascii="宋体" w:hAnsi="宋体" w:cs="Courier New"/>
                <w:color w:val="auto"/>
                <w:kern w:val="0"/>
                <w:sz w:val="24"/>
                <w:szCs w:val="24"/>
                <w:highlight w:val="none"/>
                <w:lang w:val="en-US" w:eastAsia="zh-CN"/>
              </w:rPr>
              <w:t>行业分类</w:t>
            </w:r>
          </w:p>
        </w:tc>
        <w:tc>
          <w:tcPr>
            <w:tcW w:w="6596" w:type="dxa"/>
            <w:vAlign w:val="center"/>
          </w:tcPr>
          <w:p w14:paraId="7A61FEA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eastAsia="zh-CN"/>
              </w:rPr>
              <w:t>一标段所属行业为</w:t>
            </w:r>
            <w:r>
              <w:rPr>
                <w:rFonts w:hint="eastAsia" w:ascii="宋体" w:hAnsi="宋体" w:cs="宋体"/>
                <w:bCs/>
                <w:color w:val="auto"/>
                <w:sz w:val="24"/>
                <w:szCs w:val="24"/>
                <w:highlight w:val="none"/>
                <w:lang w:val="en-US" w:eastAsia="zh-CN"/>
              </w:rPr>
              <w:t>工业</w:t>
            </w:r>
          </w:p>
          <w:p w14:paraId="51566F84">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lang w:eastAsia="zh-CN"/>
              </w:rPr>
              <w:t>标段所属行业为</w:t>
            </w:r>
            <w:r>
              <w:rPr>
                <w:rFonts w:hint="eastAsia" w:ascii="宋体" w:hAnsi="宋体" w:cs="宋体"/>
                <w:bCs/>
                <w:color w:val="auto"/>
                <w:sz w:val="24"/>
                <w:szCs w:val="24"/>
                <w:highlight w:val="none"/>
                <w:lang w:val="en-US" w:eastAsia="zh-CN"/>
              </w:rPr>
              <w:t>工业</w:t>
            </w:r>
          </w:p>
        </w:tc>
      </w:tr>
    </w:tbl>
    <w:p w14:paraId="3467E306">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26EC8BA5">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21" w:name="_Toc374376334"/>
      <w:bookmarkStart w:id="22" w:name="_Toc29886"/>
      <w:bookmarkStart w:id="23" w:name="_Toc247965800"/>
      <w:bookmarkStart w:id="24" w:name="_Toc375647566"/>
      <w:bookmarkStart w:id="25" w:name="_Toc257107753"/>
      <w:r>
        <w:rPr>
          <w:rFonts w:hint="eastAsia" w:ascii="宋体" w:hAnsi="宋体" w:cs="宋体"/>
          <w:b/>
          <w:color w:val="auto"/>
          <w:sz w:val="24"/>
          <w:szCs w:val="24"/>
          <w:highlight w:val="none"/>
        </w:rPr>
        <w:t>1.总则</w:t>
      </w:r>
      <w:bookmarkEnd w:id="21"/>
      <w:bookmarkEnd w:id="22"/>
      <w:bookmarkEnd w:id="23"/>
      <w:bookmarkEnd w:id="24"/>
      <w:bookmarkEnd w:id="25"/>
    </w:p>
    <w:p w14:paraId="2EA7F1D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26" w:name="_Toc375647567"/>
      <w:r>
        <w:rPr>
          <w:rFonts w:hint="eastAsia" w:ascii="宋体" w:hAnsi="宋体" w:cs="宋体"/>
          <w:b/>
          <w:color w:val="auto"/>
          <w:sz w:val="24"/>
          <w:szCs w:val="24"/>
          <w:highlight w:val="none"/>
        </w:rPr>
        <w:t>1.1 项目概况</w:t>
      </w:r>
      <w:bookmarkEnd w:id="26"/>
    </w:p>
    <w:p w14:paraId="4FDB2A7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 根据《中华人民共和国政府采购法》、《中华人民共和国政府采购法实施条例》等有关法律、法规和规章的规定，本招标项目已具备招标条件，现对本项目进行公开招标。</w:t>
      </w:r>
    </w:p>
    <w:p w14:paraId="38119A2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 招标人：见投标人须知前附表。</w:t>
      </w:r>
    </w:p>
    <w:p w14:paraId="391CEDA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 招标代理机构：见投标人须知前附表。</w:t>
      </w:r>
    </w:p>
    <w:p w14:paraId="51ADC9C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 项目名称：见投标人须知前附表。</w:t>
      </w:r>
    </w:p>
    <w:p w14:paraId="37BDC4C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 实施地点：见投标人须知前附表。</w:t>
      </w:r>
    </w:p>
    <w:p w14:paraId="2A233520">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27" w:name="_Toc375647568"/>
      <w:r>
        <w:rPr>
          <w:rFonts w:hint="eastAsia" w:ascii="宋体" w:hAnsi="宋体" w:cs="宋体"/>
          <w:b/>
          <w:color w:val="auto"/>
          <w:sz w:val="24"/>
          <w:szCs w:val="24"/>
          <w:highlight w:val="none"/>
        </w:rPr>
        <w:t>1.2 资金来源</w:t>
      </w:r>
      <w:bookmarkEnd w:id="27"/>
    </w:p>
    <w:p w14:paraId="5CD69DA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本招标项目的资金来源：见投标人须知前附表。</w:t>
      </w:r>
    </w:p>
    <w:p w14:paraId="16F5D1D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b/>
          <w:color w:val="auto"/>
          <w:sz w:val="24"/>
          <w:szCs w:val="24"/>
          <w:highlight w:val="none"/>
        </w:rPr>
      </w:pPr>
      <w:bookmarkStart w:id="28" w:name="_Toc375647569"/>
      <w:r>
        <w:rPr>
          <w:rFonts w:hint="eastAsia" w:ascii="宋体" w:hAnsi="宋体" w:cs="宋体"/>
          <w:b/>
          <w:color w:val="auto"/>
          <w:sz w:val="24"/>
          <w:szCs w:val="24"/>
          <w:highlight w:val="none"/>
        </w:rPr>
        <w:t>1.3 招标内容、交货期、质量要求</w:t>
      </w:r>
      <w:bookmarkEnd w:id="28"/>
      <w:r>
        <w:rPr>
          <w:rFonts w:hint="eastAsia" w:ascii="宋体" w:hAnsi="宋体" w:cs="宋体"/>
          <w:b/>
          <w:color w:val="auto"/>
          <w:sz w:val="24"/>
          <w:szCs w:val="24"/>
          <w:highlight w:val="none"/>
        </w:rPr>
        <w:t>和质保期</w:t>
      </w:r>
    </w:p>
    <w:p w14:paraId="04A5B95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本次招标内容：见投标人须知前附表。</w:t>
      </w:r>
    </w:p>
    <w:p w14:paraId="51B714C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本次招标的交货期：见投标人须知前附表。</w:t>
      </w:r>
    </w:p>
    <w:p w14:paraId="7E2533A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本次招标的质量要求：见投标人须知前附表。</w:t>
      </w:r>
    </w:p>
    <w:p w14:paraId="347FC83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 本次招标的质保期：见投标人须知前附表。</w:t>
      </w:r>
    </w:p>
    <w:p w14:paraId="7CA03A27">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29" w:name="_Toc375647570"/>
      <w:r>
        <w:rPr>
          <w:rFonts w:hint="eastAsia" w:ascii="宋体" w:hAnsi="宋体" w:cs="宋体"/>
          <w:b/>
          <w:color w:val="auto"/>
          <w:sz w:val="24"/>
          <w:szCs w:val="24"/>
          <w:highlight w:val="none"/>
        </w:rPr>
        <w:t>1.4 投标人资格要求</w:t>
      </w:r>
      <w:bookmarkEnd w:id="29"/>
    </w:p>
    <w:p w14:paraId="6EFA00B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30" w:name="_Toc375647571"/>
      <w:r>
        <w:rPr>
          <w:rFonts w:hint="eastAsia" w:ascii="宋体" w:hAnsi="宋体" w:cs="宋体"/>
          <w:color w:val="auto"/>
          <w:sz w:val="24"/>
          <w:szCs w:val="24"/>
          <w:highlight w:val="none"/>
        </w:rPr>
        <w:t>1.4.1 投标人应具备承担本招标项目的资质条件，具体要求见投标人须知前附表；</w:t>
      </w:r>
    </w:p>
    <w:p w14:paraId="38011B6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 本项目不接受联合体投标。</w:t>
      </w:r>
    </w:p>
    <w:p w14:paraId="5A8B6D8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1.4.3 投标人不得存在下列情形之一：</w:t>
      </w:r>
    </w:p>
    <w:p w14:paraId="15782AD9">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（1）与采购人存在利害关系且可能影响招标公正性；</w:t>
      </w:r>
    </w:p>
    <w:p w14:paraId="118006D4">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（2）与本招标项目的其他供应商为同一个单位负责人；</w:t>
      </w:r>
    </w:p>
    <w:p w14:paraId="20C7271A">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（3）与本招标项目的其他供应商存在控股、管理关系；</w:t>
      </w:r>
    </w:p>
    <w:p w14:paraId="0A6AB7D4">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（4）被依法暂停或者取消投标资格；</w:t>
      </w:r>
    </w:p>
    <w:p w14:paraId="0745B26A">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eastAsia="宋体"/>
          <w:color w:val="auto"/>
          <w:sz w:val="24"/>
          <w:szCs w:val="24"/>
          <w:highlight w:val="none"/>
          <w:lang w:eastAsia="zh-CN"/>
        </w:rPr>
        <w:t>（5）被责令停产停业、暂扣或者吊销许可证、暂扣或者吊销执照；</w:t>
      </w:r>
    </w:p>
    <w:p w14:paraId="70173F3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1.5 费用承担</w:t>
      </w:r>
      <w:bookmarkEnd w:id="30"/>
    </w:p>
    <w:p w14:paraId="45DF1D8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14:paraId="58241AB6">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1" w:name="_Toc375647572"/>
      <w:r>
        <w:rPr>
          <w:rFonts w:hint="eastAsia" w:ascii="宋体" w:hAnsi="宋体" w:cs="宋体"/>
          <w:b/>
          <w:color w:val="auto"/>
          <w:sz w:val="24"/>
          <w:szCs w:val="24"/>
          <w:highlight w:val="none"/>
        </w:rPr>
        <w:t>1.6 保密</w:t>
      </w:r>
      <w:bookmarkEnd w:id="31"/>
    </w:p>
    <w:p w14:paraId="42212A5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参与招标投标活动的各方应对招标文件和投标文件中的商业和技术等秘密保密，违者应对由此造成的后果承担法律责任。</w:t>
      </w:r>
    </w:p>
    <w:p w14:paraId="11061388">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2" w:name="_Toc375647573"/>
      <w:r>
        <w:rPr>
          <w:rFonts w:hint="eastAsia" w:ascii="宋体" w:hAnsi="宋体" w:cs="宋体"/>
          <w:b/>
          <w:color w:val="auto"/>
          <w:sz w:val="24"/>
          <w:szCs w:val="24"/>
          <w:highlight w:val="none"/>
        </w:rPr>
        <w:t>1.7 语言文字</w:t>
      </w:r>
      <w:bookmarkEnd w:id="32"/>
    </w:p>
    <w:p w14:paraId="7EF72D6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除专用术语外，与招标投标有关的语言均使用中文。必要时专用术语应附有中文注释。</w:t>
      </w:r>
    </w:p>
    <w:p w14:paraId="2A5F569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3" w:name="_Toc375647574"/>
      <w:r>
        <w:rPr>
          <w:rFonts w:hint="eastAsia" w:ascii="宋体" w:hAnsi="宋体" w:cs="宋体"/>
          <w:b/>
          <w:color w:val="auto"/>
          <w:sz w:val="24"/>
          <w:szCs w:val="24"/>
          <w:highlight w:val="none"/>
        </w:rPr>
        <w:t>1.8 计量单位</w:t>
      </w:r>
      <w:bookmarkEnd w:id="33"/>
    </w:p>
    <w:p w14:paraId="153AE01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14:paraId="30C57D7E">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4" w:name="_Toc375647575"/>
      <w:r>
        <w:rPr>
          <w:rFonts w:hint="eastAsia" w:ascii="宋体" w:hAnsi="宋体" w:cs="宋体"/>
          <w:b/>
          <w:color w:val="auto"/>
          <w:sz w:val="24"/>
          <w:szCs w:val="24"/>
          <w:highlight w:val="none"/>
        </w:rPr>
        <w:t>1.9 踏勘现场</w:t>
      </w:r>
      <w:bookmarkEnd w:id="34"/>
    </w:p>
    <w:p w14:paraId="3A6424E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35" w:name="_Toc375647576"/>
      <w:r>
        <w:rPr>
          <w:rFonts w:hint="eastAsia" w:ascii="宋体" w:hAnsi="宋体" w:cs="宋体"/>
          <w:color w:val="auto"/>
          <w:sz w:val="24"/>
          <w:szCs w:val="24"/>
          <w:highlight w:val="none"/>
        </w:rPr>
        <w:t>招标人不组织投标人踏勘现场，投标人自行踏勘现场。</w:t>
      </w:r>
    </w:p>
    <w:p w14:paraId="21D071BE">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1.10 投标预备会</w:t>
      </w:r>
      <w:bookmarkEnd w:id="35"/>
    </w:p>
    <w:p w14:paraId="520C2C1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本项目不召开投标预备会。</w:t>
      </w:r>
    </w:p>
    <w:p w14:paraId="0BDEBFF8">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6" w:name="_Toc375647577"/>
      <w:r>
        <w:rPr>
          <w:rFonts w:hint="eastAsia" w:ascii="宋体" w:hAnsi="宋体" w:cs="宋体"/>
          <w:b/>
          <w:color w:val="auto"/>
          <w:sz w:val="24"/>
          <w:szCs w:val="24"/>
          <w:highlight w:val="none"/>
        </w:rPr>
        <w:t>1.11 分包</w:t>
      </w:r>
      <w:bookmarkEnd w:id="36"/>
      <w:r>
        <w:rPr>
          <w:rFonts w:hint="eastAsia" w:ascii="宋体" w:hAnsi="宋体" w:cs="宋体"/>
          <w:b/>
          <w:color w:val="auto"/>
          <w:sz w:val="24"/>
          <w:szCs w:val="24"/>
          <w:highlight w:val="none"/>
        </w:rPr>
        <w:t>或转包</w:t>
      </w:r>
    </w:p>
    <w:p w14:paraId="391BA6C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本项目不允许分包或转包。</w:t>
      </w:r>
    </w:p>
    <w:p w14:paraId="64337894">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37" w:name="_Toc375647578"/>
      <w:r>
        <w:rPr>
          <w:rFonts w:hint="eastAsia" w:ascii="宋体" w:hAnsi="宋体" w:cs="宋体"/>
          <w:b/>
          <w:color w:val="auto"/>
          <w:sz w:val="24"/>
          <w:szCs w:val="24"/>
          <w:highlight w:val="none"/>
        </w:rPr>
        <w:t>1.12 偏离</w:t>
      </w:r>
      <w:bookmarkEnd w:id="37"/>
    </w:p>
    <w:p w14:paraId="4CB263B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允许优于招标文件的正偏离。</w:t>
      </w:r>
    </w:p>
    <w:p w14:paraId="0D3C9454">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38" w:name="_Toc247965801"/>
      <w:bookmarkStart w:id="39" w:name="_Toc374376335"/>
      <w:bookmarkStart w:id="40" w:name="_Toc257107754"/>
      <w:bookmarkStart w:id="41" w:name="_Toc2714"/>
      <w:bookmarkStart w:id="42" w:name="_Toc375647579"/>
      <w:r>
        <w:rPr>
          <w:rFonts w:hint="eastAsia" w:ascii="宋体" w:hAnsi="宋体" w:cs="宋体"/>
          <w:b/>
          <w:color w:val="auto"/>
          <w:sz w:val="24"/>
          <w:szCs w:val="24"/>
          <w:highlight w:val="none"/>
        </w:rPr>
        <w:t>2.招标文件</w:t>
      </w:r>
      <w:bookmarkEnd w:id="38"/>
      <w:bookmarkEnd w:id="39"/>
      <w:bookmarkEnd w:id="40"/>
      <w:bookmarkEnd w:id="41"/>
      <w:bookmarkEnd w:id="42"/>
    </w:p>
    <w:p w14:paraId="18600E80">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43" w:name="_Toc375647580"/>
      <w:r>
        <w:rPr>
          <w:rFonts w:hint="eastAsia" w:ascii="宋体" w:hAnsi="宋体" w:cs="宋体"/>
          <w:b/>
          <w:color w:val="auto"/>
          <w:sz w:val="24"/>
          <w:szCs w:val="24"/>
          <w:highlight w:val="none"/>
        </w:rPr>
        <w:t>2.1 招标文件的组成</w:t>
      </w:r>
      <w:bookmarkEnd w:id="43"/>
    </w:p>
    <w:p w14:paraId="54ABC6C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本招标文件包括：</w:t>
      </w:r>
    </w:p>
    <w:p w14:paraId="001C565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（1）招标公告； </w:t>
      </w:r>
    </w:p>
    <w:p w14:paraId="4BB5B22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（2）投标人须知；</w:t>
      </w:r>
    </w:p>
    <w:p w14:paraId="36DB430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（3）评标办法；</w:t>
      </w:r>
    </w:p>
    <w:p w14:paraId="119D4F6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（4）合同主要条款及格式；</w:t>
      </w:r>
    </w:p>
    <w:p w14:paraId="41B75E8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（5）招标内容及技术要求；</w:t>
      </w:r>
    </w:p>
    <w:p w14:paraId="6A85084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（6）投标文件格式；</w:t>
      </w:r>
    </w:p>
    <w:p w14:paraId="44268CC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根据本章第2.2款和第2.3款对招标文件所作的澄清、修改，构成招标文件的组成部分。</w:t>
      </w:r>
    </w:p>
    <w:p w14:paraId="32FC9E46">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44" w:name="_Toc375647581"/>
      <w:r>
        <w:rPr>
          <w:rFonts w:hint="eastAsia" w:ascii="宋体" w:hAnsi="宋体" w:cs="宋体"/>
          <w:b/>
          <w:color w:val="auto"/>
          <w:sz w:val="24"/>
          <w:szCs w:val="24"/>
          <w:highlight w:val="none"/>
        </w:rPr>
        <w:t>2.2 招标文件的澄清</w:t>
      </w:r>
      <w:bookmarkEnd w:id="44"/>
    </w:p>
    <w:p w14:paraId="3C5D10A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4"/>
          <w:highlight w:val="none"/>
        </w:rPr>
      </w:pPr>
      <w:bookmarkStart w:id="45" w:name="_Toc375647582"/>
      <w:r>
        <w:rPr>
          <w:rFonts w:hint="eastAsia" w:ascii="宋体" w:hAnsi="宋体" w:cs="MingLiU"/>
          <w:color w:val="auto"/>
          <w:kern w:val="0"/>
          <w:sz w:val="24"/>
          <w:szCs w:val="24"/>
          <w:highlight w:val="none"/>
        </w:rPr>
        <w:t>2.2.1投标人应仔细阅读和检查招标文件的全部内容。如发现缺页或附件不全，应及时向招标人提出，以便补齐。如有疑问，应在投标人须知前附表规定的时间前在三门峡市公共资源交易中心网上一次性提出澄清内容并将相应问题的可编辑word版本和盖章后的扫描件发送至招标代理机构邮箱</w:t>
      </w:r>
      <w:r>
        <w:rPr>
          <w:rFonts w:hint="eastAsia" w:ascii="宋体" w:hAnsi="宋体" w:cs="宋体"/>
          <w:color w:val="auto"/>
          <w:sz w:val="24"/>
          <w:szCs w:val="24"/>
          <w:highlight w:val="none"/>
          <w:lang w:eastAsia="zh-CN"/>
        </w:rPr>
        <w:t>hnkysmx@163.com</w:t>
      </w:r>
      <w:r>
        <w:rPr>
          <w:rFonts w:hint="eastAsia" w:ascii="宋体" w:hAnsi="宋体" w:cs="MingLiU"/>
          <w:color w:val="auto"/>
          <w:kern w:val="0"/>
          <w:sz w:val="24"/>
          <w:szCs w:val="24"/>
          <w:highlight w:val="none"/>
        </w:rPr>
        <w:t>，要求招标人对招标文件予以澄清。</w:t>
      </w:r>
    </w:p>
    <w:p w14:paraId="0EB88D4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highlight w:val="none"/>
        </w:rPr>
      </w:pPr>
      <w:r>
        <w:rPr>
          <w:rFonts w:ascii="宋体" w:hAnsi="宋体"/>
          <w:color w:val="auto"/>
          <w:kern w:val="0"/>
          <w:sz w:val="24"/>
          <w:highlight w:val="none"/>
        </w:rPr>
        <w:t>2.2.2</w:t>
      </w:r>
      <w:r>
        <w:rPr>
          <w:rFonts w:hint="eastAsia" w:ascii="宋体" w:hAnsi="宋体" w:cs="MingLiU"/>
          <w:color w:val="auto"/>
          <w:kern w:val="0"/>
          <w:sz w:val="24"/>
          <w:highlight w:val="none"/>
        </w:rPr>
        <w:t>招标文件的澄清将在投标人须知前附表规定的投标截止时间</w:t>
      </w:r>
      <w:r>
        <w:rPr>
          <w:rFonts w:ascii="宋体" w:hAnsi="宋体" w:cs="MingLiU"/>
          <w:color w:val="auto"/>
          <w:kern w:val="0"/>
          <w:sz w:val="24"/>
          <w:highlight w:val="none"/>
        </w:rPr>
        <w:t>1</w:t>
      </w:r>
      <w:r>
        <w:rPr>
          <w:rFonts w:hint="eastAsia" w:ascii="宋体" w:hAnsi="宋体" w:cs="MingLiU"/>
          <w:color w:val="auto"/>
          <w:kern w:val="0"/>
          <w:sz w:val="24"/>
          <w:highlight w:val="none"/>
        </w:rPr>
        <w:t>5天前澄清内容在三门峡市公共资源交易中心电子招标投标平台上发给购买招标文件的各投标人，但不指明澄清问题的来源。如果澄清内容可能影响投标文件的编制，发出的时间距投标截止时间不足</w:t>
      </w:r>
      <w:r>
        <w:rPr>
          <w:rFonts w:ascii="宋体" w:hAnsi="宋体" w:cs="MingLiU"/>
          <w:color w:val="auto"/>
          <w:kern w:val="0"/>
          <w:sz w:val="24"/>
          <w:highlight w:val="none"/>
        </w:rPr>
        <w:t>1</w:t>
      </w:r>
      <w:r>
        <w:rPr>
          <w:rFonts w:hint="eastAsia" w:ascii="宋体" w:hAnsi="宋体" w:cs="MingLiU"/>
          <w:color w:val="auto"/>
          <w:kern w:val="0"/>
          <w:sz w:val="24"/>
          <w:highlight w:val="none"/>
        </w:rPr>
        <w:t>5天，相应延长投标截止时间。</w:t>
      </w:r>
    </w:p>
    <w:p w14:paraId="206AB74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4"/>
          <w:highlight w:val="none"/>
        </w:rPr>
      </w:pPr>
      <w:r>
        <w:rPr>
          <w:rFonts w:hint="eastAsia" w:ascii="宋体" w:hAnsi="宋体" w:cs="宋体"/>
          <w:color w:val="auto"/>
          <w:sz w:val="24"/>
          <w:szCs w:val="24"/>
          <w:highlight w:val="none"/>
        </w:rPr>
        <w:t>2.2.3投标人在投标截止时间前须自行查看项目进展、澄清及回复，因投标人未及时查看而造成的后果自负。</w:t>
      </w:r>
    </w:p>
    <w:p w14:paraId="089906C3">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2.3 招标文件的修改</w:t>
      </w:r>
      <w:bookmarkEnd w:id="45"/>
    </w:p>
    <w:p w14:paraId="34BB72C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highlight w:val="none"/>
        </w:rPr>
      </w:pPr>
      <w:r>
        <w:rPr>
          <w:rFonts w:hint="eastAsia" w:ascii="宋体" w:hAnsi="宋体" w:cs="宋体"/>
          <w:color w:val="auto"/>
          <w:kern w:val="0"/>
          <w:sz w:val="24"/>
          <w:highlight w:val="none"/>
        </w:rPr>
        <w:t>2.3.1</w:t>
      </w:r>
      <w:r>
        <w:rPr>
          <w:rFonts w:hint="eastAsia" w:ascii="宋体" w:hAnsi="宋体" w:cs="MingLiU"/>
          <w:color w:val="auto"/>
          <w:kern w:val="0"/>
          <w:sz w:val="24"/>
          <w:highlight w:val="none"/>
        </w:rPr>
        <w:t>在投标截止时间</w:t>
      </w:r>
      <w:r>
        <w:rPr>
          <w:rFonts w:ascii="宋体" w:hAnsi="宋体"/>
          <w:color w:val="auto"/>
          <w:kern w:val="0"/>
          <w:sz w:val="24"/>
          <w:highlight w:val="none"/>
        </w:rPr>
        <w:t>15</w:t>
      </w:r>
      <w:r>
        <w:rPr>
          <w:rFonts w:hint="eastAsia" w:ascii="宋体" w:hAnsi="宋体" w:cs="MingLiU"/>
          <w:color w:val="auto"/>
          <w:kern w:val="0"/>
          <w:sz w:val="24"/>
          <w:highlight w:val="none"/>
        </w:rPr>
        <w:t>天前，招标人将修改内容在三门峡市公共资源交易中心电子招标投标平台上发给购买招标文件的各投标人，如果修改招标文件的内容可能影响投标文件的编制，修改时间距投标截止时间不足</w:t>
      </w:r>
      <w:r>
        <w:rPr>
          <w:rFonts w:ascii="宋体" w:hAnsi="宋体"/>
          <w:color w:val="auto"/>
          <w:kern w:val="0"/>
          <w:sz w:val="24"/>
          <w:highlight w:val="none"/>
        </w:rPr>
        <w:t xml:space="preserve"> </w:t>
      </w:r>
      <w:r>
        <w:rPr>
          <w:rFonts w:hint="eastAsia" w:ascii="宋体" w:hAnsi="宋体"/>
          <w:color w:val="auto"/>
          <w:kern w:val="0"/>
          <w:sz w:val="24"/>
          <w:highlight w:val="none"/>
        </w:rPr>
        <w:t>15</w:t>
      </w:r>
      <w:r>
        <w:rPr>
          <w:rFonts w:hint="eastAsia" w:ascii="宋体" w:hAnsi="宋体" w:cs="MingLiU"/>
          <w:color w:val="auto"/>
          <w:kern w:val="0"/>
          <w:sz w:val="24"/>
          <w:highlight w:val="none"/>
        </w:rPr>
        <w:t>天，相应延长投标截止时间。</w:t>
      </w:r>
    </w:p>
    <w:p w14:paraId="66A22E6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2.3.2投标人在投标截止时间前须自行查看项目进展、修改及变更通知等，因投标人未及时查看而造成的后果自负。</w:t>
      </w:r>
    </w:p>
    <w:p w14:paraId="492C0230">
      <w:pPr>
        <w:pageBreakBefore w:val="0"/>
        <w:widowControl/>
        <w:tabs>
          <w:tab w:val="left" w:pos="170"/>
        </w:tabs>
        <w:kinsoku/>
        <w:overflowPunct/>
        <w:bidi w:val="0"/>
        <w:adjustRightInd w:val="0"/>
        <w:snapToGrid w:val="0"/>
        <w:spacing w:beforeAutospacing="0" w:afterAutospacing="0" w:line="360" w:lineRule="auto"/>
        <w:ind w:left="0" w:leftChars="0" w:right="0" w:rightChars="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2.4招标文件的异议</w:t>
      </w:r>
    </w:p>
    <w:p w14:paraId="4528B1B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4"/>
          <w:highlight w:val="none"/>
        </w:rPr>
      </w:pPr>
      <w:r>
        <w:rPr>
          <w:rFonts w:hint="eastAsia" w:ascii="宋体" w:hAnsi="宋体" w:cs="宋体"/>
          <w:color w:val="auto"/>
          <w:sz w:val="24"/>
          <w:szCs w:val="24"/>
          <w:highlight w:val="none"/>
        </w:rPr>
        <w:t>投标人或者其他利害关系人对招标文件有异议的，</w:t>
      </w:r>
      <w:r>
        <w:rPr>
          <w:rFonts w:hint="eastAsia" w:ascii="宋体" w:hAnsi="宋体" w:cs="MingLiU"/>
          <w:color w:val="auto"/>
          <w:kern w:val="0"/>
          <w:sz w:val="24"/>
          <w:szCs w:val="24"/>
          <w:highlight w:val="none"/>
        </w:rPr>
        <w:t>应在投标人须知前附表规定的时间前在三门峡市公共资源交易中心网上一次性提出异议内容并将相应问题的可编辑word版本和盖章后的扫描件发送至招标代理机构邮箱，</w:t>
      </w:r>
      <w:r>
        <w:rPr>
          <w:rFonts w:hint="eastAsia" w:ascii="宋体" w:hAnsi="宋体" w:cs="宋体"/>
          <w:color w:val="auto"/>
          <w:sz w:val="24"/>
          <w:szCs w:val="24"/>
          <w:highlight w:val="none"/>
        </w:rPr>
        <w:t>招标人将在收到异议之日起 3 日内作出答复；作出答复前，将暂停招标投标活动。在规定时间内，若投标人未提出异议的，则视同投标人理解并认可招标文件，招标人将不再接收涉及招标文件的异议。</w:t>
      </w:r>
    </w:p>
    <w:p w14:paraId="3CFF078F">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46" w:name="_Toc257107755"/>
      <w:bookmarkStart w:id="47" w:name="_Toc247965802"/>
      <w:bookmarkStart w:id="48" w:name="_Toc375647584"/>
      <w:bookmarkStart w:id="49" w:name="_Toc3870"/>
      <w:bookmarkStart w:id="50" w:name="_Toc374376336"/>
      <w:r>
        <w:rPr>
          <w:rFonts w:hint="eastAsia" w:ascii="宋体" w:hAnsi="宋体" w:cs="宋体"/>
          <w:b/>
          <w:color w:val="auto"/>
          <w:sz w:val="24"/>
          <w:szCs w:val="24"/>
          <w:highlight w:val="none"/>
        </w:rPr>
        <w:t>3.投标文件</w:t>
      </w:r>
      <w:bookmarkEnd w:id="46"/>
      <w:bookmarkEnd w:id="47"/>
      <w:bookmarkEnd w:id="48"/>
      <w:bookmarkEnd w:id="49"/>
      <w:bookmarkEnd w:id="50"/>
    </w:p>
    <w:p w14:paraId="32845611">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1" w:name="_Toc375647585"/>
      <w:r>
        <w:rPr>
          <w:rFonts w:hint="eastAsia" w:ascii="宋体" w:hAnsi="宋体" w:cs="宋体"/>
          <w:b/>
          <w:color w:val="auto"/>
          <w:sz w:val="24"/>
          <w:szCs w:val="24"/>
          <w:highlight w:val="none"/>
        </w:rPr>
        <w:t>3.1 投标文件的组成</w:t>
      </w:r>
      <w:bookmarkEnd w:id="51"/>
    </w:p>
    <w:p w14:paraId="14FEF5F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3.1.1 投标文件应包括内容</w:t>
      </w:r>
      <w:r>
        <w:rPr>
          <w:rFonts w:hint="eastAsia" w:ascii="宋体" w:hAnsi="宋体" w:cs="宋体"/>
          <w:color w:val="auto"/>
          <w:sz w:val="24"/>
          <w:szCs w:val="24"/>
          <w:highlight w:val="none"/>
          <w:lang w:val="en-US" w:eastAsia="zh-CN"/>
        </w:rPr>
        <w:t>详见第六章  投标文件格式</w:t>
      </w:r>
    </w:p>
    <w:p w14:paraId="0E478960">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2" w:name="_Toc375647586"/>
      <w:r>
        <w:rPr>
          <w:rFonts w:hint="eastAsia" w:ascii="宋体" w:hAnsi="宋体" w:cs="宋体"/>
          <w:b/>
          <w:color w:val="auto"/>
          <w:sz w:val="24"/>
          <w:szCs w:val="24"/>
          <w:highlight w:val="none"/>
        </w:rPr>
        <w:t>3.2 投标报价</w:t>
      </w:r>
      <w:bookmarkEnd w:id="52"/>
    </w:p>
    <w:p w14:paraId="0B56CB8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53" w:name="_Toc375647587"/>
      <w:r>
        <w:rPr>
          <w:rFonts w:hint="eastAsia" w:ascii="宋体" w:hAnsi="宋体" w:cs="宋体"/>
          <w:color w:val="auto"/>
          <w:sz w:val="24"/>
          <w:szCs w:val="24"/>
          <w:highlight w:val="none"/>
        </w:rPr>
        <w:t>3.2.1投标人应按第六章“投标文件格式”的相关要求认真编制，填写相应表格。</w:t>
      </w:r>
    </w:p>
    <w:p w14:paraId="63194C9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3.2.2投标人可以在投标截止时间前修改投标函中的投标报价。此修改须符合本章第4.2款的有关要求。</w:t>
      </w:r>
    </w:p>
    <w:p w14:paraId="4DFAC41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3.2.3投标价格包含材料的运输、卸装、加工、制作、安装、基础部分的施工、税金等与此项目相关的所有费用。</w:t>
      </w:r>
    </w:p>
    <w:p w14:paraId="7DDF304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3.2.4本项目的招标控制价见投标人须知前附表</w:t>
      </w:r>
      <w:r>
        <w:rPr>
          <w:rFonts w:hint="eastAsia" w:ascii="宋体" w:hAnsi="宋体" w:cs="宋体"/>
          <w:b/>
          <w:bCs/>
          <w:color w:val="auto"/>
          <w:sz w:val="24"/>
          <w:szCs w:val="24"/>
          <w:highlight w:val="none"/>
        </w:rPr>
        <w:t>。</w:t>
      </w:r>
    </w:p>
    <w:p w14:paraId="409F346D">
      <w:pPr>
        <w:pageBreakBefore w:val="0"/>
        <w:kinsoku/>
        <w:overflowPunct/>
        <w:bidi w:val="0"/>
        <w:adjustRightInd w:val="0"/>
        <w:snapToGrid w:val="0"/>
        <w:spacing w:beforeAutospacing="0" w:afterAutospacing="0" w:line="360" w:lineRule="auto"/>
        <w:ind w:left="0" w:leftChars="0" w:right="0" w:rightChars="0"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3.3 投标有效期</w:t>
      </w:r>
      <w:bookmarkEnd w:id="53"/>
    </w:p>
    <w:p w14:paraId="35800AB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3.3.1 </w:t>
      </w:r>
      <w:r>
        <w:rPr>
          <w:rFonts w:hint="eastAsia" w:ascii="宋体" w:hAnsi="宋体" w:cs="宋体"/>
          <w:color w:val="auto"/>
          <w:spacing w:val="-6"/>
          <w:sz w:val="24"/>
          <w:szCs w:val="24"/>
          <w:highlight w:val="none"/>
        </w:rPr>
        <w:t>在投标人须知前附表规定的投标有效期内，投标人不得要求撤销或修改其投标文件</w:t>
      </w:r>
      <w:r>
        <w:rPr>
          <w:rFonts w:hint="eastAsia" w:ascii="宋体" w:hAnsi="宋体" w:cs="宋体"/>
          <w:color w:val="auto"/>
          <w:sz w:val="24"/>
          <w:szCs w:val="24"/>
          <w:highlight w:val="none"/>
        </w:rPr>
        <w:t>。</w:t>
      </w:r>
    </w:p>
    <w:p w14:paraId="2D72B5B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3E1F817">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4" w:name="_Toc375647588"/>
      <w:r>
        <w:rPr>
          <w:rFonts w:hint="eastAsia" w:ascii="宋体" w:hAnsi="宋体" w:cs="宋体"/>
          <w:b/>
          <w:color w:val="auto"/>
          <w:sz w:val="24"/>
          <w:szCs w:val="24"/>
          <w:highlight w:val="none"/>
        </w:rPr>
        <w:t>3.4 投标保证金</w:t>
      </w:r>
      <w:bookmarkEnd w:id="54"/>
    </w:p>
    <w:p w14:paraId="154F5ED8">
      <w:pPr>
        <w:pageBreakBefore w:val="0"/>
        <w:kinsoku/>
        <w:wordWrap w:val="0"/>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3.4.1 </w:t>
      </w:r>
      <w:r>
        <w:rPr>
          <w:rFonts w:hint="eastAsia" w:ascii="宋体" w:hAnsi="宋体" w:eastAsia="宋体"/>
          <w:color w:val="auto"/>
          <w:sz w:val="24"/>
          <w:szCs w:val="24"/>
          <w:highlight w:val="none"/>
          <w:lang w:eastAsia="zh-CN"/>
        </w:rPr>
        <w:t>.根据《河南省财政厅关于优化政府采购营商环境有关问题的通知》（豫财购【2019】4号）第6条的规定，投标保证金不再收取。</w:t>
      </w:r>
    </w:p>
    <w:p w14:paraId="07133EAB">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5" w:name="_Toc375647589"/>
      <w:r>
        <w:rPr>
          <w:rFonts w:hint="eastAsia" w:ascii="宋体" w:hAnsi="宋体" w:cs="宋体"/>
          <w:b/>
          <w:color w:val="auto"/>
          <w:sz w:val="24"/>
          <w:szCs w:val="24"/>
          <w:highlight w:val="none"/>
        </w:rPr>
        <w:t>3.5 资格审查资料</w:t>
      </w:r>
      <w:bookmarkEnd w:id="55"/>
    </w:p>
    <w:p w14:paraId="4CA3DB6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0"/>
          <w:highlight w:val="none"/>
        </w:rPr>
      </w:pPr>
      <w:bookmarkStart w:id="56" w:name="_Toc375647590"/>
      <w:r>
        <w:rPr>
          <w:rFonts w:hint="eastAsia" w:ascii="宋体" w:hAnsi="宋体"/>
          <w:color w:val="auto"/>
          <w:sz w:val="24"/>
          <w:szCs w:val="24"/>
          <w:highlight w:val="none"/>
        </w:rPr>
        <w:t>3.5.1提供</w:t>
      </w:r>
      <w:r>
        <w:rPr>
          <w:rFonts w:hint="eastAsia" w:ascii="宋体" w:hAnsi="宋体" w:cs="宋体"/>
          <w:color w:val="auto"/>
          <w:sz w:val="24"/>
          <w:szCs w:val="20"/>
          <w:highlight w:val="none"/>
        </w:rPr>
        <w:t>符合招标文件要求的资格证明文件；</w:t>
      </w:r>
    </w:p>
    <w:p w14:paraId="5D53250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4"/>
          <w:highlight w:val="none"/>
        </w:rPr>
      </w:pPr>
      <w:r>
        <w:rPr>
          <w:rFonts w:hint="eastAsia" w:ascii="宋体" w:hAnsi="宋体"/>
          <w:color w:val="auto"/>
          <w:sz w:val="24"/>
          <w:szCs w:val="24"/>
          <w:highlight w:val="none"/>
        </w:rPr>
        <w:t>3.5.2投标人认为还需要提供的其他资料。</w:t>
      </w:r>
    </w:p>
    <w:p w14:paraId="7592DBB2">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3.6 备选投标方案</w:t>
      </w:r>
      <w:bookmarkEnd w:id="56"/>
    </w:p>
    <w:p w14:paraId="4376EF0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590BCBF">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57" w:name="_Toc375647591"/>
      <w:r>
        <w:rPr>
          <w:rFonts w:hint="eastAsia" w:ascii="宋体" w:hAnsi="宋体" w:cs="宋体"/>
          <w:b/>
          <w:color w:val="auto"/>
          <w:sz w:val="24"/>
          <w:szCs w:val="24"/>
          <w:highlight w:val="none"/>
        </w:rPr>
        <w:t>3.7 投标文件的编制</w:t>
      </w:r>
      <w:bookmarkEnd w:id="57"/>
    </w:p>
    <w:p w14:paraId="231D0F3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highlight w:val="none"/>
        </w:rPr>
      </w:pPr>
      <w:r>
        <w:rPr>
          <w:rFonts w:ascii="宋体" w:hAnsi="宋体"/>
          <w:color w:val="auto"/>
          <w:kern w:val="0"/>
          <w:sz w:val="24"/>
          <w:highlight w:val="none"/>
        </w:rPr>
        <w:t>3.7.1</w:t>
      </w:r>
      <w:r>
        <w:rPr>
          <w:rFonts w:hint="eastAsia" w:ascii="宋体" w:hAnsi="宋体"/>
          <w:color w:val="auto"/>
          <w:kern w:val="0"/>
          <w:sz w:val="24"/>
          <w:highlight w:val="none"/>
        </w:rPr>
        <w:t>投标文件应按第六章“投标文件格式”使用三门峡市公共资源交易系统投标文件制作专用工具软件编制</w:t>
      </w:r>
      <w:r>
        <w:rPr>
          <w:rFonts w:hint="eastAsia" w:ascii="宋体" w:hAnsi="宋体" w:cs="MingLiU"/>
          <w:color w:val="auto"/>
          <w:kern w:val="0"/>
          <w:sz w:val="24"/>
          <w:highlight w:val="none"/>
        </w:rPr>
        <w:t>投标文件。其中，投标函附录在满足招标文件实质性要求的基础上，可以提出比招标文件要求更有利于招标人的承诺。</w:t>
      </w:r>
    </w:p>
    <w:p w14:paraId="059A704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3.7.2</w:t>
      </w:r>
      <w:r>
        <w:rPr>
          <w:rFonts w:hint="eastAsia" w:ascii="宋体" w:hAnsi="宋体" w:cs="MingLiU"/>
          <w:color w:val="auto"/>
          <w:kern w:val="0"/>
          <w:sz w:val="24"/>
          <w:highlight w:val="none"/>
        </w:rPr>
        <w:t>投标文件应当对招标文件有关交货期、投标有效期、质量要求、技术要求、招标范围等实质性内容作出响应。</w:t>
      </w:r>
    </w:p>
    <w:p w14:paraId="190C56E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3.7.</w:t>
      </w:r>
      <w:r>
        <w:rPr>
          <w:rFonts w:hint="eastAsia" w:ascii="宋体" w:hAnsi="宋体" w:cs="MingLiU"/>
          <w:color w:val="auto"/>
          <w:kern w:val="0"/>
          <w:sz w:val="24"/>
          <w:highlight w:val="none"/>
        </w:rPr>
        <w:t>3投标文件签字或盖章要求见投标人须知前附表。</w:t>
      </w:r>
    </w:p>
    <w:p w14:paraId="382E201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黑体"/>
          <w:color w:val="auto"/>
          <w:sz w:val="24"/>
          <w:szCs w:val="20"/>
          <w:highlight w:val="none"/>
        </w:rPr>
      </w:pPr>
      <w:r>
        <w:rPr>
          <w:rFonts w:hint="eastAsia" w:ascii="宋体" w:hAnsi="宋体" w:cs="宋体"/>
          <w:color w:val="auto"/>
          <w:sz w:val="24"/>
          <w:szCs w:val="20"/>
          <w:highlight w:val="none"/>
        </w:rPr>
        <w:t>3.7.4</w:t>
      </w:r>
      <w:bookmarkStart w:id="58" w:name="_Toc257107756"/>
      <w:bookmarkStart w:id="59" w:name="_Toc374376337"/>
      <w:bookmarkStart w:id="60" w:name="_Toc375647592"/>
      <w:bookmarkStart w:id="61" w:name="_Toc247965805"/>
      <w:r>
        <w:rPr>
          <w:rFonts w:hint="eastAsia" w:ascii="宋体" w:hAnsi="宋体" w:cs="黑体"/>
          <w:color w:val="auto"/>
          <w:kern w:val="0"/>
          <w:sz w:val="24"/>
          <w:szCs w:val="24"/>
          <w:highlight w:val="none"/>
        </w:rPr>
        <w:t>电子投标文件要求详见投标人须知前附表规定</w:t>
      </w:r>
    </w:p>
    <w:p w14:paraId="6C4FFAF6">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62" w:name="_Toc28663"/>
      <w:r>
        <w:rPr>
          <w:rFonts w:hint="eastAsia" w:ascii="宋体" w:hAnsi="宋体" w:cs="宋体"/>
          <w:b/>
          <w:color w:val="auto"/>
          <w:sz w:val="24"/>
          <w:szCs w:val="24"/>
          <w:highlight w:val="none"/>
        </w:rPr>
        <w:t>4.投标</w:t>
      </w:r>
      <w:bookmarkEnd w:id="58"/>
      <w:bookmarkEnd w:id="59"/>
      <w:bookmarkEnd w:id="60"/>
      <w:bookmarkEnd w:id="61"/>
      <w:bookmarkEnd w:id="62"/>
    </w:p>
    <w:p w14:paraId="4DC49BEB">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b/>
          <w:color w:val="auto"/>
          <w:kern w:val="0"/>
          <w:sz w:val="24"/>
          <w:highlight w:val="none"/>
        </w:rPr>
      </w:pPr>
      <w:bookmarkStart w:id="63" w:name="_Toc375647596"/>
      <w:bookmarkStart w:id="64" w:name="_Toc374376338"/>
      <w:bookmarkStart w:id="65" w:name="_Toc257107757"/>
      <w:bookmarkStart w:id="66" w:name="_Toc247965806"/>
      <w:r>
        <w:rPr>
          <w:rFonts w:hint="eastAsia" w:ascii="宋体" w:hAnsi="宋体"/>
          <w:b/>
          <w:color w:val="auto"/>
          <w:kern w:val="0"/>
          <w:sz w:val="24"/>
          <w:highlight w:val="none"/>
        </w:rPr>
        <w:t>4.1 投标文件的递交</w:t>
      </w:r>
    </w:p>
    <w:p w14:paraId="29786FAE">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1</w:t>
      </w:r>
      <w:r>
        <w:rPr>
          <w:rFonts w:ascii="宋体" w:hAnsi="宋体"/>
          <w:color w:val="auto"/>
          <w:kern w:val="0"/>
          <w:sz w:val="24"/>
          <w:highlight w:val="none"/>
        </w:rPr>
        <w:t>.1</w:t>
      </w:r>
      <w:r>
        <w:rPr>
          <w:rFonts w:hint="eastAsia" w:ascii="宋体" w:hAnsi="宋体" w:cs="MingLiU"/>
          <w:color w:val="auto"/>
          <w:kern w:val="0"/>
          <w:sz w:val="24"/>
          <w:highlight w:val="none"/>
        </w:rPr>
        <w:t>电子化投标文件应在投标截止时间前成功上传至三门峡市公共资源电子化交易系统。至投标截止时间止，仍未上传成功的电子化投标文件将不予接收。</w:t>
      </w:r>
    </w:p>
    <w:p w14:paraId="006B9E8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hint="eastAsia" w:ascii="宋体" w:hAnsi="宋体" w:cs="MingLiU"/>
          <w:color w:val="auto"/>
          <w:kern w:val="0"/>
          <w:sz w:val="24"/>
          <w:highlight w:val="none"/>
        </w:rPr>
        <w:t>4.1.2如按照电子化投标操作教材制作完成的电子化投标文件无法上传的，投标人应在投标截止时间前尽早的联系三门峡市公共资源交易中心信息科0398-3117095，国泰新点软件股份有限公司0398-3117871，以便有充分的时间进行处理。投标人应充分考虑到处理技术问题和上传数据等工作所需的时间问题，投标文件未在投标截止时间前成功上传的，其投标文件不予接收。</w:t>
      </w:r>
    </w:p>
    <w:p w14:paraId="0DBAFF7B">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MingLiU"/>
          <w:b/>
          <w:color w:val="auto"/>
          <w:kern w:val="0"/>
          <w:sz w:val="24"/>
          <w:highlight w:val="none"/>
        </w:rPr>
      </w:pPr>
      <w:r>
        <w:rPr>
          <w:rFonts w:ascii="宋体" w:hAnsi="宋体"/>
          <w:b/>
          <w:color w:val="auto"/>
          <w:kern w:val="0"/>
          <w:sz w:val="24"/>
          <w:highlight w:val="none"/>
        </w:rPr>
        <w:t>4.</w:t>
      </w:r>
      <w:r>
        <w:rPr>
          <w:rFonts w:hint="eastAsia" w:ascii="宋体" w:hAnsi="宋体"/>
          <w:b/>
          <w:color w:val="auto"/>
          <w:kern w:val="0"/>
          <w:sz w:val="24"/>
          <w:highlight w:val="none"/>
        </w:rPr>
        <w:t>2</w:t>
      </w:r>
      <w:r>
        <w:rPr>
          <w:rFonts w:ascii="宋体" w:hAnsi="宋体"/>
          <w:b/>
          <w:color w:val="auto"/>
          <w:kern w:val="0"/>
          <w:sz w:val="24"/>
          <w:highlight w:val="none"/>
        </w:rPr>
        <w:t xml:space="preserve"> </w:t>
      </w:r>
      <w:r>
        <w:rPr>
          <w:rFonts w:hint="eastAsia" w:ascii="宋体" w:hAnsi="宋体" w:cs="MingLiU"/>
          <w:b/>
          <w:color w:val="auto"/>
          <w:kern w:val="0"/>
          <w:sz w:val="24"/>
          <w:highlight w:val="none"/>
        </w:rPr>
        <w:t>投标文件的修改与撤回</w:t>
      </w:r>
    </w:p>
    <w:p w14:paraId="6C55AF7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2</w:t>
      </w:r>
      <w:r>
        <w:rPr>
          <w:rFonts w:ascii="宋体" w:hAnsi="宋体"/>
          <w:color w:val="auto"/>
          <w:kern w:val="0"/>
          <w:sz w:val="24"/>
          <w:highlight w:val="none"/>
        </w:rPr>
        <w:t>.1</w:t>
      </w:r>
      <w:r>
        <w:rPr>
          <w:rFonts w:hint="eastAsia" w:ascii="宋体" w:hAnsi="宋体" w:cs="MingLiU"/>
          <w:color w:val="auto"/>
          <w:kern w:val="0"/>
          <w:sz w:val="24"/>
          <w:highlight w:val="none"/>
        </w:rPr>
        <w:t>在本章第2.2.2项规定的投标截止时间前，投标人可以多次修改或撤回已递交的投标文件，最终投标文件以投标截止时间前完成上传至三门峡市公共资源交易中心交易系统最后一份投标文件为准。</w:t>
      </w:r>
    </w:p>
    <w:p w14:paraId="256652B2">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ascii="宋体" w:hAnsi="宋体"/>
          <w:color w:val="auto"/>
          <w:kern w:val="0"/>
          <w:sz w:val="24"/>
          <w:highlight w:val="none"/>
        </w:rPr>
        <w:t>4.</w:t>
      </w:r>
      <w:r>
        <w:rPr>
          <w:rFonts w:hint="eastAsia" w:ascii="宋体" w:hAnsi="宋体"/>
          <w:color w:val="auto"/>
          <w:kern w:val="0"/>
          <w:sz w:val="24"/>
          <w:highlight w:val="none"/>
        </w:rPr>
        <w:t>2</w:t>
      </w:r>
      <w:r>
        <w:rPr>
          <w:rFonts w:ascii="宋体" w:hAnsi="宋体"/>
          <w:color w:val="auto"/>
          <w:kern w:val="0"/>
          <w:sz w:val="24"/>
          <w:highlight w:val="none"/>
        </w:rPr>
        <w:t>.</w:t>
      </w:r>
      <w:r>
        <w:rPr>
          <w:rFonts w:hint="eastAsia" w:ascii="宋体" w:hAnsi="宋体"/>
          <w:color w:val="auto"/>
          <w:kern w:val="0"/>
          <w:sz w:val="24"/>
          <w:highlight w:val="none"/>
        </w:rPr>
        <w:t>2</w:t>
      </w:r>
      <w:r>
        <w:rPr>
          <w:rFonts w:hint="eastAsia" w:ascii="宋体" w:hAnsi="宋体" w:cs="宋体"/>
          <w:color w:val="auto"/>
          <w:sz w:val="24"/>
          <w:szCs w:val="24"/>
          <w:highlight w:val="none"/>
        </w:rPr>
        <w:t>递交投标文件地点</w:t>
      </w:r>
      <w:r>
        <w:rPr>
          <w:rFonts w:hint="eastAsia" w:ascii="宋体" w:hAnsi="宋体" w:cs="MingLiU"/>
          <w:color w:val="auto"/>
          <w:kern w:val="0"/>
          <w:sz w:val="24"/>
          <w:highlight w:val="none"/>
        </w:rPr>
        <w:t>见投标人须知前附表。</w:t>
      </w:r>
    </w:p>
    <w:p w14:paraId="2B42344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ascii="宋体" w:hAnsi="宋体"/>
          <w:color w:val="auto"/>
          <w:kern w:val="0"/>
          <w:sz w:val="24"/>
          <w:highlight w:val="none"/>
        </w:rPr>
        <w:t>4.</w:t>
      </w:r>
      <w:r>
        <w:rPr>
          <w:rFonts w:hint="eastAsia" w:ascii="宋体" w:hAnsi="宋体"/>
          <w:color w:val="auto"/>
          <w:kern w:val="0"/>
          <w:sz w:val="24"/>
          <w:highlight w:val="none"/>
        </w:rPr>
        <w:t>2</w:t>
      </w:r>
      <w:r>
        <w:rPr>
          <w:rFonts w:ascii="宋体" w:hAnsi="宋体"/>
          <w:color w:val="auto"/>
          <w:kern w:val="0"/>
          <w:sz w:val="24"/>
          <w:highlight w:val="none"/>
        </w:rPr>
        <w:t>.</w:t>
      </w:r>
      <w:r>
        <w:rPr>
          <w:rFonts w:hint="eastAsia" w:ascii="宋体" w:hAnsi="宋体"/>
          <w:color w:val="auto"/>
          <w:kern w:val="0"/>
          <w:sz w:val="24"/>
          <w:highlight w:val="none"/>
        </w:rPr>
        <w:t>3是否退还</w:t>
      </w:r>
      <w:r>
        <w:rPr>
          <w:rFonts w:hint="eastAsia" w:ascii="宋体" w:hAnsi="宋体" w:cs="宋体"/>
          <w:color w:val="auto"/>
          <w:sz w:val="24"/>
          <w:szCs w:val="24"/>
          <w:highlight w:val="none"/>
        </w:rPr>
        <w:t>投标文件</w:t>
      </w:r>
      <w:r>
        <w:rPr>
          <w:rFonts w:hint="eastAsia" w:ascii="宋体" w:hAnsi="宋体" w:cs="MingLiU"/>
          <w:color w:val="auto"/>
          <w:kern w:val="0"/>
          <w:sz w:val="24"/>
          <w:highlight w:val="none"/>
        </w:rPr>
        <w:t>见投标人须知前附表。</w:t>
      </w:r>
    </w:p>
    <w:p w14:paraId="1BF9793D">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67" w:name="_Toc40"/>
      <w:r>
        <w:rPr>
          <w:rFonts w:hint="eastAsia" w:ascii="宋体" w:hAnsi="宋体" w:cs="宋体"/>
          <w:b/>
          <w:color w:val="auto"/>
          <w:sz w:val="24"/>
          <w:szCs w:val="24"/>
          <w:highlight w:val="none"/>
        </w:rPr>
        <w:t>5.开标</w:t>
      </w:r>
      <w:bookmarkEnd w:id="63"/>
      <w:bookmarkEnd w:id="64"/>
      <w:bookmarkEnd w:id="65"/>
      <w:bookmarkEnd w:id="66"/>
      <w:bookmarkEnd w:id="67"/>
    </w:p>
    <w:p w14:paraId="7744F056">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b/>
          <w:color w:val="auto"/>
          <w:kern w:val="0"/>
          <w:sz w:val="24"/>
          <w:highlight w:val="none"/>
        </w:rPr>
      </w:pPr>
      <w:bookmarkStart w:id="68" w:name="_Toc374376339"/>
      <w:bookmarkStart w:id="69" w:name="_Toc247965807"/>
      <w:bookmarkStart w:id="70" w:name="_Toc375647599"/>
      <w:bookmarkStart w:id="71" w:name="_Toc257107758"/>
      <w:r>
        <w:rPr>
          <w:rFonts w:hint="eastAsia" w:ascii="宋体" w:hAnsi="宋体"/>
          <w:b/>
          <w:color w:val="auto"/>
          <w:kern w:val="0"/>
          <w:sz w:val="24"/>
          <w:highlight w:val="none"/>
        </w:rPr>
        <w:t>5.1 开标时间和地点</w:t>
      </w:r>
    </w:p>
    <w:p w14:paraId="07F2B387">
      <w:pPr>
        <w:pageBreakBefore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cs="MingLiU"/>
          <w:color w:val="auto"/>
          <w:kern w:val="0"/>
          <w:sz w:val="24"/>
          <w:highlight w:val="none"/>
        </w:rPr>
      </w:pPr>
      <w:r>
        <w:rPr>
          <w:rFonts w:hint="eastAsia" w:ascii="宋体" w:hAnsi="宋体" w:cs="MingLiU"/>
          <w:color w:val="auto"/>
          <w:kern w:val="0"/>
          <w:sz w:val="24"/>
          <w:highlight w:val="none"/>
        </w:rPr>
        <w:t>5.1.1本项目采用“远程不见面”开标方式，远程开标大厅网址为http://120.194.249.36:10094/BidOpening/bidopeninghallaction/hall/login,投标人应当在本章第 2.2.2 项规定的投标截止时间（开标时间）前登录远程开标大厅，在线准时参加开标活动并按业务系统要求在规定时间进行投标文件解密等，无需到三门峡市公共资源交易中心现场参加开标会议。</w:t>
      </w:r>
    </w:p>
    <w:p w14:paraId="7EB8B624">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MingLiU"/>
          <w:color w:val="auto"/>
          <w:kern w:val="0"/>
          <w:sz w:val="24"/>
          <w:highlight w:val="none"/>
        </w:rPr>
      </w:pPr>
      <w:r>
        <w:rPr>
          <w:rFonts w:hint="eastAsia" w:ascii="宋体" w:hAnsi="宋体" w:cs="MingLiU"/>
          <w:color w:val="auto"/>
          <w:kern w:val="0"/>
          <w:sz w:val="24"/>
          <w:highlight w:val="none"/>
        </w:rPr>
        <w:t>5.1.2不见面服务的具体事宜请查阅三门峡市公共资源交易中心网站“帮助中心”下载资料中下载《三门峡市公共资源交易中心不见面开标大厅操作手册》。</w:t>
      </w:r>
    </w:p>
    <w:p w14:paraId="6C2C1508">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MingLiU"/>
          <w:b/>
          <w:color w:val="auto"/>
          <w:kern w:val="0"/>
          <w:sz w:val="24"/>
          <w:highlight w:val="none"/>
        </w:rPr>
      </w:pPr>
      <w:r>
        <w:rPr>
          <w:rFonts w:ascii="宋体" w:hAnsi="宋体"/>
          <w:b/>
          <w:color w:val="auto"/>
          <w:kern w:val="0"/>
          <w:sz w:val="24"/>
          <w:highlight w:val="none"/>
        </w:rPr>
        <w:t xml:space="preserve">5.2 </w:t>
      </w:r>
      <w:r>
        <w:rPr>
          <w:rFonts w:hint="eastAsia" w:ascii="宋体" w:hAnsi="宋体" w:cs="MingLiU"/>
          <w:b/>
          <w:color w:val="auto"/>
          <w:kern w:val="0"/>
          <w:sz w:val="24"/>
          <w:highlight w:val="none"/>
        </w:rPr>
        <w:t>开标程序及注意事项</w:t>
      </w:r>
    </w:p>
    <w:p w14:paraId="72D91BE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MingLiU"/>
          <w:color w:val="auto"/>
          <w:kern w:val="0"/>
          <w:sz w:val="24"/>
          <w:highlight w:val="none"/>
        </w:rPr>
      </w:pPr>
      <w:r>
        <w:rPr>
          <w:rFonts w:hint="eastAsia" w:ascii="宋体" w:hAnsi="宋体" w:cs="MingLiU"/>
          <w:color w:val="auto"/>
          <w:kern w:val="0"/>
          <w:sz w:val="24"/>
          <w:highlight w:val="none"/>
        </w:rPr>
        <w:t>见投标人须知前附表。</w:t>
      </w:r>
    </w:p>
    <w:p w14:paraId="264CAF1C">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72" w:name="_Toc32147"/>
      <w:r>
        <w:rPr>
          <w:rFonts w:hint="eastAsia" w:ascii="宋体" w:hAnsi="宋体" w:cs="宋体"/>
          <w:b/>
          <w:color w:val="auto"/>
          <w:sz w:val="24"/>
          <w:szCs w:val="24"/>
          <w:highlight w:val="none"/>
        </w:rPr>
        <w:t>6.评标</w:t>
      </w:r>
      <w:bookmarkEnd w:id="68"/>
      <w:bookmarkEnd w:id="69"/>
      <w:bookmarkEnd w:id="70"/>
      <w:bookmarkEnd w:id="71"/>
      <w:bookmarkEnd w:id="72"/>
    </w:p>
    <w:p w14:paraId="425F02B1">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73" w:name="_Toc375647600"/>
      <w:r>
        <w:rPr>
          <w:rFonts w:hint="eastAsia" w:ascii="宋体" w:hAnsi="宋体" w:cs="宋体"/>
          <w:b/>
          <w:color w:val="auto"/>
          <w:sz w:val="24"/>
          <w:szCs w:val="24"/>
          <w:highlight w:val="none"/>
        </w:rPr>
        <w:t>6.1 评标委员会</w:t>
      </w:r>
      <w:bookmarkEnd w:id="73"/>
    </w:p>
    <w:p w14:paraId="70070C83">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6.1.1 评标由招标人依法组建的评标委员会负责。评标委员会由招标人代表以及有关技术、经济等方面的专家组成。评标委员会成员人数以及技术、经济等方面专家的确定方式及数量见投标人须知前附表。</w:t>
      </w:r>
    </w:p>
    <w:p w14:paraId="6AD6B7A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14:paraId="1963F89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（1）招标人或投标人的主要负责人的近亲属；</w:t>
      </w:r>
    </w:p>
    <w:p w14:paraId="7E9E116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14:paraId="657888C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14:paraId="492713F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（4）曾因在招标、评标以及其他与招标投标有关活动中从事违法行为而受过行政处罚或刑事处罚的。</w:t>
      </w:r>
    </w:p>
    <w:p w14:paraId="59FE6CF5">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74" w:name="_Toc375647601"/>
      <w:r>
        <w:rPr>
          <w:rFonts w:hint="eastAsia" w:ascii="宋体" w:hAnsi="宋体" w:cs="宋体"/>
          <w:b/>
          <w:color w:val="auto"/>
          <w:sz w:val="24"/>
          <w:szCs w:val="24"/>
          <w:highlight w:val="none"/>
        </w:rPr>
        <w:t>6.2 评标原则</w:t>
      </w:r>
      <w:bookmarkEnd w:id="74"/>
    </w:p>
    <w:p w14:paraId="2D149F7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评标活动遵循公平、公正、科学和择优的原则。</w:t>
      </w:r>
    </w:p>
    <w:p w14:paraId="624EE63D">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75" w:name="_Toc375647602"/>
      <w:r>
        <w:rPr>
          <w:rFonts w:hint="eastAsia" w:ascii="宋体" w:hAnsi="宋体" w:cs="宋体"/>
          <w:b/>
          <w:color w:val="auto"/>
          <w:sz w:val="24"/>
          <w:szCs w:val="24"/>
          <w:highlight w:val="none"/>
        </w:rPr>
        <w:t>6.3 评标</w:t>
      </w:r>
      <w:bookmarkEnd w:id="75"/>
    </w:p>
    <w:p w14:paraId="2D82BCE8">
      <w:pPr>
        <w:pageBreakBefore w:val="0"/>
        <w:kinsoku/>
        <w:overflowPunct/>
        <w:bidi w:val="0"/>
        <w:adjustRightInd w:val="0"/>
        <w:snapToGrid w:val="0"/>
        <w:spacing w:beforeAutospacing="0" w:afterAutospacing="0" w:line="360" w:lineRule="auto"/>
        <w:ind w:left="0" w:leftChars="0" w:right="0" w:rightChars="0" w:firstLine="456" w:firstLineChars="200"/>
        <w:rPr>
          <w:rFonts w:ascii="宋体" w:hAnsi="宋体" w:cs="宋体"/>
          <w:color w:val="auto"/>
          <w:sz w:val="24"/>
          <w:szCs w:val="24"/>
          <w:highlight w:val="none"/>
        </w:rPr>
      </w:pPr>
      <w:r>
        <w:rPr>
          <w:rFonts w:hint="eastAsia" w:ascii="宋体" w:hAnsi="宋体" w:cs="宋体"/>
          <w:color w:val="auto"/>
          <w:spacing w:val="-6"/>
          <w:sz w:val="24"/>
          <w:szCs w:val="24"/>
          <w:highlight w:val="none"/>
        </w:rPr>
        <w:t>评标委员会按照第三章“评标办法”规定的方法、评审因素、标准和程序对投标文件进行评审。第三章“评标办法”没有规定的方法、评审因素和标准，不作为评标依据</w:t>
      </w:r>
      <w:r>
        <w:rPr>
          <w:rFonts w:hint="eastAsia" w:ascii="宋体" w:hAnsi="宋体" w:cs="宋体"/>
          <w:color w:val="auto"/>
          <w:sz w:val="24"/>
          <w:szCs w:val="24"/>
          <w:highlight w:val="none"/>
        </w:rPr>
        <w:t>。</w:t>
      </w:r>
    </w:p>
    <w:p w14:paraId="4F3E9AC4">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76" w:name="_Toc374376340"/>
      <w:bookmarkStart w:id="77" w:name="_Toc375647603"/>
      <w:bookmarkStart w:id="78" w:name="_Toc257107759"/>
      <w:bookmarkStart w:id="79" w:name="_Toc26830"/>
      <w:bookmarkStart w:id="80" w:name="_Toc247965808"/>
      <w:r>
        <w:rPr>
          <w:rFonts w:hint="eastAsia" w:ascii="宋体" w:hAnsi="宋体" w:cs="宋体"/>
          <w:b/>
          <w:color w:val="auto"/>
          <w:sz w:val="24"/>
          <w:szCs w:val="24"/>
          <w:highlight w:val="none"/>
        </w:rPr>
        <w:t>7.合同授予</w:t>
      </w:r>
      <w:bookmarkEnd w:id="76"/>
      <w:bookmarkEnd w:id="77"/>
      <w:bookmarkEnd w:id="78"/>
      <w:bookmarkEnd w:id="79"/>
      <w:bookmarkEnd w:id="80"/>
    </w:p>
    <w:p w14:paraId="177D358C">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81" w:name="_Toc375647604"/>
      <w:r>
        <w:rPr>
          <w:rFonts w:hint="eastAsia" w:ascii="宋体" w:hAnsi="宋体" w:cs="宋体"/>
          <w:b/>
          <w:color w:val="auto"/>
          <w:sz w:val="24"/>
          <w:szCs w:val="24"/>
          <w:highlight w:val="none"/>
        </w:rPr>
        <w:t>7.1 定标方式</w:t>
      </w:r>
      <w:bookmarkEnd w:id="81"/>
    </w:p>
    <w:p w14:paraId="6FAB9743">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7.1.1确定中标人</w:t>
      </w:r>
    </w:p>
    <w:p w14:paraId="0865993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除投标人须知前附表规定评标委员会直接确定中标人外，招标人依据评标委员会推荐的中标候选人确定中标人，</w:t>
      </w:r>
      <w:r>
        <w:rPr>
          <w:rFonts w:ascii="宋体" w:hAnsi="宋体" w:cs="宋体"/>
          <w:color w:val="auto"/>
          <w:sz w:val="24"/>
          <w:szCs w:val="24"/>
          <w:highlight w:val="none"/>
        </w:rPr>
        <w:t>招标人应当确定排名第一的中标候选人为中标人</w:t>
      </w:r>
      <w:r>
        <w:rPr>
          <w:rFonts w:hint="eastAsia" w:ascii="宋体" w:hAnsi="宋体" w:cs="宋体"/>
          <w:color w:val="auto"/>
          <w:sz w:val="24"/>
          <w:szCs w:val="24"/>
          <w:highlight w:val="none"/>
        </w:rPr>
        <w:t>，评标委员会推荐中标候选人的人数见投标人须知前附表。</w:t>
      </w:r>
    </w:p>
    <w:p w14:paraId="2FAE18D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7.1.2中标候选人履约能力审查</w:t>
      </w:r>
    </w:p>
    <w:p w14:paraId="4B827552">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bookmarkStart w:id="82" w:name="_Toc375647605"/>
      <w:r>
        <w:rPr>
          <w:rFonts w:hint="eastAsia" w:ascii="宋体" w:hAnsi="宋体" w:cs="宋体"/>
          <w:color w:val="auto"/>
          <w:sz w:val="24"/>
          <w:szCs w:val="24"/>
          <w:highlight w:val="none"/>
        </w:rPr>
        <w:t>见投标人须知前附表。</w:t>
      </w:r>
    </w:p>
    <w:p w14:paraId="2935C5F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7.1.3其他定标情形</w:t>
      </w:r>
    </w:p>
    <w:p w14:paraId="0E6CE1B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color w:val="auto"/>
          <w:highlight w:val="none"/>
        </w:rPr>
      </w:pPr>
      <w:r>
        <w:rPr>
          <w:rFonts w:ascii="宋体" w:hAnsi="宋体" w:cs="宋体"/>
          <w:color w:val="auto"/>
          <w:sz w:val="24"/>
          <w:szCs w:val="24"/>
          <w:highlight w:val="none"/>
        </w:rPr>
        <w:t>排名第一的中标候选人放弃中标、因不可抗力不能履行合同、不按照招标文件要求提交履约保证金，</w:t>
      </w:r>
      <w:r>
        <w:rPr>
          <w:rFonts w:hint="eastAsia" w:ascii="宋体" w:hAnsi="宋体" w:cs="宋体"/>
          <w:color w:val="auto"/>
          <w:sz w:val="24"/>
          <w:szCs w:val="24"/>
          <w:highlight w:val="none"/>
        </w:rPr>
        <w:t>未通过中标候选人履约能力审查的</w:t>
      </w:r>
      <w:r>
        <w:rPr>
          <w:rFonts w:ascii="宋体" w:hAnsi="宋体" w:cs="宋体"/>
          <w:color w:val="auto"/>
          <w:sz w:val="24"/>
          <w:szCs w:val="24"/>
          <w:highlight w:val="none"/>
        </w:rPr>
        <w:t>或者被查实存在影响中标结果的违法行为等情形，不符合中标条件的，招标人可以按照评标委员会提出的中标候选人名单排序依次确定其他中标候选人为中标人，也可以重新招标。</w:t>
      </w:r>
    </w:p>
    <w:p w14:paraId="0C83055E">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r>
        <w:rPr>
          <w:rFonts w:hint="eastAsia" w:ascii="宋体" w:hAnsi="宋体" w:cs="宋体"/>
          <w:b/>
          <w:color w:val="auto"/>
          <w:sz w:val="24"/>
          <w:szCs w:val="24"/>
          <w:highlight w:val="none"/>
        </w:rPr>
        <w:t>7.2 中标通知</w:t>
      </w:r>
      <w:bookmarkEnd w:id="82"/>
    </w:p>
    <w:p w14:paraId="7BD7867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在本章第3.3 款规定的投标有效期内，招标人以书面形式向中标人发出中标通知书，同时将中标结果通知未中标的投标人。</w:t>
      </w:r>
    </w:p>
    <w:p w14:paraId="57838781">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83" w:name="_Toc375647606"/>
      <w:r>
        <w:rPr>
          <w:rFonts w:hint="eastAsia" w:ascii="宋体" w:hAnsi="宋体" w:cs="宋体"/>
          <w:b/>
          <w:color w:val="auto"/>
          <w:sz w:val="24"/>
          <w:szCs w:val="24"/>
          <w:highlight w:val="none"/>
        </w:rPr>
        <w:t>7.3 履约担保</w:t>
      </w:r>
      <w:bookmarkEnd w:id="83"/>
    </w:p>
    <w:p w14:paraId="5E0FBE0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7.3.1 在签订合同前，中标人应按投标人须知前附表规定的金额、担保形式和招标文件第四章“合同主要条款及格式”规定的履约担保格式向招标人提交履约担保。</w:t>
      </w:r>
    </w:p>
    <w:p w14:paraId="380F67C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7.3.2 中标人不能按本章第7.3.1项要求提交履约担保的，视为放弃中标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给招标人造成的损失超过投标保证金数额的，中标人还应当对超过部分予以赔偿。</w:t>
      </w:r>
    </w:p>
    <w:p w14:paraId="73CB3B62">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84" w:name="_Toc375647607"/>
      <w:r>
        <w:rPr>
          <w:rFonts w:hint="eastAsia" w:ascii="宋体" w:hAnsi="宋体" w:cs="宋体"/>
          <w:b/>
          <w:color w:val="auto"/>
          <w:sz w:val="24"/>
          <w:szCs w:val="24"/>
          <w:highlight w:val="none"/>
        </w:rPr>
        <w:t>7.4 签订合同</w:t>
      </w:r>
      <w:bookmarkEnd w:id="84"/>
    </w:p>
    <w:p w14:paraId="0AA630A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7.4.1 招标人和中标人应当自中标通知书发出之日起</w:t>
      </w:r>
      <w:r>
        <w:rPr>
          <w:rFonts w:hint="eastAsia" w:ascii="宋体" w:hAnsi="宋体" w:cs="宋体"/>
          <w:color w:val="auto"/>
          <w:sz w:val="24"/>
          <w:szCs w:val="24"/>
          <w:highlight w:val="none"/>
          <w:lang w:val="en-US" w:eastAsia="zh-CN"/>
        </w:rPr>
        <w:t>5个工作日</w:t>
      </w:r>
      <w:r>
        <w:rPr>
          <w:rFonts w:hint="eastAsia" w:ascii="宋体" w:hAnsi="宋体" w:cs="宋体"/>
          <w:color w:val="auto"/>
          <w:sz w:val="24"/>
          <w:szCs w:val="24"/>
          <w:highlight w:val="none"/>
        </w:rPr>
        <w:t>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0D2B48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7.4.2 发出中标通知书后，招标人无正当理由拒签合同的，给中标人造成损失的，还应当赔偿损失。</w:t>
      </w:r>
    </w:p>
    <w:p w14:paraId="068B2576">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85" w:name="_Toc257107760"/>
      <w:bookmarkStart w:id="86" w:name="_Toc247965809"/>
      <w:bookmarkStart w:id="87" w:name="_Toc374376341"/>
      <w:bookmarkStart w:id="88" w:name="_Toc375647608"/>
      <w:bookmarkStart w:id="89" w:name="_Toc29790"/>
      <w:r>
        <w:rPr>
          <w:rFonts w:hint="eastAsia" w:ascii="宋体" w:hAnsi="宋体" w:cs="宋体"/>
          <w:b/>
          <w:color w:val="auto"/>
          <w:sz w:val="24"/>
          <w:szCs w:val="24"/>
          <w:highlight w:val="none"/>
        </w:rPr>
        <w:t>8.</w:t>
      </w:r>
      <w:bookmarkEnd w:id="85"/>
      <w:bookmarkEnd w:id="86"/>
      <w:bookmarkEnd w:id="87"/>
      <w:bookmarkEnd w:id="88"/>
      <w:r>
        <w:rPr>
          <w:rFonts w:hint="eastAsia" w:ascii="宋体" w:hAnsi="宋体" w:cs="MingLiU"/>
          <w:b/>
          <w:color w:val="auto"/>
          <w:kern w:val="0"/>
          <w:sz w:val="24"/>
          <w:highlight w:val="none"/>
        </w:rPr>
        <w:t>重新招标和不再招标</w:t>
      </w:r>
      <w:bookmarkEnd w:id="89"/>
    </w:p>
    <w:p w14:paraId="4C2F5EEF">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ascii="宋体" w:hAnsi="宋体"/>
          <w:b/>
          <w:color w:val="auto"/>
          <w:kern w:val="0"/>
          <w:sz w:val="24"/>
          <w:highlight w:val="none"/>
        </w:rPr>
        <w:t xml:space="preserve">8.1  </w:t>
      </w:r>
      <w:r>
        <w:rPr>
          <w:rFonts w:hint="eastAsia" w:ascii="宋体" w:hAnsi="宋体" w:cs="MingLiU"/>
          <w:b/>
          <w:color w:val="auto"/>
          <w:kern w:val="0"/>
          <w:sz w:val="24"/>
          <w:highlight w:val="none"/>
        </w:rPr>
        <w:t>重新招标</w:t>
      </w:r>
    </w:p>
    <w:p w14:paraId="075D1F0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有下列情形之一的，招标人将重新招标：</w:t>
      </w:r>
    </w:p>
    <w:p w14:paraId="78FD47CF">
      <w:pPr>
        <w:pageBreakBefore w:val="0"/>
        <w:numPr>
          <w:ilvl w:val="0"/>
          <w:numId w:val="2"/>
        </w:numPr>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投标截止时间止，投标人少于3个的；</w:t>
      </w:r>
    </w:p>
    <w:p w14:paraId="1795E755">
      <w:pPr>
        <w:pageBreakBefore w:val="0"/>
        <w:numPr>
          <w:ilvl w:val="0"/>
          <w:numId w:val="2"/>
        </w:numPr>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MingLiU"/>
          <w:color w:val="auto"/>
          <w:kern w:val="0"/>
          <w:sz w:val="24"/>
          <w:highlight w:val="none"/>
        </w:rPr>
        <w:t>经评标委员会评审后有效投标人少于3个的；</w:t>
      </w:r>
    </w:p>
    <w:p w14:paraId="6ADE9970">
      <w:pPr>
        <w:pageBreakBefore w:val="0"/>
        <w:numPr>
          <w:ilvl w:val="0"/>
          <w:numId w:val="2"/>
        </w:numPr>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经评标委员会评审后否决所有投标的。</w:t>
      </w:r>
    </w:p>
    <w:p w14:paraId="7ADAC1BF">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b/>
          <w:color w:val="auto"/>
          <w:kern w:val="0"/>
          <w:sz w:val="24"/>
          <w:highlight w:val="none"/>
        </w:rPr>
      </w:pPr>
      <w:r>
        <w:rPr>
          <w:rFonts w:ascii="宋体" w:hAnsi="宋体"/>
          <w:b/>
          <w:color w:val="auto"/>
          <w:kern w:val="0"/>
          <w:sz w:val="24"/>
          <w:highlight w:val="none"/>
        </w:rPr>
        <w:t xml:space="preserve">8.2  </w:t>
      </w:r>
      <w:r>
        <w:rPr>
          <w:rFonts w:hint="eastAsia" w:ascii="宋体" w:hAnsi="宋体"/>
          <w:b/>
          <w:color w:val="auto"/>
          <w:kern w:val="0"/>
          <w:sz w:val="24"/>
          <w:highlight w:val="none"/>
        </w:rPr>
        <w:t>不再招标</w:t>
      </w:r>
    </w:p>
    <w:p w14:paraId="4759A91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olor w:val="auto"/>
          <w:kern w:val="0"/>
          <w:sz w:val="24"/>
          <w:highlight w:val="none"/>
        </w:rPr>
        <w:t>重新招标后投标人仍少于</w:t>
      </w:r>
      <w:r>
        <w:rPr>
          <w:rFonts w:ascii="宋体" w:hAnsi="宋体"/>
          <w:color w:val="auto"/>
          <w:kern w:val="0"/>
          <w:sz w:val="24"/>
          <w:highlight w:val="none"/>
        </w:rPr>
        <w:t>3</w:t>
      </w:r>
      <w:r>
        <w:rPr>
          <w:rFonts w:hint="eastAsia" w:ascii="宋体" w:hAnsi="宋体"/>
          <w:color w:val="auto"/>
          <w:kern w:val="0"/>
          <w:sz w:val="24"/>
          <w:highlight w:val="none"/>
        </w:rPr>
        <w:t>个，</w:t>
      </w:r>
      <w:r>
        <w:rPr>
          <w:rFonts w:hint="eastAsia" w:ascii="宋体" w:hAnsi="宋体" w:cs="MingLiU"/>
          <w:color w:val="auto"/>
          <w:kern w:val="0"/>
          <w:sz w:val="24"/>
          <w:highlight w:val="none"/>
        </w:rPr>
        <w:t>经评标委员会评审后有效投标人少于3个的</w:t>
      </w:r>
      <w:r>
        <w:rPr>
          <w:rFonts w:hint="eastAsia" w:ascii="宋体" w:hAnsi="宋体"/>
          <w:color w:val="auto"/>
          <w:kern w:val="0"/>
          <w:sz w:val="24"/>
          <w:highlight w:val="none"/>
        </w:rPr>
        <w:t>或者所有投标被否决的，属于必须审批或核准的工程建设项目，经原审批或核准部门批准后不再进行招标</w:t>
      </w:r>
    </w:p>
    <w:p w14:paraId="149D2086">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90" w:name="_Toc17112"/>
      <w:bookmarkStart w:id="91" w:name="_Toc375647611"/>
      <w:bookmarkStart w:id="92" w:name="_Toc374376342"/>
      <w:bookmarkStart w:id="93" w:name="_Toc333230100"/>
      <w:r>
        <w:rPr>
          <w:rFonts w:hint="eastAsia" w:ascii="宋体" w:hAnsi="宋体" w:cs="宋体"/>
          <w:b/>
          <w:color w:val="auto"/>
          <w:sz w:val="24"/>
          <w:szCs w:val="24"/>
          <w:highlight w:val="none"/>
        </w:rPr>
        <w:t>9.纪律和监督</w:t>
      </w:r>
      <w:bookmarkEnd w:id="90"/>
      <w:bookmarkEnd w:id="91"/>
      <w:bookmarkEnd w:id="92"/>
      <w:bookmarkEnd w:id="93"/>
    </w:p>
    <w:p w14:paraId="2D3F749A">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94" w:name="_Toc375647612"/>
      <w:r>
        <w:rPr>
          <w:rFonts w:hint="eastAsia" w:ascii="宋体" w:hAnsi="宋体" w:cs="宋体"/>
          <w:b/>
          <w:color w:val="auto"/>
          <w:sz w:val="24"/>
          <w:szCs w:val="24"/>
          <w:highlight w:val="none"/>
        </w:rPr>
        <w:t>9.1 对招标人的纪律要求</w:t>
      </w:r>
      <w:bookmarkEnd w:id="94"/>
    </w:p>
    <w:p w14:paraId="56450DE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95" w:name="_Toc256690965"/>
      <w:bookmarkStart w:id="96" w:name="_Toc256694841"/>
      <w:r>
        <w:rPr>
          <w:rFonts w:hint="eastAsia" w:ascii="宋体" w:hAnsi="宋体" w:cs="宋体"/>
          <w:color w:val="auto"/>
          <w:sz w:val="24"/>
          <w:szCs w:val="24"/>
          <w:highlight w:val="none"/>
        </w:rPr>
        <w:t>招标人不得泄漏招标投标活动中应当保密的情况和资料，不得与投标人串通损害国家利益、社会公共利益或者他人合法权益。</w:t>
      </w:r>
      <w:bookmarkEnd w:id="95"/>
      <w:bookmarkEnd w:id="96"/>
    </w:p>
    <w:p w14:paraId="5F9123C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有下列情形之一的，属于招标人与投标人串通投标：</w:t>
      </w:r>
    </w:p>
    <w:p w14:paraId="497D97A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（一）招标人在开标前开启投标文件并将有关信息泄露给其他投标人；</w:t>
      </w:r>
    </w:p>
    <w:p w14:paraId="4AF067E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（二）招标人直接或者间接向投标人泄露标底、评标委员会成员等信息；</w:t>
      </w:r>
    </w:p>
    <w:p w14:paraId="7A9B5FE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（三）招标人明示或者暗示投标人压低或者抬高投标报价；</w:t>
      </w:r>
    </w:p>
    <w:p w14:paraId="7416EF9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（四）招标人授意投标人撤换、修改投标文件；</w:t>
      </w:r>
    </w:p>
    <w:p w14:paraId="64507E5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（五）招标人明示或者暗示投标人为特定投标人中标提供方便；</w:t>
      </w:r>
    </w:p>
    <w:p w14:paraId="36C0FA4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（六）招标人与投标人为谋求特定投标人中标而采取的其他串通行为。</w:t>
      </w:r>
    </w:p>
    <w:p w14:paraId="2208C5D8">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97" w:name="_Toc375647613"/>
      <w:r>
        <w:rPr>
          <w:rFonts w:hint="eastAsia" w:ascii="宋体" w:hAnsi="宋体" w:cs="宋体"/>
          <w:b/>
          <w:color w:val="auto"/>
          <w:sz w:val="24"/>
          <w:szCs w:val="24"/>
          <w:highlight w:val="none"/>
        </w:rPr>
        <w:t>9.2 对投标人的纪律要求</w:t>
      </w:r>
      <w:bookmarkEnd w:id="97"/>
    </w:p>
    <w:p w14:paraId="61B039C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bookmarkStart w:id="98" w:name="_Toc256690973"/>
      <w:bookmarkStart w:id="99" w:name="_Toc256694849"/>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bookmarkEnd w:id="98"/>
      <w:bookmarkEnd w:id="99"/>
    </w:p>
    <w:p w14:paraId="3D74781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9.2.1 有下列情形之一的，属于投标人相互串通投标：</w:t>
      </w:r>
    </w:p>
    <w:p w14:paraId="4D88C40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（一）投标人之间协商投标报价等投标文件的实质性内容；</w:t>
      </w:r>
    </w:p>
    <w:p w14:paraId="0B65762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（二）投标人之间约定中标人；</w:t>
      </w:r>
    </w:p>
    <w:p w14:paraId="45578AF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（三）投标人之间约定部分投标人放弃投标或者中标；</w:t>
      </w:r>
    </w:p>
    <w:p w14:paraId="3496699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（四）属于同一集团、协会、商会等组织成员的投标人按照该组织要求协同投标；</w:t>
      </w:r>
    </w:p>
    <w:p w14:paraId="64EA148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（五）投标人之间为谋取中标或者排斥特定投标人而采取的其他联合行动。</w:t>
      </w:r>
    </w:p>
    <w:p w14:paraId="7CA0279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9.2.2 有下列情形之一的，视为投标人相互串通投标：</w:t>
      </w:r>
    </w:p>
    <w:p w14:paraId="617464F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（一）不同投标人的投标文件由同一单位或者个人编制；</w:t>
      </w:r>
    </w:p>
    <w:p w14:paraId="62BDADE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（二）不同投标人委托同一单位或者个人办理投标事宜；</w:t>
      </w:r>
    </w:p>
    <w:p w14:paraId="269E06B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（三）不同投标人的投标文件载明的项目管理成员为同一人；</w:t>
      </w:r>
    </w:p>
    <w:p w14:paraId="6DE7E5C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（四）不同投标人的投标文件异常一致或者投标报价呈规律性差异；</w:t>
      </w:r>
    </w:p>
    <w:p w14:paraId="260C542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（五）不同投标人的投标文件相互混装；</w:t>
      </w:r>
    </w:p>
    <w:p w14:paraId="361F499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（六）不同投标人的投标保证金从同一单位或者个人的账户转出。</w:t>
      </w:r>
    </w:p>
    <w:p w14:paraId="473025F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9.2.3 有下列情形之一的，属于以他人名义投标：</w:t>
      </w:r>
    </w:p>
    <w:p w14:paraId="59BE2F8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（一）使用通过受让或者租借等方式获取的资格、资质证书投标的。</w:t>
      </w:r>
    </w:p>
    <w:p w14:paraId="0A07167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9.2.4 有下列情形之一的，属于以其他方式弄虚作假的行为：</w:t>
      </w:r>
    </w:p>
    <w:p w14:paraId="25CB4FE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（一）使用伪造、变造的许可证件；</w:t>
      </w:r>
    </w:p>
    <w:p w14:paraId="60EC3F6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（二）提供虚假的财务状况或者业绩；</w:t>
      </w:r>
    </w:p>
    <w:p w14:paraId="6712C02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（三）提供虚假的项目负责人或者主要技术人员简历、劳动关系证明；</w:t>
      </w:r>
    </w:p>
    <w:p w14:paraId="4CEFD8D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（四）提供虚假的信用状况；</w:t>
      </w:r>
    </w:p>
    <w:p w14:paraId="1DE04CF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（五）其他弄虚作假的行为。</w:t>
      </w:r>
    </w:p>
    <w:p w14:paraId="5DC5A6F5">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100" w:name="_Toc375647614"/>
      <w:r>
        <w:rPr>
          <w:rFonts w:hint="eastAsia" w:ascii="宋体" w:hAnsi="宋体" w:cs="宋体"/>
          <w:b/>
          <w:color w:val="auto"/>
          <w:sz w:val="24"/>
          <w:szCs w:val="24"/>
          <w:highlight w:val="none"/>
        </w:rPr>
        <w:t>9.3 对评标委员会成员的纪律要求</w:t>
      </w:r>
      <w:bookmarkEnd w:id="100"/>
    </w:p>
    <w:p w14:paraId="05C9461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1D5E7A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101" w:name="_Toc375647615"/>
      <w:r>
        <w:rPr>
          <w:rFonts w:hint="eastAsia" w:ascii="宋体" w:hAnsi="宋体" w:cs="宋体"/>
          <w:b/>
          <w:color w:val="auto"/>
          <w:sz w:val="24"/>
          <w:szCs w:val="24"/>
          <w:highlight w:val="none"/>
        </w:rPr>
        <w:t>9.4 对与评标活动有关的工作人员的纪律要求</w:t>
      </w:r>
      <w:bookmarkEnd w:id="101"/>
    </w:p>
    <w:p w14:paraId="60B8253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4DA2899">
      <w:pPr>
        <w:pageBreakBefore w:val="0"/>
        <w:kinsoku/>
        <w:overflowPunct/>
        <w:bidi w:val="0"/>
        <w:adjustRightInd w:val="0"/>
        <w:snapToGrid w:val="0"/>
        <w:spacing w:beforeAutospacing="0" w:afterAutospacing="0" w:line="360" w:lineRule="auto"/>
        <w:ind w:left="0" w:leftChars="0" w:right="0" w:rightChars="0"/>
        <w:rPr>
          <w:rFonts w:ascii="宋体" w:hAnsi="宋体" w:cs="宋体"/>
          <w:b/>
          <w:color w:val="auto"/>
          <w:sz w:val="24"/>
          <w:szCs w:val="24"/>
          <w:highlight w:val="none"/>
        </w:rPr>
      </w:pPr>
      <w:bookmarkStart w:id="102" w:name="_Toc375647616"/>
      <w:r>
        <w:rPr>
          <w:rFonts w:hint="eastAsia" w:ascii="宋体" w:hAnsi="宋体" w:cs="宋体"/>
          <w:b/>
          <w:color w:val="auto"/>
          <w:sz w:val="24"/>
          <w:szCs w:val="24"/>
          <w:highlight w:val="none"/>
        </w:rPr>
        <w:t>9.5 投诉</w:t>
      </w:r>
      <w:bookmarkEnd w:id="102"/>
    </w:p>
    <w:p w14:paraId="7DC985D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投标人和其他利害关系人认为本次招标活动违反法律、法规和规章规定的，有权向有关行政监督部门投诉。</w:t>
      </w:r>
    </w:p>
    <w:p w14:paraId="7CC0E599">
      <w:pPr>
        <w:pageBreakBefore w:val="0"/>
        <w:kinsoku/>
        <w:overflowPunct/>
        <w:bidi w:val="0"/>
        <w:adjustRightInd w:val="0"/>
        <w:snapToGrid w:val="0"/>
        <w:spacing w:beforeAutospacing="0" w:afterAutospacing="0" w:line="360" w:lineRule="auto"/>
        <w:ind w:left="0" w:leftChars="0" w:right="0" w:rightChars="0"/>
        <w:outlineLvl w:val="2"/>
        <w:rPr>
          <w:rFonts w:ascii="宋体" w:hAnsi="宋体" w:cs="宋体"/>
          <w:b/>
          <w:color w:val="auto"/>
          <w:sz w:val="24"/>
          <w:szCs w:val="24"/>
          <w:highlight w:val="none"/>
        </w:rPr>
      </w:pPr>
      <w:bookmarkStart w:id="103" w:name="_Toc374376343"/>
      <w:bookmarkStart w:id="104" w:name="_Toc375647617"/>
      <w:bookmarkStart w:id="105" w:name="_Toc333230101"/>
      <w:bookmarkStart w:id="106" w:name="_Toc14614"/>
      <w:r>
        <w:rPr>
          <w:rFonts w:hint="eastAsia" w:ascii="宋体" w:hAnsi="宋体" w:cs="宋体"/>
          <w:b/>
          <w:color w:val="auto"/>
          <w:sz w:val="24"/>
          <w:szCs w:val="24"/>
          <w:highlight w:val="none"/>
        </w:rPr>
        <w:t>10.需要补充的其他内容</w:t>
      </w:r>
      <w:bookmarkEnd w:id="103"/>
      <w:bookmarkEnd w:id="104"/>
      <w:bookmarkEnd w:id="105"/>
      <w:bookmarkEnd w:id="106"/>
    </w:p>
    <w:p w14:paraId="3425358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s="宋体"/>
          <w:color w:val="auto"/>
          <w:sz w:val="24"/>
          <w:szCs w:val="24"/>
          <w:highlight w:val="none"/>
        </w:rPr>
        <w:t>需要补充的其他内容：见投标人须知前附表。</w:t>
      </w:r>
    </w:p>
    <w:p w14:paraId="0DE26E9D">
      <w:pPr>
        <w:pageBreakBefore w:val="0"/>
        <w:kinsoku/>
        <w:overflowPunct/>
        <w:bidi w:val="0"/>
        <w:adjustRightInd w:val="0"/>
        <w:snapToGrid w:val="0"/>
        <w:spacing w:beforeAutospacing="0" w:afterAutospacing="0" w:line="360" w:lineRule="auto"/>
        <w:ind w:left="0" w:leftChars="0" w:right="0" w:rightChars="0"/>
        <w:jc w:val="center"/>
        <w:rPr>
          <w:rFonts w:hint="eastAsia"/>
          <w:b/>
          <w:bCs/>
          <w:color w:val="auto"/>
          <w:sz w:val="32"/>
          <w:szCs w:val="36"/>
          <w:highlight w:val="none"/>
        </w:rPr>
      </w:pPr>
      <w:bookmarkStart w:id="107" w:name="_Toc29947"/>
      <w:bookmarkStart w:id="108" w:name="_Toc28991"/>
      <w:bookmarkStart w:id="109" w:name="_Toc405210277"/>
      <w:bookmarkStart w:id="110" w:name="_Toc16671"/>
      <w:bookmarkStart w:id="111" w:name="_Toc405210990"/>
      <w:bookmarkStart w:id="112" w:name="_Toc257107765"/>
      <w:bookmarkStart w:id="113" w:name="_Toc375647619"/>
      <w:bookmarkStart w:id="114" w:name="_Toc247965818"/>
      <w:bookmarkStart w:id="115" w:name="_Toc374376345"/>
      <w:r>
        <w:rPr>
          <w:rFonts w:hint="eastAsia" w:ascii="宋体" w:hAnsi="宋体" w:eastAsia="宋体" w:cs="宋体"/>
          <w:color w:val="auto"/>
          <w:highlight w:val="none"/>
        </w:rPr>
        <w:br w:type="page"/>
      </w:r>
      <w:bookmarkStart w:id="116" w:name="_Toc20932"/>
      <w:r>
        <w:rPr>
          <w:rFonts w:hint="eastAsia"/>
          <w:b/>
          <w:bCs/>
          <w:color w:val="auto"/>
          <w:sz w:val="32"/>
          <w:szCs w:val="36"/>
          <w:highlight w:val="none"/>
        </w:rPr>
        <w:t>第三章</w:t>
      </w:r>
      <w:bookmarkStart w:id="117" w:name="_Toc329200380"/>
      <w:r>
        <w:rPr>
          <w:rFonts w:hint="eastAsia"/>
          <w:b/>
          <w:bCs/>
          <w:color w:val="auto"/>
          <w:sz w:val="32"/>
          <w:szCs w:val="36"/>
          <w:highlight w:val="none"/>
        </w:rPr>
        <w:t xml:space="preserve">  评标办法</w:t>
      </w:r>
      <w:bookmarkEnd w:id="107"/>
      <w:bookmarkEnd w:id="108"/>
      <w:bookmarkEnd w:id="109"/>
      <w:bookmarkEnd w:id="110"/>
      <w:bookmarkEnd w:id="111"/>
      <w:bookmarkEnd w:id="116"/>
      <w:bookmarkEnd w:id="117"/>
    </w:p>
    <w:p w14:paraId="39CD65D8">
      <w:pPr>
        <w:pageBreakBefore w:val="0"/>
        <w:kinsoku/>
        <w:overflowPunct/>
        <w:bidi w:val="0"/>
        <w:adjustRightInd w:val="0"/>
        <w:snapToGrid w:val="0"/>
        <w:spacing w:beforeAutospacing="0" w:afterAutospacing="0" w:line="360" w:lineRule="auto"/>
        <w:ind w:left="0" w:leftChars="0" w:right="0" w:rightChars="0"/>
        <w:jc w:val="both"/>
        <w:rPr>
          <w:b/>
          <w:bCs/>
          <w:color w:val="auto"/>
          <w:sz w:val="32"/>
          <w:szCs w:val="36"/>
          <w:highlight w:val="none"/>
        </w:rPr>
      </w:pPr>
      <w:bookmarkStart w:id="118" w:name="_Toc29747"/>
      <w:r>
        <w:rPr>
          <w:rFonts w:hint="eastAsia"/>
          <w:b/>
          <w:bCs/>
          <w:color w:val="auto"/>
          <w:sz w:val="32"/>
          <w:szCs w:val="36"/>
          <w:highlight w:val="none"/>
        </w:rPr>
        <w:t>评标办法前附表</w:t>
      </w:r>
      <w:bookmarkEnd w:id="112"/>
      <w:bookmarkEnd w:id="113"/>
      <w:bookmarkEnd w:id="114"/>
      <w:bookmarkEnd w:id="115"/>
      <w:bookmarkEnd w:id="118"/>
    </w:p>
    <w:tbl>
      <w:tblPr>
        <w:tblStyle w:val="22"/>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08"/>
        <w:gridCol w:w="1896"/>
        <w:gridCol w:w="6240"/>
      </w:tblGrid>
      <w:tr w14:paraId="6CE8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3" w:type="dxa"/>
            <w:gridSpan w:val="2"/>
            <w:vAlign w:val="center"/>
          </w:tcPr>
          <w:p w14:paraId="034B6127">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1896" w:type="dxa"/>
            <w:vAlign w:val="center"/>
          </w:tcPr>
          <w:p w14:paraId="659F6884">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评审因素</w:t>
            </w:r>
          </w:p>
        </w:tc>
        <w:tc>
          <w:tcPr>
            <w:tcW w:w="6240" w:type="dxa"/>
            <w:vAlign w:val="center"/>
          </w:tcPr>
          <w:p w14:paraId="103FB80B">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评审标准</w:t>
            </w:r>
          </w:p>
        </w:tc>
      </w:tr>
      <w:tr w14:paraId="0818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85" w:type="dxa"/>
            <w:vMerge w:val="restart"/>
            <w:vAlign w:val="center"/>
          </w:tcPr>
          <w:p w14:paraId="47D5AC81">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2.1.1</w:t>
            </w:r>
          </w:p>
        </w:tc>
        <w:tc>
          <w:tcPr>
            <w:tcW w:w="708" w:type="dxa"/>
            <w:vMerge w:val="restart"/>
            <w:vAlign w:val="center"/>
          </w:tcPr>
          <w:p w14:paraId="2CE42E72">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形式</w:t>
            </w:r>
          </w:p>
          <w:p w14:paraId="2C107D77">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评审</w:t>
            </w:r>
          </w:p>
          <w:p w14:paraId="4C456FDA">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标准</w:t>
            </w:r>
          </w:p>
        </w:tc>
        <w:tc>
          <w:tcPr>
            <w:tcW w:w="1896" w:type="dxa"/>
            <w:vAlign w:val="center"/>
          </w:tcPr>
          <w:p w14:paraId="6DB648DB">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240" w:type="dxa"/>
            <w:vAlign w:val="center"/>
          </w:tcPr>
          <w:p w14:paraId="32549012">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与营业执照一致</w:t>
            </w:r>
          </w:p>
        </w:tc>
      </w:tr>
      <w:tr w14:paraId="7685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85" w:type="dxa"/>
            <w:vMerge w:val="continue"/>
            <w:vAlign w:val="center"/>
          </w:tcPr>
          <w:p w14:paraId="6977637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52E7662B">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319203B7">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签字盖章</w:t>
            </w:r>
          </w:p>
        </w:tc>
        <w:tc>
          <w:tcPr>
            <w:tcW w:w="6240" w:type="dxa"/>
            <w:vAlign w:val="center"/>
          </w:tcPr>
          <w:p w14:paraId="40A20C19">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符合招标文件签字盖章要求</w:t>
            </w:r>
          </w:p>
        </w:tc>
      </w:tr>
      <w:tr w14:paraId="1F5F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85" w:type="dxa"/>
            <w:vMerge w:val="continue"/>
            <w:vAlign w:val="center"/>
          </w:tcPr>
          <w:p w14:paraId="69F287A4">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3B06FD37">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23FB7E9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投标文件格式</w:t>
            </w:r>
          </w:p>
        </w:tc>
        <w:tc>
          <w:tcPr>
            <w:tcW w:w="6240" w:type="dxa"/>
            <w:vAlign w:val="center"/>
          </w:tcPr>
          <w:p w14:paraId="64A5DC99">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符合第六章“投标文件格式”的要求</w:t>
            </w:r>
          </w:p>
        </w:tc>
      </w:tr>
      <w:tr w14:paraId="5DD3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785" w:type="dxa"/>
            <w:vMerge w:val="continue"/>
            <w:vAlign w:val="center"/>
          </w:tcPr>
          <w:p w14:paraId="0FFB2DA5">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5843EF6C">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18BF7DF3">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报价唯一</w:t>
            </w:r>
          </w:p>
        </w:tc>
        <w:tc>
          <w:tcPr>
            <w:tcW w:w="6240" w:type="dxa"/>
            <w:vAlign w:val="center"/>
          </w:tcPr>
          <w:p w14:paraId="72432DB2">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只能有一个有效报价且不超过本标段招标控制价</w:t>
            </w:r>
          </w:p>
        </w:tc>
      </w:tr>
      <w:tr w14:paraId="109A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85" w:type="dxa"/>
            <w:vMerge w:val="restart"/>
            <w:vAlign w:val="center"/>
          </w:tcPr>
          <w:p w14:paraId="4D9B68C6">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708" w:type="dxa"/>
            <w:vMerge w:val="restart"/>
            <w:vAlign w:val="center"/>
          </w:tcPr>
          <w:p w14:paraId="67BB5D73">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资格评审标准</w:t>
            </w:r>
          </w:p>
        </w:tc>
        <w:tc>
          <w:tcPr>
            <w:tcW w:w="1896" w:type="dxa"/>
            <w:vAlign w:val="center"/>
          </w:tcPr>
          <w:p w14:paraId="50149477">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cs="宋体"/>
                <w:b w:val="0"/>
                <w:bCs w:val="0"/>
                <w:color w:val="auto"/>
                <w:highlight w:val="none"/>
              </w:rPr>
            </w:pPr>
            <w:r>
              <w:rPr>
                <w:rFonts w:hint="eastAsia" w:ascii="宋体" w:hAnsi="宋体" w:eastAsia="宋体" w:cs="宋体"/>
                <w:b w:val="0"/>
                <w:bCs w:val="0"/>
                <w:color w:val="auto"/>
                <w:sz w:val="24"/>
                <w:szCs w:val="24"/>
                <w:highlight w:val="none"/>
              </w:rPr>
              <w:t>营业执照</w:t>
            </w:r>
          </w:p>
        </w:tc>
        <w:tc>
          <w:tcPr>
            <w:tcW w:w="6240" w:type="dxa"/>
            <w:vAlign w:val="center"/>
          </w:tcPr>
          <w:p w14:paraId="0ECBE2C9">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b w:val="0"/>
                <w:bCs w:val="0"/>
                <w:color w:val="auto"/>
                <w:highlight w:val="none"/>
              </w:rPr>
            </w:pPr>
            <w:r>
              <w:rPr>
                <w:rFonts w:hint="eastAsia" w:ascii="宋体" w:hAnsi="宋体" w:eastAsia="宋体" w:cs="宋体"/>
                <w:color w:val="auto"/>
                <w:sz w:val="24"/>
                <w:szCs w:val="24"/>
                <w:highlight w:val="none"/>
              </w:rPr>
              <w:t>具有有效的营业执照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且经营范围能满足本项目要求；</w:t>
            </w:r>
          </w:p>
        </w:tc>
      </w:tr>
      <w:tr w14:paraId="1CB5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85" w:type="dxa"/>
            <w:vMerge w:val="continue"/>
            <w:vAlign w:val="center"/>
          </w:tcPr>
          <w:p w14:paraId="7A79439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14:paraId="4677E0C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14:paraId="2AFD1B78">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eastAsia="宋体" w:cs="宋体"/>
                <w:b w:val="0"/>
                <w:bCs w:val="0"/>
                <w:color w:val="auto"/>
                <w:highlight w:val="none"/>
                <w:lang w:val="en-US" w:eastAsia="zh-CN"/>
              </w:rPr>
            </w:pPr>
            <w:r>
              <w:rPr>
                <w:rFonts w:hint="eastAsia" w:cs="宋体"/>
                <w:b w:val="0"/>
                <w:bCs w:val="0"/>
                <w:color w:val="auto"/>
                <w:highlight w:val="none"/>
                <w:lang w:val="en-US" w:eastAsia="zh-CN"/>
              </w:rPr>
              <w:t>信用查询</w:t>
            </w:r>
          </w:p>
        </w:tc>
        <w:tc>
          <w:tcPr>
            <w:tcW w:w="6240" w:type="dxa"/>
            <w:vAlign w:val="center"/>
          </w:tcPr>
          <w:p w14:paraId="29DE3E34">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b w:val="0"/>
                <w:bCs w:val="0"/>
                <w:color w:val="auto"/>
                <w:highlight w:val="none"/>
              </w:rPr>
            </w:pPr>
            <w:r>
              <w:rPr>
                <w:rFonts w:hint="eastAsia" w:ascii="宋体" w:hAnsi="宋体" w:eastAsia="宋体" w:cs="宋体"/>
                <w:b w:val="0"/>
                <w:bCs w:val="0"/>
                <w:color w:val="auto"/>
                <w:sz w:val="24"/>
                <w:szCs w:val="24"/>
                <w:highlight w:val="none"/>
              </w:rPr>
              <w:t>提供网站的查询信息截图，查询时间自公告发布之日起</w:t>
            </w:r>
          </w:p>
        </w:tc>
      </w:tr>
      <w:tr w14:paraId="732F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85" w:type="dxa"/>
            <w:vMerge w:val="continue"/>
            <w:vAlign w:val="center"/>
          </w:tcPr>
          <w:p w14:paraId="171D2B1D">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14:paraId="110C2EB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14:paraId="5CD29110">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cs="宋体"/>
                <w:color w:val="auto"/>
                <w:highlight w:val="none"/>
              </w:rPr>
            </w:pPr>
            <w:r>
              <w:rPr>
                <w:rFonts w:hint="eastAsia" w:cs="宋体"/>
                <w:color w:val="auto"/>
                <w:kern w:val="0"/>
                <w:sz w:val="24"/>
                <w:szCs w:val="24"/>
                <w:highlight w:val="none"/>
                <w:lang w:val="en-US" w:eastAsia="zh-CN"/>
              </w:rPr>
              <w:t>无</w:t>
            </w:r>
            <w:r>
              <w:rPr>
                <w:rFonts w:hint="eastAsia" w:ascii="宋体" w:hAnsi="宋体" w:eastAsia="宋体" w:cs="宋体"/>
                <w:color w:val="auto"/>
                <w:kern w:val="0"/>
                <w:sz w:val="24"/>
                <w:szCs w:val="24"/>
                <w:highlight w:val="none"/>
              </w:rPr>
              <w:t>行贿犯罪记录</w:t>
            </w:r>
          </w:p>
        </w:tc>
        <w:tc>
          <w:tcPr>
            <w:tcW w:w="6240" w:type="dxa"/>
            <w:vAlign w:val="center"/>
          </w:tcPr>
          <w:p w14:paraId="6DF8303C">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14:paraId="34F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continue"/>
            <w:vAlign w:val="center"/>
          </w:tcPr>
          <w:p w14:paraId="5B42EC0A">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14:paraId="01C3E2B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14:paraId="1EC0F5D0">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default" w:cs="宋体"/>
                <w:color w:val="auto"/>
                <w:highlight w:val="none"/>
                <w:lang w:val="en-US"/>
              </w:rPr>
            </w:pPr>
            <w:r>
              <w:rPr>
                <w:rFonts w:hint="eastAsia" w:cs="宋体"/>
                <w:color w:val="auto"/>
                <w:highlight w:val="none"/>
                <w:lang w:val="en-US" w:eastAsia="zh-CN"/>
              </w:rPr>
              <w:t>国家企业信用信息公示系统信息查询</w:t>
            </w:r>
          </w:p>
        </w:tc>
        <w:tc>
          <w:tcPr>
            <w:tcW w:w="6240" w:type="dxa"/>
            <w:vAlign w:val="center"/>
          </w:tcPr>
          <w:p w14:paraId="7526CED5">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14:paraId="53FF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785" w:type="dxa"/>
            <w:vMerge w:val="continue"/>
            <w:vAlign w:val="center"/>
          </w:tcPr>
          <w:p w14:paraId="410537F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tc>
        <w:tc>
          <w:tcPr>
            <w:tcW w:w="708" w:type="dxa"/>
            <w:vMerge w:val="continue"/>
            <w:vAlign w:val="center"/>
          </w:tcPr>
          <w:p w14:paraId="6F31985F">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tc>
        <w:tc>
          <w:tcPr>
            <w:tcW w:w="1896" w:type="dxa"/>
            <w:vAlign w:val="center"/>
          </w:tcPr>
          <w:p w14:paraId="739F3C7B">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center"/>
              <w:rPr>
                <w:rFonts w:hint="eastAsia" w:cs="宋体"/>
                <w:color w:val="auto"/>
                <w:highlight w:val="none"/>
              </w:rPr>
            </w:pPr>
            <w:r>
              <w:rPr>
                <w:rFonts w:hint="eastAsia" w:ascii="宋体" w:hAnsi="宋体" w:eastAsia="宋体" w:cs="宋体"/>
                <w:color w:val="auto"/>
                <w:sz w:val="24"/>
                <w:szCs w:val="24"/>
                <w:highlight w:val="none"/>
              </w:rPr>
              <w:t>书面声明中的内容</w:t>
            </w:r>
          </w:p>
        </w:tc>
        <w:tc>
          <w:tcPr>
            <w:tcW w:w="6240" w:type="dxa"/>
            <w:vAlign w:val="center"/>
          </w:tcPr>
          <w:p w14:paraId="5FC7FEE8">
            <w:pPr>
              <w:pStyle w:val="19"/>
              <w:pageBreakBefore w:val="0"/>
              <w:kinsoku/>
              <w:overflowPunct/>
              <w:autoSpaceDE w:val="0"/>
              <w:autoSpaceDN w:val="0"/>
              <w:bidi w:val="0"/>
              <w:adjustRightInd w:val="0"/>
              <w:snapToGrid w:val="0"/>
              <w:spacing w:before="0" w:beforeAutospacing="0" w:after="0" w:afterAutospacing="0" w:line="360" w:lineRule="auto"/>
              <w:ind w:left="0" w:leftChars="0" w:right="0" w:rightChars="0"/>
              <w:jc w:val="both"/>
              <w:rPr>
                <w:rFonts w:hint="eastAsia" w:cs="宋体"/>
                <w:color w:val="auto"/>
                <w:highlight w:val="none"/>
              </w:rPr>
            </w:pPr>
            <w:r>
              <w:rPr>
                <w:rFonts w:hint="eastAsia" w:ascii="宋体" w:hAnsi="宋体" w:cs="宋体"/>
                <w:color w:val="auto"/>
                <w:sz w:val="24"/>
                <w:szCs w:val="24"/>
                <w:highlight w:val="none"/>
              </w:rPr>
              <w:t>符合第</w:t>
            </w:r>
            <w:r>
              <w:rPr>
                <w:rFonts w:hint="eastAsia" w:cs="宋体"/>
                <w:color w:val="auto"/>
                <w:sz w:val="24"/>
                <w:szCs w:val="24"/>
                <w:highlight w:val="none"/>
                <w:lang w:val="en-US" w:eastAsia="zh-CN"/>
              </w:rPr>
              <w:t>一</w:t>
            </w:r>
            <w:r>
              <w:rPr>
                <w:rFonts w:hint="eastAsia" w:ascii="宋体" w:hAnsi="宋体" w:cs="宋体"/>
                <w:color w:val="auto"/>
                <w:sz w:val="24"/>
                <w:szCs w:val="24"/>
                <w:highlight w:val="none"/>
              </w:rPr>
              <w:t>章“</w:t>
            </w:r>
            <w:r>
              <w:rPr>
                <w:rFonts w:hint="eastAsia" w:cs="宋体"/>
                <w:color w:val="auto"/>
                <w:sz w:val="24"/>
                <w:szCs w:val="24"/>
                <w:highlight w:val="none"/>
                <w:lang w:val="en-US" w:eastAsia="zh-CN"/>
              </w:rPr>
              <w:t>供应商资格要求</w:t>
            </w:r>
            <w:r>
              <w:rPr>
                <w:rFonts w:hint="eastAsia" w:ascii="宋体" w:hAnsi="宋体" w:cs="宋体"/>
                <w:color w:val="auto"/>
                <w:sz w:val="24"/>
                <w:szCs w:val="24"/>
                <w:highlight w:val="none"/>
              </w:rPr>
              <w:t>”</w:t>
            </w:r>
          </w:p>
        </w:tc>
      </w:tr>
      <w:tr w14:paraId="29C0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785" w:type="dxa"/>
            <w:vMerge w:val="restart"/>
            <w:vAlign w:val="center"/>
          </w:tcPr>
          <w:p w14:paraId="356C77A7">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708" w:type="dxa"/>
            <w:vMerge w:val="restart"/>
            <w:vAlign w:val="center"/>
          </w:tcPr>
          <w:p w14:paraId="69641CDF">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响应</w:t>
            </w:r>
          </w:p>
          <w:p w14:paraId="0B477106">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性评审标准</w:t>
            </w:r>
          </w:p>
        </w:tc>
        <w:tc>
          <w:tcPr>
            <w:tcW w:w="1896" w:type="dxa"/>
            <w:vAlign w:val="center"/>
          </w:tcPr>
          <w:p w14:paraId="797FF08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投标范围</w:t>
            </w:r>
          </w:p>
        </w:tc>
        <w:tc>
          <w:tcPr>
            <w:tcW w:w="6240" w:type="dxa"/>
            <w:vAlign w:val="center"/>
          </w:tcPr>
          <w:p w14:paraId="6515F891">
            <w:pPr>
              <w:pageBreakBefore w:val="0"/>
              <w:kinsoku/>
              <w:overflowPunct/>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484F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85" w:type="dxa"/>
            <w:vMerge w:val="continue"/>
            <w:vAlign w:val="center"/>
          </w:tcPr>
          <w:p w14:paraId="5793132F">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02A6DC52">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626FF497">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交货期</w:t>
            </w:r>
          </w:p>
        </w:tc>
        <w:tc>
          <w:tcPr>
            <w:tcW w:w="6240" w:type="dxa"/>
            <w:vAlign w:val="center"/>
          </w:tcPr>
          <w:p w14:paraId="3C156B7F">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567E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785" w:type="dxa"/>
            <w:vMerge w:val="continue"/>
            <w:vAlign w:val="center"/>
          </w:tcPr>
          <w:p w14:paraId="0D75FD64">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71206FD4">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475C9472">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质量要求</w:t>
            </w:r>
          </w:p>
        </w:tc>
        <w:tc>
          <w:tcPr>
            <w:tcW w:w="6240" w:type="dxa"/>
            <w:vAlign w:val="center"/>
          </w:tcPr>
          <w:p w14:paraId="524DF8BF">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1BAD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85" w:type="dxa"/>
            <w:vMerge w:val="continue"/>
            <w:vAlign w:val="center"/>
          </w:tcPr>
          <w:p w14:paraId="5FD57061">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0CD85BC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078B4DDF">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质保期</w:t>
            </w:r>
          </w:p>
        </w:tc>
        <w:tc>
          <w:tcPr>
            <w:tcW w:w="6240" w:type="dxa"/>
            <w:vAlign w:val="center"/>
          </w:tcPr>
          <w:p w14:paraId="5B9D408E">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5D55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85" w:type="dxa"/>
            <w:vMerge w:val="continue"/>
            <w:vAlign w:val="center"/>
          </w:tcPr>
          <w:p w14:paraId="69B8C501">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24E5020B">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68BC0C9B">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6240" w:type="dxa"/>
            <w:vAlign w:val="center"/>
          </w:tcPr>
          <w:p w14:paraId="433AC281">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r w14:paraId="55EB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785" w:type="dxa"/>
            <w:vMerge w:val="continue"/>
            <w:vAlign w:val="center"/>
          </w:tcPr>
          <w:p w14:paraId="036F4EC0">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708" w:type="dxa"/>
            <w:vMerge w:val="continue"/>
            <w:vAlign w:val="center"/>
          </w:tcPr>
          <w:p w14:paraId="2CE7406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p>
        </w:tc>
        <w:tc>
          <w:tcPr>
            <w:tcW w:w="1896" w:type="dxa"/>
            <w:vAlign w:val="center"/>
          </w:tcPr>
          <w:p w14:paraId="64A2F450">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240" w:type="dxa"/>
            <w:vAlign w:val="center"/>
          </w:tcPr>
          <w:p w14:paraId="7D88FCB7">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4"/>
                <w:highlight w:val="none"/>
              </w:rPr>
            </w:pPr>
            <w:r>
              <w:rPr>
                <w:rFonts w:hint="eastAsia" w:ascii="宋体" w:hAnsi="宋体" w:cs="宋体"/>
                <w:color w:val="auto"/>
                <w:sz w:val="24"/>
                <w:szCs w:val="24"/>
                <w:highlight w:val="none"/>
              </w:rPr>
              <w:t>符合</w:t>
            </w:r>
            <w:r>
              <w:rPr>
                <w:rFonts w:hint="eastAsia" w:ascii="宋体" w:hAnsi="宋体" w:cs="宋体"/>
                <w:color w:val="auto"/>
                <w:sz w:val="24"/>
                <w:szCs w:val="24"/>
                <w:highlight w:val="none"/>
                <w:lang w:val="en-US" w:eastAsia="zh-CN"/>
              </w:rPr>
              <w:t>招标文件要求</w:t>
            </w:r>
          </w:p>
        </w:tc>
      </w:tr>
    </w:tbl>
    <w:p w14:paraId="71210B99">
      <w:pPr>
        <w:pageBreakBefore w:val="0"/>
        <w:kinsoku/>
        <w:overflowPunct/>
        <w:bidi w:val="0"/>
        <w:adjustRightInd w:val="0"/>
        <w:snapToGrid w:val="0"/>
        <w:spacing w:beforeAutospacing="0" w:afterAutospacing="0" w:line="360" w:lineRule="auto"/>
        <w:ind w:left="0" w:leftChars="0" w:right="0" w:rightChars="0"/>
        <w:rPr>
          <w:vanish/>
          <w:color w:val="auto"/>
          <w:highlight w:val="none"/>
        </w:rPr>
      </w:pPr>
    </w:p>
    <w:p w14:paraId="082829F8">
      <w:pPr>
        <w:pageBreakBefore w:val="0"/>
        <w:kinsoku/>
        <w:overflowPunct/>
        <w:bidi w:val="0"/>
        <w:adjustRightInd w:val="0"/>
        <w:snapToGrid w:val="0"/>
        <w:spacing w:beforeAutospacing="0" w:afterAutospacing="0" w:line="360" w:lineRule="auto"/>
        <w:ind w:left="0" w:leftChars="0" w:right="0" w:rightChars="0"/>
        <w:rPr>
          <w:color w:val="auto"/>
          <w:highlight w:val="none"/>
        </w:rPr>
      </w:pPr>
      <w:r>
        <w:rPr>
          <w:color w:val="auto"/>
          <w:highlight w:val="none"/>
        </w:rPr>
        <w:br w:type="page"/>
      </w:r>
    </w:p>
    <w:p w14:paraId="2BEECCE2">
      <w:pPr>
        <w:pStyle w:val="13"/>
        <w:pageBreakBefore w:val="0"/>
        <w:kinsoku/>
        <w:overflowPunct/>
        <w:bidi w:val="0"/>
        <w:adjustRightInd w:val="0"/>
        <w:snapToGrid w:val="0"/>
        <w:spacing w:beforeAutospacing="0" w:afterAutospacing="0" w:line="360" w:lineRule="auto"/>
        <w:ind w:left="0" w:leftChars="0" w:right="0" w:rightChars="0" w:firstLine="0" w:firstLineChars="0"/>
        <w:rPr>
          <w:rFonts w:hint="default" w:eastAsia="宋体"/>
          <w:b/>
          <w:bCs/>
          <w:color w:val="auto"/>
          <w:sz w:val="28"/>
          <w:szCs w:val="22"/>
          <w:highlight w:val="none"/>
          <w:lang w:val="en-US" w:eastAsia="zh-CN"/>
        </w:rPr>
      </w:pPr>
      <w:r>
        <w:rPr>
          <w:rFonts w:hint="eastAsia"/>
          <w:b/>
          <w:bCs/>
          <w:color w:val="auto"/>
          <w:sz w:val="28"/>
          <w:szCs w:val="22"/>
          <w:highlight w:val="none"/>
          <w:lang w:eastAsia="zh-CN"/>
        </w:rPr>
        <w:t>一标段评分办法</w:t>
      </w:r>
      <w:r>
        <w:rPr>
          <w:rFonts w:hint="eastAsia"/>
          <w:b/>
          <w:bCs/>
          <w:color w:val="auto"/>
          <w:sz w:val="28"/>
          <w:szCs w:val="22"/>
          <w:highlight w:val="none"/>
          <w:lang w:val="en-US" w:eastAsia="zh-CN"/>
        </w:rPr>
        <w:t>:</w:t>
      </w:r>
    </w:p>
    <w:tbl>
      <w:tblPr>
        <w:tblStyle w:val="22"/>
        <w:tblpPr w:leftFromText="180" w:rightFromText="180" w:vertAnchor="text" w:horzAnchor="margin" w:tblpXSpec="center" w:tblpY="13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2"/>
        <w:gridCol w:w="712"/>
        <w:gridCol w:w="1909"/>
        <w:gridCol w:w="5695"/>
      </w:tblGrid>
      <w:tr w14:paraId="7D26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jc w:val="center"/>
        </w:trPr>
        <w:tc>
          <w:tcPr>
            <w:tcW w:w="1514" w:type="dxa"/>
            <w:gridSpan w:val="2"/>
            <w:shd w:val="clear" w:color="auto" w:fill="auto"/>
            <w:vAlign w:val="center"/>
          </w:tcPr>
          <w:p w14:paraId="669EDC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1909" w:type="dxa"/>
            <w:shd w:val="clear" w:color="auto" w:fill="auto"/>
            <w:vAlign w:val="center"/>
          </w:tcPr>
          <w:p w14:paraId="5BD1A48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条款内容</w:t>
            </w:r>
          </w:p>
        </w:tc>
        <w:tc>
          <w:tcPr>
            <w:tcW w:w="5695" w:type="dxa"/>
            <w:shd w:val="clear" w:color="auto" w:fill="auto"/>
            <w:vAlign w:val="center"/>
          </w:tcPr>
          <w:p w14:paraId="212E419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编列内容</w:t>
            </w:r>
          </w:p>
        </w:tc>
      </w:tr>
      <w:tr w14:paraId="604E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5" w:hRule="atLeast"/>
          <w:jc w:val="center"/>
        </w:trPr>
        <w:tc>
          <w:tcPr>
            <w:tcW w:w="1514" w:type="dxa"/>
            <w:gridSpan w:val="2"/>
            <w:shd w:val="clear" w:color="auto" w:fill="auto"/>
            <w:vAlign w:val="center"/>
          </w:tcPr>
          <w:p w14:paraId="451B0F4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2.2.1</w:t>
            </w:r>
          </w:p>
        </w:tc>
        <w:tc>
          <w:tcPr>
            <w:tcW w:w="1909" w:type="dxa"/>
            <w:shd w:val="clear" w:color="auto" w:fill="auto"/>
            <w:vAlign w:val="center"/>
          </w:tcPr>
          <w:p w14:paraId="57284E6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分值构成</w:t>
            </w:r>
          </w:p>
          <w:p w14:paraId="09A435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（总分100分）</w:t>
            </w:r>
          </w:p>
        </w:tc>
        <w:tc>
          <w:tcPr>
            <w:tcW w:w="5695" w:type="dxa"/>
            <w:shd w:val="clear" w:color="auto" w:fill="auto"/>
            <w:vAlign w:val="center"/>
          </w:tcPr>
          <w:p w14:paraId="356400B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r>
              <w:rPr>
                <w:rFonts w:hint="eastAsia" w:ascii="宋体" w:hAnsi="宋体" w:eastAsia="宋体" w:cs="宋体"/>
                <w:color w:val="auto"/>
                <w:spacing w:val="0"/>
                <w:position w:val="0"/>
                <w:sz w:val="24"/>
                <w:szCs w:val="24"/>
                <w:highlight w:val="none"/>
                <w:lang w:val="en-US" w:eastAsia="zh-CN"/>
              </w:rPr>
              <w:t>3</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分</w:t>
            </w:r>
          </w:p>
          <w:p w14:paraId="6DF1AEB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商务部分：</w:t>
            </w:r>
            <w:r>
              <w:rPr>
                <w:rFonts w:hint="eastAsia" w:ascii="宋体" w:hAnsi="宋体" w:cs="宋体"/>
                <w:color w:val="auto"/>
                <w:spacing w:val="0"/>
                <w:position w:val="0"/>
                <w:sz w:val="24"/>
                <w:szCs w:val="24"/>
                <w:highlight w:val="none"/>
                <w:lang w:val="en-US" w:eastAsia="zh-CN"/>
              </w:rPr>
              <w:t>20</w:t>
            </w:r>
            <w:r>
              <w:rPr>
                <w:rFonts w:hint="eastAsia" w:ascii="宋体" w:hAnsi="宋体" w:eastAsia="宋体" w:cs="宋体"/>
                <w:color w:val="auto"/>
                <w:spacing w:val="0"/>
                <w:position w:val="0"/>
                <w:sz w:val="24"/>
                <w:szCs w:val="24"/>
                <w:highlight w:val="none"/>
              </w:rPr>
              <w:t>分</w:t>
            </w:r>
          </w:p>
          <w:p w14:paraId="3A82AD4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技术部分：</w:t>
            </w:r>
            <w:r>
              <w:rPr>
                <w:rFonts w:hint="eastAsia" w:ascii="宋体" w:hAnsi="宋体" w:cs="宋体"/>
                <w:color w:val="auto"/>
                <w:spacing w:val="0"/>
                <w:position w:val="0"/>
                <w:sz w:val="24"/>
                <w:szCs w:val="24"/>
                <w:highlight w:val="none"/>
                <w:lang w:val="en-US" w:eastAsia="zh-CN"/>
              </w:rPr>
              <w:t>50</w:t>
            </w:r>
            <w:r>
              <w:rPr>
                <w:rFonts w:hint="eastAsia" w:ascii="宋体" w:hAnsi="宋体" w:eastAsia="宋体" w:cs="宋体"/>
                <w:color w:val="auto"/>
                <w:spacing w:val="0"/>
                <w:position w:val="0"/>
                <w:sz w:val="24"/>
                <w:szCs w:val="24"/>
                <w:highlight w:val="none"/>
              </w:rPr>
              <w:t>分</w:t>
            </w:r>
          </w:p>
        </w:tc>
      </w:tr>
      <w:tr w14:paraId="05B6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6" w:hRule="atLeast"/>
          <w:jc w:val="center"/>
        </w:trPr>
        <w:tc>
          <w:tcPr>
            <w:tcW w:w="1514" w:type="dxa"/>
            <w:gridSpan w:val="2"/>
            <w:shd w:val="clear" w:color="auto" w:fill="auto"/>
            <w:vAlign w:val="center"/>
          </w:tcPr>
          <w:p w14:paraId="3BC8C99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2.2.2</w:t>
            </w:r>
          </w:p>
        </w:tc>
        <w:tc>
          <w:tcPr>
            <w:tcW w:w="1909" w:type="dxa"/>
            <w:shd w:val="clear" w:color="auto" w:fill="auto"/>
            <w:vAlign w:val="center"/>
          </w:tcPr>
          <w:p w14:paraId="6F3FCA5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评标基准价计算方法</w:t>
            </w:r>
          </w:p>
        </w:tc>
        <w:tc>
          <w:tcPr>
            <w:tcW w:w="5695" w:type="dxa"/>
            <w:shd w:val="clear" w:color="auto" w:fill="auto"/>
            <w:vAlign w:val="center"/>
          </w:tcPr>
          <w:p w14:paraId="6D228B5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kern w:val="0"/>
                <w:sz w:val="24"/>
                <w:szCs w:val="24"/>
                <w:highlight w:val="none"/>
              </w:rPr>
              <w:t>价格分采用低价优先法计算，即满足招标文件要求且投标价格最低的投标报价为评标基准价，</w:t>
            </w:r>
          </w:p>
        </w:tc>
      </w:tr>
      <w:tr w14:paraId="5A41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6" w:hRule="atLeast"/>
          <w:jc w:val="center"/>
        </w:trPr>
        <w:tc>
          <w:tcPr>
            <w:tcW w:w="1514" w:type="dxa"/>
            <w:gridSpan w:val="2"/>
            <w:shd w:val="clear" w:color="auto" w:fill="auto"/>
            <w:vAlign w:val="center"/>
          </w:tcPr>
          <w:p w14:paraId="2D29CE5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2.2.3</w:t>
            </w:r>
          </w:p>
        </w:tc>
        <w:tc>
          <w:tcPr>
            <w:tcW w:w="1909" w:type="dxa"/>
            <w:shd w:val="clear" w:color="auto" w:fill="auto"/>
            <w:vAlign w:val="center"/>
          </w:tcPr>
          <w:p w14:paraId="69D3F1E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投标报价的偏差率计算公式</w:t>
            </w:r>
          </w:p>
        </w:tc>
        <w:tc>
          <w:tcPr>
            <w:tcW w:w="5695" w:type="dxa"/>
            <w:shd w:val="clear" w:color="auto" w:fill="auto"/>
            <w:vAlign w:val="center"/>
          </w:tcPr>
          <w:p w14:paraId="3B1C386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偏差率=100%×（有效投标报价－评标基准价）/评标基准价</w:t>
            </w:r>
          </w:p>
        </w:tc>
      </w:tr>
      <w:tr w14:paraId="7C0A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jc w:val="center"/>
        </w:trPr>
        <w:tc>
          <w:tcPr>
            <w:tcW w:w="1514" w:type="dxa"/>
            <w:gridSpan w:val="2"/>
            <w:shd w:val="clear" w:color="auto" w:fill="auto"/>
            <w:vAlign w:val="center"/>
          </w:tcPr>
          <w:p w14:paraId="5F57E5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条款号</w:t>
            </w:r>
          </w:p>
        </w:tc>
        <w:tc>
          <w:tcPr>
            <w:tcW w:w="1909" w:type="dxa"/>
            <w:shd w:val="clear" w:color="auto" w:fill="auto"/>
            <w:vAlign w:val="center"/>
          </w:tcPr>
          <w:p w14:paraId="527460F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评分因素</w:t>
            </w:r>
          </w:p>
        </w:tc>
        <w:tc>
          <w:tcPr>
            <w:tcW w:w="5695" w:type="dxa"/>
            <w:shd w:val="clear" w:color="auto" w:fill="auto"/>
            <w:vAlign w:val="center"/>
          </w:tcPr>
          <w:p w14:paraId="7FE22BB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b/>
                <w:bCs/>
                <w:color w:val="auto"/>
                <w:spacing w:val="0"/>
                <w:position w:val="0"/>
                <w:sz w:val="24"/>
                <w:szCs w:val="24"/>
                <w:highlight w:val="none"/>
              </w:rPr>
              <w:t>评分标准</w:t>
            </w:r>
          </w:p>
        </w:tc>
      </w:tr>
      <w:tr w14:paraId="5F76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7" w:hRule="atLeast"/>
          <w:jc w:val="center"/>
        </w:trPr>
        <w:tc>
          <w:tcPr>
            <w:tcW w:w="1514" w:type="dxa"/>
            <w:gridSpan w:val="2"/>
            <w:shd w:val="clear" w:color="auto" w:fill="auto"/>
            <w:vAlign w:val="center"/>
          </w:tcPr>
          <w:p w14:paraId="638B18D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2.2.4</w:t>
            </w:r>
          </w:p>
          <w:p w14:paraId="2CB8F7F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（1）</w:t>
            </w:r>
          </w:p>
        </w:tc>
        <w:tc>
          <w:tcPr>
            <w:tcW w:w="1909" w:type="dxa"/>
            <w:shd w:val="clear" w:color="auto" w:fill="auto"/>
            <w:vAlign w:val="center"/>
          </w:tcPr>
          <w:p w14:paraId="42C521D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投标报价</w:t>
            </w:r>
          </w:p>
          <w:p w14:paraId="1ACFA4C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b/>
                <w:bCs/>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spacing w:val="0"/>
                <w:position w:val="0"/>
                <w:sz w:val="24"/>
                <w:szCs w:val="24"/>
                <w:highlight w:val="none"/>
                <w:lang w:val="en-US" w:eastAsia="zh-CN"/>
              </w:rPr>
              <w:t>3</w:t>
            </w:r>
            <w:r>
              <w:rPr>
                <w:rFonts w:hint="eastAsia" w:ascii="宋体" w:hAnsi="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rPr>
              <w:t>分）</w:t>
            </w:r>
          </w:p>
        </w:tc>
        <w:tc>
          <w:tcPr>
            <w:tcW w:w="5695" w:type="dxa"/>
            <w:shd w:val="clear" w:color="auto" w:fill="auto"/>
            <w:vAlign w:val="center"/>
          </w:tcPr>
          <w:p w14:paraId="70B700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本项目投标价超出预算价的，采购人不予接受，且投标为无效。</w:t>
            </w:r>
          </w:p>
          <w:p w14:paraId="18179C2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投标报价得分：价格分采用低价优先法计算，即满足招标文件要求且投标价格最低的投标报价为评标基准价，得</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分，其他供应商的价格分按照下列公式计算：</w:t>
            </w:r>
          </w:p>
          <w:p w14:paraId="6C2DEA8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(精确到小数点后两位,四舍五入)</w:t>
            </w:r>
          </w:p>
          <w:p w14:paraId="39F2EF99">
            <w:pPr>
              <w:pStyle w:val="20"/>
              <w:keepNext w:val="0"/>
              <w:keepLines w:val="0"/>
              <w:pageBreakBefore w:val="0"/>
              <w:widowControl w:val="0"/>
              <w:kinsoku/>
              <w:wordWrap/>
              <w:overflowPunct/>
              <w:topLinePunct w:val="0"/>
              <w:bidi w:val="0"/>
              <w:spacing w:after="0" w:line="360" w:lineRule="auto"/>
              <w:ind w:right="0" w:rightChars="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价格扣除：《三门峡市财政局关于进一步加大政府采购支持中小企业发展有关事项的通知》（三财购〔2022〕9 号）的规定，对于非专门面向中小企业的项目，对小型和微型企业产品的价格给予 20%的扣除，用扣除后的价格参与评审。对于中型企业产品的价格不予扣除。供应商须提供中小企业声明函，否则不予认可。（注：小型、微型企业提供中型企业制造的货物的，视同为中型企业。）</w:t>
            </w:r>
          </w:p>
          <w:p w14:paraId="17F11F9B">
            <w:pPr>
              <w:pStyle w:val="13"/>
              <w:pageBreakBefore w:val="0"/>
              <w:kinsoku/>
              <w:overflowPunct/>
              <w:bidi w:val="0"/>
              <w:adjustRightInd w:val="0"/>
              <w:snapToGrid w:val="0"/>
              <w:spacing w:beforeAutospacing="0" w:afterAutospacing="0" w:line="360" w:lineRule="auto"/>
              <w:ind w:left="0" w:leftChars="0" w:right="0" w:rightChars="0"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所投中小微企业产品报价=所投中小微企业产品报价×（1-20%）</w:t>
            </w:r>
          </w:p>
        </w:tc>
      </w:tr>
      <w:tr w14:paraId="089C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9" w:hRule="atLeast"/>
          <w:jc w:val="center"/>
        </w:trPr>
        <w:tc>
          <w:tcPr>
            <w:tcW w:w="802" w:type="dxa"/>
            <w:vMerge w:val="restart"/>
            <w:tcBorders>
              <w:right w:val="single" w:color="auto" w:sz="4" w:space="0"/>
            </w:tcBorders>
            <w:shd w:val="clear" w:color="auto" w:fill="auto"/>
            <w:vAlign w:val="center"/>
          </w:tcPr>
          <w:p w14:paraId="01AB6CC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2.2.4</w:t>
            </w:r>
          </w:p>
          <w:p w14:paraId="0414D4A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w:t>
            </w:r>
          </w:p>
        </w:tc>
        <w:tc>
          <w:tcPr>
            <w:tcW w:w="712" w:type="dxa"/>
            <w:vMerge w:val="restart"/>
            <w:tcBorders>
              <w:left w:val="single" w:color="auto" w:sz="4" w:space="0"/>
            </w:tcBorders>
            <w:shd w:val="clear" w:color="auto" w:fill="auto"/>
            <w:vAlign w:val="center"/>
          </w:tcPr>
          <w:p w14:paraId="4C4267E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p w14:paraId="7CF63D9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商务部分</w:t>
            </w:r>
            <w:r>
              <w:rPr>
                <w:rFonts w:hint="eastAsia" w:ascii="宋体" w:hAnsi="宋体" w:cs="宋体"/>
                <w:color w:val="auto"/>
                <w:spacing w:val="0"/>
                <w:position w:val="0"/>
                <w:sz w:val="24"/>
                <w:szCs w:val="24"/>
                <w:highlight w:val="none"/>
                <w:lang w:val="en-US" w:eastAsia="zh-CN"/>
              </w:rPr>
              <w:t>20</w:t>
            </w:r>
            <w:r>
              <w:rPr>
                <w:rFonts w:hint="eastAsia" w:ascii="宋体" w:hAnsi="宋体" w:eastAsia="宋体" w:cs="宋体"/>
                <w:color w:val="auto"/>
                <w:spacing w:val="0"/>
                <w:position w:val="0"/>
                <w:sz w:val="24"/>
                <w:szCs w:val="24"/>
                <w:highlight w:val="none"/>
              </w:rPr>
              <w:t>分</w:t>
            </w:r>
          </w:p>
        </w:tc>
        <w:tc>
          <w:tcPr>
            <w:tcW w:w="1909" w:type="dxa"/>
            <w:shd w:val="clear" w:color="auto" w:fill="auto"/>
            <w:vAlign w:val="center"/>
          </w:tcPr>
          <w:p w14:paraId="358E431D">
            <w:pPr>
              <w:autoSpaceDE w:val="0"/>
              <w:autoSpaceDN w:val="0"/>
              <w:adjustRightInd w:val="0"/>
              <w:spacing w:line="360" w:lineRule="auto"/>
              <w:jc w:val="left"/>
              <w:rPr>
                <w:rFonts w:hint="eastAsia" w:ascii="宋体" w:hAnsi="宋体" w:eastAsia="宋体" w:cs="宋体"/>
                <w:color w:val="auto"/>
                <w:spacing w:val="0"/>
                <w:position w:val="0"/>
                <w:sz w:val="24"/>
                <w:szCs w:val="24"/>
                <w:highlight w:val="none"/>
              </w:rPr>
            </w:pPr>
            <w:r>
              <w:rPr>
                <w:rFonts w:hint="eastAsia" w:ascii="宋体" w:hAnsi="宋体" w:eastAsia="宋体" w:cs="宋体"/>
                <w:bCs/>
                <w:color w:val="auto"/>
                <w:kern w:val="2"/>
                <w:sz w:val="24"/>
                <w:szCs w:val="24"/>
                <w:highlight w:val="none"/>
                <w:lang w:val="en-US" w:eastAsia="zh-CN"/>
              </w:rPr>
              <w:t>供货周期保证措施（</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bCs/>
                <w:color w:val="auto"/>
                <w:kern w:val="2"/>
                <w:sz w:val="24"/>
                <w:szCs w:val="24"/>
                <w:highlight w:val="none"/>
                <w:lang w:val="en-US" w:eastAsia="zh-CN"/>
              </w:rPr>
              <w:t>）</w:t>
            </w:r>
          </w:p>
        </w:tc>
        <w:tc>
          <w:tcPr>
            <w:tcW w:w="5695" w:type="dxa"/>
            <w:shd w:val="clear" w:color="auto" w:fill="auto"/>
            <w:vAlign w:val="center"/>
          </w:tcPr>
          <w:p w14:paraId="20F9FB5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bCs/>
                <w:color w:val="auto"/>
                <w:spacing w:val="0"/>
                <w:position w:val="0"/>
                <w:sz w:val="24"/>
                <w:szCs w:val="24"/>
                <w:highlight w:val="none"/>
                <w:lang w:val="zh-CN"/>
              </w:rPr>
            </w:pPr>
            <w:r>
              <w:rPr>
                <w:rFonts w:hint="eastAsia" w:ascii="宋体" w:hAnsi="宋体" w:eastAsia="宋体" w:cs="宋体"/>
                <w:color w:val="auto"/>
                <w:sz w:val="24"/>
                <w:szCs w:val="24"/>
                <w:highlight w:val="none"/>
                <w:lang w:val="en-US" w:eastAsia="zh-CN"/>
              </w:rPr>
              <w:t>内容清晰、详实，措施科学合理且有针对性、可行性强的得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分；内容清晰完整、措施合理较可行的得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分；内容完整，措施基本合理、基本可行的得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分; </w:t>
            </w:r>
            <w:r>
              <w:rPr>
                <w:rFonts w:hint="eastAsia" w:ascii="宋体" w:hAnsi="宋体" w:eastAsia="宋体" w:cs="宋体"/>
                <w:color w:val="auto"/>
                <w:sz w:val="24"/>
                <w:szCs w:val="24"/>
                <w:highlight w:val="none"/>
              </w:rPr>
              <w:t>缺项得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tc>
      </w:tr>
      <w:tr w14:paraId="4349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4FF9C6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27D17F8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shd w:val="clear" w:color="auto" w:fill="auto"/>
            <w:vAlign w:val="center"/>
          </w:tcPr>
          <w:p w14:paraId="471BC05D">
            <w:pPr>
              <w:autoSpaceDE w:val="0"/>
              <w:autoSpaceDN w:val="0"/>
              <w:adjustRightInd w:val="0"/>
              <w:spacing w:line="360" w:lineRule="auto"/>
              <w:jc w:val="left"/>
              <w:rPr>
                <w:rFonts w:hint="eastAsia" w:ascii="宋体" w:hAnsi="宋体" w:eastAsia="宋体" w:cs="宋体"/>
                <w:color w:val="auto"/>
                <w:spacing w:val="0"/>
                <w:kern w:val="2"/>
                <w:position w:val="0"/>
                <w:sz w:val="24"/>
                <w:szCs w:val="24"/>
                <w:highlight w:val="none"/>
                <w:lang w:val="zh-CN" w:eastAsia="zh-CN" w:bidi="ar-SA"/>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5695" w:type="dxa"/>
            <w:shd w:val="clear" w:color="auto" w:fill="auto"/>
            <w:vAlign w:val="center"/>
          </w:tcPr>
          <w:p w14:paraId="0E6C66BA">
            <w:pPr>
              <w:widowControl w:val="0"/>
              <w:wordWrap/>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投标人制定的售后服务方案应针对本项目的售后服务内容、售后服务期限、服务体系、响应方式、响应时间等进行详细说明，由评标委员会进行横向比较：</w:t>
            </w:r>
          </w:p>
          <w:p w14:paraId="787669DD">
            <w:pPr>
              <w:pStyle w:val="38"/>
              <w:pageBreakBefore w:val="0"/>
              <w:numPr>
                <w:ilvl w:val="0"/>
                <w:numId w:val="0"/>
              </w:numPr>
              <w:kinsoku/>
              <w:overflowPunct/>
              <w:bidi w:val="0"/>
              <w:adjustRightInd w:val="0"/>
              <w:snapToGrid w:val="0"/>
              <w:spacing w:before="0" w:beforeAutospacing="0" w:after="0" w:afterAutospacing="0" w:line="360" w:lineRule="auto"/>
              <w:ind w:left="0" w:leftChars="0" w:right="0" w:rightChars="0"/>
              <w:jc w:val="both"/>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内容完整、科学合理的得</w:t>
            </w:r>
            <w:r>
              <w:rPr>
                <w:rFonts w:hint="eastAsia" w:cs="宋体"/>
                <w:bCs/>
                <w:color w:val="auto"/>
                <w:kern w:val="2"/>
                <w:sz w:val="24"/>
                <w:szCs w:val="24"/>
                <w:highlight w:val="none"/>
                <w:lang w:val="en-US" w:eastAsia="zh-CN"/>
              </w:rPr>
              <w:t>8</w:t>
            </w:r>
            <w:r>
              <w:rPr>
                <w:rFonts w:hint="eastAsia" w:ascii="宋体" w:hAnsi="宋体" w:eastAsia="宋体" w:cs="宋体"/>
                <w:bCs/>
                <w:color w:val="auto"/>
                <w:kern w:val="2"/>
                <w:sz w:val="24"/>
                <w:szCs w:val="24"/>
                <w:highlight w:val="none"/>
                <w:lang w:val="en-US" w:eastAsia="zh-CN"/>
              </w:rPr>
              <w:t>分；内容较完整的得</w:t>
            </w:r>
            <w:r>
              <w:rPr>
                <w:rFonts w:hint="eastAsia"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lang w:val="en-US" w:eastAsia="zh-CN"/>
              </w:rPr>
              <w:t>分；内容基本完整的得2分，缺项得0分</w:t>
            </w:r>
          </w:p>
        </w:tc>
      </w:tr>
      <w:tr w14:paraId="3104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jc w:val="center"/>
        </w:trPr>
        <w:tc>
          <w:tcPr>
            <w:tcW w:w="802" w:type="dxa"/>
            <w:vMerge w:val="continue"/>
            <w:tcBorders>
              <w:right w:val="single" w:color="auto" w:sz="4" w:space="0"/>
            </w:tcBorders>
            <w:shd w:val="clear" w:color="auto" w:fill="auto"/>
            <w:vAlign w:val="center"/>
          </w:tcPr>
          <w:p w14:paraId="7122766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2556E04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shd w:val="clear" w:color="auto" w:fill="auto"/>
            <w:vAlign w:val="center"/>
          </w:tcPr>
          <w:p w14:paraId="415ECF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5695" w:type="dxa"/>
            <w:shd w:val="clear" w:color="auto" w:fill="auto"/>
            <w:vAlign w:val="center"/>
          </w:tcPr>
          <w:p w14:paraId="0193CE5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bCs/>
                <w:color w:val="auto"/>
                <w:kern w:val="2"/>
                <w:sz w:val="24"/>
                <w:szCs w:val="24"/>
                <w:highlight w:val="none"/>
                <w:lang w:val="en-US" w:eastAsia="zh-CN"/>
              </w:rPr>
            </w:pPr>
            <w:r>
              <w:rPr>
                <w:rFonts w:hint="eastAsia" w:ascii="宋体" w:hAnsi="宋体" w:cs="宋体"/>
                <w:color w:val="auto"/>
                <w:sz w:val="24"/>
                <w:szCs w:val="24"/>
                <w:highlight w:val="none"/>
              </w:rPr>
              <w:t>根据供应商提供的其他服务及优惠条件综合评价。方案完整、详实、可行性强的得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分,方案完整、具有可行性的得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分，方案不完整、可行性不强的得</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分，不提供不得分。</w:t>
            </w:r>
          </w:p>
        </w:tc>
      </w:tr>
      <w:tr w14:paraId="492E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6" w:hRule="atLeast"/>
          <w:jc w:val="center"/>
        </w:trPr>
        <w:tc>
          <w:tcPr>
            <w:tcW w:w="802" w:type="dxa"/>
            <w:vMerge w:val="continue"/>
            <w:tcBorders>
              <w:right w:val="single" w:color="auto" w:sz="4" w:space="0"/>
            </w:tcBorders>
            <w:shd w:val="clear" w:color="auto" w:fill="auto"/>
            <w:vAlign w:val="center"/>
          </w:tcPr>
          <w:p w14:paraId="64B2BA0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4739A0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position w:val="0"/>
                <w:sz w:val="24"/>
                <w:szCs w:val="24"/>
                <w:highlight w:val="none"/>
              </w:rPr>
            </w:pPr>
          </w:p>
        </w:tc>
        <w:tc>
          <w:tcPr>
            <w:tcW w:w="1909" w:type="dxa"/>
            <w:shd w:val="clear" w:color="auto" w:fill="auto"/>
            <w:vAlign w:val="center"/>
          </w:tcPr>
          <w:p w14:paraId="28C2DAE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kern w:val="2"/>
                <w:position w:val="0"/>
                <w:sz w:val="24"/>
                <w:szCs w:val="24"/>
                <w:highlight w:val="none"/>
                <w:lang w:val="en-US" w:eastAsia="zh-CN" w:bidi="ar-SA"/>
              </w:rPr>
              <w:t>质保期限（2分）</w:t>
            </w:r>
          </w:p>
        </w:tc>
        <w:tc>
          <w:tcPr>
            <w:tcW w:w="5695" w:type="dxa"/>
            <w:shd w:val="clear" w:color="auto" w:fill="auto"/>
            <w:vAlign w:val="center"/>
          </w:tcPr>
          <w:p w14:paraId="3C80F94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default" w:ascii="宋体" w:hAnsi="宋体" w:eastAsia="宋体" w:cs="宋体"/>
                <w:color w:val="auto"/>
                <w:spacing w:val="0"/>
                <w:kern w:val="2"/>
                <w:position w:val="0"/>
                <w:sz w:val="24"/>
                <w:szCs w:val="24"/>
                <w:highlight w:val="none"/>
                <w:lang w:val="en-US" w:eastAsia="zh-CN" w:bidi="ar-SA"/>
              </w:rPr>
            </w:pPr>
            <w:r>
              <w:rPr>
                <w:rFonts w:hint="eastAsia" w:ascii="宋体" w:hAnsi="宋体" w:cs="宋体"/>
                <w:color w:val="auto"/>
                <w:spacing w:val="0"/>
                <w:kern w:val="2"/>
                <w:position w:val="0"/>
                <w:sz w:val="24"/>
                <w:szCs w:val="24"/>
                <w:highlight w:val="none"/>
                <w:lang w:val="en-US" w:eastAsia="zh-CN" w:bidi="ar-SA"/>
              </w:rPr>
              <w:t>在原有质保期限的基础上，每增加1年免费质保期限得1分，最多2分。</w:t>
            </w:r>
          </w:p>
        </w:tc>
      </w:tr>
      <w:tr w14:paraId="7C2D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2" w:hRule="atLeast"/>
          <w:jc w:val="center"/>
        </w:trPr>
        <w:tc>
          <w:tcPr>
            <w:tcW w:w="802" w:type="dxa"/>
            <w:vMerge w:val="restart"/>
            <w:tcBorders>
              <w:right w:val="single" w:color="auto" w:sz="4" w:space="0"/>
            </w:tcBorders>
            <w:shd w:val="clear" w:color="auto" w:fill="auto"/>
            <w:vAlign w:val="center"/>
          </w:tcPr>
          <w:p w14:paraId="352699A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2.2.4</w:t>
            </w:r>
          </w:p>
          <w:p w14:paraId="43D6859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t>（3）</w:t>
            </w:r>
          </w:p>
        </w:tc>
        <w:tc>
          <w:tcPr>
            <w:tcW w:w="712" w:type="dxa"/>
            <w:vMerge w:val="restart"/>
            <w:tcBorders>
              <w:left w:val="single" w:color="auto" w:sz="4" w:space="0"/>
            </w:tcBorders>
            <w:shd w:val="clear" w:color="auto" w:fill="auto"/>
            <w:vAlign w:val="center"/>
          </w:tcPr>
          <w:p w14:paraId="7468716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技术部分</w:t>
            </w:r>
            <w:r>
              <w:rPr>
                <w:rFonts w:hint="eastAsia" w:ascii="宋体" w:hAnsi="宋体" w:cs="宋体"/>
                <w:color w:val="auto"/>
                <w:kern w:val="0"/>
                <w:sz w:val="24"/>
                <w:szCs w:val="24"/>
                <w:highlight w:val="none"/>
                <w:lang w:val="en-US" w:eastAsia="zh-CN" w:bidi="ar-SA"/>
              </w:rPr>
              <w:t>50</w:t>
            </w:r>
            <w:r>
              <w:rPr>
                <w:rFonts w:hint="eastAsia" w:ascii="宋体" w:hAnsi="宋体" w:eastAsia="宋体" w:cs="宋体"/>
                <w:color w:val="auto"/>
                <w:kern w:val="0"/>
                <w:sz w:val="24"/>
                <w:szCs w:val="24"/>
                <w:highlight w:val="none"/>
                <w:lang w:val="en-US" w:eastAsia="zh-CN" w:bidi="ar-SA"/>
              </w:rPr>
              <w:t>分</w:t>
            </w:r>
          </w:p>
        </w:tc>
        <w:tc>
          <w:tcPr>
            <w:tcW w:w="1909" w:type="dxa"/>
            <w:shd w:val="clear" w:color="auto" w:fill="auto"/>
            <w:vAlign w:val="center"/>
          </w:tcPr>
          <w:p w14:paraId="32D545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p w14:paraId="510330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w:t>
            </w:r>
          </w:p>
        </w:tc>
        <w:tc>
          <w:tcPr>
            <w:tcW w:w="5695" w:type="dxa"/>
            <w:shd w:val="clear" w:color="auto" w:fill="auto"/>
            <w:vAlign w:val="center"/>
          </w:tcPr>
          <w:p w14:paraId="32D9B32C">
            <w:pPr>
              <w:pStyle w:val="4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Times New Roman"/>
                <w:color w:val="auto"/>
                <w:szCs w:val="21"/>
                <w:highlight w:val="none"/>
                <w:lang w:val="en-US" w:eastAsia="zh-CN"/>
              </w:rPr>
            </w:pPr>
            <w:r>
              <w:rPr>
                <w:rFonts w:hint="eastAsia" w:ascii="宋体" w:hAnsi="宋体" w:eastAsia="宋体" w:cs="宋体"/>
                <w:color w:val="auto"/>
                <w:spacing w:val="0"/>
                <w:position w:val="0"/>
                <w:sz w:val="24"/>
                <w:szCs w:val="24"/>
                <w:highlight w:val="none"/>
              </w:rPr>
              <w:t>投标产品其它技术参数全部满足招标文件技术参数要求，得</w:t>
            </w:r>
            <w:r>
              <w:rPr>
                <w:rFonts w:hint="eastAsia"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rPr>
              <w:t>分；不满足招标文件技术参数要求的</w:t>
            </w:r>
            <w:r>
              <w:rPr>
                <w:rFonts w:hint="eastAsia" w:cs="宋体"/>
                <w:color w:val="auto"/>
                <w:spacing w:val="0"/>
                <w:position w:val="0"/>
                <w:sz w:val="24"/>
                <w:szCs w:val="24"/>
                <w:highlight w:val="none"/>
                <w:lang w:val="en-US" w:eastAsia="zh-CN"/>
              </w:rPr>
              <w:t>得0分</w:t>
            </w:r>
            <w:r>
              <w:rPr>
                <w:rFonts w:hint="eastAsia" w:ascii="宋体" w:hAnsi="宋体" w:eastAsia="宋体" w:cs="宋体"/>
                <w:color w:val="auto"/>
                <w:spacing w:val="0"/>
                <w:position w:val="0"/>
                <w:sz w:val="24"/>
                <w:szCs w:val="24"/>
                <w:highlight w:val="none"/>
              </w:rPr>
              <w:t>。</w:t>
            </w:r>
            <w:r>
              <w:rPr>
                <w:rFonts w:hint="eastAsia" w:ascii="宋体" w:hAnsi="宋体" w:eastAsia="宋体" w:cs="宋体"/>
                <w:b/>
                <w:bCs/>
                <w:color w:val="auto"/>
                <w:spacing w:val="0"/>
                <w:kern w:val="2"/>
                <w:position w:val="0"/>
                <w:sz w:val="24"/>
                <w:szCs w:val="24"/>
                <w:highlight w:val="none"/>
                <w:lang w:val="en-US" w:eastAsia="zh-CN" w:bidi="ar-SA"/>
              </w:rPr>
              <w:t>评标委员会依据投标文件技术偏离响应情况打分，未提供的不得分。</w:t>
            </w:r>
          </w:p>
        </w:tc>
      </w:tr>
      <w:tr w14:paraId="31F2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92" w:hRule="atLeast"/>
          <w:jc w:val="center"/>
        </w:trPr>
        <w:tc>
          <w:tcPr>
            <w:tcW w:w="802" w:type="dxa"/>
            <w:vMerge w:val="continue"/>
            <w:tcBorders>
              <w:right w:val="single" w:color="auto" w:sz="4" w:space="0"/>
            </w:tcBorders>
            <w:shd w:val="clear" w:color="auto" w:fill="auto"/>
            <w:vAlign w:val="center"/>
          </w:tcPr>
          <w:p w14:paraId="2F1D42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5DDE42D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p>
        </w:tc>
        <w:tc>
          <w:tcPr>
            <w:tcW w:w="1909" w:type="dxa"/>
            <w:vMerge w:val="restart"/>
            <w:shd w:val="clear" w:color="auto" w:fill="auto"/>
            <w:vAlign w:val="center"/>
          </w:tcPr>
          <w:p w14:paraId="543B61DE">
            <w:pPr>
              <w:pStyle w:val="1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w:t>
            </w:r>
          </w:p>
          <w:p w14:paraId="4150688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kern w:val="2"/>
                <w:positio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（20分）</w:t>
            </w:r>
          </w:p>
        </w:tc>
        <w:tc>
          <w:tcPr>
            <w:tcW w:w="5695" w:type="dxa"/>
            <w:shd w:val="clear" w:color="auto" w:fill="auto"/>
            <w:vAlign w:val="center"/>
          </w:tcPr>
          <w:p w14:paraId="1D8CD42E">
            <w:pPr>
              <w:numPr>
                <w:ilvl w:val="0"/>
                <w:numId w:val="0"/>
              </w:numPr>
              <w:spacing w:line="360" w:lineRule="auto"/>
              <w:ind w:right="-76" w:rightChars="-36"/>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根据供货</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方案的完整性、科学性、合理性、可行性，并能满足项目需求等方面进行打分：</w:t>
            </w:r>
          </w:p>
          <w:p w14:paraId="53F1C185">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方案具有针对性，根据项目需求情况提出详细、具体、明确的流程、方式方法、效果的，得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分；方案较为全面，能符合项目需求，有提出</w:t>
            </w:r>
            <w:r>
              <w:rPr>
                <w:rFonts w:hint="eastAsia" w:ascii="宋体" w:hAnsi="宋体" w:cs="宋体"/>
                <w:color w:val="auto"/>
                <w:sz w:val="24"/>
                <w:szCs w:val="24"/>
                <w:highlight w:val="none"/>
                <w:lang w:val="en-US" w:eastAsia="zh-CN"/>
              </w:rPr>
              <w:t>明确</w:t>
            </w:r>
            <w:r>
              <w:rPr>
                <w:rFonts w:hint="eastAsia" w:ascii="宋体" w:hAnsi="宋体" w:eastAsia="宋体" w:cs="宋体"/>
                <w:color w:val="auto"/>
                <w:sz w:val="24"/>
                <w:szCs w:val="24"/>
                <w:highlight w:val="none"/>
              </w:rPr>
              <w:t>流程、方式方法的，得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C567B87">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方案简单，流程不够完整，方式方法一般的，得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没有不得分；</w:t>
            </w:r>
          </w:p>
        </w:tc>
      </w:tr>
      <w:tr w14:paraId="5122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2" w:hRule="atLeast"/>
          <w:jc w:val="center"/>
        </w:trPr>
        <w:tc>
          <w:tcPr>
            <w:tcW w:w="802" w:type="dxa"/>
            <w:vMerge w:val="continue"/>
            <w:tcBorders>
              <w:right w:val="single" w:color="auto" w:sz="4" w:space="0"/>
            </w:tcBorders>
            <w:shd w:val="clear" w:color="auto" w:fill="auto"/>
            <w:vAlign w:val="center"/>
          </w:tcPr>
          <w:p w14:paraId="49FCF85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1ECA408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p>
        </w:tc>
        <w:tc>
          <w:tcPr>
            <w:tcW w:w="1909" w:type="dxa"/>
            <w:vMerge w:val="continue"/>
            <w:shd w:val="clear" w:color="auto" w:fill="auto"/>
            <w:vAlign w:val="center"/>
          </w:tcPr>
          <w:p w14:paraId="4321AC0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zh-CN" w:bidi="ar-SA"/>
              </w:rPr>
            </w:pPr>
          </w:p>
        </w:tc>
        <w:tc>
          <w:tcPr>
            <w:tcW w:w="5695" w:type="dxa"/>
            <w:shd w:val="clear" w:color="auto" w:fill="auto"/>
            <w:vAlign w:val="center"/>
          </w:tcPr>
          <w:p w14:paraId="4FF3E22A">
            <w:pPr>
              <w:numPr>
                <w:ilvl w:val="0"/>
                <w:numId w:val="0"/>
              </w:numPr>
              <w:spacing w:line="360" w:lineRule="auto"/>
              <w:ind w:left="0" w:leftChars="0" w:right="-76" w:rightChars="-36"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根据进度保障措施的完整性、科学性、合理性、可行性，并能满 足项目需求等方面进行打分</w:t>
            </w:r>
            <w:r>
              <w:rPr>
                <w:rFonts w:hint="eastAsia" w:ascii="宋体" w:hAnsi="宋体" w:eastAsia="宋体" w:cs="宋体"/>
                <w:color w:val="auto"/>
                <w:sz w:val="24"/>
                <w:szCs w:val="24"/>
                <w:highlight w:val="none"/>
                <w:lang w:eastAsia="zh-CN"/>
              </w:rPr>
              <w:t>：</w:t>
            </w:r>
          </w:p>
          <w:p w14:paraId="048D01E5">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val="en-US" w:eastAsia="zh-CN"/>
              </w:rPr>
              <w:t>内容完整、科学合理、优于项目需要的得5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4464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2" w:hRule="atLeast"/>
          <w:jc w:val="center"/>
        </w:trPr>
        <w:tc>
          <w:tcPr>
            <w:tcW w:w="802" w:type="dxa"/>
            <w:vMerge w:val="continue"/>
            <w:tcBorders>
              <w:right w:val="single" w:color="auto" w:sz="4" w:space="0"/>
            </w:tcBorders>
            <w:shd w:val="clear" w:color="auto" w:fill="auto"/>
            <w:vAlign w:val="center"/>
          </w:tcPr>
          <w:p w14:paraId="7DA7114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48A4DB2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kern w:val="0"/>
                <w:sz w:val="24"/>
                <w:szCs w:val="24"/>
                <w:highlight w:val="none"/>
                <w:lang w:val="en-US" w:eastAsia="zh-CN" w:bidi="ar-SA"/>
              </w:rPr>
            </w:pPr>
          </w:p>
        </w:tc>
        <w:tc>
          <w:tcPr>
            <w:tcW w:w="1909" w:type="dxa"/>
            <w:vMerge w:val="continue"/>
            <w:shd w:val="clear" w:color="auto" w:fill="auto"/>
            <w:vAlign w:val="center"/>
          </w:tcPr>
          <w:p w14:paraId="775A3C1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default" w:ascii="宋体" w:hAnsi="宋体" w:eastAsia="宋体" w:cs="宋体"/>
                <w:color w:val="auto"/>
                <w:spacing w:val="0"/>
                <w:kern w:val="2"/>
                <w:position w:val="0"/>
                <w:sz w:val="24"/>
                <w:szCs w:val="24"/>
                <w:highlight w:val="none"/>
                <w:lang w:val="en-US" w:eastAsia="zh-CN" w:bidi="ar-SA"/>
              </w:rPr>
            </w:pPr>
          </w:p>
        </w:tc>
        <w:tc>
          <w:tcPr>
            <w:tcW w:w="5695" w:type="dxa"/>
            <w:shd w:val="clear" w:color="auto" w:fill="auto"/>
            <w:vAlign w:val="center"/>
          </w:tcPr>
          <w:p w14:paraId="21EC2CD1">
            <w:pPr>
              <w:numPr>
                <w:ilvl w:val="0"/>
                <w:numId w:val="0"/>
              </w:numPr>
              <w:spacing w:line="360" w:lineRule="auto"/>
              <w:ind w:left="0" w:leftChars="0" w:right="-76" w:rightChars="-36"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根据质量保障措施的完整性、科学性、合理性、可行性，并能满 足项目需求等方面进行评价</w:t>
            </w:r>
            <w:r>
              <w:rPr>
                <w:rFonts w:hint="eastAsia" w:ascii="宋体" w:hAnsi="宋体" w:eastAsia="宋体" w:cs="宋体"/>
                <w:color w:val="auto"/>
                <w:sz w:val="24"/>
                <w:szCs w:val="24"/>
                <w:highlight w:val="none"/>
                <w:lang w:eastAsia="zh-CN"/>
              </w:rPr>
              <w:t>：</w:t>
            </w:r>
          </w:p>
          <w:p w14:paraId="526EF431">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z w:val="24"/>
                <w:szCs w:val="24"/>
                <w:highlight w:val="none"/>
                <w:lang w:val="en-US" w:eastAsia="zh-CN"/>
              </w:rPr>
              <w:t>内容完整、科学合理、优于项目需要的得5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16FB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8" w:hRule="atLeast"/>
          <w:jc w:val="center"/>
        </w:trPr>
        <w:tc>
          <w:tcPr>
            <w:tcW w:w="802" w:type="dxa"/>
            <w:vMerge w:val="continue"/>
            <w:tcBorders>
              <w:right w:val="single" w:color="auto" w:sz="4" w:space="0"/>
            </w:tcBorders>
            <w:shd w:val="clear" w:color="auto" w:fill="auto"/>
            <w:vAlign w:val="center"/>
          </w:tcPr>
          <w:p w14:paraId="6658DDD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jc w:val="center"/>
              <w:textAlignment w:val="auto"/>
              <w:rPr>
                <w:rFonts w:hint="eastAsia" w:ascii="宋体" w:hAnsi="宋体" w:eastAsia="宋体" w:cs="宋体"/>
                <w:color w:val="auto"/>
                <w:spacing w:val="0"/>
                <w:position w:val="0"/>
                <w:sz w:val="24"/>
                <w:szCs w:val="24"/>
                <w:highlight w:val="none"/>
              </w:rPr>
            </w:pPr>
          </w:p>
        </w:tc>
        <w:tc>
          <w:tcPr>
            <w:tcW w:w="712" w:type="dxa"/>
            <w:vMerge w:val="continue"/>
            <w:tcBorders>
              <w:left w:val="single" w:color="auto" w:sz="4" w:space="0"/>
            </w:tcBorders>
            <w:shd w:val="clear" w:color="auto" w:fill="auto"/>
            <w:vAlign w:val="center"/>
          </w:tcPr>
          <w:p w14:paraId="039A4DE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Cs/>
                <w:color w:val="auto"/>
                <w:spacing w:val="0"/>
                <w:position w:val="0"/>
                <w:sz w:val="24"/>
                <w:szCs w:val="24"/>
                <w:highlight w:val="none"/>
              </w:rPr>
            </w:pPr>
          </w:p>
        </w:tc>
        <w:tc>
          <w:tcPr>
            <w:tcW w:w="1909" w:type="dxa"/>
            <w:vMerge w:val="continue"/>
            <w:shd w:val="clear" w:color="auto" w:fill="auto"/>
            <w:vAlign w:val="center"/>
          </w:tcPr>
          <w:p w14:paraId="513F5D2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color w:val="auto"/>
                <w:spacing w:val="0"/>
                <w:kern w:val="2"/>
                <w:position w:val="0"/>
                <w:sz w:val="24"/>
                <w:szCs w:val="24"/>
                <w:highlight w:val="none"/>
                <w:lang w:val="en-US" w:eastAsia="en-US" w:bidi="ar-SA"/>
              </w:rPr>
            </w:pPr>
          </w:p>
        </w:tc>
        <w:tc>
          <w:tcPr>
            <w:tcW w:w="5695" w:type="dxa"/>
            <w:shd w:val="clear" w:color="auto" w:fill="auto"/>
            <w:vAlign w:val="center"/>
          </w:tcPr>
          <w:p w14:paraId="16F1C2EC">
            <w:pPr>
              <w:numPr>
                <w:ilvl w:val="0"/>
                <w:numId w:val="0"/>
              </w:numPr>
              <w:spacing w:line="360" w:lineRule="auto"/>
              <w:ind w:left="0" w:leftChars="0" w:right="-76" w:rightChars="-36"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根据安全保障措施的完整性、科学性、合理性、可行性，并能满 足项目需求等方面进行打分</w:t>
            </w:r>
            <w:r>
              <w:rPr>
                <w:rFonts w:hint="eastAsia" w:ascii="宋体" w:hAnsi="宋体" w:eastAsia="宋体" w:cs="宋体"/>
                <w:color w:val="auto"/>
                <w:sz w:val="24"/>
                <w:szCs w:val="24"/>
                <w:highlight w:val="none"/>
                <w:lang w:eastAsia="zh-CN"/>
              </w:rPr>
              <w:t>：</w:t>
            </w:r>
          </w:p>
          <w:p w14:paraId="1ACFC389">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内容完整、科学合理、优于项目需要的得5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104B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7" w:hRule="atLeast"/>
          <w:jc w:val="center"/>
        </w:trPr>
        <w:tc>
          <w:tcPr>
            <w:tcW w:w="9118" w:type="dxa"/>
            <w:gridSpan w:val="4"/>
            <w:shd w:val="clear" w:color="auto" w:fill="auto"/>
            <w:vAlign w:val="center"/>
          </w:tcPr>
          <w:p w14:paraId="5CD3657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textAlignment w:val="auto"/>
              <w:rPr>
                <w:rFonts w:hint="eastAsia" w:ascii="宋体" w:hAnsi="宋体" w:eastAsia="宋体" w:cs="宋体"/>
                <w:b/>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rPr>
              <w:t>注：</w:t>
            </w:r>
            <w:r>
              <w:rPr>
                <w:rFonts w:hint="eastAsia" w:ascii="宋体" w:hAnsi="宋体" w:eastAsia="宋体" w:cs="宋体"/>
                <w:b/>
                <w:bCs/>
                <w:color w:val="auto"/>
                <w:sz w:val="24"/>
                <w:szCs w:val="24"/>
                <w:highlight w:val="none"/>
              </w:rPr>
              <w:t>以上各评分若有缺项，则该项得0分。</w:t>
            </w:r>
          </w:p>
          <w:p w14:paraId="387E31D6">
            <w:pPr>
              <w:pageBreakBefore w:val="0"/>
              <w:kinsoku/>
              <w:wordWrap/>
              <w:overflowPunct/>
              <w:topLinePunct w:val="0"/>
              <w:bidi w:val="0"/>
              <w:adjustRightInd w:val="0"/>
              <w:snapToGrid w:val="0"/>
              <w:spacing w:beforeAutospacing="0" w:afterAutospacing="0" w:line="360" w:lineRule="auto"/>
              <w:ind w:left="0" w:leftChars="0" w:right="0" w:rightChars="0"/>
              <w:jc w:val="both"/>
              <w:rPr>
                <w:rFonts w:hint="eastAsia"/>
                <w:color w:val="auto"/>
                <w:highlight w:val="none"/>
              </w:rPr>
            </w:pPr>
            <w:r>
              <w:rPr>
                <w:rFonts w:hint="eastAsia" w:ascii="宋体" w:hAnsi="宋体" w:eastAsia="宋体" w:cs="宋体"/>
                <w:b w:val="0"/>
                <w:bCs w:val="0"/>
                <w:snapToGrid w:val="0"/>
                <w:color w:val="auto"/>
                <w:sz w:val="24"/>
                <w:szCs w:val="24"/>
                <w:highlight w:val="none"/>
                <w:lang w:val="en-US" w:eastAsia="zh-CN"/>
              </w:rPr>
              <w:t>评标委员会</w:t>
            </w:r>
            <w:r>
              <w:rPr>
                <w:rFonts w:hint="eastAsia" w:ascii="宋体" w:hAnsi="宋体" w:eastAsia="宋体" w:cs="宋体"/>
                <w:b w:val="0"/>
                <w:bCs w:val="0"/>
                <w:snapToGrid w:val="0"/>
                <w:color w:val="auto"/>
                <w:sz w:val="24"/>
                <w:szCs w:val="24"/>
                <w:highlight w:val="none"/>
              </w:rPr>
              <w:t>否决投标时应审慎。因招标文件表述歧义或逻辑错误等原因，造成投标文件表述不一致的，不作为否决投标的因素，投标人明显打字或排版错误且不影响实质内容的，</w:t>
            </w:r>
            <w:r>
              <w:rPr>
                <w:rFonts w:hint="eastAsia" w:ascii="宋体" w:hAnsi="宋体" w:eastAsia="宋体" w:cs="宋体"/>
                <w:b w:val="0"/>
                <w:bCs w:val="0"/>
                <w:snapToGrid w:val="0"/>
                <w:color w:val="auto"/>
                <w:sz w:val="24"/>
                <w:szCs w:val="24"/>
                <w:highlight w:val="none"/>
                <w:lang w:val="en-US" w:eastAsia="zh-CN"/>
              </w:rPr>
              <w:t>评标委员</w:t>
            </w:r>
            <w:r>
              <w:rPr>
                <w:rFonts w:hint="eastAsia" w:ascii="宋体" w:hAnsi="宋体" w:eastAsia="宋体" w:cs="宋体"/>
                <w:b w:val="0"/>
                <w:bCs w:val="0"/>
                <w:snapToGrid w:val="0"/>
                <w:color w:val="auto"/>
                <w:sz w:val="24"/>
                <w:szCs w:val="24"/>
                <w:highlight w:val="none"/>
              </w:rPr>
              <w:t>可要求投标人作出书面澄清、说明或补正，不予以否决投标。</w:t>
            </w:r>
          </w:p>
        </w:tc>
      </w:tr>
    </w:tbl>
    <w:p w14:paraId="1D981AFD">
      <w:pPr>
        <w:pageBreakBefore w:val="0"/>
        <w:kinsoku/>
        <w:overflowPunct/>
        <w:bidi w:val="0"/>
        <w:adjustRightInd w:val="0"/>
        <w:snapToGrid w:val="0"/>
        <w:spacing w:beforeAutospacing="0" w:afterAutospacing="0" w:line="360" w:lineRule="auto"/>
        <w:ind w:left="0" w:leftChars="0" w:right="0" w:rightChars="0"/>
        <w:rPr>
          <w:rFonts w:hint="eastAsia"/>
          <w:b/>
          <w:bCs/>
          <w:color w:val="auto"/>
          <w:sz w:val="28"/>
          <w:szCs w:val="32"/>
          <w:highlight w:val="none"/>
          <w:lang w:eastAsia="zh-CN"/>
        </w:rPr>
      </w:pPr>
      <w:r>
        <w:rPr>
          <w:rFonts w:hint="eastAsia"/>
          <w:b/>
          <w:bCs/>
          <w:color w:val="auto"/>
          <w:sz w:val="28"/>
          <w:szCs w:val="32"/>
          <w:highlight w:val="none"/>
          <w:lang w:eastAsia="zh-CN"/>
        </w:rPr>
        <w:br w:type="page"/>
      </w:r>
    </w:p>
    <w:p w14:paraId="16512495">
      <w:pPr>
        <w:keepNext w:val="0"/>
        <w:keepLines/>
        <w:pageBreakBefore w:val="0"/>
        <w:widowControl/>
        <w:kinsoku/>
        <w:wordWrap w:val="0"/>
        <w:overflowPunct/>
        <w:topLinePunct/>
        <w:autoSpaceDE/>
        <w:autoSpaceDN/>
        <w:bidi w:val="0"/>
        <w:adjustRightInd w:val="0"/>
        <w:snapToGrid w:val="0"/>
        <w:spacing w:beforeAutospacing="0" w:afterAutospacing="0" w:line="360" w:lineRule="auto"/>
        <w:ind w:left="0" w:leftChars="0" w:right="0" w:rightChars="0"/>
        <w:textAlignment w:val="auto"/>
        <w:rPr>
          <w:rFonts w:hint="eastAsia"/>
          <w:b/>
          <w:bCs/>
          <w:color w:val="auto"/>
          <w:sz w:val="28"/>
          <w:szCs w:val="32"/>
          <w:highlight w:val="none"/>
          <w:lang w:eastAsia="zh-CN"/>
        </w:rPr>
      </w:pPr>
      <w:r>
        <w:rPr>
          <w:rFonts w:hint="eastAsia"/>
          <w:b/>
          <w:bCs/>
          <w:color w:val="auto"/>
          <w:sz w:val="28"/>
          <w:szCs w:val="32"/>
          <w:highlight w:val="none"/>
          <w:lang w:val="en-US" w:eastAsia="zh-CN"/>
        </w:rPr>
        <w:t>二</w:t>
      </w:r>
      <w:r>
        <w:rPr>
          <w:rFonts w:hint="eastAsia"/>
          <w:b/>
          <w:bCs/>
          <w:color w:val="auto"/>
          <w:sz w:val="28"/>
          <w:szCs w:val="32"/>
          <w:highlight w:val="none"/>
          <w:lang w:eastAsia="zh-CN"/>
        </w:rPr>
        <w:t>标段评分办法：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291"/>
        <w:gridCol w:w="6521"/>
      </w:tblGrid>
      <w:tr w14:paraId="2E21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126" w:type="dxa"/>
            <w:vAlign w:val="center"/>
          </w:tcPr>
          <w:p w14:paraId="2C05A2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条款号</w:t>
            </w:r>
          </w:p>
        </w:tc>
        <w:tc>
          <w:tcPr>
            <w:tcW w:w="1291" w:type="dxa"/>
            <w:vAlign w:val="center"/>
          </w:tcPr>
          <w:p w14:paraId="6720838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条款内容</w:t>
            </w:r>
          </w:p>
        </w:tc>
        <w:tc>
          <w:tcPr>
            <w:tcW w:w="6521" w:type="dxa"/>
            <w:vAlign w:val="center"/>
          </w:tcPr>
          <w:p w14:paraId="64BBC97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r>
              <w:rPr>
                <w:rFonts w:hint="eastAsia"/>
                <w:color w:val="auto"/>
                <w:sz w:val="24"/>
                <w:szCs w:val="24"/>
                <w:highlight w:val="none"/>
                <w:vertAlign w:val="baseline"/>
                <w:lang w:eastAsia="zh-CN"/>
              </w:rPr>
              <w:t>编列内容</w:t>
            </w:r>
          </w:p>
        </w:tc>
      </w:tr>
      <w:tr w14:paraId="0346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126" w:type="dxa"/>
            <w:vAlign w:val="center"/>
          </w:tcPr>
          <w:p w14:paraId="622AA80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52A757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p>
        </w:tc>
        <w:tc>
          <w:tcPr>
            <w:tcW w:w="1291" w:type="dxa"/>
            <w:vAlign w:val="center"/>
          </w:tcPr>
          <w:p w14:paraId="155ABA2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100分</w:t>
            </w:r>
          </w:p>
        </w:tc>
        <w:tc>
          <w:tcPr>
            <w:tcW w:w="6521" w:type="dxa"/>
            <w:vAlign w:val="center"/>
          </w:tcPr>
          <w:p w14:paraId="7C5E111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5F2B3B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77F143D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技术部分：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r>
      <w:tr w14:paraId="6C2A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417" w:type="dxa"/>
            <w:gridSpan w:val="2"/>
            <w:vAlign w:val="center"/>
          </w:tcPr>
          <w:p w14:paraId="563B8AC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项</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eastAsia="zh-CN"/>
              </w:rPr>
              <w:t>目</w:t>
            </w:r>
          </w:p>
        </w:tc>
        <w:tc>
          <w:tcPr>
            <w:tcW w:w="6521" w:type="dxa"/>
            <w:vAlign w:val="center"/>
          </w:tcPr>
          <w:p w14:paraId="760D9C4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分值细则</w:t>
            </w:r>
          </w:p>
        </w:tc>
      </w:tr>
      <w:tr w14:paraId="7B48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8" w:hRule="atLeast"/>
          <w:jc w:val="center"/>
        </w:trPr>
        <w:tc>
          <w:tcPr>
            <w:tcW w:w="2417" w:type="dxa"/>
            <w:gridSpan w:val="2"/>
            <w:vAlign w:val="center"/>
          </w:tcPr>
          <w:p w14:paraId="2FEEB7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投标报价</w:t>
            </w:r>
          </w:p>
          <w:p w14:paraId="219790B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6521" w:type="dxa"/>
            <w:vAlign w:val="center"/>
          </w:tcPr>
          <w:p w14:paraId="14AB3EC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本项目投标价超出预算价的，采购人不予接受，且投标为无效。</w:t>
            </w:r>
          </w:p>
          <w:p w14:paraId="0702689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投标报价得分：价格分采用低价优先法计算，即满足招标文件要求且投标价格最低的投标报价为评标基准价，得</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分，其他供应商的价格分按照下列公式计算：</w:t>
            </w:r>
          </w:p>
          <w:p w14:paraId="5172A69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报价得分=（评标基准价/投标报价）×</w:t>
            </w: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(精确到小数点后两位,四舍五入)</w:t>
            </w:r>
          </w:p>
          <w:p w14:paraId="292C3043">
            <w:pPr>
              <w:pStyle w:val="20"/>
              <w:keepNext w:val="0"/>
              <w:keepLines w:val="0"/>
              <w:pageBreakBefore w:val="0"/>
              <w:widowControl w:val="0"/>
              <w:kinsoku/>
              <w:wordWrap/>
              <w:overflowPunct/>
              <w:topLinePunct w:val="0"/>
              <w:bidi w:val="0"/>
              <w:spacing w:after="0" w:line="360" w:lineRule="auto"/>
              <w:ind w:right="0" w:rightChars="0"/>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价格扣除：《三门峡市财政局关于进一步加大政府采购支持中小企业发展有关事项的通知》（三财购〔2022〕9 号）的规定，对于非专门面向中小企业的项目，对小型和微型企业产品的价格给予 20%的扣除，用扣除后的价格参与评审。对于中型企业产品的价格不予扣除。供应商须提供中小企业声明函，否则不予认可。（注：小型、微型企业提供中型企业制造的货物的，视同为中型企业。）</w:t>
            </w:r>
          </w:p>
          <w:p w14:paraId="1623C6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zh-CN"/>
              </w:rPr>
              <w:t>所投中小微企业产品报价=所投中小微企业产品报价×（1-20%）</w:t>
            </w:r>
          </w:p>
        </w:tc>
      </w:tr>
      <w:tr w14:paraId="3930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1126" w:type="dxa"/>
            <w:vMerge w:val="restart"/>
            <w:vAlign w:val="center"/>
          </w:tcPr>
          <w:p w14:paraId="3508B05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36C28C8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35EC29B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14:paraId="7F4B70BF">
            <w:pPr>
              <w:autoSpaceDE w:val="0"/>
              <w:autoSpaceDN w:val="0"/>
              <w:adjustRightIn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综合评价</w:t>
            </w:r>
          </w:p>
          <w:p w14:paraId="44F7D3BD">
            <w:pPr>
              <w:autoSpaceDE w:val="0"/>
              <w:autoSpaceDN w:val="0"/>
              <w:adjustRightInd w:val="0"/>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6521" w:type="dxa"/>
            <w:vAlign w:val="center"/>
          </w:tcPr>
          <w:p w14:paraId="0811EA4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对本项目的整体理解透彻，认识充分，对工作内容表述准确、指导思想清晰、目的明确，所提供的方案内容全面合理，完全满足工作要求；得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分；对本项目的整体理解基本透彻，认识基本充分，对工作内容表述一般、指导思想一般、目的一般，所提供的方案内容基本合理，基本满足工作要求；得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分；未提供不得分； </w:t>
            </w:r>
          </w:p>
        </w:tc>
      </w:tr>
      <w:tr w14:paraId="5DC9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26" w:type="dxa"/>
            <w:vMerge w:val="continue"/>
            <w:vAlign w:val="center"/>
          </w:tcPr>
          <w:p w14:paraId="3918E77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14:paraId="75AE81A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pacing w:val="0"/>
                <w:kern w:val="2"/>
                <w:position w:val="0"/>
                <w:sz w:val="24"/>
                <w:szCs w:val="24"/>
                <w:highlight w:val="none"/>
                <w:lang w:val="en-US" w:eastAsia="zh-CN" w:bidi="ar-SA"/>
              </w:rPr>
              <w:t>质保期限（2分）</w:t>
            </w:r>
          </w:p>
        </w:tc>
        <w:tc>
          <w:tcPr>
            <w:tcW w:w="6521" w:type="dxa"/>
            <w:vAlign w:val="center"/>
          </w:tcPr>
          <w:p w14:paraId="471EC50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pacing w:val="0"/>
                <w:kern w:val="2"/>
                <w:position w:val="0"/>
                <w:sz w:val="24"/>
                <w:szCs w:val="24"/>
                <w:highlight w:val="none"/>
                <w:lang w:val="en-US" w:eastAsia="zh-CN" w:bidi="ar-SA"/>
              </w:rPr>
              <w:t>在原有质保期限的基础上，每增加1年免费质保期限得1分，最多2分。</w:t>
            </w:r>
          </w:p>
        </w:tc>
      </w:tr>
      <w:tr w14:paraId="2CF4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26" w:type="dxa"/>
            <w:vMerge w:val="continue"/>
            <w:vAlign w:val="center"/>
          </w:tcPr>
          <w:p w14:paraId="7DB5758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Align w:val="center"/>
          </w:tcPr>
          <w:p w14:paraId="267B370B">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w:t>
            </w:r>
          </w:p>
          <w:p w14:paraId="382A603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6521" w:type="dxa"/>
            <w:vAlign w:val="center"/>
          </w:tcPr>
          <w:p w14:paraId="72CC8F17">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根据供应商提供的其他服务及优惠条件综合评价。方案完整、详实、可行性强的得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分,方案完整、具有可行性的得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分，方案不完整、可行性不强的得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分，不提供不得分。</w:t>
            </w:r>
          </w:p>
        </w:tc>
      </w:tr>
      <w:tr w14:paraId="07EA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26" w:type="dxa"/>
            <w:vMerge w:val="continue"/>
            <w:vAlign w:val="center"/>
          </w:tcPr>
          <w:p w14:paraId="718D7C3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Merge w:val="restart"/>
            <w:vAlign w:val="center"/>
          </w:tcPr>
          <w:p w14:paraId="04C13F86">
            <w:pPr>
              <w:autoSpaceDE w:val="0"/>
              <w:autoSpaceDN w:val="0"/>
              <w:adjustRightIn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p w14:paraId="46609B9A">
            <w:pP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90852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521" w:type="dxa"/>
            <w:vAlign w:val="center"/>
          </w:tcPr>
          <w:p w14:paraId="0C00FA75">
            <w:pPr>
              <w:numPr>
                <w:ilvl w:val="0"/>
                <w:numId w:val="3"/>
              </w:numPr>
              <w:spacing w:line="360" w:lineRule="auto"/>
              <w:ind w:left="-7" w:leftChars="0" w:firstLine="7"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根据售后人员配备的合理性打分。合理、可行得</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分，基本合理、可行得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分，不够合理、可行得1分，没有不得分。</w:t>
            </w:r>
          </w:p>
          <w:p w14:paraId="6C68C377">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rPr>
              <w:t>2、根据</w:t>
            </w:r>
            <w:r>
              <w:rPr>
                <w:rFonts w:hint="eastAsia" w:ascii="宋体" w:hAnsi="宋体" w:cs="宋体"/>
                <w:color w:val="auto"/>
                <w:kern w:val="0"/>
                <w:sz w:val="24"/>
                <w:szCs w:val="24"/>
                <w:highlight w:val="none"/>
                <w:lang w:val="en-US" w:eastAsia="zh-CN"/>
              </w:rPr>
              <w:t>投标人</w:t>
            </w:r>
            <w:r>
              <w:rPr>
                <w:rFonts w:hint="eastAsia" w:ascii="宋体" w:hAnsi="宋体" w:cs="宋体"/>
                <w:color w:val="auto"/>
                <w:kern w:val="0"/>
                <w:sz w:val="24"/>
                <w:szCs w:val="24"/>
                <w:highlight w:val="none"/>
              </w:rPr>
              <w:t>提供的后期跟综服务承诺，且有完整的售后服务计划横向对比。方案完整、详实、可行性强的得</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分,方案完整、具有可行性的得</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分，方案不完整、可行性不强的得1分，不提供不得分。</w:t>
            </w:r>
          </w:p>
        </w:tc>
      </w:tr>
      <w:tr w14:paraId="55E1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126" w:type="dxa"/>
            <w:vMerge w:val="continue"/>
            <w:vAlign w:val="center"/>
          </w:tcPr>
          <w:p w14:paraId="4277BEE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textAlignment w:val="auto"/>
              <w:rPr>
                <w:rFonts w:hint="eastAsia"/>
                <w:color w:val="auto"/>
                <w:sz w:val="24"/>
                <w:szCs w:val="24"/>
                <w:highlight w:val="none"/>
                <w:vertAlign w:val="baseline"/>
                <w:lang w:eastAsia="zh-CN"/>
              </w:rPr>
            </w:pPr>
          </w:p>
        </w:tc>
        <w:tc>
          <w:tcPr>
            <w:tcW w:w="1291" w:type="dxa"/>
            <w:vMerge w:val="continue"/>
            <w:vAlign w:val="center"/>
          </w:tcPr>
          <w:p w14:paraId="745A076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p>
        </w:tc>
        <w:tc>
          <w:tcPr>
            <w:tcW w:w="6521" w:type="dxa"/>
            <w:vAlign w:val="center"/>
          </w:tcPr>
          <w:p w14:paraId="72062094">
            <w:pPr>
              <w:numPr>
                <w:ilvl w:val="0"/>
                <w:numId w:val="0"/>
              </w:numPr>
              <w:spacing w:line="360" w:lineRule="auto"/>
              <w:ind w:leftChars="0" w:right="-76" w:rightChars="-36"/>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对设备后续运行的正常、持续、稳定性配备有充足的部件、材料和配件及替换产品等的储备计划由评标委员会进行横向比较</w:t>
            </w:r>
            <w:r>
              <w:rPr>
                <w:rFonts w:hint="eastAsia" w:ascii="宋体" w:hAnsi="宋体" w:eastAsia="宋体" w:cs="宋体"/>
                <w:color w:val="auto"/>
                <w:sz w:val="24"/>
                <w:szCs w:val="24"/>
                <w:highlight w:val="none"/>
                <w:lang w:eastAsia="zh-CN"/>
              </w:rPr>
              <w:t>：</w:t>
            </w:r>
          </w:p>
          <w:p w14:paraId="1355BAD5">
            <w:pPr>
              <w:numPr>
                <w:ilvl w:val="0"/>
                <w:numId w:val="0"/>
              </w:numPr>
              <w:spacing w:line="360" w:lineRule="auto"/>
              <w:ind w:leftChars="0" w:right="-76" w:rightChars="-3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（1）内容完整、科学合理、优于项目需要的得4</w:t>
            </w:r>
            <w:r>
              <w:rPr>
                <w:rFonts w:hint="eastAsia" w:ascii="宋体" w:hAnsi="宋体" w:eastAsia="宋体" w:cs="宋体"/>
                <w:color w:val="auto"/>
                <w:sz w:val="24"/>
                <w:szCs w:val="24"/>
                <w:highlight w:val="none"/>
              </w:rPr>
              <w:t>分；</w:t>
            </w:r>
          </w:p>
          <w:p w14:paraId="0F50A8A1">
            <w:pPr>
              <w:numPr>
                <w:ilvl w:val="0"/>
                <w:numId w:val="0"/>
              </w:numPr>
              <w:spacing w:line="360" w:lineRule="auto"/>
              <w:ind w:right="-76" w:rightChars="-3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（2）内容较完整、满足项目需要的得2</w:t>
            </w:r>
            <w:r>
              <w:rPr>
                <w:rFonts w:hint="eastAsia" w:ascii="宋体" w:hAnsi="宋体" w:eastAsia="宋体" w:cs="宋体"/>
                <w:color w:val="auto"/>
                <w:sz w:val="24"/>
                <w:szCs w:val="24"/>
                <w:highlight w:val="none"/>
              </w:rPr>
              <w:t>分；</w:t>
            </w:r>
          </w:p>
          <w:p w14:paraId="01549117">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分，缺项得0分</w:t>
            </w:r>
          </w:p>
        </w:tc>
      </w:tr>
      <w:tr w14:paraId="182C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jc w:val="center"/>
        </w:trPr>
        <w:tc>
          <w:tcPr>
            <w:tcW w:w="8938" w:type="dxa"/>
            <w:gridSpan w:val="3"/>
            <w:vAlign w:val="center"/>
          </w:tcPr>
          <w:p w14:paraId="39B34CF9">
            <w:pPr>
              <w:autoSpaceDE w:val="0"/>
              <w:autoSpaceDN w:val="0"/>
              <w:adjustRightInd w:val="0"/>
              <w:spacing w:line="360" w:lineRule="auto"/>
              <w:jc w:val="left"/>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cs="宋体"/>
                <w:color w:val="auto"/>
                <w:sz w:val="24"/>
                <w:szCs w:val="24"/>
                <w:highlight w:val="none"/>
                <w:lang w:eastAsia="zh-CN"/>
              </w:rPr>
              <w:t>：</w:t>
            </w:r>
          </w:p>
          <w:p w14:paraId="79F921A6">
            <w:pPr>
              <w:autoSpaceDE w:val="0"/>
              <w:autoSpaceDN w:val="0"/>
              <w:adjustRightIn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以上各评分项若有缺项，对应项不得分；</w:t>
            </w:r>
          </w:p>
          <w:p w14:paraId="572F3489">
            <w:pPr>
              <w:autoSpaceDE w:val="0"/>
              <w:autoSpaceDN w:val="0"/>
              <w:adjustRightIn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 本评分办法值按四舍五入保留两位小数，结果按四舍五入保留两位；</w:t>
            </w:r>
          </w:p>
        </w:tc>
      </w:tr>
      <w:tr w14:paraId="39256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126" w:type="dxa"/>
            <w:vMerge w:val="restart"/>
            <w:vAlign w:val="center"/>
          </w:tcPr>
          <w:p w14:paraId="46BF1C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技术部分</w:t>
            </w:r>
          </w:p>
          <w:p w14:paraId="1976D11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tc>
        <w:tc>
          <w:tcPr>
            <w:tcW w:w="1291" w:type="dxa"/>
            <w:vMerge w:val="restart"/>
            <w:vAlign w:val="center"/>
          </w:tcPr>
          <w:p w14:paraId="6599F2D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技术参数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6521" w:type="dxa"/>
            <w:vAlign w:val="center"/>
          </w:tcPr>
          <w:p w14:paraId="11C69D3B">
            <w:pPr>
              <w:autoSpaceDE w:val="0"/>
              <w:autoSpaceDN w:val="0"/>
              <w:adjustRightIn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0"/>
                <w:position w:val="0"/>
                <w:sz w:val="24"/>
                <w:szCs w:val="24"/>
                <w:highlight w:val="none"/>
              </w:rPr>
              <w:t>投标产品其它技术参数全部满足招标文件技术参数要求，得</w:t>
            </w:r>
            <w:r>
              <w:rPr>
                <w:rFonts w:hint="eastAsia" w:cs="宋体"/>
                <w:color w:val="auto"/>
                <w:spacing w:val="0"/>
                <w:position w:val="0"/>
                <w:sz w:val="24"/>
                <w:szCs w:val="24"/>
                <w:highlight w:val="none"/>
                <w:lang w:val="en-US" w:eastAsia="zh-CN"/>
              </w:rPr>
              <w:t>30</w:t>
            </w:r>
            <w:r>
              <w:rPr>
                <w:rFonts w:hint="eastAsia" w:ascii="宋体" w:hAnsi="宋体" w:eastAsia="宋体" w:cs="宋体"/>
                <w:color w:val="auto"/>
                <w:spacing w:val="0"/>
                <w:position w:val="0"/>
                <w:sz w:val="24"/>
                <w:szCs w:val="24"/>
                <w:highlight w:val="none"/>
              </w:rPr>
              <w:t>分；不满足招标文件技术参数要求的</w:t>
            </w:r>
            <w:r>
              <w:rPr>
                <w:rFonts w:hint="eastAsia" w:cs="宋体"/>
                <w:color w:val="auto"/>
                <w:spacing w:val="0"/>
                <w:position w:val="0"/>
                <w:sz w:val="24"/>
                <w:szCs w:val="24"/>
                <w:highlight w:val="none"/>
                <w:lang w:val="en-US" w:eastAsia="zh-CN"/>
              </w:rPr>
              <w:t>得0分</w:t>
            </w:r>
            <w:r>
              <w:rPr>
                <w:rFonts w:hint="eastAsia" w:ascii="宋体" w:hAnsi="宋体" w:eastAsia="宋体" w:cs="宋体"/>
                <w:color w:val="auto"/>
                <w:spacing w:val="0"/>
                <w:position w:val="0"/>
                <w:sz w:val="24"/>
                <w:szCs w:val="24"/>
                <w:highlight w:val="none"/>
              </w:rPr>
              <w:t>。</w:t>
            </w:r>
            <w:r>
              <w:rPr>
                <w:rFonts w:hint="eastAsia" w:ascii="宋体" w:hAnsi="宋体" w:eastAsia="宋体" w:cs="宋体"/>
                <w:b/>
                <w:bCs/>
                <w:color w:val="auto"/>
                <w:spacing w:val="0"/>
                <w:kern w:val="2"/>
                <w:position w:val="0"/>
                <w:sz w:val="24"/>
                <w:szCs w:val="24"/>
                <w:highlight w:val="none"/>
                <w:lang w:val="en-US" w:eastAsia="zh-CN" w:bidi="ar-SA"/>
              </w:rPr>
              <w:t>评标委员会依据投标文件技术偏离响应情况打分，未提供的不得分。</w:t>
            </w:r>
          </w:p>
        </w:tc>
      </w:tr>
      <w:tr w14:paraId="4E7B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126" w:type="dxa"/>
            <w:vMerge w:val="continue"/>
            <w:vAlign w:val="center"/>
          </w:tcPr>
          <w:p w14:paraId="3D7CAAE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bookmarkStart w:id="119" w:name="_Toc375647620"/>
            <w:bookmarkStart w:id="120" w:name="_Toc257026322"/>
            <w:bookmarkStart w:id="121" w:name="_Toc374376346"/>
          </w:p>
        </w:tc>
        <w:tc>
          <w:tcPr>
            <w:tcW w:w="1291" w:type="dxa"/>
            <w:vMerge w:val="continue"/>
            <w:vAlign w:val="center"/>
          </w:tcPr>
          <w:p w14:paraId="2603D96F">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p>
        </w:tc>
        <w:tc>
          <w:tcPr>
            <w:tcW w:w="6521" w:type="dxa"/>
            <w:vAlign w:val="center"/>
          </w:tcPr>
          <w:p w14:paraId="5FA0DD81">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根据供应商提供的项目实施方案（含货物运输、调试等）合理、可行得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分；基本合理、可行得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分；不够合理、可行得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缺项得0分。</w:t>
            </w:r>
          </w:p>
        </w:tc>
      </w:tr>
      <w:tr w14:paraId="45D9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26" w:type="dxa"/>
            <w:vMerge w:val="continue"/>
            <w:vAlign w:val="center"/>
          </w:tcPr>
          <w:p w14:paraId="122B133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p>
        </w:tc>
        <w:tc>
          <w:tcPr>
            <w:tcW w:w="1291" w:type="dxa"/>
            <w:vMerge w:val="continue"/>
            <w:vAlign w:val="center"/>
          </w:tcPr>
          <w:p w14:paraId="0DB91A98">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p>
        </w:tc>
        <w:tc>
          <w:tcPr>
            <w:tcW w:w="6521" w:type="dxa"/>
            <w:vAlign w:val="center"/>
          </w:tcPr>
          <w:p w14:paraId="476869BA">
            <w:pPr>
              <w:numPr>
                <w:ilvl w:val="0"/>
                <w:numId w:val="4"/>
              </w:numPr>
              <w:spacing w:line="360" w:lineRule="auto"/>
              <w:ind w:right="-76" w:rightChars="-3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根据进度保障措施的完整性、科学性、合理性、可行性，并能满 足项目需求等方面进行打分</w:t>
            </w:r>
            <w:r>
              <w:rPr>
                <w:rFonts w:hint="eastAsia" w:ascii="宋体" w:hAnsi="宋体" w:eastAsia="宋体" w:cs="宋体"/>
                <w:color w:val="auto"/>
                <w:sz w:val="24"/>
                <w:szCs w:val="24"/>
                <w:highlight w:val="none"/>
                <w:lang w:eastAsia="zh-CN"/>
              </w:rPr>
              <w:t>：</w:t>
            </w:r>
          </w:p>
          <w:p w14:paraId="18455CE8">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内容完整、科学合理、优于项目需要的得6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6AA9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126" w:type="dxa"/>
            <w:vMerge w:val="continue"/>
            <w:vAlign w:val="center"/>
          </w:tcPr>
          <w:p w14:paraId="1A5C6B6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auto"/>
              <w:rPr>
                <w:rFonts w:hint="eastAsia" w:ascii="宋体" w:hAnsi="宋体" w:eastAsia="宋体" w:cs="宋体"/>
                <w:bCs/>
                <w:color w:val="auto"/>
                <w:sz w:val="24"/>
                <w:szCs w:val="24"/>
                <w:highlight w:val="none"/>
                <w:lang w:val="en-US" w:eastAsia="zh-CN"/>
              </w:rPr>
            </w:pPr>
          </w:p>
        </w:tc>
        <w:tc>
          <w:tcPr>
            <w:tcW w:w="1291" w:type="dxa"/>
            <w:vMerge w:val="continue"/>
            <w:vAlign w:val="center"/>
          </w:tcPr>
          <w:p w14:paraId="02B40FC9">
            <w:pPr>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color w:val="auto"/>
                <w:sz w:val="24"/>
                <w:szCs w:val="24"/>
                <w:highlight w:val="none"/>
                <w:lang w:val="en-US" w:eastAsia="zh-CN"/>
              </w:rPr>
            </w:pPr>
          </w:p>
        </w:tc>
        <w:tc>
          <w:tcPr>
            <w:tcW w:w="6521" w:type="dxa"/>
            <w:vAlign w:val="center"/>
          </w:tcPr>
          <w:p w14:paraId="668F6DB9">
            <w:pPr>
              <w:numPr>
                <w:ilvl w:val="0"/>
                <w:numId w:val="4"/>
              </w:numPr>
              <w:spacing w:line="360" w:lineRule="auto"/>
              <w:ind w:left="0" w:leftChars="0" w:right="-76" w:rightChars="-36"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根据质量保障措施的完整性、科学性、合理性、可行性，并能满 足项目需求等方面进行评价</w:t>
            </w:r>
            <w:r>
              <w:rPr>
                <w:rFonts w:hint="eastAsia" w:ascii="宋体" w:hAnsi="宋体" w:eastAsia="宋体" w:cs="宋体"/>
                <w:color w:val="auto"/>
                <w:sz w:val="24"/>
                <w:szCs w:val="24"/>
                <w:highlight w:val="none"/>
                <w:lang w:eastAsia="zh-CN"/>
              </w:rPr>
              <w:t>：</w:t>
            </w:r>
          </w:p>
          <w:p w14:paraId="4813AF9A">
            <w:pPr>
              <w:numPr>
                <w:ilvl w:val="0"/>
                <w:numId w:val="0"/>
              </w:numPr>
              <w:spacing w:line="360" w:lineRule="auto"/>
              <w:ind w:left="0" w:leftChars="0" w:right="-76" w:rightChars="-36"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内容完整、科学合理、优于项目需要的得7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内容较完整、满足项目需要的得4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内容基本完整、适合项目需要的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分，缺项得0分</w:t>
            </w:r>
            <w:r>
              <w:rPr>
                <w:rFonts w:hint="eastAsia" w:ascii="宋体" w:hAnsi="宋体" w:eastAsia="宋体" w:cs="宋体"/>
                <w:color w:val="auto"/>
                <w:sz w:val="24"/>
                <w:szCs w:val="24"/>
                <w:highlight w:val="none"/>
                <w:lang w:eastAsia="zh-CN"/>
              </w:rPr>
              <w:t>；</w:t>
            </w:r>
          </w:p>
        </w:tc>
      </w:tr>
      <w:tr w14:paraId="4636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938" w:type="dxa"/>
            <w:gridSpan w:val="3"/>
            <w:vAlign w:val="center"/>
          </w:tcPr>
          <w:p w14:paraId="30432A1D">
            <w:pPr>
              <w:numPr>
                <w:ilvl w:val="0"/>
                <w:numId w:val="0"/>
              </w:numPr>
              <w:spacing w:line="360" w:lineRule="auto"/>
              <w:ind w:left="0" w:leftChars="0" w:right="-76" w:rightChars="-36"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注：以上各评分若有缺项，则该项得0分。</w:t>
            </w:r>
          </w:p>
        </w:tc>
      </w:tr>
    </w:tbl>
    <w:p w14:paraId="6143C746">
      <w:pPr>
        <w:pageBreakBefore w:val="0"/>
        <w:kinsoku/>
        <w:overflowPunct/>
        <w:bidi w:val="0"/>
        <w:adjustRightInd w:val="0"/>
        <w:snapToGrid w:val="0"/>
        <w:spacing w:beforeAutospacing="0" w:afterAutospacing="0" w:line="360" w:lineRule="auto"/>
        <w:ind w:left="0" w:leftChars="0" w:right="0" w:rightChars="0"/>
        <w:rPr>
          <w:rFonts w:hint="eastAsia" w:ascii="宋体" w:hAnsi="宋体"/>
          <w:b/>
          <w:color w:val="auto"/>
          <w:sz w:val="24"/>
          <w:szCs w:val="24"/>
          <w:highlight w:val="none"/>
        </w:rPr>
      </w:pPr>
    </w:p>
    <w:p w14:paraId="406D9A5A">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4"/>
          <w:szCs w:val="24"/>
          <w:highlight w:val="none"/>
        </w:rPr>
      </w:pPr>
      <w:r>
        <w:rPr>
          <w:rFonts w:hint="eastAsia" w:ascii="宋体" w:hAnsi="宋体"/>
          <w:b/>
          <w:color w:val="auto"/>
          <w:sz w:val="24"/>
          <w:szCs w:val="24"/>
          <w:highlight w:val="none"/>
        </w:rPr>
        <w:t>1.评标方法</w:t>
      </w:r>
      <w:bookmarkEnd w:id="119"/>
      <w:bookmarkEnd w:id="120"/>
      <w:bookmarkEnd w:id="121"/>
    </w:p>
    <w:p w14:paraId="09EEFCDE">
      <w:pPr>
        <w:pageBreakBefore w:val="0"/>
        <w:kinsoku/>
        <w:overflowPunct/>
        <w:autoSpaceDE w:val="0"/>
        <w:autoSpaceDN w:val="0"/>
        <w:bidi w:val="0"/>
        <w:adjustRightInd w:val="0"/>
        <w:snapToGrid w:val="0"/>
        <w:spacing w:beforeAutospacing="0" w:afterAutospacing="0" w:line="360" w:lineRule="auto"/>
        <w:ind w:left="0" w:leftChars="0" w:right="0" w:rightChars="0" w:firstLine="240" w:firstLineChars="100"/>
        <w:jc w:val="left"/>
        <w:rPr>
          <w:rFonts w:ascii="宋体" w:hAnsi="宋体" w:cs="MingLiU"/>
          <w:color w:val="auto"/>
          <w:kern w:val="0"/>
          <w:sz w:val="24"/>
          <w:szCs w:val="20"/>
          <w:highlight w:val="none"/>
        </w:rPr>
      </w:pPr>
      <w:r>
        <w:rPr>
          <w:rFonts w:hint="eastAsia" w:ascii="宋体" w:hAnsi="宋体" w:cs="MingLiU"/>
          <w:color w:val="auto"/>
          <w:kern w:val="0"/>
          <w:sz w:val="24"/>
          <w:szCs w:val="20"/>
          <w:highlight w:val="none"/>
        </w:rPr>
        <w:t>本次评标采用综合评估法。评标委员会对满足招标文件实质性要求的投标文件，按照本章第2.2款规定的评分标准进行打分，</w:t>
      </w:r>
      <w:r>
        <w:rPr>
          <w:rFonts w:hint="eastAsia" w:ascii="宋体" w:hAnsi="宋体" w:cs="MingLiUfalt"/>
          <w:color w:val="auto"/>
          <w:kern w:val="0"/>
          <w:sz w:val="24"/>
          <w:szCs w:val="20"/>
          <w:highlight w:val="none"/>
        </w:rPr>
        <w:t>并按投标人须知前附表规定推荐中标候选人</w:t>
      </w:r>
      <w:r>
        <w:rPr>
          <w:rFonts w:hint="eastAsia" w:ascii="宋体" w:hAnsi="宋体" w:cs="MingLiU"/>
          <w:color w:val="auto"/>
          <w:kern w:val="0"/>
          <w:sz w:val="24"/>
          <w:szCs w:val="20"/>
          <w:highlight w:val="none"/>
        </w:rPr>
        <w:t>。综合评分相等时，以投标报价低的优先；投标报价也相等的，以商务部分得分高者优先；商务部分得分也相等者，以技术部分得分高者优先；技术部分得分</w:t>
      </w:r>
      <w:r>
        <w:rPr>
          <w:rFonts w:hint="eastAsia" w:ascii="宋体" w:hAnsi="宋体" w:cs="MingLiUfalt"/>
          <w:color w:val="auto"/>
          <w:kern w:val="0"/>
          <w:sz w:val="24"/>
          <w:szCs w:val="20"/>
          <w:highlight w:val="none"/>
        </w:rPr>
        <w:t>也相等的，由评标委员会表决确定。</w:t>
      </w:r>
    </w:p>
    <w:p w14:paraId="11CE9ED5">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22" w:name="_Toc257026323"/>
      <w:bookmarkStart w:id="123" w:name="_Toc375647621"/>
      <w:bookmarkStart w:id="124" w:name="_Toc27503"/>
      <w:bookmarkStart w:id="125" w:name="_Toc374376347"/>
      <w:r>
        <w:rPr>
          <w:rFonts w:hint="eastAsia" w:ascii="宋体" w:hAnsi="宋体"/>
          <w:b/>
          <w:color w:val="auto"/>
          <w:sz w:val="24"/>
          <w:szCs w:val="24"/>
          <w:highlight w:val="none"/>
        </w:rPr>
        <w:t>2．评审标准</w:t>
      </w:r>
      <w:bookmarkEnd w:id="122"/>
      <w:bookmarkEnd w:id="123"/>
      <w:bookmarkEnd w:id="124"/>
      <w:bookmarkEnd w:id="125"/>
    </w:p>
    <w:p w14:paraId="7678D4CB">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26" w:name="_Toc44448170"/>
      <w:bookmarkStart w:id="127" w:name="_Toc375647622"/>
      <w:bookmarkStart w:id="128" w:name="_Toc15957"/>
      <w:r>
        <w:rPr>
          <w:rFonts w:hint="eastAsia" w:ascii="宋体" w:hAnsi="宋体"/>
          <w:b/>
          <w:color w:val="auto"/>
          <w:sz w:val="24"/>
          <w:szCs w:val="24"/>
          <w:highlight w:val="none"/>
        </w:rPr>
        <w:t>2.1 初步评审标准</w:t>
      </w:r>
      <w:bookmarkEnd w:id="126"/>
      <w:bookmarkEnd w:id="127"/>
      <w:bookmarkEnd w:id="128"/>
    </w:p>
    <w:p w14:paraId="6F72127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2.1.1 形式评审标准：见评标办法前附表。</w:t>
      </w:r>
    </w:p>
    <w:p w14:paraId="188CB144">
      <w:pPr>
        <w:pageBreakBefore w:val="0"/>
        <w:kinsoku/>
        <w:wordWrap w:val="0"/>
        <w:overflowPunct/>
        <w:autoSpaceDE w:val="0"/>
        <w:autoSpaceDN w:val="0"/>
        <w:bidi w:val="0"/>
        <w:adjustRightInd w:val="0"/>
        <w:snapToGrid w:val="0"/>
        <w:spacing w:beforeAutospacing="0" w:afterAutospacing="0" w:line="360" w:lineRule="auto"/>
        <w:ind w:left="0" w:leftChars="0" w:right="0" w:rightChars="0" w:firstLine="480" w:firstLineChars="200"/>
        <w:rPr>
          <w:rFonts w:hint="eastAsia" w:ascii="宋体" w:hAnsi="宋体" w:eastAsia="宋体"/>
          <w:color w:val="auto"/>
          <w:sz w:val="24"/>
          <w:szCs w:val="20"/>
          <w:highlight w:val="none"/>
          <w:lang w:eastAsia="zh-CN"/>
        </w:rPr>
      </w:pPr>
      <w:r>
        <w:rPr>
          <w:rFonts w:hint="eastAsia" w:ascii="宋体" w:hAnsi="宋体" w:cs="MingLiU"/>
          <w:color w:val="auto"/>
          <w:kern w:val="0"/>
          <w:sz w:val="24"/>
          <w:szCs w:val="20"/>
          <w:highlight w:val="none"/>
        </w:rPr>
        <w:t>2.1.2 资格评审标准：见评标办法前</w:t>
      </w:r>
      <w:r>
        <w:rPr>
          <w:rFonts w:hint="eastAsia" w:ascii="宋体" w:hAnsi="宋体"/>
          <w:color w:val="auto"/>
          <w:sz w:val="24"/>
          <w:szCs w:val="20"/>
          <w:highlight w:val="none"/>
        </w:rPr>
        <w:t>附表。</w:t>
      </w:r>
      <w:r>
        <w:rPr>
          <w:rFonts w:hint="eastAsia" w:ascii="宋体" w:hAnsi="宋体"/>
          <w:color w:val="auto"/>
          <w:sz w:val="24"/>
          <w:szCs w:val="20"/>
          <w:highlight w:val="none"/>
          <w:lang w:eastAsia="zh-CN"/>
        </w:rPr>
        <w:t>（</w:t>
      </w:r>
      <w:r>
        <w:rPr>
          <w:rFonts w:hint="eastAsia" w:ascii="宋体" w:hAnsi="宋体" w:eastAsia="宋体"/>
          <w:color w:val="auto"/>
          <w:sz w:val="24"/>
          <w:szCs w:val="24"/>
          <w:highlight w:val="none"/>
          <w:lang w:eastAsia="zh-CN"/>
        </w:rPr>
        <w:t>开标会议结束后，由采购人和采购代理机构人员按照招标文件第三章评分办法资格评审标准的要求，对投标人所递交的响应性文件进行审查，有一项不符合的，视为未通过资格审查，不得进入下一评标过程。采购人将符合资格审查的电子化投标文件提交于评标委员会进行评审、比较。</w:t>
      </w:r>
      <w:r>
        <w:rPr>
          <w:rFonts w:hint="eastAsia" w:ascii="宋体" w:hAnsi="宋体"/>
          <w:color w:val="auto"/>
          <w:sz w:val="24"/>
          <w:szCs w:val="20"/>
          <w:highlight w:val="none"/>
          <w:lang w:eastAsia="zh-CN"/>
        </w:rPr>
        <w:t>）</w:t>
      </w:r>
    </w:p>
    <w:p w14:paraId="7DC40EC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s="MingLiU"/>
          <w:color w:val="auto"/>
          <w:kern w:val="0"/>
          <w:sz w:val="24"/>
          <w:szCs w:val="20"/>
          <w:highlight w:val="none"/>
        </w:rPr>
        <w:t>2.1.3 响应性评审标准：见评标办法前</w:t>
      </w:r>
      <w:r>
        <w:rPr>
          <w:rFonts w:hint="eastAsia" w:ascii="宋体" w:hAnsi="宋体"/>
          <w:color w:val="auto"/>
          <w:sz w:val="24"/>
          <w:szCs w:val="20"/>
          <w:highlight w:val="none"/>
        </w:rPr>
        <w:t>附表。</w:t>
      </w:r>
    </w:p>
    <w:p w14:paraId="3E7F8ADF">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29" w:name="_Toc375647623"/>
      <w:bookmarkStart w:id="130" w:name="_Toc24387"/>
      <w:bookmarkStart w:id="131" w:name="_Toc44448171"/>
      <w:r>
        <w:rPr>
          <w:rFonts w:ascii="宋体" w:hAnsi="宋体"/>
          <w:b/>
          <w:color w:val="auto"/>
          <w:sz w:val="24"/>
          <w:szCs w:val="24"/>
          <w:highlight w:val="none"/>
        </w:rPr>
        <w:t xml:space="preserve">2.2 </w:t>
      </w:r>
      <w:r>
        <w:rPr>
          <w:rFonts w:hint="eastAsia" w:ascii="宋体" w:hAnsi="宋体"/>
          <w:b/>
          <w:color w:val="auto"/>
          <w:sz w:val="24"/>
          <w:szCs w:val="24"/>
          <w:highlight w:val="none"/>
        </w:rPr>
        <w:t>分值构成与评分标准</w:t>
      </w:r>
      <w:bookmarkEnd w:id="129"/>
      <w:bookmarkEnd w:id="130"/>
      <w:bookmarkEnd w:id="131"/>
    </w:p>
    <w:p w14:paraId="128E4D7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bookmarkStart w:id="132" w:name="_Toc375647624"/>
      <w:bookmarkStart w:id="133" w:name="_Toc214173901"/>
      <w:bookmarkStart w:id="134" w:name="_Toc257026324"/>
      <w:bookmarkStart w:id="135" w:name="_Toc247961844"/>
      <w:bookmarkStart w:id="136" w:name="_Toc374376348"/>
      <w:r>
        <w:rPr>
          <w:rFonts w:ascii="宋体" w:hAnsi="宋体" w:cs="MingLiU"/>
          <w:color w:val="auto"/>
          <w:kern w:val="0"/>
          <w:sz w:val="24"/>
          <w:szCs w:val="20"/>
          <w:highlight w:val="none"/>
        </w:rPr>
        <w:t xml:space="preserve">2.2.1 </w:t>
      </w:r>
      <w:r>
        <w:rPr>
          <w:rFonts w:hint="eastAsia" w:ascii="宋体" w:hAnsi="宋体" w:cs="MingLiU"/>
          <w:color w:val="auto"/>
          <w:kern w:val="0"/>
          <w:sz w:val="24"/>
          <w:szCs w:val="20"/>
          <w:highlight w:val="none"/>
        </w:rPr>
        <w:t>分值构成</w:t>
      </w:r>
    </w:p>
    <w:p w14:paraId="25B8691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1</w:t>
      </w:r>
      <w:r>
        <w:rPr>
          <w:rFonts w:hint="eastAsia" w:ascii="宋体" w:hAnsi="宋体" w:cs="MingLiU"/>
          <w:color w:val="auto"/>
          <w:kern w:val="0"/>
          <w:sz w:val="24"/>
          <w:szCs w:val="20"/>
          <w:highlight w:val="none"/>
        </w:rPr>
        <w:t>）投标报价：见评标办法前附表。</w:t>
      </w:r>
    </w:p>
    <w:p w14:paraId="39C1663C">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（2）商务部分：见评标办法前附表。</w:t>
      </w:r>
    </w:p>
    <w:p w14:paraId="791CD9C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（3）技术部分：见评标办法前附表。</w:t>
      </w:r>
    </w:p>
    <w:p w14:paraId="59FFC70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2.2.2 </w:t>
      </w:r>
      <w:r>
        <w:rPr>
          <w:rFonts w:hint="eastAsia" w:ascii="宋体" w:hAnsi="宋体" w:cs="MingLiU"/>
          <w:color w:val="auto"/>
          <w:kern w:val="0"/>
          <w:sz w:val="24"/>
          <w:szCs w:val="20"/>
          <w:highlight w:val="none"/>
        </w:rPr>
        <w:t>评标基准价计算</w:t>
      </w:r>
    </w:p>
    <w:p w14:paraId="63D2C8B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评标基准价计算方法：见评标办法前附表。</w:t>
      </w:r>
    </w:p>
    <w:p w14:paraId="02A80641">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2.2.3</w:t>
      </w:r>
      <w:r>
        <w:rPr>
          <w:rFonts w:hint="eastAsia" w:ascii="宋体" w:hAnsi="宋体" w:cs="MingLiU"/>
          <w:color w:val="auto"/>
          <w:kern w:val="0"/>
          <w:sz w:val="24"/>
          <w:szCs w:val="20"/>
          <w:highlight w:val="none"/>
        </w:rPr>
        <w:t xml:space="preserve"> 投标报价的偏差率计算</w:t>
      </w:r>
    </w:p>
    <w:p w14:paraId="257D66C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投标报价的偏差率计算公式：见评标办法前附表。</w:t>
      </w:r>
    </w:p>
    <w:p w14:paraId="140D4CE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2.2.4 </w:t>
      </w:r>
      <w:r>
        <w:rPr>
          <w:rFonts w:hint="eastAsia" w:ascii="宋体" w:hAnsi="宋体" w:cs="MingLiU"/>
          <w:color w:val="auto"/>
          <w:kern w:val="0"/>
          <w:sz w:val="24"/>
          <w:szCs w:val="20"/>
          <w:highlight w:val="none"/>
        </w:rPr>
        <w:t>评分标准</w:t>
      </w:r>
    </w:p>
    <w:p w14:paraId="66250B4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1</w:t>
      </w:r>
      <w:r>
        <w:rPr>
          <w:rFonts w:hint="eastAsia" w:ascii="宋体" w:hAnsi="宋体" w:cs="MingLiU"/>
          <w:color w:val="auto"/>
          <w:kern w:val="0"/>
          <w:sz w:val="24"/>
          <w:szCs w:val="20"/>
          <w:highlight w:val="none"/>
        </w:rPr>
        <w:t>）投标报价评分标准：见评标办法前附表。</w:t>
      </w:r>
    </w:p>
    <w:p w14:paraId="36BC6F07">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（2）商务部分评分标准：见评标办法前附表。</w:t>
      </w:r>
    </w:p>
    <w:p w14:paraId="7627FB39">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（3）技术部分评分标准：见评标办法前附表。</w:t>
      </w:r>
    </w:p>
    <w:p w14:paraId="02AA6BA8">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37" w:name="_Toc9542"/>
      <w:r>
        <w:rPr>
          <w:rFonts w:hint="eastAsia" w:ascii="宋体" w:hAnsi="宋体"/>
          <w:b/>
          <w:color w:val="auto"/>
          <w:sz w:val="24"/>
          <w:szCs w:val="24"/>
          <w:highlight w:val="none"/>
        </w:rPr>
        <w:t>3.评标程序</w:t>
      </w:r>
      <w:bookmarkEnd w:id="132"/>
      <w:bookmarkEnd w:id="133"/>
      <w:bookmarkEnd w:id="134"/>
      <w:bookmarkEnd w:id="135"/>
      <w:bookmarkEnd w:id="136"/>
      <w:bookmarkEnd w:id="137"/>
    </w:p>
    <w:p w14:paraId="26B0ADBD">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38" w:name="_Toc44448173"/>
      <w:bookmarkStart w:id="139" w:name="_Toc14284"/>
      <w:bookmarkStart w:id="140" w:name="_Toc375647625"/>
      <w:r>
        <w:rPr>
          <w:rFonts w:ascii="宋体" w:hAnsi="宋体"/>
          <w:b/>
          <w:color w:val="auto"/>
          <w:sz w:val="24"/>
          <w:szCs w:val="24"/>
          <w:highlight w:val="none"/>
        </w:rPr>
        <w:t xml:space="preserve">3.1 </w:t>
      </w:r>
      <w:r>
        <w:rPr>
          <w:rFonts w:hint="eastAsia" w:ascii="宋体" w:hAnsi="宋体"/>
          <w:b/>
          <w:color w:val="auto"/>
          <w:sz w:val="24"/>
          <w:szCs w:val="24"/>
          <w:highlight w:val="none"/>
        </w:rPr>
        <w:t>初步评审</w:t>
      </w:r>
      <w:bookmarkEnd w:id="138"/>
      <w:bookmarkEnd w:id="139"/>
      <w:bookmarkEnd w:id="140"/>
    </w:p>
    <w:p w14:paraId="65FE8AF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3.1.1评标委员会依据本章第2.1款规定的标准对投标文件进行初步评审。有一项不符合评审标准的，作废标处理。</w:t>
      </w:r>
    </w:p>
    <w:p w14:paraId="79FF7C3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3.1.2 </w:t>
      </w:r>
      <w:r>
        <w:rPr>
          <w:rFonts w:hint="eastAsia" w:ascii="宋体" w:hAnsi="宋体" w:cs="MingLiU"/>
          <w:color w:val="auto"/>
          <w:kern w:val="0"/>
          <w:sz w:val="24"/>
          <w:szCs w:val="20"/>
          <w:highlight w:val="none"/>
        </w:rPr>
        <w:t>投标人有以下情形之一的，其投标作废标处理：</w:t>
      </w:r>
    </w:p>
    <w:p w14:paraId="0D3E4AE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（1）第二章“投标人须知”第1.4.3项规定的任何一种情形的；</w:t>
      </w:r>
    </w:p>
    <w:p w14:paraId="1CB0459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（2）串通投标或弄虚作假或有其他违法行为的；</w:t>
      </w:r>
    </w:p>
    <w:p w14:paraId="2F8853A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（3）不按评标委员会要求澄清、说明或补正的。</w:t>
      </w:r>
    </w:p>
    <w:p w14:paraId="1C14041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3.1.3 </w:t>
      </w:r>
      <w:r>
        <w:rPr>
          <w:rFonts w:hint="eastAsia" w:ascii="宋体" w:hAnsi="宋体" w:cs="MingLiU"/>
          <w:color w:val="auto"/>
          <w:kern w:val="0"/>
          <w:sz w:val="24"/>
          <w:szCs w:val="20"/>
          <w:highlight w:val="none"/>
        </w:rPr>
        <w:t>投标报价有算术错误的，评标委员会按以下原则对投标报价进行修正，修正的价格经投标人书面确认后具有约束力。投标人不接受修正价格的，其投标作废标处理。</w:t>
      </w:r>
    </w:p>
    <w:p w14:paraId="5EA568EF">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1</w:t>
      </w:r>
      <w:r>
        <w:rPr>
          <w:rFonts w:hint="eastAsia" w:ascii="宋体" w:hAnsi="宋体" w:cs="MingLiU"/>
          <w:color w:val="auto"/>
          <w:kern w:val="0"/>
          <w:sz w:val="24"/>
          <w:szCs w:val="20"/>
          <w:highlight w:val="none"/>
        </w:rPr>
        <w:t>）投标文件中的大写金额与小写金额不一致的，以大写金额为准；</w:t>
      </w:r>
    </w:p>
    <w:p w14:paraId="420A9888">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hint="eastAsia" w:ascii="宋体" w:hAnsi="宋体" w:cs="MingLiU"/>
          <w:color w:val="auto"/>
          <w:kern w:val="0"/>
          <w:sz w:val="24"/>
          <w:szCs w:val="20"/>
          <w:highlight w:val="none"/>
        </w:rPr>
        <w:t>（</w:t>
      </w:r>
      <w:r>
        <w:rPr>
          <w:rFonts w:ascii="宋体" w:hAnsi="宋体" w:cs="MingLiU"/>
          <w:color w:val="auto"/>
          <w:kern w:val="0"/>
          <w:sz w:val="24"/>
          <w:szCs w:val="20"/>
          <w:highlight w:val="none"/>
        </w:rPr>
        <w:t>2</w:t>
      </w:r>
      <w:r>
        <w:rPr>
          <w:rFonts w:hint="eastAsia" w:ascii="宋体" w:hAnsi="宋体" w:cs="MingLiU"/>
          <w:color w:val="auto"/>
          <w:kern w:val="0"/>
          <w:sz w:val="24"/>
          <w:szCs w:val="20"/>
          <w:highlight w:val="none"/>
        </w:rPr>
        <w:t>）总价金额与依据单价计算出的结果不一致的，以单价金额为准修正总价，但单价金额小数点有明显错误的除外。</w:t>
      </w:r>
    </w:p>
    <w:p w14:paraId="1A94964D">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41" w:name="_Toc375647626"/>
      <w:bookmarkStart w:id="142" w:name="_Toc44448174"/>
      <w:bookmarkStart w:id="143" w:name="_Toc30140"/>
      <w:r>
        <w:rPr>
          <w:rFonts w:ascii="宋体" w:hAnsi="宋体"/>
          <w:b/>
          <w:color w:val="auto"/>
          <w:sz w:val="24"/>
          <w:szCs w:val="24"/>
          <w:highlight w:val="none"/>
        </w:rPr>
        <w:t xml:space="preserve">3.2 </w:t>
      </w:r>
      <w:r>
        <w:rPr>
          <w:rFonts w:hint="eastAsia" w:ascii="宋体" w:hAnsi="宋体"/>
          <w:b/>
          <w:color w:val="auto"/>
          <w:sz w:val="24"/>
          <w:szCs w:val="24"/>
          <w:highlight w:val="none"/>
        </w:rPr>
        <w:t>详细评审</w:t>
      </w:r>
      <w:bookmarkEnd w:id="141"/>
      <w:bookmarkEnd w:id="142"/>
      <w:bookmarkEnd w:id="143"/>
    </w:p>
    <w:p w14:paraId="0731A780">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bookmarkStart w:id="144" w:name="_Toc375647627"/>
      <w:r>
        <w:rPr>
          <w:rFonts w:ascii="宋体" w:hAnsi="宋体" w:cs="MingLiU"/>
          <w:color w:val="auto"/>
          <w:kern w:val="0"/>
          <w:sz w:val="24"/>
          <w:szCs w:val="20"/>
          <w:highlight w:val="none"/>
        </w:rPr>
        <w:t xml:space="preserve">3.2.1 </w:t>
      </w:r>
      <w:r>
        <w:rPr>
          <w:rFonts w:hint="eastAsia" w:ascii="宋体" w:hAnsi="宋体" w:cs="MingLiU"/>
          <w:color w:val="auto"/>
          <w:kern w:val="0"/>
          <w:sz w:val="24"/>
          <w:szCs w:val="20"/>
          <w:highlight w:val="none"/>
        </w:rPr>
        <w:t>评标委员会按本章第</w:t>
      </w:r>
      <w:r>
        <w:rPr>
          <w:rFonts w:ascii="宋体" w:hAnsi="宋体" w:cs="MingLiU"/>
          <w:color w:val="auto"/>
          <w:kern w:val="0"/>
          <w:sz w:val="24"/>
          <w:szCs w:val="20"/>
          <w:highlight w:val="none"/>
        </w:rPr>
        <w:t>2.2</w:t>
      </w:r>
      <w:r>
        <w:rPr>
          <w:rFonts w:hint="eastAsia" w:ascii="宋体" w:hAnsi="宋体" w:cs="MingLiU"/>
          <w:color w:val="auto"/>
          <w:kern w:val="0"/>
          <w:sz w:val="24"/>
          <w:szCs w:val="20"/>
          <w:highlight w:val="none"/>
        </w:rPr>
        <w:t>款规定的量化因素和分值进行打分，并计算出综合评估得分。</w:t>
      </w:r>
    </w:p>
    <w:p w14:paraId="7FA839EE">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rPr>
      </w:pPr>
      <w:r>
        <w:rPr>
          <w:rFonts w:ascii="宋体" w:hAnsi="宋体" w:cs="MingLiU"/>
          <w:color w:val="auto"/>
          <w:kern w:val="0"/>
          <w:sz w:val="24"/>
          <w:szCs w:val="20"/>
          <w:highlight w:val="none"/>
        </w:rPr>
        <w:t xml:space="preserve">3.2.2 </w:t>
      </w:r>
      <w:r>
        <w:rPr>
          <w:rFonts w:hint="eastAsia" w:ascii="宋体" w:hAnsi="宋体" w:cs="MingLiU"/>
          <w:color w:val="auto"/>
          <w:kern w:val="0"/>
          <w:sz w:val="24"/>
          <w:szCs w:val="20"/>
          <w:highlight w:val="none"/>
        </w:rPr>
        <w:t>评分分值计算保留小数点后两位，小数点后第三位“四舍五入”。</w:t>
      </w:r>
    </w:p>
    <w:p w14:paraId="5F0D4863">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MingLiU"/>
          <w:color w:val="auto"/>
          <w:kern w:val="0"/>
          <w:sz w:val="24"/>
          <w:szCs w:val="20"/>
          <w:highlight w:val="none"/>
          <w:shd w:val="pct10" w:color="auto" w:fill="FFFFFF"/>
        </w:rPr>
      </w:pPr>
      <w:r>
        <w:rPr>
          <w:rFonts w:ascii="宋体" w:hAnsi="宋体" w:cs="MingLiU"/>
          <w:color w:val="auto"/>
          <w:kern w:val="0"/>
          <w:sz w:val="24"/>
          <w:szCs w:val="20"/>
          <w:highlight w:val="none"/>
        </w:rPr>
        <w:t>3.2.</w:t>
      </w:r>
      <w:r>
        <w:rPr>
          <w:rFonts w:hint="eastAsia" w:ascii="宋体" w:hAnsi="宋体" w:cs="MingLiU"/>
          <w:color w:val="auto"/>
          <w:kern w:val="0"/>
          <w:sz w:val="24"/>
          <w:szCs w:val="20"/>
          <w:highlight w:val="none"/>
        </w:rPr>
        <w:t>3评标委员会认为投标人的报价明显低于其他通过符合性审查投标人的报价，有可能影响产品质量或者不能诚信履约的，评标委员会应当要求投标人在评标现场合理的时间内提供书面说明，并提交相关证明材料；投标人不能证明其报价合理性的，评标委员会将其作为无效投标处理。</w:t>
      </w:r>
    </w:p>
    <w:p w14:paraId="493E9AEA">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45" w:name="_Toc44448175"/>
      <w:bookmarkStart w:id="146" w:name="_Toc12756"/>
      <w:r>
        <w:rPr>
          <w:rFonts w:ascii="宋体" w:hAnsi="宋体"/>
          <w:b/>
          <w:color w:val="auto"/>
          <w:sz w:val="24"/>
          <w:szCs w:val="24"/>
          <w:highlight w:val="none"/>
        </w:rPr>
        <w:t xml:space="preserve">3.3 </w:t>
      </w:r>
      <w:r>
        <w:rPr>
          <w:rFonts w:hint="eastAsia" w:ascii="宋体" w:hAnsi="宋体"/>
          <w:b/>
          <w:color w:val="auto"/>
          <w:sz w:val="24"/>
          <w:szCs w:val="24"/>
          <w:highlight w:val="none"/>
        </w:rPr>
        <w:t>投标文件的澄清和补正</w:t>
      </w:r>
      <w:bookmarkEnd w:id="144"/>
      <w:bookmarkEnd w:id="145"/>
      <w:bookmarkEnd w:id="146"/>
    </w:p>
    <w:p w14:paraId="7A2462B2">
      <w:pPr>
        <w:pageBreakBefore w:val="0"/>
        <w:kinsoku/>
        <w:overflowPunct/>
        <w:autoSpaceDE w:val="0"/>
        <w:autoSpaceDN w:val="0"/>
        <w:bidi w:val="0"/>
        <w:adjustRightInd w:val="0"/>
        <w:snapToGrid w:val="0"/>
        <w:spacing w:beforeAutospacing="0" w:afterAutospacing="0" w:line="360" w:lineRule="auto"/>
        <w:ind w:left="0" w:leftChars="0" w:right="0" w:rightChars="0" w:firstLine="470" w:firstLineChars="196"/>
        <w:jc w:val="left"/>
        <w:rPr>
          <w:rFonts w:ascii="宋体" w:hAnsi="宋体" w:cs="MingLiU"/>
          <w:color w:val="auto"/>
          <w:kern w:val="0"/>
          <w:sz w:val="24"/>
          <w:szCs w:val="20"/>
          <w:highlight w:val="none"/>
        </w:rPr>
      </w:pPr>
      <w:r>
        <w:rPr>
          <w:rFonts w:ascii="宋体" w:hAnsi="宋体"/>
          <w:color w:val="auto"/>
          <w:kern w:val="0"/>
          <w:sz w:val="24"/>
          <w:szCs w:val="20"/>
          <w:highlight w:val="none"/>
        </w:rPr>
        <w:t>3.</w:t>
      </w:r>
      <w:r>
        <w:rPr>
          <w:rFonts w:ascii="宋体" w:hAnsi="宋体"/>
          <w:color w:val="auto"/>
          <w:spacing w:val="-1"/>
          <w:kern w:val="0"/>
          <w:sz w:val="24"/>
          <w:szCs w:val="20"/>
          <w:highlight w:val="none"/>
        </w:rPr>
        <w:t>3</w:t>
      </w:r>
      <w:r>
        <w:rPr>
          <w:rFonts w:ascii="宋体" w:hAnsi="宋体"/>
          <w:color w:val="auto"/>
          <w:kern w:val="0"/>
          <w:sz w:val="24"/>
          <w:szCs w:val="20"/>
          <w:highlight w:val="none"/>
        </w:rPr>
        <w:t xml:space="preserve">.1 </w:t>
      </w:r>
      <w:r>
        <w:rPr>
          <w:rFonts w:hint="eastAsia" w:ascii="宋体" w:hAnsi="宋体" w:cs="MingLiU"/>
          <w:color w:val="auto"/>
          <w:kern w:val="0"/>
          <w:sz w:val="24"/>
          <w:szCs w:val="20"/>
          <w:highlight w:val="none"/>
        </w:rPr>
        <w:t>在评标过程中，</w:t>
      </w:r>
      <w:r>
        <w:rPr>
          <w:rFonts w:hint="eastAsia" w:ascii="宋体" w:hAnsi="宋体" w:cs="MingLiU"/>
          <w:color w:val="auto"/>
          <w:spacing w:val="1"/>
          <w:kern w:val="0"/>
          <w:sz w:val="24"/>
          <w:szCs w:val="20"/>
          <w:highlight w:val="none"/>
        </w:rPr>
        <w:t>评</w:t>
      </w:r>
      <w:r>
        <w:rPr>
          <w:rFonts w:hint="eastAsia" w:ascii="宋体" w:hAnsi="宋体" w:cs="MingLiU"/>
          <w:color w:val="auto"/>
          <w:kern w:val="0"/>
          <w:sz w:val="24"/>
          <w:szCs w:val="20"/>
          <w:highlight w:val="none"/>
        </w:rPr>
        <w:t>标委员会</w:t>
      </w:r>
      <w:r>
        <w:rPr>
          <w:rFonts w:hint="eastAsia" w:ascii="宋体" w:hAnsi="宋体" w:cs="MingLiU"/>
          <w:color w:val="auto"/>
          <w:spacing w:val="1"/>
          <w:kern w:val="0"/>
          <w:sz w:val="24"/>
          <w:szCs w:val="20"/>
          <w:highlight w:val="none"/>
        </w:rPr>
        <w:t>可</w:t>
      </w:r>
      <w:r>
        <w:rPr>
          <w:rFonts w:hint="eastAsia" w:ascii="宋体" w:hAnsi="宋体" w:cs="MingLiU"/>
          <w:color w:val="auto"/>
          <w:kern w:val="0"/>
          <w:sz w:val="24"/>
          <w:szCs w:val="20"/>
          <w:highlight w:val="none"/>
        </w:rPr>
        <w:t>以书面形</w:t>
      </w:r>
      <w:r>
        <w:rPr>
          <w:rFonts w:hint="eastAsia" w:ascii="宋体" w:hAnsi="宋体" w:cs="MingLiU"/>
          <w:color w:val="auto"/>
          <w:spacing w:val="1"/>
          <w:kern w:val="0"/>
          <w:sz w:val="24"/>
          <w:szCs w:val="20"/>
          <w:highlight w:val="none"/>
        </w:rPr>
        <w:t>式</w:t>
      </w:r>
      <w:r>
        <w:rPr>
          <w:rFonts w:hint="eastAsia" w:ascii="宋体" w:hAnsi="宋体" w:cs="MingLiU"/>
          <w:color w:val="auto"/>
          <w:kern w:val="0"/>
          <w:sz w:val="24"/>
          <w:szCs w:val="20"/>
          <w:highlight w:val="none"/>
        </w:rPr>
        <w:t>要求投标</w:t>
      </w:r>
      <w:r>
        <w:rPr>
          <w:rFonts w:hint="eastAsia" w:ascii="宋体" w:hAnsi="宋体" w:cs="MingLiU"/>
          <w:color w:val="auto"/>
          <w:spacing w:val="1"/>
          <w:kern w:val="0"/>
          <w:sz w:val="24"/>
          <w:szCs w:val="20"/>
          <w:highlight w:val="none"/>
        </w:rPr>
        <w:t>人</w:t>
      </w:r>
      <w:r>
        <w:rPr>
          <w:rFonts w:hint="eastAsia" w:ascii="宋体" w:hAnsi="宋体" w:cs="MingLiU"/>
          <w:color w:val="auto"/>
          <w:kern w:val="0"/>
          <w:sz w:val="24"/>
          <w:szCs w:val="20"/>
          <w:highlight w:val="none"/>
        </w:rPr>
        <w:t>对所提交</w:t>
      </w:r>
      <w:r>
        <w:rPr>
          <w:rFonts w:hint="eastAsia" w:ascii="宋体" w:hAnsi="宋体" w:cs="MingLiU"/>
          <w:color w:val="auto"/>
          <w:spacing w:val="1"/>
          <w:kern w:val="0"/>
          <w:sz w:val="24"/>
          <w:szCs w:val="20"/>
          <w:highlight w:val="none"/>
        </w:rPr>
        <w:t>投</w:t>
      </w:r>
      <w:r>
        <w:rPr>
          <w:rFonts w:hint="eastAsia" w:ascii="宋体" w:hAnsi="宋体" w:cs="MingLiU"/>
          <w:color w:val="auto"/>
          <w:kern w:val="0"/>
          <w:sz w:val="24"/>
          <w:szCs w:val="20"/>
          <w:highlight w:val="none"/>
        </w:rPr>
        <w:t>标文件中</w:t>
      </w:r>
      <w:r>
        <w:rPr>
          <w:rFonts w:hint="eastAsia" w:ascii="宋体" w:hAnsi="宋体" w:cs="MingLiU"/>
          <w:color w:val="auto"/>
          <w:spacing w:val="1"/>
          <w:kern w:val="0"/>
          <w:sz w:val="24"/>
          <w:szCs w:val="20"/>
          <w:highlight w:val="none"/>
        </w:rPr>
        <w:t>不明</w:t>
      </w:r>
      <w:r>
        <w:rPr>
          <w:rFonts w:hint="eastAsia" w:ascii="宋体" w:hAnsi="宋体" w:cs="MingLiU"/>
          <w:color w:val="auto"/>
          <w:kern w:val="0"/>
          <w:sz w:val="24"/>
          <w:szCs w:val="20"/>
          <w:highlight w:val="none"/>
        </w:rPr>
        <w:t>确的内容进行书面澄清或说明</w:t>
      </w:r>
      <w:r>
        <w:rPr>
          <w:rFonts w:hint="eastAsia" w:ascii="宋体" w:hAnsi="宋体" w:cs="MingLiU"/>
          <w:color w:val="auto"/>
          <w:spacing w:val="-47"/>
          <w:kern w:val="0"/>
          <w:sz w:val="24"/>
          <w:szCs w:val="20"/>
          <w:highlight w:val="none"/>
        </w:rPr>
        <w:t>，</w:t>
      </w:r>
      <w:r>
        <w:rPr>
          <w:rFonts w:hint="eastAsia" w:ascii="宋体" w:hAnsi="宋体" w:cs="MingLiU"/>
          <w:color w:val="auto"/>
          <w:kern w:val="0"/>
          <w:sz w:val="24"/>
          <w:szCs w:val="20"/>
          <w:highlight w:val="none"/>
        </w:rPr>
        <w:t>或者对细微偏差进行补正</w:t>
      </w:r>
      <w:r>
        <w:rPr>
          <w:rFonts w:hint="eastAsia" w:ascii="宋体" w:hAnsi="宋体" w:cs="MingLiU"/>
          <w:color w:val="auto"/>
          <w:spacing w:val="-47"/>
          <w:kern w:val="0"/>
          <w:sz w:val="24"/>
          <w:szCs w:val="20"/>
          <w:highlight w:val="none"/>
        </w:rPr>
        <w:t>。</w:t>
      </w:r>
      <w:r>
        <w:rPr>
          <w:rFonts w:hint="eastAsia" w:ascii="宋体" w:hAnsi="宋体" w:cs="MingLiU"/>
          <w:color w:val="auto"/>
          <w:kern w:val="0"/>
          <w:sz w:val="24"/>
          <w:szCs w:val="20"/>
          <w:highlight w:val="none"/>
        </w:rPr>
        <w:t>评标委员会不接受投标人主动提出的澄清、说明或补正。</w:t>
      </w:r>
    </w:p>
    <w:p w14:paraId="57E34C1E">
      <w:pPr>
        <w:pageBreakBefore w:val="0"/>
        <w:kinsoku/>
        <w:overflowPunct/>
        <w:autoSpaceDE w:val="0"/>
        <w:autoSpaceDN w:val="0"/>
        <w:bidi w:val="0"/>
        <w:adjustRightInd w:val="0"/>
        <w:snapToGrid w:val="0"/>
        <w:spacing w:beforeAutospacing="0" w:afterAutospacing="0" w:line="360" w:lineRule="auto"/>
        <w:ind w:left="0" w:leftChars="0" w:right="0" w:rightChars="0" w:firstLine="474" w:firstLineChars="196"/>
        <w:jc w:val="left"/>
        <w:rPr>
          <w:rFonts w:ascii="宋体" w:hAnsi="宋体" w:cs="MingLiU"/>
          <w:color w:val="auto"/>
          <w:kern w:val="0"/>
          <w:sz w:val="24"/>
          <w:szCs w:val="20"/>
          <w:highlight w:val="none"/>
        </w:rPr>
      </w:pPr>
      <w:r>
        <w:rPr>
          <w:rFonts w:ascii="宋体" w:hAnsi="宋体"/>
          <w:color w:val="auto"/>
          <w:spacing w:val="1"/>
          <w:kern w:val="0"/>
          <w:sz w:val="24"/>
          <w:szCs w:val="20"/>
          <w:highlight w:val="none"/>
        </w:rPr>
        <w:t>3</w:t>
      </w:r>
      <w:r>
        <w:rPr>
          <w:rFonts w:ascii="宋体" w:hAnsi="宋体"/>
          <w:color w:val="auto"/>
          <w:kern w:val="0"/>
          <w:sz w:val="24"/>
          <w:szCs w:val="20"/>
          <w:highlight w:val="none"/>
        </w:rPr>
        <w:t xml:space="preserve">.3.2 </w:t>
      </w:r>
      <w:r>
        <w:rPr>
          <w:rFonts w:hint="eastAsia" w:ascii="宋体" w:hAnsi="宋体" w:cs="MingLiU"/>
          <w:color w:val="auto"/>
          <w:kern w:val="0"/>
          <w:sz w:val="24"/>
          <w:szCs w:val="20"/>
          <w:highlight w:val="none"/>
        </w:rPr>
        <w:t>澄清</w:t>
      </w:r>
      <w:r>
        <w:rPr>
          <w:rFonts w:hint="eastAsia" w:ascii="宋体" w:hAnsi="宋体" w:cs="MingLiU"/>
          <w:color w:val="auto"/>
          <w:spacing w:val="-32"/>
          <w:kern w:val="0"/>
          <w:sz w:val="24"/>
          <w:szCs w:val="20"/>
          <w:highlight w:val="none"/>
        </w:rPr>
        <w:t>、</w:t>
      </w:r>
      <w:r>
        <w:rPr>
          <w:rFonts w:hint="eastAsia" w:ascii="宋体" w:hAnsi="宋体" w:cs="MingLiU"/>
          <w:color w:val="auto"/>
          <w:kern w:val="0"/>
          <w:sz w:val="24"/>
          <w:szCs w:val="20"/>
          <w:highlight w:val="none"/>
        </w:rPr>
        <w:t>说明和补正不得改变投标文件的实质性内</w:t>
      </w:r>
      <w:r>
        <w:rPr>
          <w:rFonts w:hint="eastAsia" w:ascii="宋体" w:hAnsi="宋体" w:cs="MingLiU"/>
          <w:color w:val="auto"/>
          <w:spacing w:val="-31"/>
          <w:kern w:val="0"/>
          <w:sz w:val="24"/>
          <w:szCs w:val="20"/>
          <w:highlight w:val="none"/>
        </w:rPr>
        <w:t>容</w:t>
      </w:r>
      <w:r>
        <w:rPr>
          <w:rFonts w:hint="eastAsia" w:ascii="宋体" w:hAnsi="宋体" w:cs="MingLiU"/>
          <w:color w:val="auto"/>
          <w:kern w:val="0"/>
          <w:sz w:val="24"/>
          <w:szCs w:val="20"/>
          <w:highlight w:val="none"/>
        </w:rPr>
        <w:t>（算术性错误修正的除外</w:t>
      </w:r>
      <w:r>
        <w:rPr>
          <w:rFonts w:hint="eastAsia" w:ascii="宋体" w:hAnsi="宋体" w:cs="MingLiU"/>
          <w:color w:val="auto"/>
          <w:spacing w:val="-106"/>
          <w:kern w:val="0"/>
          <w:sz w:val="24"/>
          <w:szCs w:val="20"/>
          <w:highlight w:val="none"/>
        </w:rPr>
        <w:t>）</w:t>
      </w:r>
      <w:r>
        <w:rPr>
          <w:rFonts w:hint="eastAsia" w:ascii="宋体" w:hAnsi="宋体" w:cs="MingLiU"/>
          <w:color w:val="auto"/>
          <w:spacing w:val="-31"/>
          <w:kern w:val="0"/>
          <w:sz w:val="24"/>
          <w:szCs w:val="20"/>
          <w:highlight w:val="none"/>
        </w:rPr>
        <w:t>。投</w:t>
      </w:r>
      <w:r>
        <w:rPr>
          <w:rFonts w:ascii="宋体" w:hAnsi="宋体"/>
          <w:color w:val="auto"/>
          <w:spacing w:val="-31"/>
          <w:kern w:val="0"/>
          <w:sz w:val="24"/>
          <w:szCs w:val="20"/>
          <w:highlight w:val="none"/>
        </w:rPr>
        <w:t xml:space="preserve"> </w:t>
      </w:r>
      <w:r>
        <w:rPr>
          <w:rFonts w:hint="eastAsia" w:ascii="宋体" w:hAnsi="宋体" w:cs="MingLiU"/>
          <w:color w:val="auto"/>
          <w:kern w:val="0"/>
          <w:sz w:val="24"/>
          <w:szCs w:val="20"/>
          <w:highlight w:val="none"/>
        </w:rPr>
        <w:t>标人的书面澄清、说明和补正属于投标文件的组成部分。</w:t>
      </w:r>
    </w:p>
    <w:p w14:paraId="1150087F">
      <w:pPr>
        <w:pageBreakBefore w:val="0"/>
        <w:kinsoku/>
        <w:overflowPunct/>
        <w:autoSpaceDE w:val="0"/>
        <w:autoSpaceDN w:val="0"/>
        <w:bidi w:val="0"/>
        <w:adjustRightInd w:val="0"/>
        <w:snapToGrid w:val="0"/>
        <w:spacing w:beforeAutospacing="0" w:afterAutospacing="0" w:line="360" w:lineRule="auto"/>
        <w:ind w:left="0" w:leftChars="0" w:right="0" w:rightChars="0" w:firstLine="474" w:firstLineChars="196"/>
        <w:jc w:val="left"/>
        <w:rPr>
          <w:rFonts w:ascii="宋体" w:hAnsi="宋体" w:cs="MingLiU"/>
          <w:color w:val="auto"/>
          <w:kern w:val="0"/>
          <w:sz w:val="24"/>
          <w:szCs w:val="20"/>
          <w:highlight w:val="none"/>
        </w:rPr>
      </w:pPr>
      <w:r>
        <w:rPr>
          <w:rFonts w:ascii="宋体" w:hAnsi="宋体"/>
          <w:color w:val="auto"/>
          <w:spacing w:val="1"/>
          <w:kern w:val="0"/>
          <w:sz w:val="24"/>
          <w:szCs w:val="20"/>
          <w:highlight w:val="none"/>
        </w:rPr>
        <w:t>3.</w:t>
      </w:r>
      <w:r>
        <w:rPr>
          <w:rFonts w:ascii="宋体" w:hAnsi="宋体"/>
          <w:color w:val="auto"/>
          <w:spacing w:val="-1"/>
          <w:kern w:val="0"/>
          <w:sz w:val="24"/>
          <w:szCs w:val="20"/>
          <w:highlight w:val="none"/>
        </w:rPr>
        <w:t>3</w:t>
      </w:r>
      <w:r>
        <w:rPr>
          <w:rFonts w:ascii="宋体" w:hAnsi="宋体"/>
          <w:color w:val="auto"/>
          <w:kern w:val="0"/>
          <w:sz w:val="24"/>
          <w:szCs w:val="20"/>
          <w:highlight w:val="none"/>
        </w:rPr>
        <w:t xml:space="preserve">.3 </w:t>
      </w:r>
      <w:r>
        <w:rPr>
          <w:rFonts w:hint="eastAsia" w:ascii="宋体" w:hAnsi="宋体" w:cs="MingLiU"/>
          <w:color w:val="auto"/>
          <w:kern w:val="0"/>
          <w:sz w:val="24"/>
          <w:szCs w:val="20"/>
          <w:highlight w:val="none"/>
        </w:rPr>
        <w:t>评标委员会对投</w:t>
      </w:r>
      <w:r>
        <w:rPr>
          <w:rFonts w:hint="eastAsia" w:ascii="宋体" w:hAnsi="宋体" w:cs="MingLiU"/>
          <w:color w:val="auto"/>
          <w:spacing w:val="1"/>
          <w:kern w:val="0"/>
          <w:sz w:val="24"/>
          <w:szCs w:val="20"/>
          <w:highlight w:val="none"/>
        </w:rPr>
        <w:t>标</w:t>
      </w:r>
      <w:r>
        <w:rPr>
          <w:rFonts w:hint="eastAsia" w:ascii="宋体" w:hAnsi="宋体" w:cs="MingLiU"/>
          <w:color w:val="auto"/>
          <w:kern w:val="0"/>
          <w:sz w:val="24"/>
          <w:szCs w:val="20"/>
          <w:highlight w:val="none"/>
        </w:rPr>
        <w:t>人提交的</w:t>
      </w:r>
      <w:r>
        <w:rPr>
          <w:rFonts w:hint="eastAsia" w:ascii="宋体" w:hAnsi="宋体" w:cs="MingLiU"/>
          <w:color w:val="auto"/>
          <w:spacing w:val="1"/>
          <w:kern w:val="0"/>
          <w:sz w:val="24"/>
          <w:szCs w:val="20"/>
          <w:highlight w:val="none"/>
        </w:rPr>
        <w:t>澄</w:t>
      </w:r>
      <w:r>
        <w:rPr>
          <w:rFonts w:hint="eastAsia" w:ascii="宋体" w:hAnsi="宋体" w:cs="MingLiU"/>
          <w:color w:val="auto"/>
          <w:kern w:val="0"/>
          <w:sz w:val="24"/>
          <w:szCs w:val="20"/>
          <w:highlight w:val="none"/>
        </w:rPr>
        <w:t>清、说明</w:t>
      </w:r>
      <w:r>
        <w:rPr>
          <w:rFonts w:hint="eastAsia" w:ascii="宋体" w:hAnsi="宋体" w:cs="MingLiU"/>
          <w:color w:val="auto"/>
          <w:spacing w:val="1"/>
          <w:kern w:val="0"/>
          <w:sz w:val="24"/>
          <w:szCs w:val="20"/>
          <w:highlight w:val="none"/>
        </w:rPr>
        <w:t>或</w:t>
      </w:r>
      <w:r>
        <w:rPr>
          <w:rFonts w:hint="eastAsia" w:ascii="宋体" w:hAnsi="宋体" w:cs="MingLiU"/>
          <w:color w:val="auto"/>
          <w:kern w:val="0"/>
          <w:sz w:val="24"/>
          <w:szCs w:val="20"/>
          <w:highlight w:val="none"/>
        </w:rPr>
        <w:t>补正有疑</w:t>
      </w:r>
      <w:r>
        <w:rPr>
          <w:rFonts w:hint="eastAsia" w:ascii="宋体" w:hAnsi="宋体" w:cs="MingLiU"/>
          <w:color w:val="auto"/>
          <w:spacing w:val="1"/>
          <w:kern w:val="0"/>
          <w:sz w:val="24"/>
          <w:szCs w:val="20"/>
          <w:highlight w:val="none"/>
        </w:rPr>
        <w:t>问</w:t>
      </w:r>
      <w:r>
        <w:rPr>
          <w:rFonts w:hint="eastAsia" w:ascii="宋体" w:hAnsi="宋体" w:cs="MingLiU"/>
          <w:color w:val="auto"/>
          <w:kern w:val="0"/>
          <w:sz w:val="24"/>
          <w:szCs w:val="20"/>
          <w:highlight w:val="none"/>
        </w:rPr>
        <w:t>的，可以</w:t>
      </w:r>
      <w:r>
        <w:rPr>
          <w:rFonts w:hint="eastAsia" w:ascii="宋体" w:hAnsi="宋体" w:cs="MingLiU"/>
          <w:color w:val="auto"/>
          <w:spacing w:val="1"/>
          <w:kern w:val="0"/>
          <w:sz w:val="24"/>
          <w:szCs w:val="20"/>
          <w:highlight w:val="none"/>
        </w:rPr>
        <w:t>要</w:t>
      </w:r>
      <w:r>
        <w:rPr>
          <w:rFonts w:hint="eastAsia" w:ascii="宋体" w:hAnsi="宋体" w:cs="MingLiU"/>
          <w:color w:val="auto"/>
          <w:kern w:val="0"/>
          <w:sz w:val="24"/>
          <w:szCs w:val="20"/>
          <w:highlight w:val="none"/>
        </w:rPr>
        <w:t>求投标人</w:t>
      </w:r>
      <w:r>
        <w:rPr>
          <w:rFonts w:hint="eastAsia" w:ascii="宋体" w:hAnsi="宋体" w:cs="MingLiU"/>
          <w:color w:val="auto"/>
          <w:spacing w:val="1"/>
          <w:kern w:val="0"/>
          <w:sz w:val="24"/>
          <w:szCs w:val="20"/>
          <w:highlight w:val="none"/>
        </w:rPr>
        <w:t>进一</w:t>
      </w:r>
      <w:r>
        <w:rPr>
          <w:rFonts w:hint="eastAsia" w:ascii="宋体" w:hAnsi="宋体" w:cs="MingLiU"/>
          <w:color w:val="auto"/>
          <w:kern w:val="0"/>
          <w:sz w:val="24"/>
          <w:szCs w:val="20"/>
          <w:highlight w:val="none"/>
        </w:rPr>
        <w:t>步澄清、说明或补正，直至满足评标委员会的要求。</w:t>
      </w:r>
    </w:p>
    <w:p w14:paraId="4E400531">
      <w:pPr>
        <w:pageBreakBefore w:val="0"/>
        <w:kinsoku/>
        <w:overflowPunct/>
        <w:bidi w:val="0"/>
        <w:adjustRightInd w:val="0"/>
        <w:snapToGrid w:val="0"/>
        <w:spacing w:beforeAutospacing="0" w:afterAutospacing="0" w:line="360" w:lineRule="auto"/>
        <w:ind w:left="0" w:leftChars="0" w:right="0" w:rightChars="0"/>
        <w:outlineLvl w:val="2"/>
        <w:rPr>
          <w:rFonts w:ascii="宋体" w:hAnsi="宋体"/>
          <w:b/>
          <w:color w:val="auto"/>
          <w:sz w:val="24"/>
          <w:szCs w:val="24"/>
          <w:highlight w:val="none"/>
        </w:rPr>
      </w:pPr>
      <w:bookmarkStart w:id="147" w:name="_Toc22660"/>
      <w:bookmarkStart w:id="148" w:name="_Toc44448176"/>
      <w:bookmarkStart w:id="149" w:name="_Toc375647628"/>
      <w:r>
        <w:rPr>
          <w:rFonts w:ascii="宋体" w:hAnsi="宋体"/>
          <w:b/>
          <w:color w:val="auto"/>
          <w:sz w:val="24"/>
          <w:szCs w:val="24"/>
          <w:highlight w:val="none"/>
        </w:rPr>
        <w:t xml:space="preserve">3.4 </w:t>
      </w:r>
      <w:r>
        <w:rPr>
          <w:rFonts w:hint="eastAsia" w:ascii="宋体" w:hAnsi="宋体"/>
          <w:b/>
          <w:color w:val="auto"/>
          <w:sz w:val="24"/>
          <w:szCs w:val="24"/>
          <w:highlight w:val="none"/>
        </w:rPr>
        <w:t>评标结果</w:t>
      </w:r>
      <w:bookmarkEnd w:id="147"/>
      <w:bookmarkEnd w:id="148"/>
      <w:bookmarkEnd w:id="149"/>
    </w:p>
    <w:p w14:paraId="0F0EA026">
      <w:pPr>
        <w:pageBreakBefore w:val="0"/>
        <w:kinsoku/>
        <w:overflowPunct/>
        <w:autoSpaceDE w:val="0"/>
        <w:autoSpaceDN w:val="0"/>
        <w:bidi w:val="0"/>
        <w:adjustRightInd w:val="0"/>
        <w:snapToGrid w:val="0"/>
        <w:spacing w:beforeAutospacing="0" w:afterAutospacing="0" w:line="360" w:lineRule="auto"/>
        <w:ind w:left="0" w:leftChars="0" w:right="0" w:rightChars="0" w:firstLine="474" w:firstLineChars="196"/>
        <w:jc w:val="left"/>
        <w:rPr>
          <w:rFonts w:hint="eastAsia" w:ascii="宋体" w:hAnsi="宋体"/>
          <w:color w:val="auto"/>
          <w:spacing w:val="1"/>
          <w:kern w:val="0"/>
          <w:sz w:val="24"/>
          <w:szCs w:val="24"/>
          <w:highlight w:val="none"/>
        </w:rPr>
      </w:pPr>
      <w:r>
        <w:rPr>
          <w:rFonts w:hint="eastAsia" w:ascii="宋体" w:hAnsi="宋体"/>
          <w:color w:val="auto"/>
          <w:spacing w:val="1"/>
          <w:kern w:val="0"/>
          <w:sz w:val="24"/>
          <w:szCs w:val="24"/>
          <w:highlight w:val="none"/>
        </w:rPr>
        <w:t>3.4.1 除第二章“投标人须知”前附表授权直接确定中标人外，评标委员会按照下列要求，从高分到低分顺序向招标人每标段推荐1-3名中标候选人。</w:t>
      </w:r>
    </w:p>
    <w:p w14:paraId="67FD7994">
      <w:pPr>
        <w:pageBreakBefore w:val="0"/>
        <w:kinsoku/>
        <w:overflowPunct/>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同一投标单位可以多个标段进行投标，但最多取得其中一个标段的第一中标候选人资格。</w:t>
      </w:r>
    </w:p>
    <w:p w14:paraId="5B690D2A">
      <w:pPr>
        <w:pageBreakBefore w:val="0"/>
        <w:kinsoku/>
        <w:overflowPunct/>
        <w:bidi w:val="0"/>
        <w:adjustRightInd w:val="0"/>
        <w:snapToGrid w:val="0"/>
        <w:spacing w:beforeAutospacing="0" w:afterAutospacing="0" w:line="360" w:lineRule="auto"/>
        <w:ind w:left="0" w:leftChars="0" w:right="0" w:rightChars="0" w:firstLine="484" w:firstLineChars="200"/>
        <w:rPr>
          <w:color w:val="auto"/>
          <w:sz w:val="24"/>
          <w:szCs w:val="24"/>
          <w:highlight w:val="none"/>
        </w:rPr>
      </w:pPr>
      <w:r>
        <w:rPr>
          <w:rFonts w:ascii="宋体" w:hAnsi="宋体"/>
          <w:color w:val="auto"/>
          <w:spacing w:val="1"/>
          <w:kern w:val="0"/>
          <w:sz w:val="24"/>
          <w:szCs w:val="24"/>
          <w:highlight w:val="none"/>
        </w:rPr>
        <w:t xml:space="preserve">3.4.2 </w:t>
      </w:r>
      <w:r>
        <w:rPr>
          <w:rFonts w:hint="eastAsia" w:ascii="宋体" w:hAnsi="宋体"/>
          <w:color w:val="auto"/>
          <w:spacing w:val="1"/>
          <w:kern w:val="0"/>
          <w:sz w:val="24"/>
          <w:szCs w:val="24"/>
          <w:highlight w:val="none"/>
        </w:rPr>
        <w:t>评标委员会完成评标后，应当向招标人提交书面评标报告。</w:t>
      </w:r>
    </w:p>
    <w:p w14:paraId="19D4C535">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olor w:val="auto"/>
          <w:highlight w:val="none"/>
        </w:rPr>
        <w:br w:type="page"/>
      </w:r>
      <w:bookmarkStart w:id="150" w:name="_Toc2136"/>
      <w:bookmarkStart w:id="151" w:name="_Toc23927"/>
      <w:r>
        <w:rPr>
          <w:rFonts w:hint="eastAsia"/>
          <w:b/>
          <w:bCs/>
          <w:color w:val="auto"/>
          <w:sz w:val="32"/>
          <w:szCs w:val="36"/>
          <w:highlight w:val="none"/>
        </w:rPr>
        <w:t xml:space="preserve">第四章  </w:t>
      </w:r>
      <w:bookmarkEnd w:id="150"/>
      <w:r>
        <w:rPr>
          <w:rFonts w:hint="eastAsia"/>
          <w:b/>
          <w:bCs/>
          <w:color w:val="auto"/>
          <w:sz w:val="32"/>
          <w:szCs w:val="36"/>
          <w:highlight w:val="none"/>
        </w:rPr>
        <w:t>合同主要条款及格式</w:t>
      </w:r>
      <w:bookmarkEnd w:id="151"/>
    </w:p>
    <w:p w14:paraId="47158A15">
      <w:pPr>
        <w:pageBreakBefore w:val="0"/>
        <w:kinsoku/>
        <w:overflowPunct/>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4"/>
          <w:highlight w:val="none"/>
          <w:shd w:val="clear" w:color="auto" w:fill="FFFFFF"/>
        </w:rPr>
      </w:pPr>
    </w:p>
    <w:p w14:paraId="29B12024">
      <w:pPr>
        <w:pageBreakBefore w:val="0"/>
        <w:kinsoku/>
        <w:overflowPunct/>
        <w:bidi w:val="0"/>
        <w:adjustRightInd w:val="0"/>
        <w:snapToGrid w:val="0"/>
        <w:spacing w:beforeAutospacing="0" w:afterAutospacing="0" w:line="360" w:lineRule="auto"/>
        <w:ind w:left="0" w:leftChars="0" w:right="0" w:rightChars="0" w:firstLine="476" w:firstLineChars="200"/>
        <w:jc w:val="left"/>
        <w:rPr>
          <w:rFonts w:ascii="宋体" w:hAnsi="宋体" w:cs="宋体"/>
          <w:color w:val="auto"/>
          <w:kern w:val="0"/>
          <w:sz w:val="24"/>
          <w:szCs w:val="24"/>
          <w:highlight w:val="none"/>
          <w:shd w:val="clear" w:color="auto" w:fill="FFFFFF"/>
        </w:rPr>
      </w:pPr>
      <w:bookmarkStart w:id="152" w:name="_Toc7313"/>
      <w:bookmarkStart w:id="153" w:name="_Toc1478"/>
      <w:bookmarkStart w:id="154" w:name="_Toc235706477"/>
      <w:bookmarkStart w:id="155" w:name="_Toc247965862"/>
      <w:bookmarkStart w:id="156" w:name="_Toc257107813"/>
      <w:bookmarkStart w:id="157" w:name="_Toc257204783"/>
      <w:r>
        <w:rPr>
          <w:rFonts w:hint="eastAsia" w:ascii="宋体" w:hAnsi="宋体" w:cs="宋体"/>
          <w:color w:val="auto"/>
          <w:spacing w:val="-1"/>
          <w:kern w:val="0"/>
          <w:sz w:val="24"/>
          <w:szCs w:val="20"/>
          <w:highlight w:val="none"/>
        </w:rPr>
        <w:t>以下内容为合同签订时的基本内容，若需修改及未尽事宜，待投标人中标后签订合同时与招标人协商确定。最终文本是以招标人招标文件和中标人投标文件（包括评标时质询文件）相关内容为基础，经双方谈判后形成的合同文本。</w:t>
      </w:r>
    </w:p>
    <w:p w14:paraId="07D0D84D">
      <w:pPr>
        <w:pageBreakBefore w:val="0"/>
        <w:kinsoku/>
        <w:overflowPunct/>
        <w:autoSpaceDE w:val="0"/>
        <w:autoSpaceDN w:val="0"/>
        <w:bidi w:val="0"/>
        <w:adjustRightInd w:val="0"/>
        <w:snapToGrid w:val="0"/>
        <w:spacing w:beforeAutospacing="0" w:afterAutospacing="0" w:line="360" w:lineRule="auto"/>
        <w:ind w:left="0" w:leftChars="0" w:right="0" w:rightChars="0" w:firstLine="470" w:firstLineChars="196"/>
        <w:jc w:val="left"/>
        <w:rPr>
          <w:rFonts w:ascii="宋体" w:hAnsi="宋体"/>
          <w:color w:val="auto"/>
          <w:kern w:val="0"/>
          <w:sz w:val="24"/>
          <w:szCs w:val="20"/>
          <w:highlight w:val="none"/>
        </w:rPr>
      </w:pPr>
    </w:p>
    <w:p w14:paraId="3BBA0B0E">
      <w:pPr>
        <w:pageBreakBefore w:val="0"/>
        <w:widowControl/>
        <w:kinsoku/>
        <w:overflowPunct/>
        <w:bidi w:val="0"/>
        <w:adjustRightInd w:val="0"/>
        <w:snapToGrid w:val="0"/>
        <w:spacing w:beforeAutospacing="0" w:afterAutospacing="0" w:line="360" w:lineRule="auto"/>
        <w:ind w:left="0" w:leftChars="0" w:right="0" w:rightChars="0"/>
        <w:jc w:val="both"/>
        <w:textAlignment w:val="baseline"/>
        <w:rPr>
          <w:rFonts w:hint="eastAsia"/>
          <w:color w:val="auto"/>
          <w:highlight w:val="none"/>
        </w:rPr>
      </w:pPr>
    </w:p>
    <w:p w14:paraId="6DCDA6F9">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color w:val="auto"/>
          <w:highlight w:val="none"/>
        </w:rPr>
      </w:pPr>
    </w:p>
    <w:p w14:paraId="6D7896B7">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44"/>
          <w:szCs w:val="44"/>
          <w:highlight w:val="none"/>
        </w:rPr>
      </w:pPr>
      <w:r>
        <w:rPr>
          <w:rFonts w:hint="eastAsia" w:ascii="宋体" w:hAnsi="宋体" w:cs="宋体"/>
          <w:color w:val="auto"/>
          <w:kern w:val="0"/>
          <w:sz w:val="44"/>
          <w:szCs w:val="44"/>
          <w:highlight w:val="none"/>
        </w:rPr>
        <w:t>采购合同（参考文本）</w:t>
      </w:r>
    </w:p>
    <w:p w14:paraId="67681E90">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7C2D5353">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5306EF27">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1A8F9BBE">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225F9228">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4014B1B6">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36111EC7">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2991780E">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75D41A98">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6B3E6750">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4C87A00A">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35E43745">
      <w:pPr>
        <w:pageBreakBefore w:val="0"/>
        <w:widowControl/>
        <w:kinsoku/>
        <w:overflowPunct/>
        <w:bidi w:val="0"/>
        <w:adjustRightInd w:val="0"/>
        <w:snapToGrid w:val="0"/>
        <w:spacing w:beforeAutospacing="0" w:afterAutospacing="0" w:line="360" w:lineRule="auto"/>
        <w:ind w:left="0" w:leftChars="0" w:right="0" w:rightChars="0" w:firstLine="1200" w:firstLineChars="400"/>
        <w:jc w:val="left"/>
        <w:textAlignment w:val="baseline"/>
        <w:rPr>
          <w:rFonts w:ascii="宋体" w:hAnsi="宋体" w:cs="宋体"/>
          <w:color w:val="auto"/>
          <w:kern w:val="0"/>
          <w:sz w:val="30"/>
          <w:szCs w:val="30"/>
          <w:highlight w:val="none"/>
        </w:rPr>
      </w:pPr>
      <w:r>
        <w:rPr>
          <w:rFonts w:hint="eastAsia" w:ascii="宋体" w:hAnsi="宋体" w:cs="宋体"/>
          <w:color w:val="auto"/>
          <w:kern w:val="0"/>
          <w:sz w:val="30"/>
          <w:szCs w:val="30"/>
          <w:highlight w:val="none"/>
        </w:rPr>
        <w:t>项目名称：</w:t>
      </w:r>
      <w:r>
        <w:rPr>
          <w:rFonts w:hint="eastAsia" w:ascii="宋体" w:hAnsi="宋体" w:cs="宋体"/>
          <w:color w:val="auto"/>
          <w:kern w:val="0"/>
          <w:sz w:val="30"/>
          <w:szCs w:val="30"/>
          <w:highlight w:val="none"/>
          <w:u w:val="single"/>
        </w:rPr>
        <w:t xml:space="preserve">                             </w:t>
      </w:r>
    </w:p>
    <w:p w14:paraId="69F2D290">
      <w:pPr>
        <w:pageBreakBefore w:val="0"/>
        <w:widowControl/>
        <w:kinsoku/>
        <w:overflowPunct/>
        <w:bidi w:val="0"/>
        <w:adjustRightInd w:val="0"/>
        <w:snapToGrid w:val="0"/>
        <w:spacing w:beforeAutospacing="0" w:afterAutospacing="0" w:line="360" w:lineRule="auto"/>
        <w:ind w:left="0" w:leftChars="0" w:right="0" w:rightChars="0" w:firstLine="1200" w:firstLineChars="400"/>
        <w:jc w:val="left"/>
        <w:textAlignment w:val="baseline"/>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买方（甲方）：</w:t>
      </w:r>
      <w:r>
        <w:rPr>
          <w:rFonts w:hint="eastAsia" w:ascii="宋体" w:hAnsi="宋体" w:cs="宋体"/>
          <w:color w:val="auto"/>
          <w:kern w:val="0"/>
          <w:sz w:val="30"/>
          <w:szCs w:val="30"/>
          <w:highlight w:val="none"/>
          <w:u w:val="single"/>
        </w:rPr>
        <w:t xml:space="preserve">                         </w:t>
      </w:r>
    </w:p>
    <w:p w14:paraId="25145846">
      <w:pPr>
        <w:pageBreakBefore w:val="0"/>
        <w:widowControl/>
        <w:kinsoku/>
        <w:overflowPunct/>
        <w:bidi w:val="0"/>
        <w:adjustRightInd w:val="0"/>
        <w:snapToGrid w:val="0"/>
        <w:spacing w:beforeAutospacing="0" w:afterAutospacing="0" w:line="360" w:lineRule="auto"/>
        <w:ind w:left="0" w:leftChars="0" w:right="0" w:rightChars="0" w:firstLine="1200" w:firstLineChars="400"/>
        <w:jc w:val="left"/>
        <w:textAlignment w:val="baseline"/>
        <w:rPr>
          <w:rFonts w:hint="eastAsia" w:ascii="宋体" w:hAnsi="宋体" w:cs="宋体"/>
          <w:color w:val="auto"/>
          <w:kern w:val="0"/>
          <w:sz w:val="30"/>
          <w:szCs w:val="30"/>
          <w:highlight w:val="none"/>
        </w:rPr>
      </w:pPr>
      <w:r>
        <w:rPr>
          <w:rFonts w:hint="eastAsia" w:ascii="宋体" w:hAnsi="宋体" w:cs="宋体"/>
          <w:color w:val="auto"/>
          <w:kern w:val="0"/>
          <w:sz w:val="30"/>
          <w:szCs w:val="30"/>
          <w:highlight w:val="none"/>
        </w:rPr>
        <w:t>卖方（乙方）：</w:t>
      </w:r>
      <w:r>
        <w:rPr>
          <w:rFonts w:hint="eastAsia" w:ascii="宋体" w:hAnsi="宋体" w:cs="宋体"/>
          <w:color w:val="auto"/>
          <w:kern w:val="0"/>
          <w:sz w:val="30"/>
          <w:szCs w:val="30"/>
          <w:highlight w:val="none"/>
          <w:u w:val="single"/>
        </w:rPr>
        <w:t xml:space="preserve">                         </w:t>
      </w:r>
    </w:p>
    <w:p w14:paraId="6C6E2FB1">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br w:type="page"/>
      </w:r>
      <w:r>
        <w:rPr>
          <w:rFonts w:hint="eastAsia" w:ascii="宋体" w:hAnsi="宋体" w:cs="宋体"/>
          <w:b/>
          <w:bCs/>
          <w:color w:val="auto"/>
          <w:kern w:val="0"/>
          <w:sz w:val="24"/>
          <w:szCs w:val="24"/>
          <w:highlight w:val="none"/>
        </w:rPr>
        <w:t>填 写 说 明</w:t>
      </w:r>
    </w:p>
    <w:p w14:paraId="3D2F1F55">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088CE62A">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一、本合同适用于采购方或被委托采购方的需要安装调试、操作技术指导培训、系统维护升级定期检查等配套服务的货物采购。</w:t>
      </w:r>
    </w:p>
    <w:p w14:paraId="649A9233">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二、本合同当事人为双方，若合同当事人超过两方时，请参照本文本另行起草。</w:t>
      </w:r>
    </w:p>
    <w:p w14:paraId="4B6E23F5">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三、本合同书未尽事项，可由合同双方在特别约定条款中进行补充，特别约定条款与其他条款不一致的，在效力上优于其他条款。</w:t>
      </w:r>
    </w:p>
    <w:p w14:paraId="36D6339D">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四、使用本合同书时约定无需填写的条款，应在条款划线空白处注明“无”等字样。</w:t>
      </w:r>
    </w:p>
    <w:p w14:paraId="377B7404">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五、本合同书的签订日期由合同双方商定后统一填写于合同第一段，双方签章时无须在签字页填写签章日期。</w:t>
      </w:r>
    </w:p>
    <w:p w14:paraId="2AAA5250">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六、根据上级文件和工作要求，应签订《廉洁协议》等，应根据有关要求签订并作为必要组成部分列为合同附件。</w:t>
      </w:r>
    </w:p>
    <w:p w14:paraId="2D1DC78C">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七、本合同书签订地点统一参照甲方所在地填写，具体应填写到县（市/区）。</w:t>
      </w:r>
    </w:p>
    <w:p w14:paraId="1EE5B427">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八、本填写说明是为便于合同使用者填写合同书条款而制作，不作为合同书应有组成部分，打印合同书时不应打印本填写说明。</w:t>
      </w:r>
    </w:p>
    <w:p w14:paraId="7B9D880D">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r>
        <w:rPr>
          <w:rFonts w:hint="eastAsia" w:ascii="宋体" w:hAnsi="宋体" w:cs="宋体"/>
          <w:b/>
          <w:bCs/>
          <w:color w:val="auto"/>
          <w:kern w:val="0"/>
          <w:sz w:val="24"/>
          <w:szCs w:val="24"/>
          <w:highlight w:val="none"/>
        </w:rPr>
        <w:t>采购合同</w:t>
      </w:r>
    </w:p>
    <w:p w14:paraId="2164C3AF">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7C2C4CE5">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签订日期：</w:t>
      </w:r>
      <w:r>
        <w:rPr>
          <w:rFonts w:hint="eastAsia" w:ascii="宋体" w:hAnsi="宋体" w:cs="宋体"/>
          <w:color w:val="auto"/>
          <w:kern w:val="0"/>
          <w:sz w:val="24"/>
          <w:szCs w:val="24"/>
          <w:highlight w:val="none"/>
          <w:u w:val="single"/>
        </w:rPr>
        <w:t xml:space="preserve"> 202</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年____月____日</w:t>
      </w:r>
    </w:p>
    <w:p w14:paraId="323CA6B0">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签订地点：____市____县（区/市）</w:t>
      </w:r>
    </w:p>
    <w:p w14:paraId="5EDA34B3">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p>
    <w:p w14:paraId="0726D906">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买方（以下称：甲方）:______________</w:t>
      </w:r>
    </w:p>
    <w:p w14:paraId="05F27CDB">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地址：________________________</w:t>
      </w:r>
    </w:p>
    <w:p w14:paraId="05F1BE49">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卖方（以下称：乙方）:_____________</w:t>
      </w:r>
    </w:p>
    <w:p w14:paraId="58F8D5A1">
      <w:pPr>
        <w:pageBreakBefore w:val="0"/>
        <w:widowControl/>
        <w:kinsoku/>
        <w:overflowPunct/>
        <w:bidi w:val="0"/>
        <w:adjustRightInd w:val="0"/>
        <w:snapToGrid w:val="0"/>
        <w:spacing w:beforeAutospacing="0" w:afterAutospacing="0" w:line="360" w:lineRule="auto"/>
        <w:ind w:left="0" w:leftChars="0" w:right="0" w:rightChars="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地址：_______________________</w:t>
      </w:r>
    </w:p>
    <w:p w14:paraId="1D660F9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为保证甲方</w:t>
      </w:r>
      <w:r>
        <w:rPr>
          <w:rFonts w:hint="eastAsia" w:ascii="宋体" w:hAnsi="宋体" w:cs="宋体"/>
          <w:color w:val="auto"/>
          <w:kern w:val="0"/>
          <w:sz w:val="24"/>
          <w:szCs w:val="24"/>
          <w:highlight w:val="none"/>
          <w:u w:val="single"/>
        </w:rPr>
        <w:t>烟叶烘烤</w:t>
      </w:r>
      <w:r>
        <w:rPr>
          <w:rFonts w:hint="eastAsia" w:ascii="宋体" w:hAnsi="宋体" w:cs="宋体"/>
          <w:color w:val="auto"/>
          <w:kern w:val="0"/>
          <w:sz w:val="24"/>
          <w:szCs w:val="24"/>
          <w:highlight w:val="none"/>
        </w:rPr>
        <w:t>的需要，甲方决定向乙方购买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及</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相关</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配套服务，乙方表示同意。经双方充分协商，本着自愿及平等互利的原则，订立本合同。</w:t>
      </w:r>
    </w:p>
    <w:p w14:paraId="5E9DD6B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第一条 本合同签订依据</w:t>
      </w:r>
    </w:p>
    <w:p w14:paraId="4D2790B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 《中华人民共和国民法典》，甲方委托</w:t>
      </w:r>
      <w:r>
        <w:rPr>
          <w:rFonts w:hint="eastAsia" w:ascii="宋体" w:hAnsi="宋体"/>
          <w:color w:val="auto"/>
          <w:sz w:val="24"/>
          <w:szCs w:val="28"/>
          <w:highlight w:val="none"/>
          <w:u w:val="single"/>
          <w:lang w:eastAsia="zh-CN"/>
        </w:rPr>
        <w:t>华睿诚项目管理有限公司</w:t>
      </w:r>
      <w:r>
        <w:rPr>
          <w:rFonts w:hint="eastAsia" w:ascii="宋体" w:hAnsi="宋体" w:cs="宋体"/>
          <w:color w:val="auto"/>
          <w:kern w:val="0"/>
          <w:sz w:val="24"/>
          <w:szCs w:val="24"/>
          <w:highlight w:val="none"/>
        </w:rPr>
        <w:t>（招标代理机构）对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灵宝市寺河乡人民政府2025年灵宝市烟叶电烤房项目</w:t>
      </w:r>
      <w:r>
        <w:rPr>
          <w:rFonts w:hint="eastAsia" w:ascii="宋体" w:hAnsi="宋体" w:cs="宋体"/>
          <w:color w:val="auto"/>
          <w:kern w:val="0"/>
          <w:sz w:val="24"/>
          <w:szCs w:val="24"/>
          <w:highlight w:val="none"/>
        </w:rPr>
        <w:t>进行招标采购（项目编号：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）的招标结果，以及本采购项目的招标文件和中标人投标文件。</w:t>
      </w:r>
    </w:p>
    <w:p w14:paraId="28A9E318">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 其他：</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 xml:space="preserve"> 。</w:t>
      </w:r>
    </w:p>
    <w:p w14:paraId="71CFA55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第二条 合同标的、价款</w:t>
      </w:r>
    </w:p>
    <w:p w14:paraId="24C20D4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2.1  合同标的描述：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900"/>
        <w:gridCol w:w="900"/>
        <w:gridCol w:w="1260"/>
        <w:gridCol w:w="900"/>
        <w:gridCol w:w="1316"/>
        <w:gridCol w:w="1295"/>
      </w:tblGrid>
      <w:tr w14:paraId="14C0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6AEA4DA">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项目主要设备名称</w:t>
            </w:r>
          </w:p>
        </w:tc>
        <w:tc>
          <w:tcPr>
            <w:tcW w:w="1260" w:type="dxa"/>
            <w:vAlign w:val="center"/>
          </w:tcPr>
          <w:p w14:paraId="3DE361AB">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品牌</w:t>
            </w:r>
          </w:p>
        </w:tc>
        <w:tc>
          <w:tcPr>
            <w:tcW w:w="900" w:type="dxa"/>
            <w:vAlign w:val="center"/>
          </w:tcPr>
          <w:p w14:paraId="1B151A79">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厂家</w:t>
            </w:r>
          </w:p>
        </w:tc>
        <w:tc>
          <w:tcPr>
            <w:tcW w:w="900" w:type="dxa"/>
            <w:vAlign w:val="center"/>
          </w:tcPr>
          <w:p w14:paraId="394239F1">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产地</w:t>
            </w:r>
          </w:p>
        </w:tc>
        <w:tc>
          <w:tcPr>
            <w:tcW w:w="1260" w:type="dxa"/>
            <w:vAlign w:val="center"/>
          </w:tcPr>
          <w:p w14:paraId="7EE956C7">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型号</w:t>
            </w:r>
          </w:p>
          <w:p w14:paraId="68422CDC">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（规格）</w:t>
            </w:r>
          </w:p>
        </w:tc>
        <w:tc>
          <w:tcPr>
            <w:tcW w:w="900" w:type="dxa"/>
            <w:vAlign w:val="center"/>
          </w:tcPr>
          <w:p w14:paraId="604D1A2D">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数量（座）</w:t>
            </w:r>
          </w:p>
        </w:tc>
        <w:tc>
          <w:tcPr>
            <w:tcW w:w="1316" w:type="dxa"/>
            <w:vAlign w:val="center"/>
          </w:tcPr>
          <w:p w14:paraId="6778CEFE">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单价</w:t>
            </w:r>
          </w:p>
          <w:p w14:paraId="3980921B">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1295" w:type="dxa"/>
            <w:vAlign w:val="center"/>
          </w:tcPr>
          <w:p w14:paraId="3EA6E910">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p w14:paraId="4F1E4A6D">
            <w:pPr>
              <w:pageBreakBefore w:val="0"/>
              <w:widowControl/>
              <w:kinsoku/>
              <w:overflowPunct/>
              <w:bidi w:val="0"/>
              <w:adjustRightInd w:val="0"/>
              <w:snapToGrid w:val="0"/>
              <w:spacing w:beforeAutospacing="0" w:afterAutospacing="0" w:line="360" w:lineRule="auto"/>
              <w:ind w:left="0" w:leftChars="0" w:right="0" w:rightChars="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r>
      <w:tr w14:paraId="647A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68" w:type="dxa"/>
            <w:vAlign w:val="center"/>
          </w:tcPr>
          <w:p w14:paraId="2C1F8955">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14:paraId="3E324E4A">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47F10969">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224DD272">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14:paraId="5E60566D">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53384815">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316" w:type="dxa"/>
            <w:vAlign w:val="center"/>
          </w:tcPr>
          <w:p w14:paraId="6CEC8044">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95" w:type="dxa"/>
            <w:vAlign w:val="center"/>
          </w:tcPr>
          <w:p w14:paraId="1F428DC2">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r>
      <w:tr w14:paraId="62B4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68" w:type="dxa"/>
            <w:vAlign w:val="center"/>
          </w:tcPr>
          <w:p w14:paraId="1868BF1F">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14:paraId="645B11DF">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7BE5B53D">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5A1733A0">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60" w:type="dxa"/>
            <w:vAlign w:val="center"/>
          </w:tcPr>
          <w:p w14:paraId="789E7BEA">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900" w:type="dxa"/>
            <w:vAlign w:val="center"/>
          </w:tcPr>
          <w:p w14:paraId="35176177">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316" w:type="dxa"/>
            <w:vAlign w:val="center"/>
          </w:tcPr>
          <w:p w14:paraId="7144E3C5">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c>
          <w:tcPr>
            <w:tcW w:w="1295" w:type="dxa"/>
            <w:vAlign w:val="center"/>
          </w:tcPr>
          <w:p w14:paraId="346AFC67">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p>
        </w:tc>
      </w:tr>
      <w:tr w14:paraId="0A33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vAlign w:val="center"/>
          </w:tcPr>
          <w:p w14:paraId="799286BE">
            <w:pPr>
              <w:pageBreakBefore w:val="0"/>
              <w:widowControl/>
              <w:kinsoku/>
              <w:overflowPunct/>
              <w:bidi w:val="0"/>
              <w:adjustRightInd w:val="0"/>
              <w:snapToGrid w:val="0"/>
              <w:spacing w:beforeAutospacing="0" w:afterAutospacing="0" w:line="360" w:lineRule="auto"/>
              <w:ind w:left="0" w:leftChars="0" w:right="0" w:rightChars="0" w:firstLine="480" w:firstLineChars="200"/>
              <w:jc w:val="center"/>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合同价款(人民币)</w:t>
            </w:r>
          </w:p>
        </w:tc>
        <w:tc>
          <w:tcPr>
            <w:tcW w:w="6571" w:type="dxa"/>
            <w:gridSpan w:val="6"/>
            <w:vAlign w:val="center"/>
          </w:tcPr>
          <w:p w14:paraId="6F292677">
            <w:pPr>
              <w:pageBreakBefore w:val="0"/>
              <w:widowControl/>
              <w:kinsoku/>
              <w:overflowPunct/>
              <w:bidi w:val="0"/>
              <w:adjustRightInd w:val="0"/>
              <w:snapToGrid w:val="0"/>
              <w:spacing w:beforeAutospacing="0" w:afterAutospacing="0" w:line="360" w:lineRule="auto"/>
              <w:ind w:left="0" w:leftChars="0" w:right="0" w:rightChars="0"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小写：____元整           大写：____元整</w:t>
            </w:r>
          </w:p>
        </w:tc>
      </w:tr>
    </w:tbl>
    <w:p w14:paraId="137076B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合同价款包括但不限于设备款、运输费、装卸费、保险费、税费、验收费、退换费用、售后服务费、操作技术指导培训费、软件费、安装调试费、维护升级、定期保养等一切费用及意外风险损失费用，即甲方按合同支付总价款外，在货物正常使用年限内不再支付任何费用。</w:t>
      </w:r>
    </w:p>
    <w:p w14:paraId="7C0FD8B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2.2甲方购买的货物涉及到的设备多、工艺复杂、软硬件涉及专业技术，乙方应就各类软硬件的性能参数、工艺流程、安装调试进度安排、操作技术指导培训和售后服务承诺保证等内容以书面形式进一步明确，作为本合同的附件，与本合同具有同等的法律效力。</w:t>
      </w:r>
    </w:p>
    <w:p w14:paraId="7A7B2B6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w:t>
      </w:r>
      <w:r>
        <w:rPr>
          <w:rFonts w:ascii="宋体" w:hAnsi="宋体" w:cs="宋体"/>
          <w:color w:val="auto"/>
          <w:kern w:val="0"/>
          <w:sz w:val="24"/>
          <w:szCs w:val="24"/>
          <w:highlight w:val="none"/>
        </w:rPr>
        <w:t>除非本合同另有约定，甲方要求乙方提供与本合同项下设备有关的软、硬件产品、附属设施、服务或其他设备正常运转必需的配件时，无需另行支付任何其他费用。</w:t>
      </w:r>
    </w:p>
    <w:p w14:paraId="32A627E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2.4乙方应根据甲方要求，负责本合同项下设备的安装调试。</w:t>
      </w:r>
    </w:p>
    <w:p w14:paraId="45172AA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2.5包装要求：</w:t>
      </w:r>
      <w:r>
        <w:rPr>
          <w:rFonts w:hint="eastAsia" w:ascii="宋体" w:hAnsi="宋体" w:cs="宋体"/>
          <w:color w:val="auto"/>
          <w:kern w:val="0"/>
          <w:sz w:val="24"/>
          <w:szCs w:val="24"/>
          <w:highlight w:val="none"/>
          <w:u w:val="single"/>
        </w:rPr>
        <w:t xml:space="preserve">    </w:t>
      </w:r>
      <w:r>
        <w:rPr>
          <w:rFonts w:hint="eastAsia" w:hAnsi="宋体"/>
          <w:color w:val="auto"/>
          <w:sz w:val="24"/>
          <w:highlight w:val="none"/>
          <w:u w:val="single"/>
        </w:rPr>
        <w:t>原厂包装，或不损坏原厂包装基础上的防护包装</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6A6658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2.6因货物包装不当造成货物毁损灭失的责任，由乙方承担。</w:t>
      </w:r>
    </w:p>
    <w:p w14:paraId="50D27D0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第三条  乙方交付的设备应当满足下列第</w:t>
      </w:r>
      <w:r>
        <w:rPr>
          <w:rFonts w:hint="eastAsia" w:ascii="宋体" w:hAnsi="宋体" w:cs="宋体"/>
          <w:color w:val="auto"/>
          <w:kern w:val="0"/>
          <w:sz w:val="24"/>
          <w:szCs w:val="24"/>
          <w:highlight w:val="none"/>
          <w:u w:val="single"/>
        </w:rPr>
        <w:t xml:space="preserve"> （3）（5）  </w:t>
      </w:r>
      <w:r>
        <w:rPr>
          <w:rFonts w:hint="eastAsia" w:ascii="宋体" w:hAnsi="宋体" w:cs="宋体"/>
          <w:color w:val="auto"/>
          <w:kern w:val="0"/>
          <w:sz w:val="24"/>
          <w:szCs w:val="24"/>
          <w:highlight w:val="none"/>
        </w:rPr>
        <w:t>种质量标准（可同时选择多项标准）。</w:t>
      </w:r>
    </w:p>
    <w:p w14:paraId="3CE3836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（1）国家标准：</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320BE08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（2）部颁标准：</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1E904D3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u w:val="single"/>
        </w:rPr>
        <w:t>烟草行</w:t>
      </w:r>
      <w:r>
        <w:rPr>
          <w:rFonts w:hint="eastAsia" w:ascii="宋体" w:hAnsi="宋体" w:cs="宋体"/>
          <w:color w:val="auto"/>
          <w:kern w:val="0"/>
          <w:sz w:val="24"/>
          <w:szCs w:val="24"/>
          <w:highlight w:val="none"/>
        </w:rPr>
        <w:t>业企业标准：</w:t>
      </w:r>
      <w:r>
        <w:rPr>
          <w:rFonts w:hint="eastAsia" w:ascii="宋体" w:hAnsi="宋体" w:cs="宋体"/>
          <w:color w:val="auto"/>
          <w:kern w:val="0"/>
          <w:sz w:val="24"/>
          <w:szCs w:val="24"/>
          <w:highlight w:val="none"/>
          <w:u w:val="single"/>
        </w:rPr>
        <w:t xml:space="preserve">   </w:t>
      </w:r>
      <w:r>
        <w:rPr>
          <w:rFonts w:hint="eastAsia" w:ascii="宋体" w:hAnsi="宋体"/>
          <w:color w:val="auto"/>
          <w:sz w:val="24"/>
          <w:szCs w:val="24"/>
          <w:highlight w:val="none"/>
          <w:u w:val="single"/>
        </w:rPr>
        <w:t>必须符合</w:t>
      </w:r>
      <w:r>
        <w:rPr>
          <w:color w:val="auto"/>
          <w:sz w:val="24"/>
          <w:szCs w:val="24"/>
          <w:highlight w:val="none"/>
          <w:u w:val="single"/>
        </w:rPr>
        <w:t>空气源热泵密集烤房（</w:t>
      </w:r>
      <w:r>
        <w:rPr>
          <w:rFonts w:hint="eastAsia"/>
          <w:color w:val="auto"/>
          <w:sz w:val="24"/>
          <w:szCs w:val="24"/>
          <w:highlight w:val="none"/>
          <w:u w:val="single"/>
        </w:rPr>
        <w:t>Q/HNYC 050-2020</w:t>
      </w:r>
      <w:r>
        <w:rPr>
          <w:color w:val="auto"/>
          <w:sz w:val="24"/>
          <w:szCs w:val="24"/>
          <w:highlight w:val="none"/>
          <w:u w:val="single"/>
        </w:rPr>
        <w:t>）</w:t>
      </w:r>
      <w:r>
        <w:rPr>
          <w:rFonts w:hint="eastAsia" w:ascii="宋体" w:hAnsi="宋体"/>
          <w:color w:val="auto"/>
          <w:sz w:val="24"/>
          <w:szCs w:val="24"/>
          <w:highlight w:val="none"/>
          <w:u w:val="single"/>
        </w:rPr>
        <w:t>技术要求，且应保证所提供的设备能满足烟叶烘烤及甲方使用要求</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14011C2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（4）按双方签订本合同前确认的样品（由双方确认后封存）标准执行。</w:t>
      </w:r>
    </w:p>
    <w:p w14:paraId="6D8F118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cs="宋体"/>
          <w:color w:val="auto"/>
          <w:kern w:val="0"/>
          <w:sz w:val="24"/>
          <w:szCs w:val="24"/>
          <w:highlight w:val="none"/>
        </w:rPr>
        <w:t>（5）</w:t>
      </w:r>
      <w:r>
        <w:rPr>
          <w:rFonts w:hint="eastAsia" w:ascii="宋体" w:hAnsi="宋体" w:cs="宋体"/>
          <w:b w:val="0"/>
          <w:bCs w:val="0"/>
          <w:color w:val="auto"/>
          <w:kern w:val="0"/>
          <w:sz w:val="24"/>
          <w:szCs w:val="24"/>
          <w:highlight w:val="none"/>
        </w:rPr>
        <w:t>双方商定的质量要求：</w:t>
      </w:r>
      <w:r>
        <w:rPr>
          <w:rFonts w:hint="eastAsia" w:ascii="宋体" w:hAnsi="宋体" w:eastAsia="宋体" w:cs="宋体"/>
          <w:b w:val="0"/>
          <w:bCs w:val="0"/>
          <w:color w:val="auto"/>
          <w:kern w:val="0"/>
          <w:sz w:val="24"/>
          <w:szCs w:val="24"/>
          <w:highlight w:val="none"/>
          <w:lang w:eastAsia="zh-CN"/>
        </w:rPr>
        <w:t>新建内室长8米、宽2.78米、高</w:t>
      </w:r>
      <w:r>
        <w:rPr>
          <w:rFonts w:hint="eastAsia" w:ascii="宋体" w:hAnsi="宋体" w:eastAsia="宋体" w:cs="宋体"/>
          <w:b w:val="0"/>
          <w:bCs w:val="0"/>
          <w:color w:val="auto"/>
          <w:kern w:val="0"/>
          <w:sz w:val="24"/>
          <w:szCs w:val="24"/>
          <w:highlight w:val="none"/>
          <w:lang w:val="en-US" w:eastAsia="zh-CN"/>
        </w:rPr>
        <w:t>4.2</w:t>
      </w:r>
      <w:r>
        <w:rPr>
          <w:rFonts w:hint="eastAsia" w:ascii="宋体" w:hAnsi="宋体" w:eastAsia="宋体" w:cs="宋体"/>
          <w:b w:val="0"/>
          <w:bCs w:val="0"/>
          <w:color w:val="auto"/>
          <w:kern w:val="0"/>
          <w:sz w:val="24"/>
          <w:szCs w:val="24"/>
          <w:highlight w:val="none"/>
          <w:lang w:eastAsia="zh-CN"/>
        </w:rPr>
        <w:t>米电能烤房</w:t>
      </w:r>
      <w:r>
        <w:rPr>
          <w:rFonts w:hint="eastAsia" w:ascii="宋体" w:hAnsi="宋体" w:eastAsia="宋体" w:cs="宋体"/>
          <w:b w:val="0"/>
          <w:bCs w:val="0"/>
          <w:color w:val="auto"/>
          <w:kern w:val="0"/>
          <w:sz w:val="24"/>
          <w:szCs w:val="24"/>
          <w:highlight w:val="none"/>
          <w:lang w:val="en-US" w:eastAsia="zh-CN"/>
        </w:rPr>
        <w:t>20</w:t>
      </w:r>
      <w:r>
        <w:rPr>
          <w:rFonts w:hint="eastAsia" w:ascii="宋体" w:hAnsi="宋体" w:eastAsia="宋体" w:cs="宋体"/>
          <w:b w:val="0"/>
          <w:bCs w:val="0"/>
          <w:color w:val="auto"/>
          <w:kern w:val="0"/>
          <w:sz w:val="24"/>
          <w:szCs w:val="24"/>
          <w:highlight w:val="none"/>
          <w:lang w:eastAsia="zh-CN"/>
        </w:rPr>
        <w:t>座，主要包括加热室、装烟室、热泵主机组、热泵烤房控制器。</w:t>
      </w:r>
    </w:p>
    <w:p w14:paraId="04FA8E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装烟室内室长8000mm、宽2780mm、高4200mm，包含墙体、屋顶、挂烟架、装烟室门、观察窗、热风进（回）风口。</w:t>
      </w:r>
    </w:p>
    <w:p w14:paraId="4A90620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墙体采用金属面硬质聚氨酯夹芯板（以下简称墙板），厚度要求≥50mm，芯材导热系数≤ 0.024W/(m∙K)（在平均环境温度23.8℃测得），聚氨酯密度≥40kg/m</w:t>
      </w:r>
      <w:r>
        <w:rPr>
          <w:rFonts w:hint="eastAsia" w:ascii="宋体" w:hAnsi="宋体" w:eastAsia="宋体" w:cs="宋体"/>
          <w:b w:val="0"/>
          <w:bCs w:val="0"/>
          <w:color w:val="auto"/>
          <w:sz w:val="24"/>
          <w:szCs w:val="24"/>
          <w:highlight w:val="none"/>
          <w:vertAlign w:val="superscript"/>
        </w:rPr>
        <w:t>3</w:t>
      </w:r>
      <w:r>
        <w:rPr>
          <w:rFonts w:hint="eastAsia" w:ascii="宋体" w:hAnsi="宋体" w:eastAsia="宋体" w:cs="宋体"/>
          <w:b w:val="0"/>
          <w:bCs w:val="0"/>
          <w:color w:val="auto"/>
          <w:sz w:val="24"/>
          <w:szCs w:val="24"/>
          <w:highlight w:val="none"/>
        </w:rPr>
        <w:t>。聚氨酯内外保护层为0.4mm及以上涂层钢板，采用镀锌涂层，锌层重量≥120g/m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涂层钢板双面做压纹处理，压纹波距5mm～10mm。涂层钢板内外不得接触，防止形成热桥。墙板外观质量、物理性能、防火性能等符合GB/T23932《建筑用金属面绝热夹芯板》要求。墙板与水平角度为90°，安装时插入地槽，地槽采用1.2mm厚热浸镀锌板折弯成型，内径为墙板厚度＋2mm，墙板与地槽之间的空隙打耐候密封胶处理。墙板安装完毕后，地槽采用混凝土固封，固封位置要超过地槽上沿。墙板上部安装顶槽，顶槽采用1.2mm厚热浸镀锌板折弯成型，顶槽安装前在墙板上部打发泡胶，确保墙板与顶槽间无空隙。</w:t>
      </w:r>
    </w:p>
    <w:p w14:paraId="040F5C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屋顶采用金属面硬质聚氨酯夹芯板（以下简称屋面板），屋面板与墙体材料、质量、厚度等相同，涂层钢板内外不得接触，防止形成热桥。具有 34mm 以上的波峰和排水槽结构，防水等级二级。屋面恒载：0.25kN/m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；基本风压：0.45kN/m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；屋面活载：0.5kN/m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；基本雪压：0.45kN/m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屋面板长度方向与烤房长度方向垂直，屋面板搭接如图5所示，做防水放漏气处理。屋面板与墙板（顶槽）接缝进行打胶密封处理。相邻烤房屋顶安装V型天沟，靠外烤房屋顶的外侧安装外侧天沟，天沟用于收集雨水并使其流向烤房后。天沟材料采用≥0.5mm厚度镀锌涂层钢板，锌层重量≥120g/m</w:t>
      </w:r>
      <w:r>
        <w:rPr>
          <w:rFonts w:hint="eastAsia" w:ascii="宋体" w:hAnsi="宋体" w:eastAsia="宋体" w:cs="宋体"/>
          <w:b w:val="0"/>
          <w:bCs w:val="0"/>
          <w:color w:val="auto"/>
          <w:sz w:val="24"/>
          <w:szCs w:val="24"/>
          <w:highlight w:val="none"/>
          <w:vertAlign w:val="superscript"/>
        </w:rPr>
        <w:t>2</w:t>
      </w:r>
      <w:r>
        <w:rPr>
          <w:rFonts w:hint="eastAsia" w:ascii="宋体" w:hAnsi="宋体" w:eastAsia="宋体" w:cs="宋体"/>
          <w:b w:val="0"/>
          <w:bCs w:val="0"/>
          <w:color w:val="auto"/>
          <w:sz w:val="24"/>
          <w:szCs w:val="24"/>
          <w:highlight w:val="none"/>
        </w:rPr>
        <w:t>。</w:t>
      </w:r>
    </w:p>
    <w:p w14:paraId="76BF56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挂烟架立柱、顶梁及挂烟架采用Q235镀锌矩管制作，规格为40mm×60mm，壁厚≥l.5mm，挂烟架整体承重能力大于8000kg，能够使用烟竿和烟夹装烟。挂烟架底棚高1100mm～1300mm、顶棚距离屋顶高度600mm、中间棚间距800mm。挂烟架各构件采用螺栓连接，横档与立柱采用套接加螺栓连接。在立柱上焊接支撑固定套，上面开设φ12的孔，支撑固定套采用壁厚为4mm的Q235A镀锌板材制作。横档相应位置开设φ12的孔，采用M10的紧固件固定。</w:t>
      </w:r>
    </w:p>
    <w:p w14:paraId="3A10828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装烟室门采用与墙体相同的材料。对于编烟棚立柱临近的烤房，大门门框与编烟棚立柱之间采用直径不小于16mm的钢筋连接加固，连接点距屋顶下沿高度200mm～300mm。</w:t>
      </w:r>
    </w:p>
    <w:p w14:paraId="70D6839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在装烟室门和隔热墙上各设置一个竖向观察窗，能够观察到装烟室内烟叶变化状况。观察窗应采用中空保温玻璃结构，玻璃为钢化无色玻璃，厚度5mm，中空层8mm，观察窗安装居门厚度中间，外装遮光门。</w:t>
      </w:r>
    </w:p>
    <w:p w14:paraId="46D7B3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在隔热墙顶端和底端分别开设进风口和回风口，尺寸为1800mm×400mm，回风口应加设防护网（网孔小于25mm×25mm），防止掉落在地面上的烟叶吸入加热室后堵塞加热装置。</w:t>
      </w:r>
    </w:p>
    <w:p w14:paraId="57BE331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加热室主要包含墙体、房顶、支撑架、排湿风道、冷凝器及维修门、循环风机维修门、热风风道，以及新风风门和排湿风门等。加热室内尺寸长1000～1400mm、宽1800mm、高4200mm。</w:t>
      </w:r>
    </w:p>
    <w:p w14:paraId="269B8CE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加热室墙体材料与装烟室材料相同。</w:t>
      </w:r>
    </w:p>
    <w:p w14:paraId="130148B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墙板上要开设新风风口和排湿风口，开口采取收边措施，收边材料厚度≥1mm，分别用于安装新风风门和排湿风门。</w:t>
      </w:r>
    </w:p>
    <w:p w14:paraId="0975442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开设维修门和风机维修门，分别用于维修加热室内部加热器件和循环风机等。</w:t>
      </w:r>
    </w:p>
    <w:p w14:paraId="2C2CBDB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加热室两侧墙板采用整板，转角处建议采用转角墙板，地槽、顶槽与装烟室结构一致，要求相同。</w:t>
      </w:r>
    </w:p>
    <w:p w14:paraId="24A372A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墙板与加热室支架之间采用不小于ST5.5的自攻自钻螺钉连接，并采取耐候密封胶密封。墙体与地面之间采用耐候密封胶密封，然后用混凝土加强密封。</w:t>
      </w:r>
    </w:p>
    <w:p w14:paraId="4C5EDD1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ascii="宋体" w:hAnsi="宋体" w:cs="宋体"/>
          <w:b w:val="0"/>
          <w:bCs w:val="0"/>
          <w:color w:val="auto"/>
          <w:szCs w:val="21"/>
          <w:highlight w:val="none"/>
        </w:rPr>
      </w:pPr>
      <w:r>
        <w:rPr>
          <w:rFonts w:hint="eastAsia" w:ascii="宋体" w:hAnsi="宋体" w:eastAsia="宋体" w:cs="宋体"/>
          <w:b w:val="0"/>
          <w:bCs w:val="0"/>
          <w:color w:val="auto"/>
          <w:sz w:val="24"/>
          <w:szCs w:val="24"/>
          <w:highlight w:val="none"/>
          <w:lang w:val="en-US" w:eastAsia="zh-CN"/>
        </w:rPr>
        <w:t>支撑架采用40×40×2（mm）镀锌方管，用于支撑内部换热器和循环风机。四个支脚带安装底脚，螺栓孔直径14mm。支架上用于结构密封的板材采用镀锌钢板，钢板厚度≥1mm，或其它耐腐蚀性不低于镀锌钢板的材料。焊接部位应涂防锈漆处理。支架总高≥2500mm，4个底脚应采用膨胀螺栓固定于地基上，并与隔热墙贴紧，左右居中。</w:t>
      </w:r>
    </w:p>
    <w:p w14:paraId="31AC91C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排湿风道连通回风口和排湿风门。采用镀锌板折弯加工，排湿风门处宽800mm，高≥480mm，排湿风道与回风口连接处宽600mm、高≥400mm。通过膨胀螺栓固定于地面。安装时要靠紧排湿口，密封完好。</w:t>
      </w:r>
    </w:p>
    <w:p w14:paraId="56A6FB3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固定在冷凝器支架层（面）上，并用密封板密封冷凝器端板四周。密封板采用镀锌钢板，钢板厚度≥1mm，保证热空气全部通过冷凝器。</w:t>
      </w:r>
    </w:p>
    <w:p w14:paraId="573FD1E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在烟叶烘烤时段环境温度低于5℃地区配置备用电辅加热器，为热泵主机组后备使用热源。功率≥27kW，采用翅片式电热管或陶瓷加热器，电辅加热器≥9根，分为2组或3组控制。</w:t>
      </w:r>
    </w:p>
    <w:p w14:paraId="5CC4529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电辅加热器连接线采用硅橡胶耐高温线，电缆穿墙采用塑料护套，电辅加热管接头要求防护，不得裸露。</w:t>
      </w:r>
    </w:p>
    <w:p w14:paraId="4A3A46C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循环风机按《密集烤房技术规范（试行）修订版》（国烟办综〔2009〕418号）文件要求（以下简称418号文件）。风机电源引线使用七芯铜线电缆，电缆符合GB5013.1规定。输入端口符合国家相关标准。三相循环风机导线截面积不小于1.5mm2，风机电缆耐温90℃以上。</w:t>
      </w:r>
    </w:p>
    <w:p w14:paraId="1CBEE5B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进风风门采用电动风门结构，符合418 号文件要求，内径300mm×800mm，固定到加热室墙板新风口外侧。</w:t>
      </w:r>
    </w:p>
    <w:p w14:paraId="6044FF5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排湿风门采用电动风门结构，符合418 号文件要求，内径300mm×800mm，也可以采用两个百叶窗平行与地面安装，百叶窗符合 418 号文件要求，电动风门或百叶窗居中安装。</w:t>
      </w:r>
    </w:p>
    <w:p w14:paraId="61E213B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混凝土浇筑水平地面（硬化地面基础包括烤房与编烟棚所有覆盖区域），浇筑厚度≥200mm。浇筑前用 5cm 三七土预处理，地基内部加设防水塑料布或其它防水措施。要求： </w:t>
      </w:r>
    </w:p>
    <w:p w14:paraId="41107E1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a) 浇筑混凝土≥C20 砼。 </w:t>
      </w:r>
    </w:p>
    <w:p w14:paraId="0AEEFC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b) 地基上平面为 1:2.5 混凝土砂浆面层，平整度≤3mm。 </w:t>
      </w:r>
    </w:p>
    <w:p w14:paraId="1A370CA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c) 地基上要留有排水槽（烤房与烤房之间要向加热室一侧设置排水槽、热泵机组与加热室之间要设置排水槽，防止积水倒流入装烟室或加热室内），以利于排水。 </w:t>
      </w:r>
    </w:p>
    <w:p w14:paraId="5D945B8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d) 在烤房地基附近埋设接地极，接地极为 50x50mm 镀锌角钢，埋深 1.5m 以上。接地极可以单个烤房使用，也可以附近多座烤房共用。 </w:t>
      </w:r>
    </w:p>
    <w:p w14:paraId="65312EE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集群烤房须配置编烟棚，保证光线充足，适宜各项操作，编烟棚要求：</w:t>
      </w:r>
    </w:p>
    <w:p w14:paraId="7A45FDC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a)对于双排（面对面）烤房，10座连片烤房编烟棚宽度原则上不低于8000mm，20座连片烤房编烟棚宽度原则上不低于 12000mm，30座及以上连片烤房编烟棚宽度原则上不低于 14000mm。单排烤房编烟棚因地制宜配置，10座（含10座以下）单排烤房编烟棚宽度原则上不低于6000mm，20 座连片烤房编烟棚宽度原则上不低于 8000mm，30座及以上连片烤房编烟棚宽度原则上不低于 8000mm 。编烟棚左、右两侧边缘末端要超过烤房墙体50cm。</w:t>
      </w:r>
    </w:p>
    <w:p w14:paraId="42390C1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b)编烟棚须选用钢管或更优质的材料作为支撑架。棚顶为单面彩钢瓦。材质要求：</w:t>
      </w:r>
    </w:p>
    <w:p w14:paraId="1141BFE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1.支撑架钢柱：圆管φ150mm，Q235B；</w:t>
      </w:r>
    </w:p>
    <w:p w14:paraId="79B9A2E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2.上下弦：圆管φ60mm*2，Q235B；</w:t>
      </w:r>
    </w:p>
    <w:p w14:paraId="7A9F25E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3.支撑：圆管φ30mm*2，Q235B；</w:t>
      </w:r>
    </w:p>
    <w:p w14:paraId="0E6DDAE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4.檩条：矩形管口60*40*1.5mm，Q235B；</w:t>
      </w:r>
    </w:p>
    <w:p w14:paraId="45ACE9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5.水平撑、拉筋：圆钢φ16mm，Q235B；</w:t>
      </w:r>
    </w:p>
    <w:p w14:paraId="2D722C29">
      <w:pPr>
        <w:pStyle w:val="20"/>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rPr>
          <w:rFonts w:hint="eastAsia" w:ascii="宋体" w:hAnsi="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6.单面彩钢瓦：厚度0.5mm以上。要求能够抗9级大风，防400mm雪压。 </w:t>
      </w:r>
    </w:p>
    <w:p w14:paraId="0D857D5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第四条 付款</w:t>
      </w:r>
    </w:p>
    <w:p w14:paraId="5568F4B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4.1 本合同价款由甲方向乙方，按下列第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项执行：</w:t>
      </w:r>
    </w:p>
    <w:p w14:paraId="2ACBF36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（1）分期支付，具体支付进度如下：</w:t>
      </w:r>
    </w:p>
    <w:p w14:paraId="408A7FE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①合同签订后___日历日内，甲方支付合同价款_____%，即_____元；</w:t>
      </w:r>
    </w:p>
    <w:p w14:paraId="171FE86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②设备经甲方到货接收后___日历日内，甲方支付合同价款_____%，即_____元；</w:t>
      </w:r>
    </w:p>
    <w:p w14:paraId="5CBD610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③设备经甲方开箱验收合格后___日历日内，甲方支付合同价款_____%，即_____元；</w:t>
      </w:r>
    </w:p>
    <w:p w14:paraId="6FB8789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④本合同第6.5条约定的异议期满后，甲方支付合同价款_____%，即_____元；</w:t>
      </w:r>
    </w:p>
    <w:p w14:paraId="521A62A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⑤其他：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7177C00">
      <w:pPr>
        <w:pageBreakBefore w:val="0"/>
        <w:widowControl/>
        <w:numPr>
          <w:ilvl w:val="0"/>
          <w:numId w:val="5"/>
        </w:numPr>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rPr>
        <w:t>验收合格后支付：</w:t>
      </w:r>
      <w:r>
        <w:rPr>
          <w:rFonts w:hint="eastAsia" w:ascii="宋体" w:hAnsi="宋体" w:cs="宋体"/>
          <w:color w:val="auto"/>
          <w:kern w:val="0"/>
          <w:sz w:val="24"/>
          <w:szCs w:val="24"/>
          <w:highlight w:val="none"/>
          <w:lang w:val="en-US" w:eastAsia="zh-CN"/>
        </w:rPr>
        <w:t xml:space="preserve"> </w:t>
      </w:r>
      <w:r>
        <w:rPr>
          <w:rFonts w:hint="eastAsia" w:ascii="宋体" w:hAnsi="宋体"/>
          <w:color w:val="auto"/>
          <w:sz w:val="24"/>
          <w:szCs w:val="24"/>
          <w:highlight w:val="none"/>
        </w:rPr>
        <w:t>。</w:t>
      </w:r>
    </w:p>
    <w:p w14:paraId="6A2D2A3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4.2合同价款支付方式：双方同意以银行转账方式将本合同项下的合同款项，支付至乙方指定的如下银行账户：</w:t>
      </w:r>
    </w:p>
    <w:p w14:paraId="7124869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户名：</w:t>
      </w:r>
      <w:r>
        <w:rPr>
          <w:rFonts w:hint="eastAsia" w:ascii="宋体" w:hAnsi="宋体" w:cs="宋体"/>
          <w:color w:val="auto"/>
          <w:kern w:val="0"/>
          <w:sz w:val="24"/>
          <w:szCs w:val="24"/>
          <w:highlight w:val="none"/>
          <w:u w:val="single"/>
        </w:rPr>
        <w:t xml:space="preserve">                                </w:t>
      </w:r>
    </w:p>
    <w:p w14:paraId="6BF954A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开户行：</w:t>
      </w:r>
      <w:r>
        <w:rPr>
          <w:rFonts w:hint="eastAsia" w:ascii="宋体" w:hAnsi="宋体" w:cs="宋体"/>
          <w:color w:val="auto"/>
          <w:kern w:val="0"/>
          <w:sz w:val="24"/>
          <w:szCs w:val="24"/>
          <w:highlight w:val="none"/>
          <w:u w:val="single"/>
        </w:rPr>
        <w:t xml:space="preserve">                              </w:t>
      </w:r>
    </w:p>
    <w:p w14:paraId="3D1B77D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t>银行帐号：</w:t>
      </w:r>
      <w:r>
        <w:rPr>
          <w:rFonts w:hint="eastAsia" w:ascii="宋体" w:hAnsi="宋体" w:cs="宋体"/>
          <w:color w:val="auto"/>
          <w:kern w:val="0"/>
          <w:sz w:val="24"/>
          <w:szCs w:val="24"/>
          <w:highlight w:val="none"/>
          <w:u w:val="single"/>
        </w:rPr>
        <w:t xml:space="preserve">                            </w:t>
      </w:r>
    </w:p>
    <w:p w14:paraId="51B92FDC">
      <w:pPr>
        <w:pStyle w:val="20"/>
        <w:pageBreakBefore w:val="0"/>
        <w:kinsoku/>
        <w:overflowPunct/>
        <w:bidi w:val="0"/>
        <w:adjustRightInd w:val="0"/>
        <w:snapToGrid w:val="0"/>
        <w:spacing w:beforeAutospacing="0" w:after="0" w:afterAutospacing="0" w:line="360" w:lineRule="auto"/>
        <w:ind w:left="0" w:leftChars="0" w:right="0" w:rightChars="0" w:firstLine="480" w:firstLineChars="200"/>
        <w:rPr>
          <w:rFonts w:hint="eastAsia"/>
          <w:color w:val="auto"/>
          <w:highlight w:val="none"/>
        </w:rPr>
      </w:pPr>
      <w:r>
        <w:rPr>
          <w:rFonts w:hint="eastAsia" w:ascii="宋体" w:hAnsi="宋体" w:cs="宋体"/>
          <w:color w:val="auto"/>
          <w:kern w:val="0"/>
          <w:sz w:val="24"/>
          <w:szCs w:val="24"/>
          <w:highlight w:val="none"/>
        </w:rPr>
        <w:t>乙方银行账户发生变更的，应当提前通知甲方，否则由此造成的一切损失由乙方自行承担。</w:t>
      </w:r>
    </w:p>
    <w:p w14:paraId="5B18C68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4.3 付款条件。甲方付款前，乙方应先提交下列单证和文件：</w:t>
      </w:r>
    </w:p>
    <w:p w14:paraId="2904CFD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 </w:t>
      </w:r>
      <w:r>
        <w:rPr>
          <w:rFonts w:hint="eastAsia" w:ascii="宋体" w:hAnsi="宋体" w:cs="宋体"/>
          <w:color w:val="auto"/>
          <w:kern w:val="0"/>
          <w:sz w:val="24"/>
          <w:szCs w:val="24"/>
          <w:highlight w:val="none"/>
          <w:u w:val="single"/>
        </w:rPr>
        <w:t>增值税发票</w:t>
      </w:r>
      <w:r>
        <w:rPr>
          <w:rFonts w:hint="eastAsia" w:ascii="宋体" w:hAnsi="宋体" w:cs="宋体"/>
          <w:color w:val="auto"/>
          <w:kern w:val="0"/>
          <w:sz w:val="24"/>
          <w:szCs w:val="24"/>
          <w:highlight w:val="none"/>
        </w:rPr>
        <w:t>原件一份（符合项目所在地财务管理要求的相关发票）；</w:t>
      </w:r>
    </w:p>
    <w:p w14:paraId="67D88C5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(2)付款前乙方负有相关合同履行义务的，乙方应提供已履行完相应义务的证明材料；</w:t>
      </w:r>
    </w:p>
    <w:p w14:paraId="1E53594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(3)付款通知。</w:t>
      </w:r>
    </w:p>
    <w:p w14:paraId="3B95DA2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4.4 双方同意：乙方的违约金及赔偿金，甲方可以在合同款项中直接扣除。</w:t>
      </w:r>
    </w:p>
    <w:p w14:paraId="6C152E7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4.5 本合同项下的货币单位为人民币。</w:t>
      </w:r>
    </w:p>
    <w:p w14:paraId="4F571B6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第五条 货物交付</w:t>
      </w:r>
    </w:p>
    <w:p w14:paraId="21FD0CA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5.1 乙方负责将采购项目内设备按合同约定进行安装调试、操作技术指导培训，保证甲方能正常使用后，交予甲方验收，验收合格前的风险由乙方承担。</w:t>
      </w:r>
    </w:p>
    <w:p w14:paraId="23B4164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5.2 交货地点：</w:t>
      </w:r>
      <w:r>
        <w:rPr>
          <w:rFonts w:hint="eastAsia" w:ascii="宋体" w:hAnsi="宋体" w:cs="宋体"/>
          <w:color w:val="auto"/>
          <w:kern w:val="0"/>
          <w:sz w:val="24"/>
          <w:szCs w:val="24"/>
          <w:highlight w:val="none"/>
          <w:u w:val="single"/>
        </w:rPr>
        <w:t xml:space="preserve">  </w:t>
      </w:r>
      <w:r>
        <w:rPr>
          <w:rFonts w:hint="eastAsia" w:ascii="宋体" w:hAnsi="宋体"/>
          <w:color w:val="auto"/>
          <w:sz w:val="22"/>
          <w:highlight w:val="none"/>
          <w:u w:val="single"/>
        </w:rPr>
        <w:t>各烤房建设地点或甲方指定地点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；收货人：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。收货人联系电话：</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。甲方变更交货地点和收货人的，应该书面通知乙方。</w:t>
      </w:r>
    </w:p>
    <w:p w14:paraId="682F794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5.3 交货时间，按下列第</w:t>
      </w:r>
      <w:r>
        <w:rPr>
          <w:rFonts w:hint="eastAsia" w:ascii="宋体" w:hAnsi="宋体" w:cs="宋体"/>
          <w:color w:val="auto"/>
          <w:kern w:val="0"/>
          <w:sz w:val="24"/>
          <w:szCs w:val="24"/>
          <w:highlight w:val="none"/>
          <w:u w:val="single"/>
        </w:rPr>
        <w:t xml:space="preserve">  （2）  </w:t>
      </w:r>
      <w:r>
        <w:rPr>
          <w:rFonts w:hint="eastAsia" w:ascii="宋体" w:hAnsi="宋体" w:cs="宋体"/>
          <w:color w:val="auto"/>
          <w:kern w:val="0"/>
          <w:sz w:val="24"/>
          <w:szCs w:val="24"/>
          <w:highlight w:val="none"/>
        </w:rPr>
        <w:t>项执行：</w:t>
      </w:r>
    </w:p>
    <w:p w14:paraId="7365AB9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（1）____年____月___日前交付。</w:t>
      </w:r>
    </w:p>
    <w:p w14:paraId="56BE342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（2）合同签订</w:t>
      </w:r>
      <w:r>
        <w:rPr>
          <w:rFonts w:hint="eastAsia" w:ascii="宋体" w:hAnsi="宋体" w:cs="宋体"/>
          <w:color w:val="auto"/>
          <w:kern w:val="0"/>
          <w:sz w:val="24"/>
          <w:szCs w:val="24"/>
          <w:highlight w:val="none"/>
          <w:u w:val="single"/>
        </w:rPr>
        <w:t xml:space="preserve">后   45   </w:t>
      </w:r>
      <w:r>
        <w:rPr>
          <w:rFonts w:hint="eastAsia" w:ascii="宋体" w:hAnsi="宋体" w:cs="宋体"/>
          <w:color w:val="auto"/>
          <w:kern w:val="0"/>
          <w:sz w:val="24"/>
          <w:szCs w:val="24"/>
          <w:highlight w:val="none"/>
        </w:rPr>
        <w:t>日历日内交付。</w:t>
      </w:r>
    </w:p>
    <w:p w14:paraId="0DEF7F8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5.4 设备的实际交货验收时间以甲方签收时间为准。</w:t>
      </w:r>
    </w:p>
    <w:p w14:paraId="29EF363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5.5 乙方交货时应立即与甲方或甲方指定的收货人进行到货接收。到货接收仅表明收货人收到一定数量的货物，并不表明货物符合合同约定。</w:t>
      </w:r>
    </w:p>
    <w:p w14:paraId="3DD78E2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5.6 对到货接收中发现的设备短缺、毁损或与合同约定有不符之处或包装不符合合同约定的，甲方有权拒收设备，由此产生的逾期交货责任由乙方承担。</w:t>
      </w:r>
    </w:p>
    <w:p w14:paraId="375EE41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color w:val="auto"/>
          <w:highlight w:val="none"/>
        </w:rPr>
      </w:pPr>
      <w:r>
        <w:rPr>
          <w:rFonts w:hint="eastAsia" w:ascii="宋体" w:hAnsi="宋体" w:cs="宋体"/>
          <w:color w:val="auto"/>
          <w:kern w:val="0"/>
          <w:sz w:val="24"/>
          <w:szCs w:val="24"/>
          <w:highlight w:val="none"/>
        </w:rPr>
        <w:t>5.7乙方人员（包括受乙方委托提供送货、安装、调试等服务的人员）应提供安全、专业的服务，如在送货、安装、调试过程中造成乙方及乙方服务人员自身、甲方及甲方人员或者任何第三方的人身或财产损害，应由乙方自行承担责任。乙方及乙方人员不得以甲方人员的指示作为减轻或不承担责任的理由；如甲方人员的指示存在安全风险，则乙方及乙方人员应拒绝执行并说明理由。</w:t>
      </w:r>
    </w:p>
    <w:p w14:paraId="1F10E32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第六条 验收内容及标准</w:t>
      </w:r>
    </w:p>
    <w:p w14:paraId="39B9D50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6.1验收内容及标准一般包括：</w:t>
      </w:r>
    </w:p>
    <w:p w14:paraId="691DE7D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（1）符合本合同第二条、第三条的约定；</w:t>
      </w:r>
    </w:p>
    <w:p w14:paraId="46300F0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（2）设备的外包装完好，无破损、浸湿、受潮、变形等情况；</w:t>
      </w:r>
    </w:p>
    <w:p w14:paraId="5D710FB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（3）设备和附件表面无残损、锈蚀、碰伤等情况；</w:t>
      </w:r>
    </w:p>
    <w:p w14:paraId="262C1E5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（4）主机、附件等设备规格、型号、配置及数量与合同约定相符；</w:t>
      </w:r>
    </w:p>
    <w:p w14:paraId="082F3728">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（5）随机资料齐全，包括但不限于：说明书、产品检验合格证书、保修单等；</w:t>
      </w:r>
    </w:p>
    <w:p w14:paraId="0CAFC71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（6）安装调试后，能运行正常；</w:t>
      </w:r>
    </w:p>
    <w:p w14:paraId="7C4B3C9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（7）符合甲方购买需求；</w:t>
      </w:r>
    </w:p>
    <w:p w14:paraId="55E6A7D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（8）甲方操作人员能正常使用；</w:t>
      </w:r>
    </w:p>
    <w:p w14:paraId="06D4276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（9）其他：</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0BC161E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6.2 甲方应在收到乙方验收通知后</w:t>
      </w:r>
      <w:r>
        <w:rPr>
          <w:rFonts w:hint="eastAsia" w:ascii="宋体" w:hAnsi="宋体" w:cs="宋体"/>
          <w:color w:val="auto"/>
          <w:kern w:val="0"/>
          <w:sz w:val="24"/>
          <w:szCs w:val="24"/>
          <w:highlight w:val="none"/>
          <w:u w:val="single"/>
        </w:rPr>
        <w:t xml:space="preserve">  5个  </w:t>
      </w:r>
      <w:r>
        <w:rPr>
          <w:rFonts w:hint="eastAsia" w:ascii="宋体" w:hAnsi="宋体" w:cs="宋体"/>
          <w:color w:val="auto"/>
          <w:kern w:val="0"/>
          <w:sz w:val="24"/>
          <w:szCs w:val="24"/>
          <w:highlight w:val="none"/>
        </w:rPr>
        <w:t>工作日内确定验收日期，并通知乙方。双方应指派代表共同参加验收，乙方费用自理。乙方在上述日期内拒绝或未参加验收的，甲方有权单独进行验收。对验收结果，视为乙方自动接受。</w:t>
      </w:r>
    </w:p>
    <w:p w14:paraId="70F0AAA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6.3 验收时，应签署《验收报告》，详细列明验收结果。</w:t>
      </w:r>
    </w:p>
    <w:p w14:paraId="77227DA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14:paraId="27E6FB8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6.5验收合格之日起 </w:t>
      </w:r>
      <w:r>
        <w:rPr>
          <w:rFonts w:hint="eastAsia" w:ascii="宋体" w:hAnsi="宋体" w:cs="宋体"/>
          <w:color w:val="auto"/>
          <w:kern w:val="0"/>
          <w:sz w:val="24"/>
          <w:szCs w:val="24"/>
          <w:highlight w:val="none"/>
          <w:u w:val="single"/>
        </w:rPr>
        <w:t xml:space="preserve">  7   </w:t>
      </w:r>
      <w:r>
        <w:rPr>
          <w:rFonts w:hint="eastAsia" w:ascii="宋体" w:hAnsi="宋体" w:cs="宋体"/>
          <w:color w:val="auto"/>
          <w:kern w:val="0"/>
          <w:sz w:val="24"/>
          <w:szCs w:val="24"/>
          <w:highlight w:val="none"/>
        </w:rPr>
        <w:t>日历日内为异议期，异议期内设备出现故障或运转不正常，甲方有权要求换货或退货，对此乙方应无条件接受，并承担因此支出的费用。甲方要求换货的，乙方应在接到甲方书面通知之日起</w:t>
      </w:r>
      <w:r>
        <w:rPr>
          <w:rFonts w:hint="eastAsia" w:ascii="宋体" w:hAnsi="宋体" w:cs="宋体"/>
          <w:color w:val="auto"/>
          <w:kern w:val="0"/>
          <w:sz w:val="24"/>
          <w:szCs w:val="24"/>
          <w:highlight w:val="none"/>
          <w:u w:val="single"/>
        </w:rPr>
        <w:t xml:space="preserve">     15   </w:t>
      </w:r>
      <w:r>
        <w:rPr>
          <w:rFonts w:hint="eastAsia" w:ascii="宋体" w:hAnsi="宋体" w:cs="宋体"/>
          <w:color w:val="auto"/>
          <w:kern w:val="0"/>
          <w:sz w:val="24"/>
          <w:szCs w:val="24"/>
          <w:highlight w:val="none"/>
        </w:rPr>
        <w:t>日历日内，将更换的符合合同约定的设备送至甲方指定地点，否则甲方将按照本合同第9.2.3约定承担逾期交货的违约责任。</w:t>
      </w:r>
    </w:p>
    <w:p w14:paraId="3BEA790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第七条  保修与维修</w:t>
      </w:r>
    </w:p>
    <w:p w14:paraId="64CB6AC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7.1 本合同项下设备的质量保修期约定如下：</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，保修期自设备验收合格之日起算。</w:t>
      </w:r>
    </w:p>
    <w:p w14:paraId="1C1F3B5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 保修范围</w:t>
      </w:r>
    </w:p>
    <w:p w14:paraId="7BEB250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7.2.1 除本合同第7.2.2另有规定外，保修范围包含但不限于合同设备整机、设备主要部件以及维持合同设备正常运转所必须的配件、部件、构件、元件、零件等由乙方提供的全部产品。</w:t>
      </w:r>
    </w:p>
    <w:p w14:paraId="1A2CD96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7.2.2 其他约定：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6A5A8C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7.3保修期内，保修范围内的设备不能正常运转或出现故障时，乙方负责保修，保修费用由乙方负责。具体包括但不限于以下保修责任：</w:t>
      </w:r>
    </w:p>
    <w:p w14:paraId="588CD1B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对产品运行过程中出现的故障指派专业技术人员进行排除，对出现故障的</w:t>
      </w:r>
      <w:r>
        <w:rPr>
          <w:rFonts w:hint="eastAsia" w:ascii="宋体" w:hAnsi="宋体" w:cs="宋体"/>
          <w:color w:val="auto"/>
          <w:kern w:val="0"/>
          <w:sz w:val="24"/>
          <w:szCs w:val="24"/>
          <w:highlight w:val="none"/>
        </w:rPr>
        <w:t>配件、部件、构件、元件、零件、软件</w:t>
      </w:r>
      <w:r>
        <w:rPr>
          <w:rFonts w:ascii="宋体" w:hAnsi="宋体" w:cs="宋体"/>
          <w:color w:val="auto"/>
          <w:kern w:val="0"/>
          <w:sz w:val="24"/>
          <w:szCs w:val="24"/>
          <w:highlight w:val="none"/>
        </w:rPr>
        <w:t>免费进行修理或更换。</w:t>
      </w:r>
    </w:p>
    <w:p w14:paraId="487AF11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对需要现场维修的，</w:t>
      </w:r>
      <w:r>
        <w:rPr>
          <w:rFonts w:hint="eastAsia" w:ascii="宋体" w:hAnsi="宋体" w:cs="宋体"/>
          <w:color w:val="auto"/>
          <w:kern w:val="0"/>
          <w:sz w:val="24"/>
          <w:szCs w:val="24"/>
          <w:highlight w:val="none"/>
        </w:rPr>
        <w:t>乙方</w:t>
      </w:r>
      <w:r>
        <w:rPr>
          <w:rFonts w:ascii="宋体" w:hAnsi="宋体" w:cs="宋体"/>
          <w:color w:val="auto"/>
          <w:kern w:val="0"/>
          <w:sz w:val="24"/>
          <w:szCs w:val="24"/>
          <w:highlight w:val="none"/>
        </w:rPr>
        <w:t>技术</w:t>
      </w:r>
      <w:r>
        <w:rPr>
          <w:rFonts w:ascii="宋体" w:hAnsi="宋体" w:cs="宋体"/>
          <w:b w:val="0"/>
          <w:bCs w:val="0"/>
          <w:color w:val="auto"/>
          <w:kern w:val="0"/>
          <w:sz w:val="24"/>
          <w:szCs w:val="24"/>
          <w:highlight w:val="none"/>
        </w:rPr>
        <w:t>人员应在</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u w:val="single"/>
          <w:lang w:val="en-US" w:eastAsia="zh-CN"/>
        </w:rPr>
        <w:t>2-4</w:t>
      </w:r>
      <w:r>
        <w:rPr>
          <w:rFonts w:hint="eastAsia" w:ascii="宋体" w:hAnsi="宋体" w:cs="宋体"/>
          <w:b w:val="0"/>
          <w:bCs w:val="0"/>
          <w:color w:val="auto"/>
          <w:kern w:val="0"/>
          <w:sz w:val="24"/>
          <w:szCs w:val="24"/>
          <w:highlight w:val="none"/>
          <w:u w:val="single"/>
        </w:rPr>
        <w:t xml:space="preserve"> </w:t>
      </w:r>
      <w:r>
        <w:rPr>
          <w:rFonts w:hint="eastAsia" w:ascii="宋体" w:hAnsi="宋体" w:cs="宋体"/>
          <w:b w:val="0"/>
          <w:bCs w:val="0"/>
          <w:color w:val="auto"/>
          <w:kern w:val="0"/>
          <w:sz w:val="24"/>
          <w:szCs w:val="24"/>
          <w:highlight w:val="none"/>
        </w:rPr>
        <w:t>小时</w:t>
      </w:r>
      <w:r>
        <w:rPr>
          <w:rFonts w:ascii="宋体" w:hAnsi="宋体" w:cs="宋体"/>
          <w:b w:val="0"/>
          <w:bCs w:val="0"/>
          <w:color w:val="auto"/>
          <w:kern w:val="0"/>
          <w:sz w:val="24"/>
          <w:szCs w:val="24"/>
          <w:highlight w:val="none"/>
        </w:rPr>
        <w:t>内</w:t>
      </w:r>
      <w:r>
        <w:rPr>
          <w:rFonts w:ascii="宋体" w:hAnsi="宋体" w:cs="宋体"/>
          <w:color w:val="auto"/>
          <w:kern w:val="0"/>
          <w:sz w:val="24"/>
          <w:szCs w:val="24"/>
          <w:highlight w:val="none"/>
        </w:rPr>
        <w:t>赶赴现场对设备进行维修。</w:t>
      </w:r>
    </w:p>
    <w:p w14:paraId="501D9D9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（3）若乙</w:t>
      </w:r>
      <w:r>
        <w:rPr>
          <w:rFonts w:ascii="宋体" w:hAnsi="宋体" w:cs="宋体"/>
          <w:color w:val="auto"/>
          <w:kern w:val="0"/>
          <w:sz w:val="24"/>
          <w:szCs w:val="24"/>
          <w:highlight w:val="none"/>
        </w:rPr>
        <w:t>方收到</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方故障通知后内未能排除故障，</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方有权要求</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方于</w:t>
      </w:r>
      <w:r>
        <w:rPr>
          <w:rFonts w:hint="eastAsia" w:ascii="宋体" w:hAnsi="宋体" w:cs="宋体"/>
          <w:color w:val="auto"/>
          <w:kern w:val="0"/>
          <w:sz w:val="24"/>
          <w:szCs w:val="24"/>
          <w:highlight w:val="none"/>
          <w:u w:val="single"/>
          <w:lang w:val="en-US" w:eastAsia="zh-CN"/>
        </w:rPr>
        <w:t>立即</w:t>
      </w:r>
      <w:r>
        <w:rPr>
          <w:rFonts w:ascii="宋体" w:hAnsi="宋体" w:cs="宋体"/>
          <w:color w:val="auto"/>
          <w:kern w:val="0"/>
          <w:sz w:val="24"/>
          <w:szCs w:val="24"/>
          <w:highlight w:val="none"/>
        </w:rPr>
        <w:t>内免费提供同档次的全新产品，供</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方使用。</w:t>
      </w:r>
    </w:p>
    <w:p w14:paraId="4A4EA53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（4）对同一故障连续维修两次都不能排除故障的，甲方有权要求乙方免费更换同型号全新产品。</w:t>
      </w:r>
    </w:p>
    <w:p w14:paraId="1E4F39C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（5）保修期内，</w:t>
      </w:r>
      <w:r>
        <w:rPr>
          <w:rFonts w:ascii="宋体" w:hAnsi="宋体" w:cs="宋体"/>
          <w:color w:val="auto"/>
          <w:kern w:val="0"/>
          <w:sz w:val="24"/>
          <w:szCs w:val="24"/>
          <w:highlight w:val="none"/>
        </w:rPr>
        <w:t>经</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w:t>
      </w:r>
      <w:r>
        <w:rPr>
          <w:rFonts w:hint="eastAsia" w:ascii="宋体" w:hAnsi="宋体" w:cs="宋体"/>
          <w:color w:val="auto"/>
          <w:kern w:val="0"/>
          <w:sz w:val="24"/>
          <w:szCs w:val="24"/>
          <w:highlight w:val="none"/>
        </w:rPr>
        <w:t>更换</w:t>
      </w:r>
      <w:r>
        <w:rPr>
          <w:rFonts w:ascii="宋体" w:hAnsi="宋体" w:cs="宋体"/>
          <w:color w:val="auto"/>
          <w:kern w:val="0"/>
          <w:sz w:val="24"/>
          <w:szCs w:val="24"/>
          <w:highlight w:val="none"/>
        </w:rPr>
        <w:t>的</w:t>
      </w:r>
      <w:r>
        <w:rPr>
          <w:rFonts w:hint="eastAsia" w:ascii="宋体" w:hAnsi="宋体" w:cs="宋体"/>
          <w:color w:val="auto"/>
          <w:kern w:val="0"/>
          <w:sz w:val="24"/>
          <w:szCs w:val="24"/>
          <w:highlight w:val="none"/>
        </w:rPr>
        <w:t>设备、配件、部件、构件、元件、零件、软件</w:t>
      </w:r>
      <w:r>
        <w:rPr>
          <w:rFonts w:ascii="宋体" w:hAnsi="宋体" w:cs="宋体"/>
          <w:color w:val="auto"/>
          <w:kern w:val="0"/>
          <w:sz w:val="24"/>
          <w:szCs w:val="24"/>
          <w:highlight w:val="none"/>
        </w:rPr>
        <w:t>的保修期应重新计算。</w:t>
      </w:r>
    </w:p>
    <w:p w14:paraId="70FB294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（6）保修责任特别约定：</w:t>
      </w:r>
      <w:r>
        <w:rPr>
          <w:rFonts w:hint="eastAsia" w:ascii="宋体" w:hAnsi="宋体" w:cs="宋体"/>
          <w:color w:val="auto"/>
          <w:kern w:val="0"/>
          <w:sz w:val="24"/>
          <w:szCs w:val="24"/>
          <w:highlight w:val="none"/>
          <w:u w:val="single"/>
        </w:rPr>
        <w:t xml:space="preserve">       </w:t>
      </w:r>
      <w:r>
        <w:rPr>
          <w:rFonts w:hint="eastAsia" w:hAnsi="宋体" w:cs="Arial"/>
          <w:color w:val="auto"/>
          <w:kern w:val="0"/>
          <w:sz w:val="24"/>
          <w:highlight w:val="none"/>
          <w:u w:val="single"/>
        </w:rPr>
        <w:t>不低于招标文件要求</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（特别约定与前五项保修责任内容不一致的，以特别约定为准）。</w:t>
      </w:r>
    </w:p>
    <w:p w14:paraId="67F13A0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7.4</w:t>
      </w:r>
      <w:r>
        <w:rPr>
          <w:rFonts w:ascii="宋体" w:hAnsi="宋体" w:cs="宋体"/>
          <w:color w:val="auto"/>
          <w:kern w:val="0"/>
          <w:sz w:val="24"/>
          <w:szCs w:val="24"/>
          <w:highlight w:val="none"/>
        </w:rPr>
        <w:t>保修期内，对保修范围内的保修服务所发生的全部物质损耗和人员费用，均由</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方承担。</w:t>
      </w:r>
    </w:p>
    <w:p w14:paraId="253FEEC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7.5</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方未及时承担保修责任的，</w:t>
      </w:r>
      <w:r>
        <w:rPr>
          <w:rFonts w:hint="eastAsia" w:ascii="宋体" w:hAnsi="宋体" w:cs="宋体"/>
          <w:color w:val="auto"/>
          <w:kern w:val="0"/>
          <w:sz w:val="24"/>
          <w:szCs w:val="24"/>
          <w:highlight w:val="none"/>
        </w:rPr>
        <w:t>甲</w:t>
      </w:r>
      <w:r>
        <w:rPr>
          <w:rFonts w:ascii="宋体" w:hAnsi="宋体" w:cs="宋体"/>
          <w:color w:val="auto"/>
          <w:kern w:val="0"/>
          <w:sz w:val="24"/>
          <w:szCs w:val="24"/>
          <w:highlight w:val="none"/>
        </w:rPr>
        <w:t>方有权采用其他渠道和方式对设备进行维修，由此产生的费用由</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方承担</w:t>
      </w:r>
      <w:r>
        <w:rPr>
          <w:rFonts w:hint="eastAsia" w:ascii="宋体" w:hAnsi="宋体" w:cs="宋体"/>
          <w:color w:val="auto"/>
          <w:kern w:val="0"/>
          <w:sz w:val="24"/>
          <w:szCs w:val="24"/>
          <w:highlight w:val="none"/>
        </w:rPr>
        <w:t>。对于此项费用甲方有权在合同价款中直接扣除，不足部分，甲方有权继续追索。</w:t>
      </w:r>
    </w:p>
    <w:p w14:paraId="108E9C8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7.6</w:t>
      </w:r>
      <w:r>
        <w:rPr>
          <w:rFonts w:ascii="宋体" w:hAnsi="宋体" w:cs="宋体"/>
          <w:color w:val="auto"/>
          <w:kern w:val="0"/>
          <w:sz w:val="24"/>
          <w:szCs w:val="24"/>
          <w:highlight w:val="none"/>
        </w:rPr>
        <w:t>保修期满，</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方应持续对设备运行期间出现的故障提供维修服务。对维修所需费用，</w:t>
      </w:r>
      <w:r>
        <w:rPr>
          <w:rFonts w:hint="eastAsia" w:ascii="宋体" w:hAnsi="宋体" w:cs="宋体"/>
          <w:color w:val="auto"/>
          <w:kern w:val="0"/>
          <w:sz w:val="24"/>
          <w:szCs w:val="24"/>
          <w:highlight w:val="none"/>
        </w:rPr>
        <w:t>乙</w:t>
      </w:r>
      <w:r>
        <w:rPr>
          <w:rFonts w:ascii="宋体" w:hAnsi="宋体" w:cs="宋体"/>
          <w:color w:val="auto"/>
          <w:kern w:val="0"/>
          <w:sz w:val="24"/>
          <w:szCs w:val="24"/>
          <w:highlight w:val="none"/>
        </w:rPr>
        <w:t>方应仅收取正常的成本费用。</w:t>
      </w:r>
    </w:p>
    <w:p w14:paraId="7D35377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第八条 承诺与保证</w:t>
      </w:r>
    </w:p>
    <w:p w14:paraId="4737B11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r>
        <w:rPr>
          <w:rFonts w:hint="eastAsia" w:ascii="宋体" w:hAnsi="宋体" w:cs="宋体"/>
          <w:color w:val="auto"/>
          <w:sz w:val="24"/>
          <w:szCs w:val="24"/>
          <w:highlight w:val="none"/>
        </w:rPr>
        <w:t>乙方保证享有所提供设备所需的完整知识产权，并保证甲方对设备的使用、转售不会侵犯任何第三方知识产权。该设备如果包含软件或其他知识产权，则应视为软件及知识产权无限期的许可甲方配合该设备使用（费用已经包含在合同价款中）。</w:t>
      </w:r>
    </w:p>
    <w:p w14:paraId="61D1145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8.2 乙方保证对其销售的货物拥有完全的所有权或处置权，无任何权利方面的权利限制或瑕疵。</w:t>
      </w:r>
    </w:p>
    <w:p w14:paraId="2949ED8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8.3 乙方保证甲方在使用设备时享有完整的原厂商售后服务。</w:t>
      </w:r>
    </w:p>
    <w:p w14:paraId="0B9E14C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8.4 乙方承诺具有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资格。</w:t>
      </w:r>
    </w:p>
    <w:p w14:paraId="244ACD5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8.5乙方承诺提供每日24小时不间断的售后技术维修保障服务，并随时为甲方培训操作维护人员。</w:t>
      </w:r>
    </w:p>
    <w:p w14:paraId="0EBA8F7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8.6 因乙方承诺或保证不实给甲方造成损失的，乙方应承担全部赔偿责任，</w:t>
      </w:r>
      <w:r>
        <w:rPr>
          <w:rFonts w:hint="eastAsia" w:ascii="宋体" w:hAnsi="宋体" w:cs="宋体"/>
          <w:color w:val="auto"/>
          <w:sz w:val="24"/>
          <w:szCs w:val="24"/>
          <w:highlight w:val="none"/>
        </w:rPr>
        <w:t>包括但不限于直接经济损失、可得利益损失、律师费、诉讼费、鉴定费等合理费用</w:t>
      </w:r>
      <w:r>
        <w:rPr>
          <w:rFonts w:hint="eastAsia" w:ascii="宋体" w:hAnsi="宋体" w:cs="宋体"/>
          <w:color w:val="auto"/>
          <w:kern w:val="0"/>
          <w:sz w:val="24"/>
          <w:szCs w:val="24"/>
          <w:highlight w:val="none"/>
        </w:rPr>
        <w:t>。</w:t>
      </w:r>
    </w:p>
    <w:p w14:paraId="211D053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第九条 违约责任</w:t>
      </w:r>
    </w:p>
    <w:p w14:paraId="7A43AAE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 甲方违约责任</w:t>
      </w:r>
    </w:p>
    <w:p w14:paraId="55E88A6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hAnsi="宋体"/>
          <w:color w:val="auto"/>
          <w:sz w:val="24"/>
          <w:highlight w:val="none"/>
        </w:rPr>
      </w:pPr>
      <w:r>
        <w:rPr>
          <w:rFonts w:hint="eastAsia" w:ascii="宋体" w:hAnsi="宋体" w:cs="宋体"/>
          <w:color w:val="auto"/>
          <w:kern w:val="0"/>
          <w:sz w:val="24"/>
          <w:szCs w:val="24"/>
          <w:highlight w:val="none"/>
        </w:rPr>
        <w:t xml:space="preserve">9.1.1 </w:t>
      </w:r>
      <w:r>
        <w:rPr>
          <w:rFonts w:hint="eastAsia" w:hAnsi="宋体"/>
          <w:color w:val="auto"/>
          <w:sz w:val="24"/>
          <w:highlight w:val="none"/>
        </w:rPr>
        <w:t>因甲方原因逾期付款的，应按照逾期付款金额的每日万分之一计算，向乙方支付逾期付款的违约金，支付总额不超过逾期款项的5%，如逾期超过</w:t>
      </w:r>
      <w:r>
        <w:rPr>
          <w:rFonts w:hint="eastAsia" w:hAnsi="宋体"/>
          <w:color w:val="auto"/>
          <w:sz w:val="24"/>
          <w:highlight w:val="none"/>
          <w:u w:val="single"/>
        </w:rPr>
        <w:t xml:space="preserve"> 30</w:t>
      </w:r>
      <w:r>
        <w:rPr>
          <w:rFonts w:hint="eastAsia" w:hAnsi="宋体"/>
          <w:color w:val="auto"/>
          <w:sz w:val="24"/>
          <w:highlight w:val="none"/>
        </w:rPr>
        <w:t xml:space="preserve"> 日，乙方有权解除合同并可就遭受的损失向甲方索赔。</w:t>
      </w:r>
    </w:p>
    <w:p w14:paraId="529E7D2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9.1.2 甲方无正当理由拒绝接收验收设备的，应承担因此给乙方造成的损失。</w:t>
      </w:r>
    </w:p>
    <w:p w14:paraId="29D2DD1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9.1.3其他约定：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7E74846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 乙方违约责任</w:t>
      </w:r>
    </w:p>
    <w:p w14:paraId="3283536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9.2.1  乙方所交付的设备有毁损或不符合合同约定的，甲方有权选择由乙方负责修理、更换或解除合同。甲方选择修理、更换的，乙方应在接到甲方书面通知后</w:t>
      </w:r>
      <w:r>
        <w:rPr>
          <w:rFonts w:hint="eastAsia" w:ascii="宋体" w:hAnsi="宋体" w:cs="宋体"/>
          <w:color w:val="auto"/>
          <w:kern w:val="0"/>
          <w:sz w:val="24"/>
          <w:szCs w:val="24"/>
          <w:highlight w:val="none"/>
          <w:u w:val="single"/>
        </w:rPr>
        <w:t>15</w:t>
      </w:r>
      <w:r>
        <w:rPr>
          <w:rFonts w:hint="eastAsia" w:ascii="宋体" w:hAnsi="宋体" w:cs="宋体"/>
          <w:color w:val="auto"/>
          <w:kern w:val="0"/>
          <w:sz w:val="24"/>
          <w:szCs w:val="24"/>
          <w:highlight w:val="none"/>
        </w:rPr>
        <w:t>日内，免费修理、更换或重新包装，并将合格货物送至甲方指定地点，并承担因此产生的费用。因此导致逾期交货的，乙方承担逾期交货的违约责任；</w:t>
      </w:r>
      <w:r>
        <w:rPr>
          <w:rFonts w:hint="eastAsia" w:ascii="宋体" w:hAnsi="宋体" w:cs="宋体"/>
          <w:color w:val="auto"/>
          <w:sz w:val="24"/>
          <w:szCs w:val="24"/>
          <w:highlight w:val="none"/>
        </w:rPr>
        <w:t>未经甲方允许，乙方擅自解除或终止本合同的，应当返还甲方已经支付的相应款项并承担本合同约定价款总额30%的违约金，违约金不足以弥补甲方全部损失的，包括但不限于直接经济损失、可得利益损失、律师费、诉讼费、鉴定费、交通费等合理费用，乙方应当继续赔偿。</w:t>
      </w:r>
    </w:p>
    <w:p w14:paraId="76D1ECC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14:paraId="40EB825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9.2.3 逾期交货违约责任：乙方逾期交货的，应按照逾期交货金额每日万分之</w:t>
      </w:r>
      <w:r>
        <w:rPr>
          <w:rFonts w:hint="eastAsia" w:ascii="宋体" w:hAnsi="宋体" w:cs="宋体"/>
          <w:color w:val="auto"/>
          <w:kern w:val="0"/>
          <w:sz w:val="24"/>
          <w:szCs w:val="24"/>
          <w:highlight w:val="none"/>
          <w:u w:val="single"/>
        </w:rPr>
        <w:t>_2</w:t>
      </w:r>
      <w:r>
        <w:rPr>
          <w:rFonts w:hint="eastAsia" w:ascii="宋体" w:hAnsi="宋体" w:cs="宋体"/>
          <w:color w:val="auto"/>
          <w:kern w:val="0"/>
          <w:sz w:val="24"/>
          <w:szCs w:val="24"/>
          <w:highlight w:val="none"/>
        </w:rPr>
        <w:t>_计算，向甲方支付逾期交货的违约金，并赔偿甲方因此所遭受的损失。如</w:t>
      </w:r>
      <w:r>
        <w:rPr>
          <w:rFonts w:hint="eastAsia" w:ascii="宋体" w:hAnsi="宋体" w:cs="宋体"/>
          <w:color w:val="auto"/>
          <w:sz w:val="24"/>
          <w:szCs w:val="24"/>
          <w:highlight w:val="none"/>
        </w:rPr>
        <w:t>如逾期超过 30 日，甲方有权解除或终止本合同，并要求乙方承担本合同约定价款30 %的违约金，违约金不足以弥补甲方全部损失的，包括但不限于直接经济损失、可得利益损失、律师费、诉讼费、鉴定费、交通费等合理费用，乙方应当继续赔偿。”</w:t>
      </w:r>
    </w:p>
    <w:p w14:paraId="3D3BEAC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9.3 其他违约责任约定：</w:t>
      </w:r>
      <w:r>
        <w:rPr>
          <w:rFonts w:hint="eastAsia" w:ascii="宋体" w:hAnsi="宋体" w:cs="宋体"/>
          <w:color w:val="auto"/>
          <w:sz w:val="24"/>
          <w:szCs w:val="24"/>
          <w:highlight w:val="none"/>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 上述保密义务，在本合同终止或解除之后仍需履行</w:t>
      </w:r>
      <w:r>
        <w:rPr>
          <w:rFonts w:hint="eastAsia" w:ascii="宋体" w:hAnsi="宋体" w:cs="宋体"/>
          <w:color w:val="auto"/>
          <w:kern w:val="0"/>
          <w:sz w:val="24"/>
          <w:szCs w:val="24"/>
          <w:highlight w:val="none"/>
        </w:rPr>
        <w:t>。</w:t>
      </w:r>
    </w:p>
    <w:p w14:paraId="6B702D9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b/>
          <w:bCs/>
          <w:color w:val="auto"/>
          <w:kern w:val="0"/>
          <w:sz w:val="24"/>
          <w:szCs w:val="24"/>
          <w:highlight w:val="none"/>
        </w:rPr>
      </w:pPr>
      <w:r>
        <w:rPr>
          <w:rFonts w:hint="eastAsia" w:ascii="宋体" w:hAnsi="宋体" w:cs="宋体"/>
          <w:color w:val="auto"/>
          <w:kern w:val="0"/>
          <w:sz w:val="24"/>
          <w:szCs w:val="24"/>
          <w:highlight w:val="none"/>
        </w:rPr>
        <w:t>9.3.1.</w:t>
      </w:r>
      <w:r>
        <w:rPr>
          <w:rFonts w:hint="eastAsia" w:ascii="宋体" w:hAnsi="宋体" w:cs="宋体"/>
          <w:b/>
          <w:bCs/>
          <w:color w:val="auto"/>
          <w:kern w:val="0"/>
          <w:sz w:val="24"/>
          <w:szCs w:val="24"/>
          <w:highlight w:val="none"/>
        </w:rPr>
        <w:t>因设备问题或乙方原因造成的烟叶烘烤损失，由乙方全额赔偿。</w:t>
      </w:r>
    </w:p>
    <w:p w14:paraId="5818184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9.3.</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乙方对甲方解除合同的异议期为七天。</w:t>
      </w:r>
    </w:p>
    <w:p w14:paraId="1B9DD5E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第十条 不可抗力</w:t>
      </w:r>
    </w:p>
    <w:p w14:paraId="1938F18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任何一方由于不可抗力原因不能履行合同时，应在不可抗力事件发生后___日内向对方通报，以减轻可能给对方造成的损失，在取得有关机构的不可抗力证明后，允许延期履行，并根据情况可部分或全部免予承担违约责任，</w:t>
      </w:r>
      <w:r>
        <w:rPr>
          <w:rFonts w:hint="eastAsia" w:ascii="宋体" w:hAnsi="宋体" w:cs="宋体"/>
          <w:color w:val="auto"/>
          <w:sz w:val="24"/>
          <w:szCs w:val="24"/>
          <w:highlight w:val="none"/>
        </w:rPr>
        <w:t>但迟延履行后发生不可抗力的，不能免除违约责任。</w:t>
      </w:r>
    </w:p>
    <w:p w14:paraId="692C254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第十一条 争议解决</w:t>
      </w:r>
    </w:p>
    <w:p w14:paraId="199A434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11.1本合同由各方在平等的基础上，经友好协商共同起草和写作而成。</w:t>
      </w:r>
    </w:p>
    <w:p w14:paraId="090F887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11.2在合同履行中，如发生争议应由各方协商解决，如协商不成，双方按照以下第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种方式解决争议（仅可选择一种）：</w:t>
      </w:r>
    </w:p>
    <w:p w14:paraId="2BBEABD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11.2.1向甲方所在地人民法院提起诉讼。</w:t>
      </w:r>
    </w:p>
    <w:p w14:paraId="1C662BE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11.2.2向</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仲裁委员会申请仲裁。</w:t>
      </w:r>
    </w:p>
    <w:p w14:paraId="58F157B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第十二条 通知与联系方式</w:t>
      </w:r>
    </w:p>
    <w:p w14:paraId="151F3B8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12.1 除非本合同另有规定，任何一方为履行本合同或与本合同有关的一切通知、要求均应采用书面形式，并直接送交或按第12.2约定的联系方式地址通知对方法定代表人或联系人。</w:t>
      </w:r>
    </w:p>
    <w:p w14:paraId="6A4580F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12.2 联系方式</w:t>
      </w:r>
    </w:p>
    <w:p w14:paraId="5F8B0FF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甲方法定名称</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6CB5AC9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                        </w:t>
      </w:r>
    </w:p>
    <w:p w14:paraId="6C0D5BFF">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联系人：                            </w:t>
      </w:r>
    </w:p>
    <w:p w14:paraId="7B7B0E6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联系地址：                         </w:t>
      </w:r>
    </w:p>
    <w:p w14:paraId="3869053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  话：                         </w:t>
      </w:r>
    </w:p>
    <w:p w14:paraId="19ED04B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  真：                           </w:t>
      </w:r>
    </w:p>
    <w:p w14:paraId="25F30EA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乙方法定名称</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 xml:space="preserve">                       </w:t>
      </w:r>
      <w:r>
        <w:rPr>
          <w:rFonts w:ascii="宋体" w:hAnsi="宋体" w:cs="宋体"/>
          <w:color w:val="auto"/>
          <w:kern w:val="0"/>
          <w:sz w:val="24"/>
          <w:szCs w:val="24"/>
          <w:highlight w:val="none"/>
        </w:rPr>
        <w:t xml:space="preserve"> </w:t>
      </w:r>
    </w:p>
    <w:p w14:paraId="5CB935B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                        </w:t>
      </w:r>
    </w:p>
    <w:p w14:paraId="524AB14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联系人：                         </w:t>
      </w:r>
    </w:p>
    <w:p w14:paraId="3EA9251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联系地址：                         </w:t>
      </w:r>
    </w:p>
    <w:p w14:paraId="41ABB9A5">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  话：                         </w:t>
      </w:r>
    </w:p>
    <w:p w14:paraId="51BD7759">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  真：                                                   </w:t>
      </w:r>
    </w:p>
    <w:p w14:paraId="3D3B71A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12.3 本合同项下发出的通知、要求，在下述情况应被视为已经有效送达：</w:t>
      </w:r>
    </w:p>
    <w:p w14:paraId="3E72C11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（1）若由专人递交，在递交法定代表人及联系人时即为送达；</w:t>
      </w:r>
    </w:p>
    <w:p w14:paraId="784B4E0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（2）若用书信发出，合同一方法定代表人、项目联系人或办公室、收发室的工作人员在挂号回执或签收凭证上签字即为送达；</w:t>
      </w:r>
    </w:p>
    <w:p w14:paraId="7912CACF">
      <w:pPr>
        <w:pStyle w:val="20"/>
        <w:pageBreakBefore w:val="0"/>
        <w:kinsoku/>
        <w:overflowPunct/>
        <w:bidi w:val="0"/>
        <w:adjustRightInd w:val="0"/>
        <w:snapToGrid w:val="0"/>
        <w:spacing w:beforeAutospacing="0" w:after="0" w:afterAutospacing="0" w:line="360" w:lineRule="auto"/>
        <w:ind w:left="0" w:leftChars="0" w:right="0" w:rightChars="0" w:firstLine="480" w:firstLineChars="200"/>
        <w:rPr>
          <w:rFonts w:hint="eastAsia"/>
          <w:color w:val="auto"/>
          <w:highlight w:val="none"/>
        </w:rPr>
      </w:pPr>
      <w:r>
        <w:rPr>
          <w:rFonts w:hint="eastAsia" w:ascii="宋体" w:hAnsi="宋体" w:cs="宋体"/>
          <w:color w:val="auto"/>
          <w:sz w:val="24"/>
          <w:szCs w:val="24"/>
          <w:highlight w:val="none"/>
        </w:rPr>
        <w:t>（3）电子送达与书面送达具有同等法律效力。</w:t>
      </w:r>
    </w:p>
    <w:p w14:paraId="46930E6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12.4 任何一方的联系方式有变更的，应及时书面通知合同对方，否则一方按原联系方式向其他方发出的书面文件仍视为送达。</w:t>
      </w:r>
    </w:p>
    <w:p w14:paraId="6489CE9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第十三条 特别约定条款及合同生效</w:t>
      </w:r>
    </w:p>
    <w:p w14:paraId="000507A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b/>
          <w:bCs/>
          <w:color w:val="auto"/>
          <w:sz w:val="24"/>
          <w:szCs w:val="24"/>
          <w:highlight w:val="none"/>
        </w:rPr>
      </w:pPr>
      <w:r>
        <w:rPr>
          <w:rFonts w:hint="eastAsia" w:ascii="宋体" w:hAnsi="宋体" w:cs="宋体"/>
          <w:color w:val="auto"/>
          <w:kern w:val="0"/>
          <w:sz w:val="24"/>
          <w:szCs w:val="24"/>
          <w:highlight w:val="none"/>
        </w:rPr>
        <w:t>13.1.1</w:t>
      </w:r>
      <w:r>
        <w:rPr>
          <w:rFonts w:hint="eastAsia" w:ascii="宋体" w:hAnsi="宋体" w:cs="宋体"/>
          <w:b/>
          <w:bCs/>
          <w:color w:val="auto"/>
          <w:kern w:val="0"/>
          <w:sz w:val="24"/>
          <w:szCs w:val="24"/>
          <w:highlight w:val="none"/>
        </w:rPr>
        <w:t>乙方应于合同签订之前，</w:t>
      </w:r>
      <w:r>
        <w:rPr>
          <w:rFonts w:hint="eastAsia" w:ascii="宋体" w:hAnsi="宋体" w:cs="宋体"/>
          <w:b/>
          <w:bCs/>
          <w:color w:val="auto"/>
          <w:sz w:val="24"/>
          <w:szCs w:val="24"/>
          <w:highlight w:val="none"/>
        </w:rPr>
        <w:t>向甲方交纳中标金额的3%做为本项目的履约保证金，履约保证金打到甲方账户上，项目交货安装经第三方验收合格后自，无质量问题，无息退还。</w:t>
      </w:r>
    </w:p>
    <w:p w14:paraId="23FB0A9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13.1.2其他特别约定条款：</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56DB56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13.2 当特别约定条款与其他条款不一致时，特别条款效力优于其他条款。</w:t>
      </w:r>
    </w:p>
    <w:p w14:paraId="5BD8FBE8">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13.3 本合同自双方签字且盖章之日起生效，本合同生效后，先前的谈判内容、陈述以及双方签订的意向书、备忘录及其他相关文件如与本合同不符的，均以本合同为准。</w:t>
      </w:r>
    </w:p>
    <w:p w14:paraId="1B1678E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13.4 本合同书包含以下附件：</w:t>
      </w:r>
    </w:p>
    <w:p w14:paraId="60BFB45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附件1：</w:t>
      </w:r>
      <w:r>
        <w:rPr>
          <w:rFonts w:hint="eastAsia" w:ascii="宋体" w:hAnsi="宋体" w:cs="宋体"/>
          <w:color w:val="auto"/>
          <w:kern w:val="0"/>
          <w:sz w:val="24"/>
          <w:szCs w:val="24"/>
          <w:highlight w:val="none"/>
          <w:u w:val="single"/>
        </w:rPr>
        <w:t xml:space="preserve">    《廉洁协议》              </w:t>
      </w:r>
      <w:r>
        <w:rPr>
          <w:rFonts w:hint="eastAsia" w:ascii="宋体" w:hAnsi="宋体" w:cs="宋体"/>
          <w:color w:val="auto"/>
          <w:kern w:val="0"/>
          <w:sz w:val="24"/>
          <w:szCs w:val="24"/>
          <w:highlight w:val="none"/>
        </w:rPr>
        <w:t>。</w:t>
      </w:r>
    </w:p>
    <w:p w14:paraId="6CFCEA7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附件2：</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E5976BC">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8622C56">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13.5 合同各方同意所有附件是合同不可分割的一部分，与合同正文具有同等效力。若附件与合同正文有任何不一致，以合同正文为准。</w:t>
      </w:r>
    </w:p>
    <w:p w14:paraId="32EDF38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13.6 如需对合同内容做出任何修改和补充，应为书面形式</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由各方另行签署。另行签署书面文件，另行签署的书面文件为本合同不可分割的组成部分，与本合同具有同等效力。</w:t>
      </w:r>
    </w:p>
    <w:p w14:paraId="58C6DE44">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color w:val="auto"/>
          <w:highlight w:val="none"/>
        </w:rPr>
      </w:pPr>
      <w:r>
        <w:rPr>
          <w:rFonts w:hint="eastAsia" w:ascii="宋体" w:hAnsi="宋体" w:cs="宋体"/>
          <w:color w:val="auto"/>
          <w:kern w:val="0"/>
          <w:sz w:val="24"/>
          <w:szCs w:val="24"/>
          <w:highlight w:val="none"/>
        </w:rPr>
        <w:t>13.6.1甲方对履行合同的任何宽限仅表示其同意继续履行本合同，但不表示甲方放弃追究乙方违约责任的权利。除非甲方以书面形式明确声明做出放弃，否则，甲方不应被视为放弃根据本合同中的任何条款所享受的权利或利益。甲方未坚持严格履行/执行本合同中的任何条款，或未行使其本合同中规定的任何权利或利益，均不应被视为对任何上述条款的放弃或对今后行使上述权利或利益的放弃。甲方在履行本合同过程中，在某个场合下的某个弃权或允许迟延履行的意思表示并不意味着将来在同样的情况下的弃权或允许迟延履行，也不表示甲方放弃追究相关违约责任的权利。</w:t>
      </w:r>
    </w:p>
    <w:p w14:paraId="0384821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13.7下列文件均视为本合同不可分割的组成部分来进行解释，</w:t>
      </w:r>
      <w:r>
        <w:rPr>
          <w:rFonts w:ascii="宋体" w:hAnsi="宋体" w:cs="宋体"/>
          <w:color w:val="auto"/>
          <w:kern w:val="0"/>
          <w:sz w:val="24"/>
          <w:szCs w:val="24"/>
          <w:highlight w:val="none"/>
        </w:rPr>
        <w:t>如果合同文件存在歧义或不一致，则根据如下优先次序来判断：</w:t>
      </w:r>
    </w:p>
    <w:p w14:paraId="0576A07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（1）本合同书及附件</w:t>
      </w:r>
    </w:p>
    <w:p w14:paraId="39EF135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（2）中标通知书（如果有）</w:t>
      </w:r>
    </w:p>
    <w:p w14:paraId="4F6C4197">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（3）投标文件（如果有）</w:t>
      </w:r>
    </w:p>
    <w:p w14:paraId="308ECAE8">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（4）招标文件（如果有）</w:t>
      </w:r>
    </w:p>
    <w:p w14:paraId="55AC522B">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（5）其他：</w:t>
      </w:r>
      <w:r>
        <w:rPr>
          <w:rFonts w:hint="eastAsia" w:ascii="宋体" w:hAnsi="宋体" w:cs="宋体"/>
          <w:color w:val="auto"/>
          <w:kern w:val="0"/>
          <w:sz w:val="24"/>
          <w:szCs w:val="24"/>
          <w:highlight w:val="none"/>
          <w:u w:val="single"/>
        </w:rPr>
        <w:t xml:space="preserve">                                 </w:t>
      </w:r>
    </w:p>
    <w:p w14:paraId="554489E2">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13.8 本合同及其附件为中文本</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共有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份原件，甲乙双方各持</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份，具有同等法律效力。</w:t>
      </w:r>
    </w:p>
    <w:p w14:paraId="460901DD">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甲方（盖章）：</w:t>
      </w:r>
    </w:p>
    <w:p w14:paraId="71ADBF9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14:paraId="77CEE0D1">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（或授权代理人）：</w:t>
      </w:r>
    </w:p>
    <w:p w14:paraId="33A03480">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乙方（签字或盖章）： </w:t>
      </w:r>
    </w:p>
    <w:p w14:paraId="1B2E9CAE">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w:t>
      </w:r>
    </w:p>
    <w:p w14:paraId="24E8940A">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（或授权代理人）：</w:t>
      </w:r>
    </w:p>
    <w:p w14:paraId="13DB01C3">
      <w:pPr>
        <w:pageBreakBefore w:val="0"/>
        <w:widowControl/>
        <w:kinsoku/>
        <w:overflowPunct/>
        <w:bidi w:val="0"/>
        <w:adjustRightInd w:val="0"/>
        <w:snapToGrid w:val="0"/>
        <w:spacing w:beforeAutospacing="0" w:afterAutospacing="0" w:line="360" w:lineRule="auto"/>
        <w:ind w:left="0" w:leftChars="0" w:right="0" w:rightChars="0" w:firstLine="480" w:firstLineChars="200"/>
        <w:jc w:val="left"/>
        <w:textAlignment w:val="baseline"/>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rPr>
        <w:br w:type="page"/>
      </w:r>
      <w:r>
        <w:rPr>
          <w:rFonts w:hint="eastAsia" w:ascii="宋体" w:hAnsi="宋体" w:cs="宋体"/>
          <w:b/>
          <w:bCs/>
          <w:color w:val="auto"/>
          <w:kern w:val="0"/>
          <w:sz w:val="24"/>
          <w:szCs w:val="24"/>
          <w:highlight w:val="none"/>
        </w:rPr>
        <w:t>附件：</w:t>
      </w:r>
    </w:p>
    <w:p w14:paraId="3288B0B3">
      <w:pPr>
        <w:pageBreakBefore w:val="0"/>
        <w:widowControl/>
        <w:kinsoku/>
        <w:overflowPunct/>
        <w:bidi w:val="0"/>
        <w:adjustRightInd w:val="0"/>
        <w:snapToGrid w:val="0"/>
        <w:spacing w:beforeAutospacing="0" w:afterAutospacing="0" w:line="360" w:lineRule="auto"/>
        <w:ind w:left="0" w:leftChars="0" w:right="0" w:rightChars="0" w:firstLine="3132" w:firstLineChars="1300"/>
        <w:jc w:val="left"/>
        <w:textAlignment w:val="baseline"/>
        <w:rPr>
          <w:rFonts w:hint="eastAsia" w:ascii="宋体" w:hAnsi="宋体" w:cs="宋体"/>
          <w:b/>
          <w:bCs/>
          <w:color w:val="auto"/>
          <w:kern w:val="0"/>
          <w:sz w:val="24"/>
          <w:szCs w:val="24"/>
          <w:highlight w:val="none"/>
          <w:u w:val="single"/>
        </w:rPr>
      </w:pPr>
    </w:p>
    <w:p w14:paraId="19CD2782">
      <w:pPr>
        <w:pageBreakBefore w:val="0"/>
        <w:widowControl/>
        <w:kinsoku/>
        <w:overflowPunct/>
        <w:bidi w:val="0"/>
        <w:adjustRightInd w:val="0"/>
        <w:snapToGrid w:val="0"/>
        <w:spacing w:beforeAutospacing="0" w:afterAutospacing="0" w:line="360" w:lineRule="auto"/>
        <w:ind w:left="0" w:leftChars="0" w:right="0" w:rightChars="0" w:firstLine="3132" w:firstLineChars="1300"/>
        <w:jc w:val="left"/>
        <w:textAlignment w:val="baseline"/>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项目廉洁协议</w:t>
      </w:r>
    </w:p>
    <w:p w14:paraId="3A1193F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p>
    <w:p w14:paraId="7015333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6DC0B2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862085A">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D2A972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p>
    <w:p w14:paraId="16BF8C8C">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为保障甲乙双方在采购业务往来中的合法权益，防止各种违反廉洁从业要求的违法违纪行为发生，在公平、公正、廉洁、诚信的基础上构筑相互间合作关系，根据国家有关法律法规和廉洁自律相关要求，经甲乙双方协商，特订立本廉洁协议。</w:t>
      </w:r>
    </w:p>
    <w:p w14:paraId="0DBBDFC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第一条 甲乙双方的责任</w:t>
      </w:r>
    </w:p>
    <w:p w14:paraId="79A6930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1．双方应严格遵守国家有关法律法规、规章制度中关于廉洁自律、反对腐败、公平交易的相关规定，不得为获取不正当利益，损害国家、集体和对方权益。</w:t>
      </w:r>
    </w:p>
    <w:p w14:paraId="7201C1D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2．双方应对工作人员进行经常性廉洁从业、诚实守信教育，使其建立良好的职业操守和从业行为。</w:t>
      </w:r>
    </w:p>
    <w:p w14:paraId="26104505">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第二条 甲方及其工作人员的责任</w:t>
      </w:r>
    </w:p>
    <w:p w14:paraId="4A8CCE76">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1．甲方及其工作人员不得接受乙方及其工作人员以任何形式赠送的现金、有价证券、支付凭证及通讯器材、交通工具等贵重物品。</w:t>
      </w:r>
    </w:p>
    <w:p w14:paraId="7DA642E8">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2．甲方工作人员不得参加乙方和相关单位组织的有可能影响公正履行职务的宴请、旅游、娱乐等活动。</w:t>
      </w:r>
    </w:p>
    <w:p w14:paraId="2BA44B1B">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3．甲方工作人员不得在乙方和相关单位报销任何应由甲方或甲方工作人员支付的费用。</w:t>
      </w:r>
    </w:p>
    <w:p w14:paraId="78D9E4C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4．甲方工作人员不得要求或接受乙方和相关单位为个人装修住房、婚丧嫁娶、配偶子女的工作安排以及旅游等提供方便。</w:t>
      </w:r>
    </w:p>
    <w:p w14:paraId="43D68253">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5．甲方工作人员不得接受乙方及其工作人员其它可能对公正履行职务有影响的不当行为或国家法律法规明确规定为贿赂的行为。</w:t>
      </w:r>
    </w:p>
    <w:p w14:paraId="50A5982D">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6．甲方及其工作人员如发现乙方及其工作人员有违反本协议第三条的任何行为，应及时向乙方上级部门或主管部门如实反映。</w:t>
      </w:r>
    </w:p>
    <w:p w14:paraId="4E011CA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第三条 乙方及其工作人员的责任</w:t>
      </w:r>
    </w:p>
    <w:p w14:paraId="2218ACB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1．乙方及其工作人员不得以任何形式向甲方及其工作人员赠送现金、有价证券、支付凭证及通讯器材、交通工具等贵重物品。</w:t>
      </w:r>
    </w:p>
    <w:p w14:paraId="1B0C5AA3">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2．乙方及其工作人员不得以任何理由组织甲方工作人员参加有可能影响公正履行职务的宴请、旅游、娱乐等活动。</w:t>
      </w:r>
    </w:p>
    <w:p w14:paraId="307B462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3．乙方不得以任何理由为甲方工作人员报销应由个人支付的费用。</w:t>
      </w:r>
    </w:p>
    <w:p w14:paraId="694B81B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4．乙方及其工作人员不得以任何理由为甲方工作人员个人装修住房、婚丧嫁娶、配偶子女的工作安排以及旅游等提供方便。</w:t>
      </w:r>
    </w:p>
    <w:p w14:paraId="0E82878F">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5．乙方及其工作人员不得实施其它可能对甲方工作人员公正履行职务有影响的不当行为或国家法律法规明确规定为贿赂的行为。</w:t>
      </w:r>
    </w:p>
    <w:p w14:paraId="046B842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6．乙方应当支持甲方的廉政建设，若甲方工作人员在业务往来过程中有索贿行为，乙方应当拒绝，并向甲方纪检监察部门举报投诉。</w:t>
      </w:r>
    </w:p>
    <w:p w14:paraId="11F71A8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7. 乙方及其工作人员在监委调查相关案件查办时，有配合提供证据、作证的义务。</w:t>
      </w:r>
    </w:p>
    <w:p w14:paraId="025BB91E">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第四条 违约责任</w:t>
      </w:r>
    </w:p>
    <w:p w14:paraId="17CCB5D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1．甲乙双方工作人员违反本协议约定，按照管理权限，依据有关法律法规和规定对相关责任人给予党纪、政纪处分。涉嫌犯罪的，移交司法机关追究刑事责任。</w:t>
      </w:r>
    </w:p>
    <w:p w14:paraId="02E7287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2．乙方及其工作人员违反本协议约定，乙方应赔偿由此给甲方造成的经济损失，甲方有权从任何应付款项或乙方提交的履约保证金中直接冲抵。</w:t>
      </w:r>
    </w:p>
    <w:p w14:paraId="4E7FF830">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3．乙方及其工作人员违反本协议约定，甲方将依法依规将乙方列入供应商黑名单，采取相应限制或禁止性措施。</w:t>
      </w:r>
    </w:p>
    <w:p w14:paraId="75637CD2">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4. 乙方及其工作人员发生拒不配合监委调查工作的情形，甲方有权采取警示约谈、降低考核评价分数、降低供货份额、缩短服务期限、终止或解除合同等多种处理措施。</w:t>
      </w:r>
    </w:p>
    <w:p w14:paraId="3B01D2AA">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第五条  本协议作为主合同附件，是主合同不可分割的一部分，应由双方法定代表人或法定代表人书面授权的委托代理人签署。</w:t>
      </w:r>
    </w:p>
    <w:p w14:paraId="147F93AC">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第六条 本协议自双方签字盖章之日起生效，长期有效。双方采购业务关系的变更、解除或终止，不影响甲方按本协议约定向乙方追究责任及要求赔偿损失的权利。</w:t>
      </w:r>
    </w:p>
    <w:p w14:paraId="145D45E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第七条  本协议一式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份，具有同等法律效力。</w:t>
      </w:r>
    </w:p>
    <w:p w14:paraId="1119DC05">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p>
    <w:p w14:paraId="5ED3AA2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 xml:space="preserve">甲 方（盖章）： </w:t>
      </w:r>
    </w:p>
    <w:p w14:paraId="09EB20A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015CF8B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地址：</w:t>
      </w:r>
    </w:p>
    <w:p w14:paraId="20B259F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电话：</w:t>
      </w:r>
    </w:p>
    <w:p w14:paraId="6A45BCC5">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日期：</w:t>
      </w:r>
    </w:p>
    <w:p w14:paraId="608D848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p>
    <w:p w14:paraId="2A2BD38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乙 方（盖章）：</w:t>
      </w:r>
    </w:p>
    <w:p w14:paraId="4216905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6E0E387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地址：</w:t>
      </w:r>
    </w:p>
    <w:p w14:paraId="1D4ADC5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电话：</w:t>
      </w:r>
    </w:p>
    <w:p w14:paraId="0A79A9A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highlight w:val="none"/>
        </w:rPr>
      </w:pPr>
      <w:r>
        <w:rPr>
          <w:rFonts w:hint="eastAsia" w:ascii="宋体" w:hAnsi="宋体" w:cs="宋体"/>
          <w:color w:val="auto"/>
          <w:sz w:val="24"/>
          <w:highlight w:val="none"/>
        </w:rPr>
        <w:t>日期：</w:t>
      </w:r>
    </w:p>
    <w:p w14:paraId="3E4F3239">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5487AB9E">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43D59ECC">
      <w:pPr>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p>
    <w:p w14:paraId="3957FD64">
      <w:pPr>
        <w:pageBreakBefore w:val="0"/>
        <w:kinsoku/>
        <w:overflowPunct/>
        <w:bidi w:val="0"/>
        <w:adjustRightInd w:val="0"/>
        <w:snapToGrid w:val="0"/>
        <w:spacing w:beforeAutospacing="0" w:afterAutospacing="0" w:line="360" w:lineRule="auto"/>
        <w:ind w:left="0" w:leftChars="0" w:right="0" w:rightChars="0"/>
        <w:jc w:val="center"/>
        <w:rPr>
          <w:rFonts w:hint="eastAsia"/>
          <w:color w:val="auto"/>
          <w:highlight w:val="none"/>
        </w:rPr>
      </w:pPr>
      <w:r>
        <w:rPr>
          <w:color w:val="auto"/>
          <w:highlight w:val="none"/>
        </w:rPr>
        <w:br w:type="page"/>
      </w:r>
      <w:r>
        <w:rPr>
          <w:rFonts w:hint="eastAsia"/>
          <w:b/>
          <w:bCs/>
          <w:color w:val="auto"/>
          <w:sz w:val="32"/>
          <w:szCs w:val="36"/>
          <w:highlight w:val="none"/>
        </w:rPr>
        <w:t>第五章  招标内容及</w:t>
      </w:r>
      <w:bookmarkEnd w:id="152"/>
      <w:r>
        <w:rPr>
          <w:rFonts w:hint="eastAsia"/>
          <w:b/>
          <w:bCs/>
          <w:color w:val="auto"/>
          <w:sz w:val="32"/>
          <w:szCs w:val="36"/>
          <w:highlight w:val="none"/>
        </w:rPr>
        <w:t>技术要求</w:t>
      </w:r>
      <w:bookmarkEnd w:id="153"/>
    </w:p>
    <w:p w14:paraId="3EC43602">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一、招标内容</w:t>
      </w:r>
    </w:p>
    <w:p w14:paraId="2D9418E4">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标段设置情况表</w:t>
      </w:r>
    </w:p>
    <w:tbl>
      <w:tblPr>
        <w:tblStyle w:val="22"/>
        <w:tblpPr w:leftFromText="180" w:rightFromText="180" w:vertAnchor="text" w:horzAnchor="page" w:tblpX="1076" w:tblpY="415"/>
        <w:tblOverlap w:val="never"/>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150"/>
        <w:gridCol w:w="820"/>
        <w:gridCol w:w="1926"/>
        <w:gridCol w:w="1697"/>
        <w:gridCol w:w="1580"/>
      </w:tblGrid>
      <w:tr w14:paraId="3986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trPr>
        <w:tc>
          <w:tcPr>
            <w:tcW w:w="999" w:type="dxa"/>
            <w:vAlign w:val="center"/>
          </w:tcPr>
          <w:p w14:paraId="2D796C6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标段</w:t>
            </w:r>
          </w:p>
        </w:tc>
        <w:tc>
          <w:tcPr>
            <w:tcW w:w="3150" w:type="dxa"/>
            <w:vAlign w:val="center"/>
          </w:tcPr>
          <w:p w14:paraId="500FEA3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项目内容</w:t>
            </w:r>
          </w:p>
        </w:tc>
        <w:tc>
          <w:tcPr>
            <w:tcW w:w="820" w:type="dxa"/>
            <w:vAlign w:val="center"/>
          </w:tcPr>
          <w:p w14:paraId="19AE44EC">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采购数量</w:t>
            </w:r>
          </w:p>
        </w:tc>
        <w:tc>
          <w:tcPr>
            <w:tcW w:w="1926" w:type="dxa"/>
            <w:vAlign w:val="center"/>
          </w:tcPr>
          <w:p w14:paraId="27E5232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rPr>
              <w:t>价</w:t>
            </w:r>
          </w:p>
          <w:p w14:paraId="1FA5E2F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1697" w:type="dxa"/>
            <w:vAlign w:val="center"/>
          </w:tcPr>
          <w:p w14:paraId="45A7126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招标控制价</w:t>
            </w:r>
          </w:p>
          <w:p w14:paraId="3939F1D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（含税）</w:t>
            </w:r>
          </w:p>
        </w:tc>
        <w:tc>
          <w:tcPr>
            <w:tcW w:w="1580" w:type="dxa"/>
            <w:vAlign w:val="center"/>
          </w:tcPr>
          <w:p w14:paraId="4CD3366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351D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99" w:type="dxa"/>
            <w:vAlign w:val="center"/>
          </w:tcPr>
          <w:p w14:paraId="6AE9530F">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标段</w:t>
            </w:r>
          </w:p>
        </w:tc>
        <w:tc>
          <w:tcPr>
            <w:tcW w:w="3150" w:type="dxa"/>
            <w:vAlign w:val="center"/>
          </w:tcPr>
          <w:p w14:paraId="591207D4">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eastAsia="zh-CN"/>
              </w:rPr>
              <w:t>新建</w:t>
            </w:r>
            <w:r>
              <w:rPr>
                <w:rFonts w:hint="eastAsia" w:ascii="宋体" w:hAnsi="宋体" w:eastAsia="宋体" w:cs="宋体"/>
                <w:color w:val="auto"/>
                <w:kern w:val="0"/>
                <w:sz w:val="24"/>
                <w:szCs w:val="24"/>
                <w:highlight w:val="none"/>
                <w:lang w:eastAsia="zh-CN"/>
              </w:rPr>
              <w:t>内室长8米、宽2.78米、高4.2米电能烤房</w:t>
            </w:r>
            <w:r>
              <w:rPr>
                <w:rFonts w:hint="eastAsia" w:ascii="宋体" w:hAnsi="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lang w:eastAsia="zh-CN"/>
              </w:rPr>
              <w:t>座</w:t>
            </w:r>
          </w:p>
        </w:tc>
        <w:tc>
          <w:tcPr>
            <w:tcW w:w="820" w:type="dxa"/>
            <w:vAlign w:val="center"/>
          </w:tcPr>
          <w:p w14:paraId="0A91242D">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32</w:t>
            </w:r>
            <w:r>
              <w:rPr>
                <w:rFonts w:hint="eastAsia" w:ascii="宋体" w:hAnsi="宋体" w:eastAsia="宋体" w:cs="宋体"/>
                <w:b w:val="0"/>
                <w:bCs w:val="0"/>
                <w:color w:val="auto"/>
                <w:sz w:val="24"/>
                <w:szCs w:val="24"/>
                <w:highlight w:val="none"/>
              </w:rPr>
              <w:t>座</w:t>
            </w:r>
          </w:p>
        </w:tc>
        <w:tc>
          <w:tcPr>
            <w:tcW w:w="1926" w:type="dxa"/>
            <w:vAlign w:val="center"/>
          </w:tcPr>
          <w:p w14:paraId="3C3C84B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89050.00元/座</w:t>
            </w:r>
          </w:p>
        </w:tc>
        <w:tc>
          <w:tcPr>
            <w:tcW w:w="1697" w:type="dxa"/>
            <w:vAlign w:val="center"/>
          </w:tcPr>
          <w:p w14:paraId="48524140">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2849600.00元</w:t>
            </w:r>
          </w:p>
        </w:tc>
        <w:tc>
          <w:tcPr>
            <w:tcW w:w="1580" w:type="dxa"/>
            <w:vMerge w:val="restart"/>
            <w:vAlign w:val="center"/>
          </w:tcPr>
          <w:p w14:paraId="78A5A04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具体内容详见第五章</w:t>
            </w:r>
          </w:p>
        </w:tc>
      </w:tr>
      <w:tr w14:paraId="6D81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999" w:type="dxa"/>
            <w:vMerge w:val="restart"/>
            <w:vAlign w:val="center"/>
          </w:tcPr>
          <w:p w14:paraId="5993759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二</w:t>
            </w:r>
            <w:r>
              <w:rPr>
                <w:rFonts w:hint="eastAsia" w:ascii="宋体" w:hAnsi="宋体" w:eastAsia="宋体" w:cs="宋体"/>
                <w:b w:val="0"/>
                <w:bCs w:val="0"/>
                <w:color w:val="auto"/>
                <w:kern w:val="0"/>
                <w:sz w:val="24"/>
                <w:szCs w:val="24"/>
                <w:highlight w:val="none"/>
                <w:lang w:val="en-US" w:eastAsia="zh-CN"/>
              </w:rPr>
              <w:t>标段</w:t>
            </w:r>
          </w:p>
        </w:tc>
        <w:tc>
          <w:tcPr>
            <w:tcW w:w="3150" w:type="dxa"/>
            <w:vAlign w:val="center"/>
          </w:tcPr>
          <w:p w14:paraId="35E4676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安装配套变压器400KVA</w:t>
            </w:r>
          </w:p>
        </w:tc>
        <w:tc>
          <w:tcPr>
            <w:tcW w:w="820" w:type="dxa"/>
            <w:vAlign w:val="center"/>
          </w:tcPr>
          <w:p w14:paraId="72A5A9EA">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77D7C7E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100000.00元/台</w:t>
            </w:r>
          </w:p>
        </w:tc>
        <w:tc>
          <w:tcPr>
            <w:tcW w:w="1697" w:type="dxa"/>
            <w:vAlign w:val="center"/>
          </w:tcPr>
          <w:p w14:paraId="1B393DF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100000.00元</w:t>
            </w:r>
          </w:p>
        </w:tc>
        <w:tc>
          <w:tcPr>
            <w:tcW w:w="1580" w:type="dxa"/>
            <w:vMerge w:val="continue"/>
            <w:vAlign w:val="center"/>
          </w:tcPr>
          <w:p w14:paraId="6526A8D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3000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999" w:type="dxa"/>
            <w:vMerge w:val="continue"/>
            <w:vAlign w:val="center"/>
          </w:tcPr>
          <w:p w14:paraId="54A4AA3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p>
        </w:tc>
        <w:tc>
          <w:tcPr>
            <w:tcW w:w="3150" w:type="dxa"/>
            <w:vAlign w:val="center"/>
          </w:tcPr>
          <w:p w14:paraId="3C0261A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安装配套变压器350KVA</w:t>
            </w:r>
          </w:p>
          <w:p w14:paraId="2A9EE631">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p>
        </w:tc>
        <w:tc>
          <w:tcPr>
            <w:tcW w:w="820" w:type="dxa"/>
            <w:vAlign w:val="center"/>
          </w:tcPr>
          <w:p w14:paraId="23A40D5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5D588E9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90000.00元/台</w:t>
            </w:r>
          </w:p>
        </w:tc>
        <w:tc>
          <w:tcPr>
            <w:tcW w:w="1697" w:type="dxa"/>
            <w:vAlign w:val="center"/>
          </w:tcPr>
          <w:p w14:paraId="10933A7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180000.00元</w:t>
            </w:r>
          </w:p>
        </w:tc>
        <w:tc>
          <w:tcPr>
            <w:tcW w:w="1580" w:type="dxa"/>
            <w:vMerge w:val="continue"/>
            <w:vAlign w:val="center"/>
          </w:tcPr>
          <w:p w14:paraId="0D12D9C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4B3E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99" w:type="dxa"/>
            <w:vMerge w:val="continue"/>
            <w:vAlign w:val="center"/>
          </w:tcPr>
          <w:p w14:paraId="395F789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p>
        </w:tc>
        <w:tc>
          <w:tcPr>
            <w:tcW w:w="3150" w:type="dxa"/>
            <w:vAlign w:val="center"/>
          </w:tcPr>
          <w:p w14:paraId="43550792">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安装配套变压器250KVA</w:t>
            </w:r>
          </w:p>
          <w:p w14:paraId="5F34995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b w:val="0"/>
                <w:bCs w:val="0"/>
                <w:color w:val="auto"/>
                <w:kern w:val="0"/>
                <w:sz w:val="24"/>
                <w:szCs w:val="24"/>
                <w:highlight w:val="none"/>
                <w:lang w:val="en-US" w:eastAsia="zh-CN"/>
              </w:rPr>
            </w:pPr>
          </w:p>
          <w:p w14:paraId="12A80905">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变压器250KVA</w:t>
            </w:r>
            <w:r>
              <w:rPr>
                <w:rFonts w:hint="eastAsia" w:ascii="宋体" w:hAnsi="宋体" w:cs="宋体"/>
                <w:b w:val="0"/>
                <w:bCs w:val="0"/>
                <w:color w:val="auto"/>
                <w:kern w:val="0"/>
                <w:sz w:val="24"/>
                <w:szCs w:val="24"/>
                <w:highlight w:val="none"/>
                <w:lang w:val="en-US" w:eastAsia="zh-CN"/>
              </w:rPr>
              <w:t xml:space="preserve">  1台</w:t>
            </w:r>
          </w:p>
        </w:tc>
        <w:tc>
          <w:tcPr>
            <w:tcW w:w="820" w:type="dxa"/>
            <w:vAlign w:val="center"/>
          </w:tcPr>
          <w:p w14:paraId="1F6B3699">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台</w:t>
            </w:r>
          </w:p>
        </w:tc>
        <w:tc>
          <w:tcPr>
            <w:tcW w:w="1926" w:type="dxa"/>
            <w:vAlign w:val="center"/>
          </w:tcPr>
          <w:p w14:paraId="110DBF07">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70000.00元/台</w:t>
            </w:r>
          </w:p>
        </w:tc>
        <w:tc>
          <w:tcPr>
            <w:tcW w:w="1697" w:type="dxa"/>
            <w:vAlign w:val="center"/>
          </w:tcPr>
          <w:p w14:paraId="65AF4016">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70000.00元</w:t>
            </w:r>
          </w:p>
        </w:tc>
        <w:tc>
          <w:tcPr>
            <w:tcW w:w="1580" w:type="dxa"/>
            <w:vMerge w:val="continue"/>
            <w:vAlign w:val="center"/>
          </w:tcPr>
          <w:p w14:paraId="7B3C09D8">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r w14:paraId="7757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6895" w:type="dxa"/>
            <w:gridSpan w:val="4"/>
            <w:vAlign w:val="center"/>
          </w:tcPr>
          <w:p w14:paraId="3A2EF8EB">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default" w:ascii="宋体" w:hAnsi="宋体" w:cs="宋体"/>
                <w:b w:val="0"/>
                <w:bCs w:val="0"/>
                <w:color w:val="auto"/>
                <w:kern w:val="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合计</w:t>
            </w:r>
          </w:p>
        </w:tc>
        <w:tc>
          <w:tcPr>
            <w:tcW w:w="1697" w:type="dxa"/>
            <w:vAlign w:val="center"/>
          </w:tcPr>
          <w:p w14:paraId="56FEB0AE">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r>
              <w:rPr>
                <w:rFonts w:hint="eastAsia" w:ascii="宋体" w:hAnsi="宋体" w:cs="宋体"/>
                <w:b w:val="0"/>
                <w:bCs w:val="0"/>
                <w:color w:val="auto"/>
                <w:kern w:val="0"/>
                <w:sz w:val="24"/>
                <w:szCs w:val="24"/>
                <w:highlight w:val="none"/>
                <w:lang w:val="en-US" w:eastAsia="zh-CN"/>
              </w:rPr>
              <w:t>3199600.00元</w:t>
            </w:r>
          </w:p>
        </w:tc>
        <w:tc>
          <w:tcPr>
            <w:tcW w:w="1580" w:type="dxa"/>
            <w:vAlign w:val="center"/>
          </w:tcPr>
          <w:p w14:paraId="0463A523">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宋体"/>
                <w:color w:val="auto"/>
                <w:kern w:val="0"/>
                <w:sz w:val="24"/>
                <w:szCs w:val="24"/>
                <w:highlight w:val="none"/>
              </w:rPr>
            </w:pPr>
          </w:p>
        </w:tc>
      </w:tr>
    </w:tbl>
    <w:p w14:paraId="017D005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（一标段）</w:t>
      </w:r>
      <w:r>
        <w:rPr>
          <w:rFonts w:hint="eastAsia" w:ascii="宋体" w:hAnsi="宋体" w:eastAsia="宋体" w:cs="宋体"/>
          <w:b/>
          <w:bCs/>
          <w:color w:val="auto"/>
          <w:sz w:val="24"/>
          <w:szCs w:val="24"/>
          <w:highlight w:val="none"/>
        </w:rPr>
        <w:t>技术要求</w:t>
      </w:r>
    </w:p>
    <w:p w14:paraId="37FB9625">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严格执行《空气源热泵密集烤房》（Q/HNYC050—2020）。技术要求中(二)条款内容与《空气源热泵密集烤房》（Q/HNYC050—2020）不符的，按照技术要求内容执行。</w:t>
      </w:r>
    </w:p>
    <w:p w14:paraId="72C3DA35">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详细要求如下：</w:t>
      </w:r>
    </w:p>
    <w:p w14:paraId="1E9CF8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热泵烤房基本结构</w:t>
      </w:r>
    </w:p>
    <w:p w14:paraId="7962862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烤房主要组成包括加热室、装烟室、热泵主机组、热泵烤房控制器。</w:t>
      </w:r>
    </w:p>
    <w:p w14:paraId="37BD562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单体式烤房侧面外观如图1、图2所示，正视图如图3所示。面向加热室，左手边为左侧，右手边为右侧。</w:t>
      </w:r>
    </w:p>
    <w:p w14:paraId="6445FB4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274310" cy="2354580"/>
            <wp:effectExtent l="0" t="0" r="2540" b="7620"/>
            <wp:docPr id="1026" name="图片 28"/>
            <wp:cNvGraphicFramePr/>
            <a:graphic xmlns:a="http://schemas.openxmlformats.org/drawingml/2006/main">
              <a:graphicData uri="http://schemas.openxmlformats.org/drawingml/2006/picture">
                <pic:pic xmlns:pic="http://schemas.openxmlformats.org/drawingml/2006/picture">
                  <pic:nvPicPr>
                    <pic:cNvPr id="1026" name="图片 28"/>
                    <pic:cNvPicPr/>
                  </pic:nvPicPr>
                  <pic:blipFill>
                    <a:blip r:embed="rId12" cstate="print"/>
                    <a:srcRect/>
                    <a:stretch>
                      <a:fillRect/>
                    </a:stretch>
                  </pic:blipFill>
                  <pic:spPr>
                    <a:xfrm>
                      <a:off x="0" y="0"/>
                      <a:ext cx="5274310" cy="2354580"/>
                    </a:xfrm>
                    <a:prstGeom prst="rect">
                      <a:avLst/>
                    </a:prstGeom>
                    <a:ln>
                      <a:noFill/>
                    </a:ln>
                  </pic:spPr>
                </pic:pic>
              </a:graphicData>
            </a:graphic>
          </wp:inline>
        </w:drawing>
      </w:r>
    </w:p>
    <w:p w14:paraId="043BD638">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图1 烤房左侧视图</w:t>
      </w:r>
    </w:p>
    <w:p w14:paraId="6E57E2A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p>
    <w:p w14:paraId="0AD9E52B">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274310" cy="2164715"/>
            <wp:effectExtent l="0" t="0" r="2540" b="6985"/>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13" cstate="print"/>
                    <a:srcRect/>
                    <a:stretch>
                      <a:fillRect/>
                    </a:stretch>
                  </pic:blipFill>
                  <pic:spPr>
                    <a:xfrm>
                      <a:off x="0" y="0"/>
                      <a:ext cx="5274310" cy="2164715"/>
                    </a:xfrm>
                    <a:prstGeom prst="rect">
                      <a:avLst/>
                    </a:prstGeom>
                    <a:ln>
                      <a:noFill/>
                    </a:ln>
                  </pic:spPr>
                </pic:pic>
              </a:graphicData>
            </a:graphic>
          </wp:inline>
        </w:drawing>
      </w:r>
    </w:p>
    <w:p w14:paraId="20D3FCFE">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图2 烤房右侧视图</w:t>
      </w:r>
    </w:p>
    <w:p w14:paraId="09D2BBCE">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color w:val="auto"/>
          <w:highlight w:val="none"/>
        </w:rPr>
        <w:drawing>
          <wp:inline distT="0" distB="0" distL="0" distR="0">
            <wp:extent cx="2990850" cy="3644900"/>
            <wp:effectExtent l="0" t="0" r="0" b="12700"/>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14" cstate="print"/>
                    <a:srcRect/>
                    <a:stretch>
                      <a:fillRect/>
                    </a:stretch>
                  </pic:blipFill>
                  <pic:spPr>
                    <a:xfrm>
                      <a:off x="0" y="0"/>
                      <a:ext cx="2990850" cy="3644900"/>
                    </a:xfrm>
                    <a:prstGeom prst="rect">
                      <a:avLst/>
                    </a:prstGeom>
                    <a:ln>
                      <a:noFill/>
                    </a:ln>
                  </pic:spPr>
                </pic:pic>
              </a:graphicData>
            </a:graphic>
          </wp:inline>
        </w:drawing>
      </w:r>
    </w:p>
    <w:p w14:paraId="77D40BC9">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olor w:val="auto"/>
          <w:highlight w:val="none"/>
        </w:rPr>
        <w:t>图3 烤房正视图</w:t>
      </w:r>
    </w:p>
    <w:p w14:paraId="6636338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装烟室</w:t>
      </w:r>
    </w:p>
    <w:p w14:paraId="002EE39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内室长8000mm、宽2780mm、高4200mm，包含墙体、屋顶、挂烟架、装烟室门、观察窗、热风进（回）风口。</w:t>
      </w:r>
    </w:p>
    <w:p w14:paraId="7CD3F0B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墙体</w:t>
      </w:r>
    </w:p>
    <w:p w14:paraId="35704A4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 材料</w:t>
      </w:r>
    </w:p>
    <w:p w14:paraId="387F030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采用金属面硬质聚氨酯夹芯板（以下简称墙板），厚度要求≥50mm，芯材导热系数≤ 0.024W/(m∙K)（在平均环境温度23.8℃测得），聚氨酯密度≥40kg/m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。聚氨酯内外保护层为0.4mm及以上涂层钢板，采用镀锌涂层，锌层重量≥120g/m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，涂层钢板双面做压纹处理，压纹波距5mm～10mm。涂层钢板内外不得接触，防止形成热桥。墙板外观质量、物理性能、防火性能等符合GB/T23932《建筑用金属面绝热夹芯板》要求。</w:t>
      </w:r>
    </w:p>
    <w:p w14:paraId="651AFF6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 安装</w:t>
      </w:r>
    </w:p>
    <w:p w14:paraId="0587F20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板与水平角度为90°，安装时插入地槽，地槽采用1.2mm厚热浸镀锌板折弯成型，内径为墙板厚度＋2mm，墙板与地槽之间的空隙打耐候密封胶处理。墙板与装烟架用隐钉固定，墙板之间采用无缝公母槽插接式企口连接（图4），连接时涂耐候密封胶，转角处采转角墙板。墙板安装完毕后，地槽采用混凝土固封，固封位置要超过地槽上沿。墙板上部安装顶槽，顶槽采用1.2mm厚热浸镀锌板折弯成型，顶槽安装前在墙板上部打发泡胶，确保墙板与顶槽间无空隙。</w:t>
      </w:r>
    </w:p>
    <w:p w14:paraId="67FCD702">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078730" cy="981710"/>
            <wp:effectExtent l="0" t="0" r="0" b="0"/>
            <wp:docPr id="1029" name="图片 24"/>
            <wp:cNvGraphicFramePr/>
            <a:graphic xmlns:a="http://schemas.openxmlformats.org/drawingml/2006/main">
              <a:graphicData uri="http://schemas.openxmlformats.org/drawingml/2006/picture">
                <pic:pic xmlns:pic="http://schemas.openxmlformats.org/drawingml/2006/picture">
                  <pic:nvPicPr>
                    <pic:cNvPr id="1029" name="图片 24"/>
                    <pic:cNvPicPr/>
                  </pic:nvPicPr>
                  <pic:blipFill>
                    <a:blip r:embed="rId15" cstate="print"/>
                    <a:srcRect l="17646" t="30051" r="11342" b="43821"/>
                    <a:stretch>
                      <a:fillRect/>
                    </a:stretch>
                  </pic:blipFill>
                  <pic:spPr>
                    <a:xfrm>
                      <a:off x="0" y="0"/>
                      <a:ext cx="5078730" cy="981710"/>
                    </a:xfrm>
                    <a:prstGeom prst="rect">
                      <a:avLst/>
                    </a:prstGeom>
                    <a:ln>
                      <a:noFill/>
                    </a:ln>
                  </pic:spPr>
                </pic:pic>
              </a:graphicData>
            </a:graphic>
          </wp:inline>
        </w:drawing>
      </w:r>
    </w:p>
    <w:p w14:paraId="4AE92EAA">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3629025" cy="1915160"/>
            <wp:effectExtent l="0" t="0" r="9525" b="0"/>
            <wp:docPr id="1030" name="图片 20"/>
            <wp:cNvGraphicFramePr/>
            <a:graphic xmlns:a="http://schemas.openxmlformats.org/drawingml/2006/main">
              <a:graphicData uri="http://schemas.openxmlformats.org/drawingml/2006/picture">
                <pic:pic xmlns:pic="http://schemas.openxmlformats.org/drawingml/2006/picture">
                  <pic:nvPicPr>
                    <pic:cNvPr id="1030" name="图片 20"/>
                    <pic:cNvPicPr/>
                  </pic:nvPicPr>
                  <pic:blipFill>
                    <a:blip r:embed="rId16" cstate="print"/>
                    <a:srcRect l="13005" t="14534" r="38702" b="36942"/>
                    <a:stretch>
                      <a:fillRect/>
                    </a:stretch>
                  </pic:blipFill>
                  <pic:spPr>
                    <a:xfrm>
                      <a:off x="0" y="0"/>
                      <a:ext cx="3629025" cy="1915794"/>
                    </a:xfrm>
                    <a:prstGeom prst="rect">
                      <a:avLst/>
                    </a:prstGeom>
                    <a:ln>
                      <a:noFill/>
                    </a:ln>
                  </pic:spPr>
                </pic:pic>
              </a:graphicData>
            </a:graphic>
          </wp:inline>
        </w:drawing>
      </w:r>
    </w:p>
    <w:p w14:paraId="215B4B48">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图4 墙板及连接图</w:t>
      </w:r>
    </w:p>
    <w:p w14:paraId="2491B78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屋顶</w:t>
      </w:r>
    </w:p>
    <w:p w14:paraId="5F27C54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.2.1 材料</w:t>
      </w:r>
    </w:p>
    <w:p w14:paraId="54E7A2B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屋顶采用金属面硬质聚氨酯夹芯板（以下简称屋面板），屋面板与墙体材料、质量、厚度等相同，涂层钢板内外不得接触，防止形成热桥。具有 34mm 以上的波峰和排水槽结构，防水等级二级。</w:t>
      </w:r>
    </w:p>
    <w:p w14:paraId="4B7F66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.2.2 主要载荷要求</w:t>
      </w:r>
    </w:p>
    <w:p w14:paraId="3F090FF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屋面恒载：0.25kN/m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；基本风压：0.45kN/m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；屋面活载：0.5kN/m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；基本雪压：0.45kN/m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14:paraId="030DE8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.2.3 安装</w:t>
      </w:r>
    </w:p>
    <w:p w14:paraId="24FE209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屋面板长度方向与烤房长度方向垂直，屋面板搭接如图5所示，做防水放漏气处理。屋面板与墙板（顶槽）接缝进行打胶密封处理。相邻烤房屋顶安装V型天沟，靠外烤房屋顶的外侧安装外侧天沟，技术要求如图6所示，天沟用于收集雨水并使其流向烤房后。天沟材料采用≥0.5mm厚度镀锌涂层钢板，锌层重量≥120g/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w:t>
      </w:r>
    </w:p>
    <w:p w14:paraId="51B0D0EA">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4037965" cy="922020"/>
            <wp:effectExtent l="0" t="0" r="635" b="0"/>
            <wp:docPr id="1031" name="图片 4"/>
            <wp:cNvGraphicFramePr/>
            <a:graphic xmlns:a="http://schemas.openxmlformats.org/drawingml/2006/main">
              <a:graphicData uri="http://schemas.openxmlformats.org/drawingml/2006/picture">
                <pic:pic xmlns:pic="http://schemas.openxmlformats.org/drawingml/2006/picture">
                  <pic:nvPicPr>
                    <pic:cNvPr id="1031" name="图片 4"/>
                    <pic:cNvPicPr/>
                  </pic:nvPicPr>
                  <pic:blipFill>
                    <a:blip r:embed="rId17" cstate="print"/>
                    <a:srcRect l="19299" t="23531" r="4119" b="36336"/>
                    <a:stretch>
                      <a:fillRect/>
                    </a:stretch>
                  </pic:blipFill>
                  <pic:spPr>
                    <a:xfrm>
                      <a:off x="0" y="0"/>
                      <a:ext cx="4038599" cy="922020"/>
                    </a:xfrm>
                    <a:prstGeom prst="rect">
                      <a:avLst/>
                    </a:prstGeom>
                    <a:ln>
                      <a:noFill/>
                    </a:ln>
                  </pic:spPr>
                </pic:pic>
              </a:graphicData>
            </a:graphic>
          </wp:inline>
        </w:drawing>
      </w:r>
    </w:p>
    <w:p w14:paraId="0455AC4C">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图5 屋顶板视图</w:t>
      </w:r>
    </w:p>
    <w:p w14:paraId="5A396A4C">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3743325</wp:posOffset>
                </wp:positionH>
                <wp:positionV relativeFrom="paragraph">
                  <wp:posOffset>2392680</wp:posOffset>
                </wp:positionV>
                <wp:extent cx="728980" cy="289560"/>
                <wp:effectExtent l="0" t="0" r="13970" b="15240"/>
                <wp:wrapNone/>
                <wp:docPr id="1032" name="文本框 546"/>
                <wp:cNvGraphicFramePr/>
                <a:graphic xmlns:a="http://schemas.openxmlformats.org/drawingml/2006/main">
                  <a:graphicData uri="http://schemas.microsoft.com/office/word/2010/wordprocessingShape">
                    <wps:wsp>
                      <wps:cNvSpPr/>
                      <wps:spPr>
                        <a:xfrm>
                          <a:off x="0" y="0"/>
                          <a:ext cx="728979" cy="289560"/>
                        </a:xfrm>
                        <a:prstGeom prst="rect">
                          <a:avLst/>
                        </a:prstGeom>
                        <a:solidFill>
                          <a:srgbClr val="FFFFFF"/>
                        </a:solidFill>
                        <a:ln>
                          <a:noFill/>
                        </a:ln>
                      </wps:spPr>
                      <wps:txbx>
                        <w:txbxContent>
                          <w:p w14:paraId="3BBEF0D1">
                            <w:r>
                              <w:rPr>
                                <w:rFonts w:hint="eastAsia"/>
                              </w:rPr>
                              <w:t>V型天沟</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rect id="文本框 546" o:spid="_x0000_s1026" o:spt="1" style="position:absolute;left:0pt;margin-left:294.75pt;margin-top:188.4pt;height:22.8pt;width:57.4pt;z-index:251659264;mso-width-relative:page;mso-height-relative:margin;mso-height-percent:200;" fillcolor="#FFFFFF" filled="t" stroked="f" coordsize="21600,21600" o:gfxdata="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stOvtoAAAALAQAADwAAAAAAAAABACAAAAAiAAAA&#10;ZHJzL2Rvd25yZXYueG1sUEsBAhQAFAAAAAgAh07iQGyoxsPMAQAAiwMAAA4AAAAAAAAAAQAgAAAA&#10;KQEAAGRycy9lMm9Eb2MueG1sUEsFBgAAAAAGAAYAWQEAAGcFAAAAAA==&#10;">
                <v:fill on="t" focussize="0,0"/>
                <v:stroke on="f"/>
                <v:imagedata o:title=""/>
                <o:lock v:ext="edit" aspectratio="f"/>
                <v:textbox style="mso-fit-shape-to-text:t;">
                  <w:txbxContent>
                    <w:p w14:paraId="3BBEF0D1">
                      <w:r>
                        <w:rPr>
                          <w:rFonts w:hint="eastAsia"/>
                        </w:rPr>
                        <w:t>V型天沟</w:t>
                      </w:r>
                    </w:p>
                  </w:txbxContent>
                </v:textbox>
              </v:rect>
            </w:pict>
          </mc:Fallback>
        </mc:AlternateContent>
      </w:r>
      <w:r>
        <w:rPr>
          <w:rFonts w:hint="eastAsia" w:ascii="宋体" w:hAnsi="宋体" w:cs="宋体"/>
          <w:color w:val="auto"/>
          <w:szCs w:val="21"/>
          <w:highlight w:val="none"/>
        </w:rPr>
        <w:t xml:space="preserve">                                    </w:t>
      </w:r>
    </w:p>
    <w:p w14:paraId="465F1929">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316855" cy="3025140"/>
            <wp:effectExtent l="0" t="0" r="17145" b="3810"/>
            <wp:docPr id="1033" name="图片 36"/>
            <wp:cNvGraphicFramePr/>
            <a:graphic xmlns:a="http://schemas.openxmlformats.org/drawingml/2006/main">
              <a:graphicData uri="http://schemas.openxmlformats.org/drawingml/2006/picture">
                <pic:pic xmlns:pic="http://schemas.openxmlformats.org/drawingml/2006/picture">
                  <pic:nvPicPr>
                    <pic:cNvPr id="1033" name="图片 36"/>
                    <pic:cNvPicPr/>
                  </pic:nvPicPr>
                  <pic:blipFill>
                    <a:blip r:embed="rId18" cstate="print"/>
                    <a:srcRect/>
                    <a:stretch>
                      <a:fillRect/>
                    </a:stretch>
                  </pic:blipFill>
                  <pic:spPr>
                    <a:xfrm>
                      <a:off x="0" y="0"/>
                      <a:ext cx="5316855" cy="3025140"/>
                    </a:xfrm>
                    <a:prstGeom prst="rect">
                      <a:avLst/>
                    </a:prstGeom>
                    <a:ln>
                      <a:noFill/>
                    </a:ln>
                  </pic:spPr>
                </pic:pic>
              </a:graphicData>
            </a:graphic>
          </wp:inline>
        </w:drawing>
      </w:r>
    </w:p>
    <w:p w14:paraId="248025A2">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图6 屋顶板安装要求</w:t>
      </w:r>
    </w:p>
    <w:p w14:paraId="7758C05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挂烟架</w:t>
      </w:r>
    </w:p>
    <w:p w14:paraId="2D7B214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烟架立柱、顶梁及挂烟架采用Q235镀锌矩管制作，规格为40mm×60mm，壁厚≥l.5mm，挂烟架整体承重能力大于8000kg，能够使用烟竿和烟夹装烟。挂烟架底棚高1100mm～1300mm、顶棚距离屋顶高度600mm、中间棚间距800mm。挂烟架各构件采用螺栓连接，横档与立柱采用套接加螺栓连接。在立柱上焊接支撑固定套，上面开设φ12的孔，支撑固定套采用壁厚为4mm的Q235A镀锌板材制作。横档相应位置开设φ12的孔，采用M10的紧固件固定。</w:t>
      </w:r>
    </w:p>
    <w:p w14:paraId="772A7084">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5274310" cy="2136140"/>
            <wp:effectExtent l="0" t="0" r="2540" b="16510"/>
            <wp:docPr id="1034" name="图片 40"/>
            <wp:cNvGraphicFramePr/>
            <a:graphic xmlns:a="http://schemas.openxmlformats.org/drawingml/2006/main">
              <a:graphicData uri="http://schemas.openxmlformats.org/drawingml/2006/picture">
                <pic:pic xmlns:pic="http://schemas.openxmlformats.org/drawingml/2006/picture">
                  <pic:nvPicPr>
                    <pic:cNvPr id="1034" name="图片 40"/>
                    <pic:cNvPicPr/>
                  </pic:nvPicPr>
                  <pic:blipFill>
                    <a:blip r:embed="rId19" cstate="print"/>
                    <a:srcRect/>
                    <a:stretch>
                      <a:fillRect/>
                    </a:stretch>
                  </pic:blipFill>
                  <pic:spPr>
                    <a:xfrm>
                      <a:off x="0" y="0"/>
                      <a:ext cx="5274310" cy="2136140"/>
                    </a:xfrm>
                    <a:prstGeom prst="rect">
                      <a:avLst/>
                    </a:prstGeom>
                    <a:ln>
                      <a:noFill/>
                    </a:ln>
                  </pic:spPr>
                </pic:pic>
              </a:graphicData>
            </a:graphic>
          </wp:inline>
        </w:drawing>
      </w:r>
    </w:p>
    <w:p w14:paraId="3479C7E3">
      <w:pPr>
        <w:pageBreakBefore w:val="0"/>
        <w:kinsoku/>
        <w:overflowPunct/>
        <w:bidi w:val="0"/>
        <w:adjustRightInd w:val="0"/>
        <w:snapToGrid w:val="0"/>
        <w:spacing w:beforeAutospacing="0" w:afterAutospacing="0" w:line="360" w:lineRule="auto"/>
        <w:ind w:left="0" w:leftChars="0" w:right="0" w:rightChars="0" w:firstLine="420"/>
        <w:jc w:val="center"/>
        <w:rPr>
          <w:rFonts w:ascii="宋体" w:hAnsi="宋体" w:cs="宋体"/>
          <w:color w:val="auto"/>
          <w:szCs w:val="21"/>
          <w:highlight w:val="none"/>
        </w:rPr>
      </w:pPr>
      <w:r>
        <w:rPr>
          <w:rFonts w:hint="eastAsia" w:ascii="宋体" w:hAnsi="宋体" w:cs="宋体"/>
          <w:color w:val="auto"/>
          <w:szCs w:val="21"/>
          <w:highlight w:val="none"/>
        </w:rPr>
        <w:t>图7 挂烟架结构示意图</w:t>
      </w:r>
    </w:p>
    <w:p w14:paraId="7E41B73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.4 装烟室门</w:t>
      </w:r>
    </w:p>
    <w:p w14:paraId="7C23043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采用与墙体相同的材料，尺寸如图8所示。对于编烟棚立柱临近的烤房，大门门框与编烟棚立柱之间采用直径不小于16mm的钢筋连接加固，连接点距屋顶下沿高度200mm～300mm。</w:t>
      </w:r>
    </w:p>
    <w:p w14:paraId="6BB74FAD">
      <w:pPr>
        <w:pageBreakBefore w:val="0"/>
        <w:kinsoku/>
        <w:overflowPunct/>
        <w:bidi w:val="0"/>
        <w:adjustRightInd w:val="0"/>
        <w:snapToGrid w:val="0"/>
        <w:spacing w:beforeAutospacing="0" w:afterAutospacing="0" w:line="360" w:lineRule="auto"/>
        <w:ind w:left="0" w:leftChars="0" w:right="0" w:rightChars="0" w:firstLine="420" w:firstLineChars="20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2642870" cy="3238500"/>
            <wp:effectExtent l="0" t="0" r="5080" b="0"/>
            <wp:docPr id="1035" name="图片 1"/>
            <wp:cNvGraphicFramePr/>
            <a:graphic xmlns:a="http://schemas.openxmlformats.org/drawingml/2006/main">
              <a:graphicData uri="http://schemas.openxmlformats.org/drawingml/2006/picture">
                <pic:pic xmlns:pic="http://schemas.openxmlformats.org/drawingml/2006/picture">
                  <pic:nvPicPr>
                    <pic:cNvPr id="1035" name="图片 1"/>
                    <pic:cNvPicPr/>
                  </pic:nvPicPr>
                  <pic:blipFill>
                    <a:blip r:embed="rId20" cstate="print"/>
                    <a:srcRect/>
                    <a:stretch>
                      <a:fillRect/>
                    </a:stretch>
                  </pic:blipFill>
                  <pic:spPr>
                    <a:xfrm>
                      <a:off x="0" y="0"/>
                      <a:ext cx="2642870" cy="3238500"/>
                    </a:xfrm>
                    <a:prstGeom prst="rect">
                      <a:avLst/>
                    </a:prstGeom>
                    <a:ln>
                      <a:noFill/>
                    </a:ln>
                  </pic:spPr>
                </pic:pic>
              </a:graphicData>
            </a:graphic>
          </wp:inline>
        </w:drawing>
      </w:r>
    </w:p>
    <w:p w14:paraId="4667323D">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图8 装烟室大门</w:t>
      </w:r>
    </w:p>
    <w:p w14:paraId="20D5870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.5 观察窗</w:t>
      </w:r>
    </w:p>
    <w:p w14:paraId="09CBB2D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装烟室门和隔热墙上各设置一个竖向观察窗，尺寸如图3、图8所示，能够观察到装烟室内烟叶变化状况。观察窗应采用中空保温玻璃结构，玻璃为钢化无色玻璃，厚度5mm，中空层8mm，观察窗安装居门厚度中间，外装遮光门。</w:t>
      </w:r>
    </w:p>
    <w:p w14:paraId="72C3740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.6 热风进（回）风口</w:t>
      </w:r>
    </w:p>
    <w:p w14:paraId="4F4F2BC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在隔热墙顶端和底端分别开设进风口和回风口，如图9所示，尺寸为1800mm×400mm，回风口应加设防护网（网孔小于25mm×25mm），防止掉落在地面上的烟叶吸入加热室后堵塞加热装置。</w:t>
      </w:r>
    </w:p>
    <w:p w14:paraId="2AE3884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加热室</w:t>
      </w:r>
    </w:p>
    <w:p w14:paraId="01B3E3C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主要包含墙体、房顶、支撑架、排湿风道、冷凝器及维修门、循环风机维修门、热风风道，以及新风风门和排湿风门等。如图9所示，加热室内尺寸长1000～1400mm、宽1800mm、高4200mm。</w:t>
      </w:r>
    </w:p>
    <w:p w14:paraId="57DECA2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 墙体</w:t>
      </w:r>
    </w:p>
    <w:p w14:paraId="5BB305F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.1.1 材料</w:t>
      </w:r>
    </w:p>
    <w:p w14:paraId="232CB87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加热室墙体材料与装烟室材料相同。</w:t>
      </w:r>
    </w:p>
    <w:p w14:paraId="2E6608F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.1.2 墙板</w:t>
      </w:r>
    </w:p>
    <w:p w14:paraId="573761B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墙板上要开设新风风口和排湿风口，开口采取收边措施，收边材料厚度≥1mm，分别用于安装新风风门和排湿风门。</w:t>
      </w:r>
    </w:p>
    <w:p w14:paraId="4E28CE0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开设维修门和风机维修门，分别用于维修加热室内部加热器件和循环风机等，如图1、图3所示。</w:t>
      </w:r>
    </w:p>
    <w:p w14:paraId="6C129FF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.1.3 安装</w:t>
      </w:r>
    </w:p>
    <w:p w14:paraId="21C3162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加热室两侧墙板采用整板，转角处建议采用转角墙板，地槽、顶槽与装烟室结构一致，要求相同。</w:t>
      </w:r>
    </w:p>
    <w:p w14:paraId="65DF6D4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墙板与加热室支架之间采用不小于ST5.5的自攻自钻螺钉连接，并采取耐候密封胶密封。墙体与地面之间采用耐候密封胶密封，然后用混凝土加强密封。</w:t>
      </w:r>
    </w:p>
    <w:p w14:paraId="143E417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.2 支撑架</w:t>
      </w:r>
    </w:p>
    <w:p w14:paraId="31ABF7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撑架采用40×40×2（mm）镀锌方管，用于支撑内部换热器和循环风机。四个支脚带安装底脚，螺栓孔直径14mm。支架上用于结构密封的板材采用镀锌钢板，钢板厚度≥1mm，或其它耐腐蚀性不低于镀锌钢板的材料。焊接部位应涂防锈漆处理。</w:t>
      </w:r>
    </w:p>
    <w:p w14:paraId="2337BBD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ascii="宋体" w:hAnsi="宋体" w:cs="宋体"/>
          <w:color w:val="auto"/>
          <w:szCs w:val="21"/>
          <w:highlight w:val="none"/>
        </w:rPr>
      </w:pPr>
      <w:r>
        <w:rPr>
          <w:rFonts w:hint="eastAsia" w:ascii="宋体" w:hAnsi="宋体" w:eastAsia="宋体" w:cs="宋体"/>
          <w:color w:val="auto"/>
          <w:sz w:val="24"/>
          <w:szCs w:val="24"/>
          <w:highlight w:val="none"/>
          <w:lang w:val="en-US" w:eastAsia="zh-CN"/>
        </w:rPr>
        <w:t>支架总高≥2500mm，4个底脚应采用膨胀螺栓固定于地基上，并与隔热墙贴紧，左右居中。支架结构应能保证冷凝器、电辅加热器、循环风机距离，如图9所示。</w:t>
      </w:r>
    </w:p>
    <w:p w14:paraId="4E1B5A1E">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ascii="宋体" w:hAnsi="宋体" w:cs="宋体"/>
          <w:color w:val="auto"/>
          <w:szCs w:val="21"/>
          <w:highlight w:val="none"/>
        </w:rPr>
        <w:drawing>
          <wp:inline distT="0" distB="0" distL="0" distR="0">
            <wp:extent cx="3174365" cy="3749040"/>
            <wp:effectExtent l="0" t="0" r="6985" b="3810"/>
            <wp:docPr id="1036" name="图片 50"/>
            <wp:cNvGraphicFramePr/>
            <a:graphic xmlns:a="http://schemas.openxmlformats.org/drawingml/2006/main">
              <a:graphicData uri="http://schemas.openxmlformats.org/drawingml/2006/picture">
                <pic:pic xmlns:pic="http://schemas.openxmlformats.org/drawingml/2006/picture">
                  <pic:nvPicPr>
                    <pic:cNvPr id="1036" name="图片 50"/>
                    <pic:cNvPicPr/>
                  </pic:nvPicPr>
                  <pic:blipFill>
                    <a:blip r:embed="rId21" cstate="print"/>
                    <a:srcRect/>
                    <a:stretch>
                      <a:fillRect/>
                    </a:stretch>
                  </pic:blipFill>
                  <pic:spPr>
                    <a:xfrm>
                      <a:off x="0" y="0"/>
                      <a:ext cx="3174365" cy="3749040"/>
                    </a:xfrm>
                    <a:prstGeom prst="rect">
                      <a:avLst/>
                    </a:prstGeom>
                    <a:ln>
                      <a:noFill/>
                    </a:ln>
                  </pic:spPr>
                </pic:pic>
              </a:graphicData>
            </a:graphic>
          </wp:inline>
        </w:drawing>
      </w:r>
    </w:p>
    <w:p w14:paraId="4FECA57D">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szCs w:val="21"/>
          <w:highlight w:val="none"/>
        </w:rPr>
      </w:pPr>
      <w:r>
        <w:rPr>
          <w:rFonts w:hint="eastAsia" w:ascii="宋体" w:hAnsi="宋体" w:cs="宋体"/>
          <w:color w:val="auto"/>
          <w:szCs w:val="21"/>
          <w:highlight w:val="none"/>
        </w:rPr>
        <w:t>图9 加热室内部结构图</w:t>
      </w:r>
    </w:p>
    <w:p w14:paraId="36CE296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.3 排湿风道</w:t>
      </w:r>
    </w:p>
    <w:p w14:paraId="1DC1E49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排湿风道连通回风口和排湿风门。采用镀锌板折弯加工，排湿风门处宽800mm，高≥480mm，排湿风道与回风口连接处宽600mm、高≥400mm。通过膨胀螺栓固定于地面。安装时要靠紧排湿口，密封完好。</w:t>
      </w:r>
    </w:p>
    <w:p w14:paraId="5EF29CF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.4 冷凝器安装</w:t>
      </w:r>
    </w:p>
    <w:p w14:paraId="659195A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固定在冷凝器支架层（面）上，并用密封板密封冷凝器端板四周。密封板采用镀锌钢板，钢板厚度≥1mm，保证热空气全部通过冷凝器。</w:t>
      </w:r>
    </w:p>
    <w:p w14:paraId="55B595C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.5 备用电辅加热器</w:t>
      </w:r>
    </w:p>
    <w:p w14:paraId="25BC3F9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在烟叶烘烤时段环境温度低于5℃地区配置，为热泵主机组后备使用热源。功率≥27kW，采用翅片式电热管或陶瓷加热器，电辅加热器≥9根，分为2组或3组控制。</w:t>
      </w:r>
    </w:p>
    <w:p w14:paraId="7681EDE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电辅加热器连接线采用硅橡胶耐高温线，电缆穿墙采用塑料护套，电辅加热管接头要求防护，不得裸露。</w:t>
      </w:r>
    </w:p>
    <w:p w14:paraId="3F7CE07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.6 循环风机</w:t>
      </w:r>
    </w:p>
    <w:p w14:paraId="32F175C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循环风机按《密集烤房技术规范（试行）修订版》（国烟办综〔2009〕418号）文件要求（以下简称418号文件）。风机电源引线使用七芯铜线电缆，电缆符合GB5013.1规定。输入端口符合国家相关标准。三相循环风机导线截面积不小于1.5mm2，风机电缆耐温90℃以上。</w:t>
      </w:r>
    </w:p>
    <w:p w14:paraId="6485FB9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.7进风风门</w:t>
      </w:r>
    </w:p>
    <w:p w14:paraId="427B800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采用电动风门结构，符合418 号文件要求，内径300mm×800mm，固定到加热室墙板新风口外侧，如图1所示。</w:t>
      </w:r>
    </w:p>
    <w:p w14:paraId="58860B9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.8 排湿风门</w:t>
      </w:r>
    </w:p>
    <w:p w14:paraId="08BD33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采用电动风门结构，符合418 号文件要求，内径300mm×800mm，也可以采用两个百叶窗平行与地面安装，百叶窗符合 418 号文件要求，电动风门或百叶窗居中安装。</w:t>
      </w:r>
    </w:p>
    <w:p w14:paraId="32054BE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.9 基础与地面</w:t>
      </w:r>
    </w:p>
    <w:p w14:paraId="09A5B7E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混凝土浇筑水平地面（硬化地面基础包括烤房与编烟棚所有覆盖区域），浇筑厚度≥200mm。浇筑前用 5cm 三七土预处理，地基内部加设防水塑料布或其它防水措施。要求： </w:t>
      </w:r>
    </w:p>
    <w:p w14:paraId="5789F92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a) 浇筑混凝土≥C20 砼。 </w:t>
      </w:r>
    </w:p>
    <w:p w14:paraId="4AAFA18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b) 地基上平面为 1:2.5 混凝土砂浆面层，平整度≤3mm。 </w:t>
      </w:r>
    </w:p>
    <w:p w14:paraId="157D1DE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c) 地基上要留有排水槽（烤房与烤房之间要向加热室一侧设置排水槽、热泵机组与加热室之间要设置排水槽，防止积水倒流入装烟室或加热室内），以利于排水。 </w:t>
      </w:r>
    </w:p>
    <w:p w14:paraId="343184B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d) 在烤房地基附近埋设接地极，接地极为 50x50mm 镀锌角钢，埋深 1.5m 以上。接地极可以单个烤房使用，也可以附近多座烤房共用。 </w:t>
      </w:r>
    </w:p>
    <w:p w14:paraId="2213B63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编烟棚</w:t>
      </w:r>
      <w:r>
        <w:rPr>
          <w:rFonts w:hint="eastAsia" w:ascii="宋体" w:hAnsi="宋体" w:eastAsia="宋体" w:cs="宋体"/>
          <w:color w:val="auto"/>
          <w:sz w:val="24"/>
          <w:szCs w:val="24"/>
          <w:highlight w:val="none"/>
          <w:lang w:val="en-US" w:eastAsia="zh-CN"/>
        </w:rPr>
        <w:t xml:space="preserve"> </w:t>
      </w:r>
    </w:p>
    <w:p w14:paraId="6A4B53A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集群烤房须配置编烟棚，保证光线充足，适宜各项操作，编烟棚要求：</w:t>
      </w:r>
    </w:p>
    <w:p w14:paraId="30393AF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a)对于双排（面对面）烤房，10座连片烤房编烟棚宽度原则上不低于8000mm，20座连片烤房编烟棚宽度原则上不低于 12000mm，30座及以上连片烤房编烟棚宽度原则上不低于 14000mm。单排烤房编烟棚因地制宜配置，10座（含10座以下）单排烤房编烟棚宽度原则上不低于6000mm，20 座连片烤房编烟棚宽度原则上不低于 8000mm，30座及以上连片烤房编烟棚宽度原则上不低于 8000mm 。编烟棚左、右两侧边缘末端要超过烤房墙体50cm。</w:t>
      </w:r>
    </w:p>
    <w:p w14:paraId="44E3B3A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b)编烟棚须选用钢管或更优质的材料作为支撑架。棚顶为单面彩钢瓦。材质要求：</w:t>
      </w:r>
    </w:p>
    <w:p w14:paraId="35DF8A6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1.支撑架钢柱：圆管φ150mm，Q235B；</w:t>
      </w:r>
    </w:p>
    <w:p w14:paraId="4B5F372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2.上下弦：圆管φ60mm*2，Q235B；</w:t>
      </w:r>
    </w:p>
    <w:p w14:paraId="6D369BA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3.支撑：圆管φ30mm*2，Q235B；</w:t>
      </w:r>
    </w:p>
    <w:p w14:paraId="06BC0A0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4.檩条：矩形管口60*40*1.5mm，Q235B；</w:t>
      </w:r>
    </w:p>
    <w:p w14:paraId="7926FAC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5.水平撑、拉筋：圆钢φ16mm，Q235B；</w:t>
      </w:r>
    </w:p>
    <w:p w14:paraId="3A74A6B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6.单面彩钢瓦：厚度0.5mm以上。要求能够抗9级大风，防400mm雪压。 </w:t>
      </w:r>
    </w:p>
    <w:p w14:paraId="3F44975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p>
    <w:p w14:paraId="1B49229B">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（二标段）</w:t>
      </w:r>
      <w:r>
        <w:rPr>
          <w:rFonts w:hint="eastAsia" w:ascii="宋体" w:hAnsi="宋体" w:eastAsia="宋体" w:cs="宋体"/>
          <w:b/>
          <w:bCs/>
          <w:color w:val="auto"/>
          <w:sz w:val="24"/>
          <w:szCs w:val="24"/>
          <w:highlight w:val="none"/>
        </w:rPr>
        <w:t>技术要求</w:t>
      </w:r>
    </w:p>
    <w:tbl>
      <w:tblPr>
        <w:tblStyle w:val="22"/>
        <w:tblW w:w="376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109"/>
        <w:gridCol w:w="2136"/>
        <w:gridCol w:w="1309"/>
      </w:tblGrid>
      <w:tr w14:paraId="7751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986B">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序号</w:t>
            </w: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4D72">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项目名称</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C690">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变压器型号（台）</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96E3">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数量</w:t>
            </w:r>
          </w:p>
        </w:tc>
      </w:tr>
      <w:tr w14:paraId="4115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C41A6">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rPr>
              <w:t>1</w:t>
            </w:r>
          </w:p>
        </w:tc>
        <w:tc>
          <w:tcPr>
            <w:tcW w:w="2144" w:type="pct"/>
            <w:vMerge w:val="restart"/>
            <w:tcBorders>
              <w:top w:val="single" w:color="000000" w:sz="4" w:space="0"/>
              <w:left w:val="single" w:color="000000" w:sz="4" w:space="0"/>
              <w:right w:val="single" w:color="000000" w:sz="4" w:space="0"/>
            </w:tcBorders>
            <w:shd w:val="clear" w:color="auto" w:fill="auto"/>
            <w:vAlign w:val="center"/>
          </w:tcPr>
          <w:p w14:paraId="04435953">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eastAsia="zh-CN"/>
              </w:rPr>
              <w:t>灵宝市寺河乡人民政府2025年灵宝市烟叶电烤房项目</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E6D0">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rPr>
              <w:t>400</w:t>
            </w:r>
            <w:r>
              <w:rPr>
                <w:rFonts w:hint="eastAsia" w:ascii="宋体" w:hAnsi="宋体" w:eastAsia="宋体" w:cs="宋体"/>
                <w:i w:val="0"/>
                <w:iCs w:val="0"/>
                <w:color w:val="auto"/>
                <w:kern w:val="0"/>
                <w:sz w:val="24"/>
                <w:szCs w:val="24"/>
                <w:highlight w:val="none"/>
                <w:u w:val="none"/>
                <w:lang w:val="en-US" w:eastAsia="zh-CN"/>
              </w:rPr>
              <w:t>KVA</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508D">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1台</w:t>
            </w:r>
          </w:p>
        </w:tc>
      </w:tr>
      <w:tr w14:paraId="78D9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5F2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2</w:t>
            </w:r>
          </w:p>
        </w:tc>
        <w:tc>
          <w:tcPr>
            <w:tcW w:w="2144" w:type="pct"/>
            <w:vMerge w:val="continue"/>
            <w:tcBorders>
              <w:left w:val="single" w:color="000000" w:sz="4" w:space="0"/>
              <w:right w:val="single" w:color="000000" w:sz="4" w:space="0"/>
            </w:tcBorders>
            <w:shd w:val="clear" w:color="auto" w:fill="auto"/>
            <w:noWrap/>
            <w:vAlign w:val="center"/>
          </w:tcPr>
          <w:p w14:paraId="6318DF45">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DAB4">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350KVA</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009A">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2台</w:t>
            </w:r>
          </w:p>
        </w:tc>
      </w:tr>
      <w:tr w14:paraId="497C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DC0D">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3</w:t>
            </w:r>
          </w:p>
        </w:tc>
        <w:tc>
          <w:tcPr>
            <w:tcW w:w="2144" w:type="pct"/>
            <w:vMerge w:val="continue"/>
            <w:tcBorders>
              <w:left w:val="single" w:color="000000" w:sz="4" w:space="0"/>
              <w:bottom w:val="single" w:color="000000" w:sz="4" w:space="0"/>
              <w:right w:val="single" w:color="000000" w:sz="4" w:space="0"/>
            </w:tcBorders>
            <w:shd w:val="clear" w:color="auto" w:fill="auto"/>
            <w:noWrap/>
            <w:vAlign w:val="center"/>
          </w:tcPr>
          <w:p w14:paraId="266BE2A3">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rPr>
            </w:pP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6E1F">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250KVA</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20CD">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default" w:ascii="宋体" w:hAnsi="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1台</w:t>
            </w:r>
          </w:p>
        </w:tc>
      </w:tr>
      <w:tr w14:paraId="728E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6CA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i w:val="0"/>
                <w:iCs w:val="0"/>
                <w:color w:val="auto"/>
                <w:sz w:val="24"/>
                <w:szCs w:val="24"/>
                <w:highlight w:val="none"/>
                <w:u w:val="none"/>
              </w:rPr>
            </w:pPr>
          </w:p>
        </w:tc>
        <w:tc>
          <w:tcPr>
            <w:tcW w:w="21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0D5B">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highlight w:val="none"/>
                <w:u w:val="none"/>
                <w:lang w:val="en-US" w:eastAsia="zh-CN"/>
              </w:rPr>
              <w:t>合计</w:t>
            </w:r>
          </w:p>
        </w:tc>
        <w:tc>
          <w:tcPr>
            <w:tcW w:w="1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5401">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eastAsia="宋体" w:cs="宋体"/>
                <w:i w:val="0"/>
                <w:iCs w:val="0"/>
                <w:color w:val="auto"/>
                <w:sz w:val="24"/>
                <w:szCs w:val="24"/>
                <w:highlight w:val="none"/>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28B1">
            <w:pPr>
              <w:keepNext w:val="0"/>
              <w:keepLines w:val="0"/>
              <w:pageBreakBefore w:val="0"/>
              <w:widowControl/>
              <w:suppressLineNumbers w:val="0"/>
              <w:kinsoku/>
              <w:overflowPunct/>
              <w:bidi w:val="0"/>
              <w:adjustRightInd w:val="0"/>
              <w:snapToGrid w:val="0"/>
              <w:spacing w:beforeAutospacing="0" w:afterAutospacing="0" w:line="360" w:lineRule="auto"/>
              <w:ind w:left="0" w:leftChars="0" w:right="0" w:rightChars="0"/>
              <w:jc w:val="center"/>
              <w:textAlignment w:val="center"/>
              <w:rPr>
                <w:rFonts w:hint="eastAsia" w:ascii="宋体" w:hAnsi="宋体" w:cs="宋体"/>
                <w:i w:val="0"/>
                <w:iCs w:val="0"/>
                <w:color w:val="auto"/>
                <w:kern w:val="0"/>
                <w:sz w:val="24"/>
                <w:szCs w:val="24"/>
                <w:highlight w:val="none"/>
                <w:u w:val="none"/>
                <w:lang w:val="en-US" w:eastAsia="zh-CN"/>
              </w:rPr>
            </w:pPr>
          </w:p>
        </w:tc>
      </w:tr>
    </w:tbl>
    <w:p w14:paraId="6262A4E1">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p>
    <w:p w14:paraId="5D302ED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0KVA-400KVA选用台架式安装，配电箱为不锈钢外壳</w:t>
      </w:r>
      <w:r>
        <w:rPr>
          <w:rFonts w:hint="eastAsia" w:ascii="宋体" w:hAnsi="宋体" w:cs="宋体"/>
          <w:color w:val="auto"/>
          <w:sz w:val="24"/>
          <w:szCs w:val="24"/>
          <w:highlight w:val="none"/>
          <w:lang w:val="en-US" w:eastAsia="zh-CN"/>
        </w:rPr>
        <w:t>，含配电柜；</w:t>
      </w:r>
    </w:p>
    <w:p w14:paraId="06F600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、以上具体内容以变压器设计图纸为准（详情可咨询招标人），图纸电子版见附件</w:t>
      </w:r>
      <w:r>
        <w:rPr>
          <w:rFonts w:hint="eastAsia" w:ascii="宋体" w:hAnsi="宋体" w:cs="宋体"/>
          <w:color w:val="auto"/>
          <w:kern w:val="0"/>
          <w:sz w:val="24"/>
          <w:szCs w:val="24"/>
          <w:highlight w:val="none"/>
          <w:lang w:val="en-US" w:eastAsia="zh-CN"/>
        </w:rPr>
        <w:t>。</w:t>
      </w:r>
    </w:p>
    <w:p w14:paraId="022C8A55">
      <w:pPr>
        <w:pageBreakBefore w:val="0"/>
        <w:widowControl/>
        <w:kinsoku/>
        <w:overflowPunct/>
        <w:bidi w:val="0"/>
        <w:adjustRightInd w:val="0"/>
        <w:snapToGrid w:val="0"/>
        <w:spacing w:beforeAutospacing="0" w:afterAutospacing="0" w:line="360" w:lineRule="auto"/>
        <w:ind w:left="0" w:leftChars="0" w:right="0" w:rightChars="0"/>
        <w:jc w:val="left"/>
        <w:rPr>
          <w:rFonts w:ascii="宋体" w:hAnsi="宋体"/>
          <w:color w:val="auto"/>
          <w:sz w:val="32"/>
          <w:szCs w:val="32"/>
          <w:highlight w:val="none"/>
        </w:rPr>
      </w:pPr>
      <w:r>
        <w:rPr>
          <w:rFonts w:ascii="宋体" w:hAnsi="宋体"/>
          <w:color w:val="auto"/>
          <w:highlight w:val="none"/>
        </w:rPr>
        <w:br w:type="page"/>
      </w:r>
      <w:bookmarkEnd w:id="154"/>
      <w:bookmarkEnd w:id="155"/>
      <w:bookmarkEnd w:id="156"/>
      <w:bookmarkEnd w:id="157"/>
      <w:bookmarkStart w:id="158" w:name="_Toc8825"/>
      <w:bookmarkStart w:id="159" w:name="_Toc331090472"/>
      <w:bookmarkStart w:id="160" w:name="_Toc289931347"/>
      <w:bookmarkStart w:id="161" w:name="_Toc289931411"/>
      <w:bookmarkStart w:id="162" w:name="_Toc757"/>
      <w:bookmarkStart w:id="163" w:name="_Toc289931294"/>
      <w:bookmarkStart w:id="164" w:name="_Toc374376373"/>
      <w:bookmarkStart w:id="165" w:name="_Toc333230139"/>
      <w:bookmarkStart w:id="166" w:name="_Toc331793699"/>
    </w:p>
    <w:p w14:paraId="5C1250E2">
      <w:pPr>
        <w:pStyle w:val="2"/>
        <w:pageBreakBefore w:val="0"/>
        <w:kinsoku/>
        <w:overflowPunct/>
        <w:bidi w:val="0"/>
        <w:adjustRightInd w:val="0"/>
        <w:snapToGrid w:val="0"/>
        <w:spacing w:beforeAutospacing="0" w:afterAutospacing="0" w:line="360" w:lineRule="auto"/>
        <w:ind w:left="0" w:leftChars="0" w:right="0" w:rightChars="0"/>
        <w:rPr>
          <w:rFonts w:ascii="宋体" w:hAnsi="宋体" w:eastAsia="宋体"/>
          <w:color w:val="auto"/>
          <w:sz w:val="32"/>
          <w:szCs w:val="32"/>
          <w:highlight w:val="none"/>
        </w:rPr>
      </w:pPr>
      <w:bookmarkStart w:id="167" w:name="_Toc16596"/>
      <w:r>
        <w:rPr>
          <w:rFonts w:ascii="宋体" w:hAnsi="宋体" w:eastAsia="宋体"/>
          <w:color w:val="auto"/>
          <w:sz w:val="32"/>
          <w:szCs w:val="32"/>
          <w:highlight w:val="none"/>
        </w:rPr>
        <w:t>第</w:t>
      </w:r>
      <w:r>
        <w:rPr>
          <w:rFonts w:hint="eastAsia" w:ascii="宋体" w:hAnsi="宋体" w:eastAsia="宋体"/>
          <w:color w:val="auto"/>
          <w:sz w:val="32"/>
          <w:szCs w:val="32"/>
          <w:highlight w:val="none"/>
        </w:rPr>
        <w:t>六</w:t>
      </w:r>
      <w:r>
        <w:rPr>
          <w:rFonts w:ascii="宋体" w:hAnsi="宋体" w:eastAsia="宋体"/>
          <w:color w:val="auto"/>
          <w:sz w:val="32"/>
          <w:szCs w:val="32"/>
          <w:highlight w:val="none"/>
        </w:rPr>
        <w:t xml:space="preserve">章 </w:t>
      </w:r>
      <w:r>
        <w:rPr>
          <w:rFonts w:hint="eastAsia" w:ascii="宋体" w:hAnsi="宋体" w:eastAsia="宋体"/>
          <w:color w:val="auto"/>
          <w:sz w:val="32"/>
          <w:szCs w:val="32"/>
          <w:highlight w:val="none"/>
        </w:rPr>
        <w:t xml:space="preserve"> </w:t>
      </w:r>
      <w:r>
        <w:rPr>
          <w:rFonts w:ascii="宋体" w:hAnsi="宋体" w:eastAsia="宋体"/>
          <w:color w:val="auto"/>
          <w:sz w:val="32"/>
          <w:szCs w:val="32"/>
          <w:highlight w:val="none"/>
        </w:rPr>
        <w:t>投标</w:t>
      </w:r>
      <w:r>
        <w:rPr>
          <w:rFonts w:hint="eastAsia" w:ascii="宋体" w:hAnsi="宋体" w:eastAsia="宋体"/>
          <w:color w:val="auto"/>
          <w:sz w:val="32"/>
          <w:szCs w:val="32"/>
          <w:highlight w:val="none"/>
        </w:rPr>
        <w:t>文件</w:t>
      </w:r>
      <w:r>
        <w:rPr>
          <w:rFonts w:ascii="宋体" w:hAnsi="宋体" w:eastAsia="宋体"/>
          <w:color w:val="auto"/>
          <w:sz w:val="32"/>
          <w:szCs w:val="32"/>
          <w:highlight w:val="none"/>
        </w:rPr>
        <w:t>格式</w:t>
      </w:r>
      <w:bookmarkEnd w:id="158"/>
      <w:bookmarkEnd w:id="159"/>
      <w:bookmarkEnd w:id="160"/>
      <w:bookmarkEnd w:id="161"/>
      <w:bookmarkEnd w:id="162"/>
      <w:bookmarkEnd w:id="163"/>
      <w:bookmarkEnd w:id="167"/>
    </w:p>
    <w:bookmarkEnd w:id="164"/>
    <w:bookmarkEnd w:id="165"/>
    <w:bookmarkEnd w:id="166"/>
    <w:p w14:paraId="7134DB71">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b/>
          <w:color w:val="auto"/>
          <w:sz w:val="44"/>
          <w:szCs w:val="44"/>
          <w:highlight w:val="none"/>
        </w:rPr>
      </w:pPr>
    </w:p>
    <w:p w14:paraId="3BA6929F">
      <w:pPr>
        <w:pageBreakBefore w:val="0"/>
        <w:kinsoku/>
        <w:overflowPunct/>
        <w:bidi w:val="0"/>
        <w:adjustRightInd w:val="0"/>
        <w:snapToGrid w:val="0"/>
        <w:spacing w:beforeAutospacing="0" w:afterAutospacing="0" w:line="360" w:lineRule="auto"/>
        <w:ind w:left="0" w:leftChars="0" w:right="0" w:rightChars="0"/>
        <w:jc w:val="center"/>
        <w:rPr>
          <w:rFonts w:ascii="宋体" w:hAnsi="宋体"/>
          <w:b/>
          <w:color w:val="auto"/>
          <w:sz w:val="44"/>
          <w:szCs w:val="44"/>
          <w:highlight w:val="none"/>
        </w:rPr>
      </w:pPr>
      <w:r>
        <w:rPr>
          <w:rFonts w:hint="eastAsia" w:ascii="宋体" w:hAnsi="宋体"/>
          <w:b/>
          <w:color w:val="auto"/>
          <w:sz w:val="44"/>
          <w:szCs w:val="44"/>
          <w:highlight w:val="none"/>
          <w:lang w:eastAsia="zh-CN"/>
        </w:rPr>
        <w:t>灵宝市寺河乡人民政府2025年灵宝市烟叶电烤房项目</w:t>
      </w:r>
      <w:r>
        <w:rPr>
          <w:rFonts w:hint="eastAsia" w:ascii="宋体" w:hAnsi="宋体"/>
          <w:b/>
          <w:color w:val="auto"/>
          <w:sz w:val="44"/>
          <w:szCs w:val="44"/>
          <w:highlight w:val="none"/>
          <w:u w:val="single"/>
        </w:rPr>
        <w:t xml:space="preserve">   </w:t>
      </w:r>
      <w:r>
        <w:rPr>
          <w:rFonts w:hint="eastAsia" w:ascii="宋体" w:hAnsi="宋体"/>
          <w:b/>
          <w:color w:val="auto"/>
          <w:sz w:val="44"/>
          <w:szCs w:val="44"/>
          <w:highlight w:val="none"/>
        </w:rPr>
        <w:t>标段</w:t>
      </w:r>
    </w:p>
    <w:p w14:paraId="068A816A">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p w14:paraId="4DDC7D52">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p w14:paraId="57AFC829">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p w14:paraId="20B8D272">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p w14:paraId="53E41544">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color w:val="auto"/>
          <w:spacing w:val="251"/>
          <w:sz w:val="84"/>
          <w:szCs w:val="84"/>
          <w:highlight w:val="none"/>
        </w:rPr>
      </w:pPr>
    </w:p>
    <w:p w14:paraId="6C2ABBB1">
      <w:pPr>
        <w:pageBreakBefore w:val="0"/>
        <w:kinsoku/>
        <w:overflowPunct/>
        <w:bidi w:val="0"/>
        <w:adjustRightInd w:val="0"/>
        <w:snapToGrid w:val="0"/>
        <w:spacing w:beforeAutospacing="0" w:afterAutospacing="0" w:line="360" w:lineRule="auto"/>
        <w:ind w:left="0" w:leftChars="0" w:right="0" w:rightChars="0"/>
        <w:jc w:val="center"/>
        <w:rPr>
          <w:rFonts w:ascii="宋体" w:hAnsi="宋体" w:cs="黑体"/>
          <w:b/>
          <w:color w:val="auto"/>
          <w:sz w:val="84"/>
          <w:szCs w:val="84"/>
          <w:highlight w:val="none"/>
        </w:rPr>
      </w:pPr>
      <w:r>
        <w:rPr>
          <w:rFonts w:hint="eastAsia" w:ascii="宋体" w:hAnsi="宋体" w:cs="宋体"/>
          <w:b/>
          <w:color w:val="auto"/>
          <w:spacing w:val="251"/>
          <w:sz w:val="84"/>
          <w:szCs w:val="84"/>
          <w:highlight w:val="none"/>
        </w:rPr>
        <w:t>投标文</w:t>
      </w:r>
      <w:r>
        <w:rPr>
          <w:rFonts w:hint="eastAsia" w:ascii="宋体" w:hAnsi="宋体" w:cs="宋体"/>
          <w:b/>
          <w:color w:val="auto"/>
          <w:spacing w:val="-1"/>
          <w:sz w:val="84"/>
          <w:szCs w:val="84"/>
          <w:highlight w:val="none"/>
        </w:rPr>
        <w:t>件</w:t>
      </w:r>
    </w:p>
    <w:p w14:paraId="53A18AE7">
      <w:pPr>
        <w:pageBreakBefore w:val="0"/>
        <w:kinsoku/>
        <w:overflowPunct/>
        <w:bidi w:val="0"/>
        <w:adjustRightInd w:val="0"/>
        <w:snapToGrid w:val="0"/>
        <w:spacing w:beforeAutospacing="0" w:afterAutospacing="0" w:line="360" w:lineRule="auto"/>
        <w:ind w:left="0" w:leftChars="0" w:right="0" w:rightChars="0"/>
        <w:jc w:val="center"/>
        <w:rPr>
          <w:rFonts w:ascii="宋体" w:hAnsi="宋体" w:cs="黑体"/>
          <w:b/>
          <w:color w:val="auto"/>
          <w:sz w:val="32"/>
          <w:szCs w:val="32"/>
          <w:highlight w:val="none"/>
        </w:rPr>
      </w:pPr>
      <w:r>
        <w:rPr>
          <w:rFonts w:hint="eastAsia" w:ascii="宋体" w:hAnsi="宋体" w:cs="黑体"/>
          <w:b/>
          <w:color w:val="auto"/>
          <w:sz w:val="32"/>
          <w:szCs w:val="32"/>
          <w:highlight w:val="none"/>
        </w:rPr>
        <w:t>（项目编号：</w:t>
      </w:r>
      <w:r>
        <w:rPr>
          <w:rFonts w:hint="eastAsia" w:ascii="宋体" w:hAnsi="宋体" w:cs="黑体"/>
          <w:b/>
          <w:color w:val="auto"/>
          <w:sz w:val="32"/>
          <w:szCs w:val="32"/>
          <w:highlight w:val="none"/>
          <w:lang w:val="en-US" w:eastAsia="zh-CN"/>
        </w:rPr>
        <w:t xml:space="preserve">    </w:t>
      </w:r>
      <w:r>
        <w:rPr>
          <w:rFonts w:hint="eastAsia" w:ascii="宋体" w:hAnsi="宋体" w:cs="黑体"/>
          <w:b/>
          <w:color w:val="auto"/>
          <w:sz w:val="32"/>
          <w:szCs w:val="32"/>
          <w:highlight w:val="none"/>
        </w:rPr>
        <w:t>）</w:t>
      </w:r>
    </w:p>
    <w:p w14:paraId="163A7C3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p>
    <w:p w14:paraId="32ABCBE7">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589BE46E">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44F6144F">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25868075">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0F85452D">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4"/>
          <w:highlight w:val="none"/>
        </w:rPr>
      </w:pPr>
    </w:p>
    <w:p w14:paraId="52C7B162">
      <w:pPr>
        <w:pageBreakBefore w:val="0"/>
        <w:kinsoku/>
        <w:overflowPunct/>
        <w:bidi w:val="0"/>
        <w:adjustRightInd w:val="0"/>
        <w:snapToGrid w:val="0"/>
        <w:spacing w:beforeAutospacing="0" w:afterAutospacing="0" w:line="360" w:lineRule="auto"/>
        <w:ind w:left="0" w:leftChars="0" w:right="0" w:rightChars="0" w:firstLine="1400" w:firstLineChars="500"/>
        <w:rPr>
          <w:rFonts w:ascii="宋体" w:hAnsi="宋体"/>
          <w:color w:val="auto"/>
          <w:sz w:val="28"/>
          <w:szCs w:val="20"/>
          <w:highlight w:val="none"/>
        </w:rPr>
      </w:pPr>
      <w:r>
        <w:rPr>
          <w:rFonts w:hint="eastAsia" w:ascii="宋体" w:hAnsi="宋体"/>
          <w:color w:val="auto"/>
          <w:sz w:val="28"/>
          <w:szCs w:val="20"/>
          <w:highlight w:val="none"/>
        </w:rPr>
        <w:t>投  标  人：</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14:paraId="17502C7D">
      <w:pPr>
        <w:pageBreakBefore w:val="0"/>
        <w:kinsoku/>
        <w:overflowPunct/>
        <w:bidi w:val="0"/>
        <w:adjustRightInd w:val="0"/>
        <w:snapToGrid w:val="0"/>
        <w:spacing w:beforeAutospacing="0" w:afterAutospacing="0" w:line="360" w:lineRule="auto"/>
        <w:ind w:left="0" w:leftChars="0" w:right="0" w:rightChars="0" w:firstLine="1400" w:firstLineChars="500"/>
        <w:jc w:val="left"/>
        <w:rPr>
          <w:rFonts w:ascii="宋体" w:hAnsi="宋体"/>
          <w:color w:val="auto"/>
          <w:sz w:val="28"/>
          <w:szCs w:val="20"/>
          <w:highlight w:val="none"/>
        </w:rPr>
      </w:pPr>
      <w:r>
        <w:rPr>
          <w:rFonts w:hint="eastAsia" w:ascii="宋体" w:hAnsi="宋体"/>
          <w:color w:val="auto"/>
          <w:sz w:val="28"/>
          <w:szCs w:val="20"/>
          <w:highlight w:val="none"/>
        </w:rPr>
        <w:t>法定代表人：</w:t>
      </w:r>
      <w:r>
        <w:rPr>
          <w:rFonts w:hint="eastAsia" w:ascii="宋体" w:hAnsi="宋体" w:cs="宋体"/>
          <w:color w:val="auto"/>
          <w:sz w:val="28"/>
          <w:szCs w:val="20"/>
          <w:highlight w:val="none"/>
          <w:u w:val="single"/>
        </w:rPr>
        <w:t xml:space="preserve">                     </w:t>
      </w:r>
      <w:r>
        <w:rPr>
          <w:rFonts w:hint="eastAsia" w:ascii="宋体" w:hAnsi="宋体"/>
          <w:color w:val="auto"/>
          <w:sz w:val="28"/>
          <w:szCs w:val="20"/>
          <w:highlight w:val="none"/>
        </w:rPr>
        <w:t>（电子签章）</w:t>
      </w:r>
    </w:p>
    <w:p w14:paraId="5C4FAAF1">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8"/>
          <w:szCs w:val="20"/>
          <w:highlight w:val="none"/>
        </w:rPr>
      </w:pP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年</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月</w:t>
      </w:r>
      <w:r>
        <w:rPr>
          <w:rFonts w:hint="eastAsia" w:ascii="宋体" w:hAnsi="宋体"/>
          <w:color w:val="auto"/>
          <w:sz w:val="28"/>
          <w:szCs w:val="20"/>
          <w:highlight w:val="none"/>
          <w:u w:val="single"/>
        </w:rPr>
        <w:t xml:space="preserve">    </w:t>
      </w:r>
      <w:r>
        <w:rPr>
          <w:rFonts w:hint="eastAsia" w:ascii="宋体" w:hAnsi="宋体"/>
          <w:color w:val="auto"/>
          <w:sz w:val="28"/>
          <w:szCs w:val="20"/>
          <w:highlight w:val="none"/>
        </w:rPr>
        <w:t>日</w:t>
      </w:r>
    </w:p>
    <w:p w14:paraId="47BECE9E">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32"/>
          <w:szCs w:val="32"/>
          <w:highlight w:val="none"/>
        </w:rPr>
      </w:pPr>
      <w:r>
        <w:rPr>
          <w:rFonts w:ascii="宋体" w:hAnsi="宋体"/>
          <w:b/>
          <w:color w:val="auto"/>
          <w:sz w:val="32"/>
          <w:szCs w:val="32"/>
          <w:highlight w:val="none"/>
        </w:rPr>
        <w:br w:type="page"/>
      </w:r>
      <w:r>
        <w:rPr>
          <w:rFonts w:hint="eastAsia" w:ascii="宋体" w:hAnsi="宋体" w:cs="黑体"/>
          <w:b/>
          <w:bCs/>
          <w:color w:val="auto"/>
          <w:sz w:val="32"/>
          <w:szCs w:val="32"/>
          <w:highlight w:val="none"/>
        </w:rPr>
        <w:t>目   录</w:t>
      </w:r>
    </w:p>
    <w:p w14:paraId="6C13DD28">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投标文件中包含但不限以下内容</w:t>
      </w:r>
    </w:p>
    <w:p w14:paraId="46707576">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rPr>
        <w:t>一、投标函及投标函附录；</w:t>
      </w:r>
    </w:p>
    <w:p w14:paraId="1619D0F2">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rPr>
        <w:t>二、法定代表人身份证明或（和）法定代表人授权委托书</w:t>
      </w:r>
    </w:p>
    <w:p w14:paraId="7A90940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lang w:eastAsia="zh-CN"/>
        </w:rPr>
        <w:t>三</w:t>
      </w:r>
      <w:r>
        <w:rPr>
          <w:rFonts w:hint="eastAsia" w:ascii="宋体" w:hAnsi="宋体"/>
          <w:color w:val="auto"/>
          <w:sz w:val="24"/>
          <w:szCs w:val="20"/>
          <w:highlight w:val="none"/>
        </w:rPr>
        <w:t>、投标报价明细表；</w:t>
      </w:r>
    </w:p>
    <w:p w14:paraId="0B41B7B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四</w:t>
      </w:r>
      <w:r>
        <w:rPr>
          <w:rFonts w:hint="eastAsia" w:ascii="宋体" w:hAnsi="宋体"/>
          <w:color w:val="auto"/>
          <w:sz w:val="24"/>
          <w:szCs w:val="20"/>
          <w:highlight w:val="none"/>
        </w:rPr>
        <w:t>、技术偏离表；</w:t>
      </w:r>
    </w:p>
    <w:p w14:paraId="496A6EF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五</w:t>
      </w:r>
      <w:r>
        <w:rPr>
          <w:rFonts w:hint="eastAsia" w:ascii="宋体" w:hAnsi="宋体"/>
          <w:color w:val="auto"/>
          <w:sz w:val="24"/>
          <w:szCs w:val="20"/>
          <w:highlight w:val="none"/>
        </w:rPr>
        <w:t>、资格审查资料；</w:t>
      </w:r>
    </w:p>
    <w:p w14:paraId="596F0DD7">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六</w:t>
      </w:r>
      <w:r>
        <w:rPr>
          <w:rFonts w:hint="eastAsia" w:ascii="宋体" w:hAnsi="宋体"/>
          <w:color w:val="auto"/>
          <w:sz w:val="24"/>
          <w:szCs w:val="20"/>
          <w:highlight w:val="none"/>
        </w:rPr>
        <w:t>、投标人综合实力证明；</w:t>
      </w:r>
    </w:p>
    <w:p w14:paraId="2CEC2BC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lang w:eastAsia="zh-CN"/>
        </w:rPr>
        <w:t>七</w:t>
      </w:r>
      <w:r>
        <w:rPr>
          <w:rFonts w:hint="eastAsia" w:ascii="宋体" w:hAnsi="宋体"/>
          <w:color w:val="auto"/>
          <w:sz w:val="24"/>
          <w:szCs w:val="20"/>
          <w:highlight w:val="none"/>
        </w:rPr>
        <w:t>、投标主要产品技术资料；</w:t>
      </w:r>
    </w:p>
    <w:p w14:paraId="0E70B46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olor w:val="auto"/>
          <w:sz w:val="24"/>
          <w:szCs w:val="20"/>
          <w:highlight w:val="none"/>
          <w:lang w:eastAsia="zh-CN"/>
        </w:rPr>
        <w:t>八</w:t>
      </w:r>
      <w:r>
        <w:rPr>
          <w:rFonts w:hint="eastAsia" w:ascii="宋体" w:hAnsi="宋体"/>
          <w:color w:val="auto"/>
          <w:sz w:val="24"/>
          <w:szCs w:val="20"/>
          <w:highlight w:val="none"/>
        </w:rPr>
        <w:t>、服务承诺；</w:t>
      </w:r>
    </w:p>
    <w:p w14:paraId="0CE97A4B">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olor w:val="auto"/>
          <w:sz w:val="24"/>
          <w:szCs w:val="20"/>
          <w:highlight w:val="none"/>
          <w:lang w:eastAsia="zh-CN"/>
        </w:rPr>
        <w:t>九</w:t>
      </w:r>
      <w:r>
        <w:rPr>
          <w:rFonts w:hint="eastAsia" w:ascii="宋体" w:hAnsi="宋体"/>
          <w:color w:val="auto"/>
          <w:sz w:val="24"/>
          <w:szCs w:val="20"/>
          <w:highlight w:val="none"/>
        </w:rPr>
        <w:t>、其他资料。</w:t>
      </w:r>
    </w:p>
    <w:p w14:paraId="7E5E472C">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ascii="宋体" w:hAnsi="宋体"/>
          <w:b/>
          <w:bCs/>
          <w:color w:val="auto"/>
          <w:sz w:val="32"/>
          <w:szCs w:val="32"/>
          <w:highlight w:val="none"/>
        </w:rPr>
      </w:pPr>
      <w:r>
        <w:rPr>
          <w:rFonts w:ascii="宋体" w:hAnsi="宋体"/>
          <w:b/>
          <w:bCs/>
          <w:color w:val="auto"/>
          <w:sz w:val="32"/>
          <w:szCs w:val="32"/>
          <w:highlight w:val="none"/>
        </w:rPr>
        <w:br w:type="page"/>
      </w:r>
      <w:bookmarkStart w:id="168" w:name="_Toc10095"/>
      <w:bookmarkStart w:id="169" w:name="_Toc9478"/>
      <w:r>
        <w:rPr>
          <w:rFonts w:hint="eastAsia" w:ascii="宋体" w:hAnsi="宋体"/>
          <w:b/>
          <w:bCs/>
          <w:color w:val="auto"/>
          <w:sz w:val="30"/>
          <w:szCs w:val="30"/>
          <w:highlight w:val="none"/>
        </w:rPr>
        <w:t>一、投标函及投标函附录</w:t>
      </w:r>
      <w:bookmarkEnd w:id="168"/>
      <w:bookmarkEnd w:id="169"/>
    </w:p>
    <w:p w14:paraId="43948AC4">
      <w:pPr>
        <w:pStyle w:val="4"/>
        <w:pageBreakBefore w:val="0"/>
        <w:kinsoku/>
        <w:overflowPunct/>
        <w:bidi w:val="0"/>
        <w:adjustRightInd w:val="0"/>
        <w:snapToGrid w:val="0"/>
        <w:spacing w:before="0" w:beforeAutospacing="0" w:after="0" w:afterAutospacing="0" w:line="360" w:lineRule="auto"/>
        <w:ind w:left="0" w:leftChars="0" w:right="0" w:rightChars="0"/>
        <w:jc w:val="center"/>
        <w:rPr>
          <w:color w:val="auto"/>
          <w:highlight w:val="none"/>
        </w:rPr>
      </w:pPr>
      <w:bookmarkStart w:id="170" w:name="_Toc20800"/>
      <w:bookmarkStart w:id="171" w:name="_Toc44448181"/>
      <w:r>
        <w:rPr>
          <w:rFonts w:hint="eastAsia"/>
          <w:color w:val="auto"/>
          <w:highlight w:val="none"/>
        </w:rPr>
        <w:t>（一）投 标 函</w:t>
      </w:r>
      <w:bookmarkEnd w:id="170"/>
      <w:bookmarkEnd w:id="171"/>
    </w:p>
    <w:p w14:paraId="39BAD865">
      <w:pPr>
        <w:pageBreakBefore w:val="0"/>
        <w:kinsoku/>
        <w:overflowPunct/>
        <w:bidi w:val="0"/>
        <w:adjustRightInd w:val="0"/>
        <w:snapToGrid w:val="0"/>
        <w:spacing w:beforeAutospacing="0" w:afterAutospacing="0" w:line="360" w:lineRule="auto"/>
        <w:ind w:left="0" w:leftChars="0" w:right="0" w:right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lang w:eastAsia="zh-CN"/>
        </w:rPr>
        <w:t>灵宝市寺河乡人民政府</w:t>
      </w:r>
      <w:r>
        <w:rPr>
          <w:rFonts w:hint="eastAsia" w:ascii="宋体" w:hAnsi="宋体"/>
          <w:color w:val="auto"/>
          <w:sz w:val="24"/>
          <w:highlight w:val="none"/>
        </w:rPr>
        <w:t>：</w:t>
      </w:r>
    </w:p>
    <w:p w14:paraId="54649975">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我方收到了</w:t>
      </w:r>
      <w:r>
        <w:rPr>
          <w:rFonts w:hint="eastAsia" w:ascii="宋体" w:hAnsi="宋体" w:cs="宋体"/>
          <w:b/>
          <w:bCs/>
          <w:color w:val="auto"/>
          <w:sz w:val="24"/>
          <w:szCs w:val="20"/>
          <w:highlight w:val="none"/>
          <w:u w:val="single"/>
        </w:rPr>
        <w:t>（项目名称）+（标段）</w:t>
      </w:r>
      <w:r>
        <w:rPr>
          <w:rFonts w:hint="eastAsia" w:ascii="宋体" w:hAnsi="宋体" w:cs="宋体"/>
          <w:color w:val="auto"/>
          <w:sz w:val="24"/>
          <w:szCs w:val="20"/>
          <w:highlight w:val="none"/>
        </w:rPr>
        <w:t>的招标文件，经详细研究决定参加该项目投标活动，郑重声明以下诸点并负法律责任：</w:t>
      </w:r>
    </w:p>
    <w:p w14:paraId="3BDE254D">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(1)我方愿意以人民币（大写）：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；（小写）¥</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的投标总报价完成本项目</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标段相关的所有工作，并严格按照合同约定，供货、安装交付本项目全部内容，并维修其中的任何缺陷。</w:t>
      </w:r>
    </w:p>
    <w:p w14:paraId="6717BD3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szCs w:val="20"/>
          <w:highlight w:val="none"/>
        </w:rPr>
        <w:t xml:space="preserve">(2)如果我方中标，我方保证交货期： </w:t>
      </w:r>
      <w:r>
        <w:rPr>
          <w:rFonts w:hint="eastAsia" w:ascii="宋体" w:hAnsi="宋体" w:cs="宋体"/>
          <w:color w:val="auto"/>
          <w:kern w:val="0"/>
          <w:sz w:val="24"/>
          <w:szCs w:val="24"/>
          <w:highlight w:val="none"/>
          <w:u w:val="single"/>
        </w:rPr>
        <w:t xml:space="preserve">     </w:t>
      </w:r>
      <w:r>
        <w:rPr>
          <w:rFonts w:hint="eastAsia" w:ascii="宋体" w:hAnsi="宋体" w:cs="宋体"/>
          <w:color w:val="auto"/>
          <w:sz w:val="24"/>
          <w:szCs w:val="20"/>
          <w:highlight w:val="none"/>
        </w:rPr>
        <w:t>，质量达到：</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，质保期：</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。我方同意按招标文件中的规定，本投标文件的有效期自投标文件递交截止之日起</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日历天。</w:t>
      </w:r>
    </w:p>
    <w:p w14:paraId="4671AE9A">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0"/>
          <w:highlight w:val="none"/>
        </w:rPr>
      </w:pPr>
      <w:r>
        <w:rPr>
          <w:rFonts w:hint="eastAsia" w:ascii="宋体" w:hAnsi="宋体" w:cs="宋体"/>
          <w:color w:val="auto"/>
          <w:sz w:val="24"/>
          <w:szCs w:val="20"/>
          <w:highlight w:val="none"/>
        </w:rPr>
        <w:t>(3)</w:t>
      </w:r>
      <w:r>
        <w:rPr>
          <w:rFonts w:hint="eastAsia" w:ascii="宋体" w:hAnsi="宋体"/>
          <w:color w:val="auto"/>
          <w:sz w:val="24"/>
          <w:szCs w:val="20"/>
          <w:highlight w:val="none"/>
        </w:rPr>
        <w:t>我方愿提供招标文件中要求的所有文件资料。</w:t>
      </w:r>
    </w:p>
    <w:p w14:paraId="02614578">
      <w:pPr>
        <w:pageBreakBefore w:val="0"/>
        <w:kinsoku/>
        <w:overflowPunct/>
        <w:bidi w:val="0"/>
        <w:adjustRightInd w:val="0"/>
        <w:snapToGrid w:val="0"/>
        <w:spacing w:beforeAutospacing="0" w:afterAutospacing="0" w:line="360" w:lineRule="auto"/>
        <w:ind w:left="0" w:leftChars="0" w:right="0" w:rightChars="0" w:firstLine="477" w:firstLineChars="199"/>
        <w:rPr>
          <w:rFonts w:ascii="宋体" w:hAnsi="宋体"/>
          <w:color w:val="auto"/>
          <w:sz w:val="24"/>
          <w:szCs w:val="20"/>
          <w:highlight w:val="none"/>
        </w:rPr>
      </w:pPr>
      <w:r>
        <w:rPr>
          <w:rFonts w:hint="eastAsia" w:ascii="宋体" w:hAnsi="宋体" w:cs="宋体"/>
          <w:color w:val="auto"/>
          <w:sz w:val="24"/>
          <w:szCs w:val="20"/>
          <w:highlight w:val="none"/>
        </w:rPr>
        <w:t>(4)</w:t>
      </w:r>
      <w:r>
        <w:rPr>
          <w:rFonts w:hint="eastAsia" w:ascii="宋体" w:hAnsi="宋体"/>
          <w:color w:val="auto"/>
          <w:sz w:val="24"/>
          <w:szCs w:val="20"/>
          <w:highlight w:val="none"/>
        </w:rPr>
        <w:t>我方已经详细审核了全部招标文件，包括修改、补充的文件（如果有），我方完全理解并同意放弃对这方面有不明及误解的权利。</w:t>
      </w:r>
    </w:p>
    <w:p w14:paraId="6D6789FB">
      <w:pPr>
        <w:pageBreakBefore w:val="0"/>
        <w:kinsoku/>
        <w:overflowPunct/>
        <w:bidi w:val="0"/>
        <w:adjustRightInd w:val="0"/>
        <w:snapToGrid w:val="0"/>
        <w:spacing w:beforeAutospacing="0" w:afterAutospacing="0"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(5)</w:t>
      </w:r>
      <w:r>
        <w:rPr>
          <w:rFonts w:hint="eastAsia" w:ascii="宋体" w:hAnsi="宋体"/>
          <w:color w:val="auto"/>
          <w:sz w:val="24"/>
          <w:szCs w:val="20"/>
          <w:highlight w:val="none"/>
        </w:rPr>
        <w:t>我们愿按《中华人民共和国民法典》履行自己的全部责任。</w:t>
      </w:r>
    </w:p>
    <w:p w14:paraId="28F48FD9">
      <w:pPr>
        <w:pageBreakBefore w:val="0"/>
        <w:kinsoku/>
        <w:overflowPunct/>
        <w:bidi w:val="0"/>
        <w:adjustRightInd w:val="0"/>
        <w:snapToGrid w:val="0"/>
        <w:spacing w:beforeAutospacing="0" w:afterAutospacing="0"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(6)</w:t>
      </w:r>
      <w:r>
        <w:rPr>
          <w:rFonts w:hint="eastAsia" w:ascii="宋体" w:hAnsi="宋体"/>
          <w:color w:val="auto"/>
          <w:sz w:val="24"/>
          <w:szCs w:val="20"/>
          <w:highlight w:val="none"/>
        </w:rPr>
        <w:t>如果我单位中标，我单位保证按照招标文件（含补充文件）的规定，向招标代理机构缴纳招标代理机构服务费。</w:t>
      </w:r>
    </w:p>
    <w:p w14:paraId="668E52F4">
      <w:pPr>
        <w:pageBreakBefore w:val="0"/>
        <w:kinsoku/>
        <w:overflowPunct/>
        <w:bidi w:val="0"/>
        <w:adjustRightInd w:val="0"/>
        <w:snapToGrid w:val="0"/>
        <w:spacing w:beforeAutospacing="0" w:afterAutospacing="0" w:line="360" w:lineRule="auto"/>
        <w:ind w:left="0" w:leftChars="0" w:right="0" w:rightChars="0" w:firstLine="480"/>
        <w:rPr>
          <w:rFonts w:ascii="宋体" w:hAnsi="宋体"/>
          <w:color w:val="auto"/>
          <w:sz w:val="24"/>
          <w:szCs w:val="20"/>
          <w:highlight w:val="none"/>
        </w:rPr>
      </w:pPr>
      <w:r>
        <w:rPr>
          <w:rFonts w:hint="eastAsia" w:ascii="宋体" w:hAnsi="宋体" w:cs="宋体"/>
          <w:color w:val="auto"/>
          <w:sz w:val="24"/>
          <w:szCs w:val="20"/>
          <w:highlight w:val="none"/>
        </w:rPr>
        <w:t>(7)</w:t>
      </w:r>
      <w:r>
        <w:rPr>
          <w:rFonts w:hint="eastAsia" w:ascii="宋体" w:hAnsi="宋体"/>
          <w:color w:val="auto"/>
          <w:sz w:val="24"/>
          <w:szCs w:val="20"/>
          <w:highlight w:val="none"/>
        </w:rPr>
        <w:t>我方在此声明，所递交的投标文件及有关资料内容完整、真实和准确。</w:t>
      </w:r>
    </w:p>
    <w:p w14:paraId="644C0F9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0"/>
          <w:highlight w:val="none"/>
        </w:rPr>
      </w:pPr>
      <w:r>
        <w:rPr>
          <w:rFonts w:hint="eastAsia" w:ascii="宋体" w:hAnsi="宋体" w:cs="宋体"/>
          <w:color w:val="auto"/>
          <w:sz w:val="24"/>
          <w:szCs w:val="20"/>
          <w:highlight w:val="none"/>
        </w:rPr>
        <w:t>(8)</w:t>
      </w:r>
      <w:r>
        <w:rPr>
          <w:rFonts w:hint="eastAsia" w:ascii="宋体" w:hAnsi="宋体"/>
          <w:color w:val="auto"/>
          <w:sz w:val="24"/>
          <w:szCs w:val="20"/>
          <w:highlight w:val="none"/>
        </w:rPr>
        <w:t>与本投标有关的正式通讯地址：</w:t>
      </w:r>
    </w:p>
    <w:p w14:paraId="0C8C2DA6">
      <w:pPr>
        <w:pageBreakBefore w:val="0"/>
        <w:kinsoku/>
        <w:overflowPunct/>
        <w:bidi w:val="0"/>
        <w:adjustRightInd w:val="0"/>
        <w:snapToGrid w:val="0"/>
        <w:spacing w:beforeAutospacing="0" w:afterAutospacing="0" w:line="360" w:lineRule="auto"/>
        <w:ind w:left="0" w:leftChars="0" w:right="0" w:rightChars="0" w:firstLine="360" w:firstLineChars="150"/>
        <w:rPr>
          <w:rFonts w:ascii="宋体" w:hAnsi="宋体" w:cs="宋体"/>
          <w:color w:val="auto"/>
          <w:sz w:val="24"/>
          <w:szCs w:val="20"/>
          <w:highlight w:val="none"/>
        </w:rPr>
      </w:pPr>
      <w:r>
        <w:rPr>
          <w:rFonts w:hint="eastAsia" w:ascii="宋体" w:hAnsi="宋体" w:cs="宋体"/>
          <w:color w:val="auto"/>
          <w:sz w:val="24"/>
          <w:szCs w:val="20"/>
          <w:highlight w:val="none"/>
        </w:rPr>
        <w:t xml:space="preserve">（9）本项目的联系人 </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，联系电话：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 xml:space="preserve">。   </w:t>
      </w:r>
    </w:p>
    <w:p w14:paraId="7FD30854">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0"/>
          <w:highlight w:val="none"/>
          <w:u w:val="single"/>
        </w:rPr>
      </w:pPr>
      <w:r>
        <w:rPr>
          <w:rFonts w:hint="eastAsia" w:ascii="宋体" w:hAnsi="宋体" w:cs="宋体"/>
          <w:color w:val="auto"/>
          <w:sz w:val="24"/>
          <w:szCs w:val="20"/>
          <w:highlight w:val="none"/>
        </w:rPr>
        <w:t>投标人（电子签章）：</w:t>
      </w:r>
      <w:r>
        <w:rPr>
          <w:rFonts w:hint="eastAsia" w:ascii="宋体" w:hAnsi="宋体" w:cs="宋体"/>
          <w:color w:val="auto"/>
          <w:sz w:val="24"/>
          <w:szCs w:val="20"/>
          <w:highlight w:val="none"/>
          <w:u w:val="single"/>
        </w:rPr>
        <w:t xml:space="preserve">                            </w:t>
      </w:r>
    </w:p>
    <w:p w14:paraId="5B15B5D4">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法定代表人（电子签章）：</w:t>
      </w:r>
      <w:r>
        <w:rPr>
          <w:rFonts w:hint="eastAsia" w:ascii="宋体" w:hAnsi="宋体" w:cs="宋体"/>
          <w:color w:val="auto"/>
          <w:sz w:val="24"/>
          <w:szCs w:val="20"/>
          <w:highlight w:val="none"/>
          <w:u w:val="single"/>
        </w:rPr>
        <w:t xml:space="preserve">                      </w:t>
      </w:r>
    </w:p>
    <w:p w14:paraId="288B19E0">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地    址：</w:t>
      </w:r>
      <w:r>
        <w:rPr>
          <w:rFonts w:hint="eastAsia" w:ascii="宋体" w:hAnsi="宋体" w:cs="宋体"/>
          <w:color w:val="auto"/>
          <w:sz w:val="24"/>
          <w:szCs w:val="20"/>
          <w:highlight w:val="none"/>
          <w:u w:val="single"/>
        </w:rPr>
        <w:t xml:space="preserve">                                    </w:t>
      </w:r>
    </w:p>
    <w:p w14:paraId="0070EC54">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u w:val="single"/>
        </w:rPr>
      </w:pPr>
      <w:r>
        <w:rPr>
          <w:rFonts w:hint="eastAsia" w:ascii="宋体" w:hAnsi="宋体" w:cs="宋体"/>
          <w:color w:val="auto"/>
          <w:sz w:val="24"/>
          <w:szCs w:val="20"/>
          <w:highlight w:val="none"/>
        </w:rPr>
        <w:t>邮    编：</w:t>
      </w:r>
      <w:r>
        <w:rPr>
          <w:rFonts w:hint="eastAsia" w:ascii="宋体" w:hAnsi="宋体" w:cs="宋体"/>
          <w:color w:val="auto"/>
          <w:sz w:val="24"/>
          <w:szCs w:val="20"/>
          <w:highlight w:val="none"/>
          <w:u w:val="single"/>
        </w:rPr>
        <w:t xml:space="preserve">                                    </w:t>
      </w:r>
    </w:p>
    <w:p w14:paraId="04B54DF6">
      <w:pPr>
        <w:pageBreakBefore w:val="0"/>
        <w:kinsoku/>
        <w:overflowPunct/>
        <w:bidi w:val="0"/>
        <w:adjustRightInd w:val="0"/>
        <w:snapToGrid w:val="0"/>
        <w:spacing w:beforeAutospacing="0" w:afterAutospacing="0" w:line="360" w:lineRule="auto"/>
        <w:ind w:left="0" w:leftChars="0" w:right="0" w:rightChars="0" w:firstLine="240" w:firstLineChars="100"/>
        <w:rPr>
          <w:rFonts w:ascii="宋体" w:hAnsi="宋体" w:cs="宋体"/>
          <w:color w:val="auto"/>
          <w:sz w:val="24"/>
          <w:szCs w:val="20"/>
          <w:highlight w:val="none"/>
        </w:rPr>
      </w:pPr>
      <w:r>
        <w:rPr>
          <w:rFonts w:hint="eastAsia" w:ascii="宋体" w:hAnsi="宋体" w:cs="宋体"/>
          <w:color w:val="auto"/>
          <w:sz w:val="24"/>
          <w:szCs w:val="20"/>
          <w:highlight w:val="none"/>
        </w:rPr>
        <w:t>电    话：</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u w:val="single"/>
          <w:lang w:val="en-US" w:eastAsia="zh-CN"/>
        </w:rPr>
        <w:t xml:space="preserve">                       </w:t>
      </w:r>
      <w:r>
        <w:rPr>
          <w:rFonts w:hint="eastAsia" w:ascii="宋体" w:hAnsi="宋体" w:cs="宋体"/>
          <w:color w:val="auto"/>
          <w:sz w:val="24"/>
          <w:szCs w:val="20"/>
          <w:highlight w:val="none"/>
          <w:u w:val="single"/>
        </w:rPr>
        <w:t xml:space="preserve">      </w:t>
      </w:r>
    </w:p>
    <w:p w14:paraId="44AEC0EC">
      <w:pPr>
        <w:pageBreakBefore w:val="0"/>
        <w:kinsoku/>
        <w:overflowPunct/>
        <w:bidi w:val="0"/>
        <w:adjustRightInd w:val="0"/>
        <w:snapToGrid w:val="0"/>
        <w:spacing w:beforeAutospacing="0" w:afterAutospacing="0" w:line="360" w:lineRule="auto"/>
        <w:ind w:left="0" w:leftChars="0" w:right="0" w:rightChars="0" w:firstLine="720" w:firstLineChars="300"/>
        <w:jc w:val="right"/>
        <w:rPr>
          <w:rFonts w:ascii="宋体" w:hAnsi="宋体" w:cs="宋体"/>
          <w:color w:val="auto"/>
          <w:sz w:val="24"/>
          <w:szCs w:val="20"/>
          <w:highlight w:val="none"/>
        </w:rPr>
      </w:pP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u w:val="single"/>
        </w:rPr>
        <w:t xml:space="preserve">      </w:t>
      </w:r>
      <w:r>
        <w:rPr>
          <w:rFonts w:hint="eastAsia" w:ascii="宋体" w:hAnsi="宋体" w:cs="宋体"/>
          <w:color w:val="auto"/>
          <w:sz w:val="24"/>
          <w:szCs w:val="20"/>
          <w:highlight w:val="none"/>
        </w:rPr>
        <w:t>日</w:t>
      </w:r>
    </w:p>
    <w:p w14:paraId="05ADB071">
      <w:pPr>
        <w:pageBreakBefore w:val="0"/>
        <w:kinsoku/>
        <w:overflowPunct/>
        <w:bidi w:val="0"/>
        <w:adjustRightInd w:val="0"/>
        <w:snapToGrid w:val="0"/>
        <w:spacing w:beforeAutospacing="0" w:afterAutospacing="0" w:line="360" w:lineRule="auto"/>
        <w:ind w:left="0" w:leftChars="0" w:right="0" w:rightChars="0"/>
        <w:rPr>
          <w:rFonts w:ascii="宋体" w:hAnsi="宋体" w:cs="黑体"/>
          <w:color w:val="auto"/>
          <w:sz w:val="28"/>
          <w:szCs w:val="28"/>
          <w:highlight w:val="none"/>
        </w:rPr>
      </w:pPr>
      <w:bookmarkStart w:id="172" w:name="_Toc367827769"/>
      <w:bookmarkStart w:id="173" w:name="_Toc465783023"/>
      <w:bookmarkStart w:id="174" w:name="_Toc369354490"/>
      <w:bookmarkStart w:id="175" w:name="_Toc293488374"/>
    </w:p>
    <w:p w14:paraId="28E74F4E">
      <w:pPr>
        <w:pStyle w:val="4"/>
        <w:pageBreakBefore w:val="0"/>
        <w:kinsoku/>
        <w:overflowPunct/>
        <w:bidi w:val="0"/>
        <w:adjustRightInd w:val="0"/>
        <w:snapToGrid w:val="0"/>
        <w:spacing w:before="0" w:beforeAutospacing="0" w:after="0" w:afterAutospacing="0" w:line="360" w:lineRule="auto"/>
        <w:ind w:left="0" w:leftChars="0" w:right="0" w:rightChars="0"/>
        <w:jc w:val="center"/>
        <w:rPr>
          <w:color w:val="auto"/>
          <w:szCs w:val="20"/>
          <w:highlight w:val="none"/>
        </w:rPr>
      </w:pPr>
      <w:bookmarkStart w:id="176" w:name="_Toc44448182"/>
      <w:bookmarkStart w:id="177" w:name="_Toc3092"/>
      <w:r>
        <w:rPr>
          <w:rFonts w:hint="eastAsia"/>
          <w:color w:val="auto"/>
          <w:highlight w:val="none"/>
        </w:rPr>
        <w:t>（二）投标函附录</w:t>
      </w:r>
      <w:bookmarkEnd w:id="172"/>
      <w:bookmarkEnd w:id="173"/>
      <w:bookmarkEnd w:id="174"/>
      <w:bookmarkEnd w:id="175"/>
      <w:bookmarkEnd w:id="176"/>
      <w:bookmarkEnd w:id="177"/>
    </w:p>
    <w:tbl>
      <w:tblPr>
        <w:tblStyle w:val="22"/>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170"/>
        <w:gridCol w:w="6830"/>
      </w:tblGrid>
      <w:tr w14:paraId="13F865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bottom w:val="single" w:color="auto" w:sz="4" w:space="0"/>
              <w:right w:val="single" w:color="auto" w:sz="4" w:space="0"/>
            </w:tcBorders>
            <w:tcMar>
              <w:top w:w="0" w:type="dxa"/>
              <w:left w:w="113" w:type="dxa"/>
              <w:bottom w:w="0" w:type="dxa"/>
              <w:right w:w="113" w:type="dxa"/>
            </w:tcMar>
            <w:vAlign w:val="center"/>
          </w:tcPr>
          <w:p w14:paraId="47795D6B">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r>
              <w:rPr>
                <w:rFonts w:hint="eastAsia" w:ascii="宋体" w:hAnsi="宋体"/>
                <w:b/>
                <w:bCs/>
                <w:color w:val="auto"/>
                <w:sz w:val="24"/>
                <w:szCs w:val="20"/>
                <w:highlight w:val="none"/>
              </w:rPr>
              <w:t>项目名称</w:t>
            </w:r>
          </w:p>
        </w:tc>
        <w:tc>
          <w:tcPr>
            <w:tcW w:w="6830" w:type="dxa"/>
            <w:tcBorders>
              <w:left w:val="nil"/>
              <w:bottom w:val="single" w:color="auto" w:sz="4" w:space="0"/>
            </w:tcBorders>
            <w:tcMar>
              <w:top w:w="0" w:type="dxa"/>
              <w:left w:w="113" w:type="dxa"/>
              <w:bottom w:w="0" w:type="dxa"/>
              <w:right w:w="113" w:type="dxa"/>
            </w:tcMar>
            <w:vAlign w:val="center"/>
          </w:tcPr>
          <w:p w14:paraId="423FD7E8">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z w:val="24"/>
                <w:szCs w:val="20"/>
                <w:highlight w:val="none"/>
                <w:lang w:eastAsia="zh-CN"/>
              </w:rPr>
              <w:t>灵宝市寺河乡人民政府2025年灵宝市烟叶电烤房项目</w:t>
            </w:r>
          </w:p>
        </w:tc>
      </w:tr>
      <w:tr w14:paraId="745643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double" w:color="auto" w:sz="4" w:space="0"/>
              <w:bottom w:val="single" w:color="auto" w:sz="4" w:space="0"/>
              <w:right w:val="single" w:color="auto" w:sz="4" w:space="0"/>
            </w:tcBorders>
            <w:tcMar>
              <w:top w:w="0" w:type="dxa"/>
              <w:left w:w="113" w:type="dxa"/>
              <w:bottom w:w="0" w:type="dxa"/>
              <w:right w:w="113" w:type="dxa"/>
            </w:tcMar>
            <w:vAlign w:val="center"/>
          </w:tcPr>
          <w:p w14:paraId="3CE107C9">
            <w:pPr>
              <w:pageBreakBefore w:val="0"/>
              <w:kinsoku/>
              <w:overflowPunct/>
              <w:bidi w:val="0"/>
              <w:adjustRightInd w:val="0"/>
              <w:snapToGrid w:val="0"/>
              <w:spacing w:beforeAutospacing="0" w:afterAutospacing="0" w:line="360" w:lineRule="auto"/>
              <w:ind w:left="0" w:leftChars="0" w:right="0" w:rightChars="0"/>
              <w:jc w:val="center"/>
              <w:rPr>
                <w:rFonts w:ascii="宋体" w:hAnsi="宋体"/>
                <w:b/>
                <w:bCs/>
                <w:color w:val="auto"/>
                <w:sz w:val="24"/>
                <w:szCs w:val="20"/>
                <w:highlight w:val="none"/>
              </w:rPr>
            </w:pPr>
            <w:r>
              <w:rPr>
                <w:rFonts w:hint="eastAsia" w:ascii="宋体" w:hAnsi="宋体"/>
                <w:b/>
                <w:bCs/>
                <w:color w:val="auto"/>
                <w:sz w:val="24"/>
                <w:szCs w:val="20"/>
                <w:highlight w:val="none"/>
              </w:rPr>
              <w:t>投标标段</w:t>
            </w:r>
          </w:p>
        </w:tc>
        <w:tc>
          <w:tcPr>
            <w:tcW w:w="6830" w:type="dxa"/>
            <w:tcBorders>
              <w:top w:val="double" w:color="auto" w:sz="4" w:space="0"/>
              <w:left w:val="nil"/>
              <w:bottom w:val="single" w:color="auto" w:sz="4" w:space="0"/>
            </w:tcBorders>
            <w:tcMar>
              <w:top w:w="0" w:type="dxa"/>
              <w:left w:w="113" w:type="dxa"/>
              <w:bottom w:w="0" w:type="dxa"/>
              <w:right w:w="113" w:type="dxa"/>
            </w:tcMar>
            <w:vAlign w:val="center"/>
          </w:tcPr>
          <w:p w14:paraId="322793E5">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tc>
      </w:tr>
      <w:tr w14:paraId="4D199CF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double" w:color="auto" w:sz="4" w:space="0"/>
              <w:bottom w:val="single" w:color="auto" w:sz="4" w:space="0"/>
              <w:right w:val="single" w:color="auto" w:sz="4" w:space="0"/>
            </w:tcBorders>
            <w:vAlign w:val="center"/>
          </w:tcPr>
          <w:p w14:paraId="38ED5EA6">
            <w:pPr>
              <w:pageBreakBefore w:val="0"/>
              <w:kinsoku/>
              <w:overflowPunct/>
              <w:bidi w:val="0"/>
              <w:adjustRightInd w:val="0"/>
              <w:snapToGrid w:val="0"/>
              <w:spacing w:beforeAutospacing="0" w:afterAutospacing="0" w:line="360" w:lineRule="auto"/>
              <w:ind w:left="0" w:leftChars="0" w:right="0" w:rightChars="0"/>
              <w:jc w:val="center"/>
              <w:rPr>
                <w:rFonts w:ascii="宋体" w:hAnsi="宋体"/>
                <w:b/>
                <w:color w:val="auto"/>
                <w:sz w:val="24"/>
                <w:szCs w:val="20"/>
                <w:highlight w:val="none"/>
              </w:rPr>
            </w:pPr>
            <w:r>
              <w:rPr>
                <w:rFonts w:hint="eastAsia" w:ascii="宋体" w:hAnsi="宋体"/>
                <w:b/>
                <w:color w:val="auto"/>
                <w:sz w:val="24"/>
                <w:szCs w:val="20"/>
                <w:highlight w:val="none"/>
              </w:rPr>
              <w:t>投标人</w:t>
            </w:r>
          </w:p>
        </w:tc>
        <w:tc>
          <w:tcPr>
            <w:tcW w:w="6830" w:type="dxa"/>
            <w:tcBorders>
              <w:top w:val="double" w:color="auto" w:sz="4" w:space="0"/>
              <w:left w:val="nil"/>
              <w:bottom w:val="single" w:color="auto" w:sz="4" w:space="0"/>
            </w:tcBorders>
            <w:vAlign w:val="center"/>
          </w:tcPr>
          <w:p w14:paraId="6D8A0D71">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tc>
      </w:tr>
      <w:tr w14:paraId="5667479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double" w:color="auto" w:sz="4" w:space="0"/>
              <w:bottom w:val="single" w:color="auto" w:sz="4" w:space="0"/>
              <w:right w:val="single" w:color="auto" w:sz="4" w:space="0"/>
            </w:tcBorders>
            <w:vAlign w:val="center"/>
          </w:tcPr>
          <w:p w14:paraId="3F99248D">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投标范围</w:t>
            </w:r>
          </w:p>
        </w:tc>
        <w:tc>
          <w:tcPr>
            <w:tcW w:w="6830" w:type="dxa"/>
            <w:tcBorders>
              <w:top w:val="double" w:color="auto" w:sz="4" w:space="0"/>
              <w:left w:val="nil"/>
              <w:bottom w:val="single" w:color="auto" w:sz="4" w:space="0"/>
            </w:tcBorders>
            <w:vAlign w:val="center"/>
          </w:tcPr>
          <w:p w14:paraId="7A8EED0E">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本项目招标文件规定的</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标段的全部招标内容</w:t>
            </w:r>
          </w:p>
        </w:tc>
      </w:tr>
      <w:tr w14:paraId="1E15068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00" w:hRule="exact"/>
          <w:jc w:val="center"/>
        </w:trPr>
        <w:tc>
          <w:tcPr>
            <w:tcW w:w="2170" w:type="dxa"/>
            <w:tcBorders>
              <w:top w:val="single" w:color="auto" w:sz="4" w:space="0"/>
              <w:right w:val="single" w:color="auto" w:sz="4" w:space="0"/>
            </w:tcBorders>
            <w:vAlign w:val="center"/>
          </w:tcPr>
          <w:p w14:paraId="17C75DC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sz w:val="24"/>
                <w:highlight w:val="none"/>
              </w:rPr>
            </w:pPr>
            <w:r>
              <w:rPr>
                <w:rFonts w:hint="eastAsia" w:ascii="宋体" w:hAnsi="宋体" w:cs="宋体"/>
                <w:b/>
                <w:bCs/>
                <w:color w:val="auto"/>
                <w:sz w:val="24"/>
                <w:highlight w:val="none"/>
              </w:rPr>
              <w:t>投标总报价</w:t>
            </w:r>
          </w:p>
          <w:p w14:paraId="2B17E8D8">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highlight w:val="none"/>
              </w:rPr>
            </w:pPr>
            <w:r>
              <w:rPr>
                <w:rFonts w:hint="eastAsia" w:ascii="宋体" w:hAnsi="宋体" w:cs="宋体"/>
                <w:b/>
                <w:bCs/>
                <w:color w:val="auto"/>
                <w:sz w:val="24"/>
                <w:highlight w:val="none"/>
              </w:rPr>
              <w:t xml:space="preserve">（含税） </w:t>
            </w:r>
          </w:p>
        </w:tc>
        <w:tc>
          <w:tcPr>
            <w:tcW w:w="6830" w:type="dxa"/>
            <w:tcBorders>
              <w:top w:val="single" w:color="auto" w:sz="4" w:space="0"/>
              <w:left w:val="nil"/>
            </w:tcBorders>
            <w:vAlign w:val="center"/>
          </w:tcPr>
          <w:p w14:paraId="5AA4E4C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大写：</w:t>
            </w:r>
            <w:r>
              <w:rPr>
                <w:rFonts w:hint="eastAsia" w:ascii="宋体" w:hAnsi="宋体"/>
                <w:color w:val="auto"/>
                <w:sz w:val="24"/>
                <w:szCs w:val="20"/>
                <w:highlight w:val="none"/>
                <w:u w:val="single"/>
              </w:rPr>
              <w:t xml:space="preserve">                   </w:t>
            </w:r>
          </w:p>
          <w:p w14:paraId="7BF78F2B">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u w:val="single"/>
              </w:rPr>
            </w:pPr>
            <w:r>
              <w:rPr>
                <w:rFonts w:hint="eastAsia" w:ascii="宋体" w:hAnsi="宋体"/>
                <w:color w:val="auto"/>
                <w:sz w:val="24"/>
                <w:szCs w:val="20"/>
                <w:highlight w:val="none"/>
              </w:rPr>
              <w:t>小写：</w:t>
            </w:r>
            <w:r>
              <w:rPr>
                <w:rFonts w:hint="eastAsia" w:ascii="宋体" w:hAnsi="宋体"/>
                <w:color w:val="auto"/>
                <w:sz w:val="24"/>
                <w:szCs w:val="20"/>
                <w:highlight w:val="none"/>
                <w:u w:val="single"/>
              </w:rPr>
              <w:t xml:space="preserve">                   </w:t>
            </w:r>
          </w:p>
        </w:tc>
      </w:tr>
      <w:tr w14:paraId="3383591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single" w:color="auto" w:sz="4" w:space="0"/>
              <w:bottom w:val="single" w:color="auto" w:sz="4" w:space="0"/>
              <w:right w:val="single" w:color="auto" w:sz="4" w:space="0"/>
            </w:tcBorders>
            <w:vAlign w:val="center"/>
          </w:tcPr>
          <w:p w14:paraId="478BF735">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交货期</w:t>
            </w:r>
          </w:p>
        </w:tc>
        <w:tc>
          <w:tcPr>
            <w:tcW w:w="6830" w:type="dxa"/>
            <w:tcBorders>
              <w:top w:val="single" w:color="auto" w:sz="4" w:space="0"/>
              <w:left w:val="nil"/>
              <w:bottom w:val="single" w:color="auto" w:sz="4" w:space="0"/>
            </w:tcBorders>
            <w:vAlign w:val="center"/>
          </w:tcPr>
          <w:p w14:paraId="56A33AA0">
            <w:pPr>
              <w:pageBreakBefore w:val="0"/>
              <w:kinsoku/>
              <w:overflowPunct/>
              <w:bidi w:val="0"/>
              <w:adjustRightInd w:val="0"/>
              <w:snapToGrid w:val="0"/>
              <w:spacing w:beforeAutospacing="0" w:afterAutospacing="0" w:line="360" w:lineRule="auto"/>
              <w:ind w:left="0" w:leftChars="0" w:right="0" w:rightChars="0"/>
              <w:jc w:val="left"/>
              <w:rPr>
                <w:rFonts w:ascii="宋体" w:hAnsi="宋体"/>
                <w:color w:val="auto"/>
                <w:sz w:val="24"/>
                <w:szCs w:val="24"/>
                <w:highlight w:val="none"/>
              </w:rPr>
            </w:pPr>
            <w:r>
              <w:rPr>
                <w:rFonts w:hint="eastAsia" w:ascii="宋体" w:hAnsi="宋体" w:cs="宋体"/>
                <w:color w:val="auto"/>
                <w:kern w:val="0"/>
                <w:sz w:val="24"/>
                <w:szCs w:val="24"/>
                <w:highlight w:val="none"/>
              </w:rPr>
              <w:t>自合同签订之日起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日历天内交货并安装调试完毕。</w:t>
            </w:r>
          </w:p>
        </w:tc>
      </w:tr>
      <w:tr w14:paraId="72BAA4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02" w:hRule="exact"/>
          <w:jc w:val="center"/>
        </w:trPr>
        <w:tc>
          <w:tcPr>
            <w:tcW w:w="2170" w:type="dxa"/>
            <w:tcBorders>
              <w:top w:val="nil"/>
              <w:bottom w:val="single" w:color="auto" w:sz="4" w:space="0"/>
              <w:right w:val="single" w:color="auto" w:sz="4" w:space="0"/>
            </w:tcBorders>
            <w:vAlign w:val="center"/>
          </w:tcPr>
          <w:p w14:paraId="39B3009A">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rPr>
              <w:t>质量</w:t>
            </w:r>
            <w:r>
              <w:rPr>
                <w:rFonts w:hint="eastAsia" w:ascii="宋体" w:hAnsi="宋体" w:cs="宋体"/>
                <w:b/>
                <w:bCs/>
                <w:color w:val="auto"/>
                <w:sz w:val="24"/>
                <w:szCs w:val="20"/>
                <w:highlight w:val="none"/>
                <w:lang w:val="en-US" w:eastAsia="zh-CN"/>
              </w:rPr>
              <w:t>要求</w:t>
            </w:r>
          </w:p>
        </w:tc>
        <w:tc>
          <w:tcPr>
            <w:tcW w:w="6830" w:type="dxa"/>
            <w:tcBorders>
              <w:top w:val="nil"/>
              <w:left w:val="nil"/>
              <w:bottom w:val="single" w:color="auto" w:sz="4" w:space="0"/>
            </w:tcBorders>
            <w:vAlign w:val="center"/>
          </w:tcPr>
          <w:p w14:paraId="5BBC912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tc>
      </w:tr>
      <w:tr w14:paraId="69EA3B8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nil"/>
              <w:bottom w:val="single" w:color="auto" w:sz="4" w:space="0"/>
              <w:right w:val="single" w:color="auto" w:sz="4" w:space="0"/>
            </w:tcBorders>
            <w:vAlign w:val="center"/>
          </w:tcPr>
          <w:p w14:paraId="0B0B9CEA">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质保期</w:t>
            </w:r>
          </w:p>
        </w:tc>
        <w:tc>
          <w:tcPr>
            <w:tcW w:w="6830" w:type="dxa"/>
            <w:tcBorders>
              <w:top w:val="nil"/>
              <w:left w:val="nil"/>
              <w:bottom w:val="single" w:color="auto" w:sz="4" w:space="0"/>
            </w:tcBorders>
            <w:vAlign w:val="center"/>
          </w:tcPr>
          <w:p w14:paraId="2AD45740">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s="宋体"/>
                <w:color w:val="auto"/>
                <w:sz w:val="24"/>
                <w:szCs w:val="24"/>
                <w:highlight w:val="none"/>
              </w:rPr>
              <w:t>自验收合格之日起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tc>
      </w:tr>
      <w:tr w14:paraId="6A6CB00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nil"/>
              <w:bottom w:val="single" w:color="auto" w:sz="4" w:space="0"/>
              <w:right w:val="single" w:color="auto" w:sz="4" w:space="0"/>
            </w:tcBorders>
            <w:vAlign w:val="center"/>
          </w:tcPr>
          <w:p w14:paraId="4A2ABE3F">
            <w:pPr>
              <w:pageBreakBefore w:val="0"/>
              <w:kinsoku/>
              <w:overflowPunct/>
              <w:bidi w:val="0"/>
              <w:adjustRightInd w:val="0"/>
              <w:snapToGrid w:val="0"/>
              <w:spacing w:beforeAutospacing="0" w:afterAutospacing="0" w:line="360" w:lineRule="auto"/>
              <w:ind w:left="0" w:leftChars="0" w:right="0" w:rightChars="0"/>
              <w:jc w:val="center"/>
              <w:rPr>
                <w:rFonts w:hint="default"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项目负责人、联系方式</w:t>
            </w:r>
          </w:p>
        </w:tc>
        <w:tc>
          <w:tcPr>
            <w:tcW w:w="6830" w:type="dxa"/>
            <w:tcBorders>
              <w:top w:val="nil"/>
              <w:left w:val="nil"/>
              <w:bottom w:val="single" w:color="auto" w:sz="4" w:space="0"/>
            </w:tcBorders>
            <w:vAlign w:val="center"/>
          </w:tcPr>
          <w:p w14:paraId="06921DCA">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tc>
      </w:tr>
      <w:tr w14:paraId="516FBA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51" w:hRule="exact"/>
          <w:jc w:val="center"/>
        </w:trPr>
        <w:tc>
          <w:tcPr>
            <w:tcW w:w="2170" w:type="dxa"/>
            <w:tcBorders>
              <w:top w:val="nil"/>
              <w:right w:val="single" w:color="auto" w:sz="4" w:space="0"/>
            </w:tcBorders>
            <w:vAlign w:val="center"/>
          </w:tcPr>
          <w:p w14:paraId="772C28B3">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b/>
                <w:bCs/>
                <w:color w:val="auto"/>
                <w:sz w:val="24"/>
                <w:szCs w:val="20"/>
                <w:highlight w:val="none"/>
              </w:rPr>
            </w:pPr>
            <w:r>
              <w:rPr>
                <w:rFonts w:hint="eastAsia" w:ascii="宋体" w:hAnsi="宋体" w:cs="宋体"/>
                <w:b/>
                <w:bCs/>
                <w:color w:val="auto"/>
                <w:sz w:val="24"/>
                <w:szCs w:val="20"/>
                <w:highlight w:val="none"/>
              </w:rPr>
              <w:t>其他</w:t>
            </w:r>
          </w:p>
        </w:tc>
        <w:tc>
          <w:tcPr>
            <w:tcW w:w="6830" w:type="dxa"/>
            <w:tcBorders>
              <w:top w:val="nil"/>
              <w:left w:val="nil"/>
            </w:tcBorders>
            <w:vAlign w:val="center"/>
          </w:tcPr>
          <w:p w14:paraId="53D8CBC0">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4"/>
                <w:szCs w:val="20"/>
                <w:highlight w:val="none"/>
              </w:rPr>
            </w:pPr>
          </w:p>
        </w:tc>
      </w:tr>
    </w:tbl>
    <w:p w14:paraId="5ACF7F71">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0"/>
          <w:highlight w:val="none"/>
        </w:rPr>
      </w:pPr>
    </w:p>
    <w:p w14:paraId="29EF0844">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r>
        <w:rPr>
          <w:rFonts w:hint="eastAsia" w:ascii="宋体" w:hAnsi="宋体"/>
          <w:color w:val="auto"/>
          <w:sz w:val="24"/>
          <w:szCs w:val="20"/>
          <w:highlight w:val="none"/>
        </w:rPr>
        <w:t>投标人（</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14:paraId="23B9B8B5">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u w:val="single"/>
        </w:rPr>
      </w:pPr>
      <w:r>
        <w:rPr>
          <w:rFonts w:hint="eastAsia" w:ascii="宋体" w:hAnsi="宋体"/>
          <w:color w:val="auto"/>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olor w:val="auto"/>
          <w:sz w:val="24"/>
          <w:szCs w:val="20"/>
          <w:highlight w:val="none"/>
        </w:rPr>
        <w:t>）：</w:t>
      </w:r>
      <w:r>
        <w:rPr>
          <w:rFonts w:hint="eastAsia" w:ascii="宋体" w:hAnsi="宋体"/>
          <w:color w:val="auto"/>
          <w:sz w:val="24"/>
          <w:szCs w:val="20"/>
          <w:highlight w:val="none"/>
          <w:u w:val="single"/>
        </w:rPr>
        <w:t xml:space="preserve">                    </w:t>
      </w:r>
    </w:p>
    <w:p w14:paraId="1ACEC697">
      <w:pPr>
        <w:pageBreakBefore w:val="0"/>
        <w:kinsoku/>
        <w:overflowPunct/>
        <w:bidi w:val="0"/>
        <w:adjustRightInd w:val="0"/>
        <w:snapToGrid w:val="0"/>
        <w:spacing w:beforeAutospacing="0" w:afterAutospacing="0" w:line="360" w:lineRule="auto"/>
        <w:ind w:left="0" w:leftChars="0" w:right="0" w:rightChars="0"/>
        <w:rPr>
          <w:rFonts w:ascii="宋体" w:hAnsi="宋体" w:cs="黑体"/>
          <w:color w:val="auto"/>
          <w:sz w:val="30"/>
          <w:szCs w:val="30"/>
          <w:highlight w:val="none"/>
        </w:rPr>
      </w:pPr>
      <w:r>
        <w:rPr>
          <w:rFonts w:hint="eastAsia" w:ascii="宋体" w:hAnsi="宋体"/>
          <w:color w:val="auto"/>
          <w:sz w:val="24"/>
          <w:szCs w:val="20"/>
          <w:highlight w:val="none"/>
        </w:rPr>
        <w:t>日期：</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年</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月</w:t>
      </w:r>
      <w:r>
        <w:rPr>
          <w:rFonts w:hint="eastAsia" w:ascii="宋体" w:hAnsi="宋体"/>
          <w:color w:val="auto"/>
          <w:sz w:val="24"/>
          <w:szCs w:val="20"/>
          <w:highlight w:val="none"/>
          <w:u w:val="single"/>
        </w:rPr>
        <w:t xml:space="preserve">       </w:t>
      </w:r>
      <w:r>
        <w:rPr>
          <w:rFonts w:hint="eastAsia" w:ascii="宋体" w:hAnsi="宋体"/>
          <w:color w:val="auto"/>
          <w:sz w:val="24"/>
          <w:szCs w:val="20"/>
          <w:highlight w:val="none"/>
        </w:rPr>
        <w:t>日</w:t>
      </w:r>
    </w:p>
    <w:p w14:paraId="68E30BBB">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rPr>
      </w:pPr>
      <w:r>
        <w:rPr>
          <w:rFonts w:hint="eastAsia" w:ascii="宋体" w:hAnsi="宋体"/>
          <w:b/>
          <w:bCs/>
          <w:color w:val="auto"/>
          <w:sz w:val="30"/>
          <w:szCs w:val="30"/>
          <w:highlight w:val="none"/>
        </w:rPr>
        <w:br w:type="page"/>
      </w:r>
      <w:bookmarkStart w:id="178" w:name="_Toc29586"/>
      <w:bookmarkStart w:id="179" w:name="_Toc32558"/>
      <w:r>
        <w:rPr>
          <w:rFonts w:hint="eastAsia" w:ascii="宋体" w:hAnsi="宋体"/>
          <w:b/>
          <w:bCs/>
          <w:color w:val="auto"/>
          <w:sz w:val="30"/>
          <w:szCs w:val="30"/>
          <w:highlight w:val="none"/>
        </w:rPr>
        <w:t>二、</w:t>
      </w:r>
      <w:bookmarkEnd w:id="178"/>
      <w:r>
        <w:rPr>
          <w:rFonts w:hint="eastAsia" w:ascii="宋体" w:hAnsi="宋体"/>
          <w:b/>
          <w:bCs/>
          <w:color w:val="auto"/>
          <w:sz w:val="30"/>
          <w:szCs w:val="30"/>
          <w:highlight w:val="none"/>
        </w:rPr>
        <w:t>法定代表人身份证明或（和）法定代表人授权委托书</w:t>
      </w:r>
      <w:bookmarkEnd w:id="179"/>
    </w:p>
    <w:p w14:paraId="06EE5881">
      <w:pPr>
        <w:pStyle w:val="4"/>
        <w:pageBreakBefore w:val="0"/>
        <w:kinsoku/>
        <w:overflowPunct/>
        <w:bidi w:val="0"/>
        <w:adjustRightInd w:val="0"/>
        <w:snapToGrid w:val="0"/>
        <w:spacing w:before="0" w:beforeAutospacing="0" w:after="0" w:afterAutospacing="0" w:line="360" w:lineRule="auto"/>
        <w:ind w:left="0" w:leftChars="0" w:right="0" w:rightChars="0"/>
        <w:jc w:val="center"/>
        <w:rPr>
          <w:rFonts w:hint="eastAsia"/>
          <w:color w:val="auto"/>
          <w:sz w:val="28"/>
          <w:szCs w:val="28"/>
          <w:highlight w:val="none"/>
        </w:rPr>
      </w:pPr>
      <w:bookmarkStart w:id="180" w:name="_Toc44448184"/>
      <w:bookmarkStart w:id="181" w:name="_Toc5579"/>
      <w:r>
        <w:rPr>
          <w:rFonts w:hint="eastAsia"/>
          <w:color w:val="auto"/>
          <w:sz w:val="28"/>
          <w:szCs w:val="28"/>
          <w:highlight w:val="none"/>
        </w:rPr>
        <w:t>（一）法定代表人身份证明</w:t>
      </w:r>
      <w:bookmarkEnd w:id="180"/>
      <w:bookmarkEnd w:id="181"/>
    </w:p>
    <w:p w14:paraId="2FDCC9FD">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投标人名称：</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4E379066">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单位性质：</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5A515626">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地    址：</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1817B820">
      <w:pPr>
        <w:pageBreakBefore w:val="0"/>
        <w:tabs>
          <w:tab w:val="left" w:pos="2460"/>
          <w:tab w:val="left" w:pos="3160"/>
          <w:tab w:val="left" w:pos="4200"/>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成立时间：</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月</w:t>
      </w:r>
      <w:r>
        <w:rPr>
          <w:rFonts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日</w:t>
      </w:r>
    </w:p>
    <w:p w14:paraId="130601BD">
      <w:pPr>
        <w:pageBreakBefore w:val="0"/>
        <w:tabs>
          <w:tab w:val="left" w:pos="4785"/>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经营期限：</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p>
    <w:p w14:paraId="1C128A42">
      <w:pPr>
        <w:pageBreakBefore w:val="0"/>
        <w:tabs>
          <w:tab w:val="left" w:pos="1580"/>
          <w:tab w:val="left" w:pos="3615"/>
          <w:tab w:val="left" w:pos="4840"/>
          <w:tab w:val="left" w:pos="6300"/>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u w:val="single"/>
        </w:rPr>
      </w:pPr>
      <w:r>
        <w:rPr>
          <w:rFonts w:hint="eastAsia" w:ascii="宋体" w:hAnsi="宋体"/>
          <w:color w:val="auto"/>
          <w:kern w:val="0"/>
          <w:sz w:val="24"/>
          <w:szCs w:val="20"/>
          <w:highlight w:val="none"/>
        </w:rPr>
        <w:t>姓    名：</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性别：</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年龄：</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职务：</w:t>
      </w:r>
      <w:r>
        <w:rPr>
          <w:rFonts w:hint="eastAsia" w:ascii="宋体" w:hAnsi="宋体"/>
          <w:color w:val="auto"/>
          <w:kern w:val="0"/>
          <w:sz w:val="24"/>
          <w:szCs w:val="20"/>
          <w:highlight w:val="none"/>
          <w:u w:val="single"/>
        </w:rPr>
        <w:t xml:space="preserve">          </w:t>
      </w:r>
    </w:p>
    <w:p w14:paraId="073BC872">
      <w:pPr>
        <w:pageBreakBefore w:val="0"/>
        <w:tabs>
          <w:tab w:val="left" w:pos="4080"/>
        </w:tabs>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olor w:val="auto"/>
          <w:kern w:val="0"/>
          <w:sz w:val="24"/>
          <w:szCs w:val="20"/>
          <w:highlight w:val="none"/>
        </w:rPr>
      </w:pPr>
      <w:r>
        <w:rPr>
          <w:rFonts w:hint="eastAsia" w:ascii="宋体" w:hAnsi="宋体"/>
          <w:color w:val="auto"/>
          <w:kern w:val="0"/>
          <w:sz w:val="24"/>
          <w:szCs w:val="20"/>
          <w:highlight w:val="none"/>
        </w:rPr>
        <w:t>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ab/>
      </w:r>
      <w:r>
        <w:rPr>
          <w:rFonts w:hint="eastAsia" w:ascii="宋体" w:hAnsi="宋体"/>
          <w:color w:val="auto"/>
          <w:kern w:val="0"/>
          <w:sz w:val="24"/>
          <w:szCs w:val="20"/>
          <w:highlight w:val="none"/>
        </w:rPr>
        <w:t>（投标人名称）的法定代表人。</w:t>
      </w:r>
    </w:p>
    <w:p w14:paraId="2590255D">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szCs w:val="20"/>
          <w:highlight w:val="none"/>
        </w:rPr>
      </w:pPr>
      <w:r>
        <w:rPr>
          <w:rFonts w:hint="eastAsia" w:ascii="宋体" w:hAnsi="宋体"/>
          <w:color w:val="auto"/>
          <w:kern w:val="0"/>
          <w:sz w:val="24"/>
          <w:szCs w:val="20"/>
          <w:highlight w:val="none"/>
        </w:rPr>
        <w:t>特此证明。</w:t>
      </w:r>
    </w:p>
    <w:p w14:paraId="6DB6E24F">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highlight w:val="none"/>
          <w:u w:val="single"/>
        </w:rPr>
      </w:pPr>
      <w:r>
        <w:rPr>
          <w:rFonts w:hint="eastAsia" w:ascii="宋体" w:hAnsi="宋体"/>
          <w:color w:val="auto"/>
          <w:kern w:val="0"/>
          <w:sz w:val="24"/>
          <w:highlight w:val="none"/>
        </w:rPr>
        <w:t>投标人（电子签章）：</w:t>
      </w:r>
      <w:r>
        <w:rPr>
          <w:rFonts w:hint="eastAsia" w:ascii="宋体" w:hAnsi="宋体"/>
          <w:color w:val="auto"/>
          <w:kern w:val="0"/>
          <w:sz w:val="24"/>
          <w:highlight w:val="none"/>
          <w:u w:val="single"/>
        </w:rPr>
        <w:t xml:space="preserve">                   </w:t>
      </w:r>
      <w:bookmarkStart w:id="182" w:name="_Toc293488489"/>
      <w:bookmarkStart w:id="183" w:name="_Toc294108317"/>
      <w:bookmarkStart w:id="184" w:name="_Toc367827776"/>
      <w:bookmarkStart w:id="185" w:name="_Toc293488381"/>
    </w:p>
    <w:bookmarkEnd w:id="182"/>
    <w:bookmarkEnd w:id="183"/>
    <w:bookmarkEnd w:id="184"/>
    <w:bookmarkEnd w:id="185"/>
    <w:p w14:paraId="44E6A6E4">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highlight w:val="none"/>
        </w:rPr>
      </w:pPr>
      <w:r>
        <w:rPr>
          <w:rFonts w:hint="eastAsia" w:ascii="宋体" w:hAnsi="宋体"/>
          <w:color w:val="auto"/>
          <w:kern w:val="0"/>
          <w:sz w:val="24"/>
          <w:highlight w:val="none"/>
        </w:rPr>
        <w:t>日期：</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年</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月</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日</w:t>
      </w:r>
    </w:p>
    <w:p w14:paraId="173D21F0">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highlight w:val="none"/>
        </w:rPr>
      </w:pPr>
    </w:p>
    <w:tbl>
      <w:tblPr>
        <w:tblStyle w:val="2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14:paraId="3DE47F7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66" w:hRule="atLeast"/>
          <w:jc w:val="center"/>
        </w:trPr>
        <w:tc>
          <w:tcPr>
            <w:tcW w:w="4961" w:type="dxa"/>
            <w:vAlign w:val="center"/>
          </w:tcPr>
          <w:p w14:paraId="4D4FAA1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法定代表人身份证扫描件（正面）</w:t>
            </w:r>
          </w:p>
          <w:p w14:paraId="26445892">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c>
          <w:tcPr>
            <w:tcW w:w="4961" w:type="dxa"/>
            <w:vAlign w:val="center"/>
          </w:tcPr>
          <w:p w14:paraId="1D384180">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olor w:val="auto"/>
                <w:sz w:val="24"/>
                <w:szCs w:val="20"/>
                <w:highlight w:val="none"/>
              </w:rPr>
            </w:pPr>
            <w:r>
              <w:rPr>
                <w:rFonts w:hint="eastAsia" w:ascii="宋体" w:hAnsi="宋体"/>
                <w:color w:val="auto"/>
                <w:spacing w:val="8"/>
                <w:sz w:val="24"/>
                <w:szCs w:val="20"/>
                <w:highlight w:val="none"/>
              </w:rPr>
              <w:t>法定代表人身份证扫描件（反面）</w:t>
            </w:r>
          </w:p>
          <w:p w14:paraId="353237EB">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r>
    </w:tbl>
    <w:p w14:paraId="394E8227">
      <w:pPr>
        <w:pageBreakBefore w:val="0"/>
        <w:widowControl/>
        <w:kinsoku/>
        <w:overflowPunct/>
        <w:bidi w:val="0"/>
        <w:adjustRightInd w:val="0"/>
        <w:snapToGrid w:val="0"/>
        <w:spacing w:beforeAutospacing="0" w:afterAutospacing="0" w:line="360" w:lineRule="auto"/>
        <w:ind w:left="0" w:leftChars="0" w:right="0" w:rightChars="0"/>
        <w:jc w:val="left"/>
        <w:rPr>
          <w:rFonts w:ascii="宋体" w:hAnsi="宋体"/>
          <w:b/>
          <w:bCs/>
          <w:color w:val="auto"/>
          <w:sz w:val="30"/>
          <w:szCs w:val="30"/>
          <w:highlight w:val="none"/>
        </w:rPr>
      </w:pPr>
      <w:bookmarkStart w:id="186" w:name="_Toc10052"/>
    </w:p>
    <w:p w14:paraId="765BF695">
      <w:pPr>
        <w:pageBreakBefore w:val="0"/>
        <w:widowControl/>
        <w:kinsoku/>
        <w:overflowPunct/>
        <w:bidi w:val="0"/>
        <w:adjustRightInd w:val="0"/>
        <w:snapToGrid w:val="0"/>
        <w:spacing w:beforeAutospacing="0" w:afterAutospacing="0" w:line="360" w:lineRule="auto"/>
        <w:ind w:left="0" w:leftChars="0" w:right="0" w:rightChars="0"/>
        <w:jc w:val="left"/>
        <w:rPr>
          <w:rFonts w:ascii="宋体" w:hAnsi="宋体"/>
          <w:b/>
          <w:bCs/>
          <w:color w:val="auto"/>
          <w:sz w:val="30"/>
          <w:szCs w:val="30"/>
          <w:highlight w:val="none"/>
        </w:rPr>
      </w:pPr>
      <w:r>
        <w:rPr>
          <w:rFonts w:ascii="宋体" w:hAnsi="宋体"/>
          <w:b/>
          <w:bCs/>
          <w:color w:val="auto"/>
          <w:sz w:val="30"/>
          <w:szCs w:val="30"/>
          <w:highlight w:val="none"/>
        </w:rPr>
        <w:br w:type="page"/>
      </w:r>
    </w:p>
    <w:p w14:paraId="50D40180">
      <w:pPr>
        <w:pStyle w:val="4"/>
        <w:pageBreakBefore w:val="0"/>
        <w:kinsoku/>
        <w:overflowPunct/>
        <w:bidi w:val="0"/>
        <w:adjustRightInd w:val="0"/>
        <w:snapToGrid w:val="0"/>
        <w:spacing w:before="0" w:beforeAutospacing="0" w:after="0" w:afterAutospacing="0" w:line="360" w:lineRule="auto"/>
        <w:ind w:left="0" w:leftChars="0" w:right="0" w:rightChars="0"/>
        <w:jc w:val="center"/>
        <w:rPr>
          <w:rFonts w:hint="eastAsia"/>
          <w:color w:val="auto"/>
          <w:sz w:val="28"/>
          <w:szCs w:val="28"/>
          <w:highlight w:val="none"/>
        </w:rPr>
      </w:pPr>
      <w:bookmarkStart w:id="187" w:name="_Toc12835"/>
      <w:bookmarkStart w:id="188" w:name="_Toc44448185"/>
      <w:r>
        <w:rPr>
          <w:rFonts w:hint="eastAsia"/>
          <w:color w:val="auto"/>
          <w:sz w:val="28"/>
          <w:szCs w:val="28"/>
          <w:highlight w:val="none"/>
        </w:rPr>
        <w:t>（二）法定代表人授权委托书</w:t>
      </w:r>
      <w:bookmarkEnd w:id="186"/>
      <w:bookmarkEnd w:id="187"/>
      <w:bookmarkEnd w:id="188"/>
    </w:p>
    <w:p w14:paraId="20D35EF6">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lang w:eastAsia="zh-CN"/>
        </w:rPr>
        <w:t>灵宝市寺河乡人民政府</w:t>
      </w:r>
      <w:r>
        <w:rPr>
          <w:rFonts w:hint="eastAsia" w:ascii="宋体" w:hAnsi="宋体"/>
          <w:color w:val="auto"/>
          <w:sz w:val="24"/>
          <w:szCs w:val="24"/>
          <w:highlight w:val="none"/>
        </w:rPr>
        <w:t xml:space="preserve">： </w:t>
      </w:r>
    </w:p>
    <w:p w14:paraId="63E7FAD6">
      <w:pPr>
        <w:pageBreakBefore w:val="0"/>
        <w:tabs>
          <w:tab w:val="left" w:pos="2040"/>
          <w:tab w:val="left" w:pos="4785"/>
          <w:tab w:val="left" w:pos="4815"/>
          <w:tab w:val="left" w:pos="8000"/>
        </w:tabs>
        <w:kinsoku/>
        <w:overflowPunct/>
        <w:autoSpaceDE w:val="0"/>
        <w:autoSpaceDN w:val="0"/>
        <w:bidi w:val="0"/>
        <w:adjustRightInd w:val="0"/>
        <w:snapToGrid w:val="0"/>
        <w:spacing w:beforeAutospacing="0" w:afterAutospacing="0"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本人</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（姓名）系</w:t>
      </w:r>
      <w:r>
        <w:rPr>
          <w:rFonts w:ascii="宋体" w:hAnsi="宋体"/>
          <w:color w:val="auto"/>
          <w:kern w:val="0"/>
          <w:sz w:val="24"/>
          <w:szCs w:val="20"/>
          <w:highlight w:val="none"/>
          <w:u w:val="single"/>
        </w:rPr>
        <w:t xml:space="preserve"> </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（投标人名称）的法定代表人，现委托</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（姓名）为我方代理人。代理人根据授权，以我方名义签署、澄清、说明、补正、递交、撤回、</w:t>
      </w:r>
      <w:r>
        <w:rPr>
          <w:rFonts w:ascii="宋体" w:hAnsi="宋体"/>
          <w:color w:val="auto"/>
          <w:kern w:val="0"/>
          <w:sz w:val="24"/>
          <w:szCs w:val="20"/>
          <w:highlight w:val="none"/>
        </w:rPr>
        <w:t xml:space="preserve"> </w:t>
      </w:r>
      <w:r>
        <w:rPr>
          <w:rFonts w:hint="eastAsia" w:ascii="宋体" w:hAnsi="宋体"/>
          <w:color w:val="auto"/>
          <w:kern w:val="0"/>
          <w:sz w:val="24"/>
          <w:szCs w:val="20"/>
          <w:highlight w:val="none"/>
        </w:rPr>
        <w:t>修改</w:t>
      </w:r>
      <w:r>
        <w:rPr>
          <w:rFonts w:hint="eastAsia" w:ascii="宋体" w:hAnsi="宋体"/>
          <w:color w:val="auto"/>
          <w:kern w:val="0"/>
          <w:sz w:val="24"/>
          <w:szCs w:val="20"/>
          <w:highlight w:val="none"/>
          <w:u w:val="single"/>
        </w:rPr>
        <w:t xml:space="preserve">   （项目名称+标段）  </w:t>
      </w:r>
      <w:r>
        <w:rPr>
          <w:rFonts w:hint="eastAsia" w:ascii="宋体" w:hAnsi="宋体"/>
          <w:color w:val="auto"/>
          <w:kern w:val="0"/>
          <w:sz w:val="24"/>
          <w:szCs w:val="20"/>
          <w:highlight w:val="none"/>
        </w:rPr>
        <w:t>投标文件、签订合同和处理有关事宜，其法律后果由我方承担。</w:t>
      </w:r>
    </w:p>
    <w:p w14:paraId="04966623">
      <w:pPr>
        <w:pageBreakBefore w:val="0"/>
        <w:tabs>
          <w:tab w:val="left" w:pos="2940"/>
        </w:tabs>
        <w:kinsoku/>
        <w:overflowPunct/>
        <w:autoSpaceDE w:val="0"/>
        <w:autoSpaceDN w:val="0"/>
        <w:bidi w:val="0"/>
        <w:adjustRightInd w:val="0"/>
        <w:snapToGrid w:val="0"/>
        <w:spacing w:beforeAutospacing="0" w:afterAutospacing="0" w:line="360" w:lineRule="auto"/>
        <w:ind w:left="0" w:leftChars="0" w:right="0" w:rightChars="0" w:firstLine="1"/>
        <w:jc w:val="left"/>
        <w:rPr>
          <w:rFonts w:ascii="宋体" w:hAnsi="宋体"/>
          <w:color w:val="auto"/>
          <w:kern w:val="0"/>
          <w:sz w:val="24"/>
          <w:szCs w:val="20"/>
          <w:highlight w:val="none"/>
        </w:rPr>
      </w:pPr>
      <w:r>
        <w:rPr>
          <w:rFonts w:hint="eastAsia" w:ascii="宋体" w:hAnsi="宋体"/>
          <w:color w:val="auto"/>
          <w:kern w:val="0"/>
          <w:sz w:val="24"/>
          <w:szCs w:val="20"/>
          <w:highlight w:val="none"/>
        </w:rPr>
        <w:t>代理人无转委托权。</w:t>
      </w:r>
      <w:r>
        <w:rPr>
          <w:rFonts w:ascii="宋体" w:hAnsi="宋体"/>
          <w:color w:val="auto"/>
          <w:kern w:val="0"/>
          <w:sz w:val="24"/>
          <w:szCs w:val="20"/>
          <w:highlight w:val="none"/>
        </w:rPr>
        <w:t xml:space="preserve"> </w:t>
      </w:r>
    </w:p>
    <w:p w14:paraId="72380D94">
      <w:pPr>
        <w:pageBreakBefore w:val="0"/>
        <w:tabs>
          <w:tab w:val="left" w:pos="2040"/>
          <w:tab w:val="left" w:pos="4785"/>
          <w:tab w:val="left" w:pos="4815"/>
          <w:tab w:val="left" w:pos="8000"/>
        </w:tabs>
        <w:kinsoku/>
        <w:overflowPunct/>
        <w:autoSpaceDE w:val="0"/>
        <w:autoSpaceDN w:val="0"/>
        <w:bidi w:val="0"/>
        <w:adjustRightInd w:val="0"/>
        <w:snapToGrid w:val="0"/>
        <w:spacing w:beforeAutospacing="0" w:afterAutospacing="0" w:line="360" w:lineRule="auto"/>
        <w:ind w:left="0" w:leftChars="0" w:right="0" w:rightChars="0" w:firstLine="420"/>
        <w:rPr>
          <w:rFonts w:ascii="宋体" w:hAnsi="宋体"/>
          <w:color w:val="auto"/>
          <w:kern w:val="0"/>
          <w:sz w:val="24"/>
          <w:szCs w:val="20"/>
          <w:highlight w:val="none"/>
        </w:rPr>
      </w:pPr>
      <w:r>
        <w:rPr>
          <w:rFonts w:hint="eastAsia" w:ascii="宋体" w:hAnsi="宋体"/>
          <w:color w:val="auto"/>
          <w:kern w:val="0"/>
          <w:sz w:val="24"/>
          <w:szCs w:val="20"/>
          <w:highlight w:val="none"/>
        </w:rPr>
        <w:t>附：法定代表人及委托代理人有效身份证复印件</w:t>
      </w:r>
    </w:p>
    <w:p w14:paraId="4A064662">
      <w:pPr>
        <w:pageBreakBefore w:val="0"/>
        <w:tabs>
          <w:tab w:val="left" w:pos="2040"/>
          <w:tab w:val="left" w:pos="4785"/>
          <w:tab w:val="left" w:pos="4815"/>
          <w:tab w:val="left" w:pos="8000"/>
        </w:tabs>
        <w:kinsoku/>
        <w:overflowPunct/>
        <w:autoSpaceDE w:val="0"/>
        <w:autoSpaceDN w:val="0"/>
        <w:bidi w:val="0"/>
        <w:adjustRightInd w:val="0"/>
        <w:snapToGrid w:val="0"/>
        <w:spacing w:beforeAutospacing="0" w:afterAutospacing="0" w:line="360" w:lineRule="auto"/>
        <w:ind w:left="0" w:leftChars="0" w:right="0" w:rightChars="0" w:firstLine="420"/>
        <w:rPr>
          <w:rFonts w:ascii="宋体" w:hAnsi="宋体"/>
          <w:color w:val="auto"/>
          <w:kern w:val="0"/>
          <w:sz w:val="24"/>
          <w:szCs w:val="20"/>
          <w:highlight w:val="none"/>
        </w:rPr>
      </w:pPr>
    </w:p>
    <w:p w14:paraId="1ABF1D29">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308EB970">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w:t>
      </w:r>
      <w:r>
        <w:rPr>
          <w:rFonts w:hint="eastAsia" w:ascii="宋体" w:hAnsi="宋体" w:cs="宋体"/>
          <w:color w:val="auto"/>
          <w:sz w:val="24"/>
          <w:szCs w:val="20"/>
          <w:highlight w:val="none"/>
        </w:rPr>
        <w:t>电子签章</w:t>
      </w:r>
      <w:r>
        <w:rPr>
          <w:rFonts w:hint="eastAsia"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753B0047">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授权委托日期：</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p w14:paraId="43B7F70B">
      <w:pPr>
        <w:pageBreakBefore w:val="0"/>
        <w:kinsoku/>
        <w:overflowPunct/>
        <w:autoSpaceDE w:val="0"/>
        <w:autoSpaceDN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kern w:val="0"/>
          <w:sz w:val="24"/>
          <w:szCs w:val="20"/>
          <w:highlight w:val="none"/>
        </w:rPr>
      </w:pPr>
    </w:p>
    <w:tbl>
      <w:tblPr>
        <w:tblStyle w:val="2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96"/>
        <w:gridCol w:w="4796"/>
      </w:tblGrid>
      <w:tr w14:paraId="5778C00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19" w:hRule="atLeast"/>
          <w:jc w:val="center"/>
        </w:trPr>
        <w:tc>
          <w:tcPr>
            <w:tcW w:w="4796" w:type="dxa"/>
            <w:vAlign w:val="center"/>
          </w:tcPr>
          <w:p w14:paraId="27DFE457">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扫描件（正面）</w:t>
            </w:r>
          </w:p>
          <w:p w14:paraId="6466076F">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0"/>
                <w:highlight w:val="none"/>
              </w:rPr>
            </w:pPr>
          </w:p>
        </w:tc>
        <w:tc>
          <w:tcPr>
            <w:tcW w:w="4796" w:type="dxa"/>
            <w:vAlign w:val="center"/>
          </w:tcPr>
          <w:p w14:paraId="39591D36">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扫描件（反面）</w:t>
            </w:r>
          </w:p>
          <w:p w14:paraId="3B0F8FD3">
            <w:pPr>
              <w:pageBreakBefore w:val="0"/>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s="宋体"/>
                <w:color w:val="auto"/>
                <w:kern w:val="0"/>
                <w:sz w:val="24"/>
                <w:szCs w:val="20"/>
                <w:highlight w:val="none"/>
              </w:rPr>
            </w:pPr>
          </w:p>
        </w:tc>
      </w:tr>
    </w:tbl>
    <w:p w14:paraId="4C362920">
      <w:pPr>
        <w:pageBreakBefore w:val="0"/>
        <w:kinsoku/>
        <w:overflowPunct/>
        <w:bidi w:val="0"/>
        <w:adjustRightInd w:val="0"/>
        <w:snapToGrid w:val="0"/>
        <w:spacing w:beforeAutospacing="0" w:afterAutospacing="0" w:line="360" w:lineRule="auto"/>
        <w:ind w:left="0" w:leftChars="0" w:right="0" w:rightChars="0"/>
        <w:rPr>
          <w:vanish/>
          <w:color w:val="auto"/>
          <w:highlight w:val="none"/>
        </w:rPr>
      </w:pPr>
    </w:p>
    <w:tbl>
      <w:tblPr>
        <w:tblStyle w:val="22"/>
        <w:tblpPr w:leftFromText="180" w:rightFromText="180" w:vertAnchor="text" w:horzAnchor="margin" w:tblpXSpec="left" w:tblpY="25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81"/>
        <w:gridCol w:w="4781"/>
      </w:tblGrid>
      <w:tr w14:paraId="0689E22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48" w:hRule="atLeast"/>
        </w:trPr>
        <w:tc>
          <w:tcPr>
            <w:tcW w:w="4781" w:type="dxa"/>
            <w:vAlign w:val="center"/>
          </w:tcPr>
          <w:p w14:paraId="56383514">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被授权委托人身份证扫描件（正面）</w:t>
            </w:r>
          </w:p>
          <w:p w14:paraId="210737E3">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c>
          <w:tcPr>
            <w:tcW w:w="4781" w:type="dxa"/>
            <w:vAlign w:val="center"/>
          </w:tcPr>
          <w:p w14:paraId="3C0637BE">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olor w:val="auto"/>
                <w:spacing w:val="8"/>
                <w:sz w:val="24"/>
                <w:szCs w:val="20"/>
                <w:highlight w:val="none"/>
              </w:rPr>
            </w:pPr>
            <w:r>
              <w:rPr>
                <w:rFonts w:hint="eastAsia" w:ascii="宋体" w:hAnsi="宋体"/>
                <w:color w:val="auto"/>
                <w:spacing w:val="8"/>
                <w:sz w:val="24"/>
                <w:szCs w:val="20"/>
                <w:highlight w:val="none"/>
              </w:rPr>
              <w:t>被授权委托人身份证扫描件（反面）</w:t>
            </w:r>
          </w:p>
          <w:p w14:paraId="1DD0B5B2">
            <w:pPr>
              <w:pageBreakBefore w:val="0"/>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p>
        </w:tc>
      </w:tr>
    </w:tbl>
    <w:p w14:paraId="63012E1B">
      <w:pPr>
        <w:pageBreakBefore w:val="0"/>
        <w:tabs>
          <w:tab w:val="left" w:pos="5835"/>
        </w:tabs>
        <w:kinsoku/>
        <w:overflowPunct/>
        <w:autoSpaceDE w:val="0"/>
        <w:autoSpaceDN w:val="0"/>
        <w:bidi w:val="0"/>
        <w:adjustRightInd w:val="0"/>
        <w:snapToGrid w:val="0"/>
        <w:spacing w:beforeAutospacing="0" w:afterAutospacing="0" w:line="360" w:lineRule="auto"/>
        <w:ind w:left="0" w:leftChars="0" w:right="0" w:rightChars="0"/>
        <w:jc w:val="left"/>
        <w:rPr>
          <w:rFonts w:ascii="宋体" w:hAnsi="宋体"/>
          <w:color w:val="auto"/>
          <w:kern w:val="0"/>
          <w:sz w:val="24"/>
          <w:szCs w:val="20"/>
          <w:highlight w:val="none"/>
        </w:rPr>
      </w:pPr>
    </w:p>
    <w:p w14:paraId="257AB7D0">
      <w:pPr>
        <w:pageBreakBefore w:val="0"/>
        <w:kinsoku/>
        <w:overflowPunct/>
        <w:bidi w:val="0"/>
        <w:adjustRightInd w:val="0"/>
        <w:snapToGrid w:val="0"/>
        <w:spacing w:beforeAutospacing="0" w:afterAutospacing="0" w:line="360" w:lineRule="auto"/>
        <w:ind w:left="0" w:leftChars="0" w:right="0" w:rightChars="0"/>
        <w:rPr>
          <w:rFonts w:hint="eastAsia" w:ascii="Times New Roman" w:hAnsi="Times New Roman"/>
          <w:b/>
          <w:color w:val="auto"/>
          <w:sz w:val="24"/>
          <w:szCs w:val="24"/>
          <w:highlight w:val="none"/>
        </w:rPr>
        <w:sectPr>
          <w:footerReference r:id="rId7" w:type="first"/>
          <w:footerReference r:id="rId6" w:type="default"/>
          <w:pgSz w:w="11906" w:h="16838"/>
          <w:pgMar w:top="1417" w:right="1247" w:bottom="1417" w:left="1247" w:header="851" w:footer="992" w:gutter="0"/>
          <w:pgNumType w:fmt="decimal" w:start="1"/>
          <w:cols w:space="720" w:num="1"/>
          <w:titlePg/>
          <w:docGrid w:type="lines" w:linePitch="312" w:charSpace="0"/>
        </w:sectPr>
      </w:pPr>
      <w:bookmarkStart w:id="189" w:name="_Toc257026344"/>
      <w:bookmarkStart w:id="190" w:name="_Toc247965866"/>
      <w:r>
        <w:rPr>
          <w:rFonts w:hint="eastAsia" w:ascii="Times New Roman" w:hAnsi="Times New Roman"/>
          <w:b/>
          <w:color w:val="auto"/>
          <w:sz w:val="24"/>
          <w:szCs w:val="24"/>
          <w:highlight w:val="none"/>
        </w:rPr>
        <w:t>（备注：如是法定代表人参加投标，本格式不需提供。）</w:t>
      </w:r>
    </w:p>
    <w:p w14:paraId="2BEFCDE3">
      <w:pPr>
        <w:pStyle w:val="3"/>
        <w:pageBreakBefore w:val="0"/>
        <w:kinsoku/>
        <w:overflowPunct/>
        <w:bidi w:val="0"/>
        <w:adjustRightInd w:val="0"/>
        <w:snapToGrid w:val="0"/>
        <w:spacing w:before="0" w:beforeAutospacing="0" w:after="0" w:afterAutospacing="0" w:line="360" w:lineRule="auto"/>
        <w:ind w:left="0" w:leftChars="0" w:right="0" w:rightChars="0"/>
        <w:jc w:val="center"/>
        <w:rPr>
          <w:b/>
          <w:color w:val="auto"/>
          <w:highlight w:val="none"/>
        </w:rPr>
      </w:pPr>
      <w:bookmarkStart w:id="191" w:name="_Toc15722"/>
      <w:r>
        <w:rPr>
          <w:rFonts w:hint="eastAsia" w:ascii="宋体" w:hAnsi="宋体" w:eastAsia="宋体"/>
          <w:color w:val="auto"/>
          <w:sz w:val="30"/>
          <w:szCs w:val="30"/>
          <w:highlight w:val="none"/>
          <w:lang w:eastAsia="zh-CN"/>
        </w:rPr>
        <w:t>三</w:t>
      </w:r>
      <w:r>
        <w:rPr>
          <w:rFonts w:hint="eastAsia" w:ascii="宋体" w:hAnsi="宋体" w:eastAsia="宋体"/>
          <w:color w:val="auto"/>
          <w:sz w:val="30"/>
          <w:szCs w:val="30"/>
          <w:highlight w:val="none"/>
        </w:rPr>
        <w:t>、投标报价明细表</w:t>
      </w:r>
      <w:bookmarkEnd w:id="191"/>
    </w:p>
    <w:p w14:paraId="0D956BBA">
      <w:pPr>
        <w:pageBreakBefore w:val="0"/>
        <w:kinsoku/>
        <w:overflowPunct/>
        <w:bidi w:val="0"/>
        <w:adjustRightInd w:val="0"/>
        <w:snapToGrid w:val="0"/>
        <w:spacing w:beforeAutospacing="0" w:afterAutospacing="0" w:line="360" w:lineRule="auto"/>
        <w:ind w:left="0" w:leftChars="0" w:right="0" w:rightChars="0"/>
        <w:jc w:val="center"/>
        <w:rPr>
          <w:rFonts w:ascii="宋体" w:hAnsi="宋体" w:cs="宋体"/>
          <w:color w:val="auto"/>
          <w:kern w:val="0"/>
          <w:sz w:val="24"/>
          <w:szCs w:val="20"/>
          <w:highlight w:val="none"/>
        </w:rPr>
      </w:pPr>
      <w:r>
        <w:rPr>
          <w:rFonts w:hint="eastAsia" w:ascii="宋体" w:hAnsi="宋体" w:cs="宋体"/>
          <w:b/>
          <w:color w:val="auto"/>
          <w:kern w:val="0"/>
          <w:sz w:val="24"/>
          <w:szCs w:val="20"/>
          <w:highlight w:val="none"/>
        </w:rPr>
        <w:t xml:space="preserve">                                                              </w:t>
      </w:r>
      <w:r>
        <w:rPr>
          <w:rFonts w:ascii="宋体" w:hAnsi="宋体" w:cs="宋体"/>
          <w:color w:val="auto"/>
          <w:kern w:val="0"/>
          <w:sz w:val="24"/>
          <w:szCs w:val="20"/>
          <w:highlight w:val="none"/>
        </w:rPr>
        <w:t>单位：元（人民币）</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2649"/>
        <w:gridCol w:w="1396"/>
        <w:gridCol w:w="1531"/>
        <w:gridCol w:w="2191"/>
        <w:gridCol w:w="1350"/>
      </w:tblGrid>
      <w:tr w14:paraId="2DB8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264" w:type="pct"/>
            <w:vAlign w:val="center"/>
          </w:tcPr>
          <w:p w14:paraId="6D6A1CEE">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序号</w:t>
            </w:r>
          </w:p>
        </w:tc>
        <w:tc>
          <w:tcPr>
            <w:tcW w:w="1376" w:type="pct"/>
            <w:vAlign w:val="center"/>
          </w:tcPr>
          <w:p w14:paraId="13F0BD5A">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名称</w:t>
            </w:r>
          </w:p>
        </w:tc>
        <w:tc>
          <w:tcPr>
            <w:tcW w:w="725" w:type="pct"/>
            <w:vAlign w:val="center"/>
          </w:tcPr>
          <w:p w14:paraId="18214D4C">
            <w:pPr>
              <w:pageBreakBefore w:val="0"/>
              <w:kinsoku/>
              <w:overflowPunct/>
              <w:bidi w:val="0"/>
              <w:adjustRightInd w:val="0"/>
              <w:snapToGrid w:val="0"/>
              <w:spacing w:beforeAutospacing="0" w:afterAutospacing="0" w:line="360" w:lineRule="auto"/>
              <w:ind w:left="0" w:leftChars="0" w:right="0" w:rightChars="0"/>
              <w:jc w:val="center"/>
              <w:rPr>
                <w:rFonts w:hint="eastAsia" w:eastAsia="宋体"/>
                <w:b/>
                <w:bCs/>
                <w:color w:val="auto"/>
                <w:highlight w:val="none"/>
                <w:lang w:eastAsia="zh-CN"/>
              </w:rPr>
            </w:pPr>
            <w:r>
              <w:rPr>
                <w:rFonts w:hint="eastAsia"/>
                <w:b/>
                <w:bCs/>
                <w:color w:val="auto"/>
                <w:highlight w:val="none"/>
                <w:lang w:val="en-US" w:eastAsia="zh-CN"/>
              </w:rPr>
              <w:t>参数</w:t>
            </w:r>
          </w:p>
        </w:tc>
        <w:tc>
          <w:tcPr>
            <w:tcW w:w="794" w:type="pct"/>
            <w:vAlign w:val="center"/>
          </w:tcPr>
          <w:p w14:paraId="4F3FCD48">
            <w:pPr>
              <w:pageBreakBefore w:val="0"/>
              <w:kinsoku/>
              <w:overflowPunct/>
              <w:bidi w:val="0"/>
              <w:adjustRightInd w:val="0"/>
              <w:snapToGrid w:val="0"/>
              <w:spacing w:beforeAutospacing="0" w:afterAutospacing="0" w:line="360" w:lineRule="auto"/>
              <w:ind w:left="0" w:leftChars="0" w:right="0" w:rightChars="0"/>
              <w:jc w:val="center"/>
              <w:rPr>
                <w:rFonts w:cs="宋体"/>
                <w:b/>
                <w:bCs/>
                <w:color w:val="auto"/>
                <w:highlight w:val="none"/>
              </w:rPr>
            </w:pPr>
            <w:r>
              <w:rPr>
                <w:rFonts w:hint="eastAsia" w:cs="宋体"/>
                <w:b/>
                <w:bCs/>
                <w:color w:val="auto"/>
                <w:highlight w:val="none"/>
              </w:rPr>
              <w:t>数量</w:t>
            </w:r>
          </w:p>
          <w:p w14:paraId="50676581">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（套）</w:t>
            </w:r>
          </w:p>
        </w:tc>
        <w:tc>
          <w:tcPr>
            <w:tcW w:w="1138" w:type="pct"/>
            <w:vAlign w:val="center"/>
          </w:tcPr>
          <w:p w14:paraId="6D98B990">
            <w:pPr>
              <w:pageBreakBefore w:val="0"/>
              <w:kinsoku/>
              <w:overflowPunct/>
              <w:bidi w:val="0"/>
              <w:adjustRightInd w:val="0"/>
              <w:snapToGrid w:val="0"/>
              <w:spacing w:beforeAutospacing="0" w:afterAutospacing="0" w:line="360" w:lineRule="auto"/>
              <w:ind w:left="0" w:leftChars="0" w:right="0" w:rightChars="0"/>
              <w:jc w:val="center"/>
              <w:rPr>
                <w:rFonts w:hint="eastAsia" w:eastAsia="宋体"/>
                <w:b/>
                <w:bCs/>
                <w:color w:val="auto"/>
                <w:highlight w:val="none"/>
                <w:lang w:val="en-US" w:eastAsia="zh-CN"/>
              </w:rPr>
            </w:pPr>
            <w:r>
              <w:rPr>
                <w:rFonts w:hint="eastAsia" w:cs="宋体"/>
                <w:b/>
                <w:bCs/>
                <w:color w:val="auto"/>
                <w:highlight w:val="none"/>
              </w:rPr>
              <w:t>单价</w:t>
            </w:r>
            <w:r>
              <w:rPr>
                <w:rFonts w:hint="eastAsia" w:cs="宋体"/>
                <w:b/>
                <w:bCs/>
                <w:color w:val="auto"/>
                <w:highlight w:val="none"/>
                <w:lang w:eastAsia="zh-CN"/>
              </w:rPr>
              <w:t>（</w:t>
            </w:r>
            <w:r>
              <w:rPr>
                <w:rFonts w:hint="eastAsia" w:cs="宋体"/>
                <w:b/>
                <w:bCs/>
                <w:color w:val="auto"/>
                <w:highlight w:val="none"/>
                <w:lang w:val="en-US" w:eastAsia="zh-CN"/>
              </w:rPr>
              <w:t>元</w:t>
            </w:r>
            <w:r>
              <w:rPr>
                <w:rFonts w:hint="eastAsia" w:cs="宋体"/>
                <w:b/>
                <w:bCs/>
                <w:color w:val="auto"/>
                <w:highlight w:val="none"/>
                <w:lang w:eastAsia="zh-CN"/>
              </w:rPr>
              <w:t>）</w:t>
            </w:r>
          </w:p>
        </w:tc>
        <w:tc>
          <w:tcPr>
            <w:tcW w:w="701" w:type="pct"/>
            <w:vAlign w:val="center"/>
          </w:tcPr>
          <w:p w14:paraId="7A7CDECA">
            <w:pPr>
              <w:pageBreakBefore w:val="0"/>
              <w:kinsoku/>
              <w:overflowPunct/>
              <w:bidi w:val="0"/>
              <w:adjustRightInd w:val="0"/>
              <w:snapToGrid w:val="0"/>
              <w:spacing w:beforeAutospacing="0" w:afterAutospacing="0" w:line="360" w:lineRule="auto"/>
              <w:ind w:left="0" w:leftChars="0" w:right="0" w:rightChars="0"/>
              <w:jc w:val="center"/>
              <w:rPr>
                <w:b/>
                <w:bCs/>
                <w:color w:val="auto"/>
                <w:highlight w:val="none"/>
              </w:rPr>
            </w:pPr>
            <w:r>
              <w:rPr>
                <w:rFonts w:hint="eastAsia" w:cs="宋体"/>
                <w:b/>
                <w:bCs/>
                <w:color w:val="auto"/>
                <w:highlight w:val="none"/>
              </w:rPr>
              <w:t>小计</w:t>
            </w:r>
          </w:p>
        </w:tc>
      </w:tr>
      <w:tr w14:paraId="01F5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264" w:type="pct"/>
            <w:vAlign w:val="center"/>
          </w:tcPr>
          <w:p w14:paraId="45F8387E">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376" w:type="pct"/>
            <w:vAlign w:val="center"/>
          </w:tcPr>
          <w:p w14:paraId="5EE9B0B4">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25" w:type="pct"/>
            <w:vAlign w:val="center"/>
          </w:tcPr>
          <w:p w14:paraId="64FD47F2">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94" w:type="pct"/>
            <w:vAlign w:val="center"/>
          </w:tcPr>
          <w:p w14:paraId="16AA9E1D">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138" w:type="pct"/>
            <w:vAlign w:val="center"/>
          </w:tcPr>
          <w:p w14:paraId="38976C5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01" w:type="pct"/>
            <w:vAlign w:val="center"/>
          </w:tcPr>
          <w:p w14:paraId="2A392FF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r w14:paraId="54FB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264" w:type="pct"/>
            <w:vAlign w:val="center"/>
          </w:tcPr>
          <w:p w14:paraId="26E6F403">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376" w:type="pct"/>
            <w:vAlign w:val="center"/>
          </w:tcPr>
          <w:p w14:paraId="3C39476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25" w:type="pct"/>
            <w:vAlign w:val="center"/>
          </w:tcPr>
          <w:p w14:paraId="4D67847E">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94" w:type="pct"/>
            <w:vAlign w:val="center"/>
          </w:tcPr>
          <w:p w14:paraId="427D5935">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138" w:type="pct"/>
            <w:vAlign w:val="center"/>
          </w:tcPr>
          <w:p w14:paraId="505846C5">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701" w:type="pct"/>
            <w:vAlign w:val="center"/>
          </w:tcPr>
          <w:p w14:paraId="4CD6537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r w14:paraId="4370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640" w:type="pct"/>
            <w:gridSpan w:val="2"/>
            <w:vMerge w:val="restart"/>
            <w:vAlign w:val="center"/>
          </w:tcPr>
          <w:p w14:paraId="0AA2ADF1">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s="宋体"/>
                <w:color w:val="auto"/>
                <w:highlight w:val="none"/>
              </w:rPr>
              <w:t>合计金额</w:t>
            </w:r>
          </w:p>
        </w:tc>
        <w:tc>
          <w:tcPr>
            <w:tcW w:w="1520" w:type="pct"/>
            <w:gridSpan w:val="2"/>
            <w:vAlign w:val="center"/>
          </w:tcPr>
          <w:p w14:paraId="02B38626">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s="宋体"/>
                <w:color w:val="auto"/>
                <w:highlight w:val="none"/>
              </w:rPr>
              <w:t>大写</w:t>
            </w:r>
          </w:p>
        </w:tc>
        <w:tc>
          <w:tcPr>
            <w:tcW w:w="1839" w:type="pct"/>
            <w:gridSpan w:val="2"/>
            <w:vAlign w:val="center"/>
          </w:tcPr>
          <w:p w14:paraId="2D17A48E">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r w14:paraId="477C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1640" w:type="pct"/>
            <w:gridSpan w:val="2"/>
            <w:vMerge w:val="continue"/>
            <w:vAlign w:val="center"/>
          </w:tcPr>
          <w:p w14:paraId="09BBE913">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c>
          <w:tcPr>
            <w:tcW w:w="1520" w:type="pct"/>
            <w:gridSpan w:val="2"/>
            <w:vAlign w:val="center"/>
          </w:tcPr>
          <w:p w14:paraId="6E248C45">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r>
              <w:rPr>
                <w:rFonts w:hint="eastAsia" w:cs="宋体"/>
                <w:color w:val="auto"/>
                <w:highlight w:val="none"/>
              </w:rPr>
              <w:t>小写</w:t>
            </w:r>
          </w:p>
        </w:tc>
        <w:tc>
          <w:tcPr>
            <w:tcW w:w="1839" w:type="pct"/>
            <w:gridSpan w:val="2"/>
            <w:vAlign w:val="center"/>
          </w:tcPr>
          <w:p w14:paraId="43FE8622">
            <w:pPr>
              <w:pageBreakBefore w:val="0"/>
              <w:kinsoku/>
              <w:overflowPunct/>
              <w:bidi w:val="0"/>
              <w:adjustRightInd w:val="0"/>
              <w:snapToGrid w:val="0"/>
              <w:spacing w:beforeAutospacing="0" w:afterAutospacing="0" w:line="360" w:lineRule="auto"/>
              <w:ind w:left="0" w:leftChars="0" w:right="0" w:rightChars="0"/>
              <w:jc w:val="center"/>
              <w:rPr>
                <w:color w:val="auto"/>
                <w:highlight w:val="none"/>
              </w:rPr>
            </w:pPr>
          </w:p>
        </w:tc>
      </w:tr>
    </w:tbl>
    <w:p w14:paraId="1012A0A2">
      <w:pPr>
        <w:pageBreakBefore w:val="0"/>
        <w:kinsoku/>
        <w:overflowPunct/>
        <w:bidi w:val="0"/>
        <w:adjustRightInd w:val="0"/>
        <w:snapToGrid w:val="0"/>
        <w:spacing w:beforeAutospacing="0" w:afterAutospacing="0" w:line="360" w:lineRule="auto"/>
        <w:ind w:left="0" w:leftChars="0" w:right="0" w:rightChars="0"/>
        <w:rPr>
          <w:rFonts w:ascii="宋体" w:hAnsi="宋体"/>
          <w:bCs/>
          <w:color w:val="auto"/>
          <w:sz w:val="24"/>
          <w:szCs w:val="24"/>
          <w:highlight w:val="none"/>
        </w:rPr>
      </w:pPr>
      <w:r>
        <w:rPr>
          <w:rFonts w:hint="eastAsia" w:ascii="宋体" w:hAnsi="宋体" w:cs="宋体"/>
          <w:color w:val="auto"/>
          <w:kern w:val="0"/>
          <w:sz w:val="24"/>
          <w:szCs w:val="20"/>
          <w:highlight w:val="none"/>
        </w:rPr>
        <w:t>说明：1.</w:t>
      </w:r>
      <w:r>
        <w:rPr>
          <w:rFonts w:hint="eastAsia" w:ascii="宋体" w:hAnsi="宋体"/>
          <w:bCs/>
          <w:color w:val="auto"/>
          <w:sz w:val="24"/>
          <w:szCs w:val="24"/>
          <w:highlight w:val="none"/>
        </w:rPr>
        <w:t xml:space="preserve"> 分项报价合计金额应与投标报价表一致。</w:t>
      </w:r>
    </w:p>
    <w:p w14:paraId="12600591">
      <w:pPr>
        <w:pageBreakBefore w:val="0"/>
        <w:kinsoku/>
        <w:overflowPunct/>
        <w:bidi w:val="0"/>
        <w:adjustRightInd w:val="0"/>
        <w:snapToGrid w:val="0"/>
        <w:spacing w:beforeAutospacing="0" w:afterAutospacing="0" w:line="360" w:lineRule="auto"/>
        <w:ind w:left="0" w:leftChars="0" w:right="0" w:rightChars="0" w:firstLine="720" w:firstLineChars="300"/>
        <w:rPr>
          <w:rFonts w:ascii="宋体" w:hAnsi="宋体" w:cs="宋体"/>
          <w:color w:val="auto"/>
          <w:kern w:val="0"/>
          <w:sz w:val="24"/>
          <w:szCs w:val="20"/>
          <w:highlight w:val="none"/>
        </w:rPr>
      </w:pPr>
      <w:r>
        <w:rPr>
          <w:rFonts w:hint="eastAsia" w:ascii="宋体" w:hAnsi="宋体"/>
          <w:bCs/>
          <w:color w:val="auto"/>
          <w:sz w:val="24"/>
          <w:szCs w:val="24"/>
          <w:highlight w:val="none"/>
        </w:rPr>
        <w:t>2. 投标人可根据实际情况增减行。</w:t>
      </w:r>
    </w:p>
    <w:p w14:paraId="66D24EC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 xml:space="preserve">      3.</w:t>
      </w:r>
      <w:r>
        <w:rPr>
          <w:rFonts w:hint="eastAsia" w:ascii="宋体" w:hAnsi="宋体" w:cs="宋体"/>
          <w:color w:val="auto"/>
          <w:sz w:val="24"/>
          <w:szCs w:val="24"/>
          <w:highlight w:val="none"/>
        </w:rPr>
        <w:t xml:space="preserve"> 投标报价中包含此项目相关的装卸、运输、保险费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安装、调试等</w:t>
      </w:r>
      <w:r>
        <w:rPr>
          <w:rFonts w:hint="eastAsia" w:ascii="宋体" w:hAnsi="宋体" w:cs="宋体"/>
          <w:color w:val="auto"/>
          <w:sz w:val="24"/>
          <w:szCs w:val="24"/>
          <w:highlight w:val="none"/>
        </w:rPr>
        <w:t>所有费用。</w:t>
      </w:r>
    </w:p>
    <w:p w14:paraId="3757129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kern w:val="0"/>
          <w:sz w:val="24"/>
          <w:szCs w:val="20"/>
          <w:highlight w:val="none"/>
        </w:rPr>
      </w:pPr>
    </w:p>
    <w:p w14:paraId="38124008">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p>
    <w:p w14:paraId="7A34EF78">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p>
    <w:p w14:paraId="5318C37F">
      <w:pPr>
        <w:pageBreakBefore w:val="0"/>
        <w:kinsoku/>
        <w:overflowPunct/>
        <w:bidi w:val="0"/>
        <w:adjustRightInd w:val="0"/>
        <w:snapToGrid w:val="0"/>
        <w:spacing w:beforeAutospacing="0" w:afterAutospacing="0" w:line="360" w:lineRule="auto"/>
        <w:ind w:left="0" w:leftChars="0" w:right="0" w:rightChars="0"/>
        <w:rPr>
          <w:color w:val="auto"/>
          <w:highlight w:val="none"/>
        </w:rPr>
        <w:sectPr>
          <w:pgSz w:w="11906" w:h="16838"/>
          <w:pgMar w:top="1417" w:right="1247" w:bottom="1417" w:left="1247" w:header="851" w:footer="992" w:gutter="0"/>
          <w:pgNumType w:fmt="decimal"/>
          <w:cols w:space="720" w:num="1"/>
          <w:titlePg/>
          <w:docGrid w:type="lines" w:linePitch="312" w:charSpace="0"/>
        </w:sectPr>
      </w:pPr>
      <w:r>
        <w:rPr>
          <w:rFonts w:hint="eastAsia" w:ascii="宋体" w:hAnsi="宋体" w:cs="宋体"/>
          <w:color w:val="auto"/>
          <w:kern w:val="0"/>
          <w:sz w:val="24"/>
          <w:szCs w:val="20"/>
          <w:highlight w:val="none"/>
        </w:rPr>
        <w:t>日期：</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年</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ascii="宋体" w:hAnsi="宋体" w:cs="宋体"/>
          <w:color w:val="auto"/>
          <w:kern w:val="0"/>
          <w:sz w:val="24"/>
          <w:szCs w:val="20"/>
          <w:highlight w:val="none"/>
        </w:rPr>
        <w:t>月</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日</w:t>
      </w:r>
    </w:p>
    <w:bookmarkEnd w:id="189"/>
    <w:bookmarkEnd w:id="190"/>
    <w:p w14:paraId="3B0BCC01">
      <w:pPr>
        <w:keepNext/>
        <w:keepLines/>
        <w:pageBreakBefore w:val="0"/>
        <w:numPr>
          <w:ilvl w:val="0"/>
          <w:numId w:val="6"/>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rPr>
      </w:pPr>
      <w:bookmarkStart w:id="192" w:name="_Toc31642"/>
      <w:bookmarkStart w:id="193" w:name="_Toc9745"/>
      <w:bookmarkStart w:id="194" w:name="_Toc374376381"/>
      <w:bookmarkStart w:id="195" w:name="_Toc257026355"/>
      <w:bookmarkStart w:id="196" w:name="_Toc214173936"/>
      <w:bookmarkStart w:id="197" w:name="_Toc247961856"/>
      <w:r>
        <w:rPr>
          <w:rFonts w:hint="eastAsia" w:ascii="宋体" w:hAnsi="宋体"/>
          <w:b/>
          <w:bCs/>
          <w:color w:val="auto"/>
          <w:sz w:val="30"/>
          <w:szCs w:val="30"/>
          <w:highlight w:val="none"/>
        </w:rPr>
        <w:t>技术偏离</w:t>
      </w:r>
      <w:bookmarkEnd w:id="192"/>
    </w:p>
    <w:p w14:paraId="78E277FA">
      <w:pPr>
        <w:keepNext/>
        <w:keepLines/>
        <w:pageBreakBefore w:val="0"/>
        <w:numPr>
          <w:ilvl w:val="0"/>
          <w:numId w:val="0"/>
        </w:numPr>
        <w:kinsoku/>
        <w:overflowPunct/>
        <w:bidi w:val="0"/>
        <w:adjustRightInd w:val="0"/>
        <w:snapToGrid w:val="0"/>
        <w:spacing w:beforeAutospacing="0" w:afterAutospacing="0" w:line="360" w:lineRule="auto"/>
        <w:ind w:right="0" w:rightChars="0"/>
        <w:jc w:val="center"/>
        <w:outlineLvl w:val="1"/>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lang w:eastAsia="zh-CN"/>
        </w:rPr>
        <w:t>（</w:t>
      </w:r>
      <w:r>
        <w:rPr>
          <w:rFonts w:hint="eastAsia" w:ascii="宋体" w:hAnsi="宋体"/>
          <w:b/>
          <w:bCs/>
          <w:color w:val="auto"/>
          <w:sz w:val="30"/>
          <w:szCs w:val="30"/>
          <w:highlight w:val="none"/>
          <w:lang w:val="en-US" w:eastAsia="zh-CN"/>
        </w:rPr>
        <w:t>格式自拟，需对是否响应是否偏离做出说明</w:t>
      </w:r>
      <w:r>
        <w:rPr>
          <w:rFonts w:hint="eastAsia" w:ascii="宋体" w:hAnsi="宋体"/>
          <w:b/>
          <w:bCs/>
          <w:color w:val="auto"/>
          <w:sz w:val="30"/>
          <w:szCs w:val="30"/>
          <w:highlight w:val="none"/>
          <w:lang w:eastAsia="zh-CN"/>
        </w:rPr>
        <w:t>）</w:t>
      </w:r>
    </w:p>
    <w:p w14:paraId="5D38FC80">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kern w:val="0"/>
          <w:sz w:val="24"/>
          <w:szCs w:val="20"/>
          <w:highlight w:val="none"/>
        </w:rPr>
      </w:pPr>
    </w:p>
    <w:p w14:paraId="7624FEFA">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695C6508">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540C1BDD">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163A6084">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61E41F3E">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0D2F5D5D">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49E06541">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231D85D8">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4A6D316C">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7F155BD0">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1C6B7FD9">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3EE1A7CD">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50C3DCA6">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2110AEDF">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2AE3EEFD">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645C7069">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669F7A39">
      <w:pPr>
        <w:pStyle w:val="21"/>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710F3A59">
      <w:pPr>
        <w:pageBreakBefore w:val="0"/>
        <w:kinsoku/>
        <w:overflowPunct/>
        <w:bidi w:val="0"/>
        <w:adjustRightInd w:val="0"/>
        <w:snapToGrid w:val="0"/>
        <w:spacing w:line="360" w:lineRule="auto"/>
        <w:ind w:right="0" w:rightChars="0"/>
        <w:rPr>
          <w:rFonts w:hint="eastAsia" w:ascii="宋体" w:hAnsi="宋体" w:cs="宋体"/>
          <w:color w:val="auto"/>
          <w:kern w:val="0"/>
          <w:sz w:val="24"/>
          <w:szCs w:val="20"/>
          <w:highlight w:val="none"/>
        </w:rPr>
      </w:pPr>
    </w:p>
    <w:p w14:paraId="1DD3D30B">
      <w:pPr>
        <w:pStyle w:val="20"/>
        <w:pageBreakBefore w:val="0"/>
        <w:kinsoku/>
        <w:overflowPunct/>
        <w:bidi w:val="0"/>
        <w:adjustRightInd w:val="0"/>
        <w:snapToGrid w:val="0"/>
        <w:spacing w:after="0" w:line="360" w:lineRule="auto"/>
        <w:ind w:right="0" w:rightChars="0"/>
        <w:rPr>
          <w:rFonts w:hint="eastAsia" w:ascii="宋体" w:hAnsi="宋体" w:cs="宋体"/>
          <w:color w:val="auto"/>
          <w:kern w:val="0"/>
          <w:sz w:val="24"/>
          <w:szCs w:val="20"/>
          <w:highlight w:val="none"/>
        </w:rPr>
      </w:pPr>
    </w:p>
    <w:p w14:paraId="460C65CA">
      <w:pPr>
        <w:pStyle w:val="21"/>
        <w:pageBreakBefore w:val="0"/>
        <w:kinsoku/>
        <w:overflowPunct/>
        <w:bidi w:val="0"/>
        <w:adjustRightInd w:val="0"/>
        <w:snapToGrid w:val="0"/>
        <w:spacing w:line="360" w:lineRule="auto"/>
        <w:ind w:right="0" w:rightChars="0"/>
        <w:rPr>
          <w:rFonts w:hint="eastAsia"/>
          <w:color w:val="auto"/>
          <w:highlight w:val="none"/>
        </w:rPr>
      </w:pPr>
    </w:p>
    <w:p w14:paraId="21E8032A">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rPr>
      </w:pPr>
      <w:r>
        <w:rPr>
          <w:rFonts w:hint="eastAsia" w:ascii="宋体" w:hAnsi="宋体" w:cs="宋体"/>
          <w:color w:val="auto"/>
          <w:kern w:val="0"/>
          <w:sz w:val="24"/>
          <w:szCs w:val="20"/>
          <w:highlight w:val="none"/>
        </w:rPr>
        <w:t>投标人</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 xml:space="preserve">   </w:t>
      </w:r>
    </w:p>
    <w:p w14:paraId="16BE805C">
      <w:pPr>
        <w:pageBreakBefore w:val="0"/>
        <w:tabs>
          <w:tab w:val="left" w:pos="7584"/>
        </w:tabs>
        <w:kinsoku/>
        <w:overflowPunct/>
        <w:bidi w:val="0"/>
        <w:adjustRightInd w:val="0"/>
        <w:snapToGrid w:val="0"/>
        <w:spacing w:beforeAutospacing="0" w:afterAutospacing="0" w:line="360" w:lineRule="auto"/>
        <w:ind w:left="0" w:leftChars="0" w:right="0" w:rightChars="0"/>
        <w:rPr>
          <w:rFonts w:ascii="宋体" w:hAnsi="宋体" w:cs="宋体"/>
          <w:color w:val="auto"/>
          <w:kern w:val="0"/>
          <w:sz w:val="24"/>
          <w:szCs w:val="20"/>
          <w:highlight w:val="none"/>
          <w:u w:val="single"/>
        </w:rPr>
      </w:pPr>
      <w:r>
        <w:rPr>
          <w:rFonts w:ascii="宋体" w:hAnsi="宋体" w:cs="宋体"/>
          <w:color w:val="auto"/>
          <w:kern w:val="0"/>
          <w:sz w:val="24"/>
          <w:szCs w:val="20"/>
          <w:highlight w:val="none"/>
        </w:rPr>
        <w:t>法定代表人（</w:t>
      </w:r>
      <w:r>
        <w:rPr>
          <w:rFonts w:hint="eastAsia" w:ascii="宋体" w:hAnsi="宋体" w:cs="宋体"/>
          <w:color w:val="auto"/>
          <w:kern w:val="0"/>
          <w:sz w:val="24"/>
          <w:szCs w:val="20"/>
          <w:highlight w:val="none"/>
        </w:rPr>
        <w:t>电子签章</w:t>
      </w:r>
      <w:r>
        <w:rPr>
          <w:rFonts w:ascii="宋体" w:hAnsi="宋体" w:cs="宋体"/>
          <w:color w:val="auto"/>
          <w:kern w:val="0"/>
          <w:sz w:val="24"/>
          <w:szCs w:val="20"/>
          <w:highlight w:val="none"/>
        </w:rPr>
        <w:t>）：</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szCs w:val="20"/>
          <w:highlight w:val="none"/>
          <w:u w:val="single"/>
        </w:rPr>
        <w:tab/>
      </w:r>
    </w:p>
    <w:p w14:paraId="4748DFDC">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ED97554">
      <w:pPr>
        <w:pStyle w:val="20"/>
        <w:pageBreakBefore w:val="0"/>
        <w:kinsoku/>
        <w:overflowPunct/>
        <w:bidi w:val="0"/>
        <w:adjustRightInd w:val="0"/>
        <w:snapToGrid w:val="0"/>
        <w:spacing w:after="0" w:line="360" w:lineRule="auto"/>
        <w:ind w:right="0" w:rightChars="0"/>
        <w:rPr>
          <w:rFonts w:hint="eastAsia" w:ascii="宋体" w:hAnsi="宋体" w:cs="宋体"/>
          <w:color w:val="auto"/>
          <w:szCs w:val="21"/>
          <w:highlight w:val="none"/>
        </w:rPr>
      </w:pPr>
    </w:p>
    <w:p w14:paraId="4B0307F5">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21F7F622">
      <w:pPr>
        <w:pageBreakBefore w:val="0"/>
        <w:kinsoku/>
        <w:overflowPunct/>
        <w:bidi w:val="0"/>
        <w:adjustRightInd w:val="0"/>
        <w:snapToGrid w:val="0"/>
        <w:spacing w:line="360" w:lineRule="auto"/>
        <w:ind w:right="0" w:rightChars="0"/>
        <w:rPr>
          <w:rFonts w:hint="eastAsia" w:ascii="宋体" w:hAnsi="宋体" w:cs="宋体"/>
          <w:color w:val="auto"/>
          <w:szCs w:val="21"/>
          <w:highlight w:val="none"/>
        </w:rPr>
      </w:pPr>
    </w:p>
    <w:p w14:paraId="75B9529C">
      <w:pPr>
        <w:pStyle w:val="20"/>
        <w:pageBreakBefore w:val="0"/>
        <w:kinsoku/>
        <w:overflowPunct/>
        <w:bidi w:val="0"/>
        <w:adjustRightInd w:val="0"/>
        <w:snapToGrid w:val="0"/>
        <w:spacing w:after="0" w:line="360" w:lineRule="auto"/>
        <w:ind w:right="0" w:rightChars="0"/>
        <w:rPr>
          <w:rFonts w:hint="eastAsia" w:ascii="宋体" w:hAnsi="宋体" w:cs="宋体"/>
          <w:color w:val="auto"/>
          <w:szCs w:val="21"/>
          <w:highlight w:val="none"/>
        </w:rPr>
      </w:pPr>
    </w:p>
    <w:p w14:paraId="4ACB038A">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ascii="宋体" w:hAnsi="宋体"/>
          <w:b/>
          <w:bCs/>
          <w:color w:val="auto"/>
          <w:sz w:val="30"/>
          <w:szCs w:val="30"/>
          <w:highlight w:val="none"/>
        </w:rPr>
      </w:pPr>
      <w:bookmarkStart w:id="198" w:name="_Toc23407"/>
      <w:r>
        <w:rPr>
          <w:rFonts w:hint="eastAsia" w:ascii="宋体" w:hAnsi="宋体"/>
          <w:b/>
          <w:bCs/>
          <w:color w:val="auto"/>
          <w:sz w:val="30"/>
          <w:szCs w:val="30"/>
          <w:highlight w:val="none"/>
          <w:lang w:eastAsia="zh-CN"/>
        </w:rPr>
        <w:t>五</w:t>
      </w:r>
      <w:r>
        <w:rPr>
          <w:rFonts w:hint="eastAsia" w:ascii="宋体" w:hAnsi="宋体"/>
          <w:b/>
          <w:bCs/>
          <w:color w:val="auto"/>
          <w:sz w:val="30"/>
          <w:szCs w:val="30"/>
          <w:highlight w:val="none"/>
        </w:rPr>
        <w:t>、资格审查资料</w:t>
      </w:r>
      <w:bookmarkEnd w:id="193"/>
      <w:bookmarkEnd w:id="198"/>
    </w:p>
    <w:p w14:paraId="5A6569D4">
      <w:pPr>
        <w:pStyle w:val="18"/>
        <w:pageBreakBefore w:val="0"/>
        <w:kinsoku/>
        <w:overflowPunct/>
        <w:bidi w:val="0"/>
        <w:adjustRightInd w:val="0"/>
        <w:snapToGrid w:val="0"/>
        <w:spacing w:beforeAutospacing="0" w:after="0" w:afterAutospacing="0" w:line="360" w:lineRule="auto"/>
        <w:ind w:left="0" w:leftChars="0" w:right="0" w:rightChars="0"/>
        <w:jc w:val="center"/>
        <w:rPr>
          <w:color w:val="auto"/>
          <w:sz w:val="24"/>
          <w:highlight w:val="none"/>
        </w:rPr>
      </w:pPr>
      <w:r>
        <w:rPr>
          <w:rFonts w:hint="eastAsia"/>
          <w:color w:val="auto"/>
          <w:sz w:val="24"/>
          <w:highlight w:val="none"/>
        </w:rPr>
        <w:t>根据招标文件要求提供。</w:t>
      </w:r>
      <w:r>
        <w:rPr>
          <w:rFonts w:hint="eastAsia"/>
          <w:color w:val="auto"/>
          <w:sz w:val="24"/>
          <w:highlight w:val="none"/>
        </w:rPr>
        <w:br w:type="page"/>
      </w:r>
      <w:bookmarkStart w:id="199" w:name="_Toc21262"/>
    </w:p>
    <w:p w14:paraId="5E148B68">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lang w:eastAsia="zh-CN"/>
        </w:rPr>
      </w:pPr>
      <w:bookmarkStart w:id="200" w:name="_Toc17217"/>
      <w:bookmarkStart w:id="201" w:name="_Toc11247"/>
    </w:p>
    <w:p w14:paraId="265A6BA4">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default"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eastAsia="zh-CN"/>
        </w:rPr>
        <w:t>六、</w:t>
      </w:r>
      <w:bookmarkEnd w:id="200"/>
      <w:bookmarkEnd w:id="201"/>
      <w:r>
        <w:rPr>
          <w:rFonts w:hint="eastAsia" w:ascii="宋体" w:hAnsi="宋体"/>
          <w:b/>
          <w:bCs/>
          <w:color w:val="auto"/>
          <w:sz w:val="30"/>
          <w:szCs w:val="30"/>
          <w:highlight w:val="none"/>
          <w:lang w:val="en-US" w:eastAsia="zh-CN"/>
        </w:rPr>
        <w:t>商务部分</w:t>
      </w:r>
    </w:p>
    <w:p w14:paraId="6E8EBC5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结合招标文件评分办法提供</w:t>
      </w:r>
    </w:p>
    <w:p w14:paraId="2E497E96">
      <w:pPr>
        <w:pageBreakBefore w:val="0"/>
        <w:kinsoku/>
        <w:overflowPunct/>
        <w:bidi w:val="0"/>
        <w:adjustRightInd w:val="0"/>
        <w:snapToGrid w:val="0"/>
        <w:spacing w:beforeAutospacing="0" w:afterAutospacing="0" w:line="360" w:lineRule="auto"/>
        <w:ind w:right="0" w:rightChars="0"/>
        <w:rPr>
          <w:rFonts w:ascii="宋体" w:hAnsi="宋体" w:cs="宋体"/>
          <w:color w:val="auto"/>
          <w:highlight w:val="none"/>
        </w:rPr>
      </w:pPr>
      <w:r>
        <w:rPr>
          <w:rFonts w:ascii="宋体" w:hAnsi="宋体" w:cs="宋体"/>
          <w:color w:val="auto"/>
          <w:highlight w:val="none"/>
        </w:rPr>
        <w:br w:type="page"/>
      </w:r>
      <w:bookmarkEnd w:id="194"/>
      <w:bookmarkEnd w:id="195"/>
      <w:bookmarkEnd w:id="196"/>
      <w:bookmarkEnd w:id="197"/>
      <w:bookmarkEnd w:id="199"/>
      <w:bookmarkStart w:id="202" w:name="_Toc13804"/>
      <w:bookmarkStart w:id="203" w:name="_Toc27879"/>
    </w:p>
    <w:p w14:paraId="07DBD4E4">
      <w:pPr>
        <w:pageBreakBefore w:val="0"/>
        <w:kinsoku/>
        <w:overflowPunct/>
        <w:bidi w:val="0"/>
        <w:adjustRightInd w:val="0"/>
        <w:snapToGrid w:val="0"/>
        <w:spacing w:beforeAutospacing="0" w:afterAutospacing="0" w:line="360" w:lineRule="auto"/>
        <w:ind w:right="0" w:rightChars="0"/>
        <w:rPr>
          <w:rFonts w:ascii="宋体" w:hAnsi="宋体" w:cs="宋体"/>
          <w:color w:val="auto"/>
          <w:highlight w:val="none"/>
        </w:rPr>
      </w:pPr>
    </w:p>
    <w:p w14:paraId="00B21B0A">
      <w:pPr>
        <w:pageBreakBefore w:val="0"/>
        <w:kinsoku/>
        <w:overflowPunct/>
        <w:bidi w:val="0"/>
        <w:adjustRightInd w:val="0"/>
        <w:snapToGrid w:val="0"/>
        <w:spacing w:beforeAutospacing="0" w:afterAutospacing="0" w:line="360" w:lineRule="auto"/>
        <w:ind w:right="0" w:rightChars="0"/>
        <w:jc w:val="center"/>
        <w:rPr>
          <w:rFonts w:ascii="宋体" w:hAnsi="宋体"/>
          <w:b/>
          <w:bCs/>
          <w:color w:val="auto"/>
          <w:sz w:val="30"/>
          <w:szCs w:val="30"/>
          <w:highlight w:val="none"/>
        </w:rPr>
      </w:pPr>
      <w:r>
        <w:rPr>
          <w:rFonts w:hint="eastAsia" w:ascii="宋体" w:hAnsi="宋体"/>
          <w:b/>
          <w:bCs/>
          <w:color w:val="auto"/>
          <w:sz w:val="30"/>
          <w:szCs w:val="30"/>
          <w:highlight w:val="none"/>
          <w:lang w:eastAsia="zh-CN"/>
        </w:rPr>
        <w:t>七</w:t>
      </w:r>
      <w:r>
        <w:rPr>
          <w:rFonts w:hint="eastAsia" w:ascii="宋体" w:hAnsi="宋体"/>
          <w:b/>
          <w:bCs/>
          <w:color w:val="auto"/>
          <w:sz w:val="30"/>
          <w:szCs w:val="30"/>
          <w:highlight w:val="none"/>
        </w:rPr>
        <w:t>、投标主要产品技术资料</w:t>
      </w:r>
      <w:bookmarkEnd w:id="202"/>
      <w:bookmarkEnd w:id="203"/>
    </w:p>
    <w:p w14:paraId="307B8A65">
      <w:pPr>
        <w:pageBreakBefore w:val="0"/>
        <w:kinsoku/>
        <w:overflowPunct/>
        <w:bidi w:val="0"/>
        <w:adjustRightInd w:val="0"/>
        <w:snapToGrid w:val="0"/>
        <w:spacing w:beforeAutospacing="0" w:afterAutospacing="0" w:line="360" w:lineRule="auto"/>
        <w:ind w:left="0" w:leftChars="0" w:right="0" w:rightChars="0"/>
        <w:jc w:val="center"/>
        <w:rPr>
          <w:rFonts w:ascii="宋体" w:hAnsi="宋体"/>
          <w:b/>
          <w:color w:val="auto"/>
          <w:sz w:val="28"/>
          <w:szCs w:val="28"/>
          <w:highlight w:val="none"/>
        </w:rPr>
      </w:pPr>
    </w:p>
    <w:p w14:paraId="5020C27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0"/>
          <w:highlight w:val="none"/>
        </w:rPr>
        <w:t>检测报告</w:t>
      </w:r>
      <w:r>
        <w:rPr>
          <w:rFonts w:hint="eastAsia" w:ascii="宋体" w:hAnsi="宋体" w:cs="宋体"/>
          <w:color w:val="auto"/>
          <w:kern w:val="0"/>
          <w:sz w:val="24"/>
          <w:szCs w:val="20"/>
          <w:highlight w:val="none"/>
        </w:rPr>
        <w:t>等证明材料</w:t>
      </w:r>
      <w:r>
        <w:rPr>
          <w:rFonts w:hint="eastAsia" w:ascii="宋体" w:hAnsi="宋体" w:cs="宋体"/>
          <w:color w:val="auto"/>
          <w:kern w:val="0"/>
          <w:sz w:val="24"/>
          <w:szCs w:val="20"/>
          <w:highlight w:val="none"/>
          <w:lang w:eastAsia="zh-CN"/>
        </w:rPr>
        <w:t>，</w:t>
      </w:r>
      <w:r>
        <w:rPr>
          <w:rFonts w:hint="eastAsia" w:ascii="宋体" w:hAnsi="宋体" w:cs="宋体"/>
          <w:color w:val="auto"/>
          <w:sz w:val="24"/>
          <w:szCs w:val="24"/>
          <w:highlight w:val="none"/>
        </w:rPr>
        <w:t>结合招标文件评分办法提供</w:t>
      </w:r>
    </w:p>
    <w:p w14:paraId="5C49CEDF">
      <w:pPr>
        <w:pageBreakBefore w:val="0"/>
        <w:kinsoku/>
        <w:overflowPunct/>
        <w:bidi w:val="0"/>
        <w:adjustRightInd w:val="0"/>
        <w:snapToGrid w:val="0"/>
        <w:spacing w:beforeAutospacing="0" w:afterAutospacing="0" w:line="360" w:lineRule="auto"/>
        <w:ind w:left="0" w:leftChars="0" w:right="0" w:rightChars="0" w:firstLine="240" w:firstLineChars="100"/>
        <w:jc w:val="center"/>
        <w:rPr>
          <w:rFonts w:hint="eastAsia" w:ascii="宋体" w:hAnsi="宋体" w:eastAsia="宋体" w:cs="宋体"/>
          <w:color w:val="auto"/>
          <w:sz w:val="24"/>
          <w:szCs w:val="20"/>
          <w:highlight w:val="none"/>
          <w:lang w:eastAsia="zh-CN"/>
        </w:rPr>
      </w:pPr>
    </w:p>
    <w:p w14:paraId="03A2D85C">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0"/>
          <w:highlight w:val="none"/>
        </w:rPr>
      </w:pPr>
    </w:p>
    <w:p w14:paraId="5D9C4E5A">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038F3E8C">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3C685024">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67E492A4">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701203B7">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3735CFE8">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110E3783">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6514D2CE">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5B9E7E01">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090A5F95">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2F658943">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1596DC32">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4BF57C8E">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76052F35">
      <w:pPr>
        <w:pageBreakBefore w:val="0"/>
        <w:kinsoku/>
        <w:overflowPunct/>
        <w:bidi w:val="0"/>
        <w:adjustRightInd w:val="0"/>
        <w:snapToGrid w:val="0"/>
        <w:spacing w:beforeAutospacing="0" w:afterAutospacing="0" w:line="360" w:lineRule="auto"/>
        <w:ind w:left="0" w:leftChars="0" w:right="0" w:rightChars="0"/>
        <w:rPr>
          <w:rFonts w:ascii="宋体" w:hAnsi="宋体"/>
          <w:b/>
          <w:color w:val="auto"/>
          <w:sz w:val="28"/>
          <w:szCs w:val="28"/>
          <w:highlight w:val="none"/>
        </w:rPr>
      </w:pPr>
    </w:p>
    <w:p w14:paraId="09BC4AC2">
      <w:pPr>
        <w:pageBreakBefore w:val="0"/>
        <w:kinsoku/>
        <w:overflowPunct/>
        <w:bidi w:val="0"/>
        <w:adjustRightInd w:val="0"/>
        <w:snapToGrid w:val="0"/>
        <w:spacing w:beforeAutospacing="0" w:afterAutospacing="0" w:line="360" w:lineRule="auto"/>
        <w:ind w:left="0" w:leftChars="0" w:right="0" w:rightChars="0"/>
        <w:rPr>
          <w:rFonts w:ascii="宋体" w:hAnsi="宋体"/>
          <w:color w:val="auto"/>
          <w:szCs w:val="20"/>
          <w:highlight w:val="none"/>
        </w:rPr>
      </w:pPr>
    </w:p>
    <w:p w14:paraId="75BEC553">
      <w:pPr>
        <w:pageBreakBefore w:val="0"/>
        <w:kinsoku/>
        <w:overflowPunct/>
        <w:bidi w:val="0"/>
        <w:adjustRightInd w:val="0"/>
        <w:snapToGrid w:val="0"/>
        <w:spacing w:beforeAutospacing="0" w:afterAutospacing="0" w:line="360" w:lineRule="auto"/>
        <w:ind w:left="0" w:leftChars="0" w:right="0" w:rightChars="0"/>
        <w:rPr>
          <w:rFonts w:ascii="宋体" w:hAnsi="宋体" w:cs="宋体"/>
          <w:color w:val="auto"/>
          <w:sz w:val="24"/>
          <w:szCs w:val="20"/>
          <w:highlight w:val="none"/>
        </w:rPr>
      </w:pPr>
    </w:p>
    <w:p w14:paraId="15D58CBD">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cs="宋体"/>
          <w:color w:val="auto"/>
          <w:sz w:val="24"/>
          <w:szCs w:val="20"/>
          <w:highlight w:val="none"/>
        </w:rPr>
      </w:pPr>
      <w:r>
        <w:rPr>
          <w:rFonts w:hint="eastAsia" w:cs="宋体"/>
          <w:color w:val="auto"/>
          <w:sz w:val="24"/>
          <w:szCs w:val="20"/>
          <w:highlight w:val="none"/>
        </w:rPr>
        <w:br w:type="page"/>
      </w:r>
      <w:bookmarkStart w:id="204" w:name="_Toc19275"/>
    </w:p>
    <w:p w14:paraId="546C89B9">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cs="宋体"/>
          <w:color w:val="auto"/>
          <w:sz w:val="24"/>
          <w:szCs w:val="20"/>
          <w:highlight w:val="none"/>
        </w:rPr>
      </w:pPr>
    </w:p>
    <w:p w14:paraId="380F7342">
      <w:pPr>
        <w:pStyle w:val="3"/>
        <w:pageBreakBefore w:val="0"/>
        <w:kinsoku/>
        <w:overflowPunct/>
        <w:bidi w:val="0"/>
        <w:adjustRightInd w:val="0"/>
        <w:snapToGrid w:val="0"/>
        <w:spacing w:before="0" w:beforeAutospacing="0" w:after="0" w:afterAutospacing="0" w:line="360" w:lineRule="auto"/>
        <w:ind w:left="0" w:leftChars="0" w:right="0" w:rightChars="0"/>
        <w:jc w:val="center"/>
        <w:rPr>
          <w:rFonts w:hint="eastAsia" w:ascii="宋体" w:hAnsi="宋体" w:eastAsia="宋体"/>
          <w:color w:val="auto"/>
          <w:sz w:val="30"/>
          <w:szCs w:val="30"/>
          <w:highlight w:val="none"/>
          <w:lang w:eastAsia="zh-CN"/>
        </w:rPr>
      </w:pPr>
      <w:r>
        <w:rPr>
          <w:rFonts w:hint="eastAsia" w:ascii="宋体" w:hAnsi="宋体" w:eastAsia="宋体"/>
          <w:color w:val="auto"/>
          <w:sz w:val="30"/>
          <w:szCs w:val="30"/>
          <w:highlight w:val="none"/>
          <w:lang w:eastAsia="zh-CN"/>
        </w:rPr>
        <w:t>八</w:t>
      </w:r>
      <w:r>
        <w:rPr>
          <w:rFonts w:hint="eastAsia" w:ascii="宋体" w:hAnsi="宋体" w:eastAsia="宋体"/>
          <w:color w:val="auto"/>
          <w:sz w:val="30"/>
          <w:szCs w:val="30"/>
          <w:highlight w:val="none"/>
        </w:rPr>
        <w:t>、</w:t>
      </w:r>
      <w:bookmarkEnd w:id="204"/>
      <w:r>
        <w:rPr>
          <w:rFonts w:hint="eastAsia" w:ascii="宋体" w:hAnsi="宋体" w:eastAsia="宋体"/>
          <w:color w:val="auto"/>
          <w:sz w:val="30"/>
          <w:szCs w:val="30"/>
          <w:highlight w:val="none"/>
          <w:lang w:val="en-US" w:eastAsia="zh-CN"/>
        </w:rPr>
        <w:t>技术部分</w:t>
      </w:r>
    </w:p>
    <w:p w14:paraId="41F1D6C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结合招标文件评分办法提供</w:t>
      </w:r>
    </w:p>
    <w:p w14:paraId="71AAD81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7C6A0155">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6721FD5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63F933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3BD6CBF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229E6B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6697B1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FCCE43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5202ECB6">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387E2AB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85D63E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7E81F00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4C38DE9">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7E6EBEB2">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50287E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4F312CC">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499164EB">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183797FE">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color w:val="auto"/>
          <w:sz w:val="24"/>
          <w:szCs w:val="24"/>
          <w:highlight w:val="none"/>
        </w:rPr>
      </w:pPr>
    </w:p>
    <w:p w14:paraId="0581F709">
      <w:pPr>
        <w:rPr>
          <w:rFonts w:hint="eastAsia" w:ascii="宋体" w:hAnsi="宋体"/>
          <w:b/>
          <w:bCs/>
          <w:color w:val="auto"/>
          <w:sz w:val="30"/>
          <w:szCs w:val="30"/>
          <w:highlight w:val="none"/>
          <w:lang w:eastAsia="zh-CN"/>
        </w:rPr>
      </w:pPr>
      <w:bookmarkStart w:id="205" w:name="_Toc25128"/>
      <w:r>
        <w:rPr>
          <w:rFonts w:hint="eastAsia" w:ascii="宋体" w:hAnsi="宋体"/>
          <w:b/>
          <w:bCs/>
          <w:color w:val="auto"/>
          <w:sz w:val="30"/>
          <w:szCs w:val="30"/>
          <w:highlight w:val="none"/>
          <w:lang w:eastAsia="zh-CN"/>
        </w:rPr>
        <w:br w:type="page"/>
      </w:r>
    </w:p>
    <w:p w14:paraId="3BAE0CBD">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lang w:eastAsia="zh-CN"/>
        </w:rPr>
      </w:pPr>
    </w:p>
    <w:p w14:paraId="588D03F4">
      <w:pPr>
        <w:keepNext/>
        <w:keepLines/>
        <w:pageBreakBefore w:val="0"/>
        <w:numPr>
          <w:ilvl w:val="1"/>
          <w:numId w:val="0"/>
        </w:numPr>
        <w:kinsoku/>
        <w:overflowPunct/>
        <w:bidi w:val="0"/>
        <w:adjustRightInd w:val="0"/>
        <w:snapToGrid w:val="0"/>
        <w:spacing w:beforeAutospacing="0" w:afterAutospacing="0" w:line="360" w:lineRule="auto"/>
        <w:ind w:left="0" w:leftChars="0" w:right="0" w:rightChars="0"/>
        <w:jc w:val="center"/>
        <w:outlineLvl w:val="1"/>
        <w:rPr>
          <w:rFonts w:hint="eastAsia" w:ascii="宋体" w:hAnsi="宋体"/>
          <w:b/>
          <w:bCs/>
          <w:color w:val="auto"/>
          <w:sz w:val="30"/>
          <w:szCs w:val="30"/>
          <w:highlight w:val="none"/>
        </w:rPr>
      </w:pPr>
      <w:r>
        <w:rPr>
          <w:rFonts w:hint="eastAsia" w:ascii="宋体" w:hAnsi="宋体"/>
          <w:b/>
          <w:bCs/>
          <w:color w:val="auto"/>
          <w:sz w:val="30"/>
          <w:szCs w:val="30"/>
          <w:highlight w:val="none"/>
          <w:lang w:eastAsia="zh-CN"/>
        </w:rPr>
        <w:t>九</w:t>
      </w:r>
      <w:r>
        <w:rPr>
          <w:rFonts w:hint="eastAsia" w:ascii="宋体" w:hAnsi="宋体"/>
          <w:b/>
          <w:bCs/>
          <w:color w:val="auto"/>
          <w:sz w:val="30"/>
          <w:szCs w:val="30"/>
          <w:highlight w:val="none"/>
        </w:rPr>
        <w:t>、其他资料</w:t>
      </w:r>
      <w:bookmarkEnd w:id="205"/>
    </w:p>
    <w:p w14:paraId="553F6F6C">
      <w:pPr>
        <w:pStyle w:val="6"/>
        <w:pageBreakBefore w:val="0"/>
        <w:kinsoku/>
        <w:overflowPunct/>
        <w:bidi w:val="0"/>
        <w:adjustRightInd w:val="0"/>
        <w:snapToGrid w:val="0"/>
        <w:spacing w:beforeAutospacing="0" w:after="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（一）招标文件要求提供的其他材料</w:t>
      </w:r>
    </w:p>
    <w:p w14:paraId="698B4843">
      <w:pPr>
        <w:pStyle w:val="6"/>
        <w:pageBreakBefore w:val="0"/>
        <w:kinsoku/>
        <w:overflowPunct/>
        <w:bidi w:val="0"/>
        <w:adjustRightInd w:val="0"/>
        <w:snapToGrid w:val="0"/>
        <w:spacing w:beforeAutospacing="0" w:after="0" w:afterAutospacing="0" w:line="360" w:lineRule="auto"/>
        <w:ind w:left="0" w:leftChars="0" w:right="0" w:rightChars="0"/>
        <w:rPr>
          <w:rFonts w:hint="eastAsia" w:ascii="宋体" w:hAnsi="宋体" w:cs="宋体"/>
          <w:color w:val="auto"/>
          <w:sz w:val="24"/>
          <w:szCs w:val="24"/>
          <w:highlight w:val="none"/>
        </w:rPr>
      </w:pPr>
      <w:r>
        <w:rPr>
          <w:rFonts w:hint="eastAsia" w:ascii="宋体" w:hAnsi="宋体" w:cs="宋体"/>
          <w:color w:val="auto"/>
          <w:sz w:val="24"/>
          <w:szCs w:val="24"/>
          <w:highlight w:val="none"/>
        </w:rPr>
        <w:t>（二）投标人认为需要提供的其他材料</w:t>
      </w:r>
    </w:p>
    <w:p w14:paraId="2D6CF21A">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kern w:val="0"/>
          <w:sz w:val="24"/>
          <w:szCs w:val="24"/>
          <w:highlight w:val="none"/>
        </w:rPr>
      </w:pPr>
    </w:p>
    <w:p w14:paraId="38314C1D">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68E16F0D">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211B3DD4">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6D5F2378">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69B38CAE">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0B659AB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2BAD0F17">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0570441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sectPr>
          <w:pgSz w:w="11906" w:h="16838"/>
          <w:pgMar w:top="1417" w:right="1247" w:bottom="1417" w:left="1247" w:header="851" w:footer="992" w:gutter="0"/>
          <w:pgNumType w:fmt="decimal"/>
          <w:cols w:space="720" w:num="1"/>
          <w:titlePg/>
          <w:docGrid w:type="lines" w:linePitch="312" w:charSpace="0"/>
        </w:sectPr>
      </w:pPr>
    </w:p>
    <w:p w14:paraId="21014574">
      <w:pPr>
        <w:pageBreakBefore w:val="0"/>
        <w:kinsoku/>
        <w:overflowPunct/>
        <w:bidi w:val="0"/>
        <w:adjustRightInd w:val="0"/>
        <w:snapToGrid w:val="0"/>
        <w:spacing w:beforeAutospacing="0" w:afterAutospacing="0" w:line="360" w:lineRule="auto"/>
        <w:ind w:left="0" w:leftChars="0" w:right="0" w:rightChars="0"/>
        <w:rPr>
          <w:color w:val="auto"/>
          <w:highlight w:val="none"/>
        </w:rPr>
      </w:pPr>
      <w:r>
        <w:rPr>
          <w:rFonts w:hint="eastAsia"/>
          <w:b/>
          <w:bCs/>
          <w:color w:val="auto"/>
          <w:highlight w:val="none"/>
        </w:rPr>
        <w:t>附件格式：</w:t>
      </w:r>
    </w:p>
    <w:p w14:paraId="1ABE3C41">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书面声明</w:t>
      </w:r>
    </w:p>
    <w:p w14:paraId="4E3D358D">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p>
    <w:p w14:paraId="59AD02B8">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灵宝市寺河乡人民政府</w:t>
      </w:r>
    </w:p>
    <w:p w14:paraId="15207D43">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我公司具有履行合同所须的资金、设备及能力,具有健全的财务会计制度,没有处于被责令停业、无法清偿到期债务或破产状态,且企业或企业资产未被重组、接管和冻结；</w:t>
      </w:r>
    </w:p>
    <w:p w14:paraId="336B08B7">
      <w:pPr>
        <w:pageBreakBefore w:val="0"/>
        <w:kinsoku/>
        <w:overflowPunct/>
        <w:bidi w:val="0"/>
        <w:adjustRightInd w:val="0"/>
        <w:snapToGrid w:val="0"/>
        <w:spacing w:beforeAutospacing="0" w:afterAutospacing="0" w:line="360" w:lineRule="auto"/>
        <w:ind w:left="0" w:leftChars="0" w:right="0" w:rightChars="0" w:firstLine="470" w:firstLineChars="196"/>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我公司三年内没有重大违法犯罪记录和重大失信行为；三年内没有经司法机关裁定存在组织或个人行贿行为；</w:t>
      </w:r>
    </w:p>
    <w:p w14:paraId="3D6E4B79">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我公司符合本项目规定的投标人资格所有要求；</w:t>
      </w:r>
    </w:p>
    <w:p w14:paraId="775EC69D">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本次招标投标活动中、中标后签订合同时或在合同履行过程中,如发现我单位存在与上述承诺不符的行为,我单位同意招标人拒绝我单位的投标、取消我单位的中标资格或单方解除与我单位已签订的合同,并不需承担任何违约或赔偿责任；</w:t>
      </w:r>
    </w:p>
    <w:p w14:paraId="42FCBA01">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在相关案件查办时，我公司积极配合提供证据、作证的义务，如果发生拒不配合调查工作的情形，招标人有权采取警示约谈、降低考核评价分数、降低供货份额、缩短服务期限、终止或解除合同等多种处理措施。</w:t>
      </w:r>
    </w:p>
    <w:p w14:paraId="5FA03EB4">
      <w:pPr>
        <w:pageBreakBefore w:val="0"/>
        <w:kinsoku/>
        <w:overflowPunct/>
        <w:bidi w:val="0"/>
        <w:adjustRightInd w:val="0"/>
        <w:snapToGrid w:val="0"/>
        <w:spacing w:beforeAutospacing="0" w:afterAutospacing="0" w:line="360" w:lineRule="auto"/>
        <w:ind w:left="0" w:leftChars="0" w:right="0" w:rightChars="0"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特此声明</w:t>
      </w:r>
    </w:p>
    <w:p w14:paraId="0413FDC8">
      <w:pPr>
        <w:pageBreakBefore w:val="0"/>
        <w:kinsoku/>
        <w:overflowPunct/>
        <w:bidi w:val="0"/>
        <w:adjustRightInd w:val="0"/>
        <w:snapToGrid w:val="0"/>
        <w:spacing w:beforeAutospacing="0" w:afterAutospacing="0" w:line="360" w:lineRule="auto"/>
        <w:ind w:left="0" w:leftChars="0" w:right="0" w:rightChars="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  </w:t>
      </w:r>
    </w:p>
    <w:p w14:paraId="592809E8">
      <w:pPr>
        <w:pageBreakBefore w:val="0"/>
        <w:kinsoku/>
        <w:overflowPunct/>
        <w:bidi w:val="0"/>
        <w:adjustRightInd w:val="0"/>
        <w:snapToGrid w:val="0"/>
        <w:spacing w:beforeAutospacing="0" w:afterAutospacing="0" w:line="360" w:lineRule="auto"/>
        <w:ind w:left="0" w:leftChars="0" w:right="0" w:rightChars="0"/>
        <w:rPr>
          <w:rFonts w:hint="eastAsia" w:ascii="宋体" w:hAnsi="宋体"/>
          <w:color w:val="auto"/>
          <w:sz w:val="24"/>
          <w:szCs w:val="24"/>
          <w:highlight w:val="none"/>
        </w:rPr>
      </w:pPr>
    </w:p>
    <w:p w14:paraId="2BE0032F">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3A0C2DCB">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u w:val="single"/>
        </w:rPr>
      </w:pPr>
      <w:r>
        <w:rPr>
          <w:rFonts w:hint="eastAsia" w:ascii="宋体" w:hAnsi="宋体"/>
          <w:color w:val="auto"/>
          <w:sz w:val="24"/>
          <w:szCs w:val="24"/>
          <w:highlight w:val="none"/>
        </w:rPr>
        <w:t>法定代表人（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3F6DC50A">
      <w:pPr>
        <w:pageBreakBefore w:val="0"/>
        <w:kinsoku/>
        <w:overflowPunct/>
        <w:bidi w:val="0"/>
        <w:adjustRightInd w:val="0"/>
        <w:snapToGrid w:val="0"/>
        <w:spacing w:beforeAutospacing="0" w:afterAutospacing="0" w:line="360" w:lineRule="auto"/>
        <w:ind w:left="0" w:leftChars="0" w:right="0" w:rightChars="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4F5C9DE8">
      <w:pPr>
        <w:pageBreakBefore w:val="0"/>
        <w:kinsoku/>
        <w:overflowPunct/>
        <w:bidi w:val="0"/>
        <w:adjustRightInd w:val="0"/>
        <w:snapToGrid w:val="0"/>
        <w:spacing w:beforeAutospacing="0" w:afterAutospacing="0" w:line="360" w:lineRule="auto"/>
        <w:ind w:left="0" w:leftChars="0" w:right="0" w:rightChars="0"/>
        <w:rPr>
          <w:color w:val="auto"/>
          <w:highlight w:val="none"/>
        </w:rPr>
      </w:pPr>
    </w:p>
    <w:p w14:paraId="61B85930">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8"/>
          <w:szCs w:val="28"/>
          <w:highlight w:val="none"/>
        </w:rPr>
      </w:pPr>
    </w:p>
    <w:p w14:paraId="6C960630">
      <w:pPr>
        <w:pageBreakBefore w:val="0"/>
        <w:kinsoku/>
        <w:overflowPunct/>
        <w:bidi w:val="0"/>
        <w:adjustRightInd w:val="0"/>
        <w:snapToGrid w:val="0"/>
        <w:spacing w:beforeAutospacing="0" w:afterAutospacing="0" w:line="360" w:lineRule="auto"/>
        <w:ind w:left="0" w:leftChars="0" w:right="0" w:rightChars="0"/>
        <w:rPr>
          <w:color w:val="auto"/>
          <w:highlight w:val="none"/>
        </w:rPr>
      </w:pPr>
    </w:p>
    <w:p w14:paraId="0AF714D7">
      <w:pPr>
        <w:pStyle w:val="20"/>
        <w:pageBreakBefore w:val="0"/>
        <w:kinsoku/>
        <w:overflowPunct/>
        <w:bidi w:val="0"/>
        <w:adjustRightInd w:val="0"/>
        <w:snapToGrid w:val="0"/>
        <w:spacing w:beforeAutospacing="0" w:after="0" w:afterAutospacing="0" w:line="360" w:lineRule="auto"/>
        <w:ind w:left="0" w:leftChars="0" w:right="0" w:rightChars="0" w:firstLine="210"/>
        <w:rPr>
          <w:rFonts w:hint="eastAsia"/>
          <w:color w:val="auto"/>
          <w:highlight w:val="none"/>
        </w:rPr>
      </w:pPr>
    </w:p>
    <w:p w14:paraId="783369E7">
      <w:pPr>
        <w:pageBreakBefore w:val="0"/>
        <w:kinsoku/>
        <w:overflowPunct/>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olor w:val="auto"/>
          <w:highlight w:val="none"/>
        </w:rPr>
        <w:br w:type="page"/>
      </w:r>
      <w:r>
        <w:rPr>
          <w:rFonts w:hint="eastAsia" w:ascii="宋体" w:hAnsi="宋体" w:eastAsia="宋体" w:cs="宋体"/>
          <w:b/>
          <w:bCs/>
          <w:color w:val="auto"/>
          <w:sz w:val="32"/>
          <w:szCs w:val="32"/>
          <w:highlight w:val="none"/>
        </w:rPr>
        <w:t>中小企业声明函（货物）</w:t>
      </w:r>
    </w:p>
    <w:p w14:paraId="50787642">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p>
    <w:p w14:paraId="2CD9BE10">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0"/>
          <w:highlight w:val="none"/>
          <w:u w:val="single"/>
        </w:rPr>
        <w:t>（单位名称）</w:t>
      </w:r>
      <w:r>
        <w:rPr>
          <w:rFonts w:hint="eastAsia" w:ascii="宋体" w:hAnsi="宋体" w:eastAsia="宋体" w:cs="宋体"/>
          <w:color w:val="auto"/>
          <w:sz w:val="24"/>
          <w:szCs w:val="20"/>
          <w:highlight w:val="none"/>
        </w:rPr>
        <w:t>的</w:t>
      </w:r>
      <w:r>
        <w:rPr>
          <w:rFonts w:hint="eastAsia" w:ascii="宋体" w:hAnsi="宋体" w:eastAsia="宋体" w:cs="宋体"/>
          <w:color w:val="auto"/>
          <w:sz w:val="24"/>
          <w:szCs w:val="20"/>
          <w:highlight w:val="none"/>
          <w:u w:val="single"/>
        </w:rPr>
        <w:t>（项目名称）</w:t>
      </w:r>
      <w:r>
        <w:rPr>
          <w:rFonts w:hint="eastAsia" w:ascii="宋体" w:hAnsi="宋体" w:eastAsia="宋体" w:cs="宋体"/>
          <w:color w:val="auto"/>
          <w:sz w:val="24"/>
          <w:szCs w:val="20"/>
          <w:highlight w:val="none"/>
        </w:rPr>
        <w:t>采购活动，提供的货物全部由符合政策要求的中小企业制造。相关企业（含联合体中的中小企业、签订分包意向协议的中小企业）的具体情况如下：</w:t>
      </w:r>
    </w:p>
    <w:p w14:paraId="25D9F7A5">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1. </w:t>
      </w:r>
      <w:r>
        <w:rPr>
          <w:rFonts w:hint="eastAsia" w:ascii="宋体" w:hAnsi="宋体" w:eastAsia="宋体" w:cs="宋体"/>
          <w:color w:val="auto"/>
          <w:sz w:val="24"/>
          <w:szCs w:val="20"/>
          <w:highlight w:val="none"/>
          <w:u w:val="single"/>
        </w:rPr>
        <w:t xml:space="preserve">（标的名称） </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rPr>
        <w:t>（采购文件中明确的所属行业）行业</w:t>
      </w:r>
      <w:r>
        <w:rPr>
          <w:rFonts w:hint="eastAsia" w:ascii="宋体" w:hAnsi="宋体" w:eastAsia="宋体" w:cs="宋体"/>
          <w:color w:val="auto"/>
          <w:sz w:val="24"/>
          <w:szCs w:val="20"/>
          <w:highlight w:val="none"/>
        </w:rPr>
        <w:t>；制造商为</w:t>
      </w:r>
      <w:r>
        <w:rPr>
          <w:rFonts w:hint="eastAsia" w:ascii="宋体" w:hAnsi="宋体" w:eastAsia="宋体" w:cs="宋体"/>
          <w:color w:val="auto"/>
          <w:sz w:val="24"/>
          <w:szCs w:val="20"/>
          <w:highlight w:val="none"/>
          <w:u w:val="single"/>
        </w:rPr>
        <w:t>（企业名称），</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w:t>
      </w:r>
      <w:r>
        <w:rPr>
          <w:rFonts w:hint="eastAsia" w:ascii="宋体" w:hAnsi="宋体" w:eastAsia="宋体" w:cs="宋体"/>
          <w:color w:val="auto"/>
          <w:sz w:val="24"/>
          <w:szCs w:val="20"/>
          <w:highlight w:val="none"/>
          <w:vertAlign w:val="superscript"/>
        </w:rPr>
        <w:t>1</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rPr>
        <w:t>（中型企业、小型企业、微型企业）</w:t>
      </w:r>
      <w:r>
        <w:rPr>
          <w:rFonts w:hint="eastAsia" w:ascii="宋体" w:hAnsi="宋体" w:eastAsia="宋体" w:cs="宋体"/>
          <w:color w:val="auto"/>
          <w:sz w:val="24"/>
          <w:szCs w:val="20"/>
          <w:highlight w:val="none"/>
        </w:rPr>
        <w:t>；</w:t>
      </w:r>
    </w:p>
    <w:p w14:paraId="162995DF">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2. </w:t>
      </w:r>
      <w:r>
        <w:rPr>
          <w:rFonts w:hint="eastAsia" w:ascii="宋体" w:hAnsi="宋体" w:eastAsia="宋体" w:cs="宋体"/>
          <w:color w:val="auto"/>
          <w:sz w:val="24"/>
          <w:szCs w:val="20"/>
          <w:highlight w:val="none"/>
          <w:u w:val="single"/>
        </w:rPr>
        <w:t xml:space="preserve">（标的名称） </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rPr>
        <w:t>（采购文件中明确的所属行业）行业</w:t>
      </w:r>
      <w:r>
        <w:rPr>
          <w:rFonts w:hint="eastAsia" w:ascii="宋体" w:hAnsi="宋体" w:eastAsia="宋体" w:cs="宋体"/>
          <w:color w:val="auto"/>
          <w:sz w:val="24"/>
          <w:szCs w:val="20"/>
          <w:highlight w:val="none"/>
        </w:rPr>
        <w:t>；制造商为</w:t>
      </w:r>
      <w:r>
        <w:rPr>
          <w:rFonts w:hint="eastAsia" w:ascii="宋体" w:hAnsi="宋体" w:eastAsia="宋体" w:cs="宋体"/>
          <w:color w:val="auto"/>
          <w:sz w:val="24"/>
          <w:szCs w:val="20"/>
          <w:highlight w:val="none"/>
          <w:u w:val="single"/>
        </w:rPr>
        <w:t>（企业名称）</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万元，属于</w:t>
      </w:r>
      <w:r>
        <w:rPr>
          <w:rFonts w:hint="eastAsia" w:ascii="宋体" w:hAnsi="宋体" w:eastAsia="宋体" w:cs="宋体"/>
          <w:color w:val="auto"/>
          <w:sz w:val="24"/>
          <w:szCs w:val="20"/>
          <w:highlight w:val="none"/>
          <w:u w:val="single"/>
        </w:rPr>
        <w:t>（中型企业、小型企业、微型企业）</w:t>
      </w:r>
      <w:r>
        <w:rPr>
          <w:rFonts w:hint="eastAsia" w:ascii="宋体" w:hAnsi="宋体" w:eastAsia="宋体" w:cs="宋体"/>
          <w:color w:val="auto"/>
          <w:sz w:val="24"/>
          <w:szCs w:val="20"/>
          <w:highlight w:val="none"/>
        </w:rPr>
        <w:t>；</w:t>
      </w:r>
    </w:p>
    <w:p w14:paraId="04ECDFBD">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p w14:paraId="57AD3857">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以上企业，不属于大企业的分支机构，不存在控股股东为大企业的情形，也不存在与大企业的负责人为同一人的情形。</w:t>
      </w:r>
    </w:p>
    <w:p w14:paraId="715D90DB">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本企业对上述声明内容的真实性负责。如有虚假，将依法承担相应责任。</w:t>
      </w:r>
    </w:p>
    <w:p w14:paraId="1AB7502A">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cs="宋体"/>
          <w:color w:val="auto"/>
          <w:kern w:val="0"/>
          <w:sz w:val="24"/>
          <w:szCs w:val="24"/>
          <w:highlight w:val="none"/>
        </w:rPr>
      </w:pPr>
    </w:p>
    <w:p w14:paraId="281C68E1">
      <w:pPr>
        <w:pageBreakBefore w:val="0"/>
        <w:kinsoku/>
        <w:overflowPunct/>
        <w:bidi w:val="0"/>
        <w:adjustRightInd w:val="0"/>
        <w:snapToGrid w:val="0"/>
        <w:spacing w:beforeAutospacing="0" w:afterAutospacing="0" w:line="360" w:lineRule="auto"/>
        <w:ind w:left="0" w:leftChars="0" w:right="0" w:rightChars="0" w:firstLine="42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注：（属于中小微企业的填写</w:t>
      </w:r>
      <w:r>
        <w:rPr>
          <w:rFonts w:hint="eastAsia" w:ascii="宋体" w:hAnsi="宋体" w:cs="宋体"/>
          <w:b/>
          <w:bCs/>
          <w:color w:val="auto"/>
          <w:szCs w:val="24"/>
          <w:highlight w:val="none"/>
          <w:lang w:val="en-US" w:eastAsia="zh-CN"/>
        </w:rPr>
        <w:t>并提供证明材料</w:t>
      </w:r>
      <w:r>
        <w:rPr>
          <w:rFonts w:hint="eastAsia" w:ascii="宋体" w:hAnsi="宋体" w:eastAsia="宋体" w:cs="宋体"/>
          <w:b/>
          <w:bCs/>
          <w:color w:val="auto"/>
          <w:szCs w:val="24"/>
          <w:highlight w:val="none"/>
        </w:rPr>
        <w:t>，不属于的无需填写此项内容</w:t>
      </w:r>
      <w:r>
        <w:rPr>
          <w:rFonts w:hint="eastAsia" w:ascii="宋体" w:hAnsi="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不删除本项，标明不属于</w:t>
      </w:r>
      <w:r>
        <w:rPr>
          <w:rFonts w:hint="eastAsia" w:ascii="宋体" w:hAnsi="宋体" w:cs="宋体"/>
          <w:b/>
          <w:bCs/>
          <w:color w:val="auto"/>
          <w:szCs w:val="24"/>
          <w:highlight w:val="none"/>
          <w:lang w:val="en-US" w:eastAsia="zh-CN"/>
        </w:rPr>
        <w:t>中小</w:t>
      </w:r>
      <w:r>
        <w:rPr>
          <w:rFonts w:hint="eastAsia" w:ascii="宋体" w:hAnsi="宋体" w:eastAsia="宋体" w:cs="宋体"/>
          <w:b/>
          <w:bCs/>
          <w:color w:val="auto"/>
          <w:szCs w:val="24"/>
          <w:highlight w:val="none"/>
          <w:lang w:val="en-US" w:eastAsia="zh-CN"/>
        </w:rPr>
        <w:t>企业</w:t>
      </w:r>
      <w:r>
        <w:rPr>
          <w:rFonts w:hint="eastAsia" w:ascii="宋体" w:hAnsi="宋体" w:eastAsia="宋体" w:cs="宋体"/>
          <w:b/>
          <w:bCs/>
          <w:color w:val="auto"/>
          <w:szCs w:val="24"/>
          <w:highlight w:val="none"/>
        </w:rPr>
        <w:t>）</w:t>
      </w:r>
    </w:p>
    <w:p w14:paraId="6697EA74">
      <w:pPr>
        <w:pageBreakBefore w:val="0"/>
        <w:kinsoku/>
        <w:overflowPunct/>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0"/>
          <w:highlight w:val="none"/>
        </w:rPr>
      </w:pPr>
    </w:p>
    <w:p w14:paraId="02453A00">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569F2EB4">
      <w:pPr>
        <w:pageBreakBefore w:val="0"/>
        <w:kinsoku/>
        <w:overflowPunct/>
        <w:bidi w:val="0"/>
        <w:adjustRightInd w:val="0"/>
        <w:snapToGrid w:val="0"/>
        <w:spacing w:beforeAutospacing="0" w:afterAutospacing="0" w:line="360" w:lineRule="auto"/>
        <w:ind w:left="0" w:leftChars="0" w:right="0" w:rightChars="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0EA2FCA9">
      <w:pPr>
        <w:pageBreakBefore w:val="0"/>
        <w:kinsoku/>
        <w:overflowPunct/>
        <w:bidi w:val="0"/>
        <w:adjustRightInd w:val="0"/>
        <w:snapToGrid w:val="0"/>
        <w:spacing w:beforeAutospacing="0" w:afterAutospacing="0" w:line="360" w:lineRule="auto"/>
        <w:ind w:left="0" w:leftChars="0" w:right="0" w:rightChars="0"/>
        <w:rPr>
          <w:color w:val="auto"/>
          <w:highlight w:val="none"/>
        </w:rPr>
      </w:pPr>
    </w:p>
    <w:p w14:paraId="401F4D6E">
      <w:pPr>
        <w:pageBreakBefore w:val="0"/>
        <w:kinsoku/>
        <w:overflowPunct/>
        <w:bidi w:val="0"/>
        <w:adjustRightInd w:val="0"/>
        <w:snapToGrid w:val="0"/>
        <w:spacing w:beforeAutospacing="0" w:afterAutospacing="0" w:line="360" w:lineRule="auto"/>
        <w:ind w:left="0" w:leftChars="0" w:right="0" w:rightChars="0"/>
        <w:jc w:val="left"/>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注：1、从业人员、营业收入、资产总额填报上一年度数据，无上一年度数据的新成立企业可不填报。</w:t>
      </w:r>
    </w:p>
    <w:p w14:paraId="18CD3758">
      <w:pPr>
        <w:pageBreakBefore w:val="0"/>
        <w:kinsoku/>
        <w:overflowPunct/>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20"/>
          <w:highlight w:val="none"/>
        </w:rPr>
        <w:t>2、中小企业划分标准见工业和信息化部国家统计局国家发展和改革委员财政部《关于印发中小企业划型标准规定的通知》（工信部联企业【2011】300号）。</w:t>
      </w:r>
    </w:p>
    <w:p w14:paraId="6C6F69E4">
      <w:pPr>
        <w:pStyle w:val="13"/>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sectPr>
          <w:pgSz w:w="11906" w:h="16838"/>
          <w:pgMar w:top="1417" w:right="1247" w:bottom="1417" w:left="1247" w:header="851" w:footer="992" w:gutter="0"/>
          <w:pgNumType w:fmt="decimal"/>
          <w:cols w:space="720" w:num="1"/>
          <w:titlePg/>
          <w:docGrid w:type="lines" w:linePitch="312" w:charSpace="0"/>
        </w:sectPr>
      </w:pPr>
    </w:p>
    <w:p w14:paraId="7373B319">
      <w:pPr>
        <w:pageBreakBefore w:val="0"/>
        <w:kinsoku/>
        <w:overflowPunct/>
        <w:bidi w:val="0"/>
        <w:adjustRightInd w:val="0"/>
        <w:snapToGrid w:val="0"/>
        <w:spacing w:beforeAutospacing="0" w:afterAutospacing="0" w:line="360" w:lineRule="auto"/>
        <w:ind w:left="0" w:leftChars="0" w:right="0" w:rightChars="0"/>
        <w:jc w:val="center"/>
        <w:rPr>
          <w:rFonts w:ascii="宋体" w:hAnsi="宋体"/>
          <w:color w:val="auto"/>
          <w:sz w:val="28"/>
          <w:szCs w:val="28"/>
          <w:highlight w:val="none"/>
          <w:lang w:eastAsia="zh-CN"/>
        </w:rPr>
      </w:pPr>
      <w:r>
        <w:rPr>
          <w:rFonts w:hint="eastAsia" w:ascii="宋体" w:hAnsi="宋体"/>
          <w:b/>
          <w:bCs/>
          <w:color w:val="auto"/>
          <w:sz w:val="28"/>
          <w:szCs w:val="28"/>
          <w:highlight w:val="none"/>
          <w:lang w:eastAsia="zh-CN"/>
        </w:rPr>
        <w:t>残疾人福利性单位声明函</w:t>
      </w:r>
    </w:p>
    <w:p w14:paraId="60939D13">
      <w:pPr>
        <w:pageBreakBefore w:val="0"/>
        <w:kinsoku/>
        <w:overflowPunct/>
        <w:bidi w:val="0"/>
        <w:adjustRightInd w:val="0"/>
        <w:snapToGrid w:val="0"/>
        <w:spacing w:beforeAutospacing="0" w:afterAutospacing="0" w:line="360" w:lineRule="auto"/>
        <w:ind w:left="0" w:leftChars="0" w:right="0" w:rightChars="0" w:firstLine="504" w:firstLineChars="200"/>
        <w:rPr>
          <w:rFonts w:ascii="宋体" w:hAnsi="宋体"/>
          <w:color w:val="auto"/>
          <w:spacing w:val="6"/>
          <w:sz w:val="24"/>
          <w:szCs w:val="24"/>
          <w:highlight w:val="none"/>
          <w:lang w:eastAsia="zh-CN"/>
        </w:rPr>
      </w:pPr>
      <w:r>
        <w:rPr>
          <w:rFonts w:hint="eastAsia" w:ascii="宋体" w:hAnsi="宋体"/>
          <w:color w:val="auto"/>
          <w:spacing w:val="6"/>
          <w:sz w:val="24"/>
          <w:szCs w:val="24"/>
          <w:highlight w:val="none"/>
          <w:lang w:eastAsia="zh-CN"/>
        </w:rPr>
        <w:t>本单位郑重声明，根据《财政部民政部中国残疾人联合会关于促进残疾人就业政府采购政策的通知》（财库</w:t>
      </w:r>
      <w:r>
        <w:rPr>
          <w:rFonts w:hint="eastAsia" w:ascii="宋体" w:hAnsi="宋体"/>
          <w:color w:val="auto"/>
          <w:sz w:val="24"/>
          <w:szCs w:val="24"/>
          <w:highlight w:val="none"/>
          <w:lang w:eastAsia="zh-CN"/>
        </w:rPr>
        <w:t>〔2017〕 141</w:t>
      </w:r>
      <w:r>
        <w:rPr>
          <w:rFonts w:hint="eastAsia" w:ascii="宋体" w:hAnsi="宋体"/>
          <w:color w:val="auto"/>
          <w:spacing w:val="6"/>
          <w:sz w:val="24"/>
          <w:szCs w:val="24"/>
          <w:highlight w:val="none"/>
          <w:lang w:eastAsia="zh-CN"/>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9A3AEAC">
      <w:pPr>
        <w:pageBreakBefore w:val="0"/>
        <w:kinsoku/>
        <w:overflowPunct/>
        <w:bidi w:val="0"/>
        <w:adjustRightInd w:val="0"/>
        <w:snapToGrid w:val="0"/>
        <w:spacing w:beforeAutospacing="0" w:afterAutospacing="0" w:line="360" w:lineRule="auto"/>
        <w:ind w:left="0" w:leftChars="0" w:right="0" w:rightChars="0" w:firstLine="504" w:firstLineChars="200"/>
        <w:rPr>
          <w:rFonts w:ascii="宋体" w:hAnsi="宋体"/>
          <w:color w:val="auto"/>
          <w:spacing w:val="6"/>
          <w:sz w:val="24"/>
          <w:szCs w:val="24"/>
          <w:highlight w:val="none"/>
          <w:lang w:eastAsia="zh-CN"/>
        </w:rPr>
      </w:pPr>
      <w:r>
        <w:rPr>
          <w:rFonts w:hint="eastAsia" w:ascii="宋体" w:hAnsi="宋体"/>
          <w:color w:val="auto"/>
          <w:spacing w:val="6"/>
          <w:sz w:val="24"/>
          <w:szCs w:val="24"/>
          <w:highlight w:val="none"/>
          <w:lang w:eastAsia="zh-CN"/>
        </w:rPr>
        <w:t>本单位对上述声明的真实性负责。如有虚假，将依法承担相应责任。</w:t>
      </w:r>
    </w:p>
    <w:p w14:paraId="200AB1DB">
      <w:pPr>
        <w:pageBreakBefore w:val="0"/>
        <w:kinsoku/>
        <w:overflowPunct/>
        <w:bidi w:val="0"/>
        <w:adjustRightInd w:val="0"/>
        <w:snapToGrid w:val="0"/>
        <w:spacing w:beforeAutospacing="0" w:afterAutospacing="0" w:line="360" w:lineRule="auto"/>
        <w:ind w:left="0" w:leftChars="0" w:right="0" w:rightChars="0" w:firstLine="504" w:firstLineChars="200"/>
        <w:rPr>
          <w:rFonts w:ascii="宋体" w:hAnsi="宋体"/>
          <w:color w:val="auto"/>
          <w:spacing w:val="6"/>
          <w:sz w:val="24"/>
          <w:szCs w:val="24"/>
          <w:highlight w:val="none"/>
          <w:lang w:eastAsia="zh-CN"/>
        </w:rPr>
      </w:pPr>
    </w:p>
    <w:p w14:paraId="30634D67">
      <w:pPr>
        <w:pageBreakBefore w:val="0"/>
        <w:kinsoku/>
        <w:overflowPunct/>
        <w:bidi w:val="0"/>
        <w:adjustRightInd w:val="0"/>
        <w:snapToGrid w:val="0"/>
        <w:spacing w:beforeAutospacing="0" w:afterAutospacing="0" w:line="360" w:lineRule="auto"/>
        <w:ind w:left="0" w:leftChars="0" w:right="0" w:rightChars="0" w:firstLine="4320" w:firstLineChars="180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7CA5176D">
      <w:pPr>
        <w:pageBreakBefore w:val="0"/>
        <w:kinsoku/>
        <w:overflowPunct/>
        <w:bidi w:val="0"/>
        <w:adjustRightInd w:val="0"/>
        <w:snapToGrid w:val="0"/>
        <w:spacing w:beforeAutospacing="0" w:afterAutospacing="0" w:line="360" w:lineRule="auto"/>
        <w:ind w:left="0" w:leftChars="0" w:right="0" w:rightChars="0" w:firstLine="4320" w:firstLineChars="180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1497F47A">
      <w:pPr>
        <w:pageBreakBefore w:val="0"/>
        <w:tabs>
          <w:tab w:val="left" w:pos="840"/>
        </w:tabs>
        <w:kinsoku/>
        <w:overflowPunct/>
        <w:autoSpaceDE w:val="0"/>
        <w:autoSpaceDN w:val="0"/>
        <w:bidi w:val="0"/>
        <w:adjustRightInd w:val="0"/>
        <w:snapToGrid w:val="0"/>
        <w:spacing w:beforeAutospacing="0" w:afterAutospacing="0" w:line="360" w:lineRule="auto"/>
        <w:ind w:left="0" w:leftChars="0" w:right="0" w:rightChars="0"/>
        <w:jc w:val="center"/>
        <w:rPr>
          <w:rFonts w:ascii="宋体" w:hAnsi="宋体"/>
          <w:b/>
          <w:color w:val="auto"/>
          <w:sz w:val="24"/>
          <w:szCs w:val="24"/>
          <w:highlight w:val="none"/>
          <w:lang w:eastAsia="zh-CN"/>
        </w:rPr>
      </w:pPr>
    </w:p>
    <w:p w14:paraId="61D46FE2">
      <w:pPr>
        <w:pageBreakBefore w:val="0"/>
        <w:kinsoku/>
        <w:overflowPunct/>
        <w:bidi w:val="0"/>
        <w:adjustRightInd w:val="0"/>
        <w:snapToGrid w:val="0"/>
        <w:spacing w:beforeAutospacing="0" w:afterAutospacing="0" w:line="360" w:lineRule="auto"/>
        <w:ind w:left="0" w:leftChars="0" w:right="0" w:rightChars="0"/>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（提醒：如果投标人不是残疾人福利性单位，则不需要提供</w:t>
      </w:r>
      <w:r>
        <w:rPr>
          <w:rFonts w:hint="eastAsia" w:ascii="宋体" w:hAnsi="宋体"/>
          <w:b/>
          <w:color w:val="auto"/>
          <w:sz w:val="24"/>
          <w:szCs w:val="24"/>
          <w:highlight w:val="none"/>
          <w:lang w:val="en-US" w:eastAsia="zh-CN"/>
        </w:rPr>
        <w:t>证明材料，不删除本项，标明不属于残疾人福利性单位</w:t>
      </w:r>
      <w:r>
        <w:rPr>
          <w:rFonts w:hint="eastAsia" w:ascii="宋体" w:hAnsi="宋体"/>
          <w:b/>
          <w:color w:val="auto"/>
          <w:sz w:val="24"/>
          <w:szCs w:val="24"/>
          <w:highlight w:val="none"/>
          <w:lang w:eastAsia="zh-CN"/>
        </w:rPr>
        <w:t>）</w:t>
      </w:r>
    </w:p>
    <w:p w14:paraId="0396CA9D">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《财政部民政部中国残疾人联合会关于促进残疾人就业政府采购政策的通知》（财库（2017〔141〕号）的规定：</w:t>
      </w:r>
    </w:p>
    <w:p w14:paraId="025C9B2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1. 享受政府采购支持政策的残疾人福利性单位应当同时满足以下条件：</w:t>
      </w:r>
    </w:p>
    <w:p w14:paraId="46866290">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（1）安置的残疾人占本单位在职职工人数的比例不低于25%（含25%），并且安置的残疾人人数不少于10人（含10人）；</w:t>
      </w:r>
    </w:p>
    <w:p w14:paraId="751F2564">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（2）依法与安置的每位残疾人签订了一年以上（含一年）的劳动合同或服务协议；</w:t>
      </w:r>
    </w:p>
    <w:p w14:paraId="7FC47F0A">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（3）为安置的每位残疾人按月足额缴纳了基本养老保险、基本医疗保险、失业保险、工伤保险和生育保险等社会保险费；</w:t>
      </w:r>
    </w:p>
    <w:p w14:paraId="7B742EB7">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（4）通过银行等金融机构向安置的每位残疾人，按月支付了不低于单位所在区县适用的经省级人民政府批准的月最低工资标准的工资；</w:t>
      </w:r>
    </w:p>
    <w:p w14:paraId="4520E83B">
      <w:pPr>
        <w:pageBreakBefore w:val="0"/>
        <w:kinsoku/>
        <w:overflowPunct/>
        <w:bidi w:val="0"/>
        <w:adjustRightInd w:val="0"/>
        <w:snapToGrid w:val="0"/>
        <w:spacing w:beforeAutospacing="0" w:afterAutospacing="0" w:line="360" w:lineRule="auto"/>
        <w:ind w:left="0" w:leftChars="0" w:right="0" w:rightChars="0"/>
        <w:rPr>
          <w:rFonts w:ascii="宋体" w:hAnsi="宋体"/>
          <w:color w:val="auto"/>
          <w:sz w:val="24"/>
          <w:szCs w:val="24"/>
          <w:highlight w:val="none"/>
          <w:lang w:eastAsia="zh-CN"/>
        </w:rPr>
      </w:pPr>
      <w:r>
        <w:rPr>
          <w:rFonts w:hint="eastAsia" w:ascii="宋体" w:hAnsi="宋体"/>
          <w:color w:val="auto"/>
          <w:sz w:val="24"/>
          <w:szCs w:val="24"/>
          <w:highlight w:val="none"/>
          <w:lang w:eastAsia="zh-CN"/>
        </w:rPr>
        <w:t>（5）提供本单位制造的货物、承担的工程或者服务（以下简称产品），或者提供其他残疾人福利性单位制造的货物（不包括使用非残疾人福利性单位注册商标的货物）。</w:t>
      </w:r>
    </w:p>
    <w:p w14:paraId="37096274">
      <w:pPr>
        <w:pageBreakBefore w:val="0"/>
        <w:kinsoku/>
        <w:overflowPunct/>
        <w:bidi w:val="0"/>
        <w:adjustRightInd w:val="0"/>
        <w:snapToGrid w:val="0"/>
        <w:spacing w:beforeAutospacing="0" w:afterAutospacing="0" w:line="360" w:lineRule="auto"/>
        <w:ind w:left="0" w:leftChars="0" w:right="0" w:rightChars="0"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2.中标人为残疾人福利性单位的，采购人或者其委托的采购代理机构应当随中标、成交结果同时公告其《残疾人福利性单位声明函》，接受社会监督。</w:t>
      </w:r>
    </w:p>
    <w:p w14:paraId="4D2DB638">
      <w:pPr>
        <w:pageBreakBefore w:val="0"/>
        <w:kinsoku/>
        <w:overflowPunct/>
        <w:bidi w:val="0"/>
        <w:adjustRightInd w:val="0"/>
        <w:snapToGrid w:val="0"/>
        <w:spacing w:beforeAutospacing="0" w:afterAutospacing="0" w:line="360" w:lineRule="auto"/>
        <w:ind w:left="0" w:leftChars="0" w:right="0" w:rightChars="0"/>
        <w:jc w:val="center"/>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br w:type="page"/>
      </w:r>
      <w:r>
        <w:rPr>
          <w:rFonts w:hint="eastAsia" w:ascii="宋体" w:hAnsi="宋体"/>
          <w:b/>
          <w:color w:val="auto"/>
          <w:sz w:val="28"/>
          <w:szCs w:val="28"/>
          <w:highlight w:val="none"/>
          <w:lang w:eastAsia="zh-CN"/>
        </w:rPr>
        <w:t>监狱企业证明文件</w:t>
      </w:r>
    </w:p>
    <w:p w14:paraId="2568653C">
      <w:pPr>
        <w:pStyle w:val="7"/>
        <w:pageBreakBefore w:val="0"/>
        <w:kinsoku/>
        <w:overflowPunct/>
        <w:bidi w:val="0"/>
        <w:adjustRightInd w:val="0"/>
        <w:snapToGrid w:val="0"/>
        <w:spacing w:beforeAutospacing="0" w:after="0" w:afterAutospacing="0" w:line="360" w:lineRule="auto"/>
        <w:ind w:left="0" w:leftChars="0" w:right="0" w:rightChars="0"/>
        <w:rPr>
          <w:b/>
          <w:color w:val="auto"/>
          <w:sz w:val="28"/>
          <w:szCs w:val="28"/>
          <w:highlight w:val="none"/>
          <w:lang w:eastAsia="zh-CN"/>
        </w:rPr>
      </w:pPr>
    </w:p>
    <w:p w14:paraId="45B1E191">
      <w:pPr>
        <w:pStyle w:val="13"/>
        <w:pageBreakBefore w:val="0"/>
        <w:kinsoku/>
        <w:overflowPunct/>
        <w:bidi w:val="0"/>
        <w:adjustRightInd w:val="0"/>
        <w:snapToGrid w:val="0"/>
        <w:spacing w:beforeAutospacing="0" w:afterAutospacing="0" w:line="360" w:lineRule="auto"/>
        <w:ind w:left="0" w:leftChars="0" w:right="0" w:rightChars="0"/>
        <w:rPr>
          <w:rFonts w:hint="eastAsia"/>
          <w:color w:val="auto"/>
          <w:highlight w:val="none"/>
        </w:rPr>
      </w:pPr>
      <w:r>
        <w:rPr>
          <w:rFonts w:hint="eastAsia" w:ascii="宋体" w:hAnsi="宋体"/>
          <w:color w:val="auto"/>
          <w:sz w:val="24"/>
          <w:szCs w:val="24"/>
          <w:highlight w:val="none"/>
          <w:lang w:eastAsia="zh-CN"/>
        </w:rPr>
        <w:t>（监狱企业参加政府采购活动时，应当提供由省级以上监狱管理局、戒毒管理局(含新疆生产建设兵团)出具的属于监狱企业的证明文</w:t>
      </w:r>
    </w:p>
    <w:p w14:paraId="5ACCA8CF">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49D6104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00D2D1E9">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5CDA5966">
      <w:pPr>
        <w:pageBreakBefore w:val="0"/>
        <w:widowControl/>
        <w:kinsoku/>
        <w:overflowPunct/>
        <w:bidi w:val="0"/>
        <w:adjustRightInd w:val="0"/>
        <w:snapToGrid w:val="0"/>
        <w:spacing w:beforeAutospacing="0" w:afterAutospacing="0" w:line="360" w:lineRule="auto"/>
        <w:ind w:left="0" w:leftChars="0" w:right="0" w:right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（提醒：如果投标人</w:t>
      </w:r>
      <w:r>
        <w:rPr>
          <w:rFonts w:hint="eastAsia" w:ascii="宋体" w:hAnsi="宋体" w:eastAsia="宋体" w:cs="宋体"/>
          <w:b/>
          <w:color w:val="auto"/>
          <w:spacing w:val="10"/>
          <w:kern w:val="0"/>
          <w:sz w:val="24"/>
          <w:highlight w:val="none"/>
        </w:rPr>
        <w:t>不是</w:t>
      </w:r>
      <w:r>
        <w:rPr>
          <w:rFonts w:hint="eastAsia" w:ascii="宋体" w:hAnsi="宋体" w:eastAsia="宋体" w:cs="宋体"/>
          <w:b/>
          <w:bCs/>
          <w:color w:val="auto"/>
          <w:sz w:val="24"/>
          <w:highlight w:val="none"/>
          <w:lang w:val="en-GB"/>
        </w:rPr>
        <w:t>监狱企业</w:t>
      </w:r>
      <w:r>
        <w:rPr>
          <w:rFonts w:hint="eastAsia" w:ascii="宋体" w:hAnsi="宋体" w:eastAsia="宋体" w:cs="宋体"/>
          <w:b/>
          <w:color w:val="auto"/>
          <w:sz w:val="24"/>
          <w:highlight w:val="none"/>
        </w:rPr>
        <w:t>，则不需要提供</w:t>
      </w:r>
      <w:r>
        <w:rPr>
          <w:rFonts w:hint="eastAsia" w:ascii="宋体" w:hAnsi="宋体" w:eastAsia="宋体" w:cs="宋体"/>
          <w:b/>
          <w:color w:val="auto"/>
          <w:sz w:val="24"/>
          <w:highlight w:val="none"/>
          <w:lang w:val="en-GB"/>
        </w:rPr>
        <w:t>证明材料</w:t>
      </w:r>
      <w:r>
        <w:rPr>
          <w:rFonts w:hint="eastAsia" w:ascii="宋体" w:hAnsi="宋体" w:cs="宋体"/>
          <w:b/>
          <w:color w:val="auto"/>
          <w:sz w:val="24"/>
          <w:highlight w:val="none"/>
          <w:lang w:val="en-GB" w:eastAsia="zh-CN"/>
        </w:rPr>
        <w:t>，</w:t>
      </w:r>
      <w:r>
        <w:rPr>
          <w:rFonts w:hint="eastAsia" w:ascii="宋体" w:hAnsi="宋体" w:cs="宋体"/>
          <w:b/>
          <w:color w:val="auto"/>
          <w:sz w:val="24"/>
          <w:highlight w:val="none"/>
          <w:lang w:val="en-US" w:eastAsia="zh-CN"/>
        </w:rPr>
        <w:t>不删除本项，标明不属于监狱企业</w:t>
      </w:r>
      <w:r>
        <w:rPr>
          <w:rFonts w:hint="eastAsia" w:ascii="宋体" w:hAnsi="宋体" w:eastAsia="宋体" w:cs="宋体"/>
          <w:b/>
          <w:color w:val="auto"/>
          <w:sz w:val="24"/>
          <w:highlight w:val="none"/>
        </w:rPr>
        <w:t>）</w:t>
      </w:r>
    </w:p>
    <w:p w14:paraId="6CE1082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3A3BE21B">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7906C8A6">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64081DD4">
      <w:pPr>
        <w:pageBreakBefore w:val="0"/>
        <w:kinsoku/>
        <w:overflowPunct/>
        <w:bidi w:val="0"/>
        <w:adjustRightInd w:val="0"/>
        <w:snapToGrid w:val="0"/>
        <w:spacing w:beforeAutospacing="0" w:afterAutospacing="0" w:line="360" w:lineRule="auto"/>
        <w:ind w:left="0" w:leftChars="0" w:right="0" w:rightChars="0" w:firstLine="4320" w:firstLineChars="180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s="宋体"/>
          <w:color w:val="auto"/>
          <w:sz w:val="24"/>
          <w:szCs w:val="24"/>
          <w:highlight w:val="none"/>
        </w:rPr>
        <w:t>电子签章</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p>
    <w:p w14:paraId="1FF2DF50">
      <w:pPr>
        <w:pageBreakBefore w:val="0"/>
        <w:kinsoku/>
        <w:overflowPunct/>
        <w:bidi w:val="0"/>
        <w:adjustRightInd w:val="0"/>
        <w:snapToGrid w:val="0"/>
        <w:spacing w:beforeAutospacing="0" w:afterAutospacing="0" w:line="360" w:lineRule="auto"/>
        <w:ind w:left="0" w:leftChars="0" w:right="0" w:rightChars="0" w:firstLine="4320" w:firstLineChars="1800"/>
        <w:rPr>
          <w:rFonts w:hint="eastAsia"/>
          <w:color w:val="auto"/>
          <w:sz w:val="24"/>
          <w:szCs w:val="24"/>
          <w:highlight w:val="none"/>
        </w:rPr>
      </w:pPr>
      <w:r>
        <w:rPr>
          <w:rFonts w:hint="eastAsia"/>
          <w:color w:val="auto"/>
          <w:sz w:val="24"/>
          <w:szCs w:val="24"/>
          <w:highlight w:val="none"/>
        </w:rPr>
        <w:t>日期：</w:t>
      </w:r>
      <w:r>
        <w:rPr>
          <w:rFonts w:hint="eastAsia"/>
          <w:color w:val="auto"/>
          <w:sz w:val="24"/>
          <w:szCs w:val="24"/>
          <w:highlight w:val="none"/>
          <w:u w:val="single"/>
        </w:rPr>
        <w:t xml:space="preserve">          </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rPr>
        <w:t xml:space="preserve">月 </w:t>
      </w:r>
      <w:r>
        <w:rPr>
          <w:rFonts w:hint="eastAsia"/>
          <w:color w:val="auto"/>
          <w:sz w:val="24"/>
          <w:szCs w:val="24"/>
          <w:highlight w:val="none"/>
          <w:u w:val="single"/>
        </w:rPr>
        <w:t xml:space="preserve">      </w:t>
      </w:r>
      <w:r>
        <w:rPr>
          <w:rFonts w:hint="eastAsia"/>
          <w:color w:val="auto"/>
          <w:sz w:val="24"/>
          <w:szCs w:val="24"/>
          <w:highlight w:val="none"/>
        </w:rPr>
        <w:t>日</w:t>
      </w:r>
    </w:p>
    <w:p w14:paraId="00DFF4F9">
      <w:pPr>
        <w:pageBreakBefore w:val="0"/>
        <w:tabs>
          <w:tab w:val="left" w:pos="4860"/>
        </w:tabs>
        <w:kinsoku/>
        <w:overflowPunct/>
        <w:bidi w:val="0"/>
        <w:adjustRightInd w:val="0"/>
        <w:snapToGrid w:val="0"/>
        <w:spacing w:beforeAutospacing="0" w:afterAutospacing="0" w:line="360" w:lineRule="auto"/>
        <w:ind w:left="0" w:leftChars="0" w:right="0" w:rightChars="0" w:firstLine="504" w:firstLineChars="200"/>
        <w:jc w:val="center"/>
        <w:rPr>
          <w:rFonts w:ascii="宋体" w:hAnsi="宋体"/>
          <w:color w:val="auto"/>
          <w:spacing w:val="6"/>
          <w:sz w:val="24"/>
          <w:szCs w:val="24"/>
          <w:highlight w:val="none"/>
          <w:lang w:eastAsia="zh-CN"/>
        </w:rPr>
      </w:pPr>
    </w:p>
    <w:p w14:paraId="7C58E059">
      <w:pPr>
        <w:pageBreakBefore w:val="0"/>
        <w:tabs>
          <w:tab w:val="left" w:pos="5290"/>
        </w:tabs>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459726A2">
      <w:pPr>
        <w:pageBreakBefore w:val="0"/>
        <w:kinsoku/>
        <w:overflowPunct/>
        <w:bidi w:val="0"/>
        <w:adjustRightInd w:val="0"/>
        <w:snapToGrid w:val="0"/>
        <w:spacing w:beforeAutospacing="0" w:afterAutospacing="0" w:line="360" w:lineRule="auto"/>
        <w:ind w:left="0" w:leftChars="0" w:right="0" w:rightChars="0"/>
        <w:rPr>
          <w:rFonts w:hint="eastAsia" w:ascii="宋体" w:hAnsi="宋体" w:cs="宋体"/>
          <w:color w:val="auto"/>
          <w:sz w:val="24"/>
          <w:szCs w:val="24"/>
          <w:highlight w:val="none"/>
        </w:rPr>
      </w:pPr>
    </w:p>
    <w:p w14:paraId="0B4326DC">
      <w:pPr>
        <w:pageBreakBefore w:val="0"/>
        <w:kinsoku/>
        <w:overflowPunct/>
        <w:bidi w:val="0"/>
        <w:adjustRightInd w:val="0"/>
        <w:snapToGrid w:val="0"/>
        <w:spacing w:beforeAutospacing="0" w:afterAutospacing="0" w:line="360" w:lineRule="auto"/>
        <w:ind w:left="0" w:leftChars="0" w:right="0" w:rightChars="0"/>
        <w:rPr>
          <w:color w:val="auto"/>
          <w:highlight w:val="none"/>
        </w:rPr>
      </w:pPr>
    </w:p>
    <w:p w14:paraId="7D0EDABF">
      <w:pPr>
        <w:pageBreakBefore w:val="0"/>
        <w:kinsoku/>
        <w:overflowPunct/>
        <w:bidi w:val="0"/>
        <w:adjustRightInd w:val="0"/>
        <w:snapToGrid w:val="0"/>
        <w:spacing w:beforeAutospacing="0" w:afterAutospacing="0" w:line="360" w:lineRule="auto"/>
        <w:ind w:left="0" w:leftChars="0" w:right="0" w:rightChars="0"/>
        <w:rPr>
          <w:color w:val="auto"/>
          <w:highlight w:val="none"/>
        </w:rPr>
      </w:pPr>
    </w:p>
    <w:sectPr>
      <w:footerReference r:id="rId10" w:type="first"/>
      <w:headerReference r:id="rId8" w:type="default"/>
      <w:footerReference r:id="rId9" w:type="default"/>
      <w:pgSz w:w="11906" w:h="16838"/>
      <w:pgMar w:top="1417" w:right="1247" w:bottom="1417" w:left="124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Mincho Light">
    <w:altName w:val="Yu Gothic UI Light"/>
    <w:panose1 w:val="02020300000000000000"/>
    <w:charset w:val="80"/>
    <w:family w:val="roman"/>
    <w:pitch w:val="default"/>
    <w:sig w:usb0="00000000" w:usb1="00000000" w:usb2="00000012" w:usb3="00000000" w:csb0="2002009F" w:csb1="00000000"/>
  </w:font>
  <w:font w:name="Yu Gothic UI Light">
    <w:panose1 w:val="020B0300000000000000"/>
    <w:charset w:val="80"/>
    <w:family w:val="auto"/>
    <w:pitch w:val="default"/>
    <w:sig w:usb0="E00002FF" w:usb1="2AC7FDFF" w:usb2="00000016" w:usb3="00000000" w:csb0="2002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BD461">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A37B6">
    <w:pPr>
      <w:pStyle w:val="14"/>
      <w:tabs>
        <w:tab w:val="clear" w:pos="4153"/>
      </w:tabs>
      <w:ind w:firstLine="2790" w:firstLineChars="15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C8C7">
    <w:pPr>
      <w:pStyle w:val="14"/>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B87939">
                          <w:pPr>
                            <w:pStyle w:val="14"/>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ik8s3sABAACEAwAADgAAAAAAAAABACAAAAAfAQAAZHJzL2Uyb0RvYy54bWxQSwUG&#10;AAAAAAYABgBZAQAAUQUAAAAA&#10;">
              <v:fill on="f" focussize="0,0"/>
              <v:stroke on="f"/>
              <v:imagedata o:title=""/>
              <o:lock v:ext="edit" aspectratio="f"/>
              <v:textbox inset="0mm,0mm,0mm,0mm" style="mso-fit-shape-to-text:t;">
                <w:txbxContent>
                  <w:p w14:paraId="42B87939">
                    <w:pPr>
                      <w:pStyle w:val="14"/>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BE0D6">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93FF12">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vert="horz" wrap="none" lIns="0" tIns="0" rIns="0" bIns="0" anchor="t" upright="0">
                      <a:spAutoFit/>
                    </wps:bodyPr>
                  </wps:wsp>
                </a:graphicData>
              </a:graphic>
            </wp:anchor>
          </w:drawing>
        </mc:Choice>
        <mc:Fallback>
          <w:pict>
            <v:rect id="文本框 2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OwONWTQAQAAnQMAAA4AAAAAAAAAAQAgAAAAHwEAAGRy&#10;cy9lMm9Eb2MueG1sUEsFBgAAAAAGAAYAWQEAAGEFAAAAAA==&#10;">
              <v:fill on="f" focussize="0,0"/>
              <v:stroke on="f"/>
              <v:imagedata o:title=""/>
              <o:lock v:ext="edit" aspectratio="f"/>
              <v:textbox inset="0mm,0mm,0mm,0mm" style="mso-fit-shape-to-text:t;">
                <w:txbxContent>
                  <w:p w14:paraId="0093FF12">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9545">
    <w:pPr>
      <w:pStyle w:val="14"/>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3B6E08E">
                          <w:pPr>
                            <w:pStyle w:val="14"/>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14:paraId="63B6E08E">
                    <w:pPr>
                      <w:pStyle w:val="14"/>
                    </w:pPr>
                    <w:r>
                      <w:t xml:space="preserve">第 </w:t>
                    </w:r>
                    <w:r>
                      <w:fldChar w:fldCharType="begin"/>
                    </w:r>
                    <w:r>
                      <w:instrText xml:space="preserve"> PAGE  \* MERGEFORMAT </w:instrText>
                    </w:r>
                    <w:r>
                      <w:fldChar w:fldCharType="separate"/>
                    </w:r>
                    <w:r>
                      <w:t>93</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32F7F">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2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B51E5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wps:txbx>
                    <wps:bodyPr vert="horz" wrap="none" lIns="0" tIns="0" rIns="0" bIns="0" anchor="t" upright="0">
                      <a:spAutoFit/>
                    </wps:bodyPr>
                  </wps:wsp>
                </a:graphicData>
              </a:graphic>
            </wp:anchor>
          </w:drawing>
        </mc:Choice>
        <mc:Fallback>
          <w:pict>
            <v:rect id="文本框 22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M3KuiXTAQAAoAMAAA4AAAAAAAAAAQAgAAAAHwEA&#10;AGRycy9lMm9Eb2MueG1sUEsFBgAAAAAGAAYAWQEAAGQFAAAAAA==&#10;">
              <v:fill on="f" focussize="0,0"/>
              <v:stroke on="f"/>
              <v:imagedata o:title=""/>
              <o:lock v:ext="edit" aspectratio="f"/>
              <v:textbox inset="0mm,0mm,0mm,0mm" style="mso-fit-shape-to-text:t;">
                <w:txbxContent>
                  <w:p w14:paraId="35B51E5C">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100</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9B876">
    <w:pPr>
      <w:pStyle w:val="16"/>
      <w:pBdr>
        <w:bottom w:val="none" w:color="auto" w:sz="0" w:space="1"/>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C84C">
    <w:pPr>
      <w:pStyle w:val="16"/>
      <w:pBdr>
        <w:bottom w:val="none" w:color="auto" w:sz="0" w:space="1"/>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FAD19"/>
    <w:multiLevelType w:val="singleLevel"/>
    <w:tmpl w:val="BA7FAD19"/>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2"/>
      <w:numFmt w:val="decimal"/>
      <w:suff w:val="nothing"/>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AB95716"/>
    <w:multiLevelType w:val="singleLevel"/>
    <w:tmpl w:val="0AB95716"/>
    <w:lvl w:ilvl="0" w:tentative="0">
      <w:start w:val="4"/>
      <w:numFmt w:val="chineseCounting"/>
      <w:suff w:val="nothing"/>
      <w:lvlText w:val="%1、"/>
      <w:lvlJc w:val="left"/>
      <w:rPr>
        <w:rFonts w:hint="eastAsia"/>
      </w:rPr>
    </w:lvl>
  </w:abstractNum>
  <w:abstractNum w:abstractNumId="4">
    <w:nsid w:val="0F3DE2EB"/>
    <w:multiLevelType w:val="singleLevel"/>
    <w:tmpl w:val="0F3DE2EB"/>
    <w:lvl w:ilvl="0" w:tentative="0">
      <w:start w:val="2"/>
      <w:numFmt w:val="decimal"/>
      <w:suff w:val="nothing"/>
      <w:lvlText w:val="%1、"/>
      <w:lvlJc w:val="left"/>
    </w:lvl>
  </w:abstractNum>
  <w:abstractNum w:abstractNumId="5">
    <w:nsid w:val="2D0EF793"/>
    <w:multiLevelType w:val="singleLevel"/>
    <w:tmpl w:val="2D0EF793"/>
    <w:lvl w:ilvl="0" w:tentative="0">
      <w:start w:val="1"/>
      <w:numFmt w:val="decimal"/>
      <w:suff w:val="nothing"/>
      <w:lvlText w:val="%1、"/>
      <w:lvlJc w:val="left"/>
      <w:pPr>
        <w:ind w:left="-7"/>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jUBS0fCitNISm4qJ8JFb/WYDrkI=" w:salt="hjPinCwcA/REHFn3XPaJ5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zcxMzNkMjI2MDZlYjUwOWVmOGNkY2Q5NjE5ZjMifQ=="/>
  </w:docVars>
  <w:rsids>
    <w:rsidRoot w:val="00000000"/>
    <w:rsid w:val="00885B23"/>
    <w:rsid w:val="00A61372"/>
    <w:rsid w:val="01A050EF"/>
    <w:rsid w:val="025901E7"/>
    <w:rsid w:val="02DB388D"/>
    <w:rsid w:val="033802EC"/>
    <w:rsid w:val="048E56D2"/>
    <w:rsid w:val="04C133B2"/>
    <w:rsid w:val="04D35987"/>
    <w:rsid w:val="04F459FA"/>
    <w:rsid w:val="057166D8"/>
    <w:rsid w:val="061B2F96"/>
    <w:rsid w:val="06E535E3"/>
    <w:rsid w:val="081544AB"/>
    <w:rsid w:val="08B916C5"/>
    <w:rsid w:val="0ACE6C9C"/>
    <w:rsid w:val="0B1A39FB"/>
    <w:rsid w:val="0C510D41"/>
    <w:rsid w:val="0D76249D"/>
    <w:rsid w:val="0DB00891"/>
    <w:rsid w:val="0E5D69F3"/>
    <w:rsid w:val="0F256C33"/>
    <w:rsid w:val="101A42BE"/>
    <w:rsid w:val="104B091B"/>
    <w:rsid w:val="10667503"/>
    <w:rsid w:val="12291039"/>
    <w:rsid w:val="1280495A"/>
    <w:rsid w:val="128C3AEF"/>
    <w:rsid w:val="12A52565"/>
    <w:rsid w:val="12B75DF4"/>
    <w:rsid w:val="13A740BB"/>
    <w:rsid w:val="156C2EC6"/>
    <w:rsid w:val="17914E66"/>
    <w:rsid w:val="19960E59"/>
    <w:rsid w:val="1A51528D"/>
    <w:rsid w:val="1A89451A"/>
    <w:rsid w:val="1C433F2E"/>
    <w:rsid w:val="1C9B5D51"/>
    <w:rsid w:val="1D20382A"/>
    <w:rsid w:val="1DFC3255"/>
    <w:rsid w:val="1EF06F33"/>
    <w:rsid w:val="1EF15562"/>
    <w:rsid w:val="1F114636"/>
    <w:rsid w:val="1F1F369F"/>
    <w:rsid w:val="1FEE2C71"/>
    <w:rsid w:val="206216E7"/>
    <w:rsid w:val="21240031"/>
    <w:rsid w:val="21747CD2"/>
    <w:rsid w:val="242F1862"/>
    <w:rsid w:val="24B35650"/>
    <w:rsid w:val="25A005FB"/>
    <w:rsid w:val="2D9B6D21"/>
    <w:rsid w:val="2E0B376C"/>
    <w:rsid w:val="2F300FB0"/>
    <w:rsid w:val="2F3525FA"/>
    <w:rsid w:val="32170DB5"/>
    <w:rsid w:val="326A2A2B"/>
    <w:rsid w:val="345474EF"/>
    <w:rsid w:val="34A86B2E"/>
    <w:rsid w:val="34E14608"/>
    <w:rsid w:val="35745681"/>
    <w:rsid w:val="35ED7BFB"/>
    <w:rsid w:val="36895595"/>
    <w:rsid w:val="36ED44C4"/>
    <w:rsid w:val="37CD7F26"/>
    <w:rsid w:val="38DE55D9"/>
    <w:rsid w:val="39DF5AAD"/>
    <w:rsid w:val="3A0A1C14"/>
    <w:rsid w:val="3A770978"/>
    <w:rsid w:val="3A7D77A0"/>
    <w:rsid w:val="3AEF1D20"/>
    <w:rsid w:val="3B750477"/>
    <w:rsid w:val="3C512230"/>
    <w:rsid w:val="3CED6733"/>
    <w:rsid w:val="3EC040FF"/>
    <w:rsid w:val="3EDB2AAB"/>
    <w:rsid w:val="3FAF37E9"/>
    <w:rsid w:val="415369F6"/>
    <w:rsid w:val="42A45AE6"/>
    <w:rsid w:val="42DC6588"/>
    <w:rsid w:val="4423248E"/>
    <w:rsid w:val="44532A24"/>
    <w:rsid w:val="46A303B3"/>
    <w:rsid w:val="47C32F55"/>
    <w:rsid w:val="484756CD"/>
    <w:rsid w:val="4876387D"/>
    <w:rsid w:val="48904B42"/>
    <w:rsid w:val="490E1859"/>
    <w:rsid w:val="4CA20C5F"/>
    <w:rsid w:val="4E770D22"/>
    <w:rsid w:val="4E7E543D"/>
    <w:rsid w:val="4F115000"/>
    <w:rsid w:val="51891E31"/>
    <w:rsid w:val="51B55619"/>
    <w:rsid w:val="53C571D1"/>
    <w:rsid w:val="547277F2"/>
    <w:rsid w:val="55903927"/>
    <w:rsid w:val="56332C8E"/>
    <w:rsid w:val="56DA6E19"/>
    <w:rsid w:val="57A326B6"/>
    <w:rsid w:val="57C76DAA"/>
    <w:rsid w:val="57D52571"/>
    <w:rsid w:val="58045D65"/>
    <w:rsid w:val="58A40196"/>
    <w:rsid w:val="5B3E6680"/>
    <w:rsid w:val="5EF754E1"/>
    <w:rsid w:val="60A877B7"/>
    <w:rsid w:val="614B7400"/>
    <w:rsid w:val="6155027F"/>
    <w:rsid w:val="62195750"/>
    <w:rsid w:val="62BB14A9"/>
    <w:rsid w:val="62D024CD"/>
    <w:rsid w:val="637075F2"/>
    <w:rsid w:val="644D2DDB"/>
    <w:rsid w:val="647A5BDE"/>
    <w:rsid w:val="65293EFC"/>
    <w:rsid w:val="66F10A4A"/>
    <w:rsid w:val="67890C82"/>
    <w:rsid w:val="6A1B4346"/>
    <w:rsid w:val="6BC03C96"/>
    <w:rsid w:val="6C07661A"/>
    <w:rsid w:val="6C4258A4"/>
    <w:rsid w:val="6C477CFF"/>
    <w:rsid w:val="6CAF118B"/>
    <w:rsid w:val="6EE24EE2"/>
    <w:rsid w:val="6F4436E1"/>
    <w:rsid w:val="6FE33686"/>
    <w:rsid w:val="700E5D34"/>
    <w:rsid w:val="70567B70"/>
    <w:rsid w:val="70A63106"/>
    <w:rsid w:val="742C23E2"/>
    <w:rsid w:val="748F1AFC"/>
    <w:rsid w:val="74A76BEC"/>
    <w:rsid w:val="75D532E5"/>
    <w:rsid w:val="75EF084A"/>
    <w:rsid w:val="76404C02"/>
    <w:rsid w:val="76B00EF6"/>
    <w:rsid w:val="76E455E3"/>
    <w:rsid w:val="78563879"/>
    <w:rsid w:val="7860158C"/>
    <w:rsid w:val="79295E21"/>
    <w:rsid w:val="7AD85E10"/>
    <w:rsid w:val="7B474C85"/>
    <w:rsid w:val="7CDB7267"/>
    <w:rsid w:val="7D6C2781"/>
    <w:rsid w:val="7E1F3C97"/>
    <w:rsid w:val="7E7C421A"/>
    <w:rsid w:val="7FF22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6"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rFonts w:ascii="Times New Roman" w:hAnsi="Times New Roman" w:eastAsia="黑体" w:cs="Times New Roman"/>
      <w:b/>
      <w:color w:val="000000"/>
      <w:kern w:val="44"/>
      <w:sz w:val="48"/>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4">
    <w:name w:val="Default Paragraph Font"/>
    <w:qFormat/>
    <w:uiPriority w:val="0"/>
  </w:style>
  <w:style w:type="table" w:default="1" w:styleId="22">
    <w:name w:val="Normal Table"/>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3"/>
    <w:basedOn w:val="1"/>
    <w:qFormat/>
    <w:uiPriority w:val="0"/>
    <w:pPr>
      <w:spacing w:after="120"/>
    </w:pPr>
    <w:rPr>
      <w:rFonts w:ascii="Times New Roman" w:hAnsi="Times New Roman" w:eastAsia="宋体" w:cs="Times New Roman"/>
      <w:sz w:val="16"/>
      <w:szCs w:val="16"/>
    </w:rPr>
  </w:style>
  <w:style w:type="paragraph" w:styleId="7">
    <w:name w:val="Body Text"/>
    <w:basedOn w:val="1"/>
    <w:next w:val="8"/>
    <w:qFormat/>
    <w:uiPriority w:val="99"/>
    <w:pPr>
      <w:spacing w:after="120"/>
    </w:pPr>
  </w:style>
  <w:style w:type="paragraph" w:customStyle="1" w:styleId="8">
    <w:name w:val="style4"/>
    <w:basedOn w:val="1"/>
    <w:next w:val="9"/>
    <w:qFormat/>
    <w:uiPriority w:val="0"/>
    <w:pPr>
      <w:widowControl/>
      <w:spacing w:beforeAutospacing="1" w:afterAutospacing="1"/>
      <w:jc w:val="left"/>
    </w:pPr>
    <w:rPr>
      <w:rFonts w:ascii="宋体" w:hAnsi="宋体" w:cs="宋体"/>
      <w:kern w:val="0"/>
      <w:sz w:val="18"/>
      <w:szCs w:val="18"/>
    </w:rPr>
  </w:style>
  <w:style w:type="paragraph" w:customStyle="1" w:styleId="9">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Body Text Indent"/>
    <w:basedOn w:val="1"/>
    <w:next w:val="11"/>
    <w:qFormat/>
    <w:uiPriority w:val="0"/>
    <w:pPr>
      <w:spacing w:after="120"/>
      <w:ind w:left="420" w:leftChars="200"/>
    </w:pPr>
  </w:style>
  <w:style w:type="paragraph" w:customStyle="1" w:styleId="11">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Plain Text"/>
    <w:basedOn w:val="1"/>
    <w:qFormat/>
    <w:uiPriority w:val="6"/>
    <w:rPr>
      <w:rFonts w:ascii="宋体" w:hAnsi="Courier New"/>
      <w:kern w:val="0"/>
      <w:sz w:val="20"/>
      <w:szCs w:val="20"/>
    </w:rPr>
  </w:style>
  <w:style w:type="paragraph" w:styleId="13">
    <w:name w:val="Body Text Indent 2"/>
    <w:basedOn w:val="1"/>
    <w:qFormat/>
    <w:uiPriority w:val="0"/>
    <w:pPr>
      <w:ind w:firstLine="630"/>
    </w:pPr>
    <w:rPr>
      <w:rFonts w:ascii="宋体" w:eastAsia="宋体" w:cs="Times New Roman"/>
      <w:sz w:val="32"/>
      <w:szCs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rPr>
      <w:rFonts w:ascii="Times New Roman" w:hAnsi="Times New Roman" w:eastAsia="宋体" w:cs="Times New Roman"/>
      <w:szCs w:val="20"/>
    </w:rPr>
  </w:style>
  <w:style w:type="paragraph" w:styleId="18">
    <w:name w:val="Body Text 2"/>
    <w:basedOn w:val="1"/>
    <w:next w:val="7"/>
    <w:qFormat/>
    <w:uiPriority w:val="99"/>
    <w:pPr>
      <w:spacing w:after="120" w:line="480" w:lineRule="auto"/>
    </w:pPr>
    <w:rPr>
      <w:rFonts w:ascii="Times New Roman" w:hAnsi="Times New Roman"/>
      <w:szCs w:val="24"/>
    </w:rPr>
  </w:style>
  <w:style w:type="paragraph" w:styleId="1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0">
    <w:name w:val="Body Text First Indent"/>
    <w:basedOn w:val="7"/>
    <w:next w:val="21"/>
    <w:qFormat/>
    <w:uiPriority w:val="0"/>
    <w:pPr>
      <w:ind w:firstLine="420" w:firstLineChars="100"/>
    </w:pPr>
    <w:rPr>
      <w:rFonts w:ascii="Times New Roman" w:hAnsi="Times New Roman" w:eastAsia="宋体" w:cs="Times New Roman"/>
    </w:rPr>
  </w:style>
  <w:style w:type="paragraph" w:styleId="21">
    <w:name w:val="Body Text First Indent 2"/>
    <w:basedOn w:val="10"/>
    <w:next w:val="1"/>
    <w:qFormat/>
    <w:uiPriority w:val="0"/>
    <w:pPr>
      <w:tabs>
        <w:tab w:val="left" w:pos="720"/>
      </w:tabs>
      <w:autoSpaceDE w:val="0"/>
      <w:autoSpaceDN w:val="0"/>
      <w:adjustRightInd w:val="0"/>
      <w:ind w:firstLine="420"/>
      <w:jc w:val="left"/>
    </w:pPr>
    <w:rPr>
      <w:rFonts w:ascii="Times New Roman" w:hAnsi="Times New Roman" w:eastAsia="宋体" w:cs="Times New Roman"/>
      <w:color w:val="000000"/>
      <w:kern w:val="0"/>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bdr w:val="single" w:color="D2D2D2" w:sz="6" w:space="0"/>
      <w:shd w:val="clear" w:color="auto" w:fill="FFFFFF"/>
    </w:rPr>
  </w:style>
  <w:style w:type="character" w:styleId="26">
    <w:name w:val="FollowedHyperlink"/>
    <w:basedOn w:val="24"/>
    <w:qFormat/>
    <w:uiPriority w:val="0"/>
    <w:rPr>
      <w:color w:val="800080"/>
      <w:u w:val="none"/>
    </w:rPr>
  </w:style>
  <w:style w:type="character" w:styleId="27">
    <w:name w:val="Emphasis"/>
    <w:basedOn w:val="24"/>
    <w:qFormat/>
    <w:uiPriority w:val="0"/>
    <w:rPr>
      <w:b/>
      <w:bCs/>
    </w:rPr>
  </w:style>
  <w:style w:type="character" w:styleId="28">
    <w:name w:val="HTML Definition"/>
    <w:basedOn w:val="24"/>
    <w:qFormat/>
    <w:uiPriority w:val="0"/>
  </w:style>
  <w:style w:type="character" w:styleId="29">
    <w:name w:val="HTML Typewriter"/>
    <w:basedOn w:val="24"/>
    <w:qFormat/>
    <w:uiPriority w:val="0"/>
    <w:rPr>
      <w:rFonts w:hint="default" w:ascii="monospace" w:hAnsi="monospace" w:eastAsia="monospace" w:cs="monospace"/>
      <w:sz w:val="20"/>
    </w:rPr>
  </w:style>
  <w:style w:type="character" w:styleId="30">
    <w:name w:val="HTML Acronym"/>
    <w:basedOn w:val="24"/>
    <w:qFormat/>
    <w:uiPriority w:val="0"/>
  </w:style>
  <w:style w:type="character" w:styleId="31">
    <w:name w:val="HTML Variable"/>
    <w:basedOn w:val="24"/>
    <w:qFormat/>
    <w:uiPriority w:val="0"/>
  </w:style>
  <w:style w:type="character" w:styleId="32">
    <w:name w:val="Hyperlink"/>
    <w:basedOn w:val="24"/>
    <w:qFormat/>
    <w:uiPriority w:val="0"/>
    <w:rPr>
      <w:color w:val="0000FF"/>
      <w:u w:val="none"/>
    </w:rPr>
  </w:style>
  <w:style w:type="character" w:styleId="33">
    <w:name w:val="HTML Code"/>
    <w:basedOn w:val="24"/>
    <w:qFormat/>
    <w:uiPriority w:val="0"/>
    <w:rPr>
      <w:rFonts w:hint="default" w:ascii="monospace" w:hAnsi="monospace" w:eastAsia="monospace" w:cs="monospace"/>
      <w:sz w:val="20"/>
    </w:rPr>
  </w:style>
  <w:style w:type="character" w:styleId="34">
    <w:name w:val="HTML Cite"/>
    <w:basedOn w:val="24"/>
    <w:qFormat/>
    <w:uiPriority w:val="0"/>
  </w:style>
  <w:style w:type="character" w:styleId="35">
    <w:name w:val="HTML Keyboard"/>
    <w:basedOn w:val="24"/>
    <w:qFormat/>
    <w:uiPriority w:val="0"/>
    <w:rPr>
      <w:rFonts w:ascii="monospace" w:hAnsi="monospace" w:eastAsia="monospace" w:cs="monospace"/>
      <w:sz w:val="20"/>
    </w:rPr>
  </w:style>
  <w:style w:type="character" w:styleId="36">
    <w:name w:val="HTML Sample"/>
    <w:basedOn w:val="24"/>
    <w:qFormat/>
    <w:uiPriority w:val="0"/>
    <w:rPr>
      <w:rFonts w:hint="default" w:ascii="monospace" w:hAnsi="monospace" w:eastAsia="monospace" w:cs="monospace"/>
    </w:rPr>
  </w:style>
  <w:style w:type="paragraph" w:customStyle="1" w:styleId="3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38">
    <w:name w:val="p16"/>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Times New Roman"/>
      <w:kern w:val="0"/>
      <w:sz w:val="24"/>
      <w:szCs w:val="24"/>
      <w:lang w:val="en-US" w:eastAsia="zh-CN"/>
    </w:rPr>
  </w:style>
  <w:style w:type="paragraph" w:customStyle="1" w:styleId="39">
    <w:name w:val="Table Paragraph"/>
    <w:basedOn w:val="1"/>
    <w:qFormat/>
    <w:uiPriority w:val="1"/>
    <w:pPr>
      <w:ind w:left="107"/>
    </w:pPr>
    <w:rPr>
      <w:rFonts w:ascii="宋体" w:hAnsi="宋体" w:eastAsia="宋体" w:cs="宋体"/>
      <w:lang w:val="zh-CN" w:eastAsia="zh-CN" w:bidi="zh-CN"/>
    </w:rPr>
  </w:style>
  <w:style w:type="character" w:customStyle="1" w:styleId="40">
    <w:name w:val="first-child"/>
    <w:basedOn w:val="24"/>
    <w:qFormat/>
    <w:uiPriority w:val="0"/>
  </w:style>
  <w:style w:type="character" w:customStyle="1" w:styleId="41">
    <w:name w:val="layui-layer-tabnow"/>
    <w:basedOn w:val="24"/>
    <w:qFormat/>
    <w:uiPriority w:val="0"/>
    <w:rPr>
      <w:bdr w:val="single" w:color="CCCCCC" w:sz="6" w:space="0"/>
      <w:shd w:val="clear" w:color="auto" w:fill="FFFFFF"/>
    </w:rPr>
  </w:style>
  <w:style w:type="paragraph" w:customStyle="1" w:styleId="42">
    <w:name w:val="Table Text"/>
    <w:basedOn w:val="1"/>
    <w:qFormat/>
    <w:uiPriority w:val="0"/>
    <w:rPr>
      <w:rFonts w:ascii="宋体" w:hAnsi="宋体" w:eastAsia="宋体" w:cs="宋体"/>
      <w:sz w:val="21"/>
      <w:szCs w:val="21"/>
      <w:lang w:val="en-US" w:eastAsia="en-US" w:bidi="ar-SA"/>
    </w:rPr>
  </w:style>
  <w:style w:type="character" w:customStyle="1" w:styleId="43">
    <w:name w:val="font41"/>
    <w:basedOn w:val="24"/>
    <w:qFormat/>
    <w:uiPriority w:val="0"/>
    <w:rPr>
      <w:rFonts w:hint="eastAsia" w:ascii="宋体" w:hAnsi="宋体" w:eastAsia="宋体" w:cs="宋体"/>
      <w:color w:val="000000"/>
      <w:sz w:val="22"/>
      <w:szCs w:val="22"/>
      <w:u w:val="none"/>
    </w:rPr>
  </w:style>
  <w:style w:type="character" w:customStyle="1" w:styleId="44">
    <w:name w:val="hover1"/>
    <w:basedOn w:val="24"/>
    <w:qFormat/>
    <w:uiPriority w:val="0"/>
    <w:rPr>
      <w:color w:val="2590EB"/>
    </w:rPr>
  </w:style>
  <w:style w:type="character" w:customStyle="1" w:styleId="45">
    <w:name w:val="hover2"/>
    <w:basedOn w:val="24"/>
    <w:qFormat/>
    <w:uiPriority w:val="0"/>
    <w:rPr>
      <w:color w:val="2590EB"/>
    </w:rPr>
  </w:style>
  <w:style w:type="character" w:customStyle="1" w:styleId="46">
    <w:name w:val="hover3"/>
    <w:basedOn w:val="24"/>
    <w:qFormat/>
    <w:uiPriority w:val="0"/>
  </w:style>
  <w:style w:type="character" w:customStyle="1" w:styleId="47">
    <w:name w:val="mini-outputtext1"/>
    <w:basedOn w:val="24"/>
    <w:qFormat/>
    <w:uiPriority w:val="0"/>
  </w:style>
  <w:style w:type="character" w:customStyle="1" w:styleId="48">
    <w:name w:val="hover"/>
    <w:basedOn w:val="24"/>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18435</Words>
  <Characters>19910</Characters>
  <Paragraphs>1810</Paragraphs>
  <TotalTime>36</TotalTime>
  <ScaleCrop>false</ScaleCrop>
  <LinksUpToDate>false</LinksUpToDate>
  <CharactersWithSpaces>20139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2023-04-14T01:14:00Z</dcterms:created>
  <dc:creator>三门峡</dc:creator>
  <cp:lastModifiedBy>Administrator</cp:lastModifiedBy>
  <dcterms:modified xsi:type="dcterms:W3CDTF">2025-06-27T13:01:33Z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478DB1B98882403186E31F051FA89806_13</vt:lpwstr>
  </property>
  <property fmtid="{D5CDD505-2E9C-101B-9397-08002B2CF9AE}" pid="4" name="KSOTemplateDocerSaveRecord">
    <vt:lpwstr>eyJoZGlkIjoiY2YyNDI4YTVhNDY1MWIwN2U4ZmFhNmU1Yzc4ODNkZjAifQ==</vt:lpwstr>
  </property>
</Properties>
</file>