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80F32">
      <w:pPr>
        <w:widowControl/>
        <w:wordWrap w:val="0"/>
        <w:snapToGrid w:val="0"/>
        <w:spacing w:line="1040" w:lineRule="exact"/>
        <w:jc w:val="center"/>
        <w:rPr>
          <w:rFonts w:ascii="宋体" w:hAnsi="宋体" w:cs="宋体"/>
          <w:b/>
          <w:bCs/>
          <w:kern w:val="0"/>
          <w:sz w:val="44"/>
          <w:szCs w:val="44"/>
        </w:rPr>
      </w:pPr>
      <w:bookmarkStart w:id="65" w:name="_GoBack"/>
      <w:bookmarkEnd w:id="65"/>
      <w:r>
        <w:rPr>
          <w:rFonts w:hint="eastAsia" w:ascii="宋体" w:hAnsi="宋体" w:eastAsia="宋体" w:cs="宋体"/>
          <w:b/>
          <w:bCs/>
          <w:kern w:val="0"/>
          <w:sz w:val="48"/>
          <w:szCs w:val="48"/>
          <w:lang w:val="en-US" w:eastAsia="zh-CN"/>
        </w:rPr>
        <w:t>2025年中央财政河南黄河湿地灵宝段国家级自然保护区监测中心智慧化数据建设项目</w:t>
      </w:r>
    </w:p>
    <w:p w14:paraId="172A4746">
      <w:pPr>
        <w:widowControl/>
        <w:wordWrap w:val="0"/>
        <w:snapToGrid w:val="0"/>
        <w:spacing w:line="1040" w:lineRule="exact"/>
        <w:jc w:val="both"/>
        <w:rPr>
          <w:rFonts w:hint="eastAsia" w:ascii="宋体" w:hAnsi="宋体" w:cs="宋体"/>
          <w:b/>
          <w:bCs/>
          <w:kern w:val="0"/>
          <w:sz w:val="60"/>
          <w:szCs w:val="60"/>
        </w:rPr>
      </w:pPr>
    </w:p>
    <w:p w14:paraId="63FC82CD">
      <w:pPr>
        <w:widowControl/>
        <w:wordWrap w:val="0"/>
        <w:snapToGrid w:val="0"/>
        <w:spacing w:line="1040" w:lineRule="exact"/>
        <w:jc w:val="center"/>
        <w:rPr>
          <w:b/>
          <w:bCs/>
          <w:sz w:val="28"/>
          <w:szCs w:val="36"/>
        </w:rPr>
      </w:pPr>
      <w:r>
        <w:rPr>
          <w:rFonts w:hint="eastAsia" w:ascii="宋体" w:hAnsi="宋体" w:cs="宋体"/>
          <w:b/>
          <w:bCs/>
          <w:kern w:val="0"/>
          <w:sz w:val="96"/>
          <w:szCs w:val="96"/>
        </w:rPr>
        <w:t>竞争性磋商文件</w:t>
      </w:r>
    </w:p>
    <w:p w14:paraId="378932C8">
      <w:pPr>
        <w:wordWrap w:val="0"/>
        <w:snapToGrid w:val="0"/>
        <w:spacing w:line="360" w:lineRule="auto"/>
        <w:jc w:val="center"/>
        <w:rPr>
          <w:rFonts w:hint="eastAsia" w:ascii="宋体" w:hAnsi="宋体"/>
          <w:b/>
          <w:color w:val="000000" w:themeColor="text1"/>
          <w:sz w:val="28"/>
          <w:szCs w:val="28"/>
          <w14:textFill>
            <w14:solidFill>
              <w14:schemeClr w14:val="tx1"/>
            </w14:solidFill>
          </w14:textFill>
        </w:rPr>
      </w:pPr>
    </w:p>
    <w:p w14:paraId="3D9D102D">
      <w:pPr>
        <w:wordWrap w:val="0"/>
        <w:snapToGrid w:val="0"/>
        <w:spacing w:line="360" w:lineRule="auto"/>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项目编号：</w:t>
      </w:r>
      <w:r>
        <w:rPr>
          <w:rFonts w:hint="eastAsia" w:ascii="宋体" w:hAnsi="宋体"/>
          <w:b/>
          <w:color w:val="000000" w:themeColor="text1"/>
          <w:sz w:val="28"/>
          <w:szCs w:val="28"/>
          <w:lang w:val="en-US" w:eastAsia="zh-CN"/>
          <w14:textFill>
            <w14:solidFill>
              <w14:schemeClr w14:val="tx1"/>
            </w14:solidFill>
          </w14:textFill>
        </w:rPr>
        <w:t>灵宝</w:t>
      </w:r>
      <w:r>
        <w:rPr>
          <w:rFonts w:hint="eastAsia" w:ascii="宋体" w:hAnsi="宋体"/>
          <w:b/>
          <w:color w:val="000000" w:themeColor="text1"/>
          <w:sz w:val="28"/>
          <w:szCs w:val="28"/>
          <w:lang w:eastAsia="zh-CN"/>
          <w14:textFill>
            <w14:solidFill>
              <w14:schemeClr w14:val="tx1"/>
            </w14:solidFill>
          </w14:textFill>
        </w:rPr>
        <w:t>竞磋采购-2025-</w:t>
      </w:r>
      <w:r>
        <w:rPr>
          <w:rFonts w:hint="eastAsia" w:ascii="宋体" w:hAnsi="宋体"/>
          <w:b/>
          <w:color w:val="000000" w:themeColor="text1"/>
          <w:sz w:val="28"/>
          <w:szCs w:val="28"/>
          <w:lang w:val="en-US" w:eastAsia="zh-CN"/>
          <w14:textFill>
            <w14:solidFill>
              <w14:schemeClr w14:val="tx1"/>
            </w14:solidFill>
          </w14:textFill>
        </w:rPr>
        <w:t>131</w:t>
      </w:r>
      <w:r>
        <w:rPr>
          <w:rFonts w:hint="eastAsia" w:ascii="宋体" w:hAnsi="宋体"/>
          <w:b/>
          <w:color w:val="000000" w:themeColor="text1"/>
          <w:sz w:val="28"/>
          <w:szCs w:val="28"/>
          <w14:textFill>
            <w14:solidFill>
              <w14:schemeClr w14:val="tx1"/>
            </w14:solidFill>
          </w14:textFill>
        </w:rPr>
        <w:t>、LBGZ[2025]237-ZC179</w:t>
      </w:r>
    </w:p>
    <w:p w14:paraId="5FACF02E">
      <w:pPr>
        <w:wordWrap w:val="0"/>
        <w:rPr>
          <w:rFonts w:ascii="宋体" w:hAnsi="宋体"/>
        </w:rPr>
      </w:pPr>
    </w:p>
    <w:p w14:paraId="0E8C86D8">
      <w:pPr>
        <w:wordWrap w:val="0"/>
        <w:jc w:val="center"/>
        <w:rPr>
          <w:rFonts w:ascii="宋体" w:hAnsi="宋体"/>
        </w:rPr>
      </w:pPr>
      <w:r>
        <w:rPr>
          <w:rFonts w:hint="eastAsia" w:ascii="黑体" w:hAnsi="黑体" w:eastAsia="黑体" w:cs="Times New Roman"/>
          <w:color w:val="000000"/>
          <w:sz w:val="24"/>
          <w:szCs w:val="24"/>
        </w:rPr>
        <w:drawing>
          <wp:inline distT="0" distB="0" distL="114300" distR="114300">
            <wp:extent cx="3590290" cy="3060700"/>
            <wp:effectExtent l="0" t="0" r="1016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3590290" cy="3060700"/>
                    </a:xfrm>
                    <a:prstGeom prst="rect">
                      <a:avLst/>
                    </a:prstGeom>
                    <a:noFill/>
                    <a:ln>
                      <a:noFill/>
                    </a:ln>
                  </pic:spPr>
                </pic:pic>
              </a:graphicData>
            </a:graphic>
          </wp:inline>
        </w:drawing>
      </w:r>
    </w:p>
    <w:p w14:paraId="69D5929F">
      <w:pPr>
        <w:pStyle w:val="7"/>
        <w:wordWrap w:val="0"/>
        <w:spacing w:line="760" w:lineRule="exact"/>
        <w:ind w:firstLine="2096" w:firstLineChars="600"/>
        <w:rPr>
          <w:rFonts w:hint="eastAsia" w:eastAsia="宋体"/>
          <w:sz w:val="21"/>
          <w:szCs w:val="28"/>
          <w:lang w:eastAsia="zh-CN"/>
        </w:rPr>
      </w:pPr>
      <w:r>
        <w:rPr>
          <w:rFonts w:hint="eastAsia" w:ascii="宋体" w:hAnsi="宋体"/>
          <w:b/>
          <w:spacing w:val="-6"/>
          <w:sz w:val="36"/>
          <w:szCs w:val="36"/>
        </w:rPr>
        <w:t>采购人</w:t>
      </w:r>
      <w:r>
        <w:rPr>
          <w:rFonts w:hint="eastAsia" w:ascii="宋体" w:hAnsi="宋体"/>
          <w:b/>
          <w:sz w:val="36"/>
          <w:szCs w:val="36"/>
        </w:rPr>
        <w:t>：</w:t>
      </w:r>
      <w:r>
        <w:rPr>
          <w:rFonts w:hint="eastAsia" w:ascii="宋体" w:hAnsi="宋体"/>
          <w:b/>
          <w:sz w:val="36"/>
          <w:szCs w:val="36"/>
          <w:lang w:eastAsia="zh-CN"/>
        </w:rPr>
        <w:t>灵宝市林业局</w:t>
      </w:r>
    </w:p>
    <w:p w14:paraId="3D7DA8AF">
      <w:pPr>
        <w:wordWrap w:val="0"/>
        <w:spacing w:line="760" w:lineRule="exact"/>
        <w:ind w:firstLine="2168" w:firstLineChars="600"/>
        <w:rPr>
          <w:rFonts w:hint="eastAsia" w:ascii="宋体" w:hAnsi="宋体" w:eastAsia="宋体"/>
          <w:b/>
          <w:sz w:val="36"/>
          <w:szCs w:val="36"/>
          <w:lang w:eastAsia="zh-CN"/>
        </w:rPr>
      </w:pPr>
      <w:r>
        <w:rPr>
          <w:rFonts w:hint="eastAsia" w:ascii="宋体" w:hAnsi="宋体"/>
          <w:b/>
          <w:sz w:val="36"/>
          <w:szCs w:val="36"/>
        </w:rPr>
        <w:t>采购代理机构：</w:t>
      </w:r>
      <w:r>
        <w:rPr>
          <w:rFonts w:hint="eastAsia" w:ascii="宋体" w:hAnsi="宋体"/>
          <w:b/>
          <w:sz w:val="36"/>
          <w:szCs w:val="36"/>
          <w:lang w:eastAsia="zh-CN"/>
        </w:rPr>
        <w:t>佰诺项目管理有限公司</w:t>
      </w:r>
    </w:p>
    <w:p w14:paraId="45CD7B4A">
      <w:pPr>
        <w:wordWrap w:val="0"/>
        <w:spacing w:line="760" w:lineRule="exact"/>
        <w:ind w:firstLine="2168" w:firstLineChars="600"/>
        <w:rPr>
          <w:rFonts w:ascii="宋体" w:hAnsi="宋体"/>
          <w:b/>
          <w:sz w:val="36"/>
          <w:szCs w:val="36"/>
        </w:rPr>
        <w:sectPr>
          <w:headerReference r:id="rId3" w:type="default"/>
          <w:footerReference r:id="rId4" w:type="default"/>
          <w:pgSz w:w="11906" w:h="16838"/>
          <w:pgMar w:top="1440" w:right="1380" w:bottom="1440" w:left="1086" w:header="0" w:footer="850" w:gutter="0"/>
          <w:pgNumType w:fmt="numberInDash" w:start="1"/>
          <w:cols w:space="720" w:num="1"/>
          <w:docGrid w:linePitch="312" w:charSpace="0"/>
        </w:sectPr>
      </w:pPr>
      <w:r>
        <w:rPr>
          <w:rFonts w:hint="eastAsia" w:ascii="宋体" w:hAnsi="宋体"/>
          <w:b/>
          <w:sz w:val="36"/>
          <w:szCs w:val="36"/>
        </w:rPr>
        <w:t>日期：二〇二五年</w:t>
      </w:r>
      <w:r>
        <w:rPr>
          <w:rFonts w:hint="eastAsia" w:ascii="宋体" w:hAnsi="宋体"/>
          <w:b/>
          <w:sz w:val="36"/>
          <w:szCs w:val="36"/>
          <w:lang w:val="en-US" w:eastAsia="zh-CN"/>
        </w:rPr>
        <w:t>八</w:t>
      </w:r>
      <w:r>
        <w:rPr>
          <w:rFonts w:hint="eastAsia" w:ascii="宋体" w:hAnsi="宋体"/>
          <w:b/>
          <w:sz w:val="36"/>
          <w:szCs w:val="36"/>
        </w:rPr>
        <w:t>月</w:t>
      </w:r>
    </w:p>
    <w:p w14:paraId="7F62ABD4">
      <w:pPr>
        <w:keepNext w:val="0"/>
        <w:keepLines w:val="0"/>
        <w:pageBreakBefore w:val="0"/>
        <w:kinsoku/>
        <w:wordWrap w:val="0"/>
        <w:overflowPunct/>
        <w:topLinePunct w:val="0"/>
        <w:autoSpaceDE/>
        <w:autoSpaceDN/>
        <w:bidi w:val="0"/>
        <w:adjustRightInd/>
        <w:snapToGrid/>
        <w:spacing w:line="920" w:lineRule="atLeast"/>
        <w:jc w:val="center"/>
        <w:textAlignment w:val="auto"/>
        <w:rPr>
          <w:rFonts w:ascii="宋体" w:hAnsi="宋体" w:cs="宋体"/>
          <w:sz w:val="40"/>
          <w:szCs w:val="40"/>
        </w:rPr>
      </w:pPr>
      <w:r>
        <w:rPr>
          <w:rFonts w:hint="eastAsia" w:ascii="宋体" w:hAnsi="宋体" w:cs="宋体"/>
          <w:sz w:val="30"/>
          <w:szCs w:val="30"/>
        </w:rPr>
        <w:tab/>
      </w:r>
      <w:r>
        <w:rPr>
          <w:rFonts w:hint="eastAsia" w:ascii="宋体" w:hAnsi="宋体" w:cs="宋体"/>
          <w:b/>
          <w:bCs/>
          <w:sz w:val="44"/>
          <w:szCs w:val="44"/>
        </w:rPr>
        <w:t>目  录</w:t>
      </w:r>
      <w:r>
        <w:rPr>
          <w:rFonts w:hint="eastAsia" w:ascii="宋体" w:hAnsi="宋体" w:cs="宋体"/>
          <w:sz w:val="30"/>
          <w:szCs w:val="30"/>
        </w:rPr>
        <w:fldChar w:fldCharType="begin"/>
      </w:r>
      <w:r>
        <w:rPr>
          <w:rFonts w:hint="eastAsia" w:ascii="宋体" w:hAnsi="宋体" w:cs="宋体"/>
          <w:sz w:val="30"/>
          <w:szCs w:val="30"/>
        </w:rPr>
        <w:instrText xml:space="preserve">TOC \o "1-1" \h \u </w:instrText>
      </w:r>
      <w:r>
        <w:rPr>
          <w:rFonts w:hint="eastAsia" w:ascii="宋体" w:hAnsi="宋体" w:cs="宋体"/>
          <w:sz w:val="30"/>
          <w:szCs w:val="30"/>
        </w:rPr>
        <w:fldChar w:fldCharType="separate"/>
      </w:r>
      <w:r>
        <w:rPr>
          <w:rFonts w:hint="eastAsia" w:ascii="宋体" w:hAnsi="宋体" w:cs="宋体"/>
          <w:sz w:val="30"/>
          <w:szCs w:val="30"/>
        </w:rPr>
        <w:fldChar w:fldCharType="begin"/>
      </w:r>
      <w:r>
        <w:rPr>
          <w:rFonts w:hint="eastAsia" w:ascii="宋体" w:hAnsi="宋体" w:cs="宋体"/>
          <w:sz w:val="30"/>
          <w:szCs w:val="30"/>
        </w:rPr>
        <w:instrText xml:space="preserve"> HYPERLINK \l _Toc21297 </w:instrText>
      </w:r>
      <w:r>
        <w:rPr>
          <w:rFonts w:hint="eastAsia" w:ascii="宋体" w:hAnsi="宋体" w:cs="宋体"/>
          <w:sz w:val="30"/>
          <w:szCs w:val="30"/>
        </w:rPr>
        <w:fldChar w:fldCharType="separate"/>
      </w:r>
    </w:p>
    <w:p w14:paraId="41AF952C">
      <w:pPr>
        <w:pStyle w:val="44"/>
        <w:keepNext w:val="0"/>
        <w:keepLines w:val="0"/>
        <w:pageBreakBefore w:val="0"/>
        <w:tabs>
          <w:tab w:val="right" w:leader="dot" w:pos="9850"/>
        </w:tabs>
        <w:kinsoku/>
        <w:wordWrap w:val="0"/>
        <w:overflowPunct/>
        <w:topLinePunct w:val="0"/>
        <w:autoSpaceDE/>
        <w:autoSpaceDN/>
        <w:bidi w:val="0"/>
        <w:adjustRightInd/>
        <w:snapToGrid/>
        <w:spacing w:line="920" w:lineRule="atLeast"/>
        <w:textAlignment w:val="auto"/>
        <w:rPr>
          <w:rFonts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"1-1" \h \u </w:instrText>
      </w:r>
      <w:r>
        <w:rPr>
          <w:rFonts w:hint="eastAsia" w:ascii="宋体" w:hAnsi="宋体" w:cs="宋体"/>
          <w:sz w:val="32"/>
          <w:szCs w:val="32"/>
        </w:rPr>
        <w:fldChar w:fldCharType="separate"/>
      </w:r>
      <w:r>
        <w:rPr>
          <w:sz w:val="32"/>
          <w:szCs w:val="32"/>
        </w:rPr>
        <w:fldChar w:fldCharType="begin"/>
      </w:r>
      <w:r>
        <w:rPr>
          <w:sz w:val="32"/>
          <w:szCs w:val="32"/>
        </w:rPr>
        <w:instrText xml:space="preserve"> HYPERLINK \l "_Toc29701" </w:instrText>
      </w:r>
      <w:r>
        <w:rPr>
          <w:sz w:val="32"/>
          <w:szCs w:val="32"/>
        </w:rPr>
        <w:fldChar w:fldCharType="separate"/>
      </w:r>
      <w:r>
        <w:rPr>
          <w:rFonts w:hint="eastAsia" w:ascii="宋体" w:hAnsi="宋体" w:cs="宋体"/>
          <w:sz w:val="32"/>
          <w:szCs w:val="32"/>
        </w:rPr>
        <w:t>第一章 竞争性磋商公告…………………………………………</w:t>
      </w:r>
      <w:r>
        <w:rPr>
          <w:rFonts w:hint="eastAsia" w:ascii="宋体" w:hAnsi="宋体" w:cs="宋体"/>
          <w:sz w:val="32"/>
          <w:szCs w:val="32"/>
        </w:rPr>
        <w:fldChar w:fldCharType="end"/>
      </w:r>
      <w:r>
        <w:rPr>
          <w:rFonts w:hint="eastAsia" w:ascii="宋体" w:hAnsi="宋体" w:cs="宋体"/>
          <w:sz w:val="32"/>
          <w:szCs w:val="32"/>
        </w:rPr>
        <w:t>1</w:t>
      </w:r>
    </w:p>
    <w:p w14:paraId="62066C1E">
      <w:pPr>
        <w:pStyle w:val="44"/>
        <w:keepNext w:val="0"/>
        <w:keepLines w:val="0"/>
        <w:pageBreakBefore w:val="0"/>
        <w:tabs>
          <w:tab w:val="right" w:leader="dot" w:pos="9850"/>
        </w:tabs>
        <w:kinsoku/>
        <w:wordWrap w:val="0"/>
        <w:overflowPunct/>
        <w:topLinePunct w:val="0"/>
        <w:autoSpaceDE/>
        <w:autoSpaceDN/>
        <w:bidi w:val="0"/>
        <w:adjustRightInd/>
        <w:snapToGrid/>
        <w:spacing w:line="920" w:lineRule="atLeast"/>
        <w:textAlignment w:val="auto"/>
        <w:rPr>
          <w:rFonts w:ascii="宋体" w:hAnsi="宋体" w:cs="宋体"/>
          <w:sz w:val="32"/>
          <w:szCs w:val="32"/>
        </w:rPr>
      </w:pPr>
      <w:r>
        <w:rPr>
          <w:sz w:val="32"/>
          <w:szCs w:val="32"/>
        </w:rPr>
        <w:fldChar w:fldCharType="begin"/>
      </w:r>
      <w:r>
        <w:rPr>
          <w:sz w:val="32"/>
          <w:szCs w:val="32"/>
        </w:rPr>
        <w:instrText xml:space="preserve"> HYPERLINK \l "_Toc19539" </w:instrText>
      </w:r>
      <w:r>
        <w:rPr>
          <w:sz w:val="32"/>
          <w:szCs w:val="32"/>
        </w:rPr>
        <w:fldChar w:fldCharType="separate"/>
      </w:r>
      <w:r>
        <w:rPr>
          <w:rFonts w:hint="eastAsia" w:ascii="宋体" w:hAnsi="宋体" w:cs="宋体"/>
          <w:sz w:val="32"/>
          <w:szCs w:val="32"/>
        </w:rPr>
        <w:t>第二章 供应商须知………………………………………………6</w:t>
      </w:r>
      <w:r>
        <w:rPr>
          <w:rFonts w:hint="eastAsia" w:ascii="宋体" w:hAnsi="宋体" w:cs="宋体"/>
          <w:sz w:val="32"/>
          <w:szCs w:val="32"/>
        </w:rPr>
        <w:fldChar w:fldCharType="end"/>
      </w:r>
    </w:p>
    <w:p w14:paraId="38E1EC24">
      <w:pPr>
        <w:pStyle w:val="44"/>
        <w:keepNext w:val="0"/>
        <w:keepLines w:val="0"/>
        <w:pageBreakBefore w:val="0"/>
        <w:tabs>
          <w:tab w:val="right" w:leader="dot" w:pos="9850"/>
        </w:tabs>
        <w:kinsoku/>
        <w:wordWrap w:val="0"/>
        <w:overflowPunct/>
        <w:topLinePunct w:val="0"/>
        <w:autoSpaceDE/>
        <w:autoSpaceDN/>
        <w:bidi w:val="0"/>
        <w:adjustRightInd/>
        <w:snapToGrid/>
        <w:spacing w:line="920" w:lineRule="atLeast"/>
        <w:textAlignment w:val="auto"/>
        <w:rPr>
          <w:rFonts w:ascii="宋体" w:hAnsi="宋体" w:cs="宋体"/>
          <w:sz w:val="32"/>
          <w:szCs w:val="32"/>
        </w:rPr>
      </w:pPr>
      <w:r>
        <w:rPr>
          <w:sz w:val="32"/>
          <w:szCs w:val="32"/>
        </w:rPr>
        <w:fldChar w:fldCharType="begin"/>
      </w:r>
      <w:r>
        <w:rPr>
          <w:sz w:val="32"/>
          <w:szCs w:val="32"/>
        </w:rPr>
        <w:instrText xml:space="preserve"> HYPERLINK \l "_Toc7283" </w:instrText>
      </w:r>
      <w:r>
        <w:rPr>
          <w:sz w:val="32"/>
          <w:szCs w:val="32"/>
        </w:rPr>
        <w:fldChar w:fldCharType="separate"/>
      </w:r>
      <w:r>
        <w:rPr>
          <w:rFonts w:hint="eastAsia" w:ascii="宋体" w:hAnsi="宋体" w:cs="宋体"/>
          <w:sz w:val="32"/>
          <w:szCs w:val="32"/>
        </w:rPr>
        <w:t>第三章 服务需求及要求…………………………………………2</w:t>
      </w:r>
      <w:r>
        <w:rPr>
          <w:rFonts w:hint="eastAsia" w:ascii="宋体" w:hAnsi="宋体" w:cs="宋体"/>
          <w:sz w:val="32"/>
          <w:szCs w:val="32"/>
        </w:rPr>
        <w:fldChar w:fldCharType="end"/>
      </w:r>
      <w:r>
        <w:rPr>
          <w:rFonts w:hint="eastAsia" w:ascii="宋体" w:hAnsi="宋体" w:cs="宋体"/>
          <w:sz w:val="32"/>
          <w:szCs w:val="32"/>
        </w:rPr>
        <w:t>6</w:t>
      </w:r>
    </w:p>
    <w:p w14:paraId="6CCF80AF">
      <w:pPr>
        <w:pStyle w:val="44"/>
        <w:keepNext w:val="0"/>
        <w:keepLines w:val="0"/>
        <w:pageBreakBefore w:val="0"/>
        <w:tabs>
          <w:tab w:val="right" w:leader="dot" w:pos="9850"/>
        </w:tabs>
        <w:kinsoku/>
        <w:wordWrap w:val="0"/>
        <w:overflowPunct/>
        <w:topLinePunct w:val="0"/>
        <w:autoSpaceDE/>
        <w:autoSpaceDN/>
        <w:bidi w:val="0"/>
        <w:adjustRightInd/>
        <w:snapToGrid/>
        <w:spacing w:line="920" w:lineRule="atLeast"/>
        <w:textAlignment w:val="auto"/>
        <w:rPr>
          <w:rFonts w:ascii="宋体" w:hAnsi="宋体" w:cs="宋体"/>
          <w:sz w:val="32"/>
          <w:szCs w:val="32"/>
        </w:rPr>
      </w:pPr>
      <w:r>
        <w:rPr>
          <w:sz w:val="32"/>
          <w:szCs w:val="32"/>
        </w:rPr>
        <w:fldChar w:fldCharType="begin"/>
      </w:r>
      <w:r>
        <w:rPr>
          <w:sz w:val="32"/>
          <w:szCs w:val="32"/>
        </w:rPr>
        <w:instrText xml:space="preserve"> HYPERLINK \l "_Toc7283" </w:instrText>
      </w:r>
      <w:r>
        <w:rPr>
          <w:sz w:val="32"/>
          <w:szCs w:val="32"/>
        </w:rPr>
        <w:fldChar w:fldCharType="separate"/>
      </w:r>
      <w:r>
        <w:rPr>
          <w:rFonts w:hint="eastAsia" w:ascii="宋体" w:hAnsi="宋体" w:cs="宋体"/>
          <w:sz w:val="32"/>
          <w:szCs w:val="32"/>
        </w:rPr>
        <w:t>第四章 评审办法…………………………………………………2</w:t>
      </w:r>
      <w:r>
        <w:rPr>
          <w:rFonts w:hint="eastAsia" w:ascii="宋体" w:hAnsi="宋体" w:cs="宋体"/>
          <w:sz w:val="32"/>
          <w:szCs w:val="32"/>
        </w:rPr>
        <w:fldChar w:fldCharType="end"/>
      </w:r>
      <w:r>
        <w:rPr>
          <w:rFonts w:hint="eastAsia" w:ascii="宋体" w:hAnsi="宋体" w:cs="宋体"/>
          <w:sz w:val="32"/>
          <w:szCs w:val="32"/>
        </w:rPr>
        <w:t>9</w:t>
      </w:r>
    </w:p>
    <w:p w14:paraId="4FB8C989">
      <w:pPr>
        <w:pStyle w:val="44"/>
        <w:keepNext w:val="0"/>
        <w:keepLines w:val="0"/>
        <w:pageBreakBefore w:val="0"/>
        <w:tabs>
          <w:tab w:val="right" w:leader="dot" w:pos="9850"/>
        </w:tabs>
        <w:kinsoku/>
        <w:wordWrap w:val="0"/>
        <w:overflowPunct/>
        <w:topLinePunct w:val="0"/>
        <w:autoSpaceDE/>
        <w:autoSpaceDN/>
        <w:bidi w:val="0"/>
        <w:adjustRightInd/>
        <w:snapToGrid/>
        <w:spacing w:line="920" w:lineRule="atLeast"/>
        <w:textAlignment w:val="auto"/>
        <w:rPr>
          <w:rFonts w:ascii="宋体" w:hAnsi="宋体" w:cs="宋体"/>
          <w:sz w:val="32"/>
          <w:szCs w:val="32"/>
        </w:rPr>
      </w:pPr>
      <w:r>
        <w:rPr>
          <w:sz w:val="32"/>
          <w:szCs w:val="32"/>
        </w:rPr>
        <w:fldChar w:fldCharType="begin"/>
      </w:r>
      <w:r>
        <w:rPr>
          <w:sz w:val="32"/>
          <w:szCs w:val="32"/>
        </w:rPr>
        <w:instrText xml:space="preserve"> HYPERLINK \l "_Toc8445" </w:instrText>
      </w:r>
      <w:r>
        <w:rPr>
          <w:sz w:val="32"/>
          <w:szCs w:val="32"/>
        </w:rPr>
        <w:fldChar w:fldCharType="separate"/>
      </w:r>
      <w:r>
        <w:rPr>
          <w:rFonts w:hint="eastAsia" w:ascii="宋体" w:hAnsi="宋体" w:cs="宋体"/>
          <w:kern w:val="44"/>
          <w:sz w:val="32"/>
          <w:szCs w:val="32"/>
        </w:rPr>
        <w:t>第五章 合同主要条款及格式</w:t>
      </w:r>
      <w:r>
        <w:rPr>
          <w:rFonts w:hint="eastAsia"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rPr>
        <w:t>6</w:t>
      </w:r>
    </w:p>
    <w:p w14:paraId="04702BE1">
      <w:pPr>
        <w:pStyle w:val="44"/>
        <w:keepNext w:val="0"/>
        <w:keepLines w:val="0"/>
        <w:pageBreakBefore w:val="0"/>
        <w:tabs>
          <w:tab w:val="right" w:leader="dot" w:pos="9850"/>
        </w:tabs>
        <w:kinsoku/>
        <w:wordWrap w:val="0"/>
        <w:overflowPunct/>
        <w:topLinePunct w:val="0"/>
        <w:autoSpaceDE/>
        <w:autoSpaceDN/>
        <w:bidi w:val="0"/>
        <w:adjustRightInd/>
        <w:snapToGrid/>
        <w:spacing w:line="920" w:lineRule="atLeast"/>
        <w:textAlignment w:val="auto"/>
        <w:rPr>
          <w:rFonts w:ascii="宋体" w:hAnsi="宋体" w:cs="宋体"/>
          <w:sz w:val="32"/>
          <w:szCs w:val="32"/>
        </w:rPr>
      </w:pPr>
      <w:r>
        <w:rPr>
          <w:sz w:val="32"/>
          <w:szCs w:val="32"/>
        </w:rPr>
        <w:fldChar w:fldCharType="begin"/>
      </w:r>
      <w:r>
        <w:rPr>
          <w:sz w:val="32"/>
          <w:szCs w:val="32"/>
        </w:rPr>
        <w:instrText xml:space="preserve"> HYPERLINK \l "_Toc19094" </w:instrText>
      </w:r>
      <w:r>
        <w:rPr>
          <w:sz w:val="32"/>
          <w:szCs w:val="32"/>
        </w:rPr>
        <w:fldChar w:fldCharType="separate"/>
      </w:r>
      <w:r>
        <w:rPr>
          <w:rFonts w:hint="eastAsia" w:ascii="宋体" w:hAnsi="宋体" w:cs="宋体"/>
          <w:kern w:val="44"/>
          <w:sz w:val="32"/>
          <w:szCs w:val="32"/>
        </w:rPr>
        <w:t>第六章 响应文件内容及格式</w:t>
      </w:r>
      <w:r>
        <w:rPr>
          <w:rFonts w:hint="eastAsia" w:ascii="宋体" w:hAnsi="宋体" w:cs="宋体"/>
          <w:sz w:val="32"/>
          <w:szCs w:val="32"/>
        </w:rPr>
        <w:t>…</w:t>
      </w:r>
      <w:r>
        <w:rPr>
          <w:rFonts w:hint="eastAsia" w:ascii="宋体" w:hAnsi="宋体" w:cs="宋体"/>
          <w:sz w:val="32"/>
          <w:szCs w:val="32"/>
        </w:rPr>
        <w:fldChar w:fldCharType="end"/>
      </w:r>
      <w:r>
        <w:rPr>
          <w:rFonts w:hint="eastAsia" w:ascii="宋体" w:hAnsi="宋体" w:cs="宋体"/>
          <w:sz w:val="32"/>
          <w:szCs w:val="32"/>
        </w:rPr>
        <w:t>…………………………………38</w:t>
      </w:r>
    </w:p>
    <w:p w14:paraId="722E1D7B">
      <w:pPr>
        <w:pStyle w:val="44"/>
        <w:keepNext w:val="0"/>
        <w:keepLines w:val="0"/>
        <w:pageBreakBefore w:val="0"/>
        <w:tabs>
          <w:tab w:val="right" w:leader="dot" w:pos="9850"/>
        </w:tabs>
        <w:kinsoku/>
        <w:wordWrap w:val="0"/>
        <w:overflowPunct/>
        <w:topLinePunct w:val="0"/>
        <w:autoSpaceDE/>
        <w:autoSpaceDN/>
        <w:bidi w:val="0"/>
        <w:adjustRightInd/>
        <w:snapToGrid/>
        <w:spacing w:line="920" w:lineRule="atLeast"/>
        <w:textAlignment w:val="auto"/>
        <w:rPr>
          <w:rFonts w:ascii="宋体" w:hAnsi="宋体" w:cs="宋体"/>
          <w:sz w:val="32"/>
          <w:szCs w:val="32"/>
        </w:rPr>
      </w:pPr>
    </w:p>
    <w:p w14:paraId="2D2CE106">
      <w:pPr>
        <w:pStyle w:val="44"/>
        <w:keepNext w:val="0"/>
        <w:keepLines w:val="0"/>
        <w:pageBreakBefore w:val="0"/>
        <w:tabs>
          <w:tab w:val="right" w:leader="dot" w:pos="9850"/>
        </w:tabs>
        <w:kinsoku/>
        <w:wordWrap w:val="0"/>
        <w:overflowPunct/>
        <w:topLinePunct w:val="0"/>
        <w:autoSpaceDE/>
        <w:autoSpaceDN/>
        <w:bidi w:val="0"/>
        <w:adjustRightInd/>
        <w:snapToGrid/>
        <w:spacing w:line="920" w:lineRule="atLeast"/>
        <w:textAlignment w:val="auto"/>
        <w:rPr>
          <w:rFonts w:ascii="宋体" w:hAnsi="宋体" w:cs="宋体"/>
          <w:sz w:val="32"/>
          <w:szCs w:val="32"/>
        </w:rPr>
      </w:pPr>
    </w:p>
    <w:p w14:paraId="37242653">
      <w:pPr>
        <w:pStyle w:val="44"/>
        <w:keepNext w:val="0"/>
        <w:keepLines w:val="0"/>
        <w:pageBreakBefore w:val="0"/>
        <w:tabs>
          <w:tab w:val="right" w:leader="dot" w:pos="9850"/>
        </w:tabs>
        <w:kinsoku/>
        <w:wordWrap w:val="0"/>
        <w:overflowPunct/>
        <w:topLinePunct w:val="0"/>
        <w:autoSpaceDE/>
        <w:autoSpaceDN/>
        <w:bidi w:val="0"/>
        <w:adjustRightInd/>
        <w:snapToGrid/>
        <w:spacing w:line="920" w:lineRule="atLeast"/>
        <w:textAlignment w:val="auto"/>
        <w:rPr>
          <w:rFonts w:ascii="宋体" w:hAnsi="宋体" w:cs="宋体"/>
          <w:sz w:val="32"/>
          <w:szCs w:val="32"/>
        </w:rPr>
      </w:pPr>
    </w:p>
    <w:p w14:paraId="6BA12DC1">
      <w:pPr>
        <w:pStyle w:val="44"/>
        <w:keepNext w:val="0"/>
        <w:keepLines w:val="0"/>
        <w:pageBreakBefore w:val="0"/>
        <w:tabs>
          <w:tab w:val="right" w:leader="dot" w:pos="9850"/>
        </w:tabs>
        <w:kinsoku/>
        <w:wordWrap w:val="0"/>
        <w:overflowPunct/>
        <w:topLinePunct w:val="0"/>
        <w:autoSpaceDE/>
        <w:autoSpaceDN/>
        <w:bidi w:val="0"/>
        <w:adjustRightInd/>
        <w:snapToGrid/>
        <w:spacing w:line="920" w:lineRule="atLeast"/>
        <w:textAlignment w:val="auto"/>
        <w:rPr>
          <w:rFonts w:ascii="宋体" w:hAnsi="宋体" w:cs="宋体"/>
          <w:sz w:val="32"/>
          <w:szCs w:val="32"/>
        </w:rPr>
      </w:pPr>
    </w:p>
    <w:p w14:paraId="09EF4FE0">
      <w:pPr>
        <w:keepNext w:val="0"/>
        <w:keepLines w:val="0"/>
        <w:pageBreakBefore w:val="0"/>
        <w:kinsoku/>
        <w:wordWrap w:val="0"/>
        <w:overflowPunct/>
        <w:topLinePunct w:val="0"/>
        <w:autoSpaceDE/>
        <w:autoSpaceDN/>
        <w:bidi w:val="0"/>
        <w:adjustRightInd/>
        <w:snapToGrid/>
        <w:spacing w:line="920" w:lineRule="atLeast"/>
        <w:textAlignment w:val="auto"/>
        <w:rPr>
          <w:sz w:val="30"/>
          <w:szCs w:val="30"/>
        </w:rPr>
      </w:pPr>
      <w:r>
        <w:rPr>
          <w:rFonts w:hint="eastAsia" w:ascii="宋体" w:hAnsi="宋体" w:cs="宋体"/>
          <w:sz w:val="32"/>
          <w:szCs w:val="32"/>
        </w:rPr>
        <w:fldChar w:fldCharType="end"/>
      </w:r>
      <w:r>
        <w:rPr>
          <w:rFonts w:hint="eastAsia" w:ascii="宋体" w:hAnsi="宋体" w:cs="宋体"/>
          <w:sz w:val="30"/>
          <w:szCs w:val="30"/>
        </w:rPr>
        <w:fldChar w:fldCharType="end"/>
      </w:r>
    </w:p>
    <w:p w14:paraId="725A658C">
      <w:pPr>
        <w:jc w:val="center"/>
        <w:rPr>
          <w:rFonts w:ascii="宋体" w:hAnsi="宋体" w:cs="宋体"/>
          <w:sz w:val="30"/>
          <w:szCs w:val="30"/>
        </w:rPr>
        <w:sectPr>
          <w:headerReference r:id="rId5" w:type="default"/>
          <w:footerReference r:id="rId6" w:type="default"/>
          <w:pgSz w:w="11906" w:h="16838"/>
          <w:pgMar w:top="1440" w:right="1274" w:bottom="1440" w:left="1800" w:header="851" w:footer="992" w:gutter="0"/>
          <w:cols w:space="720" w:num="1"/>
          <w:docGrid w:type="lines" w:linePitch="312" w:charSpace="0"/>
        </w:sectPr>
      </w:pPr>
      <w:r>
        <w:rPr>
          <w:rFonts w:hint="eastAsia" w:ascii="宋体" w:hAnsi="宋体" w:cs="宋体"/>
          <w:sz w:val="30"/>
          <w:szCs w:val="30"/>
        </w:rPr>
        <w:fldChar w:fldCharType="end"/>
      </w:r>
    </w:p>
    <w:p w14:paraId="78E7309E">
      <w:pPr>
        <w:pageBreakBefore w:val="0"/>
        <w:kinsoku/>
        <w:overflowPunct/>
        <w:topLinePunct w:val="0"/>
        <w:autoSpaceDE/>
        <w:autoSpaceDN/>
        <w:bidi w:val="0"/>
        <w:adjustRightInd/>
        <w:snapToGrid/>
        <w:spacing w:line="520" w:lineRule="atLeast"/>
        <w:jc w:val="center"/>
        <w:textAlignment w:val="auto"/>
        <w:rPr>
          <w:rFonts w:ascii="宋体" w:hAnsi="宋体"/>
          <w:b/>
          <w:bCs/>
          <w:sz w:val="32"/>
          <w:szCs w:val="28"/>
        </w:rPr>
      </w:pPr>
      <w:r>
        <w:rPr>
          <w:rFonts w:ascii="宋体" w:hAnsi="宋体"/>
          <w:b/>
          <w:bCs/>
          <w:sz w:val="32"/>
          <w:szCs w:val="28"/>
        </w:rPr>
        <w:t>第一</w:t>
      </w:r>
      <w:r>
        <w:rPr>
          <w:rFonts w:hint="eastAsia" w:ascii="宋体" w:hAnsi="宋体"/>
          <w:b/>
          <w:bCs/>
          <w:sz w:val="32"/>
          <w:szCs w:val="28"/>
        </w:rPr>
        <w:t>章</w:t>
      </w:r>
      <w:r>
        <w:rPr>
          <w:rFonts w:ascii="宋体" w:hAnsi="宋体"/>
          <w:b/>
          <w:bCs/>
          <w:sz w:val="32"/>
          <w:szCs w:val="28"/>
        </w:rPr>
        <w:t> 竞争性磋商公告</w:t>
      </w:r>
    </w:p>
    <w:p w14:paraId="6632EE27">
      <w:pPr>
        <w:pageBreakBefore w:val="0"/>
        <w:kinsoku/>
        <w:overflowPunct/>
        <w:topLinePunct w:val="0"/>
        <w:autoSpaceDE/>
        <w:autoSpaceDN/>
        <w:bidi w:val="0"/>
        <w:adjustRightInd/>
        <w:snapToGrid/>
        <w:spacing w:line="520" w:lineRule="atLeast"/>
        <w:ind w:firstLine="480"/>
        <w:textAlignment w:val="auto"/>
        <w:rPr>
          <w:rFonts w:ascii="宋体" w:hAnsi="宋体" w:cs="宋体"/>
          <w:bCs/>
          <w:sz w:val="24"/>
          <w:szCs w:val="28"/>
        </w:rPr>
      </w:pPr>
      <w:bookmarkStart w:id="0" w:name="_Toc385234428"/>
      <w:bookmarkEnd w:id="0"/>
      <w:bookmarkStart w:id="1" w:name="_Toc326251048"/>
      <w:bookmarkEnd w:id="1"/>
      <w:r>
        <w:rPr>
          <w:rFonts w:hint="eastAsia" w:ascii="宋体" w:hAnsi="宋体" w:cs="宋体"/>
          <w:bCs/>
          <w:sz w:val="24"/>
          <w:szCs w:val="28"/>
          <w:lang w:eastAsia="zh-CN"/>
        </w:rPr>
        <w:t>佰诺项目管理有限公司</w:t>
      </w:r>
      <w:r>
        <w:rPr>
          <w:rFonts w:hint="eastAsia" w:ascii="宋体" w:hAnsi="宋体" w:cs="宋体"/>
          <w:bCs/>
          <w:sz w:val="24"/>
          <w:szCs w:val="28"/>
        </w:rPr>
        <w:t>受</w:t>
      </w:r>
      <w:r>
        <w:rPr>
          <w:rFonts w:hint="eastAsia" w:ascii="宋体" w:hAnsi="宋体" w:cs="宋体"/>
          <w:bCs/>
          <w:sz w:val="24"/>
          <w:szCs w:val="28"/>
          <w:lang w:eastAsia="zh-CN"/>
        </w:rPr>
        <w:t>灵宝市林业局</w:t>
      </w:r>
      <w:r>
        <w:rPr>
          <w:rFonts w:hint="eastAsia" w:ascii="宋体" w:hAnsi="宋体" w:cs="宋体"/>
          <w:bCs/>
          <w:sz w:val="24"/>
          <w:szCs w:val="28"/>
        </w:rPr>
        <w:t>的委托，就</w:t>
      </w:r>
      <w:r>
        <w:rPr>
          <w:rFonts w:hint="eastAsia" w:ascii="宋体" w:hAnsi="宋体" w:cs="宋体"/>
          <w:bCs/>
          <w:sz w:val="24"/>
          <w:szCs w:val="28"/>
          <w:lang w:eastAsia="zh-CN"/>
        </w:rPr>
        <w:t>2025年中央财政河南黄河湿地灵宝段国家级自然保护区监测中心智慧化数据建设项目</w:t>
      </w:r>
      <w:r>
        <w:rPr>
          <w:rFonts w:hint="eastAsia" w:ascii="宋体" w:hAnsi="宋体" w:cs="宋体"/>
          <w:bCs/>
          <w:sz w:val="24"/>
          <w:szCs w:val="28"/>
        </w:rPr>
        <w:t>进行竞争性磋商，欢迎符合资格条件的供应商参加磋商。</w:t>
      </w:r>
    </w:p>
    <w:p w14:paraId="3EF3B09E">
      <w:pPr>
        <w:pageBreakBefore w:val="0"/>
        <w:kinsoku/>
        <w:overflowPunct/>
        <w:topLinePunct w:val="0"/>
        <w:autoSpaceDE/>
        <w:autoSpaceDN/>
        <w:bidi w:val="0"/>
        <w:adjustRightInd/>
        <w:snapToGrid/>
        <w:spacing w:line="520" w:lineRule="atLeast"/>
        <w:ind w:firstLine="480"/>
        <w:textAlignment w:val="auto"/>
        <w:rPr>
          <w:rFonts w:ascii="宋体" w:hAnsi="宋体" w:cs="宋体"/>
          <w:bCs/>
          <w:sz w:val="24"/>
          <w:szCs w:val="28"/>
        </w:rPr>
      </w:pPr>
      <w:r>
        <w:rPr>
          <w:rFonts w:hint="eastAsia" w:ascii="宋体" w:hAnsi="宋体" w:cs="宋体"/>
          <w:bCs/>
          <w:sz w:val="24"/>
          <w:szCs w:val="28"/>
        </w:rPr>
        <w:t>一、项目概况</w:t>
      </w:r>
    </w:p>
    <w:p w14:paraId="2B3B3EE0">
      <w:pPr>
        <w:pageBreakBefore w:val="0"/>
        <w:kinsoku/>
        <w:overflowPunct/>
        <w:topLinePunct w:val="0"/>
        <w:autoSpaceDE/>
        <w:autoSpaceDN/>
        <w:bidi w:val="0"/>
        <w:adjustRightInd/>
        <w:snapToGrid/>
        <w:spacing w:line="520" w:lineRule="atLeast"/>
        <w:ind w:firstLine="480"/>
        <w:textAlignment w:val="auto"/>
        <w:rPr>
          <w:rFonts w:hint="eastAsia" w:ascii="宋体" w:hAnsi="宋体" w:cs="宋体"/>
          <w:bCs/>
          <w:sz w:val="24"/>
          <w:szCs w:val="28"/>
          <w:lang w:eastAsia="zh-CN"/>
        </w:rPr>
      </w:pPr>
      <w:r>
        <w:rPr>
          <w:rFonts w:hint="eastAsia" w:ascii="宋体" w:hAnsi="宋体" w:cs="宋体"/>
          <w:bCs/>
          <w:sz w:val="24"/>
          <w:szCs w:val="28"/>
        </w:rPr>
        <w:t>1、项目名称：</w:t>
      </w:r>
      <w:r>
        <w:rPr>
          <w:rFonts w:hint="eastAsia" w:ascii="宋体" w:hAnsi="宋体" w:cs="宋体"/>
          <w:bCs/>
          <w:sz w:val="24"/>
          <w:szCs w:val="28"/>
          <w:lang w:eastAsia="zh-CN"/>
        </w:rPr>
        <w:t>2025年中央财政河南黄河湿地灵宝段国家级自然保护区监测中心智慧化数据建设项目</w:t>
      </w:r>
    </w:p>
    <w:p w14:paraId="1FE7CB5E">
      <w:pPr>
        <w:pageBreakBefore w:val="0"/>
        <w:kinsoku/>
        <w:overflowPunct/>
        <w:topLinePunct w:val="0"/>
        <w:autoSpaceDE/>
        <w:autoSpaceDN/>
        <w:bidi w:val="0"/>
        <w:adjustRightInd/>
        <w:snapToGrid/>
        <w:spacing w:line="520" w:lineRule="atLeast"/>
        <w:ind w:firstLine="480"/>
        <w:textAlignment w:val="auto"/>
        <w:rPr>
          <w:rFonts w:hint="eastAsia" w:ascii="宋体" w:hAnsi="宋体" w:cs="宋体"/>
          <w:bCs/>
          <w:sz w:val="24"/>
          <w:szCs w:val="28"/>
          <w:lang w:eastAsia="zh-CN"/>
        </w:rPr>
      </w:pPr>
      <w:r>
        <w:rPr>
          <w:rFonts w:hint="eastAsia" w:ascii="宋体" w:hAnsi="宋体" w:cs="宋体"/>
          <w:bCs/>
          <w:sz w:val="24"/>
          <w:szCs w:val="28"/>
          <w:lang w:eastAsia="zh-CN"/>
        </w:rPr>
        <w:t>2、项目编号：</w:t>
      </w:r>
      <w:r>
        <w:rPr>
          <w:rFonts w:hint="eastAsia" w:ascii="宋体" w:hAnsi="宋体" w:cs="宋体"/>
          <w:bCs/>
          <w:sz w:val="24"/>
          <w:szCs w:val="28"/>
          <w:lang w:val="en-US" w:eastAsia="zh-CN"/>
        </w:rPr>
        <w:t>灵宝</w:t>
      </w:r>
      <w:r>
        <w:rPr>
          <w:rFonts w:hint="eastAsia" w:ascii="宋体" w:hAnsi="宋体" w:cs="宋体"/>
          <w:bCs/>
          <w:sz w:val="24"/>
          <w:szCs w:val="28"/>
          <w:lang w:eastAsia="zh-CN"/>
        </w:rPr>
        <w:t>竞磋采购-2025-</w:t>
      </w:r>
      <w:r>
        <w:rPr>
          <w:rFonts w:hint="eastAsia" w:ascii="宋体" w:hAnsi="宋体" w:cs="宋体"/>
          <w:bCs/>
          <w:sz w:val="24"/>
          <w:szCs w:val="28"/>
          <w:lang w:val="en-US" w:eastAsia="zh-CN"/>
        </w:rPr>
        <w:t>131</w:t>
      </w:r>
      <w:r>
        <w:rPr>
          <w:rFonts w:hint="eastAsia" w:ascii="宋体" w:hAnsi="宋体" w:cs="宋体"/>
          <w:bCs/>
          <w:sz w:val="24"/>
          <w:szCs w:val="28"/>
          <w:lang w:eastAsia="zh-CN"/>
        </w:rPr>
        <w:t>、LBGZ[2025]237-ZC179</w:t>
      </w:r>
    </w:p>
    <w:p w14:paraId="06A7BE16">
      <w:pPr>
        <w:pageBreakBefore w:val="0"/>
        <w:kinsoku/>
        <w:overflowPunct/>
        <w:topLinePunct w:val="0"/>
        <w:autoSpaceDE/>
        <w:autoSpaceDN/>
        <w:bidi w:val="0"/>
        <w:adjustRightInd/>
        <w:snapToGrid/>
        <w:spacing w:line="520" w:lineRule="atLeast"/>
        <w:ind w:firstLine="480"/>
        <w:textAlignment w:val="auto"/>
        <w:rPr>
          <w:rFonts w:hint="eastAsia" w:ascii="宋体" w:hAnsi="宋体" w:cs="宋体"/>
          <w:bCs/>
          <w:sz w:val="24"/>
          <w:szCs w:val="28"/>
          <w:lang w:eastAsia="zh-CN"/>
        </w:rPr>
      </w:pPr>
      <w:r>
        <w:rPr>
          <w:rFonts w:hint="eastAsia" w:ascii="宋体" w:hAnsi="宋体" w:cs="宋体"/>
          <w:bCs/>
          <w:sz w:val="24"/>
          <w:szCs w:val="28"/>
          <w:lang w:eastAsia="zh-CN"/>
        </w:rPr>
        <w:t>3、资金来源：财政资金；</w:t>
      </w:r>
    </w:p>
    <w:p w14:paraId="700DA769">
      <w:pPr>
        <w:pageBreakBefore w:val="0"/>
        <w:kinsoku/>
        <w:overflowPunct/>
        <w:topLinePunct w:val="0"/>
        <w:autoSpaceDE/>
        <w:autoSpaceDN/>
        <w:bidi w:val="0"/>
        <w:adjustRightInd/>
        <w:snapToGrid/>
        <w:spacing w:line="520" w:lineRule="atLeast"/>
        <w:ind w:firstLine="480"/>
        <w:textAlignment w:val="auto"/>
        <w:rPr>
          <w:rFonts w:hint="eastAsia" w:ascii="宋体" w:hAnsi="宋体" w:cs="宋体"/>
          <w:bCs/>
          <w:sz w:val="24"/>
          <w:szCs w:val="28"/>
          <w:lang w:eastAsia="zh-CN"/>
        </w:rPr>
      </w:pPr>
      <w:r>
        <w:rPr>
          <w:rFonts w:hint="eastAsia" w:ascii="宋体" w:hAnsi="宋体" w:cs="宋体"/>
          <w:bCs/>
          <w:sz w:val="24"/>
          <w:szCs w:val="28"/>
          <w:lang w:eastAsia="zh-CN"/>
        </w:rPr>
        <w:t>4、采购预算：¥</w:t>
      </w:r>
      <w:r>
        <w:rPr>
          <w:rFonts w:hint="eastAsia" w:ascii="宋体" w:hAnsi="宋体" w:cs="宋体"/>
          <w:bCs/>
          <w:sz w:val="24"/>
          <w:szCs w:val="28"/>
          <w:lang w:val="en-US" w:eastAsia="zh-CN"/>
        </w:rPr>
        <w:t>1699989.99</w:t>
      </w:r>
      <w:r>
        <w:rPr>
          <w:rFonts w:hint="eastAsia" w:ascii="宋体" w:hAnsi="宋体" w:cs="宋体"/>
          <w:bCs/>
          <w:sz w:val="24"/>
          <w:szCs w:val="28"/>
          <w:lang w:eastAsia="zh-CN"/>
        </w:rPr>
        <w:t>元；</w:t>
      </w:r>
    </w:p>
    <w:p w14:paraId="3DE32814">
      <w:pPr>
        <w:pageBreakBefore w:val="0"/>
        <w:kinsoku/>
        <w:overflowPunct/>
        <w:topLinePunct w:val="0"/>
        <w:autoSpaceDE/>
        <w:autoSpaceDN/>
        <w:bidi w:val="0"/>
        <w:adjustRightInd/>
        <w:snapToGrid/>
        <w:spacing w:line="520" w:lineRule="atLeast"/>
        <w:ind w:firstLine="480" w:firstLineChars="200"/>
        <w:textAlignment w:val="auto"/>
        <w:rPr>
          <w:rFonts w:hint="eastAsia" w:ascii="宋体" w:hAnsi="宋体" w:eastAsia="宋体" w:cs="宋体"/>
          <w:bCs/>
          <w:sz w:val="24"/>
          <w:szCs w:val="28"/>
          <w:lang w:val="en-US" w:eastAsia="zh-CN"/>
        </w:rPr>
      </w:pPr>
      <w:r>
        <w:rPr>
          <w:rFonts w:hint="eastAsia" w:ascii="宋体" w:hAnsi="宋体" w:cs="宋体"/>
          <w:bCs/>
          <w:sz w:val="24"/>
          <w:szCs w:val="28"/>
        </w:rPr>
        <w:t>5、</w:t>
      </w:r>
      <w:r>
        <w:rPr>
          <w:rFonts w:hint="eastAsia" w:ascii="宋体" w:hAnsi="宋体" w:eastAsia="宋体" w:cs="宋体"/>
          <w:bCs/>
          <w:sz w:val="24"/>
          <w:szCs w:val="28"/>
          <w:lang w:val="en-US" w:eastAsia="zh-CN"/>
        </w:rPr>
        <w:t>项目需求：本项目为2025年中央财政河南黄河湿地灵宝段国家级自然保护区监测中心智慧化数据建设项目。主要内容为房屋修缮、监测中心平台软、硬件建设、巡护系统、保护区基础数据建设等（具体内容详见第三章服务需求及要求）；</w:t>
      </w:r>
    </w:p>
    <w:p w14:paraId="052F17A5">
      <w:pPr>
        <w:pageBreakBefore w:val="0"/>
        <w:kinsoku/>
        <w:overflowPunct/>
        <w:topLinePunct w:val="0"/>
        <w:autoSpaceDE/>
        <w:autoSpaceDN/>
        <w:bidi w:val="0"/>
        <w:adjustRightInd/>
        <w:snapToGrid/>
        <w:spacing w:line="520" w:lineRule="atLeast"/>
        <w:ind w:firstLine="480" w:firstLineChars="200"/>
        <w:textAlignment w:val="auto"/>
        <w:rPr>
          <w:rFonts w:ascii="宋体" w:hAnsi="宋体"/>
          <w:sz w:val="24"/>
        </w:rPr>
      </w:pPr>
      <w:r>
        <w:rPr>
          <w:rFonts w:hint="eastAsia" w:ascii="宋体" w:hAnsi="宋体"/>
          <w:sz w:val="24"/>
        </w:rPr>
        <w:t>6、标段划分：不划分标段</w:t>
      </w:r>
    </w:p>
    <w:p w14:paraId="75016482">
      <w:pPr>
        <w:pageBreakBefore w:val="0"/>
        <w:kinsoku/>
        <w:overflowPunct/>
        <w:topLinePunct w:val="0"/>
        <w:autoSpaceDE/>
        <w:autoSpaceDN/>
        <w:bidi w:val="0"/>
        <w:adjustRightInd/>
        <w:snapToGrid/>
        <w:spacing w:line="520" w:lineRule="atLeast"/>
        <w:ind w:firstLine="480" w:firstLineChars="200"/>
        <w:textAlignment w:val="auto"/>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7、服务期限：自合同签订之日起 90 日历天内完成。</w:t>
      </w:r>
    </w:p>
    <w:p w14:paraId="3B85D133">
      <w:pPr>
        <w:pageBreakBefore w:val="0"/>
        <w:kinsoku/>
        <w:overflowPunct/>
        <w:topLinePunct w:val="0"/>
        <w:autoSpaceDE/>
        <w:autoSpaceDN/>
        <w:bidi w:val="0"/>
        <w:adjustRightInd/>
        <w:snapToGrid/>
        <w:spacing w:line="520" w:lineRule="atLeast"/>
        <w:ind w:firstLine="480"/>
        <w:textAlignment w:val="auto"/>
        <w:rPr>
          <w:rFonts w:ascii="宋体" w:hAnsi="宋体" w:cs="宋体"/>
          <w:bCs/>
          <w:sz w:val="24"/>
          <w:szCs w:val="28"/>
        </w:rPr>
      </w:pPr>
      <w:r>
        <w:rPr>
          <w:rFonts w:hint="eastAsia" w:ascii="宋体" w:hAnsi="宋体" w:cs="宋体"/>
          <w:bCs/>
          <w:sz w:val="24"/>
          <w:szCs w:val="28"/>
          <w:lang w:val="en-US" w:eastAsia="zh-CN"/>
        </w:rPr>
        <w:t>8</w:t>
      </w:r>
      <w:r>
        <w:rPr>
          <w:rFonts w:hint="eastAsia" w:ascii="宋体" w:hAnsi="宋体" w:cs="宋体"/>
          <w:bCs/>
          <w:sz w:val="24"/>
          <w:szCs w:val="28"/>
        </w:rPr>
        <w:t>、服务地点：</w:t>
      </w:r>
      <w:r>
        <w:rPr>
          <w:rFonts w:hint="eastAsia" w:ascii="宋体" w:hAnsi="宋体" w:cs="宋体"/>
          <w:bCs/>
          <w:sz w:val="24"/>
          <w:szCs w:val="28"/>
          <w:lang w:val="en-US" w:eastAsia="zh-CN"/>
        </w:rPr>
        <w:t>采购人</w:t>
      </w:r>
      <w:r>
        <w:rPr>
          <w:rFonts w:hint="eastAsia" w:ascii="宋体" w:hAnsi="宋体" w:cs="宋体"/>
          <w:bCs/>
          <w:sz w:val="24"/>
          <w:szCs w:val="28"/>
        </w:rPr>
        <w:t>指定地点</w:t>
      </w:r>
    </w:p>
    <w:p w14:paraId="48DFE137">
      <w:pPr>
        <w:pageBreakBefore w:val="0"/>
        <w:kinsoku/>
        <w:overflowPunct/>
        <w:topLinePunct w:val="0"/>
        <w:autoSpaceDE/>
        <w:autoSpaceDN/>
        <w:bidi w:val="0"/>
        <w:adjustRightInd/>
        <w:snapToGrid/>
        <w:spacing w:line="520" w:lineRule="atLeast"/>
        <w:ind w:firstLine="480"/>
        <w:textAlignment w:val="auto"/>
        <w:rPr>
          <w:rFonts w:ascii="宋体" w:hAnsi="宋体" w:cs="宋体"/>
          <w:bCs/>
          <w:sz w:val="24"/>
          <w:szCs w:val="28"/>
        </w:rPr>
      </w:pPr>
      <w:r>
        <w:rPr>
          <w:rFonts w:hint="eastAsia" w:ascii="宋体" w:hAnsi="宋体" w:cs="宋体"/>
          <w:bCs/>
          <w:sz w:val="24"/>
          <w:szCs w:val="28"/>
          <w:lang w:val="en-US" w:eastAsia="zh-CN"/>
        </w:rPr>
        <w:t>9</w:t>
      </w:r>
      <w:r>
        <w:rPr>
          <w:rFonts w:hint="eastAsia" w:ascii="宋体" w:hAnsi="宋体" w:cs="宋体"/>
          <w:bCs/>
          <w:sz w:val="24"/>
          <w:szCs w:val="28"/>
        </w:rPr>
        <w:t>、质量要求：符合国家及行业相关规定要求且符合采购人需求</w:t>
      </w:r>
    </w:p>
    <w:p w14:paraId="0E6574A7">
      <w:pPr>
        <w:pageBreakBefore w:val="0"/>
        <w:kinsoku/>
        <w:overflowPunct/>
        <w:topLinePunct w:val="0"/>
        <w:autoSpaceDE/>
        <w:autoSpaceDN/>
        <w:bidi w:val="0"/>
        <w:adjustRightInd/>
        <w:snapToGrid/>
        <w:spacing w:line="520" w:lineRule="atLeast"/>
        <w:ind w:firstLine="480"/>
        <w:textAlignment w:val="auto"/>
        <w:rPr>
          <w:rFonts w:ascii="宋体" w:hAnsi="宋体" w:cs="宋体"/>
          <w:bCs/>
          <w:sz w:val="24"/>
          <w:szCs w:val="28"/>
        </w:rPr>
      </w:pPr>
      <w:r>
        <w:rPr>
          <w:rFonts w:hint="eastAsia" w:ascii="宋体" w:hAnsi="宋体" w:cs="宋体"/>
          <w:bCs/>
          <w:sz w:val="24"/>
          <w:szCs w:val="28"/>
          <w:lang w:val="en-US" w:eastAsia="zh-CN"/>
        </w:rPr>
        <w:t>10</w:t>
      </w:r>
      <w:r>
        <w:rPr>
          <w:rFonts w:hint="eastAsia" w:ascii="宋体" w:hAnsi="宋体" w:cs="宋体"/>
          <w:bCs/>
          <w:sz w:val="24"/>
          <w:szCs w:val="28"/>
        </w:rPr>
        <w:t>、是否接受进口产品：否</w:t>
      </w:r>
    </w:p>
    <w:p w14:paraId="12007030">
      <w:pPr>
        <w:pageBreakBefore w:val="0"/>
        <w:kinsoku/>
        <w:overflowPunct/>
        <w:topLinePunct w:val="0"/>
        <w:autoSpaceDE/>
        <w:autoSpaceDN/>
        <w:bidi w:val="0"/>
        <w:adjustRightInd/>
        <w:snapToGrid/>
        <w:spacing w:line="520" w:lineRule="atLeast"/>
        <w:ind w:firstLine="480" w:firstLineChars="200"/>
        <w:textAlignment w:val="auto"/>
        <w:rPr>
          <w:rFonts w:ascii="宋体" w:hAnsi="宋体" w:cs="宋体"/>
          <w:bCs/>
          <w:sz w:val="24"/>
          <w:szCs w:val="28"/>
        </w:rPr>
      </w:pPr>
      <w:r>
        <w:rPr>
          <w:rFonts w:hint="eastAsia" w:ascii="宋体" w:hAnsi="宋体" w:cs="宋体"/>
          <w:bCs/>
          <w:sz w:val="24"/>
          <w:szCs w:val="28"/>
        </w:rPr>
        <w:t>二、供应商资格要求</w:t>
      </w:r>
    </w:p>
    <w:p w14:paraId="41998E81">
      <w:pPr>
        <w:pageBreakBefore w:val="0"/>
        <w:kinsoku/>
        <w:overflowPunct/>
        <w:topLinePunct w:val="0"/>
        <w:autoSpaceDE/>
        <w:autoSpaceDN/>
        <w:bidi w:val="0"/>
        <w:adjustRightInd/>
        <w:snapToGrid/>
        <w:spacing w:line="520" w:lineRule="atLeast"/>
        <w:ind w:firstLine="480"/>
        <w:textAlignment w:val="auto"/>
        <w:rPr>
          <w:rFonts w:ascii="宋体" w:hAnsi="宋体" w:cs="宋体"/>
          <w:bCs/>
          <w:sz w:val="24"/>
          <w:szCs w:val="28"/>
        </w:rPr>
      </w:pPr>
      <w:r>
        <w:rPr>
          <w:rFonts w:hint="eastAsia" w:ascii="宋体" w:hAnsi="宋体" w:cs="宋体"/>
          <w:bCs/>
          <w:sz w:val="24"/>
          <w:szCs w:val="28"/>
        </w:rPr>
        <w:t>1、供应商符合《中华人民共和国政府采购法》第二十二条规定条件；</w:t>
      </w:r>
    </w:p>
    <w:p w14:paraId="5A826CF2">
      <w:pPr>
        <w:pageBreakBefore w:val="0"/>
        <w:kinsoku/>
        <w:overflowPunct/>
        <w:topLinePunct w:val="0"/>
        <w:autoSpaceDE/>
        <w:autoSpaceDN/>
        <w:bidi w:val="0"/>
        <w:adjustRightInd/>
        <w:snapToGrid/>
        <w:spacing w:line="520" w:lineRule="atLeast"/>
        <w:ind w:firstLine="480"/>
        <w:textAlignment w:val="auto"/>
        <w:rPr>
          <w:rFonts w:ascii="宋体" w:hAnsi="宋体" w:cs="宋体"/>
          <w:bCs/>
          <w:sz w:val="24"/>
          <w:szCs w:val="28"/>
        </w:rPr>
      </w:pPr>
      <w:r>
        <w:rPr>
          <w:rFonts w:hint="eastAsia" w:ascii="宋体" w:hAnsi="宋体" w:cs="宋体"/>
          <w:bCs/>
          <w:sz w:val="24"/>
          <w:szCs w:val="28"/>
        </w:rPr>
        <w:t>2、落实政府采购政策满足的资格要求：本项目执行促进中小型企业发展政策（残疾人福利性企业、监狱企业视同小微企业）、优先采购节能环保产品等政府采购政策。</w:t>
      </w:r>
    </w:p>
    <w:p w14:paraId="7B4724EB">
      <w:pPr>
        <w:pageBreakBefore w:val="0"/>
        <w:kinsoku/>
        <w:overflowPunct/>
        <w:topLinePunct w:val="0"/>
        <w:autoSpaceDE/>
        <w:autoSpaceDN/>
        <w:bidi w:val="0"/>
        <w:adjustRightInd/>
        <w:snapToGrid/>
        <w:spacing w:line="520" w:lineRule="atLeast"/>
        <w:ind w:firstLine="480"/>
        <w:textAlignment w:val="auto"/>
        <w:rPr>
          <w:rFonts w:ascii="宋体" w:hAnsi="宋体" w:cs="宋体"/>
          <w:bCs/>
          <w:sz w:val="24"/>
          <w:szCs w:val="28"/>
        </w:rPr>
      </w:pPr>
      <w:r>
        <w:rPr>
          <w:rFonts w:hint="eastAsia" w:ascii="宋体" w:hAnsi="宋体" w:cs="宋体"/>
          <w:bCs/>
          <w:sz w:val="24"/>
          <w:szCs w:val="28"/>
        </w:rPr>
        <w:t>3、本项目的特定资格要求：</w:t>
      </w:r>
    </w:p>
    <w:p w14:paraId="1F2B0ECD">
      <w:pPr>
        <w:pageBreakBefore w:val="0"/>
        <w:kinsoku/>
        <w:overflowPunct/>
        <w:topLinePunct w:val="0"/>
        <w:autoSpaceDE/>
        <w:autoSpaceDN/>
        <w:bidi w:val="0"/>
        <w:adjustRightInd/>
        <w:snapToGrid/>
        <w:spacing w:line="520" w:lineRule="atLeast"/>
        <w:ind w:firstLine="480"/>
        <w:textAlignment w:val="auto"/>
        <w:rPr>
          <w:rFonts w:ascii="宋体" w:hAnsi="宋体" w:cs="宋体"/>
          <w:bCs/>
          <w:sz w:val="24"/>
          <w:szCs w:val="28"/>
        </w:rPr>
      </w:pPr>
      <w:r>
        <w:rPr>
          <w:rFonts w:hint="eastAsia" w:ascii="宋体" w:hAnsi="宋体" w:cs="宋体"/>
          <w:bCs/>
          <w:sz w:val="24"/>
          <w:szCs w:val="28"/>
        </w:rPr>
        <w:t>3.1、供应商必须是在中华人民共和国境内注册的能够独立承担民事责任的独立法人，具有有效的营业执照、税务登记证、组织机构代码证(或“三证合一”的营业执照)；</w:t>
      </w:r>
    </w:p>
    <w:p w14:paraId="571F4EE4">
      <w:pPr>
        <w:pageBreakBefore w:val="0"/>
        <w:kinsoku/>
        <w:overflowPunct/>
        <w:topLinePunct w:val="0"/>
        <w:autoSpaceDE/>
        <w:autoSpaceDN/>
        <w:bidi w:val="0"/>
        <w:adjustRightInd/>
        <w:snapToGrid/>
        <w:spacing w:line="520" w:lineRule="atLeast"/>
        <w:ind w:firstLine="480"/>
        <w:textAlignment w:val="auto"/>
        <w:rPr>
          <w:rFonts w:ascii="宋体" w:hAnsi="宋体" w:cs="宋体"/>
          <w:bCs/>
          <w:sz w:val="24"/>
          <w:szCs w:val="28"/>
        </w:rPr>
      </w:pPr>
      <w:r>
        <w:rPr>
          <w:rFonts w:hint="eastAsia" w:ascii="宋体" w:hAnsi="宋体" w:cs="宋体"/>
          <w:bCs/>
          <w:sz w:val="24"/>
          <w:szCs w:val="28"/>
        </w:rPr>
        <w:t>3.2、具有良好的财务状况，提供近三年来任意一个年度的财务审计报告或自行承诺；</w:t>
      </w:r>
    </w:p>
    <w:p w14:paraId="33B61F9C">
      <w:pPr>
        <w:pageBreakBefore w:val="0"/>
        <w:kinsoku/>
        <w:overflowPunct/>
        <w:topLinePunct w:val="0"/>
        <w:autoSpaceDE/>
        <w:autoSpaceDN/>
        <w:bidi w:val="0"/>
        <w:adjustRightInd/>
        <w:snapToGrid/>
        <w:spacing w:line="520" w:lineRule="atLeast"/>
        <w:ind w:firstLine="480"/>
        <w:textAlignment w:val="auto"/>
        <w:rPr>
          <w:rFonts w:ascii="宋体" w:hAnsi="宋体" w:cs="宋体"/>
          <w:bCs/>
          <w:sz w:val="24"/>
          <w:szCs w:val="28"/>
        </w:rPr>
      </w:pPr>
      <w:r>
        <w:rPr>
          <w:rFonts w:hint="eastAsia" w:ascii="宋体" w:hAnsi="宋体" w:cs="宋体"/>
          <w:bCs/>
          <w:sz w:val="24"/>
          <w:szCs w:val="28"/>
        </w:rPr>
        <w:t>3.3、提供企业近半年任意连续三个月依法缴纳税收的证明资料（新成立的企业从成立之日起计算）主要是指缴纳增值税或企业所得税或企业附加税的缴费证明，依法免税的投标响应人，应提供相应文件证明其依法免税；</w:t>
      </w:r>
    </w:p>
    <w:p w14:paraId="06641F97">
      <w:pPr>
        <w:pageBreakBefore w:val="0"/>
        <w:kinsoku/>
        <w:overflowPunct/>
        <w:topLinePunct w:val="0"/>
        <w:autoSpaceDE/>
        <w:autoSpaceDN/>
        <w:bidi w:val="0"/>
        <w:adjustRightInd/>
        <w:snapToGrid/>
        <w:spacing w:line="520" w:lineRule="atLeast"/>
        <w:ind w:firstLine="480"/>
        <w:textAlignment w:val="auto"/>
        <w:rPr>
          <w:rFonts w:ascii="宋体" w:hAnsi="宋体" w:cs="宋体"/>
          <w:bCs/>
          <w:sz w:val="24"/>
          <w:szCs w:val="28"/>
        </w:rPr>
      </w:pPr>
      <w:r>
        <w:rPr>
          <w:rFonts w:hint="eastAsia" w:ascii="宋体" w:hAnsi="宋体" w:cs="宋体"/>
          <w:bCs/>
          <w:sz w:val="24"/>
          <w:szCs w:val="28"/>
        </w:rPr>
        <w:t>3.4、项目负责人为本单位正式员工（提供劳动合同）且已参加社会保险，提供近半年任意连续三个月参加社会养老保险的缴费证明（新成立企业从成立之日起计算）；</w:t>
      </w:r>
    </w:p>
    <w:p w14:paraId="2F50C29C">
      <w:pPr>
        <w:pageBreakBefore w:val="0"/>
        <w:kinsoku/>
        <w:overflowPunct/>
        <w:topLinePunct w:val="0"/>
        <w:autoSpaceDE/>
        <w:autoSpaceDN/>
        <w:bidi w:val="0"/>
        <w:adjustRightInd/>
        <w:snapToGrid/>
        <w:spacing w:line="520" w:lineRule="atLeast"/>
        <w:ind w:firstLine="480"/>
        <w:textAlignment w:val="auto"/>
        <w:rPr>
          <w:rFonts w:ascii="宋体" w:hAnsi="宋体" w:cs="宋体"/>
          <w:bCs/>
          <w:sz w:val="24"/>
          <w:szCs w:val="28"/>
        </w:rPr>
      </w:pPr>
      <w:r>
        <w:rPr>
          <w:rFonts w:hint="eastAsia" w:ascii="宋体" w:hAnsi="宋体" w:cs="宋体"/>
          <w:bCs/>
          <w:sz w:val="24"/>
          <w:szCs w:val="28"/>
        </w:rPr>
        <w:t>3.5、具有履行合同所必需的设备和专业技术能力（提供承诺书，格式自拟）；</w:t>
      </w:r>
    </w:p>
    <w:p w14:paraId="4D7466D3">
      <w:pPr>
        <w:pStyle w:val="3"/>
        <w:pageBreakBefore w:val="0"/>
        <w:kinsoku/>
        <w:overflowPunct/>
        <w:topLinePunct w:val="0"/>
        <w:autoSpaceDE/>
        <w:autoSpaceDN/>
        <w:bidi w:val="0"/>
        <w:adjustRightInd/>
        <w:snapToGrid/>
        <w:spacing w:line="520" w:lineRule="atLeast"/>
        <w:ind w:firstLine="480" w:firstLineChars="200"/>
        <w:textAlignment w:val="auto"/>
        <w:rPr>
          <w:rFonts w:ascii="宋体" w:hAnsi="宋体" w:eastAsia="宋体" w:cs="宋体"/>
          <w:b w:val="0"/>
          <w:color w:val="000000" w:themeColor="text1"/>
          <w:sz w:val="24"/>
          <w:szCs w:val="28"/>
          <w14:textFill>
            <w14:solidFill>
              <w14:schemeClr w14:val="tx1"/>
            </w14:solidFill>
          </w14:textFill>
        </w:rPr>
      </w:pPr>
      <w:r>
        <w:rPr>
          <w:rFonts w:hint="eastAsia" w:ascii="宋体" w:hAnsi="宋体" w:eastAsia="宋体" w:cs="宋体"/>
          <w:b w:val="0"/>
          <w:color w:val="000000" w:themeColor="text1"/>
          <w:sz w:val="24"/>
          <w:szCs w:val="28"/>
          <w14:textFill>
            <w14:solidFill>
              <w14:schemeClr w14:val="tx1"/>
            </w14:solidFill>
          </w14:textFill>
        </w:rPr>
        <w:t>3.</w:t>
      </w:r>
      <w:r>
        <w:rPr>
          <w:rFonts w:hint="eastAsia" w:ascii="宋体" w:hAnsi="宋体" w:eastAsia="宋体" w:cs="宋体"/>
          <w:b w:val="0"/>
          <w:color w:val="000000" w:themeColor="text1"/>
          <w:sz w:val="24"/>
          <w:szCs w:val="28"/>
          <w:lang w:val="en-US" w:eastAsia="zh-CN"/>
          <w14:textFill>
            <w14:solidFill>
              <w14:schemeClr w14:val="tx1"/>
            </w14:solidFill>
          </w14:textFill>
        </w:rPr>
        <w:t>6</w:t>
      </w:r>
      <w:r>
        <w:rPr>
          <w:rFonts w:hint="eastAsia" w:ascii="宋体" w:hAnsi="宋体" w:eastAsia="宋体" w:cs="宋体"/>
          <w:b w:val="0"/>
          <w:color w:val="000000" w:themeColor="text1"/>
          <w:sz w:val="24"/>
          <w:szCs w:val="28"/>
          <w14:textFill>
            <w14:solidFill>
              <w14:schemeClr w14:val="tx1"/>
            </w14:solidFill>
          </w14:textFill>
        </w:rPr>
        <w:t>、参加政府采购活动前3年内无行贿犯罪记录，供应商出具的无行贿犯罪记录在中国裁判文书网自行查询或自行承诺（查询对象：企业、法定代表人）；</w:t>
      </w:r>
    </w:p>
    <w:p w14:paraId="1C98EACA">
      <w:pPr>
        <w:pStyle w:val="3"/>
        <w:pageBreakBefore w:val="0"/>
        <w:kinsoku/>
        <w:overflowPunct/>
        <w:topLinePunct w:val="0"/>
        <w:autoSpaceDE/>
        <w:autoSpaceDN/>
        <w:bidi w:val="0"/>
        <w:adjustRightInd/>
        <w:snapToGrid/>
        <w:spacing w:line="520" w:lineRule="atLeast"/>
        <w:ind w:firstLine="480" w:firstLineChars="200"/>
        <w:textAlignment w:val="auto"/>
        <w:rPr>
          <w:rFonts w:ascii="宋体" w:hAnsi="宋体" w:eastAsia="宋体" w:cs="宋体"/>
          <w:b w:val="0"/>
          <w:color w:val="000000" w:themeColor="text1"/>
          <w:sz w:val="24"/>
          <w:szCs w:val="28"/>
          <w14:textFill>
            <w14:solidFill>
              <w14:schemeClr w14:val="tx1"/>
            </w14:solidFill>
          </w14:textFill>
        </w:rPr>
      </w:pPr>
      <w:r>
        <w:rPr>
          <w:rFonts w:hint="eastAsia" w:ascii="宋体" w:hAnsi="宋体" w:eastAsia="宋体" w:cs="宋体"/>
          <w:b w:val="0"/>
          <w:color w:val="000000" w:themeColor="text1"/>
          <w:sz w:val="24"/>
          <w:szCs w:val="28"/>
          <w14:textFill>
            <w14:solidFill>
              <w14:schemeClr w14:val="tx1"/>
            </w14:solidFill>
          </w14:textFill>
        </w:rPr>
        <w:t>3.</w:t>
      </w:r>
      <w:r>
        <w:rPr>
          <w:rFonts w:hint="eastAsia" w:ascii="宋体" w:hAnsi="宋体" w:eastAsia="宋体" w:cs="宋体"/>
          <w:b w:val="0"/>
          <w:color w:val="000000" w:themeColor="text1"/>
          <w:sz w:val="24"/>
          <w:szCs w:val="28"/>
          <w:lang w:val="en-US" w:eastAsia="zh-CN"/>
          <w14:textFill>
            <w14:solidFill>
              <w14:schemeClr w14:val="tx1"/>
            </w14:solidFill>
          </w14:textFill>
        </w:rPr>
        <w:t>7</w:t>
      </w:r>
      <w:r>
        <w:rPr>
          <w:rFonts w:hint="eastAsia" w:ascii="宋体" w:hAnsi="宋体" w:eastAsia="宋体" w:cs="宋体"/>
          <w:b w:val="0"/>
          <w:color w:val="000000" w:themeColor="text1"/>
          <w:sz w:val="24"/>
          <w:szCs w:val="28"/>
          <w14:textFill>
            <w14:solidFill>
              <w14:schemeClr w14:val="tx1"/>
            </w14:solidFill>
          </w14:textFill>
        </w:rPr>
        <w:t>、供应商须出具本企业无商业贿赂和不正当竞争行为承诺书；</w:t>
      </w:r>
    </w:p>
    <w:p w14:paraId="5C572652">
      <w:pPr>
        <w:pStyle w:val="3"/>
        <w:pageBreakBefore w:val="0"/>
        <w:kinsoku/>
        <w:overflowPunct/>
        <w:topLinePunct w:val="0"/>
        <w:autoSpaceDE/>
        <w:autoSpaceDN/>
        <w:bidi w:val="0"/>
        <w:adjustRightInd/>
        <w:snapToGrid/>
        <w:spacing w:line="520" w:lineRule="atLeast"/>
        <w:ind w:firstLine="480" w:firstLineChars="200"/>
        <w:textAlignment w:val="auto"/>
        <w:rPr>
          <w:rFonts w:ascii="宋体" w:hAnsi="宋体" w:eastAsia="宋体" w:cs="宋体"/>
          <w:b w:val="0"/>
          <w:sz w:val="24"/>
          <w:szCs w:val="28"/>
        </w:rPr>
      </w:pPr>
      <w:r>
        <w:rPr>
          <w:rFonts w:hint="eastAsia" w:ascii="宋体" w:hAnsi="宋体" w:eastAsia="宋体" w:cs="宋体"/>
          <w:b w:val="0"/>
          <w:sz w:val="24"/>
          <w:szCs w:val="28"/>
        </w:rPr>
        <w:t>3.</w:t>
      </w:r>
      <w:r>
        <w:rPr>
          <w:rFonts w:hint="eastAsia" w:ascii="宋体" w:hAnsi="宋体" w:eastAsia="宋体" w:cs="宋体"/>
          <w:b w:val="0"/>
          <w:sz w:val="24"/>
          <w:szCs w:val="28"/>
          <w:lang w:val="en-US" w:eastAsia="zh-CN"/>
        </w:rPr>
        <w:t>8</w:t>
      </w:r>
      <w:r>
        <w:rPr>
          <w:rFonts w:hint="eastAsia" w:ascii="宋体" w:hAnsi="宋体" w:eastAsia="宋体" w:cs="宋体"/>
          <w:b w:val="0"/>
          <w:sz w:val="24"/>
          <w:szCs w:val="28"/>
        </w:rPr>
        <w:t>、单位负责人为同一人或者存在直接控股关系、管理关系的不同供应商，不得参加同一合同项下的政府采购活动（提供声明函）</w:t>
      </w:r>
    </w:p>
    <w:p w14:paraId="03BBECE7">
      <w:pPr>
        <w:pageBreakBefore w:val="0"/>
        <w:kinsoku/>
        <w:overflowPunct/>
        <w:topLinePunct w:val="0"/>
        <w:autoSpaceDE/>
        <w:autoSpaceDN/>
        <w:bidi w:val="0"/>
        <w:adjustRightInd/>
        <w:snapToGrid/>
        <w:spacing w:line="520" w:lineRule="atLeast"/>
        <w:ind w:firstLine="480"/>
        <w:textAlignment w:val="auto"/>
        <w:rPr>
          <w:rFonts w:ascii="宋体" w:hAnsi="宋体" w:cs="宋体"/>
          <w:bCs/>
          <w:sz w:val="24"/>
          <w:szCs w:val="28"/>
        </w:rPr>
      </w:pPr>
      <w:r>
        <w:rPr>
          <w:rFonts w:hint="eastAsia" w:ascii="宋体" w:hAnsi="宋体" w:cs="宋体"/>
          <w:bCs/>
          <w:sz w:val="24"/>
          <w:szCs w:val="28"/>
        </w:rPr>
        <w:t>3.</w:t>
      </w:r>
      <w:r>
        <w:rPr>
          <w:rFonts w:hint="eastAsia" w:ascii="宋体" w:hAnsi="宋体" w:cs="宋体"/>
          <w:bCs/>
          <w:sz w:val="24"/>
          <w:szCs w:val="28"/>
          <w:lang w:val="en-US" w:eastAsia="zh-CN"/>
        </w:rPr>
        <w:t>9</w:t>
      </w:r>
      <w:r>
        <w:rPr>
          <w:rFonts w:hint="eastAsia" w:ascii="宋体" w:hAnsi="宋体" w:cs="宋体"/>
          <w:bCs/>
          <w:sz w:val="24"/>
          <w:szCs w:val="28"/>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采购人或招标代理机构将在开标后通过以上网站进行查询，信用信息查询记录和证据将同采购文件等资料一同归档保存（相关网站有最新规定的，按最新规定执行）；</w:t>
      </w:r>
    </w:p>
    <w:p w14:paraId="3E476EC2">
      <w:pPr>
        <w:pageBreakBefore w:val="0"/>
        <w:kinsoku/>
        <w:overflowPunct/>
        <w:topLinePunct w:val="0"/>
        <w:autoSpaceDE/>
        <w:autoSpaceDN/>
        <w:bidi w:val="0"/>
        <w:adjustRightInd/>
        <w:snapToGrid/>
        <w:spacing w:line="520" w:lineRule="atLeast"/>
        <w:ind w:firstLine="480"/>
        <w:textAlignment w:val="auto"/>
        <w:rPr>
          <w:rFonts w:ascii="宋体" w:hAnsi="宋体" w:cs="宋体"/>
          <w:bCs/>
          <w:sz w:val="24"/>
          <w:szCs w:val="28"/>
        </w:rPr>
      </w:pPr>
      <w:r>
        <w:rPr>
          <w:rFonts w:hint="eastAsia" w:ascii="宋体" w:hAnsi="宋体" w:cs="宋体"/>
          <w:bCs/>
          <w:sz w:val="24"/>
          <w:szCs w:val="28"/>
        </w:rPr>
        <w:t>3.1</w:t>
      </w:r>
      <w:r>
        <w:rPr>
          <w:rFonts w:hint="eastAsia" w:ascii="宋体" w:hAnsi="宋体" w:cs="宋体"/>
          <w:bCs/>
          <w:sz w:val="24"/>
          <w:szCs w:val="28"/>
          <w:lang w:val="en-US" w:eastAsia="zh-CN"/>
        </w:rPr>
        <w:t>0</w:t>
      </w:r>
      <w:r>
        <w:rPr>
          <w:rFonts w:hint="eastAsia" w:ascii="宋体" w:hAnsi="宋体" w:cs="宋体"/>
          <w:bCs/>
          <w:sz w:val="24"/>
          <w:szCs w:val="28"/>
        </w:rPr>
        <w:t>、本项目不接受联合体</w:t>
      </w:r>
      <w:r>
        <w:rPr>
          <w:rFonts w:hint="eastAsia" w:ascii="宋体" w:hAnsi="宋体" w:cs="宋体"/>
          <w:sz w:val="24"/>
        </w:rPr>
        <w:t>磋商</w:t>
      </w:r>
      <w:r>
        <w:rPr>
          <w:rFonts w:hint="eastAsia" w:ascii="宋体" w:hAnsi="宋体" w:cs="宋体"/>
          <w:bCs/>
          <w:sz w:val="24"/>
          <w:szCs w:val="28"/>
        </w:rPr>
        <w:t>。</w:t>
      </w:r>
    </w:p>
    <w:p w14:paraId="7A797ADF">
      <w:pPr>
        <w:pageBreakBefore w:val="0"/>
        <w:kinsoku/>
        <w:overflowPunct/>
        <w:topLinePunct w:val="0"/>
        <w:autoSpaceDE/>
        <w:autoSpaceDN/>
        <w:bidi w:val="0"/>
        <w:adjustRightInd/>
        <w:snapToGrid/>
        <w:spacing w:line="520" w:lineRule="atLeast"/>
        <w:ind w:firstLine="480"/>
        <w:textAlignment w:val="auto"/>
        <w:rPr>
          <w:rFonts w:ascii="宋体" w:hAnsi="宋体" w:cs="宋体"/>
          <w:bCs/>
          <w:sz w:val="24"/>
          <w:szCs w:val="28"/>
        </w:rPr>
      </w:pPr>
      <w:r>
        <w:rPr>
          <w:rFonts w:hint="eastAsia" w:ascii="宋体" w:hAnsi="宋体" w:cs="宋体"/>
          <w:bCs/>
          <w:sz w:val="24"/>
          <w:szCs w:val="28"/>
        </w:rPr>
        <w:t>注：本次招标实行资格后审；被列入失信被执行人及重大税收违法失信主体的企业做无效标处理。采购人或采购代理机构有权对供应商信用记录进行甄别和复查。</w:t>
      </w:r>
    </w:p>
    <w:p w14:paraId="0EBE17D5">
      <w:pPr>
        <w:pageBreakBefore w:val="0"/>
        <w:kinsoku/>
        <w:overflowPunct/>
        <w:topLinePunct w:val="0"/>
        <w:autoSpaceDE/>
        <w:autoSpaceDN/>
        <w:bidi w:val="0"/>
        <w:adjustRightInd/>
        <w:snapToGrid/>
        <w:spacing w:line="520" w:lineRule="atLeast"/>
        <w:ind w:firstLine="480"/>
        <w:textAlignment w:val="auto"/>
        <w:rPr>
          <w:rFonts w:ascii="宋体" w:hAnsi="宋体" w:cs="宋体"/>
          <w:bCs/>
          <w:sz w:val="24"/>
          <w:szCs w:val="28"/>
        </w:rPr>
      </w:pPr>
      <w:r>
        <w:rPr>
          <w:rFonts w:hint="eastAsia" w:ascii="宋体" w:hAnsi="宋体" w:cs="宋体"/>
          <w:bCs/>
          <w:sz w:val="24"/>
          <w:szCs w:val="28"/>
        </w:rPr>
        <w:t>三、磋商文件获取方式</w:t>
      </w:r>
    </w:p>
    <w:p w14:paraId="5CE91A7C">
      <w:pPr>
        <w:pageBreakBefore w:val="0"/>
        <w:kinsoku/>
        <w:overflowPunct/>
        <w:topLinePunct w:val="0"/>
        <w:autoSpaceDE/>
        <w:autoSpaceDN/>
        <w:bidi w:val="0"/>
        <w:adjustRightInd/>
        <w:snapToGrid/>
        <w:spacing w:line="520" w:lineRule="atLeast"/>
        <w:ind w:firstLine="480"/>
        <w:textAlignment w:val="auto"/>
        <w:rPr>
          <w:rFonts w:ascii="宋体" w:hAnsi="宋体" w:cs="宋体"/>
          <w:bCs/>
          <w:sz w:val="24"/>
          <w:szCs w:val="28"/>
        </w:rPr>
      </w:pPr>
      <w:r>
        <w:rPr>
          <w:rFonts w:hint="eastAsia" w:ascii="宋体" w:hAnsi="宋体" w:cs="宋体"/>
          <w:bCs/>
          <w:sz w:val="24"/>
          <w:szCs w:val="28"/>
        </w:rPr>
        <w:t>1、</w:t>
      </w:r>
      <w:r>
        <w:rPr>
          <w:rFonts w:hint="eastAsia" w:ascii="宋体" w:hAnsi="宋体" w:cs="宋体"/>
          <w:bCs/>
          <w:color w:val="auto"/>
          <w:sz w:val="24"/>
          <w:szCs w:val="28"/>
        </w:rPr>
        <w:t>时间：2025年</w:t>
      </w:r>
      <w:r>
        <w:rPr>
          <w:rFonts w:hint="eastAsia" w:ascii="宋体" w:hAnsi="宋体" w:cs="宋体"/>
          <w:bCs/>
          <w:color w:val="auto"/>
          <w:sz w:val="24"/>
          <w:szCs w:val="28"/>
          <w:lang w:val="en-US" w:eastAsia="zh-CN"/>
        </w:rPr>
        <w:t>08</w:t>
      </w:r>
      <w:r>
        <w:rPr>
          <w:rFonts w:hint="eastAsia" w:ascii="宋体" w:hAnsi="宋体" w:cs="宋体"/>
          <w:bCs/>
          <w:color w:val="auto"/>
          <w:sz w:val="24"/>
          <w:szCs w:val="28"/>
        </w:rPr>
        <w:t>月</w:t>
      </w:r>
      <w:r>
        <w:rPr>
          <w:rFonts w:hint="eastAsia" w:ascii="宋体" w:hAnsi="宋体" w:cs="宋体"/>
          <w:bCs/>
          <w:color w:val="auto"/>
          <w:sz w:val="24"/>
          <w:szCs w:val="28"/>
          <w:lang w:val="en-US" w:eastAsia="zh-CN"/>
        </w:rPr>
        <w:t>26</w:t>
      </w:r>
      <w:r>
        <w:rPr>
          <w:rFonts w:hint="eastAsia" w:ascii="宋体" w:hAnsi="宋体" w:cs="宋体"/>
          <w:bCs/>
          <w:color w:val="auto"/>
          <w:sz w:val="24"/>
          <w:szCs w:val="28"/>
        </w:rPr>
        <w:t>日00时00分至2025年</w:t>
      </w:r>
      <w:r>
        <w:rPr>
          <w:rFonts w:hint="eastAsia" w:ascii="宋体" w:hAnsi="宋体" w:cs="宋体"/>
          <w:bCs/>
          <w:color w:val="auto"/>
          <w:sz w:val="24"/>
          <w:szCs w:val="28"/>
          <w:lang w:val="en-US" w:eastAsia="zh-CN"/>
        </w:rPr>
        <w:t>09</w:t>
      </w:r>
      <w:r>
        <w:rPr>
          <w:rFonts w:hint="eastAsia" w:ascii="宋体" w:hAnsi="宋体" w:cs="宋体"/>
          <w:bCs/>
          <w:color w:val="auto"/>
          <w:sz w:val="24"/>
          <w:szCs w:val="28"/>
        </w:rPr>
        <w:t>月</w:t>
      </w:r>
      <w:r>
        <w:rPr>
          <w:rFonts w:hint="eastAsia" w:ascii="宋体" w:hAnsi="宋体" w:cs="宋体"/>
          <w:bCs/>
          <w:color w:val="auto"/>
          <w:sz w:val="24"/>
          <w:szCs w:val="28"/>
          <w:lang w:val="en-US" w:eastAsia="zh-CN"/>
        </w:rPr>
        <w:t>05</w:t>
      </w:r>
      <w:r>
        <w:rPr>
          <w:rFonts w:hint="eastAsia" w:ascii="宋体" w:hAnsi="宋体" w:cs="宋体"/>
          <w:bCs/>
          <w:color w:val="auto"/>
          <w:sz w:val="24"/>
          <w:szCs w:val="28"/>
        </w:rPr>
        <w:t>日08时30分；</w:t>
      </w:r>
    </w:p>
    <w:p w14:paraId="152A3849">
      <w:pPr>
        <w:pageBreakBefore w:val="0"/>
        <w:kinsoku/>
        <w:overflowPunct/>
        <w:topLinePunct w:val="0"/>
        <w:autoSpaceDE/>
        <w:autoSpaceDN/>
        <w:bidi w:val="0"/>
        <w:adjustRightInd/>
        <w:snapToGrid/>
        <w:spacing w:line="520" w:lineRule="atLeast"/>
        <w:ind w:firstLine="480"/>
        <w:textAlignment w:val="auto"/>
        <w:rPr>
          <w:rFonts w:ascii="宋体" w:hAnsi="宋体" w:cs="宋体"/>
          <w:bCs/>
          <w:sz w:val="24"/>
          <w:szCs w:val="28"/>
        </w:rPr>
      </w:pPr>
      <w:r>
        <w:rPr>
          <w:rFonts w:hint="eastAsia" w:ascii="宋体" w:hAnsi="宋体" w:cs="宋体"/>
          <w:bCs/>
          <w:sz w:val="24"/>
          <w:szCs w:val="28"/>
        </w:rPr>
        <w:t>2、地点：三门峡市公共资源交易中心网下载；</w:t>
      </w:r>
    </w:p>
    <w:p w14:paraId="63F65F5B">
      <w:pPr>
        <w:pageBreakBefore w:val="0"/>
        <w:kinsoku/>
        <w:overflowPunct/>
        <w:topLinePunct w:val="0"/>
        <w:autoSpaceDE/>
        <w:autoSpaceDN/>
        <w:bidi w:val="0"/>
        <w:adjustRightInd/>
        <w:snapToGrid/>
        <w:spacing w:line="520" w:lineRule="atLeast"/>
        <w:ind w:firstLine="480"/>
        <w:textAlignment w:val="auto"/>
        <w:rPr>
          <w:rFonts w:ascii="宋体" w:hAnsi="宋体" w:cs="宋体"/>
          <w:bCs/>
          <w:sz w:val="24"/>
          <w:szCs w:val="28"/>
        </w:rPr>
      </w:pPr>
      <w:r>
        <w:rPr>
          <w:rFonts w:hint="eastAsia" w:ascii="宋体" w:hAnsi="宋体" w:cs="宋体"/>
          <w:bCs/>
          <w:sz w:val="24"/>
          <w:szCs w:val="28"/>
        </w:rPr>
        <w:t>3、方式：本项目没有报名环节，供应商凭CA数字证书通过三门峡市公共资源交易中心网（网址：http://gzjy.smx.gov.cn），点击交易平台选择“市场主体登录”，在所参与项目右侧点击参与投标，即可直接下载本项目磋商文件及相关资料；</w:t>
      </w:r>
    </w:p>
    <w:p w14:paraId="62C88A5C">
      <w:pPr>
        <w:pageBreakBefore w:val="0"/>
        <w:kinsoku/>
        <w:wordWrap w:val="0"/>
        <w:overflowPunct/>
        <w:topLinePunct w:val="0"/>
        <w:autoSpaceDE/>
        <w:autoSpaceDN/>
        <w:bidi w:val="0"/>
        <w:adjustRightInd/>
        <w:snapToGrid/>
        <w:spacing w:line="520" w:lineRule="atLeast"/>
        <w:ind w:firstLine="482"/>
        <w:textAlignment w:val="auto"/>
        <w:rPr>
          <w:rFonts w:ascii="宋体" w:hAnsi="宋体" w:cs="宋体"/>
          <w:bCs/>
          <w:sz w:val="24"/>
          <w:szCs w:val="28"/>
        </w:rPr>
      </w:pPr>
      <w:r>
        <w:rPr>
          <w:rFonts w:hint="eastAsia" w:ascii="宋体" w:hAnsi="宋体" w:cs="宋体"/>
          <w:bCs/>
          <w:sz w:val="24"/>
          <w:szCs w:val="28"/>
        </w:rPr>
        <w:t>办理CA证书：http://gzjy.smx.gov.cn/bzzx/008001/20211105/57b16af9-ab87-4395-a723-7758c628a3f8.html</w:t>
      </w:r>
    </w:p>
    <w:p w14:paraId="6CF07E94">
      <w:pPr>
        <w:pageBreakBefore w:val="0"/>
        <w:kinsoku/>
        <w:wordWrap w:val="0"/>
        <w:overflowPunct/>
        <w:topLinePunct w:val="0"/>
        <w:autoSpaceDE/>
        <w:autoSpaceDN/>
        <w:bidi w:val="0"/>
        <w:adjustRightInd/>
        <w:snapToGrid/>
        <w:spacing w:line="520" w:lineRule="atLeast"/>
        <w:ind w:firstLine="482"/>
        <w:textAlignment w:val="auto"/>
        <w:rPr>
          <w:rFonts w:ascii="宋体" w:hAnsi="宋体" w:cs="宋体"/>
          <w:bCs/>
          <w:sz w:val="24"/>
          <w:szCs w:val="28"/>
        </w:rPr>
      </w:pPr>
      <w:r>
        <w:rPr>
          <w:rFonts w:hint="eastAsia" w:ascii="宋体" w:hAnsi="宋体" w:cs="宋体"/>
          <w:bCs/>
          <w:sz w:val="24"/>
          <w:szCs w:val="28"/>
        </w:rPr>
        <w:t>4、本项目为全电子招标，不再收取磋商文件费用。</w:t>
      </w:r>
    </w:p>
    <w:p w14:paraId="27BBB8C3">
      <w:pPr>
        <w:pageBreakBefore w:val="0"/>
        <w:kinsoku/>
        <w:wordWrap w:val="0"/>
        <w:overflowPunct/>
        <w:topLinePunct w:val="0"/>
        <w:autoSpaceDE/>
        <w:autoSpaceDN/>
        <w:bidi w:val="0"/>
        <w:adjustRightInd/>
        <w:snapToGrid/>
        <w:spacing w:line="520" w:lineRule="atLeast"/>
        <w:ind w:firstLine="482"/>
        <w:textAlignment w:val="auto"/>
        <w:rPr>
          <w:rFonts w:ascii="宋体" w:hAnsi="宋体" w:cs="宋体"/>
          <w:bCs/>
          <w:sz w:val="24"/>
          <w:szCs w:val="28"/>
        </w:rPr>
      </w:pPr>
      <w:r>
        <w:rPr>
          <w:rFonts w:hint="eastAsia" w:ascii="宋体" w:hAnsi="宋体" w:cs="宋体"/>
          <w:bCs/>
          <w:sz w:val="24"/>
          <w:szCs w:val="28"/>
        </w:rPr>
        <w:t>注：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每位供应商的解密时间为开标时间起30分钟内完成。因供应商原因未能解密、解密失败或解密超时的将被拒绝。</w:t>
      </w:r>
    </w:p>
    <w:p w14:paraId="7A660EEF">
      <w:pPr>
        <w:pageBreakBefore w:val="0"/>
        <w:kinsoku/>
        <w:overflowPunct/>
        <w:topLinePunct w:val="0"/>
        <w:autoSpaceDE/>
        <w:autoSpaceDN/>
        <w:bidi w:val="0"/>
        <w:adjustRightInd/>
        <w:snapToGrid/>
        <w:spacing w:line="520" w:lineRule="atLeast"/>
        <w:ind w:firstLine="480"/>
        <w:textAlignment w:val="auto"/>
        <w:rPr>
          <w:rFonts w:ascii="宋体" w:hAnsi="宋体" w:cs="宋体"/>
          <w:bCs/>
          <w:sz w:val="24"/>
          <w:szCs w:val="28"/>
        </w:rPr>
      </w:pPr>
      <w:r>
        <w:rPr>
          <w:rFonts w:hint="eastAsia" w:ascii="宋体" w:hAnsi="宋体" w:cs="宋体"/>
          <w:bCs/>
          <w:sz w:val="24"/>
          <w:szCs w:val="28"/>
        </w:rPr>
        <w:t>四、供应商资料的提交</w:t>
      </w:r>
    </w:p>
    <w:p w14:paraId="23910065">
      <w:pPr>
        <w:pageBreakBefore w:val="0"/>
        <w:widowControl/>
        <w:kinsoku/>
        <w:overflowPunct/>
        <w:topLinePunct w:val="0"/>
        <w:autoSpaceDE/>
        <w:autoSpaceDN/>
        <w:bidi w:val="0"/>
        <w:adjustRightInd/>
        <w:snapToGrid/>
        <w:spacing w:line="520" w:lineRule="atLeast"/>
        <w:ind w:firstLine="420" w:firstLineChars="175"/>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1.截止时间：</w:t>
      </w:r>
      <w:r>
        <w:rPr>
          <w:rFonts w:hint="eastAsia" w:ascii="宋体" w:hAnsi="宋体" w:cs="宋体"/>
          <w:bCs/>
          <w:color w:val="auto"/>
          <w:kern w:val="0"/>
          <w:sz w:val="24"/>
          <w:szCs w:val="24"/>
          <w:highlight w:val="none"/>
          <w:lang w:eastAsia="zh-CN"/>
        </w:rPr>
        <w:t>202</w:t>
      </w: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lang w:eastAsia="zh-CN"/>
        </w:rPr>
        <w:t>年</w:t>
      </w:r>
      <w:r>
        <w:rPr>
          <w:rFonts w:hint="eastAsia" w:ascii="宋体" w:hAnsi="宋体" w:cs="宋体"/>
          <w:bCs/>
          <w:color w:val="auto"/>
          <w:kern w:val="0"/>
          <w:sz w:val="24"/>
          <w:szCs w:val="24"/>
          <w:highlight w:val="none"/>
          <w:lang w:val="en-US" w:eastAsia="zh-CN"/>
        </w:rPr>
        <w:t>09</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05</w:t>
      </w:r>
      <w:r>
        <w:rPr>
          <w:rFonts w:hint="eastAsia" w:ascii="宋体" w:hAnsi="宋体" w:cs="宋体"/>
          <w:bCs/>
          <w:color w:val="auto"/>
          <w:kern w:val="0"/>
          <w:sz w:val="24"/>
          <w:szCs w:val="24"/>
          <w:highlight w:val="none"/>
          <w:lang w:eastAsia="zh-CN"/>
        </w:rPr>
        <w:t>日</w:t>
      </w:r>
      <w:r>
        <w:rPr>
          <w:rFonts w:hint="eastAsia" w:ascii="宋体" w:hAnsi="宋体" w:cs="宋体"/>
          <w:bCs/>
          <w:color w:val="auto"/>
          <w:kern w:val="0"/>
          <w:sz w:val="24"/>
          <w:szCs w:val="24"/>
          <w:highlight w:val="none"/>
          <w:lang w:val="en-US" w:eastAsia="zh-CN"/>
        </w:rPr>
        <w:t>08</w:t>
      </w:r>
      <w:r>
        <w:rPr>
          <w:rFonts w:hint="eastAsia" w:ascii="宋体" w:hAnsi="宋体" w:cs="宋体"/>
          <w:bCs/>
          <w:color w:val="auto"/>
          <w:kern w:val="0"/>
          <w:sz w:val="24"/>
          <w:szCs w:val="24"/>
          <w:highlight w:val="none"/>
          <w:lang w:eastAsia="zh-CN"/>
        </w:rPr>
        <w:t>时</w:t>
      </w:r>
      <w:r>
        <w:rPr>
          <w:rFonts w:hint="eastAsia" w:ascii="宋体" w:hAnsi="宋体" w:cs="宋体"/>
          <w:bCs/>
          <w:color w:val="auto"/>
          <w:kern w:val="0"/>
          <w:sz w:val="24"/>
          <w:szCs w:val="24"/>
          <w:highlight w:val="none"/>
          <w:lang w:val="en-US" w:eastAsia="zh-CN"/>
        </w:rPr>
        <w:t>30</w:t>
      </w:r>
      <w:r>
        <w:rPr>
          <w:rFonts w:hint="eastAsia" w:ascii="宋体" w:hAnsi="宋体" w:cs="宋体"/>
          <w:bCs/>
          <w:color w:val="auto"/>
          <w:kern w:val="0"/>
          <w:sz w:val="24"/>
          <w:szCs w:val="24"/>
          <w:highlight w:val="none"/>
          <w:lang w:eastAsia="zh-CN"/>
        </w:rPr>
        <w:t>分</w:t>
      </w:r>
      <w:r>
        <w:rPr>
          <w:rFonts w:hint="eastAsia" w:ascii="宋体" w:hAnsi="宋体" w:cs="宋体"/>
          <w:bCs/>
          <w:color w:val="auto"/>
          <w:kern w:val="0"/>
          <w:sz w:val="24"/>
          <w:szCs w:val="24"/>
          <w:highlight w:val="none"/>
        </w:rPr>
        <w:t>（北京时间）</w:t>
      </w:r>
      <w:r>
        <w:rPr>
          <w:rFonts w:hint="eastAsia" w:ascii="宋体" w:hAnsi="宋体" w:cs="宋体"/>
          <w:bCs/>
          <w:color w:val="auto"/>
          <w:kern w:val="0"/>
          <w:sz w:val="24"/>
          <w:szCs w:val="24"/>
          <w:highlight w:val="none"/>
        </w:rPr>
        <w:tab/>
      </w:r>
    </w:p>
    <w:p w14:paraId="3DA0F73F">
      <w:pPr>
        <w:pageBreakBefore w:val="0"/>
        <w:widowControl/>
        <w:kinsoku/>
        <w:overflowPunct/>
        <w:topLinePunct w:val="0"/>
        <w:autoSpaceDE/>
        <w:autoSpaceDN/>
        <w:bidi w:val="0"/>
        <w:adjustRightInd/>
        <w:snapToGrid/>
        <w:spacing w:line="520" w:lineRule="atLeast"/>
        <w:ind w:firstLine="420" w:firstLineChars="175"/>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2.地点：加密电子响应文件须在磋商截止时间前通过三门峡市公共资源交易中心电子交易平台加密上传。逾期上传的或者未上传指定地点的响应文件，</w:t>
      </w:r>
      <w:r>
        <w:rPr>
          <w:rFonts w:hint="eastAsia" w:ascii="宋体" w:hAnsi="宋体" w:cs="宋体"/>
          <w:bCs/>
          <w:color w:val="auto"/>
          <w:kern w:val="0"/>
          <w:sz w:val="24"/>
          <w:szCs w:val="24"/>
          <w:highlight w:val="none"/>
          <w:lang w:eastAsia="zh-CN"/>
        </w:rPr>
        <w:t>采购人</w:t>
      </w:r>
      <w:r>
        <w:rPr>
          <w:rFonts w:hint="eastAsia" w:ascii="宋体" w:hAnsi="宋体" w:cs="宋体"/>
          <w:bCs/>
          <w:color w:val="auto"/>
          <w:kern w:val="0"/>
          <w:sz w:val="24"/>
          <w:szCs w:val="24"/>
          <w:highlight w:val="none"/>
        </w:rPr>
        <w:t>不予受理。</w:t>
      </w:r>
    </w:p>
    <w:p w14:paraId="069A6E74">
      <w:pPr>
        <w:pageBreakBefore w:val="0"/>
        <w:kinsoku/>
        <w:overflowPunct/>
        <w:topLinePunct w:val="0"/>
        <w:autoSpaceDE/>
        <w:autoSpaceDN/>
        <w:bidi w:val="0"/>
        <w:adjustRightInd/>
        <w:snapToGrid/>
        <w:spacing w:line="520" w:lineRule="atLeast"/>
        <w:ind w:firstLine="480" w:firstLineChars="200"/>
        <w:textAlignment w:val="auto"/>
        <w:rPr>
          <w:rFonts w:ascii="宋体" w:hAnsi="宋体" w:cs="宋体"/>
          <w:bCs/>
          <w:sz w:val="24"/>
          <w:szCs w:val="28"/>
        </w:rPr>
      </w:pPr>
      <w:r>
        <w:rPr>
          <w:rFonts w:hint="eastAsia" w:ascii="宋体" w:hAnsi="宋体" w:cs="宋体"/>
          <w:bCs/>
          <w:sz w:val="24"/>
          <w:szCs w:val="28"/>
        </w:rPr>
        <w:t>本项目实行资格后审，审查内容以开标截止时间前在三门峡市公共资源交易系统上传的响应文件的信息为准。其上传资料真实性由供应商自行承担，同时，供应商需要完善主体库信息。否则，由此造成应得分而未得分或资格审查不合格等情况的，由供应商自行承担责任。</w:t>
      </w:r>
    </w:p>
    <w:p w14:paraId="3911F4A3">
      <w:pPr>
        <w:pageBreakBefore w:val="0"/>
        <w:numPr>
          <w:ilvl w:val="0"/>
          <w:numId w:val="2"/>
        </w:numPr>
        <w:kinsoku/>
        <w:overflowPunct/>
        <w:topLinePunct w:val="0"/>
        <w:autoSpaceDE/>
        <w:autoSpaceDN/>
        <w:bidi w:val="0"/>
        <w:adjustRightInd/>
        <w:snapToGrid/>
        <w:spacing w:line="520" w:lineRule="atLeast"/>
        <w:ind w:firstLine="480"/>
        <w:textAlignment w:val="auto"/>
        <w:rPr>
          <w:rFonts w:ascii="宋体" w:hAnsi="宋体" w:cs="宋体"/>
          <w:bCs/>
          <w:sz w:val="24"/>
          <w:szCs w:val="28"/>
        </w:rPr>
      </w:pPr>
      <w:r>
        <w:rPr>
          <w:rFonts w:hint="eastAsia" w:ascii="宋体" w:hAnsi="宋体" w:cs="宋体"/>
          <w:bCs/>
          <w:sz w:val="24"/>
          <w:szCs w:val="28"/>
        </w:rPr>
        <w:t>磋商保证金</w:t>
      </w:r>
    </w:p>
    <w:p w14:paraId="2E79C94E">
      <w:pPr>
        <w:pageBreakBefore w:val="0"/>
        <w:kinsoku/>
        <w:overflowPunct/>
        <w:topLinePunct w:val="0"/>
        <w:autoSpaceDE/>
        <w:autoSpaceDN/>
        <w:bidi w:val="0"/>
        <w:adjustRightInd/>
        <w:snapToGrid/>
        <w:spacing w:line="520" w:lineRule="atLeast"/>
        <w:ind w:firstLine="720" w:firstLineChars="300"/>
        <w:textAlignment w:val="auto"/>
        <w:rPr>
          <w:rFonts w:ascii="宋体" w:hAnsi="宋体" w:cs="宋体"/>
          <w:bCs/>
          <w:sz w:val="24"/>
          <w:szCs w:val="28"/>
        </w:rPr>
      </w:pPr>
      <w:r>
        <w:rPr>
          <w:rFonts w:hint="eastAsia" w:ascii="宋体" w:hAnsi="宋体" w:cs="宋体"/>
          <w:bCs/>
          <w:sz w:val="24"/>
          <w:szCs w:val="28"/>
        </w:rPr>
        <w:t>按照《河南省财政厅关于优化政府采购营商环境有关问题的通知》（豫财购[2019]4号文）的要求本项目不再收取磋商保证金。</w:t>
      </w:r>
    </w:p>
    <w:p w14:paraId="18DA1A1C">
      <w:pPr>
        <w:pageBreakBefore w:val="0"/>
        <w:kinsoku/>
        <w:overflowPunct/>
        <w:topLinePunct w:val="0"/>
        <w:autoSpaceDE/>
        <w:autoSpaceDN/>
        <w:bidi w:val="0"/>
        <w:adjustRightInd/>
        <w:snapToGrid/>
        <w:spacing w:line="520" w:lineRule="atLeast"/>
        <w:ind w:firstLine="480"/>
        <w:textAlignment w:val="auto"/>
        <w:rPr>
          <w:rFonts w:ascii="宋体" w:hAnsi="宋体" w:cs="宋体"/>
          <w:bCs/>
          <w:sz w:val="24"/>
          <w:szCs w:val="28"/>
        </w:rPr>
      </w:pPr>
      <w:r>
        <w:rPr>
          <w:rFonts w:hint="eastAsia" w:ascii="宋体" w:hAnsi="宋体" w:cs="宋体"/>
          <w:bCs/>
          <w:sz w:val="24"/>
          <w:szCs w:val="28"/>
        </w:rPr>
        <w:t>六、响应文件提交截止时间及开评标地点：</w:t>
      </w:r>
    </w:p>
    <w:p w14:paraId="0449CFC9">
      <w:pPr>
        <w:pageBreakBefore w:val="0"/>
        <w:kinsoku/>
        <w:overflowPunct/>
        <w:topLinePunct w:val="0"/>
        <w:autoSpaceDE/>
        <w:autoSpaceDN/>
        <w:bidi w:val="0"/>
        <w:adjustRightInd/>
        <w:snapToGrid/>
        <w:spacing w:line="520" w:lineRule="atLeast"/>
        <w:ind w:firstLine="480"/>
        <w:textAlignment w:val="auto"/>
        <w:rPr>
          <w:rFonts w:ascii="宋体" w:hAnsi="宋体" w:cs="宋体"/>
          <w:bCs/>
          <w:sz w:val="24"/>
          <w:szCs w:val="28"/>
        </w:rPr>
      </w:pPr>
      <w:r>
        <w:rPr>
          <w:rFonts w:hint="eastAsia" w:ascii="宋体" w:hAnsi="宋体" w:cs="宋体"/>
          <w:bCs/>
          <w:sz w:val="24"/>
          <w:szCs w:val="28"/>
        </w:rPr>
        <w:t>1、响应文件提交截止时间及开标时间：2025年</w:t>
      </w:r>
      <w:r>
        <w:rPr>
          <w:rFonts w:hint="eastAsia" w:ascii="宋体" w:hAnsi="宋体" w:cs="宋体"/>
          <w:bCs/>
          <w:sz w:val="24"/>
          <w:szCs w:val="28"/>
          <w:lang w:val="en-US" w:eastAsia="zh-CN"/>
        </w:rPr>
        <w:t>09</w:t>
      </w:r>
      <w:r>
        <w:rPr>
          <w:rFonts w:hint="eastAsia" w:ascii="宋体" w:hAnsi="宋体" w:cs="宋体"/>
          <w:bCs/>
          <w:sz w:val="24"/>
          <w:szCs w:val="28"/>
        </w:rPr>
        <w:t>月</w:t>
      </w:r>
      <w:r>
        <w:rPr>
          <w:rFonts w:hint="eastAsia" w:ascii="宋体" w:hAnsi="宋体" w:cs="宋体"/>
          <w:bCs/>
          <w:sz w:val="24"/>
          <w:szCs w:val="28"/>
          <w:lang w:val="en-US" w:eastAsia="zh-CN"/>
        </w:rPr>
        <w:t>05</w:t>
      </w:r>
      <w:r>
        <w:rPr>
          <w:rFonts w:hint="eastAsia" w:ascii="宋体" w:hAnsi="宋体" w:cs="宋体"/>
          <w:bCs/>
          <w:sz w:val="24"/>
          <w:szCs w:val="28"/>
        </w:rPr>
        <w:t>日08时30分</w:t>
      </w:r>
    </w:p>
    <w:p w14:paraId="04D4FD57">
      <w:pPr>
        <w:pageBreakBefore w:val="0"/>
        <w:kinsoku/>
        <w:overflowPunct/>
        <w:topLinePunct w:val="0"/>
        <w:autoSpaceDE/>
        <w:autoSpaceDN/>
        <w:bidi w:val="0"/>
        <w:adjustRightInd/>
        <w:snapToGrid/>
        <w:spacing w:line="520" w:lineRule="atLeast"/>
        <w:ind w:firstLine="480"/>
        <w:textAlignment w:val="auto"/>
        <w:rPr>
          <w:rFonts w:ascii="宋体" w:hAnsi="宋体" w:cs="宋体"/>
          <w:bCs/>
          <w:color w:val="auto"/>
          <w:sz w:val="24"/>
          <w:szCs w:val="28"/>
        </w:rPr>
      </w:pPr>
      <w:r>
        <w:rPr>
          <w:rFonts w:hint="eastAsia" w:ascii="宋体" w:hAnsi="宋体" w:cs="宋体"/>
          <w:bCs/>
          <w:sz w:val="24"/>
          <w:szCs w:val="28"/>
        </w:rPr>
        <w:t>2、开标地点：</w:t>
      </w:r>
      <w:r>
        <w:rPr>
          <w:rFonts w:hint="eastAsia" w:ascii="宋体" w:hAnsi="宋体" w:cs="宋体"/>
          <w:bCs/>
          <w:color w:val="auto"/>
          <w:sz w:val="24"/>
          <w:szCs w:val="28"/>
          <w:lang w:val="en-US" w:eastAsia="zh-CN"/>
        </w:rPr>
        <w:t>灵宝市公共资源交易中心十二</w:t>
      </w:r>
      <w:r>
        <w:rPr>
          <w:rFonts w:hint="eastAsia" w:ascii="宋体" w:hAnsi="宋体" w:cs="宋体"/>
          <w:bCs/>
          <w:color w:val="auto"/>
          <w:sz w:val="24"/>
          <w:szCs w:val="28"/>
        </w:rPr>
        <w:t>楼开标二室</w:t>
      </w:r>
    </w:p>
    <w:p w14:paraId="2828DED5">
      <w:pPr>
        <w:pageBreakBefore w:val="0"/>
        <w:kinsoku/>
        <w:overflowPunct/>
        <w:topLinePunct w:val="0"/>
        <w:autoSpaceDE/>
        <w:autoSpaceDN/>
        <w:bidi w:val="0"/>
        <w:adjustRightInd/>
        <w:snapToGrid/>
        <w:spacing w:line="520" w:lineRule="atLeast"/>
        <w:ind w:firstLine="480"/>
        <w:textAlignment w:val="auto"/>
        <w:rPr>
          <w:rFonts w:ascii="宋体" w:hAnsi="宋体" w:cs="宋体"/>
          <w:bCs/>
          <w:color w:val="auto"/>
          <w:sz w:val="24"/>
          <w:szCs w:val="28"/>
        </w:rPr>
      </w:pPr>
      <w:r>
        <w:rPr>
          <w:rFonts w:hint="eastAsia" w:ascii="宋体" w:hAnsi="宋体" w:cs="宋体"/>
          <w:bCs/>
          <w:color w:val="auto"/>
          <w:sz w:val="24"/>
          <w:szCs w:val="28"/>
        </w:rPr>
        <w:t>3、评标地点：</w:t>
      </w:r>
      <w:r>
        <w:rPr>
          <w:rFonts w:hint="eastAsia" w:ascii="宋体" w:hAnsi="宋体" w:cs="宋体"/>
          <w:bCs/>
          <w:color w:val="auto"/>
          <w:sz w:val="24"/>
          <w:szCs w:val="28"/>
          <w:lang w:val="en-US" w:eastAsia="zh-CN"/>
        </w:rPr>
        <w:t>灵宝市公共资源交易中心十二</w:t>
      </w:r>
      <w:r>
        <w:rPr>
          <w:rFonts w:hint="eastAsia" w:ascii="宋体" w:hAnsi="宋体" w:cs="宋体"/>
          <w:bCs/>
          <w:color w:val="auto"/>
          <w:sz w:val="24"/>
          <w:szCs w:val="28"/>
        </w:rPr>
        <w:t>楼评标二室</w:t>
      </w:r>
    </w:p>
    <w:p w14:paraId="44AC171C">
      <w:pPr>
        <w:pageBreakBefore w:val="0"/>
        <w:kinsoku/>
        <w:overflowPunct/>
        <w:topLinePunct w:val="0"/>
        <w:autoSpaceDE/>
        <w:autoSpaceDN/>
        <w:bidi w:val="0"/>
        <w:adjustRightInd/>
        <w:snapToGrid/>
        <w:spacing w:line="520" w:lineRule="atLeast"/>
        <w:ind w:firstLine="480"/>
        <w:textAlignment w:val="auto"/>
        <w:rPr>
          <w:rFonts w:ascii="宋体" w:hAnsi="宋体" w:cs="宋体"/>
          <w:sz w:val="24"/>
        </w:rPr>
      </w:pPr>
      <w:r>
        <w:rPr>
          <w:rFonts w:hint="eastAsia" w:ascii="宋体" w:hAnsi="宋体" w:cs="宋体"/>
          <w:bCs/>
          <w:sz w:val="24"/>
          <w:szCs w:val="28"/>
        </w:rPr>
        <w:t>七、</w:t>
      </w:r>
      <w:r>
        <w:rPr>
          <w:rFonts w:hint="eastAsia" w:ascii="宋体" w:hAnsi="宋体" w:cs="宋体"/>
          <w:sz w:val="24"/>
        </w:rPr>
        <w:t>其他事项</w:t>
      </w:r>
    </w:p>
    <w:p w14:paraId="76576323">
      <w:pPr>
        <w:pageBreakBefore w:val="0"/>
        <w:kinsoku/>
        <w:overflowPunct/>
        <w:topLinePunct w:val="0"/>
        <w:autoSpaceDE/>
        <w:autoSpaceDN/>
        <w:bidi w:val="0"/>
        <w:adjustRightInd/>
        <w:snapToGrid/>
        <w:spacing w:line="520" w:lineRule="atLeast"/>
        <w:ind w:firstLine="480"/>
        <w:textAlignment w:val="auto"/>
        <w:rPr>
          <w:rFonts w:ascii="宋体" w:hAnsi="宋体" w:cs="宋体"/>
          <w:sz w:val="24"/>
        </w:rPr>
      </w:pPr>
      <w:r>
        <w:rPr>
          <w:rFonts w:hint="eastAsia" w:ascii="宋体" w:hAnsi="宋体" w:cs="宋体"/>
          <w:sz w:val="24"/>
        </w:rPr>
        <w:t>1、供应商应仔细阅读操作手册，在本公告中要求的截止时间前完成网上投标等工作。因供应商操作不当等问题造成的无法下载磋商文件、无法开标等一切后果，由供应商自行承担；</w:t>
      </w:r>
    </w:p>
    <w:p w14:paraId="60B3C9D7">
      <w:pPr>
        <w:pageBreakBefore w:val="0"/>
        <w:kinsoku/>
        <w:overflowPunct/>
        <w:topLinePunct w:val="0"/>
        <w:autoSpaceDE/>
        <w:autoSpaceDN/>
        <w:bidi w:val="0"/>
        <w:adjustRightInd/>
        <w:snapToGrid/>
        <w:spacing w:line="520" w:lineRule="atLeast"/>
        <w:ind w:firstLine="480"/>
        <w:textAlignment w:val="auto"/>
        <w:rPr>
          <w:rFonts w:ascii="宋体" w:hAnsi="宋体" w:cs="宋体"/>
          <w:sz w:val="24"/>
        </w:rPr>
      </w:pPr>
      <w:r>
        <w:rPr>
          <w:rFonts w:hint="eastAsia" w:ascii="宋体" w:hAnsi="宋体" w:cs="宋体"/>
          <w:sz w:val="24"/>
        </w:rPr>
        <w:t>2、开标所发生的一切费用由各供应商自行承担，并承担相应的风险和责任；</w:t>
      </w:r>
    </w:p>
    <w:p w14:paraId="1C97A064">
      <w:pPr>
        <w:pageBreakBefore w:val="0"/>
        <w:kinsoku/>
        <w:overflowPunct/>
        <w:topLinePunct w:val="0"/>
        <w:autoSpaceDE/>
        <w:autoSpaceDN/>
        <w:bidi w:val="0"/>
        <w:adjustRightInd/>
        <w:snapToGrid/>
        <w:spacing w:line="520" w:lineRule="atLeast"/>
        <w:ind w:firstLine="480"/>
        <w:textAlignment w:val="auto"/>
        <w:rPr>
          <w:rFonts w:ascii="宋体" w:hAnsi="宋体" w:cs="宋体"/>
          <w:sz w:val="24"/>
        </w:rPr>
      </w:pPr>
      <w:r>
        <w:rPr>
          <w:rFonts w:hint="eastAsia" w:ascii="宋体" w:hAnsi="宋体" w:cs="宋体"/>
          <w:sz w:val="24"/>
        </w:rPr>
        <w:t>3、是否退还磋商响应文件：否；</w:t>
      </w:r>
    </w:p>
    <w:p w14:paraId="1D362C29">
      <w:pPr>
        <w:pageBreakBefore w:val="0"/>
        <w:kinsoku/>
        <w:overflowPunct/>
        <w:topLinePunct w:val="0"/>
        <w:autoSpaceDE/>
        <w:autoSpaceDN/>
        <w:bidi w:val="0"/>
        <w:adjustRightInd/>
        <w:snapToGrid/>
        <w:spacing w:line="520" w:lineRule="atLeast"/>
        <w:ind w:firstLine="480"/>
        <w:textAlignment w:val="auto"/>
        <w:rPr>
          <w:rFonts w:ascii="宋体" w:hAnsi="宋体" w:cs="宋体"/>
          <w:sz w:val="24"/>
        </w:rPr>
      </w:pPr>
      <w:r>
        <w:rPr>
          <w:rFonts w:hint="eastAsia" w:ascii="宋体" w:hAnsi="宋体" w:cs="宋体"/>
          <w:sz w:val="24"/>
        </w:rPr>
        <w:t>温馨提示：本项目为电子化、无纸化交易项目，开标时不再接受任何纸质资料，为保证您能开标成功，请需仔细阅读磋商文件和三门峡市公共资源交易中心官网业务办理指南。</w:t>
      </w:r>
    </w:p>
    <w:p w14:paraId="7FB20EA2">
      <w:pPr>
        <w:pageBreakBefore w:val="0"/>
        <w:kinsoku/>
        <w:overflowPunct/>
        <w:topLinePunct w:val="0"/>
        <w:autoSpaceDE/>
        <w:autoSpaceDN/>
        <w:bidi w:val="0"/>
        <w:adjustRightInd/>
        <w:snapToGrid/>
        <w:spacing w:line="520" w:lineRule="atLeast"/>
        <w:ind w:firstLine="480"/>
        <w:textAlignment w:val="auto"/>
        <w:rPr>
          <w:rFonts w:ascii="宋体" w:hAnsi="宋体" w:cs="宋体"/>
          <w:bCs/>
          <w:sz w:val="24"/>
          <w:szCs w:val="28"/>
        </w:rPr>
      </w:pPr>
      <w:r>
        <w:rPr>
          <w:rFonts w:hint="eastAsia" w:ascii="宋体" w:hAnsi="宋体" w:cs="宋体"/>
          <w:bCs/>
          <w:sz w:val="24"/>
          <w:szCs w:val="28"/>
        </w:rPr>
        <w:t>八、发布磋商公告的媒介</w:t>
      </w:r>
    </w:p>
    <w:p w14:paraId="3D6339C4">
      <w:pPr>
        <w:pageBreakBefore w:val="0"/>
        <w:kinsoku/>
        <w:overflowPunct/>
        <w:topLinePunct w:val="0"/>
        <w:autoSpaceDE/>
        <w:autoSpaceDN/>
        <w:bidi w:val="0"/>
        <w:adjustRightInd/>
        <w:snapToGrid/>
        <w:spacing w:line="520" w:lineRule="atLeast"/>
        <w:ind w:firstLine="480"/>
        <w:textAlignment w:val="auto"/>
        <w:rPr>
          <w:rFonts w:hint="eastAsia" w:ascii="宋体" w:hAnsi="宋体" w:eastAsia="宋体" w:cs="宋体"/>
          <w:sz w:val="24"/>
        </w:rPr>
      </w:pPr>
      <w:r>
        <w:rPr>
          <w:rFonts w:hint="eastAsia" w:ascii="宋体" w:hAnsi="宋体" w:cs="宋体"/>
          <w:bCs/>
          <w:sz w:val="24"/>
          <w:szCs w:val="28"/>
        </w:rPr>
        <w:t>本次磋商</w:t>
      </w:r>
      <w:r>
        <w:rPr>
          <w:rFonts w:hint="eastAsia" w:ascii="宋体" w:hAnsi="宋体" w:eastAsia="宋体" w:cs="宋体"/>
          <w:sz w:val="24"/>
        </w:rPr>
        <w:t>公告在《河南省政府采购网》、《中国采购与招标网》、《三门峡市公共资源交易中心网》上发布。</w:t>
      </w:r>
    </w:p>
    <w:p w14:paraId="641EAE4B">
      <w:pPr>
        <w:pageBreakBefore w:val="0"/>
        <w:kinsoku/>
        <w:overflowPunct/>
        <w:topLinePunct w:val="0"/>
        <w:autoSpaceDE/>
        <w:autoSpaceDN/>
        <w:bidi w:val="0"/>
        <w:adjustRightInd/>
        <w:snapToGrid/>
        <w:spacing w:line="520" w:lineRule="atLeast"/>
        <w:ind w:firstLine="480"/>
        <w:textAlignment w:val="auto"/>
        <w:rPr>
          <w:rFonts w:ascii="宋体" w:hAnsi="宋体" w:cs="宋体"/>
          <w:bCs/>
          <w:sz w:val="24"/>
          <w:szCs w:val="28"/>
        </w:rPr>
      </w:pPr>
      <w:r>
        <w:rPr>
          <w:rFonts w:hint="eastAsia" w:ascii="宋体" w:hAnsi="宋体" w:cs="宋体"/>
          <w:bCs/>
          <w:sz w:val="24"/>
          <w:szCs w:val="28"/>
        </w:rPr>
        <w:t>九、联系方式</w:t>
      </w:r>
    </w:p>
    <w:p w14:paraId="6964938C">
      <w:pPr>
        <w:pageBreakBefore w:val="0"/>
        <w:kinsoku/>
        <w:overflowPunct/>
        <w:topLinePunct w:val="0"/>
        <w:autoSpaceDE/>
        <w:autoSpaceDN/>
        <w:bidi w:val="0"/>
        <w:adjustRightInd/>
        <w:snapToGrid/>
        <w:spacing w:line="520" w:lineRule="atLeast"/>
        <w:ind w:firstLine="480" w:firstLineChars="200"/>
        <w:textAlignment w:val="auto"/>
        <w:rPr>
          <w:rFonts w:ascii="宋体" w:hAnsi="宋体" w:cs="宋体"/>
          <w:sz w:val="24"/>
        </w:rPr>
      </w:pPr>
      <w:r>
        <w:rPr>
          <w:rFonts w:hint="eastAsia" w:ascii="宋体" w:hAnsi="宋体" w:cs="宋体"/>
          <w:sz w:val="24"/>
        </w:rPr>
        <w:t>监督部门：灵宝市财政局政府采购监督管理科</w:t>
      </w:r>
    </w:p>
    <w:p w14:paraId="73E3E552">
      <w:pPr>
        <w:pageBreakBefore w:val="0"/>
        <w:kinsoku/>
        <w:overflowPunct/>
        <w:topLinePunct w:val="0"/>
        <w:autoSpaceDE/>
        <w:autoSpaceDN/>
        <w:bidi w:val="0"/>
        <w:adjustRightInd/>
        <w:snapToGrid/>
        <w:spacing w:line="520" w:lineRule="atLeast"/>
        <w:ind w:firstLine="480" w:firstLineChars="200"/>
        <w:textAlignment w:val="auto"/>
        <w:rPr>
          <w:rFonts w:ascii="宋体" w:hAnsi="宋体" w:cs="宋体"/>
          <w:sz w:val="24"/>
        </w:rPr>
      </w:pPr>
      <w:r>
        <w:rPr>
          <w:rFonts w:hint="eastAsia" w:ascii="宋体" w:hAnsi="宋体" w:cs="宋体"/>
          <w:sz w:val="24"/>
        </w:rPr>
        <w:t>联系电话：0398-8852670</w:t>
      </w:r>
    </w:p>
    <w:p w14:paraId="25EAE271">
      <w:pPr>
        <w:pageBreakBefore w:val="0"/>
        <w:kinsoku/>
        <w:overflowPunct/>
        <w:topLinePunct w:val="0"/>
        <w:autoSpaceDE/>
        <w:autoSpaceDN/>
        <w:bidi w:val="0"/>
        <w:adjustRightInd/>
        <w:snapToGrid/>
        <w:spacing w:line="520" w:lineRule="atLeast"/>
        <w:ind w:firstLine="480" w:firstLineChars="200"/>
        <w:textAlignment w:val="auto"/>
        <w:rPr>
          <w:rFonts w:hint="eastAsia" w:ascii="宋体" w:hAnsi="宋体" w:eastAsia="宋体" w:cs="Times New Roman"/>
          <w:sz w:val="24"/>
          <w:szCs w:val="28"/>
          <w:highlight w:val="none"/>
          <w:lang w:val="zh-CN"/>
        </w:rPr>
      </w:pPr>
      <w:r>
        <w:rPr>
          <w:rFonts w:hint="eastAsia" w:ascii="宋体" w:hAnsi="宋体" w:eastAsia="宋体" w:cs="Times New Roman"/>
          <w:sz w:val="24"/>
          <w:szCs w:val="28"/>
          <w:highlight w:val="none"/>
          <w:lang w:val="en-US" w:eastAsia="zh-CN"/>
        </w:rPr>
        <w:t>采购</w:t>
      </w:r>
      <w:r>
        <w:rPr>
          <w:rFonts w:hint="eastAsia" w:ascii="宋体" w:hAnsi="宋体" w:eastAsia="宋体" w:cs="Times New Roman"/>
          <w:sz w:val="24"/>
          <w:szCs w:val="28"/>
          <w:highlight w:val="none"/>
          <w:lang w:val="zh-CN"/>
        </w:rPr>
        <w:t>人：灵宝市林业局</w:t>
      </w:r>
    </w:p>
    <w:p w14:paraId="5814B146">
      <w:pPr>
        <w:pageBreakBefore w:val="0"/>
        <w:kinsoku/>
        <w:overflowPunct/>
        <w:topLinePunct w:val="0"/>
        <w:autoSpaceDE/>
        <w:autoSpaceDN/>
        <w:bidi w:val="0"/>
        <w:adjustRightInd/>
        <w:snapToGrid/>
        <w:spacing w:line="520" w:lineRule="atLeast"/>
        <w:ind w:firstLine="480" w:firstLineChars="200"/>
        <w:textAlignment w:val="auto"/>
        <w:rPr>
          <w:rFonts w:hint="eastAsia" w:ascii="宋体" w:hAnsi="宋体" w:eastAsia="宋体" w:cs="Times New Roman"/>
          <w:sz w:val="24"/>
          <w:szCs w:val="28"/>
          <w:highlight w:val="none"/>
          <w:lang w:val="zh-CN"/>
        </w:rPr>
      </w:pPr>
      <w:r>
        <w:rPr>
          <w:rFonts w:hint="eastAsia" w:ascii="宋体" w:hAnsi="宋体" w:eastAsia="宋体" w:cs="Times New Roman"/>
          <w:sz w:val="24"/>
          <w:szCs w:val="28"/>
          <w:highlight w:val="none"/>
          <w:lang w:val="zh-CN"/>
        </w:rPr>
        <w:t>联系地址：灵宝市函谷北路</w:t>
      </w:r>
    </w:p>
    <w:p w14:paraId="4B2DA27D">
      <w:pPr>
        <w:pageBreakBefore w:val="0"/>
        <w:kinsoku/>
        <w:overflowPunct/>
        <w:topLinePunct w:val="0"/>
        <w:autoSpaceDE/>
        <w:autoSpaceDN/>
        <w:bidi w:val="0"/>
        <w:adjustRightInd/>
        <w:snapToGrid/>
        <w:spacing w:line="520" w:lineRule="atLeast"/>
        <w:ind w:firstLine="480" w:firstLineChars="200"/>
        <w:textAlignment w:val="auto"/>
        <w:rPr>
          <w:rFonts w:ascii="宋体" w:hAnsi="宋体" w:cs="宋体"/>
          <w:sz w:val="24"/>
        </w:rPr>
      </w:pPr>
      <w:r>
        <w:rPr>
          <w:rFonts w:hint="eastAsia" w:ascii="宋体" w:hAnsi="宋体" w:cs="宋体"/>
          <w:sz w:val="24"/>
        </w:rPr>
        <w:t>联系人：</w:t>
      </w:r>
      <w:r>
        <w:rPr>
          <w:rFonts w:hint="eastAsia" w:ascii="宋体" w:hAnsi="宋体" w:cs="宋体"/>
          <w:sz w:val="24"/>
          <w:lang w:val="en-US" w:eastAsia="zh-CN"/>
        </w:rPr>
        <w:t>李</w:t>
      </w:r>
      <w:r>
        <w:rPr>
          <w:rFonts w:hint="eastAsia" w:ascii="宋体" w:hAnsi="宋体"/>
          <w:bCs/>
          <w:color w:val="000000"/>
          <w:sz w:val="24"/>
        </w:rPr>
        <w:t>先生</w:t>
      </w:r>
    </w:p>
    <w:p w14:paraId="17A8BF79">
      <w:pPr>
        <w:pageBreakBefore w:val="0"/>
        <w:kinsoku/>
        <w:overflowPunct/>
        <w:topLinePunct w:val="0"/>
        <w:autoSpaceDE/>
        <w:autoSpaceDN/>
        <w:bidi w:val="0"/>
        <w:adjustRightInd/>
        <w:snapToGrid/>
        <w:spacing w:line="520" w:lineRule="atLeast"/>
        <w:ind w:firstLine="480" w:firstLineChars="200"/>
        <w:textAlignment w:val="auto"/>
        <w:rPr>
          <w:rFonts w:hint="eastAsia" w:ascii="宋体" w:hAnsi="宋体" w:eastAsia="宋体" w:cs="Times New Roman"/>
          <w:sz w:val="24"/>
          <w:szCs w:val="28"/>
          <w:highlight w:val="none"/>
          <w:lang w:val="en-US" w:eastAsia="zh-CN"/>
        </w:rPr>
      </w:pPr>
      <w:r>
        <w:rPr>
          <w:rFonts w:hint="eastAsia" w:ascii="宋体" w:hAnsi="宋体" w:cs="宋体"/>
          <w:sz w:val="24"/>
        </w:rPr>
        <w:t>联</w:t>
      </w:r>
      <w:r>
        <w:rPr>
          <w:rFonts w:hint="eastAsia" w:ascii="宋体" w:hAnsi="宋体" w:eastAsia="宋体" w:cs="Times New Roman"/>
          <w:sz w:val="24"/>
          <w:szCs w:val="28"/>
          <w:highlight w:val="none"/>
          <w:lang w:val="zh-CN"/>
        </w:rPr>
        <w:t>系电话：</w:t>
      </w:r>
      <w:r>
        <w:rPr>
          <w:rFonts w:hint="eastAsia" w:ascii="宋体" w:hAnsi="宋体" w:eastAsia="宋体" w:cs="Times New Roman"/>
          <w:sz w:val="24"/>
          <w:szCs w:val="28"/>
          <w:highlight w:val="none"/>
          <w:lang w:val="en-US" w:eastAsia="zh-CN"/>
        </w:rPr>
        <w:t>15239837039</w:t>
      </w:r>
    </w:p>
    <w:p w14:paraId="33AC665C">
      <w:pPr>
        <w:pageBreakBefore w:val="0"/>
        <w:kinsoku/>
        <w:overflowPunct/>
        <w:topLinePunct w:val="0"/>
        <w:autoSpaceDE/>
        <w:autoSpaceDN/>
        <w:bidi w:val="0"/>
        <w:adjustRightInd/>
        <w:snapToGrid/>
        <w:spacing w:line="520" w:lineRule="atLeast"/>
        <w:ind w:firstLine="480" w:firstLineChars="200"/>
        <w:textAlignment w:val="auto"/>
        <w:rPr>
          <w:rFonts w:hint="eastAsia" w:ascii="宋体" w:hAnsi="宋体" w:eastAsia="宋体" w:cs="Times New Roman"/>
          <w:sz w:val="24"/>
          <w:szCs w:val="28"/>
          <w:highlight w:val="none"/>
          <w:lang w:val="zh-CN"/>
        </w:rPr>
      </w:pPr>
      <w:r>
        <w:rPr>
          <w:rFonts w:hint="eastAsia" w:ascii="宋体" w:hAnsi="宋体" w:eastAsia="宋体" w:cs="Times New Roman"/>
          <w:sz w:val="24"/>
          <w:szCs w:val="28"/>
          <w:highlight w:val="none"/>
          <w:lang w:val="zh-CN"/>
        </w:rPr>
        <w:t>代理机构：</w:t>
      </w:r>
      <w:r>
        <w:rPr>
          <w:rFonts w:hint="eastAsia" w:ascii="宋体" w:hAnsi="宋体" w:cs="Times New Roman"/>
          <w:sz w:val="24"/>
          <w:szCs w:val="28"/>
          <w:highlight w:val="none"/>
          <w:lang w:val="zh-CN"/>
        </w:rPr>
        <w:t>佰诺项目管理有限公司</w:t>
      </w:r>
      <w:r>
        <w:rPr>
          <w:rFonts w:hint="eastAsia" w:ascii="宋体" w:hAnsi="宋体" w:eastAsia="宋体" w:cs="Times New Roman"/>
          <w:sz w:val="24"/>
          <w:szCs w:val="28"/>
          <w:highlight w:val="none"/>
          <w:lang w:val="zh-CN"/>
        </w:rPr>
        <w:t>　</w:t>
      </w:r>
    </w:p>
    <w:p w14:paraId="219CF005">
      <w:pPr>
        <w:pageBreakBefore w:val="0"/>
        <w:kinsoku/>
        <w:overflowPunct/>
        <w:topLinePunct w:val="0"/>
        <w:autoSpaceDE/>
        <w:autoSpaceDN/>
        <w:bidi w:val="0"/>
        <w:adjustRightInd/>
        <w:snapToGrid/>
        <w:spacing w:line="520" w:lineRule="atLeast"/>
        <w:ind w:firstLine="480" w:firstLineChars="200"/>
        <w:textAlignment w:val="auto"/>
        <w:rPr>
          <w:rFonts w:hint="default" w:ascii="宋体" w:hAnsi="宋体" w:eastAsia="宋体" w:cs="Times New Roman"/>
          <w:sz w:val="24"/>
          <w:szCs w:val="28"/>
          <w:highlight w:val="none"/>
          <w:lang w:val="en-US" w:eastAsia="zh-CN"/>
        </w:rPr>
      </w:pPr>
      <w:r>
        <w:rPr>
          <w:rFonts w:hint="eastAsia" w:ascii="宋体" w:hAnsi="宋体" w:eastAsia="宋体" w:cs="Times New Roman"/>
          <w:sz w:val="24"/>
          <w:szCs w:val="28"/>
          <w:highlight w:val="none"/>
          <w:lang w:val="zh-CN"/>
        </w:rPr>
        <w:t>联 系 人：何女士</w:t>
      </w:r>
      <w:r>
        <w:rPr>
          <w:rFonts w:hint="eastAsia" w:ascii="宋体" w:hAnsi="宋体" w:eastAsia="宋体" w:cs="Times New Roman"/>
          <w:sz w:val="24"/>
          <w:szCs w:val="28"/>
          <w:highlight w:val="none"/>
          <w:lang w:val="en-US" w:eastAsia="zh-CN"/>
        </w:rPr>
        <w:t xml:space="preserve">   </w:t>
      </w:r>
    </w:p>
    <w:p w14:paraId="5F60D921">
      <w:pPr>
        <w:pageBreakBefore w:val="0"/>
        <w:kinsoku/>
        <w:overflowPunct/>
        <w:topLinePunct w:val="0"/>
        <w:autoSpaceDE/>
        <w:autoSpaceDN/>
        <w:bidi w:val="0"/>
        <w:adjustRightInd/>
        <w:snapToGrid/>
        <w:spacing w:line="520" w:lineRule="atLeast"/>
        <w:ind w:firstLine="480" w:firstLineChars="200"/>
        <w:textAlignment w:val="auto"/>
        <w:rPr>
          <w:rFonts w:hint="eastAsia" w:ascii="宋体" w:hAnsi="宋体" w:cs="Times New Roman"/>
          <w:sz w:val="24"/>
          <w:szCs w:val="28"/>
          <w:highlight w:val="none"/>
          <w:lang w:val="en-US" w:eastAsia="zh-CN"/>
        </w:rPr>
      </w:pPr>
      <w:r>
        <w:rPr>
          <w:rFonts w:hint="eastAsia" w:ascii="宋体" w:hAnsi="宋体" w:eastAsia="宋体" w:cs="Times New Roman"/>
          <w:sz w:val="24"/>
          <w:szCs w:val="28"/>
          <w:highlight w:val="none"/>
          <w:lang w:val="zh-CN"/>
        </w:rPr>
        <w:t>联系电话：1</w:t>
      </w:r>
      <w:r>
        <w:rPr>
          <w:rFonts w:hint="eastAsia" w:ascii="宋体" w:hAnsi="宋体" w:cs="Times New Roman"/>
          <w:sz w:val="24"/>
          <w:szCs w:val="28"/>
          <w:highlight w:val="none"/>
          <w:lang w:val="en-US" w:eastAsia="zh-CN"/>
        </w:rPr>
        <w:t>3653983323</w:t>
      </w:r>
    </w:p>
    <w:p w14:paraId="3C79DBC2">
      <w:pPr>
        <w:pageBreakBefore w:val="0"/>
        <w:kinsoku/>
        <w:overflowPunct/>
        <w:topLinePunct w:val="0"/>
        <w:autoSpaceDE/>
        <w:autoSpaceDN/>
        <w:bidi w:val="0"/>
        <w:adjustRightInd/>
        <w:snapToGrid/>
        <w:spacing w:line="520" w:lineRule="atLeast"/>
        <w:ind w:firstLine="480" w:firstLineChars="200"/>
        <w:textAlignment w:val="auto"/>
        <w:rPr>
          <w:rFonts w:hint="eastAsia" w:ascii="宋体" w:hAnsi="宋体" w:eastAsia="宋体" w:cs="Times New Roman"/>
          <w:sz w:val="24"/>
          <w:szCs w:val="28"/>
          <w:highlight w:val="none"/>
          <w:lang w:val="zh-CN"/>
        </w:rPr>
      </w:pPr>
      <w:r>
        <w:rPr>
          <w:rFonts w:hint="eastAsia" w:ascii="宋体" w:hAnsi="宋体" w:eastAsia="宋体" w:cs="Times New Roman"/>
          <w:sz w:val="24"/>
          <w:szCs w:val="28"/>
          <w:highlight w:val="none"/>
          <w:lang w:val="zh-CN"/>
        </w:rPr>
        <w:t>联系地址：</w:t>
      </w:r>
      <w:r>
        <w:rPr>
          <w:rFonts w:hint="eastAsia" w:ascii="宋体" w:hAnsi="宋体" w:cs="Times New Roman"/>
          <w:sz w:val="24"/>
          <w:szCs w:val="28"/>
          <w:highlight w:val="none"/>
          <w:lang w:val="zh-CN"/>
        </w:rPr>
        <w:t>河南自贸试验区郑州片区（郑东）金水东路80号绿地新都会2号楼B座18层1804</w:t>
      </w:r>
    </w:p>
    <w:p w14:paraId="113F01FC">
      <w:pPr>
        <w:spacing w:line="560" w:lineRule="exact"/>
        <w:ind w:firstLine="480"/>
        <w:rPr>
          <w:rFonts w:ascii="宋体" w:hAnsi="宋体" w:cs="宋体"/>
          <w:bCs/>
          <w:sz w:val="22"/>
        </w:rPr>
      </w:pPr>
      <w:r>
        <w:rPr>
          <w:rFonts w:hint="eastAsia" w:ascii="宋体" w:hAnsi="宋体" w:cs="宋体"/>
          <w:bCs/>
          <w:sz w:val="22"/>
        </w:rPr>
        <w:br w:type="page"/>
      </w:r>
    </w:p>
    <w:p w14:paraId="03731EF7">
      <w:pPr>
        <w:spacing w:line="480" w:lineRule="auto"/>
        <w:ind w:firstLine="480"/>
        <w:jc w:val="center"/>
        <w:rPr>
          <w:rFonts w:ascii="宋体" w:hAnsi="宋体" w:cs="宋体"/>
          <w:b/>
          <w:sz w:val="32"/>
          <w:szCs w:val="32"/>
        </w:rPr>
      </w:pPr>
      <w:r>
        <w:rPr>
          <w:rFonts w:hint="eastAsia" w:ascii="宋体" w:hAnsi="宋体" w:cs="宋体"/>
          <w:b/>
          <w:sz w:val="32"/>
          <w:szCs w:val="32"/>
        </w:rPr>
        <w:t>第二章 供应商须知</w:t>
      </w:r>
    </w:p>
    <w:tbl>
      <w:tblPr>
        <w:tblStyle w:val="19"/>
        <w:tblW w:w="972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6"/>
        <w:gridCol w:w="21"/>
        <w:gridCol w:w="1671"/>
        <w:gridCol w:w="7043"/>
      </w:tblGrid>
      <w:tr w14:paraId="6FEB93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1007" w:type="dxa"/>
            <w:gridSpan w:val="2"/>
            <w:tcBorders>
              <w:top w:val="single" w:color="auto" w:sz="12" w:space="0"/>
            </w:tcBorders>
            <w:vAlign w:val="center"/>
          </w:tcPr>
          <w:p w14:paraId="05F3D133">
            <w:pPr>
              <w:spacing w:line="480" w:lineRule="auto"/>
              <w:jc w:val="center"/>
              <w:rPr>
                <w:rFonts w:ascii="宋体" w:hAnsi="宋体" w:cs="宋体"/>
                <w:b/>
                <w:sz w:val="22"/>
              </w:rPr>
            </w:pPr>
            <w:r>
              <w:rPr>
                <w:rFonts w:hint="eastAsia" w:ascii="宋体" w:hAnsi="宋体" w:cs="宋体"/>
                <w:b/>
                <w:sz w:val="22"/>
              </w:rPr>
              <w:t>条款号</w:t>
            </w:r>
          </w:p>
        </w:tc>
        <w:tc>
          <w:tcPr>
            <w:tcW w:w="1671" w:type="dxa"/>
            <w:tcBorders>
              <w:top w:val="single" w:color="auto" w:sz="12" w:space="0"/>
            </w:tcBorders>
            <w:vAlign w:val="center"/>
          </w:tcPr>
          <w:p w14:paraId="39D6182B">
            <w:pPr>
              <w:spacing w:line="480" w:lineRule="auto"/>
              <w:jc w:val="center"/>
              <w:rPr>
                <w:rFonts w:ascii="宋体" w:hAnsi="宋体" w:cs="宋体"/>
                <w:b/>
                <w:sz w:val="22"/>
              </w:rPr>
            </w:pPr>
            <w:r>
              <w:rPr>
                <w:rFonts w:hint="eastAsia" w:ascii="宋体" w:hAnsi="宋体" w:cs="宋体"/>
                <w:b/>
                <w:sz w:val="22"/>
              </w:rPr>
              <w:t>条款名称</w:t>
            </w:r>
          </w:p>
        </w:tc>
        <w:tc>
          <w:tcPr>
            <w:tcW w:w="7043" w:type="dxa"/>
            <w:tcBorders>
              <w:top w:val="single" w:color="auto" w:sz="12" w:space="0"/>
            </w:tcBorders>
            <w:vAlign w:val="center"/>
          </w:tcPr>
          <w:p w14:paraId="0F96AA18">
            <w:pPr>
              <w:spacing w:line="480" w:lineRule="auto"/>
              <w:ind w:firstLine="480"/>
              <w:jc w:val="center"/>
              <w:rPr>
                <w:rFonts w:ascii="宋体" w:hAnsi="宋体" w:cs="宋体"/>
                <w:b/>
                <w:sz w:val="22"/>
              </w:rPr>
            </w:pPr>
            <w:r>
              <w:rPr>
                <w:rFonts w:hint="eastAsia" w:ascii="宋体" w:hAnsi="宋体" w:cs="宋体"/>
                <w:b/>
                <w:sz w:val="22"/>
              </w:rPr>
              <w:t>编  列  内  容</w:t>
            </w:r>
          </w:p>
        </w:tc>
      </w:tr>
      <w:tr w14:paraId="6AD3D4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19" w:hRule="atLeast"/>
        </w:trPr>
        <w:tc>
          <w:tcPr>
            <w:tcW w:w="1007" w:type="dxa"/>
            <w:gridSpan w:val="2"/>
            <w:vAlign w:val="center"/>
          </w:tcPr>
          <w:p w14:paraId="0B3EFDBA">
            <w:pPr>
              <w:spacing w:line="480" w:lineRule="auto"/>
              <w:ind w:firstLine="480"/>
              <w:rPr>
                <w:rFonts w:ascii="宋体" w:hAnsi="宋体" w:cs="宋体"/>
                <w:bCs/>
                <w:sz w:val="22"/>
              </w:rPr>
            </w:pPr>
            <w:r>
              <w:rPr>
                <w:rFonts w:hint="eastAsia" w:ascii="宋体" w:hAnsi="宋体" w:cs="宋体"/>
                <w:bCs/>
                <w:sz w:val="22"/>
              </w:rPr>
              <w:t>1</w:t>
            </w:r>
          </w:p>
        </w:tc>
        <w:tc>
          <w:tcPr>
            <w:tcW w:w="1671" w:type="dxa"/>
            <w:vAlign w:val="center"/>
          </w:tcPr>
          <w:p w14:paraId="4077CF8A">
            <w:pPr>
              <w:spacing w:line="480" w:lineRule="auto"/>
              <w:jc w:val="center"/>
              <w:rPr>
                <w:rFonts w:ascii="宋体" w:hAnsi="宋体" w:cs="宋体"/>
                <w:bCs/>
                <w:sz w:val="22"/>
              </w:rPr>
            </w:pPr>
            <w:r>
              <w:rPr>
                <w:rFonts w:hint="eastAsia" w:ascii="宋体" w:hAnsi="宋体" w:cs="宋体"/>
                <w:spacing w:val="6"/>
                <w:sz w:val="24"/>
              </w:rPr>
              <w:t>采购人</w:t>
            </w:r>
          </w:p>
        </w:tc>
        <w:tc>
          <w:tcPr>
            <w:tcW w:w="7043" w:type="dxa"/>
            <w:vAlign w:val="center"/>
          </w:tcPr>
          <w:p w14:paraId="640A504A">
            <w:pPr>
              <w:spacing w:line="560" w:lineRule="exact"/>
              <w:rPr>
                <w:rFonts w:hint="eastAsia" w:ascii="宋体" w:hAnsi="宋体" w:eastAsia="宋体" w:cs="宋体"/>
                <w:bCs/>
                <w:sz w:val="24"/>
                <w:szCs w:val="28"/>
                <w:lang w:val="zh-CN" w:eastAsia="zh-CN"/>
              </w:rPr>
            </w:pPr>
            <w:r>
              <w:rPr>
                <w:rFonts w:hint="eastAsia" w:ascii="宋体" w:hAnsi="宋体" w:eastAsia="宋体" w:cs="宋体"/>
                <w:bCs/>
                <w:sz w:val="24"/>
                <w:szCs w:val="28"/>
                <w:lang w:val="en-US" w:eastAsia="zh-CN"/>
              </w:rPr>
              <w:t>采购</w:t>
            </w:r>
            <w:r>
              <w:rPr>
                <w:rFonts w:hint="eastAsia" w:ascii="宋体" w:hAnsi="宋体" w:eastAsia="宋体" w:cs="宋体"/>
                <w:bCs/>
                <w:sz w:val="24"/>
                <w:szCs w:val="28"/>
                <w:lang w:val="zh-CN" w:eastAsia="zh-CN"/>
              </w:rPr>
              <w:t>人：灵宝市林业局</w:t>
            </w:r>
          </w:p>
          <w:p w14:paraId="739659C1">
            <w:pPr>
              <w:spacing w:line="560" w:lineRule="exact"/>
              <w:rPr>
                <w:rFonts w:hint="eastAsia" w:ascii="宋体" w:hAnsi="宋体" w:eastAsia="宋体" w:cs="宋体"/>
                <w:bCs/>
                <w:sz w:val="24"/>
                <w:szCs w:val="28"/>
                <w:lang w:val="zh-CN" w:eastAsia="zh-CN"/>
              </w:rPr>
            </w:pPr>
            <w:r>
              <w:rPr>
                <w:rFonts w:hint="eastAsia" w:ascii="宋体" w:hAnsi="宋体" w:eastAsia="宋体" w:cs="宋体"/>
                <w:bCs/>
                <w:sz w:val="24"/>
                <w:szCs w:val="28"/>
                <w:lang w:val="zh-CN" w:eastAsia="zh-CN"/>
              </w:rPr>
              <w:t>联系地址：灵宝市函谷北路</w:t>
            </w:r>
          </w:p>
          <w:p w14:paraId="0CEC652F">
            <w:pPr>
              <w:spacing w:line="560" w:lineRule="exact"/>
              <w:rPr>
                <w:rFonts w:hint="eastAsia" w:ascii="宋体" w:hAnsi="宋体" w:eastAsia="宋体" w:cs="宋体"/>
                <w:bCs/>
                <w:sz w:val="24"/>
                <w:szCs w:val="28"/>
                <w:lang w:eastAsia="zh-CN"/>
              </w:rPr>
            </w:pPr>
            <w:r>
              <w:rPr>
                <w:rFonts w:hint="eastAsia" w:ascii="宋体" w:hAnsi="宋体" w:eastAsia="宋体" w:cs="宋体"/>
                <w:bCs/>
                <w:sz w:val="24"/>
                <w:szCs w:val="28"/>
                <w:lang w:eastAsia="zh-CN"/>
              </w:rPr>
              <w:t>联系人：</w:t>
            </w:r>
            <w:r>
              <w:rPr>
                <w:rFonts w:hint="eastAsia" w:ascii="宋体" w:hAnsi="宋体" w:eastAsia="宋体" w:cs="宋体"/>
                <w:bCs/>
                <w:sz w:val="24"/>
                <w:szCs w:val="28"/>
                <w:lang w:val="en-US" w:eastAsia="zh-CN"/>
              </w:rPr>
              <w:t>李</w:t>
            </w:r>
            <w:r>
              <w:rPr>
                <w:rFonts w:hint="eastAsia" w:ascii="宋体" w:hAnsi="宋体" w:eastAsia="宋体" w:cs="宋体"/>
                <w:bCs/>
                <w:sz w:val="24"/>
                <w:szCs w:val="28"/>
                <w:lang w:eastAsia="zh-CN"/>
              </w:rPr>
              <w:t>先生</w:t>
            </w:r>
          </w:p>
          <w:p w14:paraId="3AD71465">
            <w:pPr>
              <w:spacing w:line="560" w:lineRule="exact"/>
              <w:rPr>
                <w:rFonts w:ascii="宋体" w:hAnsi="宋体" w:cs="宋体"/>
                <w:bCs/>
                <w:sz w:val="22"/>
              </w:rPr>
            </w:pPr>
            <w:r>
              <w:rPr>
                <w:rFonts w:hint="eastAsia" w:ascii="宋体" w:hAnsi="宋体" w:eastAsia="宋体" w:cs="宋体"/>
                <w:bCs/>
                <w:sz w:val="24"/>
                <w:szCs w:val="28"/>
                <w:lang w:eastAsia="zh-CN"/>
              </w:rPr>
              <w:t>联</w:t>
            </w:r>
            <w:r>
              <w:rPr>
                <w:rFonts w:hint="eastAsia" w:ascii="宋体" w:hAnsi="宋体" w:eastAsia="宋体" w:cs="宋体"/>
                <w:bCs/>
                <w:sz w:val="24"/>
                <w:szCs w:val="28"/>
                <w:lang w:val="zh-CN" w:eastAsia="zh-CN"/>
              </w:rPr>
              <w:t>系电话：</w:t>
            </w:r>
            <w:r>
              <w:rPr>
                <w:rFonts w:hint="eastAsia" w:ascii="宋体" w:hAnsi="宋体" w:eastAsia="宋体" w:cs="宋体"/>
                <w:bCs/>
                <w:sz w:val="24"/>
                <w:szCs w:val="28"/>
                <w:lang w:val="en-US" w:eastAsia="zh-CN"/>
              </w:rPr>
              <w:t>15239837039</w:t>
            </w:r>
          </w:p>
        </w:tc>
      </w:tr>
      <w:tr w14:paraId="557437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20" w:hRule="atLeast"/>
        </w:trPr>
        <w:tc>
          <w:tcPr>
            <w:tcW w:w="1007" w:type="dxa"/>
            <w:gridSpan w:val="2"/>
            <w:vAlign w:val="center"/>
          </w:tcPr>
          <w:p w14:paraId="080A94AB">
            <w:pPr>
              <w:spacing w:line="480" w:lineRule="auto"/>
              <w:ind w:firstLine="480"/>
              <w:rPr>
                <w:rFonts w:ascii="宋体" w:hAnsi="宋体" w:cs="宋体"/>
                <w:bCs/>
                <w:sz w:val="22"/>
              </w:rPr>
            </w:pPr>
            <w:r>
              <w:rPr>
                <w:rFonts w:hint="eastAsia" w:ascii="宋体" w:hAnsi="宋体" w:cs="宋体"/>
                <w:bCs/>
                <w:sz w:val="22"/>
              </w:rPr>
              <w:t>2</w:t>
            </w:r>
          </w:p>
        </w:tc>
        <w:tc>
          <w:tcPr>
            <w:tcW w:w="1671" w:type="dxa"/>
            <w:vAlign w:val="center"/>
          </w:tcPr>
          <w:p w14:paraId="553C548B">
            <w:pPr>
              <w:spacing w:line="480" w:lineRule="auto"/>
              <w:jc w:val="center"/>
              <w:rPr>
                <w:rFonts w:ascii="宋体" w:hAnsi="宋体" w:cs="宋体"/>
                <w:bCs/>
                <w:sz w:val="22"/>
              </w:rPr>
            </w:pPr>
            <w:r>
              <w:rPr>
                <w:rFonts w:hint="eastAsia" w:ascii="宋体" w:hAnsi="宋体" w:cs="宋体"/>
                <w:sz w:val="24"/>
              </w:rPr>
              <w:t>采购代理机构</w:t>
            </w:r>
          </w:p>
        </w:tc>
        <w:tc>
          <w:tcPr>
            <w:tcW w:w="7043" w:type="dxa"/>
            <w:vAlign w:val="center"/>
          </w:tcPr>
          <w:p w14:paraId="747CE4B6">
            <w:pPr>
              <w:spacing w:line="560" w:lineRule="exact"/>
              <w:rPr>
                <w:rFonts w:hint="eastAsia" w:ascii="宋体" w:hAnsi="宋体" w:eastAsia="宋体" w:cs="宋体"/>
                <w:bCs/>
                <w:sz w:val="24"/>
                <w:szCs w:val="28"/>
                <w:lang w:val="zh-CN" w:eastAsia="zh-CN"/>
              </w:rPr>
            </w:pPr>
            <w:r>
              <w:rPr>
                <w:rFonts w:hint="eastAsia" w:ascii="宋体" w:hAnsi="宋体" w:eastAsia="宋体" w:cs="宋体"/>
                <w:bCs/>
                <w:sz w:val="24"/>
                <w:szCs w:val="28"/>
                <w:lang w:val="zh-CN" w:eastAsia="zh-CN"/>
              </w:rPr>
              <w:t>代理机构：佰诺项目管理有限公司　</w:t>
            </w:r>
          </w:p>
          <w:p w14:paraId="131E31F9">
            <w:pPr>
              <w:spacing w:line="560" w:lineRule="exact"/>
              <w:rPr>
                <w:rFonts w:hint="default" w:ascii="宋体" w:hAnsi="宋体" w:eastAsia="宋体" w:cs="宋体"/>
                <w:bCs/>
                <w:sz w:val="24"/>
                <w:szCs w:val="28"/>
                <w:lang w:val="en-US" w:eastAsia="zh-CN"/>
              </w:rPr>
            </w:pPr>
            <w:r>
              <w:rPr>
                <w:rFonts w:hint="eastAsia" w:ascii="宋体" w:hAnsi="宋体" w:eastAsia="宋体" w:cs="宋体"/>
                <w:bCs/>
                <w:sz w:val="24"/>
                <w:szCs w:val="28"/>
                <w:lang w:val="zh-CN" w:eastAsia="zh-CN"/>
              </w:rPr>
              <w:t>联 系 人：何女士</w:t>
            </w:r>
            <w:r>
              <w:rPr>
                <w:rFonts w:hint="eastAsia" w:ascii="宋体" w:hAnsi="宋体" w:eastAsia="宋体" w:cs="宋体"/>
                <w:bCs/>
                <w:sz w:val="24"/>
                <w:szCs w:val="28"/>
                <w:lang w:val="en-US" w:eastAsia="zh-CN"/>
              </w:rPr>
              <w:t xml:space="preserve">   </w:t>
            </w:r>
          </w:p>
          <w:p w14:paraId="695DBDD6">
            <w:pPr>
              <w:spacing w:line="560" w:lineRule="exact"/>
              <w:rPr>
                <w:rFonts w:hint="eastAsia" w:ascii="宋体" w:hAnsi="宋体" w:eastAsia="宋体" w:cs="宋体"/>
                <w:bCs/>
                <w:sz w:val="24"/>
                <w:szCs w:val="28"/>
                <w:lang w:val="en-US" w:eastAsia="zh-CN"/>
              </w:rPr>
            </w:pPr>
            <w:r>
              <w:rPr>
                <w:rFonts w:hint="eastAsia" w:ascii="宋体" w:hAnsi="宋体" w:eastAsia="宋体" w:cs="宋体"/>
                <w:bCs/>
                <w:sz w:val="24"/>
                <w:szCs w:val="28"/>
                <w:lang w:val="zh-CN" w:eastAsia="zh-CN"/>
              </w:rPr>
              <w:t>联系电话：1</w:t>
            </w:r>
            <w:r>
              <w:rPr>
                <w:rFonts w:hint="eastAsia" w:ascii="宋体" w:hAnsi="宋体" w:eastAsia="宋体" w:cs="宋体"/>
                <w:bCs/>
                <w:sz w:val="24"/>
                <w:szCs w:val="28"/>
                <w:lang w:val="en-US" w:eastAsia="zh-CN"/>
              </w:rPr>
              <w:t>3653983323</w:t>
            </w:r>
          </w:p>
          <w:p w14:paraId="4B9F6D0B">
            <w:pPr>
              <w:spacing w:line="560" w:lineRule="exact"/>
              <w:rPr>
                <w:rFonts w:ascii="宋体" w:hAnsi="宋体" w:cs="宋体"/>
                <w:bCs/>
                <w:sz w:val="22"/>
              </w:rPr>
            </w:pPr>
            <w:r>
              <w:rPr>
                <w:rFonts w:hint="eastAsia" w:ascii="宋体" w:hAnsi="宋体" w:eastAsia="宋体" w:cs="宋体"/>
                <w:bCs/>
                <w:sz w:val="24"/>
                <w:szCs w:val="28"/>
                <w:lang w:val="zh-CN" w:eastAsia="zh-CN"/>
              </w:rPr>
              <w:t>联系地址：河南自贸试验区郑州片区（郑东）金水东路80号绿地新都会2号楼B座18层1804</w:t>
            </w:r>
          </w:p>
        </w:tc>
      </w:tr>
      <w:tr w14:paraId="739A5D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17" w:hRule="atLeast"/>
        </w:trPr>
        <w:tc>
          <w:tcPr>
            <w:tcW w:w="1007" w:type="dxa"/>
            <w:gridSpan w:val="2"/>
            <w:vAlign w:val="center"/>
          </w:tcPr>
          <w:p w14:paraId="1C5DA063">
            <w:pPr>
              <w:spacing w:line="480" w:lineRule="auto"/>
              <w:ind w:firstLine="480"/>
              <w:jc w:val="left"/>
              <w:rPr>
                <w:rFonts w:ascii="宋体" w:hAnsi="宋体" w:cs="宋体"/>
                <w:bCs/>
                <w:sz w:val="22"/>
              </w:rPr>
            </w:pPr>
            <w:r>
              <w:rPr>
                <w:rFonts w:hint="eastAsia" w:ascii="宋体" w:hAnsi="宋体" w:cs="宋体"/>
                <w:bCs/>
                <w:sz w:val="24"/>
              </w:rPr>
              <w:t>3</w:t>
            </w:r>
          </w:p>
        </w:tc>
        <w:tc>
          <w:tcPr>
            <w:tcW w:w="1671" w:type="dxa"/>
            <w:vAlign w:val="center"/>
          </w:tcPr>
          <w:p w14:paraId="4A5682E8">
            <w:pPr>
              <w:spacing w:line="480" w:lineRule="auto"/>
              <w:jc w:val="center"/>
              <w:rPr>
                <w:rFonts w:ascii="宋体" w:hAnsi="宋体" w:cs="宋体"/>
                <w:bCs/>
                <w:sz w:val="22"/>
              </w:rPr>
            </w:pPr>
            <w:r>
              <w:rPr>
                <w:rFonts w:ascii="宋体" w:hAnsi="宋体" w:cs="宋体"/>
                <w:spacing w:val="6"/>
                <w:sz w:val="24"/>
              </w:rPr>
              <w:t>项目名称</w:t>
            </w:r>
          </w:p>
        </w:tc>
        <w:tc>
          <w:tcPr>
            <w:tcW w:w="7043" w:type="dxa"/>
            <w:vAlign w:val="center"/>
          </w:tcPr>
          <w:p w14:paraId="69E5B822">
            <w:pPr>
              <w:spacing w:line="480" w:lineRule="auto"/>
              <w:jc w:val="left"/>
              <w:rPr>
                <w:rFonts w:hint="eastAsia" w:ascii="宋体" w:hAnsi="宋体" w:eastAsia="宋体" w:cs="宋体"/>
                <w:bCs/>
                <w:sz w:val="22"/>
                <w:lang w:eastAsia="zh-CN"/>
              </w:rPr>
            </w:pPr>
            <w:r>
              <w:rPr>
                <w:rFonts w:hint="eastAsia" w:ascii="宋体" w:hAnsi="宋体" w:cs="宋体"/>
                <w:sz w:val="24"/>
                <w:lang w:eastAsia="zh-CN"/>
              </w:rPr>
              <w:t>2025年中央财政河南黄河湿地灵宝段国家级自然保护区监测中心智慧化数据建设项目</w:t>
            </w:r>
          </w:p>
        </w:tc>
      </w:tr>
      <w:tr w14:paraId="46E8F6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1007" w:type="dxa"/>
            <w:gridSpan w:val="2"/>
            <w:vAlign w:val="center"/>
          </w:tcPr>
          <w:p w14:paraId="66B3D3C4">
            <w:pPr>
              <w:spacing w:line="480" w:lineRule="auto"/>
              <w:ind w:firstLine="480" w:firstLineChars="200"/>
              <w:jc w:val="left"/>
              <w:rPr>
                <w:rFonts w:ascii="宋体" w:hAnsi="宋体" w:cs="宋体"/>
                <w:bCs/>
                <w:sz w:val="22"/>
              </w:rPr>
            </w:pPr>
            <w:r>
              <w:rPr>
                <w:rFonts w:hint="eastAsia" w:ascii="宋体" w:hAnsi="宋体" w:cs="宋体"/>
                <w:bCs/>
                <w:sz w:val="24"/>
              </w:rPr>
              <w:t>4</w:t>
            </w:r>
          </w:p>
        </w:tc>
        <w:tc>
          <w:tcPr>
            <w:tcW w:w="1671" w:type="dxa"/>
            <w:vAlign w:val="center"/>
          </w:tcPr>
          <w:p w14:paraId="3DF7C51E">
            <w:pPr>
              <w:spacing w:line="480" w:lineRule="auto"/>
              <w:jc w:val="left"/>
              <w:rPr>
                <w:rFonts w:hint="eastAsia" w:ascii="宋体" w:hAnsi="宋体" w:cs="宋体"/>
                <w:sz w:val="24"/>
                <w:lang w:eastAsia="zh-CN"/>
              </w:rPr>
            </w:pPr>
            <w:r>
              <w:rPr>
                <w:rFonts w:hint="eastAsia" w:ascii="宋体" w:hAnsi="宋体" w:cs="宋体"/>
                <w:sz w:val="24"/>
                <w:lang w:eastAsia="zh-CN"/>
              </w:rPr>
              <w:t>项目编号</w:t>
            </w:r>
          </w:p>
        </w:tc>
        <w:tc>
          <w:tcPr>
            <w:tcW w:w="7043" w:type="dxa"/>
            <w:vAlign w:val="center"/>
          </w:tcPr>
          <w:p w14:paraId="66E5A0F2">
            <w:pPr>
              <w:spacing w:line="480" w:lineRule="auto"/>
              <w:jc w:val="left"/>
              <w:rPr>
                <w:rFonts w:hint="eastAsia" w:ascii="宋体" w:hAnsi="宋体" w:cs="宋体"/>
                <w:sz w:val="24"/>
                <w:lang w:eastAsia="zh-CN"/>
              </w:rPr>
            </w:pPr>
            <w:r>
              <w:rPr>
                <w:rFonts w:hint="eastAsia" w:ascii="宋体" w:hAnsi="宋体" w:cs="宋体"/>
                <w:sz w:val="24"/>
                <w:lang w:val="en-US" w:eastAsia="zh-CN"/>
              </w:rPr>
              <w:t>灵宝</w:t>
            </w:r>
            <w:r>
              <w:rPr>
                <w:rFonts w:hint="eastAsia" w:ascii="宋体" w:hAnsi="宋体" w:cs="宋体"/>
                <w:sz w:val="24"/>
                <w:lang w:eastAsia="zh-CN"/>
              </w:rPr>
              <w:t>竞磋采购-2025-</w:t>
            </w:r>
            <w:r>
              <w:rPr>
                <w:rFonts w:hint="eastAsia" w:ascii="宋体" w:hAnsi="宋体" w:cs="宋体"/>
                <w:sz w:val="24"/>
                <w:lang w:val="en-US" w:eastAsia="zh-CN"/>
              </w:rPr>
              <w:t>131</w:t>
            </w:r>
            <w:r>
              <w:rPr>
                <w:rFonts w:hint="eastAsia" w:ascii="宋体" w:hAnsi="宋体" w:cs="宋体"/>
                <w:sz w:val="24"/>
                <w:lang w:eastAsia="zh-CN"/>
              </w:rPr>
              <w:t>、LBGZ[2025]237-ZC179</w:t>
            </w:r>
          </w:p>
        </w:tc>
      </w:tr>
      <w:tr w14:paraId="2BA6F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17" w:hRule="atLeast"/>
        </w:trPr>
        <w:tc>
          <w:tcPr>
            <w:tcW w:w="1007" w:type="dxa"/>
            <w:gridSpan w:val="2"/>
            <w:vAlign w:val="center"/>
          </w:tcPr>
          <w:p w14:paraId="4D676063">
            <w:pPr>
              <w:spacing w:line="480" w:lineRule="auto"/>
              <w:jc w:val="center"/>
              <w:rPr>
                <w:rFonts w:ascii="宋体" w:hAnsi="宋体" w:cs="宋体"/>
                <w:bCs/>
                <w:sz w:val="22"/>
              </w:rPr>
            </w:pPr>
            <w:r>
              <w:rPr>
                <w:rFonts w:hint="eastAsia" w:ascii="宋体" w:hAnsi="宋体" w:cs="宋体"/>
                <w:bCs/>
                <w:sz w:val="22"/>
              </w:rPr>
              <w:t xml:space="preserve"> 5</w:t>
            </w:r>
          </w:p>
        </w:tc>
        <w:tc>
          <w:tcPr>
            <w:tcW w:w="1671" w:type="dxa"/>
            <w:vAlign w:val="center"/>
          </w:tcPr>
          <w:p w14:paraId="0A295BF0">
            <w:pPr>
              <w:adjustRightInd w:val="0"/>
              <w:spacing w:line="360" w:lineRule="auto"/>
              <w:jc w:val="center"/>
              <w:rPr>
                <w:rFonts w:ascii="宋体" w:hAnsi="宋体" w:eastAsia="宋体" w:cs="宋体"/>
                <w:spacing w:val="6"/>
                <w:sz w:val="24"/>
              </w:rPr>
            </w:pPr>
            <w:r>
              <w:rPr>
                <w:rFonts w:hint="eastAsia" w:ascii="宋体" w:hAnsi="宋体" w:eastAsia="宋体" w:cs="宋体"/>
                <w:spacing w:val="6"/>
                <w:sz w:val="24"/>
                <w:lang w:val="en-US" w:eastAsia="zh-CN"/>
              </w:rPr>
              <w:t>项目需求</w:t>
            </w:r>
          </w:p>
        </w:tc>
        <w:tc>
          <w:tcPr>
            <w:tcW w:w="7043" w:type="dxa"/>
            <w:vAlign w:val="center"/>
          </w:tcPr>
          <w:p w14:paraId="2D916176">
            <w:pPr>
              <w:adjustRightInd w:val="0"/>
              <w:spacing w:line="360" w:lineRule="auto"/>
              <w:jc w:val="center"/>
              <w:rPr>
                <w:rFonts w:hint="eastAsia" w:ascii="宋体" w:hAnsi="宋体" w:eastAsia="宋体" w:cs="宋体"/>
                <w:spacing w:val="6"/>
                <w:sz w:val="24"/>
                <w:lang w:val="en-US" w:eastAsia="zh-CN"/>
              </w:rPr>
            </w:pPr>
            <w:r>
              <w:rPr>
                <w:rFonts w:hint="eastAsia" w:ascii="宋体" w:hAnsi="宋体" w:eastAsia="宋体" w:cs="宋体"/>
                <w:spacing w:val="6"/>
                <w:sz w:val="24"/>
                <w:lang w:val="en-US" w:eastAsia="zh-CN"/>
              </w:rPr>
              <w:t>本项目为2025年中央财政河南黄河湿地灵宝段国家级自然保护区监测中心智慧化数据建设项目。主要内容为房屋修缮、监</w:t>
            </w:r>
          </w:p>
          <w:p w14:paraId="5374F553">
            <w:pPr>
              <w:adjustRightInd w:val="0"/>
              <w:spacing w:line="360" w:lineRule="auto"/>
              <w:jc w:val="both"/>
              <w:rPr>
                <w:rFonts w:ascii="宋体" w:hAnsi="宋体" w:eastAsia="宋体" w:cs="宋体"/>
                <w:spacing w:val="6"/>
                <w:sz w:val="24"/>
              </w:rPr>
            </w:pPr>
            <w:r>
              <w:rPr>
                <w:rFonts w:hint="eastAsia" w:ascii="宋体" w:hAnsi="宋体" w:eastAsia="宋体" w:cs="宋体"/>
                <w:spacing w:val="6"/>
                <w:sz w:val="24"/>
                <w:lang w:val="en-US" w:eastAsia="zh-CN"/>
              </w:rPr>
              <w:t>测中心平台软、硬件建设、巡护系统、保护区基础数据建设等（具体内容详见</w:t>
            </w:r>
            <w:r>
              <w:rPr>
                <w:rFonts w:hint="eastAsia" w:ascii="宋体" w:hAnsi="宋体" w:eastAsia="宋体" w:cs="宋体"/>
                <w:bCs/>
                <w:sz w:val="24"/>
                <w:szCs w:val="28"/>
                <w:lang w:val="en-US" w:eastAsia="zh-CN"/>
              </w:rPr>
              <w:t>第三章服务需求及要求</w:t>
            </w:r>
            <w:r>
              <w:rPr>
                <w:rFonts w:hint="eastAsia" w:ascii="宋体" w:hAnsi="宋体" w:eastAsia="宋体" w:cs="宋体"/>
                <w:spacing w:val="6"/>
                <w:sz w:val="24"/>
                <w:lang w:val="en-US" w:eastAsia="zh-CN"/>
              </w:rPr>
              <w:t>）；</w:t>
            </w:r>
          </w:p>
        </w:tc>
      </w:tr>
      <w:tr w14:paraId="591084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1007" w:type="dxa"/>
            <w:gridSpan w:val="2"/>
            <w:vAlign w:val="center"/>
          </w:tcPr>
          <w:p w14:paraId="1E5BA06E">
            <w:pPr>
              <w:spacing w:line="480" w:lineRule="auto"/>
              <w:ind w:firstLine="440" w:firstLineChars="200"/>
              <w:rPr>
                <w:rFonts w:ascii="宋体" w:hAnsi="宋体" w:cs="宋体"/>
                <w:bCs/>
                <w:sz w:val="22"/>
              </w:rPr>
            </w:pPr>
            <w:r>
              <w:rPr>
                <w:rFonts w:hint="eastAsia" w:ascii="宋体" w:hAnsi="宋体" w:cs="宋体"/>
                <w:bCs/>
                <w:sz w:val="22"/>
              </w:rPr>
              <w:t>6</w:t>
            </w:r>
          </w:p>
        </w:tc>
        <w:tc>
          <w:tcPr>
            <w:tcW w:w="1671" w:type="dxa"/>
            <w:vAlign w:val="center"/>
          </w:tcPr>
          <w:p w14:paraId="642587FE">
            <w:pPr>
              <w:adjustRightInd w:val="0"/>
              <w:spacing w:line="360" w:lineRule="auto"/>
              <w:jc w:val="center"/>
              <w:rPr>
                <w:rFonts w:ascii="宋体" w:hAnsi="宋体" w:cs="宋体"/>
                <w:bCs/>
                <w:sz w:val="22"/>
              </w:rPr>
            </w:pPr>
            <w:r>
              <w:rPr>
                <w:rFonts w:ascii="宋体" w:hAnsi="宋体" w:cs="宋体"/>
                <w:spacing w:val="6"/>
                <w:sz w:val="24"/>
              </w:rPr>
              <w:t>采购方式</w:t>
            </w:r>
          </w:p>
        </w:tc>
        <w:tc>
          <w:tcPr>
            <w:tcW w:w="7043" w:type="dxa"/>
            <w:vAlign w:val="center"/>
          </w:tcPr>
          <w:p w14:paraId="5377EBA7">
            <w:pPr>
              <w:adjustRightInd w:val="0"/>
              <w:spacing w:line="360" w:lineRule="auto"/>
              <w:rPr>
                <w:rFonts w:ascii="宋体" w:hAnsi="宋体" w:cs="宋体"/>
                <w:bCs/>
                <w:sz w:val="22"/>
              </w:rPr>
            </w:pPr>
            <w:r>
              <w:rPr>
                <w:rFonts w:ascii="宋体" w:hAnsi="宋体" w:cs="宋体"/>
                <w:spacing w:val="6"/>
                <w:sz w:val="24"/>
              </w:rPr>
              <w:t>竞争性磋商</w:t>
            </w:r>
          </w:p>
        </w:tc>
      </w:tr>
      <w:tr w14:paraId="26587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1007" w:type="dxa"/>
            <w:gridSpan w:val="2"/>
            <w:vAlign w:val="center"/>
          </w:tcPr>
          <w:p w14:paraId="5AD5FAC2">
            <w:pPr>
              <w:spacing w:line="480" w:lineRule="auto"/>
              <w:ind w:firstLine="440" w:firstLineChars="200"/>
              <w:rPr>
                <w:rFonts w:ascii="宋体" w:hAnsi="宋体" w:cs="宋体"/>
                <w:bCs/>
                <w:sz w:val="22"/>
              </w:rPr>
            </w:pPr>
            <w:r>
              <w:rPr>
                <w:rFonts w:hint="eastAsia" w:ascii="宋体" w:hAnsi="宋体" w:cs="宋体"/>
                <w:bCs/>
                <w:sz w:val="22"/>
              </w:rPr>
              <w:t>7</w:t>
            </w:r>
          </w:p>
        </w:tc>
        <w:tc>
          <w:tcPr>
            <w:tcW w:w="1671" w:type="dxa"/>
            <w:vAlign w:val="center"/>
          </w:tcPr>
          <w:p w14:paraId="7E32B4BA">
            <w:pPr>
              <w:adjustRightInd w:val="0"/>
              <w:spacing w:line="360" w:lineRule="auto"/>
              <w:jc w:val="center"/>
              <w:rPr>
                <w:rFonts w:ascii="宋体" w:hAnsi="宋体" w:cs="宋体"/>
                <w:sz w:val="24"/>
              </w:rPr>
            </w:pPr>
            <w:r>
              <w:rPr>
                <w:rFonts w:ascii="宋体" w:hAnsi="宋体" w:cs="宋体"/>
                <w:sz w:val="24"/>
              </w:rPr>
              <w:t>资金来源</w:t>
            </w:r>
          </w:p>
        </w:tc>
        <w:tc>
          <w:tcPr>
            <w:tcW w:w="7043" w:type="dxa"/>
            <w:vAlign w:val="center"/>
          </w:tcPr>
          <w:p w14:paraId="4A4DFCB2">
            <w:pPr>
              <w:adjustRightInd w:val="0"/>
              <w:spacing w:line="360" w:lineRule="auto"/>
              <w:rPr>
                <w:rFonts w:ascii="宋体" w:hAnsi="宋体" w:cs="宋体"/>
                <w:spacing w:val="6"/>
                <w:sz w:val="24"/>
              </w:rPr>
            </w:pPr>
            <w:r>
              <w:rPr>
                <w:rFonts w:hint="eastAsia" w:ascii="宋体" w:hAnsi="宋体" w:cs="宋体"/>
                <w:spacing w:val="6"/>
                <w:sz w:val="24"/>
              </w:rPr>
              <w:t>财政资金；</w:t>
            </w:r>
          </w:p>
        </w:tc>
      </w:tr>
      <w:tr w14:paraId="3509F9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94" w:hRule="atLeast"/>
        </w:trPr>
        <w:tc>
          <w:tcPr>
            <w:tcW w:w="1007" w:type="dxa"/>
            <w:gridSpan w:val="2"/>
            <w:vAlign w:val="center"/>
          </w:tcPr>
          <w:p w14:paraId="4A1FE839">
            <w:pPr>
              <w:spacing w:line="480" w:lineRule="auto"/>
              <w:ind w:firstLine="480"/>
              <w:jc w:val="left"/>
              <w:rPr>
                <w:rFonts w:ascii="宋体" w:hAnsi="宋体" w:cs="宋体"/>
                <w:bCs/>
                <w:sz w:val="22"/>
              </w:rPr>
            </w:pPr>
            <w:r>
              <w:rPr>
                <w:rFonts w:hint="eastAsia" w:ascii="宋体" w:hAnsi="宋体" w:cs="宋体"/>
                <w:bCs/>
                <w:sz w:val="22"/>
              </w:rPr>
              <w:t>8</w:t>
            </w:r>
          </w:p>
        </w:tc>
        <w:tc>
          <w:tcPr>
            <w:tcW w:w="1671" w:type="dxa"/>
            <w:vAlign w:val="center"/>
          </w:tcPr>
          <w:p w14:paraId="5CE4B6A4">
            <w:pPr>
              <w:adjustRightInd w:val="0"/>
              <w:spacing w:line="360" w:lineRule="auto"/>
              <w:jc w:val="center"/>
              <w:rPr>
                <w:rFonts w:ascii="宋体" w:hAnsi="宋体" w:cs="宋体"/>
                <w:spacing w:val="6"/>
                <w:sz w:val="24"/>
              </w:rPr>
            </w:pPr>
            <w:r>
              <w:rPr>
                <w:rFonts w:hint="eastAsia" w:ascii="宋体" w:hAnsi="宋体" w:cs="宋体"/>
                <w:spacing w:val="6"/>
                <w:sz w:val="24"/>
              </w:rPr>
              <w:t>预算资金</w:t>
            </w:r>
          </w:p>
        </w:tc>
        <w:tc>
          <w:tcPr>
            <w:tcW w:w="7043" w:type="dxa"/>
            <w:vAlign w:val="center"/>
          </w:tcPr>
          <w:p w14:paraId="3AC2959D">
            <w:pPr>
              <w:spacing w:line="560" w:lineRule="exact"/>
              <w:rPr>
                <w:rFonts w:ascii="宋体" w:hAnsi="宋体" w:cs="宋体"/>
                <w:spacing w:val="6"/>
                <w:sz w:val="24"/>
              </w:rPr>
            </w:pPr>
            <w:r>
              <w:rPr>
                <w:rFonts w:hint="eastAsia" w:ascii="宋体" w:hAnsi="宋体" w:eastAsia="宋体" w:cs="宋体"/>
                <w:spacing w:val="6"/>
                <w:sz w:val="24"/>
              </w:rPr>
              <w:t>¥</w:t>
            </w:r>
            <w:r>
              <w:rPr>
                <w:rFonts w:hint="eastAsia" w:ascii="宋体" w:hAnsi="宋体" w:eastAsia="宋体" w:cs="宋体"/>
                <w:spacing w:val="6"/>
                <w:sz w:val="24"/>
                <w:lang w:val="en-US" w:eastAsia="zh-CN"/>
              </w:rPr>
              <w:t>1699989.99</w:t>
            </w:r>
            <w:r>
              <w:rPr>
                <w:rFonts w:hint="eastAsia" w:ascii="宋体" w:hAnsi="宋体" w:eastAsia="宋体" w:cs="宋体"/>
                <w:spacing w:val="6"/>
                <w:sz w:val="24"/>
              </w:rPr>
              <w:t>元（供应商报价不得高于项目预算金额，超出按无效文件处理</w:t>
            </w:r>
            <w:r>
              <w:rPr>
                <w:rFonts w:hint="eastAsia" w:ascii="宋体" w:hAnsi="宋体" w:cs="宋体"/>
                <w:spacing w:val="6"/>
                <w:sz w:val="24"/>
              </w:rPr>
              <w:t>）</w:t>
            </w:r>
          </w:p>
        </w:tc>
      </w:tr>
      <w:tr w14:paraId="1E485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1007" w:type="dxa"/>
            <w:gridSpan w:val="2"/>
            <w:vAlign w:val="center"/>
          </w:tcPr>
          <w:p w14:paraId="323FBB4C">
            <w:pPr>
              <w:spacing w:line="480" w:lineRule="auto"/>
              <w:ind w:firstLine="480"/>
              <w:jc w:val="left"/>
              <w:rPr>
                <w:rFonts w:ascii="宋体" w:hAnsi="宋体" w:cs="宋体"/>
                <w:bCs/>
                <w:sz w:val="22"/>
              </w:rPr>
            </w:pPr>
            <w:r>
              <w:rPr>
                <w:rFonts w:hint="eastAsia" w:ascii="宋体" w:hAnsi="宋体" w:cs="宋体"/>
                <w:bCs/>
                <w:sz w:val="22"/>
              </w:rPr>
              <w:t>9</w:t>
            </w:r>
          </w:p>
        </w:tc>
        <w:tc>
          <w:tcPr>
            <w:tcW w:w="1671" w:type="dxa"/>
            <w:vAlign w:val="center"/>
          </w:tcPr>
          <w:p w14:paraId="731F9671">
            <w:pPr>
              <w:adjustRightInd w:val="0"/>
              <w:spacing w:line="360" w:lineRule="auto"/>
              <w:jc w:val="center"/>
              <w:rPr>
                <w:rFonts w:ascii="宋体" w:hAnsi="宋体" w:cs="宋体"/>
                <w:bCs/>
                <w:sz w:val="22"/>
              </w:rPr>
            </w:pPr>
            <w:r>
              <w:rPr>
                <w:rFonts w:ascii="宋体" w:hAnsi="宋体" w:cs="宋体"/>
                <w:spacing w:val="6"/>
                <w:sz w:val="24"/>
              </w:rPr>
              <w:t>质量要求</w:t>
            </w:r>
          </w:p>
        </w:tc>
        <w:tc>
          <w:tcPr>
            <w:tcW w:w="7043" w:type="dxa"/>
            <w:vAlign w:val="center"/>
          </w:tcPr>
          <w:p w14:paraId="3D1CCECA">
            <w:pPr>
              <w:spacing w:line="560" w:lineRule="exact"/>
              <w:rPr>
                <w:rFonts w:ascii="宋体" w:hAnsi="宋体" w:cs="宋体"/>
                <w:bCs/>
                <w:sz w:val="22"/>
              </w:rPr>
            </w:pPr>
            <w:r>
              <w:rPr>
                <w:rFonts w:hint="eastAsia" w:ascii="宋体" w:hAnsi="宋体" w:cs="宋体"/>
                <w:bCs/>
                <w:sz w:val="24"/>
                <w:szCs w:val="28"/>
              </w:rPr>
              <w:t>符合国家及行业相关规定要求且符合采购人需求</w:t>
            </w:r>
          </w:p>
        </w:tc>
      </w:tr>
      <w:tr w14:paraId="574A10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1007" w:type="dxa"/>
            <w:gridSpan w:val="2"/>
            <w:vAlign w:val="center"/>
          </w:tcPr>
          <w:p w14:paraId="2B9B095E">
            <w:pPr>
              <w:spacing w:line="480" w:lineRule="auto"/>
              <w:ind w:firstLine="480"/>
              <w:jc w:val="left"/>
              <w:rPr>
                <w:rFonts w:ascii="宋体" w:hAnsi="宋体" w:cs="宋体"/>
                <w:bCs/>
                <w:sz w:val="22"/>
              </w:rPr>
            </w:pPr>
            <w:r>
              <w:rPr>
                <w:rFonts w:hint="eastAsia" w:ascii="宋体" w:hAnsi="宋体" w:cs="宋体"/>
                <w:bCs/>
                <w:sz w:val="22"/>
              </w:rPr>
              <w:t>10</w:t>
            </w:r>
          </w:p>
        </w:tc>
        <w:tc>
          <w:tcPr>
            <w:tcW w:w="1671" w:type="dxa"/>
            <w:vAlign w:val="center"/>
          </w:tcPr>
          <w:p w14:paraId="152B1645">
            <w:pPr>
              <w:spacing w:line="480" w:lineRule="auto"/>
              <w:ind w:firstLine="240" w:firstLineChars="100"/>
              <w:rPr>
                <w:rFonts w:ascii="宋体" w:hAnsi="宋体" w:cs="宋体"/>
                <w:bCs/>
                <w:color w:val="auto"/>
                <w:sz w:val="22"/>
              </w:rPr>
            </w:pPr>
            <w:r>
              <w:rPr>
                <w:rFonts w:hint="eastAsia" w:ascii="宋体" w:hAnsi="宋体" w:cs="宋体"/>
                <w:bCs/>
                <w:color w:val="auto"/>
                <w:sz w:val="24"/>
                <w:szCs w:val="28"/>
              </w:rPr>
              <w:t>服务期限</w:t>
            </w:r>
          </w:p>
        </w:tc>
        <w:tc>
          <w:tcPr>
            <w:tcW w:w="7043" w:type="dxa"/>
            <w:vAlign w:val="center"/>
          </w:tcPr>
          <w:p w14:paraId="172A9B36">
            <w:pPr>
              <w:spacing w:line="480" w:lineRule="auto"/>
              <w:rPr>
                <w:rFonts w:hint="eastAsia" w:ascii="宋体" w:hAnsi="宋体" w:cs="宋体"/>
                <w:bCs/>
                <w:color w:val="auto"/>
                <w:sz w:val="22"/>
              </w:rPr>
            </w:pPr>
            <w:r>
              <w:rPr>
                <w:rFonts w:hint="eastAsia" w:ascii="宋体" w:hAnsi="宋体" w:eastAsia="宋体" w:cs="宋体"/>
                <w:bCs/>
                <w:color w:val="auto"/>
                <w:sz w:val="24"/>
                <w:szCs w:val="28"/>
                <w:lang w:val="en-US" w:eastAsia="zh-CN"/>
              </w:rPr>
              <w:t>自合同签订之日起 90 日历天内完成。</w:t>
            </w:r>
          </w:p>
        </w:tc>
      </w:tr>
      <w:tr w14:paraId="0EB54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1007" w:type="dxa"/>
            <w:gridSpan w:val="2"/>
            <w:vAlign w:val="center"/>
          </w:tcPr>
          <w:p w14:paraId="44F83301">
            <w:pPr>
              <w:spacing w:line="480" w:lineRule="auto"/>
              <w:ind w:firstLine="240" w:firstLineChars="100"/>
              <w:jc w:val="center"/>
              <w:rPr>
                <w:rFonts w:ascii="宋体" w:hAnsi="宋体" w:cs="宋体"/>
                <w:bCs/>
                <w:sz w:val="22"/>
              </w:rPr>
            </w:pPr>
            <w:r>
              <w:rPr>
                <w:rFonts w:hint="eastAsia" w:ascii="宋体" w:hAnsi="宋体" w:cs="宋体"/>
                <w:bCs/>
                <w:sz w:val="24"/>
              </w:rPr>
              <w:t>11</w:t>
            </w:r>
          </w:p>
        </w:tc>
        <w:tc>
          <w:tcPr>
            <w:tcW w:w="1671" w:type="dxa"/>
            <w:vAlign w:val="center"/>
          </w:tcPr>
          <w:p w14:paraId="0C080A7A">
            <w:pPr>
              <w:spacing w:line="560" w:lineRule="exact"/>
              <w:jc w:val="center"/>
              <w:rPr>
                <w:rFonts w:ascii="宋体" w:hAnsi="宋体" w:cs="宋体"/>
                <w:bCs/>
                <w:sz w:val="24"/>
                <w:szCs w:val="28"/>
              </w:rPr>
            </w:pPr>
            <w:r>
              <w:rPr>
                <w:rFonts w:hint="eastAsia" w:ascii="宋体" w:hAnsi="宋体" w:cs="宋体"/>
                <w:bCs/>
                <w:sz w:val="24"/>
                <w:szCs w:val="28"/>
              </w:rPr>
              <w:t>服务地点</w:t>
            </w:r>
          </w:p>
        </w:tc>
        <w:tc>
          <w:tcPr>
            <w:tcW w:w="7043" w:type="dxa"/>
            <w:vAlign w:val="center"/>
          </w:tcPr>
          <w:p w14:paraId="7B4FF5E3">
            <w:pPr>
              <w:spacing w:line="560" w:lineRule="exact"/>
              <w:rPr>
                <w:rFonts w:ascii="宋体" w:hAnsi="宋体" w:cs="宋体"/>
                <w:bCs/>
                <w:sz w:val="24"/>
                <w:szCs w:val="28"/>
              </w:rPr>
            </w:pPr>
            <w:r>
              <w:rPr>
                <w:rFonts w:hint="eastAsia" w:ascii="宋体" w:hAnsi="宋体" w:cs="宋体"/>
                <w:bCs/>
                <w:sz w:val="24"/>
                <w:szCs w:val="28"/>
                <w:lang w:val="en-US" w:eastAsia="zh-CN"/>
              </w:rPr>
              <w:t>采购人</w:t>
            </w:r>
            <w:r>
              <w:rPr>
                <w:rFonts w:ascii="宋体" w:hAnsi="宋体" w:cs="宋体"/>
                <w:bCs/>
                <w:sz w:val="24"/>
                <w:szCs w:val="28"/>
              </w:rPr>
              <w:t>指定地点</w:t>
            </w:r>
          </w:p>
        </w:tc>
      </w:tr>
      <w:tr w14:paraId="1BDB5C7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6" w:hRule="atLeast"/>
        </w:trPr>
        <w:tc>
          <w:tcPr>
            <w:tcW w:w="986" w:type="dxa"/>
            <w:tcBorders>
              <w:top w:val="single" w:color="auto" w:sz="6" w:space="0"/>
              <w:left w:val="single" w:color="auto" w:sz="12" w:space="0"/>
              <w:bottom w:val="single" w:color="auto" w:sz="6" w:space="0"/>
              <w:right w:val="single" w:color="auto" w:sz="6" w:space="0"/>
            </w:tcBorders>
            <w:vAlign w:val="center"/>
          </w:tcPr>
          <w:p w14:paraId="480081FE">
            <w:pPr>
              <w:adjustRightInd w:val="0"/>
              <w:spacing w:line="360" w:lineRule="auto"/>
              <w:jc w:val="center"/>
              <w:rPr>
                <w:rFonts w:ascii="宋体" w:hAnsi="宋体" w:cs="宋体"/>
                <w:spacing w:val="6"/>
                <w:sz w:val="24"/>
              </w:rPr>
            </w:pPr>
            <w:r>
              <w:rPr>
                <w:rFonts w:hint="eastAsia" w:ascii="宋体" w:hAnsi="宋体" w:cs="宋体"/>
                <w:spacing w:val="6"/>
                <w:sz w:val="24"/>
              </w:rPr>
              <w:t>12</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14F69C31">
            <w:pPr>
              <w:adjustRightInd w:val="0"/>
              <w:spacing w:line="360" w:lineRule="auto"/>
              <w:jc w:val="center"/>
              <w:rPr>
                <w:rFonts w:ascii="宋体" w:hAnsi="宋体" w:cs="宋体"/>
                <w:spacing w:val="-40"/>
                <w:sz w:val="24"/>
              </w:rPr>
            </w:pPr>
            <w:r>
              <w:rPr>
                <w:rFonts w:ascii="宋体" w:hAnsi="宋体" w:cs="宋体"/>
                <w:sz w:val="24"/>
              </w:rPr>
              <w:t>供应商资质要求</w:t>
            </w:r>
          </w:p>
        </w:tc>
        <w:tc>
          <w:tcPr>
            <w:tcW w:w="7043" w:type="dxa"/>
            <w:tcBorders>
              <w:top w:val="single" w:color="auto" w:sz="6" w:space="0"/>
              <w:left w:val="single" w:color="auto" w:sz="6" w:space="0"/>
              <w:bottom w:val="single" w:color="auto" w:sz="6" w:space="0"/>
              <w:right w:val="single" w:color="auto" w:sz="12" w:space="0"/>
            </w:tcBorders>
            <w:vAlign w:val="center"/>
          </w:tcPr>
          <w:p w14:paraId="1EA98005">
            <w:pPr>
              <w:shd w:val="clear" w:color="auto" w:fill="FFFFFF"/>
              <w:spacing w:line="360" w:lineRule="auto"/>
              <w:rPr>
                <w:rFonts w:ascii="宋体" w:hAnsi="宋体" w:cs="宋体"/>
                <w:sz w:val="24"/>
              </w:rPr>
            </w:pPr>
            <w:r>
              <w:rPr>
                <w:rFonts w:hint="eastAsia" w:ascii="宋体" w:hAnsi="宋体" w:cs="宋体"/>
                <w:spacing w:val="6"/>
                <w:sz w:val="24"/>
              </w:rPr>
              <w:t>具体详见公告部分</w:t>
            </w:r>
          </w:p>
        </w:tc>
      </w:tr>
      <w:tr w14:paraId="207C18C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6" w:hRule="atLeast"/>
        </w:trPr>
        <w:tc>
          <w:tcPr>
            <w:tcW w:w="986" w:type="dxa"/>
            <w:tcBorders>
              <w:top w:val="single" w:color="auto" w:sz="6" w:space="0"/>
              <w:left w:val="single" w:color="auto" w:sz="12" w:space="0"/>
              <w:bottom w:val="single" w:color="auto" w:sz="6" w:space="0"/>
              <w:right w:val="single" w:color="auto" w:sz="6" w:space="0"/>
            </w:tcBorders>
            <w:vAlign w:val="center"/>
          </w:tcPr>
          <w:p w14:paraId="51375941">
            <w:pPr>
              <w:shd w:val="clear" w:color="auto" w:fill="FFFFFF"/>
              <w:spacing w:line="360" w:lineRule="auto"/>
              <w:ind w:firstLine="252" w:firstLineChars="100"/>
              <w:rPr>
                <w:rFonts w:ascii="宋体" w:hAnsi="宋体" w:cs="宋体"/>
                <w:spacing w:val="6"/>
                <w:sz w:val="24"/>
              </w:rPr>
            </w:pPr>
            <w:r>
              <w:rPr>
                <w:rFonts w:hint="eastAsia" w:ascii="宋体" w:hAnsi="宋体" w:cs="宋体"/>
                <w:spacing w:val="6"/>
                <w:sz w:val="24"/>
              </w:rPr>
              <w:t>13</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4FC72321">
            <w:pPr>
              <w:shd w:val="clear" w:color="auto" w:fill="FFFFFF"/>
              <w:spacing w:line="360" w:lineRule="auto"/>
              <w:rPr>
                <w:rFonts w:ascii="宋体" w:hAnsi="宋体" w:cs="宋体"/>
                <w:spacing w:val="6"/>
                <w:sz w:val="24"/>
              </w:rPr>
            </w:pPr>
            <w:r>
              <w:rPr>
                <w:rFonts w:hint="eastAsia" w:ascii="宋体" w:hAnsi="宋体" w:cs="宋体"/>
                <w:spacing w:val="6"/>
                <w:sz w:val="24"/>
              </w:rPr>
              <w:t>开标时间和地点</w:t>
            </w:r>
          </w:p>
        </w:tc>
        <w:tc>
          <w:tcPr>
            <w:tcW w:w="7043" w:type="dxa"/>
            <w:tcBorders>
              <w:top w:val="single" w:color="auto" w:sz="6" w:space="0"/>
              <w:left w:val="single" w:color="auto" w:sz="6" w:space="0"/>
              <w:bottom w:val="single" w:color="auto" w:sz="6" w:space="0"/>
              <w:right w:val="single" w:color="auto" w:sz="12" w:space="0"/>
            </w:tcBorders>
            <w:vAlign w:val="center"/>
          </w:tcPr>
          <w:p w14:paraId="0A931C3A">
            <w:pPr>
              <w:shd w:val="clear" w:color="auto" w:fill="FFFFFF"/>
              <w:spacing w:line="360" w:lineRule="auto"/>
              <w:rPr>
                <w:rFonts w:ascii="宋体" w:hAnsi="宋体" w:cs="宋体"/>
                <w:spacing w:val="6"/>
                <w:sz w:val="24"/>
              </w:rPr>
            </w:pPr>
            <w:r>
              <w:rPr>
                <w:rFonts w:hint="eastAsia" w:ascii="宋体" w:hAnsi="宋体" w:cs="宋体"/>
                <w:spacing w:val="6"/>
                <w:sz w:val="24"/>
              </w:rPr>
              <w:t>具体详见公告部分</w:t>
            </w:r>
          </w:p>
        </w:tc>
      </w:tr>
      <w:tr w14:paraId="50FA998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6" w:hRule="atLeast"/>
        </w:trPr>
        <w:tc>
          <w:tcPr>
            <w:tcW w:w="986" w:type="dxa"/>
            <w:tcBorders>
              <w:top w:val="single" w:color="auto" w:sz="6" w:space="0"/>
              <w:left w:val="single" w:color="auto" w:sz="12" w:space="0"/>
              <w:bottom w:val="single" w:color="auto" w:sz="6" w:space="0"/>
              <w:right w:val="single" w:color="auto" w:sz="6" w:space="0"/>
            </w:tcBorders>
            <w:vAlign w:val="center"/>
          </w:tcPr>
          <w:p w14:paraId="4CFFE4B5">
            <w:pPr>
              <w:adjustRightInd w:val="0"/>
              <w:spacing w:line="360" w:lineRule="auto"/>
              <w:jc w:val="center"/>
              <w:rPr>
                <w:rFonts w:ascii="宋体" w:hAnsi="宋体" w:cs="宋体"/>
                <w:spacing w:val="6"/>
                <w:sz w:val="24"/>
              </w:rPr>
            </w:pPr>
            <w:r>
              <w:rPr>
                <w:rFonts w:hint="eastAsia" w:ascii="宋体" w:hAnsi="宋体" w:cs="宋体"/>
                <w:spacing w:val="6"/>
                <w:sz w:val="24"/>
              </w:rPr>
              <w:t>14</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678B51D2">
            <w:pPr>
              <w:adjustRightInd w:val="0"/>
              <w:spacing w:line="360" w:lineRule="auto"/>
              <w:rPr>
                <w:rFonts w:ascii="宋体" w:hAnsi="宋体" w:cs="宋体"/>
                <w:spacing w:val="6"/>
                <w:sz w:val="24"/>
              </w:rPr>
            </w:pPr>
            <w:r>
              <w:rPr>
                <w:rFonts w:hint="eastAsia" w:ascii="宋体" w:hAnsi="宋体" w:cs="宋体"/>
                <w:spacing w:val="6"/>
                <w:sz w:val="24"/>
              </w:rPr>
              <w:t>是否接受联合体投标</w:t>
            </w:r>
          </w:p>
        </w:tc>
        <w:tc>
          <w:tcPr>
            <w:tcW w:w="7043" w:type="dxa"/>
            <w:tcBorders>
              <w:top w:val="single" w:color="auto" w:sz="6" w:space="0"/>
              <w:left w:val="single" w:color="auto" w:sz="6" w:space="0"/>
              <w:bottom w:val="single" w:color="auto" w:sz="6" w:space="0"/>
              <w:right w:val="single" w:color="auto" w:sz="12" w:space="0"/>
            </w:tcBorders>
            <w:vAlign w:val="center"/>
          </w:tcPr>
          <w:p w14:paraId="448891E0">
            <w:pPr>
              <w:adjustRightInd w:val="0"/>
              <w:spacing w:line="360" w:lineRule="auto"/>
              <w:rPr>
                <w:rFonts w:ascii="宋体" w:hAnsi="宋体" w:cs="宋体"/>
                <w:spacing w:val="6"/>
                <w:sz w:val="24"/>
              </w:rPr>
            </w:pPr>
            <w:r>
              <w:rPr>
                <w:rFonts w:hint="eastAsia" w:ascii="宋体" w:hAnsi="宋体" w:cs="宋体"/>
                <w:spacing w:val="6"/>
                <w:sz w:val="24"/>
              </w:rPr>
              <w:t>不接受</w:t>
            </w:r>
          </w:p>
        </w:tc>
      </w:tr>
      <w:tr w14:paraId="294E8C5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7" w:hRule="atLeast"/>
        </w:trPr>
        <w:tc>
          <w:tcPr>
            <w:tcW w:w="986" w:type="dxa"/>
            <w:tcBorders>
              <w:top w:val="single" w:color="auto" w:sz="6" w:space="0"/>
              <w:left w:val="single" w:color="auto" w:sz="12" w:space="0"/>
              <w:bottom w:val="single" w:color="auto" w:sz="6" w:space="0"/>
              <w:right w:val="single" w:color="auto" w:sz="6" w:space="0"/>
            </w:tcBorders>
            <w:vAlign w:val="center"/>
          </w:tcPr>
          <w:p w14:paraId="3B756E14">
            <w:pPr>
              <w:adjustRightInd w:val="0"/>
              <w:spacing w:line="360" w:lineRule="auto"/>
              <w:jc w:val="center"/>
              <w:rPr>
                <w:rFonts w:ascii="宋体" w:hAnsi="宋体" w:cs="宋体"/>
                <w:spacing w:val="6"/>
                <w:sz w:val="24"/>
              </w:rPr>
            </w:pPr>
            <w:r>
              <w:rPr>
                <w:rFonts w:hint="eastAsia" w:ascii="宋体" w:hAnsi="宋体" w:cs="宋体"/>
                <w:spacing w:val="6"/>
                <w:sz w:val="24"/>
              </w:rPr>
              <w:t>15</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5BDE7A3A">
            <w:pPr>
              <w:adjustRightInd w:val="0"/>
              <w:spacing w:line="360" w:lineRule="auto"/>
              <w:rPr>
                <w:rFonts w:ascii="宋体" w:hAnsi="宋体" w:cs="宋体"/>
                <w:spacing w:val="6"/>
                <w:sz w:val="24"/>
              </w:rPr>
            </w:pPr>
            <w:r>
              <w:rPr>
                <w:rFonts w:hint="eastAsia" w:ascii="宋体" w:hAnsi="宋体" w:cs="宋体"/>
                <w:spacing w:val="6"/>
                <w:sz w:val="24"/>
              </w:rPr>
              <w:t>踏勘现场</w:t>
            </w:r>
          </w:p>
        </w:tc>
        <w:tc>
          <w:tcPr>
            <w:tcW w:w="7043" w:type="dxa"/>
            <w:tcBorders>
              <w:top w:val="single" w:color="auto" w:sz="6" w:space="0"/>
              <w:left w:val="single" w:color="auto" w:sz="6" w:space="0"/>
              <w:bottom w:val="single" w:color="auto" w:sz="6" w:space="0"/>
              <w:right w:val="single" w:color="auto" w:sz="12" w:space="0"/>
            </w:tcBorders>
            <w:vAlign w:val="center"/>
          </w:tcPr>
          <w:p w14:paraId="72A07320">
            <w:pPr>
              <w:adjustRightInd w:val="0"/>
              <w:spacing w:line="360" w:lineRule="auto"/>
              <w:rPr>
                <w:rFonts w:ascii="宋体" w:hAnsi="宋体" w:cs="宋体"/>
                <w:spacing w:val="6"/>
                <w:sz w:val="24"/>
              </w:rPr>
            </w:pPr>
            <w:r>
              <w:rPr>
                <w:rFonts w:hint="eastAsia" w:ascii="宋体" w:hAnsi="宋体" w:cs="宋体"/>
                <w:spacing w:val="6"/>
                <w:sz w:val="24"/>
              </w:rPr>
              <w:t>不组织</w:t>
            </w:r>
          </w:p>
        </w:tc>
      </w:tr>
      <w:tr w14:paraId="0B11FD7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7" w:hRule="atLeast"/>
        </w:trPr>
        <w:tc>
          <w:tcPr>
            <w:tcW w:w="986" w:type="dxa"/>
            <w:tcBorders>
              <w:top w:val="single" w:color="auto" w:sz="6" w:space="0"/>
              <w:left w:val="single" w:color="auto" w:sz="12" w:space="0"/>
              <w:bottom w:val="single" w:color="auto" w:sz="6" w:space="0"/>
              <w:right w:val="single" w:color="auto" w:sz="6" w:space="0"/>
            </w:tcBorders>
            <w:vAlign w:val="center"/>
          </w:tcPr>
          <w:p w14:paraId="5862A48F">
            <w:pPr>
              <w:adjustRightInd w:val="0"/>
              <w:spacing w:line="360" w:lineRule="auto"/>
              <w:jc w:val="center"/>
              <w:rPr>
                <w:rFonts w:ascii="宋体" w:hAnsi="宋体" w:cs="宋体"/>
                <w:spacing w:val="6"/>
                <w:sz w:val="24"/>
              </w:rPr>
            </w:pPr>
            <w:r>
              <w:rPr>
                <w:rFonts w:hint="eastAsia" w:ascii="宋体" w:hAnsi="宋体" w:cs="宋体"/>
                <w:spacing w:val="6"/>
                <w:sz w:val="24"/>
              </w:rPr>
              <w:t>16</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6B8DB7C7">
            <w:pPr>
              <w:adjustRightInd w:val="0"/>
              <w:spacing w:line="360" w:lineRule="auto"/>
              <w:rPr>
                <w:rFonts w:ascii="宋体" w:hAnsi="宋体" w:cs="宋体"/>
                <w:spacing w:val="6"/>
                <w:sz w:val="24"/>
              </w:rPr>
            </w:pPr>
            <w:r>
              <w:rPr>
                <w:rFonts w:hint="eastAsia" w:ascii="宋体" w:hAnsi="宋体" w:cs="宋体"/>
                <w:spacing w:val="6"/>
                <w:sz w:val="24"/>
              </w:rPr>
              <w:t>投标预备会</w:t>
            </w:r>
          </w:p>
        </w:tc>
        <w:tc>
          <w:tcPr>
            <w:tcW w:w="7043" w:type="dxa"/>
            <w:tcBorders>
              <w:top w:val="single" w:color="auto" w:sz="6" w:space="0"/>
              <w:left w:val="single" w:color="auto" w:sz="6" w:space="0"/>
              <w:bottom w:val="single" w:color="auto" w:sz="6" w:space="0"/>
              <w:right w:val="single" w:color="auto" w:sz="12" w:space="0"/>
            </w:tcBorders>
            <w:vAlign w:val="center"/>
          </w:tcPr>
          <w:p w14:paraId="01019E72">
            <w:pPr>
              <w:adjustRightInd w:val="0"/>
              <w:spacing w:line="360" w:lineRule="auto"/>
              <w:rPr>
                <w:rFonts w:ascii="宋体" w:hAnsi="宋体" w:cs="宋体"/>
                <w:spacing w:val="6"/>
                <w:sz w:val="24"/>
              </w:rPr>
            </w:pPr>
            <w:r>
              <w:rPr>
                <w:rFonts w:hint="eastAsia" w:ascii="宋体" w:hAnsi="宋体" w:cs="宋体"/>
                <w:spacing w:val="6"/>
                <w:sz w:val="24"/>
              </w:rPr>
              <w:t>不召开</w:t>
            </w:r>
          </w:p>
        </w:tc>
      </w:tr>
      <w:tr w14:paraId="4050A47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7" w:hRule="atLeast"/>
        </w:trPr>
        <w:tc>
          <w:tcPr>
            <w:tcW w:w="986" w:type="dxa"/>
            <w:tcBorders>
              <w:top w:val="single" w:color="auto" w:sz="6" w:space="0"/>
              <w:left w:val="single" w:color="auto" w:sz="12" w:space="0"/>
              <w:bottom w:val="single" w:color="auto" w:sz="6" w:space="0"/>
              <w:right w:val="single" w:color="auto" w:sz="6" w:space="0"/>
            </w:tcBorders>
            <w:vAlign w:val="center"/>
          </w:tcPr>
          <w:p w14:paraId="7822EF08">
            <w:pPr>
              <w:adjustRightInd w:val="0"/>
              <w:spacing w:line="360" w:lineRule="auto"/>
              <w:jc w:val="center"/>
              <w:rPr>
                <w:rFonts w:ascii="宋体" w:hAnsi="宋体" w:cs="宋体"/>
                <w:spacing w:val="6"/>
                <w:sz w:val="24"/>
              </w:rPr>
            </w:pPr>
            <w:r>
              <w:rPr>
                <w:rFonts w:hint="eastAsia" w:ascii="宋体" w:hAnsi="宋体" w:cs="宋体"/>
                <w:spacing w:val="6"/>
                <w:sz w:val="24"/>
              </w:rPr>
              <w:t>17</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50F133E8">
            <w:pPr>
              <w:adjustRightInd w:val="0"/>
              <w:spacing w:line="360" w:lineRule="auto"/>
              <w:rPr>
                <w:rFonts w:ascii="宋体" w:hAnsi="宋体" w:cs="宋体"/>
                <w:spacing w:val="6"/>
                <w:sz w:val="24"/>
              </w:rPr>
            </w:pPr>
            <w:r>
              <w:rPr>
                <w:rFonts w:hint="eastAsia" w:ascii="宋体" w:hAnsi="宋体" w:cs="宋体"/>
                <w:spacing w:val="6"/>
                <w:sz w:val="24"/>
              </w:rPr>
              <w:t>分包</w:t>
            </w:r>
          </w:p>
        </w:tc>
        <w:tc>
          <w:tcPr>
            <w:tcW w:w="7043" w:type="dxa"/>
            <w:tcBorders>
              <w:top w:val="single" w:color="auto" w:sz="6" w:space="0"/>
              <w:left w:val="single" w:color="auto" w:sz="6" w:space="0"/>
              <w:bottom w:val="single" w:color="auto" w:sz="6" w:space="0"/>
              <w:right w:val="single" w:color="auto" w:sz="12" w:space="0"/>
            </w:tcBorders>
            <w:vAlign w:val="center"/>
          </w:tcPr>
          <w:p w14:paraId="3962F8AB">
            <w:pPr>
              <w:adjustRightInd w:val="0"/>
              <w:spacing w:line="360" w:lineRule="auto"/>
              <w:rPr>
                <w:rFonts w:ascii="宋体" w:hAnsi="宋体" w:cs="宋体"/>
                <w:spacing w:val="6"/>
                <w:sz w:val="24"/>
              </w:rPr>
            </w:pPr>
            <w:r>
              <w:rPr>
                <w:rFonts w:hint="eastAsia" w:ascii="宋体" w:hAnsi="宋体" w:cs="宋体"/>
                <w:spacing w:val="6"/>
                <w:sz w:val="24"/>
              </w:rPr>
              <w:t>不允许</w:t>
            </w:r>
          </w:p>
        </w:tc>
      </w:tr>
      <w:tr w14:paraId="79D4847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7" w:hRule="atLeast"/>
        </w:trPr>
        <w:tc>
          <w:tcPr>
            <w:tcW w:w="986" w:type="dxa"/>
            <w:tcBorders>
              <w:top w:val="single" w:color="auto" w:sz="6" w:space="0"/>
              <w:left w:val="single" w:color="auto" w:sz="12" w:space="0"/>
              <w:bottom w:val="single" w:color="auto" w:sz="6" w:space="0"/>
              <w:right w:val="single" w:color="auto" w:sz="6" w:space="0"/>
            </w:tcBorders>
            <w:vAlign w:val="center"/>
          </w:tcPr>
          <w:p w14:paraId="7A48AF8B">
            <w:pPr>
              <w:adjustRightInd w:val="0"/>
              <w:spacing w:line="360" w:lineRule="auto"/>
              <w:jc w:val="center"/>
              <w:rPr>
                <w:rFonts w:ascii="宋体" w:hAnsi="宋体" w:cs="宋体"/>
                <w:spacing w:val="6"/>
                <w:sz w:val="24"/>
              </w:rPr>
            </w:pPr>
            <w:r>
              <w:rPr>
                <w:rFonts w:hint="eastAsia" w:ascii="宋体" w:hAnsi="宋体" w:cs="宋体"/>
                <w:spacing w:val="6"/>
                <w:sz w:val="24"/>
              </w:rPr>
              <w:t>18</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73F2F5D8">
            <w:pPr>
              <w:adjustRightInd w:val="0"/>
              <w:spacing w:line="360" w:lineRule="auto"/>
              <w:rPr>
                <w:rFonts w:ascii="宋体" w:hAnsi="宋体" w:cs="宋体"/>
                <w:spacing w:val="6"/>
                <w:sz w:val="24"/>
              </w:rPr>
            </w:pPr>
            <w:r>
              <w:rPr>
                <w:rFonts w:hint="eastAsia" w:ascii="宋体" w:hAnsi="宋体" w:cs="宋体"/>
                <w:spacing w:val="6"/>
                <w:sz w:val="24"/>
              </w:rPr>
              <w:t>偏离</w:t>
            </w:r>
          </w:p>
        </w:tc>
        <w:tc>
          <w:tcPr>
            <w:tcW w:w="7043" w:type="dxa"/>
            <w:tcBorders>
              <w:top w:val="single" w:color="auto" w:sz="6" w:space="0"/>
              <w:left w:val="single" w:color="auto" w:sz="6" w:space="0"/>
              <w:bottom w:val="single" w:color="auto" w:sz="6" w:space="0"/>
              <w:right w:val="single" w:color="auto" w:sz="12" w:space="0"/>
            </w:tcBorders>
            <w:vAlign w:val="center"/>
          </w:tcPr>
          <w:p w14:paraId="5A0FECF7">
            <w:pPr>
              <w:adjustRightInd w:val="0"/>
              <w:spacing w:line="360" w:lineRule="auto"/>
              <w:rPr>
                <w:rFonts w:ascii="宋体" w:hAnsi="宋体" w:cs="宋体"/>
                <w:spacing w:val="6"/>
                <w:sz w:val="24"/>
              </w:rPr>
            </w:pPr>
            <w:r>
              <w:rPr>
                <w:rFonts w:hint="eastAsia" w:ascii="宋体" w:hAnsi="宋体" w:cs="宋体"/>
                <w:spacing w:val="6"/>
                <w:sz w:val="24"/>
              </w:rPr>
              <w:t>允许(正偏离)</w:t>
            </w:r>
          </w:p>
        </w:tc>
      </w:tr>
      <w:tr w14:paraId="7A071E5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6" w:hRule="atLeast"/>
        </w:trPr>
        <w:tc>
          <w:tcPr>
            <w:tcW w:w="986" w:type="dxa"/>
            <w:tcBorders>
              <w:top w:val="single" w:color="auto" w:sz="6" w:space="0"/>
              <w:left w:val="single" w:color="auto" w:sz="12" w:space="0"/>
              <w:bottom w:val="single" w:color="auto" w:sz="6" w:space="0"/>
              <w:right w:val="single" w:color="auto" w:sz="6" w:space="0"/>
            </w:tcBorders>
            <w:vAlign w:val="center"/>
          </w:tcPr>
          <w:p w14:paraId="282CD862">
            <w:pPr>
              <w:adjustRightInd w:val="0"/>
              <w:spacing w:line="360" w:lineRule="auto"/>
              <w:jc w:val="center"/>
              <w:rPr>
                <w:rFonts w:ascii="宋体" w:hAnsi="宋体" w:cs="宋体"/>
                <w:spacing w:val="6"/>
                <w:sz w:val="24"/>
              </w:rPr>
            </w:pPr>
            <w:r>
              <w:rPr>
                <w:rFonts w:hint="eastAsia" w:ascii="宋体" w:hAnsi="宋体" w:cs="宋体"/>
                <w:spacing w:val="6"/>
                <w:sz w:val="24"/>
              </w:rPr>
              <w:t>19</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1063EA8F">
            <w:pPr>
              <w:adjustRightInd w:val="0"/>
              <w:spacing w:line="360" w:lineRule="auto"/>
              <w:rPr>
                <w:rFonts w:ascii="宋体" w:hAnsi="宋体" w:cs="宋体"/>
                <w:spacing w:val="6"/>
                <w:sz w:val="24"/>
              </w:rPr>
            </w:pPr>
            <w:r>
              <w:rPr>
                <w:rFonts w:hint="eastAsia" w:ascii="宋体" w:hAnsi="宋体" w:cs="宋体"/>
                <w:spacing w:val="6"/>
                <w:sz w:val="24"/>
              </w:rPr>
              <w:t>是否接受进口产品</w:t>
            </w:r>
          </w:p>
        </w:tc>
        <w:tc>
          <w:tcPr>
            <w:tcW w:w="7043" w:type="dxa"/>
            <w:tcBorders>
              <w:top w:val="single" w:color="auto" w:sz="6" w:space="0"/>
              <w:left w:val="single" w:color="auto" w:sz="6" w:space="0"/>
              <w:bottom w:val="single" w:color="auto" w:sz="6" w:space="0"/>
              <w:right w:val="single" w:color="auto" w:sz="12" w:space="0"/>
            </w:tcBorders>
            <w:vAlign w:val="center"/>
          </w:tcPr>
          <w:p w14:paraId="64B9DFBB">
            <w:pPr>
              <w:adjustRightInd w:val="0"/>
              <w:spacing w:line="360" w:lineRule="auto"/>
              <w:rPr>
                <w:rFonts w:ascii="宋体" w:hAnsi="宋体" w:cs="宋体"/>
                <w:spacing w:val="6"/>
                <w:sz w:val="24"/>
              </w:rPr>
            </w:pPr>
            <w:r>
              <w:rPr>
                <w:rFonts w:hint="eastAsia" w:ascii="宋体" w:hAnsi="宋体" w:cs="宋体"/>
                <w:spacing w:val="6"/>
                <w:sz w:val="24"/>
              </w:rPr>
              <w:t>否</w:t>
            </w:r>
          </w:p>
        </w:tc>
      </w:tr>
      <w:tr w14:paraId="5F33289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67" w:hRule="atLeast"/>
        </w:trPr>
        <w:tc>
          <w:tcPr>
            <w:tcW w:w="986" w:type="dxa"/>
            <w:tcBorders>
              <w:top w:val="single" w:color="auto" w:sz="6" w:space="0"/>
              <w:left w:val="single" w:color="auto" w:sz="12" w:space="0"/>
              <w:bottom w:val="single" w:color="auto" w:sz="6" w:space="0"/>
              <w:right w:val="single" w:color="auto" w:sz="6" w:space="0"/>
            </w:tcBorders>
            <w:vAlign w:val="center"/>
          </w:tcPr>
          <w:p w14:paraId="796C17D0">
            <w:pPr>
              <w:adjustRightInd w:val="0"/>
              <w:spacing w:line="360" w:lineRule="auto"/>
              <w:jc w:val="center"/>
              <w:rPr>
                <w:rFonts w:ascii="宋体" w:hAnsi="宋体" w:cs="宋体"/>
                <w:spacing w:val="6"/>
                <w:sz w:val="24"/>
              </w:rPr>
            </w:pPr>
            <w:r>
              <w:rPr>
                <w:rFonts w:hint="eastAsia" w:ascii="宋体" w:hAnsi="宋体" w:cs="宋体"/>
                <w:spacing w:val="6"/>
                <w:sz w:val="24"/>
              </w:rPr>
              <w:t>20</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42E3622E">
            <w:pPr>
              <w:adjustRightInd w:val="0"/>
              <w:spacing w:line="360" w:lineRule="auto"/>
              <w:jc w:val="center"/>
              <w:rPr>
                <w:rFonts w:ascii="宋体" w:hAnsi="宋体" w:cs="宋体"/>
                <w:spacing w:val="-10"/>
                <w:sz w:val="24"/>
              </w:rPr>
            </w:pPr>
            <w:r>
              <w:rPr>
                <w:rFonts w:hint="eastAsia" w:ascii="宋体" w:hAnsi="宋体" w:cs="宋体"/>
                <w:spacing w:val="-10"/>
                <w:sz w:val="24"/>
              </w:rPr>
              <w:t>近年完成的类似项目的业绩年份要求</w:t>
            </w:r>
          </w:p>
        </w:tc>
        <w:tc>
          <w:tcPr>
            <w:tcW w:w="7043" w:type="dxa"/>
            <w:tcBorders>
              <w:top w:val="single" w:color="auto" w:sz="6" w:space="0"/>
              <w:left w:val="single" w:color="auto" w:sz="6" w:space="0"/>
              <w:bottom w:val="single" w:color="auto" w:sz="6" w:space="0"/>
              <w:right w:val="single" w:color="auto" w:sz="12" w:space="0"/>
            </w:tcBorders>
            <w:vAlign w:val="center"/>
          </w:tcPr>
          <w:p w14:paraId="178C89E3">
            <w:pPr>
              <w:adjustRightInd w:val="0"/>
              <w:spacing w:line="360" w:lineRule="auto"/>
              <w:rPr>
                <w:rFonts w:ascii="宋体" w:hAnsi="宋体" w:cs="宋体"/>
                <w:spacing w:val="-10"/>
                <w:sz w:val="24"/>
              </w:rPr>
            </w:pPr>
            <w:r>
              <w:rPr>
                <w:rFonts w:hint="eastAsia" w:ascii="宋体" w:hAnsi="宋体" w:cs="宋体"/>
                <w:spacing w:val="-10"/>
                <w:sz w:val="24"/>
              </w:rPr>
              <w:t>2022年01月01日以来完成类似项目（以合同签订时间为准）</w:t>
            </w:r>
          </w:p>
        </w:tc>
      </w:tr>
      <w:tr w14:paraId="5F2239B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16" w:hRule="atLeast"/>
        </w:trPr>
        <w:tc>
          <w:tcPr>
            <w:tcW w:w="986" w:type="dxa"/>
            <w:tcBorders>
              <w:top w:val="single" w:color="auto" w:sz="6" w:space="0"/>
              <w:left w:val="single" w:color="auto" w:sz="12" w:space="0"/>
              <w:bottom w:val="single" w:color="auto" w:sz="6" w:space="0"/>
              <w:right w:val="single" w:color="auto" w:sz="6" w:space="0"/>
            </w:tcBorders>
            <w:vAlign w:val="center"/>
          </w:tcPr>
          <w:p w14:paraId="576CE02D">
            <w:pPr>
              <w:adjustRightInd w:val="0"/>
              <w:spacing w:line="360" w:lineRule="auto"/>
              <w:jc w:val="center"/>
              <w:rPr>
                <w:rFonts w:ascii="宋体" w:hAnsi="宋体" w:cs="宋体"/>
                <w:spacing w:val="6"/>
                <w:sz w:val="24"/>
              </w:rPr>
            </w:pPr>
            <w:r>
              <w:rPr>
                <w:rFonts w:hint="eastAsia" w:ascii="宋体" w:hAnsi="宋体" w:cs="宋体"/>
                <w:spacing w:val="6"/>
                <w:sz w:val="24"/>
              </w:rPr>
              <w:t>21</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31D11EED">
            <w:pPr>
              <w:jc w:val="center"/>
              <w:rPr>
                <w:rFonts w:ascii="宋体" w:hAnsi="宋体"/>
                <w:sz w:val="24"/>
              </w:rPr>
            </w:pPr>
            <w:r>
              <w:rPr>
                <w:rFonts w:hint="eastAsia" w:ascii="宋体" w:hAnsi="宋体"/>
                <w:sz w:val="24"/>
              </w:rPr>
              <w:t>近年财务状况的要求</w:t>
            </w:r>
          </w:p>
        </w:tc>
        <w:tc>
          <w:tcPr>
            <w:tcW w:w="7043" w:type="dxa"/>
            <w:tcBorders>
              <w:top w:val="single" w:color="auto" w:sz="6" w:space="0"/>
              <w:left w:val="single" w:color="auto" w:sz="6" w:space="0"/>
              <w:bottom w:val="single" w:color="auto" w:sz="6" w:space="0"/>
              <w:right w:val="single" w:color="auto" w:sz="12" w:space="0"/>
            </w:tcBorders>
            <w:vAlign w:val="center"/>
          </w:tcPr>
          <w:p w14:paraId="392730E7">
            <w:pPr>
              <w:spacing w:line="580" w:lineRule="exact"/>
              <w:rPr>
                <w:rFonts w:ascii="宋体" w:hAnsi="宋体"/>
                <w:sz w:val="24"/>
              </w:rPr>
            </w:pPr>
            <w:r>
              <w:rPr>
                <w:rFonts w:hint="eastAsia" w:ascii="宋体" w:hAnsi="宋体"/>
                <w:sz w:val="24"/>
              </w:rPr>
              <w:t>近三年来任意一个年度的财务审计报告或自行承诺；</w:t>
            </w:r>
          </w:p>
        </w:tc>
      </w:tr>
      <w:tr w14:paraId="1D780FE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85" w:hRule="atLeast"/>
        </w:trPr>
        <w:tc>
          <w:tcPr>
            <w:tcW w:w="986" w:type="dxa"/>
            <w:tcBorders>
              <w:top w:val="single" w:color="auto" w:sz="6" w:space="0"/>
              <w:left w:val="single" w:color="auto" w:sz="12" w:space="0"/>
              <w:bottom w:val="single" w:color="auto" w:sz="6" w:space="0"/>
              <w:right w:val="single" w:color="auto" w:sz="6" w:space="0"/>
            </w:tcBorders>
            <w:vAlign w:val="center"/>
          </w:tcPr>
          <w:p w14:paraId="56A95B5C">
            <w:pPr>
              <w:adjustRightInd w:val="0"/>
              <w:spacing w:line="360" w:lineRule="auto"/>
              <w:jc w:val="center"/>
              <w:rPr>
                <w:rFonts w:ascii="宋体" w:hAnsi="宋体" w:cs="宋体"/>
                <w:spacing w:val="6"/>
                <w:sz w:val="24"/>
              </w:rPr>
            </w:pPr>
            <w:r>
              <w:rPr>
                <w:rFonts w:hint="eastAsia" w:ascii="宋体" w:hAnsi="宋体" w:cs="宋体"/>
                <w:spacing w:val="6"/>
                <w:sz w:val="24"/>
              </w:rPr>
              <w:t>22</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69908DB5">
            <w:pPr>
              <w:adjustRightInd w:val="0"/>
              <w:snapToGrid w:val="0"/>
              <w:spacing w:line="400" w:lineRule="exact"/>
              <w:jc w:val="center"/>
              <w:rPr>
                <w:rFonts w:ascii="宋体" w:hAnsi="宋体" w:cs="宋体"/>
                <w:spacing w:val="-10"/>
                <w:sz w:val="24"/>
              </w:rPr>
            </w:pPr>
            <w:r>
              <w:rPr>
                <w:rFonts w:hint="eastAsia" w:ascii="宋体" w:hAnsi="宋体" w:cs="宋体"/>
                <w:sz w:val="24"/>
              </w:rPr>
              <w:t>构成磋商文件的其他材料</w:t>
            </w:r>
          </w:p>
        </w:tc>
        <w:tc>
          <w:tcPr>
            <w:tcW w:w="7043" w:type="dxa"/>
            <w:tcBorders>
              <w:top w:val="single" w:color="auto" w:sz="6" w:space="0"/>
              <w:left w:val="single" w:color="auto" w:sz="6" w:space="0"/>
              <w:bottom w:val="single" w:color="auto" w:sz="6" w:space="0"/>
              <w:right w:val="single" w:color="auto" w:sz="12" w:space="0"/>
            </w:tcBorders>
            <w:vAlign w:val="center"/>
          </w:tcPr>
          <w:p w14:paraId="17190B26">
            <w:pPr>
              <w:adjustRightInd w:val="0"/>
              <w:snapToGrid w:val="0"/>
              <w:spacing w:line="400" w:lineRule="exact"/>
              <w:rPr>
                <w:rFonts w:ascii="宋体" w:hAnsi="宋体" w:cs="宋体"/>
                <w:spacing w:val="-10"/>
                <w:sz w:val="24"/>
              </w:rPr>
            </w:pPr>
            <w:r>
              <w:rPr>
                <w:rFonts w:hint="eastAsia" w:ascii="宋体" w:hAnsi="宋体" w:cs="宋体"/>
                <w:sz w:val="24"/>
              </w:rPr>
              <w:t>对磋商文件所作的澄清（含答疑）、修改，补充构成磋商文件的组成部分</w:t>
            </w:r>
          </w:p>
        </w:tc>
      </w:tr>
      <w:tr w14:paraId="494D14C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56" w:hRule="atLeast"/>
        </w:trPr>
        <w:tc>
          <w:tcPr>
            <w:tcW w:w="986" w:type="dxa"/>
            <w:tcBorders>
              <w:top w:val="single" w:color="auto" w:sz="6" w:space="0"/>
              <w:left w:val="single" w:color="auto" w:sz="12" w:space="0"/>
              <w:bottom w:val="single" w:color="auto" w:sz="6" w:space="0"/>
              <w:right w:val="single" w:color="auto" w:sz="6" w:space="0"/>
            </w:tcBorders>
            <w:vAlign w:val="center"/>
          </w:tcPr>
          <w:p w14:paraId="01A4FDCC">
            <w:pPr>
              <w:adjustRightInd w:val="0"/>
              <w:spacing w:line="360" w:lineRule="auto"/>
              <w:jc w:val="center"/>
              <w:rPr>
                <w:rFonts w:ascii="宋体" w:hAnsi="宋体" w:cs="宋体"/>
                <w:spacing w:val="6"/>
                <w:sz w:val="24"/>
              </w:rPr>
            </w:pPr>
            <w:r>
              <w:rPr>
                <w:rFonts w:hint="eastAsia" w:ascii="宋体" w:hAnsi="宋体" w:cs="宋体"/>
                <w:spacing w:val="6"/>
                <w:sz w:val="24"/>
              </w:rPr>
              <w:t>23</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20C95A7A">
            <w:pPr>
              <w:spacing w:line="400" w:lineRule="exact"/>
              <w:jc w:val="center"/>
              <w:rPr>
                <w:rFonts w:ascii="宋体" w:hAnsi="宋体" w:cs="宋体"/>
                <w:spacing w:val="-10"/>
                <w:sz w:val="24"/>
              </w:rPr>
            </w:pPr>
            <w:r>
              <w:rPr>
                <w:rFonts w:hint="eastAsia" w:ascii="宋体" w:hAnsi="宋体" w:cs="宋体"/>
                <w:sz w:val="24"/>
              </w:rPr>
              <w:t>响应人要求澄清竞争性磋商文件的截止时间</w:t>
            </w:r>
          </w:p>
        </w:tc>
        <w:tc>
          <w:tcPr>
            <w:tcW w:w="7043" w:type="dxa"/>
            <w:tcBorders>
              <w:top w:val="single" w:color="auto" w:sz="6" w:space="0"/>
              <w:left w:val="single" w:color="auto" w:sz="6" w:space="0"/>
              <w:bottom w:val="single" w:color="auto" w:sz="6" w:space="0"/>
              <w:right w:val="single" w:color="auto" w:sz="12" w:space="0"/>
            </w:tcBorders>
            <w:vAlign w:val="center"/>
          </w:tcPr>
          <w:p w14:paraId="1A12C1CB">
            <w:pPr>
              <w:spacing w:line="400" w:lineRule="exact"/>
              <w:rPr>
                <w:rFonts w:ascii="宋体" w:hAnsi="宋体" w:cs="宋体"/>
                <w:sz w:val="24"/>
              </w:rPr>
            </w:pPr>
            <w:r>
              <w:rPr>
                <w:rFonts w:hint="eastAsia" w:ascii="宋体" w:hAnsi="宋体" w:cs="宋体"/>
                <w:sz w:val="24"/>
              </w:rPr>
              <w:t>响应文件递交截止时间5日前</w:t>
            </w:r>
          </w:p>
          <w:p w14:paraId="5CB825E2">
            <w:pPr>
              <w:spacing w:line="400" w:lineRule="exact"/>
              <w:rPr>
                <w:rFonts w:ascii="宋体" w:hAnsi="宋体" w:cs="宋体"/>
                <w:spacing w:val="-10"/>
                <w:sz w:val="24"/>
              </w:rPr>
            </w:pPr>
            <w:r>
              <w:rPr>
                <w:rFonts w:hint="eastAsia" w:ascii="宋体" w:hAnsi="宋体" w:cs="宋体"/>
                <w:sz w:val="24"/>
              </w:rPr>
              <w:t>形</w:t>
            </w:r>
            <w:r>
              <w:rPr>
                <w:rFonts w:hint="eastAsia" w:ascii="宋体" w:hAnsi="宋体"/>
                <w:sz w:val="24"/>
              </w:rPr>
              <w:t>式：以书面形式提交采购代理公司（加盖单位公章和法定代表人或委托代理人签字）</w:t>
            </w:r>
          </w:p>
        </w:tc>
      </w:tr>
      <w:tr w14:paraId="31ADB95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85" w:hRule="atLeast"/>
        </w:trPr>
        <w:tc>
          <w:tcPr>
            <w:tcW w:w="986" w:type="dxa"/>
            <w:tcBorders>
              <w:top w:val="single" w:color="auto" w:sz="6" w:space="0"/>
              <w:left w:val="single" w:color="auto" w:sz="12" w:space="0"/>
              <w:bottom w:val="single" w:color="auto" w:sz="6" w:space="0"/>
              <w:right w:val="single" w:color="auto" w:sz="6" w:space="0"/>
            </w:tcBorders>
            <w:vAlign w:val="center"/>
          </w:tcPr>
          <w:p w14:paraId="4955FD49">
            <w:pPr>
              <w:adjustRightInd w:val="0"/>
              <w:spacing w:line="360" w:lineRule="auto"/>
              <w:jc w:val="center"/>
              <w:rPr>
                <w:rFonts w:ascii="宋体" w:hAnsi="宋体" w:cs="宋体"/>
                <w:spacing w:val="6"/>
                <w:sz w:val="24"/>
              </w:rPr>
            </w:pPr>
            <w:r>
              <w:rPr>
                <w:rFonts w:hint="eastAsia" w:ascii="宋体" w:hAnsi="宋体" w:cs="宋体"/>
                <w:spacing w:val="6"/>
                <w:sz w:val="24"/>
              </w:rPr>
              <w:t>24</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7EDA3D30">
            <w:pPr>
              <w:spacing w:line="400" w:lineRule="exact"/>
              <w:ind w:left="240" w:hanging="240" w:hangingChars="100"/>
              <w:jc w:val="center"/>
              <w:rPr>
                <w:rFonts w:ascii="宋体" w:hAnsi="宋体" w:cs="宋体"/>
                <w:sz w:val="24"/>
              </w:rPr>
            </w:pPr>
            <w:r>
              <w:rPr>
                <w:rFonts w:hint="eastAsia" w:ascii="宋体" w:hAnsi="宋体" w:cs="宋体"/>
                <w:sz w:val="24"/>
              </w:rPr>
              <w:t>响应文件递</w:t>
            </w:r>
          </w:p>
          <w:p w14:paraId="2433B4EE">
            <w:pPr>
              <w:spacing w:line="400" w:lineRule="exact"/>
              <w:ind w:left="240" w:hanging="240" w:hangingChars="100"/>
              <w:jc w:val="center"/>
              <w:rPr>
                <w:rFonts w:ascii="宋体" w:hAnsi="宋体" w:cs="宋体"/>
                <w:spacing w:val="-10"/>
                <w:sz w:val="24"/>
              </w:rPr>
            </w:pPr>
            <w:r>
              <w:rPr>
                <w:rFonts w:hint="eastAsia" w:ascii="宋体" w:hAnsi="宋体" w:cs="宋体"/>
                <w:sz w:val="24"/>
              </w:rPr>
              <w:t>交截止时间</w:t>
            </w:r>
          </w:p>
        </w:tc>
        <w:tc>
          <w:tcPr>
            <w:tcW w:w="7043" w:type="dxa"/>
            <w:tcBorders>
              <w:top w:val="single" w:color="auto" w:sz="6" w:space="0"/>
              <w:left w:val="single" w:color="auto" w:sz="6" w:space="0"/>
              <w:bottom w:val="single" w:color="auto" w:sz="6" w:space="0"/>
              <w:right w:val="single" w:color="auto" w:sz="12" w:space="0"/>
            </w:tcBorders>
            <w:vAlign w:val="center"/>
          </w:tcPr>
          <w:p w14:paraId="05FEA5E3">
            <w:pPr>
              <w:spacing w:line="400" w:lineRule="exact"/>
              <w:rPr>
                <w:rFonts w:ascii="宋体" w:hAnsi="宋体" w:cs="宋体"/>
                <w:spacing w:val="-10"/>
                <w:sz w:val="24"/>
              </w:rPr>
            </w:pPr>
            <w:r>
              <w:rPr>
                <w:rFonts w:hint="eastAsia" w:ascii="宋体" w:hAnsi="宋体" w:cs="宋体"/>
                <w:spacing w:val="6"/>
                <w:sz w:val="24"/>
              </w:rPr>
              <w:t>具体详见公告部分</w:t>
            </w:r>
          </w:p>
        </w:tc>
      </w:tr>
      <w:tr w14:paraId="7C88342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56" w:hRule="atLeast"/>
        </w:trPr>
        <w:tc>
          <w:tcPr>
            <w:tcW w:w="986" w:type="dxa"/>
            <w:tcBorders>
              <w:top w:val="single" w:color="auto" w:sz="6" w:space="0"/>
              <w:left w:val="single" w:color="auto" w:sz="12" w:space="0"/>
              <w:bottom w:val="single" w:color="auto" w:sz="6" w:space="0"/>
              <w:right w:val="single" w:color="auto" w:sz="6" w:space="0"/>
            </w:tcBorders>
            <w:vAlign w:val="center"/>
          </w:tcPr>
          <w:p w14:paraId="5305EC0D">
            <w:pPr>
              <w:adjustRightInd w:val="0"/>
              <w:spacing w:line="360" w:lineRule="auto"/>
              <w:jc w:val="center"/>
              <w:rPr>
                <w:rFonts w:ascii="宋体" w:hAnsi="宋体" w:cs="宋体"/>
                <w:spacing w:val="6"/>
                <w:sz w:val="24"/>
              </w:rPr>
            </w:pPr>
            <w:r>
              <w:rPr>
                <w:rFonts w:hint="eastAsia" w:ascii="宋体" w:hAnsi="宋体" w:cs="宋体"/>
                <w:spacing w:val="6"/>
                <w:sz w:val="24"/>
              </w:rPr>
              <w:t>25</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6264B5B7">
            <w:pPr>
              <w:spacing w:line="400" w:lineRule="exact"/>
              <w:jc w:val="center"/>
              <w:rPr>
                <w:rFonts w:ascii="宋体" w:hAnsi="宋体" w:cs="宋体"/>
                <w:spacing w:val="-10"/>
                <w:sz w:val="24"/>
              </w:rPr>
            </w:pPr>
            <w:r>
              <w:rPr>
                <w:rFonts w:hint="eastAsia" w:ascii="宋体" w:hAnsi="宋体" w:cs="宋体"/>
                <w:sz w:val="24"/>
              </w:rPr>
              <w:t>响应人确认收到竞争性磋商文件澄清的时间</w:t>
            </w:r>
          </w:p>
        </w:tc>
        <w:tc>
          <w:tcPr>
            <w:tcW w:w="7043" w:type="dxa"/>
            <w:tcBorders>
              <w:top w:val="single" w:color="auto" w:sz="6" w:space="0"/>
              <w:left w:val="single" w:color="auto" w:sz="6" w:space="0"/>
              <w:bottom w:val="single" w:color="auto" w:sz="6" w:space="0"/>
              <w:right w:val="single" w:color="auto" w:sz="12" w:space="0"/>
            </w:tcBorders>
            <w:vAlign w:val="center"/>
          </w:tcPr>
          <w:p w14:paraId="750AF8D9">
            <w:pPr>
              <w:spacing w:line="400" w:lineRule="exact"/>
              <w:rPr>
                <w:rFonts w:ascii="宋体" w:hAnsi="宋体" w:cs="宋体"/>
                <w:spacing w:val="-10"/>
                <w:sz w:val="24"/>
              </w:rPr>
            </w:pPr>
            <w:r>
              <w:rPr>
                <w:rFonts w:hint="eastAsia" w:ascii="宋体" w:hAnsi="宋体" w:cs="宋体"/>
                <w:sz w:val="24"/>
              </w:rPr>
              <w:t>在收到相应澄清文件后</w:t>
            </w:r>
            <w:r>
              <w:rPr>
                <w:rFonts w:hint="eastAsia" w:ascii="宋体" w:hAnsi="宋体" w:cs="宋体"/>
                <w:sz w:val="24"/>
                <w:u w:val="single"/>
              </w:rPr>
              <w:t xml:space="preserve"> 24 </w:t>
            </w:r>
            <w:r>
              <w:rPr>
                <w:rFonts w:hint="eastAsia" w:ascii="宋体" w:hAnsi="宋体" w:cs="宋体"/>
                <w:sz w:val="24"/>
              </w:rPr>
              <w:t>小时内</w:t>
            </w:r>
          </w:p>
        </w:tc>
      </w:tr>
      <w:tr w14:paraId="464CC00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56" w:hRule="atLeast"/>
        </w:trPr>
        <w:tc>
          <w:tcPr>
            <w:tcW w:w="986" w:type="dxa"/>
            <w:tcBorders>
              <w:top w:val="single" w:color="auto" w:sz="6" w:space="0"/>
              <w:left w:val="single" w:color="auto" w:sz="12" w:space="0"/>
              <w:bottom w:val="single" w:color="auto" w:sz="6" w:space="0"/>
              <w:right w:val="single" w:color="auto" w:sz="6" w:space="0"/>
            </w:tcBorders>
            <w:vAlign w:val="center"/>
          </w:tcPr>
          <w:p w14:paraId="66D63B4F">
            <w:pPr>
              <w:adjustRightInd w:val="0"/>
              <w:spacing w:line="360" w:lineRule="auto"/>
              <w:jc w:val="center"/>
              <w:rPr>
                <w:rFonts w:ascii="宋体" w:hAnsi="宋体" w:cs="宋体"/>
                <w:spacing w:val="6"/>
                <w:sz w:val="24"/>
              </w:rPr>
            </w:pPr>
            <w:r>
              <w:rPr>
                <w:rFonts w:hint="eastAsia" w:ascii="宋体" w:hAnsi="宋体" w:cs="宋体"/>
                <w:spacing w:val="6"/>
                <w:sz w:val="24"/>
              </w:rPr>
              <w:t>26</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6AE8C5EA">
            <w:pPr>
              <w:spacing w:line="400" w:lineRule="exact"/>
              <w:jc w:val="center"/>
              <w:rPr>
                <w:rFonts w:ascii="宋体" w:hAnsi="宋体" w:cs="宋体"/>
                <w:spacing w:val="-10"/>
                <w:sz w:val="24"/>
              </w:rPr>
            </w:pPr>
            <w:r>
              <w:rPr>
                <w:rFonts w:hint="eastAsia" w:ascii="宋体" w:hAnsi="宋体" w:cs="宋体"/>
                <w:sz w:val="24"/>
              </w:rPr>
              <w:t>响应人确认收到竞争性磋商文件修改的时间</w:t>
            </w:r>
          </w:p>
        </w:tc>
        <w:tc>
          <w:tcPr>
            <w:tcW w:w="7043" w:type="dxa"/>
            <w:tcBorders>
              <w:top w:val="single" w:color="auto" w:sz="6" w:space="0"/>
              <w:left w:val="single" w:color="auto" w:sz="6" w:space="0"/>
              <w:bottom w:val="single" w:color="auto" w:sz="6" w:space="0"/>
              <w:right w:val="single" w:color="auto" w:sz="12" w:space="0"/>
            </w:tcBorders>
            <w:vAlign w:val="center"/>
          </w:tcPr>
          <w:p w14:paraId="5B6F878A">
            <w:pPr>
              <w:spacing w:line="400" w:lineRule="exact"/>
              <w:rPr>
                <w:rFonts w:ascii="宋体" w:hAnsi="宋体" w:cs="宋体"/>
                <w:spacing w:val="-10"/>
                <w:sz w:val="24"/>
              </w:rPr>
            </w:pPr>
            <w:r>
              <w:rPr>
                <w:rFonts w:hint="eastAsia" w:ascii="宋体" w:hAnsi="宋体" w:cs="宋体"/>
                <w:sz w:val="24"/>
              </w:rPr>
              <w:t>在收到相应修改文件后</w:t>
            </w:r>
            <w:r>
              <w:rPr>
                <w:rFonts w:hint="eastAsia" w:ascii="宋体" w:hAnsi="宋体" w:cs="宋体"/>
                <w:sz w:val="24"/>
                <w:u w:val="single"/>
              </w:rPr>
              <w:t xml:space="preserve"> 24</w:t>
            </w:r>
            <w:r>
              <w:rPr>
                <w:rFonts w:hint="eastAsia" w:ascii="宋体" w:hAnsi="宋体" w:cs="宋体"/>
                <w:sz w:val="24"/>
              </w:rPr>
              <w:t>小时内</w:t>
            </w:r>
          </w:p>
        </w:tc>
      </w:tr>
      <w:tr w14:paraId="690609F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6" w:hRule="atLeast"/>
        </w:trPr>
        <w:tc>
          <w:tcPr>
            <w:tcW w:w="986" w:type="dxa"/>
            <w:tcBorders>
              <w:top w:val="single" w:color="auto" w:sz="6" w:space="0"/>
              <w:left w:val="single" w:color="auto" w:sz="12" w:space="0"/>
              <w:bottom w:val="single" w:color="auto" w:sz="6" w:space="0"/>
              <w:right w:val="single" w:color="auto" w:sz="6" w:space="0"/>
            </w:tcBorders>
            <w:vAlign w:val="center"/>
          </w:tcPr>
          <w:p w14:paraId="3614FADE">
            <w:pPr>
              <w:adjustRightInd w:val="0"/>
              <w:spacing w:line="360" w:lineRule="auto"/>
              <w:jc w:val="center"/>
              <w:rPr>
                <w:rFonts w:ascii="宋体" w:hAnsi="宋体" w:cs="宋体"/>
                <w:spacing w:val="6"/>
                <w:sz w:val="24"/>
              </w:rPr>
            </w:pPr>
            <w:r>
              <w:rPr>
                <w:rFonts w:hint="eastAsia" w:ascii="宋体" w:hAnsi="宋体" w:cs="宋体"/>
                <w:spacing w:val="6"/>
                <w:sz w:val="24"/>
              </w:rPr>
              <w:t>27</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07D095D6">
            <w:pPr>
              <w:adjustRightInd w:val="0"/>
              <w:spacing w:line="360" w:lineRule="auto"/>
              <w:jc w:val="center"/>
              <w:rPr>
                <w:rFonts w:ascii="宋体" w:hAnsi="宋体" w:cs="宋体"/>
                <w:spacing w:val="-10"/>
                <w:sz w:val="24"/>
              </w:rPr>
            </w:pPr>
            <w:r>
              <w:rPr>
                <w:rFonts w:hint="eastAsia" w:ascii="宋体" w:hAnsi="宋体" w:cs="宋体"/>
                <w:spacing w:val="-10"/>
                <w:sz w:val="24"/>
              </w:rPr>
              <w:t>响应文件是否退还</w:t>
            </w:r>
          </w:p>
        </w:tc>
        <w:tc>
          <w:tcPr>
            <w:tcW w:w="7043" w:type="dxa"/>
            <w:tcBorders>
              <w:top w:val="single" w:color="auto" w:sz="6" w:space="0"/>
              <w:left w:val="single" w:color="auto" w:sz="6" w:space="0"/>
              <w:bottom w:val="single" w:color="auto" w:sz="6" w:space="0"/>
              <w:right w:val="single" w:color="auto" w:sz="12" w:space="0"/>
            </w:tcBorders>
            <w:vAlign w:val="center"/>
          </w:tcPr>
          <w:p w14:paraId="4676B300">
            <w:pPr>
              <w:adjustRightInd w:val="0"/>
              <w:spacing w:line="360" w:lineRule="auto"/>
              <w:rPr>
                <w:rFonts w:ascii="宋体" w:hAnsi="宋体" w:cs="宋体"/>
                <w:spacing w:val="-10"/>
                <w:sz w:val="24"/>
              </w:rPr>
            </w:pPr>
            <w:r>
              <w:rPr>
                <w:rFonts w:hint="eastAsia" w:ascii="宋体" w:hAnsi="宋体" w:cs="宋体"/>
                <w:spacing w:val="-10"/>
                <w:sz w:val="24"/>
              </w:rPr>
              <w:t>否</w:t>
            </w:r>
          </w:p>
        </w:tc>
      </w:tr>
      <w:tr w14:paraId="32EAD57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67" w:hRule="atLeast"/>
        </w:trPr>
        <w:tc>
          <w:tcPr>
            <w:tcW w:w="986" w:type="dxa"/>
            <w:tcBorders>
              <w:top w:val="single" w:color="auto" w:sz="6" w:space="0"/>
              <w:left w:val="single" w:color="auto" w:sz="12" w:space="0"/>
              <w:bottom w:val="single" w:color="auto" w:sz="6" w:space="0"/>
              <w:right w:val="single" w:color="auto" w:sz="6" w:space="0"/>
            </w:tcBorders>
            <w:vAlign w:val="center"/>
          </w:tcPr>
          <w:p w14:paraId="16067A94">
            <w:pPr>
              <w:adjustRightInd w:val="0"/>
              <w:spacing w:line="360" w:lineRule="auto"/>
              <w:jc w:val="center"/>
              <w:rPr>
                <w:rFonts w:ascii="宋体" w:hAnsi="宋体" w:cs="宋体"/>
                <w:spacing w:val="6"/>
                <w:sz w:val="24"/>
              </w:rPr>
            </w:pPr>
            <w:r>
              <w:rPr>
                <w:rFonts w:hint="eastAsia" w:ascii="宋体" w:hAnsi="宋体" w:cs="宋体"/>
                <w:spacing w:val="6"/>
                <w:sz w:val="24"/>
              </w:rPr>
              <w:t>28</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29F5B196">
            <w:pPr>
              <w:spacing w:line="360" w:lineRule="auto"/>
              <w:jc w:val="center"/>
              <w:rPr>
                <w:rFonts w:ascii="宋体" w:hAnsi="宋体" w:cs="宋体"/>
                <w:spacing w:val="6"/>
                <w:sz w:val="24"/>
              </w:rPr>
            </w:pPr>
            <w:r>
              <w:rPr>
                <w:rFonts w:hint="eastAsia" w:ascii="宋体" w:hAnsi="宋体" w:cs="宋体"/>
                <w:spacing w:val="6"/>
                <w:sz w:val="24"/>
              </w:rPr>
              <w:t>是否允许递交备选磋商方案</w:t>
            </w:r>
            <w:r>
              <w:rPr>
                <w:rFonts w:hint="eastAsia" w:ascii="宋体" w:hAnsi="宋体" w:cs="宋体"/>
                <w:spacing w:val="6"/>
                <w:sz w:val="24"/>
              </w:rPr>
              <w:tab/>
            </w:r>
          </w:p>
        </w:tc>
        <w:tc>
          <w:tcPr>
            <w:tcW w:w="7043" w:type="dxa"/>
            <w:tcBorders>
              <w:top w:val="single" w:color="auto" w:sz="6" w:space="0"/>
              <w:left w:val="single" w:color="auto" w:sz="6" w:space="0"/>
              <w:bottom w:val="single" w:color="auto" w:sz="6" w:space="0"/>
              <w:right w:val="single" w:color="auto" w:sz="12" w:space="0"/>
            </w:tcBorders>
            <w:vAlign w:val="center"/>
          </w:tcPr>
          <w:p w14:paraId="276243FB">
            <w:pPr>
              <w:spacing w:line="360" w:lineRule="auto"/>
              <w:rPr>
                <w:rFonts w:ascii="宋体" w:hAnsi="宋体" w:cs="宋体"/>
                <w:spacing w:val="6"/>
                <w:sz w:val="24"/>
              </w:rPr>
            </w:pPr>
            <w:r>
              <w:rPr>
                <w:rFonts w:hint="eastAsia" w:ascii="宋体" w:hAnsi="宋体" w:cs="宋体"/>
                <w:spacing w:val="6"/>
                <w:sz w:val="24"/>
              </w:rPr>
              <w:t>不允许</w:t>
            </w:r>
          </w:p>
        </w:tc>
      </w:tr>
      <w:tr w14:paraId="2036964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6" w:hRule="atLeast"/>
        </w:trPr>
        <w:tc>
          <w:tcPr>
            <w:tcW w:w="986" w:type="dxa"/>
            <w:tcBorders>
              <w:top w:val="single" w:color="auto" w:sz="6" w:space="0"/>
              <w:left w:val="single" w:color="auto" w:sz="12" w:space="0"/>
              <w:bottom w:val="single" w:color="auto" w:sz="6" w:space="0"/>
              <w:right w:val="single" w:color="auto" w:sz="6" w:space="0"/>
            </w:tcBorders>
            <w:vAlign w:val="center"/>
          </w:tcPr>
          <w:p w14:paraId="5C0ECDEE">
            <w:pPr>
              <w:adjustRightInd w:val="0"/>
              <w:spacing w:line="360" w:lineRule="auto"/>
              <w:jc w:val="center"/>
              <w:rPr>
                <w:rFonts w:ascii="宋体" w:hAnsi="宋体" w:cs="宋体"/>
                <w:spacing w:val="6"/>
                <w:sz w:val="24"/>
              </w:rPr>
            </w:pPr>
            <w:r>
              <w:rPr>
                <w:rFonts w:hint="eastAsia" w:ascii="宋体" w:hAnsi="宋体" w:cs="宋体"/>
                <w:spacing w:val="6"/>
                <w:sz w:val="24"/>
              </w:rPr>
              <w:t>29</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2B47CBBB">
            <w:pPr>
              <w:adjustRightInd w:val="0"/>
              <w:spacing w:line="360" w:lineRule="auto"/>
              <w:jc w:val="center"/>
              <w:rPr>
                <w:rFonts w:ascii="宋体" w:hAnsi="宋体" w:cs="宋体"/>
                <w:sz w:val="24"/>
              </w:rPr>
            </w:pPr>
            <w:r>
              <w:rPr>
                <w:rFonts w:ascii="宋体" w:hAnsi="宋体" w:cs="宋体"/>
                <w:spacing w:val="6"/>
                <w:sz w:val="24"/>
              </w:rPr>
              <w:t>竞争性磋商有效</w:t>
            </w:r>
            <w:r>
              <w:rPr>
                <w:rFonts w:ascii="宋体" w:hAnsi="宋体" w:cs="宋体"/>
                <w:sz w:val="24"/>
              </w:rPr>
              <w:t>期</w:t>
            </w:r>
          </w:p>
        </w:tc>
        <w:tc>
          <w:tcPr>
            <w:tcW w:w="7043" w:type="dxa"/>
            <w:tcBorders>
              <w:top w:val="single" w:color="auto" w:sz="6" w:space="0"/>
              <w:left w:val="single" w:color="auto" w:sz="6" w:space="0"/>
              <w:bottom w:val="single" w:color="auto" w:sz="6" w:space="0"/>
              <w:right w:val="single" w:color="auto" w:sz="12" w:space="0"/>
            </w:tcBorders>
            <w:vAlign w:val="center"/>
          </w:tcPr>
          <w:p w14:paraId="4433CDC2">
            <w:pPr>
              <w:adjustRightInd w:val="0"/>
              <w:spacing w:line="360" w:lineRule="auto"/>
              <w:rPr>
                <w:rFonts w:ascii="宋体" w:hAnsi="宋体" w:cs="宋体"/>
                <w:spacing w:val="6"/>
                <w:sz w:val="24"/>
              </w:rPr>
            </w:pPr>
            <w:r>
              <w:rPr>
                <w:rFonts w:ascii="宋体" w:hAnsi="宋体" w:cs="宋体"/>
                <w:spacing w:val="6"/>
                <w:sz w:val="24"/>
                <w:u w:val="single"/>
              </w:rPr>
              <w:t>60</w:t>
            </w:r>
            <w:r>
              <w:rPr>
                <w:rFonts w:ascii="宋体" w:hAnsi="宋体" w:cs="宋体"/>
                <w:spacing w:val="6"/>
                <w:sz w:val="24"/>
              </w:rPr>
              <w:t>日历天(</w:t>
            </w:r>
            <w:r>
              <w:rPr>
                <w:rFonts w:hint="eastAsia" w:ascii="宋体" w:hAnsi="宋体" w:cs="宋体"/>
                <w:spacing w:val="-3"/>
                <w:sz w:val="24"/>
              </w:rPr>
              <w:t>指本次采购项目递交响应性文件截止之日起</w:t>
            </w:r>
            <w:r>
              <w:rPr>
                <w:rFonts w:ascii="宋体" w:hAnsi="宋体" w:cs="宋体"/>
                <w:spacing w:val="6"/>
                <w:sz w:val="24"/>
              </w:rPr>
              <w:t>)</w:t>
            </w:r>
          </w:p>
        </w:tc>
      </w:tr>
      <w:tr w14:paraId="407DF68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027" w:hRule="atLeast"/>
        </w:trPr>
        <w:tc>
          <w:tcPr>
            <w:tcW w:w="986" w:type="dxa"/>
            <w:tcBorders>
              <w:top w:val="single" w:color="auto" w:sz="6" w:space="0"/>
              <w:left w:val="single" w:color="auto" w:sz="12" w:space="0"/>
              <w:bottom w:val="single" w:color="auto" w:sz="6" w:space="0"/>
              <w:right w:val="single" w:color="auto" w:sz="6" w:space="0"/>
            </w:tcBorders>
            <w:vAlign w:val="center"/>
          </w:tcPr>
          <w:p w14:paraId="3F9C1AEA">
            <w:pPr>
              <w:adjustRightInd w:val="0"/>
              <w:spacing w:line="360" w:lineRule="auto"/>
              <w:jc w:val="center"/>
              <w:rPr>
                <w:rFonts w:ascii="宋体" w:hAnsi="宋体" w:cs="宋体"/>
                <w:spacing w:val="6"/>
                <w:sz w:val="24"/>
              </w:rPr>
            </w:pPr>
            <w:r>
              <w:rPr>
                <w:rFonts w:hint="eastAsia" w:ascii="宋体" w:hAnsi="宋体" w:cs="宋体"/>
                <w:spacing w:val="6"/>
                <w:sz w:val="24"/>
              </w:rPr>
              <w:t>30</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5687F76A">
            <w:pPr>
              <w:spacing w:line="400" w:lineRule="exact"/>
              <w:jc w:val="center"/>
              <w:rPr>
                <w:rFonts w:ascii="宋体" w:hAnsi="宋体" w:cs="宋体"/>
                <w:sz w:val="24"/>
              </w:rPr>
            </w:pPr>
            <w:r>
              <w:rPr>
                <w:rFonts w:hint="eastAsia" w:ascii="宋体" w:hAnsi="宋体" w:cs="宋体"/>
                <w:sz w:val="24"/>
              </w:rPr>
              <w:t>签字和（或）盖章要求</w:t>
            </w:r>
          </w:p>
        </w:tc>
        <w:tc>
          <w:tcPr>
            <w:tcW w:w="7043" w:type="dxa"/>
            <w:tcBorders>
              <w:top w:val="single" w:color="auto" w:sz="6" w:space="0"/>
              <w:left w:val="single" w:color="auto" w:sz="6" w:space="0"/>
              <w:bottom w:val="single" w:color="auto" w:sz="6" w:space="0"/>
              <w:right w:val="single" w:color="auto" w:sz="12" w:space="0"/>
            </w:tcBorders>
            <w:vAlign w:val="center"/>
          </w:tcPr>
          <w:p w14:paraId="096BEA8B">
            <w:pPr>
              <w:spacing w:line="400" w:lineRule="exact"/>
              <w:rPr>
                <w:rFonts w:ascii="宋体" w:hAnsi="宋体" w:cs="宋体"/>
                <w:sz w:val="24"/>
              </w:rPr>
            </w:pPr>
            <w:r>
              <w:rPr>
                <w:rFonts w:hint="eastAsia" w:ascii="宋体" w:hAnsi="宋体" w:cs="宋体"/>
                <w:sz w:val="24"/>
              </w:rPr>
              <w:t>电子化响应文件的签章：</w:t>
            </w:r>
          </w:p>
          <w:p w14:paraId="23A29EEC">
            <w:pPr>
              <w:spacing w:line="400" w:lineRule="exact"/>
              <w:rPr>
                <w:rFonts w:ascii="宋体" w:hAnsi="宋体" w:cs="宋体"/>
                <w:sz w:val="24"/>
              </w:rPr>
            </w:pPr>
            <w:r>
              <w:rPr>
                <w:rFonts w:hint="eastAsia" w:ascii="宋体" w:hAnsi="宋体" w:cs="宋体"/>
                <w:sz w:val="24"/>
              </w:rPr>
              <w:t>1、响应人在生成电子化响应文件后，应对电子化响应文件进行签章，未对电子化响应文件进行签章的视为无效文件。</w:t>
            </w:r>
          </w:p>
          <w:p w14:paraId="258B522E">
            <w:pPr>
              <w:spacing w:line="400" w:lineRule="exact"/>
              <w:rPr>
                <w:rFonts w:ascii="宋体" w:hAnsi="宋体" w:cs="宋体"/>
                <w:sz w:val="24"/>
              </w:rPr>
            </w:pPr>
            <w:r>
              <w:rPr>
                <w:rFonts w:hint="eastAsia" w:ascii="宋体" w:hAnsi="宋体" w:cs="宋体"/>
                <w:sz w:val="24"/>
              </w:rPr>
              <w:t>2、竞争性磋商文件中要求法定代表人或授权委托人盖章的，响应人在进行电子化响应文件签章时，以签盖法定代表人签章为准。</w:t>
            </w:r>
          </w:p>
          <w:p w14:paraId="38414B50">
            <w:pPr>
              <w:wordWrap w:val="0"/>
              <w:spacing w:line="400" w:lineRule="exact"/>
              <w:rPr>
                <w:rFonts w:ascii="宋体" w:hAnsi="宋体" w:cs="宋体"/>
                <w:sz w:val="24"/>
              </w:rPr>
            </w:pPr>
            <w:r>
              <w:rPr>
                <w:rFonts w:hint="eastAsia" w:ascii="宋体" w:hAnsi="宋体" w:cs="宋体"/>
                <w:sz w:val="24"/>
              </w:rPr>
              <w:t>3、电子化响应文件工具请点击</w:t>
            </w:r>
            <w:r>
              <w:rPr>
                <w:rFonts w:ascii="宋体" w:hAnsi="宋体" w:cs="宋体"/>
                <w:sz w:val="24"/>
              </w:rPr>
              <w:t>https://download.bqpoint.com/download/downloadlist.html?SoftTypeCode=06</w:t>
            </w:r>
            <w:r>
              <w:rPr>
                <w:rFonts w:hint="eastAsia" w:ascii="宋体" w:hAnsi="宋体" w:cs="宋体"/>
                <w:sz w:val="24"/>
              </w:rPr>
              <w:t>进行下载。</w:t>
            </w:r>
          </w:p>
        </w:tc>
      </w:tr>
      <w:tr w14:paraId="10231E9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67" w:hRule="atLeast"/>
        </w:trPr>
        <w:tc>
          <w:tcPr>
            <w:tcW w:w="986" w:type="dxa"/>
            <w:tcBorders>
              <w:top w:val="single" w:color="auto" w:sz="6" w:space="0"/>
              <w:left w:val="single" w:color="auto" w:sz="12" w:space="0"/>
              <w:bottom w:val="single" w:color="auto" w:sz="6" w:space="0"/>
              <w:right w:val="single" w:color="auto" w:sz="6" w:space="0"/>
            </w:tcBorders>
            <w:vAlign w:val="center"/>
          </w:tcPr>
          <w:p w14:paraId="5EDEC83E">
            <w:pPr>
              <w:adjustRightInd w:val="0"/>
              <w:spacing w:line="360" w:lineRule="auto"/>
              <w:jc w:val="center"/>
              <w:rPr>
                <w:rFonts w:ascii="宋体" w:hAnsi="宋体" w:cs="宋体"/>
                <w:spacing w:val="6"/>
                <w:sz w:val="24"/>
              </w:rPr>
            </w:pPr>
            <w:r>
              <w:rPr>
                <w:rFonts w:hint="eastAsia" w:ascii="宋体" w:hAnsi="宋体" w:cs="宋体"/>
                <w:spacing w:val="6"/>
                <w:sz w:val="24"/>
              </w:rPr>
              <w:t>31</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25D57F25">
            <w:pPr>
              <w:adjustRightInd w:val="0"/>
              <w:spacing w:line="360" w:lineRule="auto"/>
              <w:jc w:val="center"/>
              <w:rPr>
                <w:rFonts w:ascii="宋体" w:hAnsi="宋体" w:cs="宋体"/>
                <w:sz w:val="24"/>
              </w:rPr>
            </w:pPr>
            <w:r>
              <w:rPr>
                <w:rFonts w:ascii="宋体" w:hAnsi="宋体" w:cs="宋体"/>
                <w:sz w:val="24"/>
              </w:rPr>
              <w:t>竞争性磋商保证金</w:t>
            </w:r>
          </w:p>
        </w:tc>
        <w:tc>
          <w:tcPr>
            <w:tcW w:w="7043" w:type="dxa"/>
            <w:tcBorders>
              <w:top w:val="single" w:color="auto" w:sz="6" w:space="0"/>
              <w:left w:val="single" w:color="auto" w:sz="6" w:space="0"/>
              <w:bottom w:val="single" w:color="auto" w:sz="6" w:space="0"/>
              <w:right w:val="single" w:color="auto" w:sz="12" w:space="0"/>
            </w:tcBorders>
            <w:vAlign w:val="center"/>
          </w:tcPr>
          <w:p w14:paraId="0DC9C1A4">
            <w:pPr>
              <w:spacing w:line="360" w:lineRule="auto"/>
              <w:rPr>
                <w:rFonts w:ascii="宋体" w:hAnsi="宋体" w:cs="宋体"/>
                <w:spacing w:val="6"/>
                <w:sz w:val="24"/>
              </w:rPr>
            </w:pPr>
            <w:r>
              <w:rPr>
                <w:rFonts w:hint="eastAsia" w:ascii="宋体" w:hAnsi="宋体" w:cs="宋体"/>
                <w:spacing w:val="6"/>
                <w:sz w:val="24"/>
              </w:rPr>
              <w:t>按照《河南省财政厅关于优化政府采购营商环境有关问题的通知》（豫财购[2019]4号文）的要求本项目不再收取磋商保证金。</w:t>
            </w:r>
          </w:p>
        </w:tc>
      </w:tr>
      <w:tr w14:paraId="0D27E21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7" w:hRule="atLeast"/>
        </w:trPr>
        <w:tc>
          <w:tcPr>
            <w:tcW w:w="986" w:type="dxa"/>
            <w:tcBorders>
              <w:top w:val="single" w:color="auto" w:sz="6" w:space="0"/>
              <w:left w:val="single" w:color="auto" w:sz="12" w:space="0"/>
              <w:bottom w:val="single" w:color="auto" w:sz="6" w:space="0"/>
              <w:right w:val="single" w:color="auto" w:sz="6" w:space="0"/>
            </w:tcBorders>
            <w:vAlign w:val="center"/>
          </w:tcPr>
          <w:p w14:paraId="002CEE8C">
            <w:pPr>
              <w:adjustRightInd w:val="0"/>
              <w:spacing w:line="360" w:lineRule="auto"/>
              <w:jc w:val="center"/>
              <w:rPr>
                <w:rFonts w:ascii="宋体" w:hAnsi="宋体" w:cs="宋体"/>
                <w:spacing w:val="6"/>
                <w:sz w:val="24"/>
              </w:rPr>
            </w:pPr>
            <w:r>
              <w:rPr>
                <w:rFonts w:hint="eastAsia" w:ascii="宋体" w:hAnsi="宋体" w:cs="宋体"/>
                <w:spacing w:val="6"/>
                <w:sz w:val="24"/>
              </w:rPr>
              <w:t>32</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09AD9B84">
            <w:pPr>
              <w:spacing w:line="600" w:lineRule="exact"/>
              <w:jc w:val="center"/>
              <w:rPr>
                <w:rFonts w:ascii="宋体" w:hAnsi="宋体" w:cs="宋体"/>
                <w:spacing w:val="6"/>
                <w:sz w:val="24"/>
              </w:rPr>
            </w:pPr>
            <w:r>
              <w:rPr>
                <w:rFonts w:hint="eastAsia" w:ascii="宋体" w:hAnsi="宋体" w:cs="宋体"/>
                <w:spacing w:val="6"/>
                <w:sz w:val="24"/>
              </w:rPr>
              <w:t>履约保证金</w:t>
            </w:r>
          </w:p>
        </w:tc>
        <w:tc>
          <w:tcPr>
            <w:tcW w:w="7043" w:type="dxa"/>
            <w:tcBorders>
              <w:top w:val="single" w:color="auto" w:sz="6" w:space="0"/>
              <w:left w:val="single" w:color="auto" w:sz="6" w:space="0"/>
              <w:bottom w:val="single" w:color="auto" w:sz="6" w:space="0"/>
              <w:right w:val="single" w:color="auto" w:sz="12" w:space="0"/>
            </w:tcBorders>
            <w:vAlign w:val="center"/>
          </w:tcPr>
          <w:p w14:paraId="0DE9EBED">
            <w:pPr>
              <w:spacing w:line="600" w:lineRule="exact"/>
              <w:rPr>
                <w:rFonts w:ascii="宋体" w:hAnsi="宋体" w:cs="宋体"/>
                <w:sz w:val="24"/>
              </w:rPr>
            </w:pPr>
            <w:r>
              <w:rPr>
                <w:rFonts w:hint="eastAsia" w:ascii="宋体" w:hAnsi="宋体" w:cs="宋体"/>
                <w:sz w:val="24"/>
              </w:rPr>
              <w:t>不收取</w:t>
            </w:r>
          </w:p>
        </w:tc>
      </w:tr>
      <w:tr w14:paraId="7B8C6F9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67" w:hRule="atLeast"/>
        </w:trPr>
        <w:tc>
          <w:tcPr>
            <w:tcW w:w="986" w:type="dxa"/>
            <w:tcBorders>
              <w:top w:val="single" w:color="auto" w:sz="6" w:space="0"/>
              <w:left w:val="single" w:color="auto" w:sz="12" w:space="0"/>
              <w:bottom w:val="single" w:color="auto" w:sz="6" w:space="0"/>
              <w:right w:val="single" w:color="auto" w:sz="6" w:space="0"/>
            </w:tcBorders>
            <w:vAlign w:val="center"/>
          </w:tcPr>
          <w:p w14:paraId="798BEBF4">
            <w:pPr>
              <w:adjustRightInd w:val="0"/>
              <w:spacing w:line="360" w:lineRule="auto"/>
              <w:jc w:val="center"/>
              <w:rPr>
                <w:rFonts w:ascii="宋体" w:hAnsi="宋体" w:cs="宋体"/>
                <w:spacing w:val="6"/>
                <w:sz w:val="24"/>
              </w:rPr>
            </w:pPr>
            <w:r>
              <w:rPr>
                <w:rFonts w:hint="eastAsia" w:ascii="宋体" w:hAnsi="宋体" w:cs="宋体"/>
                <w:spacing w:val="6"/>
                <w:sz w:val="24"/>
              </w:rPr>
              <w:t>33</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769AB50C">
            <w:pPr>
              <w:adjustRightInd w:val="0"/>
              <w:spacing w:line="360" w:lineRule="auto"/>
              <w:rPr>
                <w:rFonts w:ascii="宋体" w:hAnsi="宋体" w:cs="宋体"/>
                <w:spacing w:val="6"/>
                <w:sz w:val="24"/>
              </w:rPr>
            </w:pPr>
            <w:r>
              <w:rPr>
                <w:rFonts w:ascii="宋体" w:hAnsi="宋体" w:cs="宋体"/>
                <w:spacing w:val="6"/>
                <w:sz w:val="24"/>
              </w:rPr>
              <w:t>竞争性磋商响应文件上传</w:t>
            </w:r>
          </w:p>
        </w:tc>
        <w:tc>
          <w:tcPr>
            <w:tcW w:w="7043" w:type="dxa"/>
            <w:tcBorders>
              <w:top w:val="single" w:color="auto" w:sz="6" w:space="0"/>
              <w:left w:val="single" w:color="auto" w:sz="6" w:space="0"/>
              <w:bottom w:val="single" w:color="auto" w:sz="6" w:space="0"/>
              <w:right w:val="single" w:color="auto" w:sz="12" w:space="0"/>
            </w:tcBorders>
            <w:vAlign w:val="center"/>
          </w:tcPr>
          <w:p w14:paraId="77B8DC4F">
            <w:pPr>
              <w:spacing w:line="360" w:lineRule="auto"/>
              <w:rPr>
                <w:rFonts w:ascii="宋体" w:hAnsi="宋体" w:cs="宋体"/>
                <w:spacing w:val="6"/>
                <w:sz w:val="24"/>
              </w:rPr>
            </w:pPr>
            <w:r>
              <w:rPr>
                <w:rFonts w:hint="eastAsia" w:ascii="宋体" w:hAnsi="宋体" w:cs="宋体"/>
                <w:spacing w:val="6"/>
                <w:sz w:val="24"/>
              </w:rPr>
              <w:t>用CA在电子平台上传电子响应文件</w:t>
            </w:r>
          </w:p>
        </w:tc>
      </w:tr>
      <w:tr w14:paraId="378D5F2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98" w:hRule="atLeast"/>
        </w:trPr>
        <w:tc>
          <w:tcPr>
            <w:tcW w:w="986" w:type="dxa"/>
            <w:tcBorders>
              <w:top w:val="single" w:color="auto" w:sz="6" w:space="0"/>
              <w:left w:val="single" w:color="auto" w:sz="12" w:space="0"/>
              <w:bottom w:val="single" w:color="auto" w:sz="6" w:space="0"/>
              <w:right w:val="single" w:color="auto" w:sz="6" w:space="0"/>
            </w:tcBorders>
            <w:vAlign w:val="center"/>
          </w:tcPr>
          <w:p w14:paraId="1FC92C73">
            <w:pPr>
              <w:adjustRightInd w:val="0"/>
              <w:spacing w:line="360" w:lineRule="auto"/>
              <w:jc w:val="center"/>
              <w:rPr>
                <w:rFonts w:ascii="宋体" w:hAnsi="宋体" w:cs="宋体"/>
                <w:spacing w:val="6"/>
                <w:sz w:val="24"/>
              </w:rPr>
            </w:pPr>
            <w:r>
              <w:rPr>
                <w:rFonts w:hint="eastAsia" w:ascii="宋体" w:hAnsi="宋体" w:cs="宋体"/>
                <w:spacing w:val="6"/>
                <w:sz w:val="24"/>
              </w:rPr>
              <w:t>34</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24F0509B">
            <w:pPr>
              <w:adjustRightInd w:val="0"/>
              <w:spacing w:line="360" w:lineRule="auto"/>
              <w:jc w:val="center"/>
              <w:rPr>
                <w:rFonts w:ascii="宋体" w:hAnsi="宋体" w:cs="宋体"/>
                <w:spacing w:val="-10"/>
                <w:sz w:val="24"/>
              </w:rPr>
            </w:pPr>
            <w:r>
              <w:rPr>
                <w:rFonts w:ascii="宋体" w:hAnsi="宋体" w:cs="宋体"/>
                <w:spacing w:val="-10"/>
                <w:sz w:val="24"/>
              </w:rPr>
              <w:t>磋商</w:t>
            </w:r>
            <w:r>
              <w:rPr>
                <w:rFonts w:hint="eastAsia" w:ascii="宋体" w:hAnsi="宋体" w:cs="宋体"/>
                <w:spacing w:val="-10"/>
                <w:sz w:val="24"/>
              </w:rPr>
              <w:t>文件递交截止时间</w:t>
            </w:r>
          </w:p>
        </w:tc>
        <w:tc>
          <w:tcPr>
            <w:tcW w:w="7043" w:type="dxa"/>
            <w:tcBorders>
              <w:top w:val="single" w:color="auto" w:sz="6" w:space="0"/>
              <w:left w:val="single" w:color="auto" w:sz="6" w:space="0"/>
              <w:bottom w:val="single" w:color="auto" w:sz="6" w:space="0"/>
              <w:right w:val="single" w:color="auto" w:sz="12" w:space="0"/>
            </w:tcBorders>
            <w:vAlign w:val="center"/>
          </w:tcPr>
          <w:p w14:paraId="239EA457">
            <w:pPr>
              <w:spacing w:line="360" w:lineRule="auto"/>
              <w:rPr>
                <w:rFonts w:ascii="宋体" w:hAnsi="宋体" w:cs="宋体"/>
                <w:spacing w:val="6"/>
                <w:sz w:val="24"/>
              </w:rPr>
            </w:pPr>
            <w:r>
              <w:rPr>
                <w:rFonts w:hint="eastAsia" w:ascii="宋体" w:hAnsi="宋体" w:cs="宋体"/>
                <w:spacing w:val="6"/>
                <w:sz w:val="24"/>
              </w:rPr>
              <w:t>具体详见公告部分</w:t>
            </w:r>
          </w:p>
        </w:tc>
      </w:tr>
      <w:tr w14:paraId="1676C29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66" w:hRule="atLeast"/>
        </w:trPr>
        <w:tc>
          <w:tcPr>
            <w:tcW w:w="986" w:type="dxa"/>
            <w:tcBorders>
              <w:top w:val="single" w:color="auto" w:sz="6" w:space="0"/>
              <w:left w:val="single" w:color="auto" w:sz="12" w:space="0"/>
              <w:bottom w:val="single" w:color="auto" w:sz="6" w:space="0"/>
              <w:right w:val="single" w:color="auto" w:sz="6" w:space="0"/>
            </w:tcBorders>
            <w:vAlign w:val="center"/>
          </w:tcPr>
          <w:p w14:paraId="5628CCD6">
            <w:pPr>
              <w:adjustRightInd w:val="0"/>
              <w:spacing w:line="360" w:lineRule="auto"/>
              <w:jc w:val="center"/>
              <w:rPr>
                <w:rFonts w:ascii="宋体" w:hAnsi="宋体" w:cs="宋体"/>
                <w:spacing w:val="6"/>
                <w:sz w:val="24"/>
              </w:rPr>
            </w:pPr>
            <w:r>
              <w:rPr>
                <w:rFonts w:hint="eastAsia" w:ascii="宋体" w:hAnsi="宋体" w:cs="宋体"/>
                <w:spacing w:val="6"/>
                <w:sz w:val="24"/>
              </w:rPr>
              <w:t>35</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2D8F69BC">
            <w:pPr>
              <w:spacing w:line="360" w:lineRule="auto"/>
              <w:jc w:val="center"/>
              <w:rPr>
                <w:rFonts w:ascii="宋体" w:hAnsi="宋体" w:cs="宋体"/>
                <w:spacing w:val="6"/>
                <w:sz w:val="24"/>
              </w:rPr>
            </w:pPr>
            <w:r>
              <w:rPr>
                <w:rFonts w:ascii="宋体" w:hAnsi="宋体" w:cs="宋体"/>
                <w:spacing w:val="6"/>
                <w:sz w:val="24"/>
              </w:rPr>
              <w:t>磋商小组的组建</w:t>
            </w:r>
          </w:p>
        </w:tc>
        <w:tc>
          <w:tcPr>
            <w:tcW w:w="7043" w:type="dxa"/>
            <w:tcBorders>
              <w:top w:val="single" w:color="auto" w:sz="6" w:space="0"/>
              <w:left w:val="single" w:color="auto" w:sz="6" w:space="0"/>
              <w:bottom w:val="single" w:color="auto" w:sz="6" w:space="0"/>
              <w:right w:val="single" w:color="auto" w:sz="12" w:space="0"/>
            </w:tcBorders>
            <w:vAlign w:val="center"/>
          </w:tcPr>
          <w:p w14:paraId="3907E03B">
            <w:pPr>
              <w:spacing w:line="360" w:lineRule="auto"/>
              <w:rPr>
                <w:rFonts w:ascii="宋体" w:hAnsi="宋体" w:cs="宋体"/>
                <w:spacing w:val="6"/>
                <w:sz w:val="24"/>
              </w:rPr>
            </w:pPr>
            <w:r>
              <w:rPr>
                <w:rFonts w:ascii="宋体" w:hAnsi="宋体" w:cs="宋体"/>
                <w:spacing w:val="6"/>
                <w:sz w:val="24"/>
              </w:rPr>
              <w:t>磋商小组成员为3人，采购人代表1人，其余专家2人</w:t>
            </w:r>
            <w:r>
              <w:rPr>
                <w:rFonts w:hint="eastAsia" w:ascii="宋体" w:hAnsi="宋体" w:cs="宋体"/>
                <w:spacing w:val="6"/>
                <w:sz w:val="24"/>
              </w:rPr>
              <w:t>，开标后从相关专家库中随机抽取。</w:t>
            </w:r>
            <w:r>
              <w:rPr>
                <w:rFonts w:hint="eastAsia" w:ascii="宋体" w:hAnsi="宋体" w:cs="_5b8b_4f53"/>
                <w:color w:val="000000"/>
                <w:kern w:val="0"/>
                <w:sz w:val="24"/>
              </w:rPr>
              <w:t>根据省政府关于评标专家的有关管理规定，招标人代表（业主代表）无评标劳务费。</w:t>
            </w:r>
          </w:p>
        </w:tc>
      </w:tr>
      <w:tr w14:paraId="53CCB66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67" w:hRule="atLeast"/>
        </w:trPr>
        <w:tc>
          <w:tcPr>
            <w:tcW w:w="986" w:type="dxa"/>
            <w:tcBorders>
              <w:top w:val="single" w:color="auto" w:sz="6" w:space="0"/>
              <w:left w:val="single" w:color="auto" w:sz="12" w:space="0"/>
              <w:bottom w:val="single" w:color="auto" w:sz="6" w:space="0"/>
              <w:right w:val="single" w:color="auto" w:sz="6" w:space="0"/>
            </w:tcBorders>
            <w:vAlign w:val="center"/>
          </w:tcPr>
          <w:p w14:paraId="27170732">
            <w:pPr>
              <w:adjustRightInd w:val="0"/>
              <w:spacing w:line="360" w:lineRule="auto"/>
              <w:jc w:val="center"/>
              <w:rPr>
                <w:rFonts w:ascii="宋体" w:hAnsi="宋体" w:cs="宋体"/>
                <w:spacing w:val="6"/>
                <w:sz w:val="24"/>
              </w:rPr>
            </w:pPr>
            <w:r>
              <w:rPr>
                <w:rFonts w:hint="eastAsia" w:ascii="宋体" w:hAnsi="宋体" w:cs="宋体"/>
                <w:spacing w:val="6"/>
                <w:sz w:val="24"/>
              </w:rPr>
              <w:t>36</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7A7F64FA">
            <w:pPr>
              <w:spacing w:line="360" w:lineRule="auto"/>
              <w:jc w:val="center"/>
              <w:rPr>
                <w:rFonts w:ascii="宋体" w:hAnsi="宋体" w:cs="宋体"/>
                <w:spacing w:val="6"/>
                <w:sz w:val="24"/>
              </w:rPr>
            </w:pPr>
            <w:r>
              <w:rPr>
                <w:rFonts w:hint="eastAsia" w:ascii="宋体" w:hAnsi="宋体" w:cs="宋体"/>
                <w:spacing w:val="6"/>
                <w:sz w:val="24"/>
              </w:rPr>
              <w:t>是否授权磋商小组确定中标人</w:t>
            </w:r>
          </w:p>
        </w:tc>
        <w:tc>
          <w:tcPr>
            <w:tcW w:w="7043" w:type="dxa"/>
            <w:tcBorders>
              <w:top w:val="single" w:color="auto" w:sz="6" w:space="0"/>
              <w:left w:val="single" w:color="auto" w:sz="6" w:space="0"/>
              <w:bottom w:val="single" w:color="auto" w:sz="6" w:space="0"/>
              <w:right w:val="single" w:color="auto" w:sz="12" w:space="0"/>
            </w:tcBorders>
            <w:vAlign w:val="center"/>
          </w:tcPr>
          <w:p w14:paraId="6A1BCB20">
            <w:pPr>
              <w:spacing w:line="360" w:lineRule="auto"/>
              <w:rPr>
                <w:rFonts w:ascii="宋体" w:hAnsi="宋体" w:cs="宋体"/>
                <w:spacing w:val="6"/>
                <w:sz w:val="24"/>
              </w:rPr>
            </w:pPr>
            <w:r>
              <w:rPr>
                <w:rFonts w:hint="eastAsia" w:ascii="宋体" w:hAnsi="宋体" w:cs="宋体"/>
                <w:spacing w:val="6"/>
                <w:sz w:val="24"/>
              </w:rPr>
              <w:t>否，磋商小组推选三名成交候选人</w:t>
            </w:r>
          </w:p>
        </w:tc>
      </w:tr>
      <w:tr w14:paraId="5BC64EB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664" w:hRule="atLeast"/>
        </w:trPr>
        <w:tc>
          <w:tcPr>
            <w:tcW w:w="986" w:type="dxa"/>
            <w:tcBorders>
              <w:top w:val="single" w:color="auto" w:sz="6" w:space="0"/>
              <w:left w:val="single" w:color="auto" w:sz="12" w:space="0"/>
              <w:bottom w:val="single" w:color="auto" w:sz="6" w:space="0"/>
              <w:right w:val="single" w:color="auto" w:sz="6" w:space="0"/>
            </w:tcBorders>
            <w:vAlign w:val="center"/>
          </w:tcPr>
          <w:p w14:paraId="226AB3D4">
            <w:pPr>
              <w:adjustRightInd w:val="0"/>
              <w:spacing w:line="360" w:lineRule="auto"/>
              <w:jc w:val="center"/>
              <w:rPr>
                <w:rFonts w:ascii="宋体" w:hAnsi="宋体" w:cs="宋体"/>
                <w:spacing w:val="6"/>
                <w:sz w:val="24"/>
              </w:rPr>
            </w:pPr>
            <w:r>
              <w:rPr>
                <w:rFonts w:hint="eastAsia" w:ascii="宋体" w:hAnsi="宋体" w:cs="宋体"/>
                <w:spacing w:val="6"/>
                <w:sz w:val="24"/>
              </w:rPr>
              <w:t>37</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1E9D0938">
            <w:pPr>
              <w:spacing w:line="360" w:lineRule="auto"/>
              <w:rPr>
                <w:rFonts w:ascii="宋体" w:hAnsi="宋体" w:cs="宋体"/>
                <w:spacing w:val="6"/>
                <w:sz w:val="24"/>
              </w:rPr>
            </w:pPr>
            <w:r>
              <w:rPr>
                <w:rFonts w:hint="eastAsia" w:ascii="宋体" w:hAnsi="宋体" w:cs="宋体"/>
                <w:spacing w:val="6"/>
                <w:sz w:val="24"/>
              </w:rPr>
              <w:t>磋商</w:t>
            </w:r>
            <w:r>
              <w:rPr>
                <w:rFonts w:ascii="宋体" w:hAnsi="宋体" w:cs="宋体"/>
                <w:spacing w:val="6"/>
                <w:sz w:val="24"/>
              </w:rPr>
              <w:t>标</w:t>
            </w:r>
          </w:p>
          <w:p w14:paraId="7B6BC2B9">
            <w:pPr>
              <w:spacing w:line="360" w:lineRule="auto"/>
              <w:rPr>
                <w:rFonts w:ascii="宋体" w:hAnsi="宋体" w:cs="宋体"/>
                <w:spacing w:val="6"/>
                <w:sz w:val="24"/>
              </w:rPr>
            </w:pPr>
            <w:r>
              <w:rPr>
                <w:rFonts w:ascii="宋体" w:hAnsi="宋体" w:cs="宋体"/>
                <w:spacing w:val="6"/>
                <w:sz w:val="24"/>
              </w:rPr>
              <w:t>准及方法</w:t>
            </w:r>
          </w:p>
        </w:tc>
        <w:tc>
          <w:tcPr>
            <w:tcW w:w="7043" w:type="dxa"/>
            <w:tcBorders>
              <w:top w:val="single" w:color="auto" w:sz="6" w:space="0"/>
              <w:left w:val="single" w:color="auto" w:sz="6" w:space="0"/>
              <w:bottom w:val="single" w:color="auto" w:sz="6" w:space="0"/>
              <w:right w:val="single" w:color="auto" w:sz="12" w:space="0"/>
            </w:tcBorders>
            <w:vAlign w:val="center"/>
          </w:tcPr>
          <w:p w14:paraId="6D46B6E9">
            <w:pPr>
              <w:spacing w:line="360" w:lineRule="auto"/>
              <w:rPr>
                <w:rFonts w:ascii="宋体" w:hAnsi="宋体" w:cs="宋体"/>
                <w:spacing w:val="6"/>
                <w:sz w:val="24"/>
              </w:rPr>
            </w:pPr>
            <w:r>
              <w:rPr>
                <w:rFonts w:ascii="宋体" w:hAnsi="宋体" w:cs="宋体"/>
                <w:spacing w:val="6"/>
                <w:sz w:val="24"/>
              </w:rPr>
              <w:t>评定办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r>
              <w:rPr>
                <w:rFonts w:hint="eastAsia" w:ascii="宋体" w:hAnsi="宋体" w:cs="宋体"/>
                <w:spacing w:val="6"/>
                <w:sz w:val="24"/>
              </w:rPr>
              <w:t>（且推荐候选人为三名）</w:t>
            </w:r>
          </w:p>
        </w:tc>
      </w:tr>
      <w:tr w14:paraId="299D223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6" w:hRule="atLeast"/>
        </w:trPr>
        <w:tc>
          <w:tcPr>
            <w:tcW w:w="986" w:type="dxa"/>
            <w:tcBorders>
              <w:top w:val="single" w:color="auto" w:sz="6" w:space="0"/>
              <w:left w:val="single" w:color="auto" w:sz="12" w:space="0"/>
              <w:bottom w:val="single" w:color="auto" w:sz="6" w:space="0"/>
              <w:right w:val="single" w:color="auto" w:sz="6" w:space="0"/>
            </w:tcBorders>
            <w:vAlign w:val="center"/>
          </w:tcPr>
          <w:p w14:paraId="7E71B0CD">
            <w:pPr>
              <w:adjustRightInd w:val="0"/>
              <w:spacing w:line="360" w:lineRule="auto"/>
              <w:jc w:val="center"/>
              <w:rPr>
                <w:rFonts w:ascii="宋体" w:hAnsi="宋体" w:cs="宋体"/>
                <w:spacing w:val="6"/>
                <w:sz w:val="24"/>
              </w:rPr>
            </w:pPr>
            <w:r>
              <w:rPr>
                <w:rFonts w:hint="eastAsia" w:ascii="宋体" w:hAnsi="宋体" w:cs="宋体"/>
                <w:spacing w:val="6"/>
                <w:sz w:val="24"/>
              </w:rPr>
              <w:t>38</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198547F8">
            <w:pPr>
              <w:spacing w:line="360" w:lineRule="auto"/>
              <w:rPr>
                <w:rFonts w:ascii="宋体" w:hAnsi="宋体" w:cs="宋体"/>
                <w:spacing w:val="6"/>
                <w:sz w:val="24"/>
              </w:rPr>
            </w:pPr>
            <w:r>
              <w:rPr>
                <w:rFonts w:hint="eastAsia" w:ascii="宋体" w:hAnsi="宋体" w:cs="宋体"/>
                <w:spacing w:val="6"/>
                <w:sz w:val="24"/>
              </w:rPr>
              <w:t>履约保证金</w:t>
            </w:r>
          </w:p>
        </w:tc>
        <w:tc>
          <w:tcPr>
            <w:tcW w:w="7043" w:type="dxa"/>
            <w:tcBorders>
              <w:top w:val="single" w:color="auto" w:sz="6" w:space="0"/>
              <w:left w:val="single" w:color="auto" w:sz="6" w:space="0"/>
              <w:bottom w:val="single" w:color="auto" w:sz="6" w:space="0"/>
              <w:right w:val="single" w:color="auto" w:sz="12" w:space="0"/>
            </w:tcBorders>
            <w:vAlign w:val="center"/>
          </w:tcPr>
          <w:p w14:paraId="357A7045">
            <w:pPr>
              <w:spacing w:line="360" w:lineRule="auto"/>
              <w:rPr>
                <w:rFonts w:ascii="宋体" w:hAnsi="宋体" w:cs="宋体"/>
                <w:spacing w:val="6"/>
                <w:sz w:val="24"/>
              </w:rPr>
            </w:pPr>
            <w:r>
              <w:rPr>
                <w:rFonts w:hint="eastAsia" w:ascii="宋体" w:hAnsi="宋体" w:cs="宋体"/>
                <w:spacing w:val="6"/>
                <w:sz w:val="24"/>
              </w:rPr>
              <w:t>不收取</w:t>
            </w:r>
          </w:p>
        </w:tc>
      </w:tr>
      <w:tr w14:paraId="28D1004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6" w:hRule="atLeast"/>
        </w:trPr>
        <w:tc>
          <w:tcPr>
            <w:tcW w:w="986" w:type="dxa"/>
            <w:tcBorders>
              <w:top w:val="single" w:color="auto" w:sz="6" w:space="0"/>
              <w:left w:val="single" w:color="auto" w:sz="12" w:space="0"/>
              <w:bottom w:val="single" w:color="auto" w:sz="6" w:space="0"/>
              <w:right w:val="single" w:color="auto" w:sz="6" w:space="0"/>
            </w:tcBorders>
            <w:vAlign w:val="center"/>
          </w:tcPr>
          <w:p w14:paraId="22DB55E0">
            <w:pPr>
              <w:adjustRightInd w:val="0"/>
              <w:spacing w:line="360" w:lineRule="auto"/>
              <w:jc w:val="center"/>
              <w:rPr>
                <w:rFonts w:ascii="宋体" w:hAnsi="宋体" w:cs="宋体"/>
                <w:spacing w:val="6"/>
                <w:sz w:val="24"/>
              </w:rPr>
            </w:pPr>
            <w:r>
              <w:rPr>
                <w:rFonts w:hint="eastAsia" w:ascii="宋体" w:hAnsi="宋体" w:cs="宋体"/>
                <w:spacing w:val="6"/>
                <w:sz w:val="24"/>
              </w:rPr>
              <w:t>39</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7AFDCAED">
            <w:pPr>
              <w:spacing w:line="360" w:lineRule="auto"/>
              <w:rPr>
                <w:rFonts w:ascii="宋体" w:hAnsi="宋体" w:cs="宋体"/>
                <w:spacing w:val="6"/>
                <w:sz w:val="24"/>
              </w:rPr>
            </w:pPr>
            <w:r>
              <w:rPr>
                <w:rFonts w:hint="eastAsia" w:ascii="宋体" w:hAnsi="宋体" w:cs="宋体"/>
                <w:spacing w:val="6"/>
                <w:sz w:val="24"/>
              </w:rPr>
              <w:t>付款方式</w:t>
            </w:r>
          </w:p>
        </w:tc>
        <w:tc>
          <w:tcPr>
            <w:tcW w:w="7043" w:type="dxa"/>
            <w:tcBorders>
              <w:top w:val="single" w:color="auto" w:sz="6" w:space="0"/>
              <w:left w:val="single" w:color="auto" w:sz="6" w:space="0"/>
              <w:bottom w:val="single" w:color="auto" w:sz="6" w:space="0"/>
              <w:right w:val="single" w:color="auto" w:sz="12" w:space="0"/>
            </w:tcBorders>
            <w:vAlign w:val="center"/>
          </w:tcPr>
          <w:p w14:paraId="2168B541">
            <w:pPr>
              <w:spacing w:line="360" w:lineRule="auto"/>
              <w:rPr>
                <w:rFonts w:ascii="宋体" w:hAnsi="宋体" w:cs="宋体"/>
                <w:spacing w:val="6"/>
                <w:sz w:val="24"/>
              </w:rPr>
            </w:pPr>
            <w:r>
              <w:rPr>
                <w:rFonts w:hint="eastAsia" w:ascii="宋体" w:hAnsi="宋体" w:cs="宋体"/>
                <w:spacing w:val="6"/>
                <w:sz w:val="24"/>
              </w:rPr>
              <w:t>以《中华人民共和国民法典》等相关法律法规为准，甲乙双方协商确定。</w:t>
            </w:r>
          </w:p>
        </w:tc>
      </w:tr>
      <w:tr w14:paraId="37083D6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67" w:hRule="atLeast"/>
        </w:trPr>
        <w:tc>
          <w:tcPr>
            <w:tcW w:w="986" w:type="dxa"/>
            <w:tcBorders>
              <w:top w:val="single" w:color="auto" w:sz="6" w:space="0"/>
              <w:left w:val="single" w:color="auto" w:sz="12" w:space="0"/>
              <w:bottom w:val="single" w:color="auto" w:sz="6" w:space="0"/>
              <w:right w:val="single" w:color="auto" w:sz="6" w:space="0"/>
            </w:tcBorders>
            <w:vAlign w:val="center"/>
          </w:tcPr>
          <w:p w14:paraId="46AC676B">
            <w:pPr>
              <w:adjustRightInd w:val="0"/>
              <w:spacing w:line="360" w:lineRule="auto"/>
              <w:jc w:val="center"/>
              <w:rPr>
                <w:rFonts w:ascii="宋体" w:hAnsi="宋体" w:cs="宋体"/>
                <w:spacing w:val="6"/>
                <w:sz w:val="24"/>
              </w:rPr>
            </w:pPr>
            <w:r>
              <w:rPr>
                <w:rFonts w:hint="eastAsia" w:ascii="宋体" w:hAnsi="宋体" w:cs="宋体"/>
                <w:spacing w:val="6"/>
                <w:sz w:val="24"/>
              </w:rPr>
              <w:t>40</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716DE474">
            <w:pPr>
              <w:spacing w:line="360" w:lineRule="auto"/>
              <w:jc w:val="center"/>
              <w:rPr>
                <w:rFonts w:ascii="宋体" w:hAnsi="宋体" w:cs="宋体"/>
                <w:spacing w:val="6"/>
                <w:sz w:val="24"/>
              </w:rPr>
            </w:pPr>
            <w:r>
              <w:rPr>
                <w:rFonts w:hint="eastAsia" w:ascii="宋体" w:hAnsi="宋体" w:cs="宋体"/>
                <w:spacing w:val="6"/>
                <w:sz w:val="24"/>
              </w:rPr>
              <w:t>其他事项</w:t>
            </w:r>
          </w:p>
        </w:tc>
        <w:tc>
          <w:tcPr>
            <w:tcW w:w="7043" w:type="dxa"/>
            <w:tcBorders>
              <w:top w:val="single" w:color="auto" w:sz="6" w:space="0"/>
              <w:left w:val="single" w:color="auto" w:sz="6" w:space="0"/>
              <w:bottom w:val="single" w:color="auto" w:sz="6" w:space="0"/>
              <w:right w:val="single" w:color="auto" w:sz="12" w:space="0"/>
            </w:tcBorders>
            <w:vAlign w:val="center"/>
          </w:tcPr>
          <w:p w14:paraId="122BF373">
            <w:pPr>
              <w:spacing w:line="360" w:lineRule="auto"/>
              <w:rPr>
                <w:rFonts w:ascii="宋体" w:hAnsi="宋体" w:cs="宋体"/>
                <w:sz w:val="24"/>
              </w:rPr>
            </w:pPr>
            <w:r>
              <w:rPr>
                <w:rFonts w:hint="eastAsia" w:ascii="宋体" w:hAnsi="宋体" w:cs="宋体"/>
                <w:sz w:val="24"/>
              </w:rPr>
              <w:t>电子化响应文件应在投标截止时间前成功上传至三门峡市公共资源电子化交易系统。至递交截止时间止，仍未上传成功的电子化响应文件，将不予接受。</w:t>
            </w:r>
          </w:p>
        </w:tc>
      </w:tr>
      <w:tr w14:paraId="4ECEC9E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979" w:hRule="atLeast"/>
        </w:trPr>
        <w:tc>
          <w:tcPr>
            <w:tcW w:w="986" w:type="dxa"/>
            <w:tcBorders>
              <w:top w:val="single" w:color="auto" w:sz="6" w:space="0"/>
              <w:left w:val="single" w:color="auto" w:sz="12" w:space="0"/>
              <w:bottom w:val="single" w:color="auto" w:sz="6" w:space="0"/>
              <w:right w:val="single" w:color="auto" w:sz="6" w:space="0"/>
            </w:tcBorders>
            <w:vAlign w:val="center"/>
          </w:tcPr>
          <w:p w14:paraId="43F52EFC">
            <w:pPr>
              <w:adjustRightInd w:val="0"/>
              <w:spacing w:line="360" w:lineRule="auto"/>
              <w:jc w:val="center"/>
              <w:rPr>
                <w:rFonts w:ascii="宋体" w:hAnsi="宋体" w:cs="宋体"/>
                <w:spacing w:val="6"/>
                <w:sz w:val="24"/>
              </w:rPr>
            </w:pPr>
            <w:r>
              <w:rPr>
                <w:rFonts w:hint="eastAsia" w:ascii="宋体" w:hAnsi="宋体" w:cs="宋体"/>
                <w:spacing w:val="6"/>
                <w:sz w:val="24"/>
              </w:rPr>
              <w:t xml:space="preserve"> 41</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7118D708">
            <w:pPr>
              <w:spacing w:line="360" w:lineRule="auto"/>
              <w:rPr>
                <w:rFonts w:ascii="宋体" w:hAnsi="宋体" w:cs="宋体"/>
                <w:spacing w:val="6"/>
                <w:sz w:val="24"/>
              </w:rPr>
            </w:pPr>
            <w:r>
              <w:rPr>
                <w:rFonts w:ascii="宋体" w:hAnsi="宋体" w:cs="宋体"/>
                <w:spacing w:val="6"/>
                <w:sz w:val="24"/>
              </w:rPr>
              <w:t>代理服务费</w:t>
            </w:r>
          </w:p>
        </w:tc>
        <w:tc>
          <w:tcPr>
            <w:tcW w:w="7043" w:type="dxa"/>
            <w:tcBorders>
              <w:top w:val="single" w:color="auto" w:sz="6" w:space="0"/>
              <w:left w:val="single" w:color="auto" w:sz="6" w:space="0"/>
              <w:bottom w:val="single" w:color="auto" w:sz="6" w:space="0"/>
              <w:right w:val="single" w:color="auto" w:sz="12" w:space="0"/>
            </w:tcBorders>
            <w:vAlign w:val="center"/>
          </w:tcPr>
          <w:p w14:paraId="3A5AD263">
            <w:pPr>
              <w:spacing w:line="360" w:lineRule="auto"/>
              <w:rPr>
                <w:rFonts w:hint="eastAsia" w:ascii="宋体" w:hAnsi="宋体" w:eastAsia="宋体" w:cs="宋体"/>
                <w:sz w:val="24"/>
              </w:rPr>
            </w:pPr>
            <w:r>
              <w:rPr>
                <w:rFonts w:hint="eastAsia" w:ascii="宋体" w:hAnsi="宋体" w:cs="宋体"/>
                <w:spacing w:val="6"/>
                <w:sz w:val="24"/>
              </w:rPr>
              <w:t>1</w:t>
            </w:r>
            <w:r>
              <w:rPr>
                <w:rFonts w:hint="eastAsia" w:ascii="宋体" w:hAnsi="宋体" w:eastAsia="宋体" w:cs="宋体"/>
                <w:sz w:val="24"/>
              </w:rPr>
              <w:t>.招标代理服务收费参照豫招协[2023]002号河南省招标投标协会关于印发《河南省招标代理服务收费指导意见》规定的收费标准收取中标代理服务费，领取中标通知书时由中标人一次性支付。</w:t>
            </w:r>
          </w:p>
          <w:p w14:paraId="0323A123">
            <w:pPr>
              <w:spacing w:line="360" w:lineRule="auto"/>
              <w:rPr>
                <w:rFonts w:hint="eastAsia" w:ascii="宋体" w:hAnsi="宋体" w:eastAsia="宋体" w:cs="宋体"/>
                <w:sz w:val="24"/>
              </w:rPr>
            </w:pPr>
            <w:r>
              <w:rPr>
                <w:rFonts w:hint="eastAsia" w:ascii="宋体" w:hAnsi="宋体" w:eastAsia="宋体" w:cs="宋体"/>
                <w:sz w:val="24"/>
              </w:rPr>
              <w:t>2.招标代理服务收费按差额定率累进法计算。</w:t>
            </w:r>
          </w:p>
          <w:p w14:paraId="07A6AF18">
            <w:pPr>
              <w:spacing w:line="360" w:lineRule="auto"/>
              <w:rPr>
                <w:rFonts w:ascii="宋体" w:hAnsi="宋体" w:cs="宋体"/>
                <w:spacing w:val="6"/>
                <w:sz w:val="24"/>
              </w:rPr>
            </w:pPr>
            <w:r>
              <w:rPr>
                <w:rFonts w:hint="eastAsia" w:ascii="宋体" w:hAnsi="宋体" w:eastAsia="宋体" w:cs="宋体"/>
                <w:sz w:val="24"/>
              </w:rPr>
              <w:t>3.中标供应商在领取中标通知书时，须提供投标文件（上传稿）纸质资料叁套，需加盖单位公章，胶装成册。</w:t>
            </w:r>
          </w:p>
        </w:tc>
      </w:tr>
      <w:tr w14:paraId="7DDAF5A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71" w:hRule="atLeast"/>
        </w:trPr>
        <w:tc>
          <w:tcPr>
            <w:tcW w:w="986" w:type="dxa"/>
            <w:tcBorders>
              <w:top w:val="single" w:color="auto" w:sz="6" w:space="0"/>
              <w:left w:val="single" w:color="auto" w:sz="12" w:space="0"/>
              <w:bottom w:val="single" w:color="auto" w:sz="6" w:space="0"/>
              <w:right w:val="single" w:color="auto" w:sz="6" w:space="0"/>
            </w:tcBorders>
            <w:vAlign w:val="center"/>
          </w:tcPr>
          <w:p w14:paraId="0809A673">
            <w:pPr>
              <w:adjustRightInd w:val="0"/>
              <w:spacing w:line="360" w:lineRule="auto"/>
              <w:jc w:val="center"/>
              <w:rPr>
                <w:rFonts w:ascii="宋体" w:hAnsi="宋体" w:cs="宋体"/>
                <w:spacing w:val="6"/>
                <w:sz w:val="24"/>
              </w:rPr>
            </w:pPr>
            <w:r>
              <w:rPr>
                <w:rFonts w:hint="eastAsia" w:ascii="宋体" w:hAnsi="宋体" w:cs="宋体"/>
                <w:spacing w:val="6"/>
                <w:sz w:val="24"/>
              </w:rPr>
              <w:t>42</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02DCA444">
            <w:pPr>
              <w:spacing w:line="400" w:lineRule="exact"/>
              <w:jc w:val="center"/>
              <w:rPr>
                <w:rFonts w:ascii="宋体" w:hAnsi="宋体" w:cs="宋体"/>
                <w:spacing w:val="6"/>
                <w:sz w:val="24"/>
              </w:rPr>
            </w:pPr>
            <w:r>
              <w:rPr>
                <w:rFonts w:hint="eastAsia" w:ascii="宋体" w:hAnsi="宋体" w:cs="宋体"/>
                <w:sz w:val="24"/>
              </w:rPr>
              <w:t>竞争性磋商文件的解释</w:t>
            </w:r>
          </w:p>
        </w:tc>
        <w:tc>
          <w:tcPr>
            <w:tcW w:w="7043" w:type="dxa"/>
            <w:tcBorders>
              <w:top w:val="single" w:color="auto" w:sz="6" w:space="0"/>
              <w:left w:val="single" w:color="auto" w:sz="6" w:space="0"/>
              <w:bottom w:val="single" w:color="auto" w:sz="6" w:space="0"/>
              <w:right w:val="single" w:color="auto" w:sz="12" w:space="0"/>
            </w:tcBorders>
            <w:vAlign w:val="center"/>
          </w:tcPr>
          <w:p w14:paraId="56A2A2FF">
            <w:pPr>
              <w:spacing w:line="400" w:lineRule="exact"/>
              <w:ind w:right="-153" w:rightChars="-73"/>
              <w:rPr>
                <w:rFonts w:ascii="宋体" w:hAnsi="宋体" w:cs="宋体"/>
                <w:spacing w:val="6"/>
                <w:sz w:val="24"/>
              </w:rPr>
            </w:pPr>
            <w:r>
              <w:rPr>
                <w:rFonts w:hint="eastAsia" w:ascii="宋体" w:hAnsi="宋体" w:cs="宋体"/>
                <w:sz w:val="24"/>
              </w:rPr>
              <w:t>在符合相关法律法规的前题下，竞争性磋商文件的解释权归采购人所有。本竞争性磋商文件中其他部分内容与响应人须知前附表不一致的，以响应人须知前附表为准。</w:t>
            </w:r>
          </w:p>
        </w:tc>
      </w:tr>
      <w:tr w14:paraId="2FA2F07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71" w:hRule="atLeast"/>
        </w:trPr>
        <w:tc>
          <w:tcPr>
            <w:tcW w:w="986" w:type="dxa"/>
            <w:tcBorders>
              <w:top w:val="single" w:color="auto" w:sz="6" w:space="0"/>
              <w:left w:val="single" w:color="auto" w:sz="12" w:space="0"/>
              <w:bottom w:val="single" w:color="auto" w:sz="6" w:space="0"/>
              <w:right w:val="single" w:color="auto" w:sz="6" w:space="0"/>
            </w:tcBorders>
            <w:vAlign w:val="center"/>
          </w:tcPr>
          <w:p w14:paraId="7E56CD13">
            <w:pPr>
              <w:adjustRightInd w:val="0"/>
              <w:spacing w:line="360" w:lineRule="auto"/>
              <w:jc w:val="center"/>
              <w:rPr>
                <w:rFonts w:ascii="宋体" w:hAnsi="宋体" w:cs="宋体"/>
                <w:spacing w:val="6"/>
                <w:sz w:val="24"/>
              </w:rPr>
            </w:pPr>
            <w:r>
              <w:rPr>
                <w:rFonts w:hint="eastAsia" w:ascii="宋体" w:hAnsi="宋体" w:cs="宋体"/>
                <w:spacing w:val="6"/>
                <w:sz w:val="24"/>
              </w:rPr>
              <w:t>43</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5249D41F">
            <w:pPr>
              <w:spacing w:line="400" w:lineRule="exact"/>
              <w:jc w:val="center"/>
              <w:rPr>
                <w:rFonts w:ascii="宋体" w:hAnsi="宋体" w:cs="宋体"/>
                <w:spacing w:val="6"/>
                <w:sz w:val="24"/>
              </w:rPr>
            </w:pPr>
            <w:r>
              <w:rPr>
                <w:rFonts w:hint="eastAsia" w:ascii="宋体" w:hAnsi="宋体"/>
                <w:sz w:val="24"/>
              </w:rPr>
              <w:t>解释权</w:t>
            </w:r>
          </w:p>
        </w:tc>
        <w:tc>
          <w:tcPr>
            <w:tcW w:w="7043" w:type="dxa"/>
            <w:tcBorders>
              <w:top w:val="single" w:color="auto" w:sz="6" w:space="0"/>
              <w:left w:val="single" w:color="auto" w:sz="6" w:space="0"/>
              <w:bottom w:val="single" w:color="auto" w:sz="6" w:space="0"/>
              <w:right w:val="single" w:color="auto" w:sz="12" w:space="0"/>
            </w:tcBorders>
            <w:vAlign w:val="center"/>
          </w:tcPr>
          <w:p w14:paraId="7A3BAB1E">
            <w:pPr>
              <w:spacing w:line="400" w:lineRule="exact"/>
              <w:ind w:right="-153" w:rightChars="-73"/>
              <w:rPr>
                <w:rFonts w:ascii="宋体" w:hAnsi="宋体" w:cs="宋体"/>
                <w:spacing w:val="6"/>
                <w:sz w:val="24"/>
              </w:rPr>
            </w:pPr>
            <w:r>
              <w:rPr>
                <w:rFonts w:hint="eastAsia" w:ascii="宋体" w:hAnsi="宋体" w:cs="宋体"/>
                <w:spacing w:val="6"/>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14318CC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71" w:hRule="atLeast"/>
        </w:trPr>
        <w:tc>
          <w:tcPr>
            <w:tcW w:w="986" w:type="dxa"/>
            <w:tcBorders>
              <w:top w:val="single" w:color="auto" w:sz="6" w:space="0"/>
              <w:left w:val="single" w:color="auto" w:sz="12" w:space="0"/>
              <w:bottom w:val="single" w:color="auto" w:sz="6" w:space="0"/>
              <w:right w:val="single" w:color="auto" w:sz="6" w:space="0"/>
            </w:tcBorders>
            <w:vAlign w:val="center"/>
          </w:tcPr>
          <w:p w14:paraId="593D8E40">
            <w:pPr>
              <w:adjustRightInd w:val="0"/>
              <w:spacing w:line="360" w:lineRule="auto"/>
              <w:jc w:val="center"/>
              <w:rPr>
                <w:rFonts w:ascii="宋体" w:hAnsi="宋体" w:cs="宋体"/>
                <w:spacing w:val="6"/>
                <w:sz w:val="24"/>
              </w:rPr>
            </w:pPr>
            <w:r>
              <w:rPr>
                <w:rFonts w:hint="eastAsia" w:ascii="宋体" w:hAnsi="宋体" w:cs="宋体"/>
                <w:spacing w:val="6"/>
                <w:sz w:val="24"/>
              </w:rPr>
              <w:t>44</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39F45102">
            <w:pPr>
              <w:spacing w:line="400" w:lineRule="exact"/>
              <w:rPr>
                <w:rFonts w:ascii="宋体" w:hAnsi="宋体" w:cs="宋体"/>
                <w:spacing w:val="6"/>
                <w:sz w:val="24"/>
              </w:rPr>
            </w:pPr>
            <w:r>
              <w:rPr>
                <w:rFonts w:hint="eastAsia" w:ascii="宋体" w:hAnsi="宋体" w:cs="宋体"/>
                <w:sz w:val="24"/>
              </w:rPr>
              <w:t>结果公告发布媒介</w:t>
            </w:r>
          </w:p>
        </w:tc>
        <w:tc>
          <w:tcPr>
            <w:tcW w:w="7043" w:type="dxa"/>
            <w:tcBorders>
              <w:top w:val="single" w:color="auto" w:sz="6" w:space="0"/>
              <w:left w:val="single" w:color="auto" w:sz="6" w:space="0"/>
              <w:bottom w:val="single" w:color="auto" w:sz="6" w:space="0"/>
              <w:right w:val="single" w:color="auto" w:sz="12" w:space="0"/>
            </w:tcBorders>
            <w:vAlign w:val="center"/>
          </w:tcPr>
          <w:p w14:paraId="4F0095EA">
            <w:pPr>
              <w:spacing w:line="400" w:lineRule="exact"/>
              <w:rPr>
                <w:rFonts w:ascii="宋体" w:hAnsi="宋体" w:cs="宋体"/>
                <w:spacing w:val="6"/>
                <w:sz w:val="24"/>
              </w:rPr>
            </w:pPr>
            <w:r>
              <w:rPr>
                <w:rFonts w:hint="eastAsia" w:ascii="宋体" w:hAnsi="宋体" w:eastAsia="宋体" w:cs="宋体"/>
                <w:spacing w:val="6"/>
                <w:sz w:val="24"/>
              </w:rPr>
              <w:t>在《河南省政府采购网》、《中国采购与招标网》、《三门峡市公共资源交易中心网》同时进行公告，公示期1个工作日。</w:t>
            </w:r>
          </w:p>
        </w:tc>
      </w:tr>
      <w:tr w14:paraId="23B3BB9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41" w:hRule="atLeast"/>
        </w:trPr>
        <w:tc>
          <w:tcPr>
            <w:tcW w:w="986" w:type="dxa"/>
            <w:tcBorders>
              <w:top w:val="single" w:color="auto" w:sz="6" w:space="0"/>
              <w:left w:val="single" w:color="auto" w:sz="12" w:space="0"/>
              <w:bottom w:val="single" w:color="auto" w:sz="6" w:space="0"/>
              <w:right w:val="single" w:color="auto" w:sz="6" w:space="0"/>
            </w:tcBorders>
            <w:vAlign w:val="center"/>
          </w:tcPr>
          <w:p w14:paraId="6AF79A99">
            <w:pPr>
              <w:adjustRightInd w:val="0"/>
              <w:spacing w:line="360" w:lineRule="auto"/>
              <w:jc w:val="center"/>
              <w:rPr>
                <w:rFonts w:ascii="宋体" w:hAnsi="宋体" w:cs="宋体"/>
                <w:spacing w:val="6"/>
                <w:sz w:val="24"/>
              </w:rPr>
            </w:pPr>
            <w:r>
              <w:rPr>
                <w:rFonts w:hint="eastAsia" w:ascii="宋体" w:hAnsi="宋体" w:cs="宋体"/>
                <w:spacing w:val="6"/>
                <w:sz w:val="24"/>
              </w:rPr>
              <w:t>45</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6742D838">
            <w:pPr>
              <w:spacing w:line="400" w:lineRule="exact"/>
              <w:rPr>
                <w:rFonts w:ascii="宋体" w:hAnsi="宋体" w:cs="宋体"/>
                <w:spacing w:val="6"/>
                <w:sz w:val="24"/>
              </w:rPr>
            </w:pPr>
            <w:r>
              <w:rPr>
                <w:rFonts w:hint="eastAsia" w:ascii="宋体" w:hAnsi="宋体" w:cs="宋体"/>
                <w:sz w:val="24"/>
              </w:rPr>
              <w:t>知识产权</w:t>
            </w:r>
          </w:p>
        </w:tc>
        <w:tc>
          <w:tcPr>
            <w:tcW w:w="7043" w:type="dxa"/>
            <w:tcBorders>
              <w:top w:val="single" w:color="auto" w:sz="6" w:space="0"/>
              <w:left w:val="single" w:color="auto" w:sz="6" w:space="0"/>
              <w:bottom w:val="single" w:color="auto" w:sz="6" w:space="0"/>
              <w:right w:val="single" w:color="auto" w:sz="12" w:space="0"/>
            </w:tcBorders>
            <w:vAlign w:val="center"/>
          </w:tcPr>
          <w:p w14:paraId="4E806F86">
            <w:pPr>
              <w:spacing w:line="400" w:lineRule="exact"/>
              <w:rPr>
                <w:rFonts w:ascii="宋体" w:hAnsi="宋体" w:cs="宋体"/>
                <w:spacing w:val="6"/>
                <w:sz w:val="24"/>
              </w:rPr>
            </w:pPr>
            <w:r>
              <w:rPr>
                <w:rFonts w:hint="eastAsia" w:ascii="宋体" w:hAnsi="宋体" w:cs="宋体"/>
                <w:sz w:val="24"/>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14:paraId="5E6E771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2" w:hRule="atLeast"/>
        </w:trPr>
        <w:tc>
          <w:tcPr>
            <w:tcW w:w="986" w:type="dxa"/>
            <w:tcBorders>
              <w:top w:val="single" w:color="auto" w:sz="6" w:space="0"/>
              <w:left w:val="single" w:color="auto" w:sz="12" w:space="0"/>
              <w:bottom w:val="single" w:color="auto" w:sz="6" w:space="0"/>
              <w:right w:val="single" w:color="auto" w:sz="6" w:space="0"/>
            </w:tcBorders>
            <w:vAlign w:val="center"/>
          </w:tcPr>
          <w:p w14:paraId="10FDE6CF">
            <w:pPr>
              <w:adjustRightInd w:val="0"/>
              <w:spacing w:line="360" w:lineRule="auto"/>
              <w:jc w:val="center"/>
              <w:rPr>
                <w:rFonts w:ascii="宋体" w:hAnsi="宋体" w:cs="宋体"/>
                <w:spacing w:val="6"/>
                <w:sz w:val="24"/>
              </w:rPr>
            </w:pPr>
            <w:r>
              <w:rPr>
                <w:rFonts w:hint="eastAsia" w:ascii="宋体" w:hAnsi="宋体" w:cs="宋体"/>
                <w:spacing w:val="6"/>
                <w:sz w:val="24"/>
              </w:rPr>
              <w:t>46</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2E499A14">
            <w:pPr>
              <w:spacing w:line="400" w:lineRule="exact"/>
              <w:rPr>
                <w:rFonts w:ascii="宋体" w:hAnsi="宋体" w:cs="宋体"/>
                <w:spacing w:val="6"/>
                <w:sz w:val="24"/>
              </w:rPr>
            </w:pPr>
            <w:r>
              <w:rPr>
                <w:rFonts w:hint="eastAsia" w:ascii="宋体" w:hAnsi="宋体" w:cs="宋体"/>
                <w:sz w:val="24"/>
              </w:rPr>
              <w:t>监  督</w:t>
            </w:r>
          </w:p>
        </w:tc>
        <w:tc>
          <w:tcPr>
            <w:tcW w:w="7043" w:type="dxa"/>
            <w:tcBorders>
              <w:top w:val="single" w:color="auto" w:sz="6" w:space="0"/>
              <w:left w:val="single" w:color="auto" w:sz="6" w:space="0"/>
              <w:bottom w:val="single" w:color="auto" w:sz="6" w:space="0"/>
              <w:right w:val="single" w:color="auto" w:sz="12" w:space="0"/>
            </w:tcBorders>
            <w:vAlign w:val="center"/>
          </w:tcPr>
          <w:p w14:paraId="5F498EA3">
            <w:pPr>
              <w:spacing w:line="400" w:lineRule="exact"/>
              <w:rPr>
                <w:rFonts w:ascii="宋体" w:hAnsi="宋体" w:cs="宋体"/>
                <w:spacing w:val="6"/>
                <w:sz w:val="24"/>
              </w:rPr>
            </w:pPr>
            <w:r>
              <w:rPr>
                <w:rFonts w:hint="eastAsia" w:ascii="宋体" w:hAnsi="宋体" w:cs="宋体"/>
                <w:sz w:val="24"/>
              </w:rPr>
              <w:t>本项目的招标磋商活动及其相关当事人应当接受有管辖权的招标投标行政监督部门依法实施的监督。</w:t>
            </w:r>
          </w:p>
        </w:tc>
      </w:tr>
      <w:tr w14:paraId="46E9379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56" w:hRule="atLeast"/>
        </w:trPr>
        <w:tc>
          <w:tcPr>
            <w:tcW w:w="986" w:type="dxa"/>
            <w:tcBorders>
              <w:top w:val="single" w:color="auto" w:sz="6" w:space="0"/>
              <w:left w:val="single" w:color="auto" w:sz="12" w:space="0"/>
              <w:bottom w:val="single" w:color="auto" w:sz="6" w:space="0"/>
              <w:right w:val="single" w:color="auto" w:sz="6" w:space="0"/>
            </w:tcBorders>
            <w:vAlign w:val="center"/>
          </w:tcPr>
          <w:p w14:paraId="5AC0D4BB">
            <w:pPr>
              <w:adjustRightInd w:val="0"/>
              <w:spacing w:line="360" w:lineRule="auto"/>
              <w:jc w:val="center"/>
              <w:rPr>
                <w:rFonts w:ascii="宋体" w:hAnsi="宋体" w:cs="宋体"/>
                <w:spacing w:val="6"/>
                <w:sz w:val="24"/>
              </w:rPr>
            </w:pPr>
            <w:r>
              <w:rPr>
                <w:rFonts w:hint="eastAsia" w:ascii="宋体" w:hAnsi="宋体" w:cs="宋体"/>
                <w:spacing w:val="6"/>
                <w:sz w:val="24"/>
              </w:rPr>
              <w:t>47</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3BC9C97C">
            <w:pPr>
              <w:spacing w:line="400" w:lineRule="exact"/>
              <w:rPr>
                <w:rFonts w:ascii="宋体" w:hAnsi="宋体" w:cs="宋体"/>
                <w:sz w:val="24"/>
              </w:rPr>
            </w:pPr>
            <w:r>
              <w:rPr>
                <w:rFonts w:hint="eastAsia" w:ascii="宋体" w:hAnsi="宋体" w:cs="宋体"/>
                <w:sz w:val="24"/>
              </w:rPr>
              <w:t>本项目所属行业</w:t>
            </w:r>
          </w:p>
        </w:tc>
        <w:tc>
          <w:tcPr>
            <w:tcW w:w="7043" w:type="dxa"/>
            <w:tcBorders>
              <w:top w:val="single" w:color="auto" w:sz="6" w:space="0"/>
              <w:left w:val="single" w:color="auto" w:sz="6" w:space="0"/>
              <w:bottom w:val="single" w:color="auto" w:sz="6" w:space="0"/>
              <w:right w:val="single" w:color="auto" w:sz="12" w:space="0"/>
            </w:tcBorders>
            <w:vAlign w:val="center"/>
          </w:tcPr>
          <w:p w14:paraId="0B743A28">
            <w:pPr>
              <w:spacing w:line="400" w:lineRule="exact"/>
              <w:rPr>
                <w:rFonts w:ascii="宋体" w:hAnsi="宋体" w:cs="宋体"/>
                <w:sz w:val="24"/>
              </w:rPr>
            </w:pPr>
            <w:r>
              <w:rPr>
                <w:rFonts w:hint="eastAsia" w:ascii="宋体" w:hAnsi="宋体" w:cs="宋体"/>
                <w:sz w:val="24"/>
              </w:rPr>
              <w:t>划定标准为：</w:t>
            </w:r>
            <w:r>
              <w:rPr>
                <w:rFonts w:hint="eastAsia" w:ascii="宋体" w:hAnsi="宋体" w:cs="宋体"/>
                <w:b/>
                <w:bCs/>
                <w:sz w:val="24"/>
              </w:rPr>
              <w:t>软件和信息技术服务业</w:t>
            </w:r>
          </w:p>
          <w:p w14:paraId="14CE2515">
            <w:pPr>
              <w:spacing w:line="400" w:lineRule="exact"/>
              <w:rPr>
                <w:rFonts w:ascii="宋体" w:hAnsi="宋体" w:cs="宋体"/>
                <w:sz w:val="24"/>
              </w:rPr>
            </w:pPr>
            <w:r>
              <w:rPr>
                <w:rFonts w:hint="eastAsia" w:ascii="宋体" w:hAnsi="宋体" w:cs="宋体"/>
                <w:sz w:val="24"/>
              </w:rPr>
              <w:t>《工业和信息化部、国家统计局、国家发展和改革委员会、财政部关于印发&lt;中小企业划型标准规定的通知&gt;（工信部联企业〔2011〕300号）规定的划分标准为依据。</w:t>
            </w:r>
          </w:p>
        </w:tc>
      </w:tr>
      <w:tr w14:paraId="6555B1E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4" w:hRule="atLeast"/>
        </w:trPr>
        <w:tc>
          <w:tcPr>
            <w:tcW w:w="986" w:type="dxa"/>
            <w:tcBorders>
              <w:top w:val="single" w:color="auto" w:sz="6" w:space="0"/>
              <w:left w:val="single" w:color="auto" w:sz="12" w:space="0"/>
              <w:bottom w:val="single" w:color="auto" w:sz="12" w:space="0"/>
              <w:right w:val="single" w:color="auto" w:sz="6" w:space="0"/>
            </w:tcBorders>
            <w:vAlign w:val="center"/>
          </w:tcPr>
          <w:p w14:paraId="3730F608">
            <w:pPr>
              <w:adjustRightInd w:val="0"/>
              <w:spacing w:line="360" w:lineRule="auto"/>
              <w:jc w:val="center"/>
              <w:rPr>
                <w:rFonts w:ascii="宋体" w:hAnsi="宋体" w:cs="宋体"/>
                <w:spacing w:val="6"/>
                <w:sz w:val="24"/>
              </w:rPr>
            </w:pPr>
            <w:r>
              <w:rPr>
                <w:rFonts w:hint="eastAsia" w:ascii="宋体" w:hAnsi="宋体" w:cs="宋体"/>
                <w:spacing w:val="6"/>
                <w:sz w:val="24"/>
              </w:rPr>
              <w:t>48</w:t>
            </w:r>
          </w:p>
        </w:tc>
        <w:tc>
          <w:tcPr>
            <w:tcW w:w="1692" w:type="dxa"/>
            <w:gridSpan w:val="2"/>
            <w:tcBorders>
              <w:top w:val="single" w:color="auto" w:sz="6" w:space="0"/>
              <w:left w:val="single" w:color="auto" w:sz="6" w:space="0"/>
              <w:bottom w:val="single" w:color="auto" w:sz="12" w:space="0"/>
              <w:right w:val="single" w:color="auto" w:sz="6" w:space="0"/>
            </w:tcBorders>
            <w:vAlign w:val="center"/>
          </w:tcPr>
          <w:p w14:paraId="5B8A6CF0">
            <w:pPr>
              <w:adjustRightInd w:val="0"/>
              <w:spacing w:line="360" w:lineRule="auto"/>
              <w:jc w:val="center"/>
              <w:rPr>
                <w:rFonts w:ascii="宋体" w:hAnsi="宋体" w:cs="宋体"/>
                <w:spacing w:val="6"/>
                <w:sz w:val="24"/>
              </w:rPr>
            </w:pPr>
            <w:r>
              <w:rPr>
                <w:rFonts w:ascii="宋体" w:hAnsi="宋体" w:cs="宋体"/>
                <w:b/>
                <w:sz w:val="24"/>
              </w:rPr>
              <w:t>电子化注意事项</w:t>
            </w:r>
          </w:p>
        </w:tc>
        <w:tc>
          <w:tcPr>
            <w:tcW w:w="7043" w:type="dxa"/>
            <w:tcBorders>
              <w:top w:val="single" w:color="auto" w:sz="6" w:space="0"/>
              <w:left w:val="single" w:color="auto" w:sz="6" w:space="0"/>
              <w:bottom w:val="single" w:color="auto" w:sz="12" w:space="0"/>
              <w:right w:val="single" w:color="auto" w:sz="12" w:space="0"/>
            </w:tcBorders>
            <w:vAlign w:val="center"/>
          </w:tcPr>
          <w:p w14:paraId="620588DB">
            <w:pPr>
              <w:wordWrap w:val="0"/>
              <w:spacing w:line="400" w:lineRule="exact"/>
              <w:ind w:firstLine="480" w:firstLineChars="200"/>
              <w:rPr>
                <w:rFonts w:ascii="宋体" w:hAnsi="宋体" w:cs="宋体"/>
                <w:sz w:val="24"/>
              </w:rPr>
            </w:pPr>
            <w:r>
              <w:rPr>
                <w:rFonts w:hint="eastAsia" w:ascii="宋体" w:hAnsi="宋体" w:cs="宋体"/>
                <w:sz w:val="24"/>
              </w:rPr>
              <w:t>项目为电子化、无纸化交易项目，投标文件是供应商、供应商（以下简称“供应商”）通过中心投标文件制作系统制作，并经过电子签章和加密后生成的电子版投标文件。供应商投标时，将不再接受任何纸质文件资料。</w:t>
            </w:r>
          </w:p>
          <w:p w14:paraId="3DD82BDE">
            <w:pPr>
              <w:wordWrap w:val="0"/>
              <w:spacing w:line="400" w:lineRule="exact"/>
              <w:ind w:firstLine="480" w:firstLineChars="200"/>
              <w:rPr>
                <w:rFonts w:ascii="宋体" w:hAnsi="宋体" w:cs="宋体"/>
                <w:sz w:val="24"/>
              </w:rPr>
            </w:pPr>
            <w:r>
              <w:rPr>
                <w:rFonts w:hint="eastAsia" w:ascii="宋体" w:hAnsi="宋体" w:cs="宋体"/>
                <w:sz w:val="24"/>
              </w:rPr>
              <w:t>电子化投标文件具体制作文件请点击https://download.bqpoint.com/download/downloaddetail.html?SourceFrom=Ztb&amp;ZtbSoftXiaQuCode=1506&amp;ZtbSoftType=tballinclusive进行下载。</w:t>
            </w:r>
          </w:p>
          <w:p w14:paraId="5EAD19C5">
            <w:pPr>
              <w:wordWrap w:val="0"/>
              <w:spacing w:line="400" w:lineRule="exact"/>
              <w:ind w:firstLine="480" w:firstLineChars="200"/>
              <w:rPr>
                <w:rFonts w:ascii="宋体" w:hAnsi="宋体" w:cs="宋体"/>
                <w:sz w:val="24"/>
              </w:rPr>
            </w:pPr>
            <w:r>
              <w:rPr>
                <w:rFonts w:hint="eastAsia" w:ascii="宋体" w:hAnsi="宋体" w:cs="宋体"/>
                <w:sz w:val="24"/>
              </w:rPr>
              <w:t>温馨提示：本项目为电子化、无纸化交易项目，供应商时不接受任何纸质资料，为保证您能投标成功，请需仔细阅读以下条款。</w:t>
            </w:r>
          </w:p>
          <w:p w14:paraId="3E5CE136">
            <w:pPr>
              <w:wordWrap w:val="0"/>
              <w:spacing w:line="400" w:lineRule="exact"/>
              <w:ind w:firstLine="480" w:firstLineChars="200"/>
              <w:rPr>
                <w:rFonts w:ascii="宋体" w:hAnsi="宋体" w:cs="宋体"/>
                <w:sz w:val="24"/>
              </w:rPr>
            </w:pPr>
            <w:r>
              <w:rPr>
                <w:rFonts w:hint="eastAsia" w:ascii="宋体" w:hAnsi="宋体" w:cs="宋体"/>
                <w:sz w:val="24"/>
              </w:rPr>
              <w:t>一、电子化投标</w:t>
            </w:r>
          </w:p>
          <w:p w14:paraId="1E4AE03B">
            <w:pPr>
              <w:wordWrap w:val="0"/>
              <w:spacing w:line="400" w:lineRule="exact"/>
              <w:ind w:firstLine="480" w:firstLineChars="200"/>
              <w:rPr>
                <w:rFonts w:ascii="宋体" w:hAnsi="宋体" w:cs="宋体"/>
                <w:sz w:val="24"/>
              </w:rPr>
            </w:pPr>
            <w:r>
              <w:rPr>
                <w:rFonts w:hint="eastAsia" w:ascii="宋体" w:hAnsi="宋体" w:cs="宋体"/>
                <w:sz w:val="24"/>
              </w:rPr>
              <w:t>（一）电子化投标文件的签章</w:t>
            </w:r>
          </w:p>
          <w:p w14:paraId="7B38A931">
            <w:pPr>
              <w:wordWrap w:val="0"/>
              <w:spacing w:line="400" w:lineRule="exact"/>
              <w:ind w:firstLine="480" w:firstLineChars="200"/>
              <w:rPr>
                <w:rFonts w:ascii="宋体" w:hAnsi="宋体" w:cs="宋体"/>
                <w:sz w:val="24"/>
              </w:rPr>
            </w:pPr>
            <w:r>
              <w:rPr>
                <w:rFonts w:hint="eastAsia" w:ascii="宋体" w:hAnsi="宋体" w:cs="宋体"/>
                <w:sz w:val="24"/>
              </w:rPr>
              <w:t>1、供应商在生成电子化投标文件后，应对电子化投标文件进行签章，未进行签章的视为无效投标。</w:t>
            </w:r>
          </w:p>
          <w:p w14:paraId="2603D402">
            <w:pPr>
              <w:wordWrap w:val="0"/>
              <w:spacing w:line="400" w:lineRule="exact"/>
              <w:ind w:firstLine="480" w:firstLineChars="200"/>
              <w:rPr>
                <w:rFonts w:ascii="宋体" w:hAnsi="宋体" w:cs="宋体"/>
                <w:sz w:val="24"/>
              </w:rPr>
            </w:pPr>
            <w:r>
              <w:rPr>
                <w:rFonts w:hint="eastAsia" w:ascii="宋体" w:hAnsi="宋体" w:cs="宋体"/>
                <w:sz w:val="24"/>
              </w:rPr>
              <w:t>2、投标文件中要求法定代表人或授权委托人签字或盖章的，供应商在进行电子化投标文件签章时，以签盖法定代表人签章为准。</w:t>
            </w:r>
          </w:p>
          <w:p w14:paraId="591F8583">
            <w:pPr>
              <w:wordWrap w:val="0"/>
              <w:spacing w:line="400" w:lineRule="exact"/>
              <w:ind w:firstLine="480" w:firstLineChars="200"/>
              <w:rPr>
                <w:rFonts w:ascii="宋体" w:hAnsi="宋体" w:cs="宋体"/>
                <w:sz w:val="24"/>
              </w:rPr>
            </w:pPr>
            <w:r>
              <w:rPr>
                <w:rFonts w:hint="eastAsia" w:ascii="宋体" w:hAnsi="宋体" w:cs="宋体"/>
                <w:sz w:val="24"/>
              </w:rPr>
              <w:t>（二）电子化投标文件的格式及上传投标</w:t>
            </w:r>
          </w:p>
          <w:p w14:paraId="4EE76502">
            <w:pPr>
              <w:wordWrap w:val="0"/>
              <w:spacing w:line="400" w:lineRule="exact"/>
              <w:ind w:firstLine="573"/>
              <w:rPr>
                <w:rFonts w:ascii="宋体" w:hAnsi="宋体" w:cs="宋体"/>
                <w:sz w:val="24"/>
              </w:rPr>
            </w:pPr>
            <w:r>
              <w:rPr>
                <w:rFonts w:hint="eastAsia" w:ascii="宋体" w:hAnsi="宋体" w:cs="宋体"/>
                <w:sz w:val="24"/>
              </w:rPr>
              <w:t>1、供应商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生成的电子版投标文件包含用于投标文件上传的主文件（后缀为.smxtf） ，和用于应急补救的投标文件备份文件（后缀为.nsmxtf），备份文件主要用于电子化开标出现技术问题后的补救，请供应商随身携带。</w:t>
            </w:r>
          </w:p>
          <w:p w14:paraId="332B0F0D">
            <w:pPr>
              <w:wordWrap w:val="0"/>
              <w:spacing w:line="400" w:lineRule="exact"/>
              <w:ind w:firstLine="573"/>
              <w:rPr>
                <w:rFonts w:ascii="宋体" w:hAnsi="宋体" w:cs="宋体"/>
                <w:sz w:val="24"/>
              </w:rPr>
            </w:pPr>
            <w:r>
              <w:rPr>
                <w:rFonts w:hint="eastAsia" w:ascii="宋体" w:hAnsi="宋体" w:cs="宋体"/>
                <w:sz w:val="24"/>
              </w:rPr>
              <w:t>注：（1）供应商投报多个标段的，需要每个标段单独制作电子投标文件。</w:t>
            </w:r>
          </w:p>
          <w:p w14:paraId="76D229A9">
            <w:pPr>
              <w:wordWrap w:val="0"/>
              <w:spacing w:line="400" w:lineRule="exact"/>
              <w:ind w:firstLine="573"/>
              <w:rPr>
                <w:rFonts w:ascii="宋体" w:hAnsi="宋体" w:cs="宋体"/>
                <w:sz w:val="24"/>
              </w:rPr>
            </w:pPr>
            <w:r>
              <w:rPr>
                <w:rFonts w:hint="eastAsia" w:ascii="宋体" w:hAnsi="宋体" w:cs="宋体"/>
                <w:sz w:val="24"/>
              </w:rPr>
              <w:t>2、电子化投标文件应在投标截止时间前成功上传至三门峡市公共资源电子化交易系统。至投标截止时间止，仍未上传成功的电子化投标文件将不予接收。</w:t>
            </w:r>
          </w:p>
          <w:p w14:paraId="259BF454">
            <w:pPr>
              <w:wordWrap w:val="0"/>
              <w:spacing w:line="400" w:lineRule="exact"/>
              <w:ind w:firstLine="573"/>
              <w:rPr>
                <w:rFonts w:ascii="宋体" w:hAnsi="宋体" w:cs="宋体"/>
                <w:sz w:val="24"/>
              </w:rPr>
            </w:pPr>
            <w:r>
              <w:rPr>
                <w:rFonts w:hint="eastAsia" w:ascii="宋体" w:hAnsi="宋体" w:cs="宋体"/>
                <w:sz w:val="24"/>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0D9B7EB1">
            <w:pPr>
              <w:wordWrap w:val="0"/>
              <w:spacing w:line="400" w:lineRule="exact"/>
              <w:ind w:firstLine="480" w:firstLineChars="200"/>
              <w:rPr>
                <w:rFonts w:ascii="宋体" w:hAnsi="宋体" w:cs="宋体"/>
                <w:sz w:val="24"/>
              </w:rPr>
            </w:pPr>
            <w:r>
              <w:rPr>
                <w:rFonts w:hint="eastAsia" w:ascii="宋体" w:hAnsi="宋体" w:cs="宋体"/>
                <w:sz w:val="24"/>
              </w:rPr>
              <w:t>技术联系电话：0398-3117871</w:t>
            </w:r>
          </w:p>
          <w:p w14:paraId="23722965">
            <w:pPr>
              <w:wordWrap w:val="0"/>
              <w:spacing w:line="400" w:lineRule="exact"/>
              <w:ind w:firstLine="480" w:firstLineChars="200"/>
              <w:rPr>
                <w:rFonts w:ascii="宋体" w:hAnsi="宋体" w:cs="宋体"/>
                <w:sz w:val="24"/>
              </w:rPr>
            </w:pPr>
            <w:r>
              <w:rPr>
                <w:rFonts w:hint="eastAsia" w:ascii="宋体" w:hAnsi="宋体" w:cs="宋体"/>
                <w:sz w:val="24"/>
              </w:rPr>
              <w:t>新点客服电话：4009980000</w:t>
            </w:r>
          </w:p>
          <w:p w14:paraId="673B330A">
            <w:pPr>
              <w:wordWrap w:val="0"/>
              <w:spacing w:line="400" w:lineRule="exact"/>
              <w:ind w:firstLine="480" w:firstLineChars="200"/>
              <w:rPr>
                <w:rFonts w:ascii="宋体" w:hAnsi="宋体" w:cs="宋体"/>
                <w:sz w:val="24"/>
              </w:rPr>
            </w:pPr>
            <w:r>
              <w:rPr>
                <w:rFonts w:hint="eastAsia" w:ascii="宋体" w:hAnsi="宋体" w:cs="宋体"/>
                <w:sz w:val="24"/>
              </w:rPr>
              <w:t>（三）电子化项目供应商、解密、唱标、评标</w:t>
            </w:r>
          </w:p>
          <w:p w14:paraId="72286B6A">
            <w:pPr>
              <w:wordWrap w:val="0"/>
              <w:spacing w:line="400" w:lineRule="exact"/>
              <w:ind w:firstLine="573"/>
              <w:rPr>
                <w:rFonts w:ascii="宋体" w:hAnsi="宋体" w:cs="宋体"/>
                <w:sz w:val="24"/>
              </w:rPr>
            </w:pPr>
            <w:r>
              <w:rPr>
                <w:rFonts w:hint="eastAsia" w:ascii="宋体" w:hAnsi="宋体" w:cs="宋体"/>
                <w:sz w:val="24"/>
              </w:rPr>
              <w:t>1、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00238A99">
            <w:pPr>
              <w:wordWrap w:val="0"/>
              <w:spacing w:line="400" w:lineRule="exact"/>
              <w:ind w:firstLine="573"/>
              <w:rPr>
                <w:rFonts w:ascii="宋体" w:hAnsi="宋体" w:cs="宋体"/>
                <w:sz w:val="24"/>
              </w:rPr>
            </w:pPr>
            <w:r>
              <w:rPr>
                <w:rFonts w:hint="eastAsia" w:ascii="宋体" w:hAnsi="宋体" w:cs="宋体"/>
                <w:sz w:val="24"/>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0DB91913">
            <w:pPr>
              <w:wordWrap w:val="0"/>
              <w:spacing w:line="400" w:lineRule="exact"/>
              <w:ind w:firstLine="573"/>
              <w:rPr>
                <w:rFonts w:ascii="宋体" w:hAnsi="宋体" w:cs="宋体"/>
                <w:sz w:val="24"/>
              </w:rPr>
            </w:pPr>
            <w:r>
              <w:rPr>
                <w:rFonts w:hint="eastAsia" w:ascii="宋体" w:hAnsi="宋体" w:cs="宋体"/>
                <w:sz w:val="24"/>
              </w:rPr>
              <w:t>3、电子化投标文件异常情况的处理</w:t>
            </w:r>
          </w:p>
          <w:p w14:paraId="1937E61A">
            <w:pPr>
              <w:wordWrap w:val="0"/>
              <w:spacing w:line="400" w:lineRule="exact"/>
              <w:ind w:firstLine="480" w:firstLineChars="200"/>
              <w:rPr>
                <w:rFonts w:ascii="宋体" w:hAnsi="宋体" w:cs="宋体"/>
                <w:sz w:val="24"/>
              </w:rPr>
            </w:pPr>
            <w:r>
              <w:rPr>
                <w:rFonts w:hint="eastAsia" w:ascii="宋体" w:hAnsi="宋体" w:cs="宋体"/>
                <w:sz w:val="24"/>
              </w:rPr>
              <w:t>如出现供应商的电子投标文件无法解密等异常情况，供应商应及时致电技术部门处理。投标文件异常，按以下步骤进行处理：</w:t>
            </w:r>
          </w:p>
          <w:p w14:paraId="741AD55F">
            <w:pPr>
              <w:wordWrap w:val="0"/>
              <w:spacing w:line="400" w:lineRule="exact"/>
              <w:ind w:firstLine="573"/>
              <w:rPr>
                <w:rFonts w:ascii="宋体" w:hAnsi="宋体" w:cs="宋体"/>
                <w:sz w:val="24"/>
              </w:rPr>
            </w:pPr>
            <w:r>
              <w:rPr>
                <w:rFonts w:hint="eastAsia" w:ascii="宋体" w:hAnsi="宋体" w:cs="宋体"/>
                <w:sz w:val="24"/>
              </w:rPr>
              <w:t>（1）首先由技术人员进行问题排查。</w:t>
            </w:r>
          </w:p>
          <w:p w14:paraId="13974564">
            <w:pPr>
              <w:wordWrap w:val="0"/>
              <w:spacing w:line="400" w:lineRule="exact"/>
              <w:ind w:firstLine="573"/>
              <w:rPr>
                <w:rFonts w:ascii="宋体" w:hAnsi="宋体" w:cs="宋体"/>
                <w:sz w:val="24"/>
              </w:rPr>
            </w:pPr>
            <w:r>
              <w:rPr>
                <w:rFonts w:hint="eastAsia" w:ascii="宋体" w:hAnsi="宋体" w:cs="宋体"/>
                <w:sz w:val="24"/>
              </w:rPr>
              <w:t>（2）经技术人员排查后，是供应商文件自身问题导致投标文件无法解密的，该投标文件将不予接收、解密和唱标。开标会议继续进行。</w:t>
            </w:r>
          </w:p>
          <w:p w14:paraId="74DBA09F">
            <w:pPr>
              <w:wordWrap w:val="0"/>
              <w:spacing w:line="400" w:lineRule="exact"/>
              <w:ind w:firstLine="573"/>
              <w:rPr>
                <w:rFonts w:ascii="宋体" w:hAnsi="宋体" w:cs="宋体"/>
                <w:sz w:val="24"/>
              </w:rPr>
            </w:pPr>
            <w:r>
              <w:rPr>
                <w:rFonts w:hint="eastAsia" w:ascii="宋体" w:hAnsi="宋体" w:cs="宋体"/>
                <w:sz w:val="24"/>
              </w:rPr>
              <w:t>（3）经技术人员排查后，如果是电子化交易系统问题造成投标文件无法解密的，将由技术人员对问题进行处理。</w:t>
            </w:r>
          </w:p>
          <w:p w14:paraId="09FF1794">
            <w:pPr>
              <w:wordWrap w:val="0"/>
              <w:spacing w:line="400" w:lineRule="exact"/>
              <w:ind w:firstLine="573"/>
              <w:rPr>
                <w:rFonts w:ascii="宋体" w:hAnsi="宋体" w:cs="宋体"/>
                <w:sz w:val="24"/>
              </w:rPr>
            </w:pPr>
            <w:r>
              <w:rPr>
                <w:rFonts w:hint="eastAsia" w:ascii="宋体" w:hAnsi="宋体" w:cs="宋体"/>
                <w:sz w:val="24"/>
              </w:rPr>
              <w:t>4、待所有供应商磋商响应文件解密完成后，由中介服务机构操作，对所有已解密投标文件进行唱标。</w:t>
            </w:r>
          </w:p>
          <w:p w14:paraId="02507B19">
            <w:pPr>
              <w:wordWrap w:val="0"/>
              <w:spacing w:line="400" w:lineRule="exact"/>
              <w:ind w:firstLine="573"/>
              <w:rPr>
                <w:rFonts w:ascii="宋体" w:hAnsi="宋体" w:cs="宋体"/>
                <w:sz w:val="24"/>
              </w:rPr>
            </w:pPr>
            <w:r>
              <w:rPr>
                <w:rFonts w:hint="eastAsia" w:ascii="宋体" w:hAnsi="宋体" w:cs="宋体"/>
                <w:sz w:val="24"/>
              </w:rPr>
              <w:t>供应商应保证在开标期间电话、电脑、网络能够正常工作，磋商响应人因停电、电脑病毒、网络堵塞等原因，未在规定的解密时间内对投标文件进行解密的，其投标文件不予接收、唱标。</w:t>
            </w:r>
          </w:p>
          <w:p w14:paraId="13F239EC">
            <w:pPr>
              <w:wordWrap w:val="0"/>
              <w:spacing w:line="400" w:lineRule="exact"/>
              <w:ind w:firstLine="573"/>
              <w:rPr>
                <w:rFonts w:ascii="宋体" w:hAnsi="宋体" w:cs="宋体"/>
                <w:sz w:val="24"/>
              </w:rPr>
            </w:pPr>
            <w:r>
              <w:rPr>
                <w:rFonts w:hint="eastAsia" w:ascii="宋体" w:hAnsi="宋体" w:cs="宋体"/>
                <w:sz w:val="24"/>
              </w:rPr>
              <w:t>5、开标时供应商可登录到交易系统中在开标大厅中点击开标一览表查看自己的投标报价。如对自己的唱标内容有异议的，应在唱标内容显示后10分钟内向系统中质疑。供应商未在规定时间内提出质疑的，视为认可唱标内容。</w:t>
            </w:r>
          </w:p>
          <w:p w14:paraId="149F8B58">
            <w:pPr>
              <w:wordWrap w:val="0"/>
              <w:spacing w:line="400" w:lineRule="exact"/>
              <w:ind w:firstLine="573"/>
              <w:rPr>
                <w:rFonts w:ascii="宋体" w:hAnsi="宋体" w:cs="宋体"/>
                <w:sz w:val="24"/>
              </w:rPr>
            </w:pPr>
            <w:r>
              <w:rPr>
                <w:rFonts w:hint="eastAsia" w:ascii="宋体" w:hAnsi="宋体" w:cs="宋体"/>
                <w:sz w:val="24"/>
              </w:rPr>
              <w:t>6、评标时，磋商小组对电子化投标文件有质疑的，将通过电子化交易系统对供应商发起质疑。质疑回复内容确认后，供应商的回复文件必须以经过磋商响应人和其法定代表人签章的PDF格式文件为准，并通过电子化交易系统提交至磋商小组。</w:t>
            </w:r>
          </w:p>
          <w:p w14:paraId="432EDEC6">
            <w:pPr>
              <w:wordWrap w:val="0"/>
              <w:spacing w:line="400" w:lineRule="exact"/>
              <w:ind w:firstLine="573"/>
              <w:rPr>
                <w:rFonts w:ascii="宋体" w:hAnsi="宋体" w:cs="宋体"/>
                <w:sz w:val="24"/>
              </w:rPr>
            </w:pPr>
            <w:r>
              <w:rPr>
                <w:rFonts w:hint="eastAsia" w:ascii="宋体" w:hAnsi="宋体" w:cs="宋体"/>
                <w:sz w:val="24"/>
              </w:rPr>
              <w:t>7、响应人应在开标结束后，应该守在系统前，进行二轮或多轮报价或者磋商小组提出的答疑，报价和答疑时间为30分钟，若供应商错过时间或时间不够无法延时而导致文件无效或废标，由供应商自行承担责任。代理机构无义务必须通知到每个供应商进行报价或答疑。在开标及评审过程中，代理机构、采购人及监督人是无法携带通讯工具，供应商若出现问题导致文件无效或废标，供应商自行承担责任。</w:t>
            </w:r>
          </w:p>
          <w:p w14:paraId="5EE04DA4">
            <w:pPr>
              <w:wordWrap w:val="0"/>
              <w:spacing w:line="400" w:lineRule="exact"/>
              <w:ind w:firstLine="573"/>
              <w:rPr>
                <w:rFonts w:ascii="宋体" w:hAnsi="宋体" w:cs="宋体"/>
                <w:sz w:val="24"/>
              </w:rPr>
            </w:pPr>
            <w:r>
              <w:rPr>
                <w:rFonts w:hint="eastAsia" w:ascii="宋体" w:hAnsi="宋体" w:cs="宋体"/>
                <w:sz w:val="24"/>
              </w:rPr>
              <w:t>二、相关证书原件的提交</w:t>
            </w:r>
          </w:p>
          <w:p w14:paraId="4860C17B">
            <w:pPr>
              <w:wordWrap w:val="0"/>
              <w:spacing w:line="400" w:lineRule="exact"/>
              <w:ind w:firstLine="573"/>
              <w:rPr>
                <w:rFonts w:ascii="宋体" w:hAnsi="宋体" w:cs="宋体"/>
                <w:sz w:val="24"/>
              </w:rPr>
            </w:pPr>
            <w:r>
              <w:rPr>
                <w:rFonts w:hint="eastAsia" w:ascii="宋体" w:hAnsi="宋体" w:cs="宋体"/>
                <w:sz w:val="24"/>
              </w:rPr>
              <w:t>本项目实行资格后审，审查内容以投标截止时间前在三门峡市公共资源交易系统上传的投标文件的信息为准。其上传资料真实性由投标人自行承担。评标委员会对原件的核验工作按以下条款进行：</w:t>
            </w:r>
          </w:p>
          <w:p w14:paraId="4CEF153F">
            <w:pPr>
              <w:wordWrap w:val="0"/>
              <w:spacing w:line="400" w:lineRule="exact"/>
              <w:ind w:firstLine="573"/>
              <w:rPr>
                <w:rFonts w:ascii="宋体" w:hAnsi="宋体" w:cs="宋体"/>
                <w:sz w:val="24"/>
              </w:rPr>
            </w:pPr>
            <w:r>
              <w:rPr>
                <w:rFonts w:hint="eastAsia" w:ascii="宋体" w:hAnsi="宋体" w:cs="宋体"/>
                <w:sz w:val="24"/>
              </w:rPr>
              <w:t>（一）评标时，评委以投标截止时间前在三门峡市公共资源交易系统上传的投标文件的信息为准。其上传资料真实性由投标人自行承担。否则，由此造成应得分而未得分或资格审查不合格等情况的，由供应商承担责任。开评标现场不接受投标人所提交的任何原件。</w:t>
            </w:r>
          </w:p>
          <w:p w14:paraId="2F465AA4">
            <w:pPr>
              <w:wordWrap w:val="0"/>
              <w:spacing w:line="400" w:lineRule="exact"/>
              <w:ind w:firstLine="573"/>
              <w:rPr>
                <w:rFonts w:ascii="宋体" w:hAnsi="宋体" w:cs="宋体"/>
                <w:sz w:val="24"/>
              </w:rPr>
            </w:pPr>
            <w:r>
              <w:rPr>
                <w:rFonts w:hint="eastAsia" w:ascii="宋体" w:hAnsi="宋体" w:cs="宋体"/>
                <w:sz w:val="24"/>
              </w:rPr>
              <w:t>注：在项目开标时间起至评标结束至，市场主体库将处于锁定状态。如连续投报多个项目，市场主体库锁定时间也将延长，请供应商合理安排资料上传时间，尽可能早的将所有项目资料上传至三门峡市公共资源交易供应商市场主体库。</w:t>
            </w:r>
          </w:p>
          <w:p w14:paraId="7B9AC65C">
            <w:pPr>
              <w:wordWrap w:val="0"/>
              <w:spacing w:line="400" w:lineRule="exact"/>
              <w:ind w:firstLine="573"/>
              <w:rPr>
                <w:rFonts w:ascii="宋体" w:hAnsi="宋体" w:cs="宋体"/>
                <w:sz w:val="24"/>
              </w:rPr>
            </w:pPr>
            <w:r>
              <w:rPr>
                <w:rFonts w:hint="eastAsia" w:ascii="宋体" w:hAnsi="宋体" w:cs="宋体"/>
                <w:sz w:val="24"/>
              </w:rPr>
              <w:t>具体操作详见《三门峡市公共资源交易平台市场主体信息库操作手册》。链接地址：</w:t>
            </w:r>
            <w:r>
              <w:fldChar w:fldCharType="begin"/>
            </w:r>
            <w:r>
              <w:instrText xml:space="preserve"> HYPERLINK "http://gzjy.smx.gov.cn/bzzx/008001/20200325/4a2f9fa3-b923-4ddd-bd6f-138a0b63f7d1.html" </w:instrText>
            </w:r>
            <w:r>
              <w:fldChar w:fldCharType="separate"/>
            </w:r>
            <w:r>
              <w:rPr>
                <w:rFonts w:hint="eastAsia" w:ascii="宋体" w:hAnsi="宋体" w:cs="宋体"/>
                <w:sz w:val="24"/>
              </w:rPr>
              <w:t>http://gzjy.smx.gov.cn/bzzx/008001/20200325/4a2f9fa3-b923-4ddd-bd6f-138a0b63f7d1.html</w:t>
            </w:r>
            <w:r>
              <w:rPr>
                <w:rFonts w:hint="eastAsia" w:ascii="宋体" w:hAnsi="宋体" w:cs="宋体"/>
                <w:sz w:val="24"/>
              </w:rPr>
              <w:fldChar w:fldCharType="end"/>
            </w:r>
          </w:p>
          <w:p w14:paraId="101AE117">
            <w:pPr>
              <w:wordWrap w:val="0"/>
              <w:spacing w:line="400" w:lineRule="exact"/>
              <w:ind w:firstLine="573"/>
              <w:rPr>
                <w:rFonts w:ascii="宋体" w:hAnsi="宋体" w:cs="宋体"/>
                <w:sz w:val="24"/>
              </w:rPr>
            </w:pPr>
            <w:r>
              <w:rPr>
                <w:rFonts w:hint="eastAsia" w:ascii="宋体" w:hAnsi="宋体" w:cs="宋体"/>
                <w:sz w:val="24"/>
              </w:rPr>
              <w:t>（二）项目成交结果公示时，将同时公示中标供应商市场主体库信息，接受社会监督。</w:t>
            </w:r>
          </w:p>
          <w:p w14:paraId="3E5D1D2A">
            <w:pPr>
              <w:wordWrap w:val="0"/>
              <w:spacing w:line="400" w:lineRule="exact"/>
              <w:ind w:firstLine="573"/>
              <w:rPr>
                <w:rFonts w:ascii="宋体" w:hAnsi="宋体" w:cs="宋体"/>
                <w:sz w:val="24"/>
              </w:rPr>
            </w:pPr>
            <w:r>
              <w:rPr>
                <w:rFonts w:hint="eastAsia" w:ascii="宋体" w:hAnsi="宋体" w:cs="宋体"/>
                <w:sz w:val="24"/>
              </w:rPr>
              <w:t>（三）供应商需应仔细阅读操作手册，保证上传内容齐全，真实有效，原件扫描件清晰可辨。因供应商上传原因导致应得分项而未得分或资格审查不合格等情况的，由磋商响应人自行承担责任。</w:t>
            </w:r>
          </w:p>
          <w:p w14:paraId="486BE2F9">
            <w:pPr>
              <w:snapToGrid w:val="0"/>
              <w:spacing w:line="360" w:lineRule="auto"/>
              <w:rPr>
                <w:rFonts w:ascii="宋体" w:hAnsi="宋体"/>
                <w:sz w:val="24"/>
              </w:rPr>
            </w:pPr>
            <w:r>
              <w:rPr>
                <w:rFonts w:hint="eastAsia" w:ascii="宋体" w:hAnsi="宋体" w:cs="宋体"/>
                <w:sz w:val="24"/>
              </w:rPr>
              <w:t>提示：本项目为电子化、无纸化交易项目，开标时不再接受任何纸质资料，为保证您能投标成功，请需仔细阅读以上条款。</w:t>
            </w:r>
          </w:p>
        </w:tc>
      </w:tr>
    </w:tbl>
    <w:p w14:paraId="1298B1C6">
      <w:pPr>
        <w:keepNext/>
        <w:keepLines/>
        <w:spacing w:line="460" w:lineRule="exact"/>
        <w:ind w:firstLine="482" w:firstLineChars="200"/>
        <w:outlineLvl w:val="1"/>
        <w:rPr>
          <w:rFonts w:ascii="宋体" w:hAnsi="宋体" w:cs="宋体"/>
          <w:b/>
          <w:sz w:val="24"/>
        </w:rPr>
      </w:pPr>
      <w:bookmarkStart w:id="2" w:name="_Toc12657"/>
      <w:r>
        <w:rPr>
          <w:rFonts w:hint="eastAsia" w:ascii="宋体" w:hAnsi="宋体" w:cs="宋体"/>
          <w:b/>
          <w:sz w:val="24"/>
        </w:rPr>
        <w:t>一、说明</w:t>
      </w:r>
      <w:bookmarkEnd w:id="2"/>
    </w:p>
    <w:p w14:paraId="3B0B8EBB">
      <w:pPr>
        <w:autoSpaceDE w:val="0"/>
        <w:autoSpaceDN w:val="0"/>
        <w:adjustRightInd w:val="0"/>
        <w:spacing w:line="460" w:lineRule="exact"/>
        <w:ind w:firstLine="468" w:firstLineChars="200"/>
        <w:outlineLvl w:val="2"/>
        <w:rPr>
          <w:rFonts w:ascii="宋体" w:hAnsi="宋体" w:cs="宋体"/>
          <w:spacing w:val="-3"/>
          <w:sz w:val="24"/>
        </w:rPr>
      </w:pPr>
      <w:bookmarkStart w:id="3" w:name="_Toc19964"/>
      <w:r>
        <w:rPr>
          <w:rFonts w:hint="eastAsia" w:ascii="宋体" w:hAnsi="宋体" w:cs="宋体"/>
          <w:spacing w:val="-3"/>
          <w:sz w:val="24"/>
        </w:rPr>
        <w:t>1.适用范围</w:t>
      </w:r>
      <w:bookmarkEnd w:id="3"/>
    </w:p>
    <w:p w14:paraId="2AEF2999">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本竞争性磋商文件仅适用于竞争性磋商公告中所叙述项目的相关采购。</w:t>
      </w:r>
    </w:p>
    <w:p w14:paraId="16A2F229">
      <w:pPr>
        <w:autoSpaceDE w:val="0"/>
        <w:autoSpaceDN w:val="0"/>
        <w:adjustRightInd w:val="0"/>
        <w:spacing w:line="460" w:lineRule="exact"/>
        <w:ind w:firstLine="468" w:firstLineChars="200"/>
        <w:outlineLvl w:val="2"/>
        <w:rPr>
          <w:rFonts w:ascii="宋体" w:hAnsi="宋体" w:cs="宋体"/>
          <w:spacing w:val="-3"/>
          <w:sz w:val="24"/>
        </w:rPr>
      </w:pPr>
      <w:bookmarkStart w:id="4" w:name="_Toc7846"/>
      <w:r>
        <w:rPr>
          <w:rFonts w:hint="eastAsia" w:ascii="宋体" w:hAnsi="宋体" w:cs="宋体"/>
          <w:spacing w:val="-3"/>
          <w:sz w:val="24"/>
        </w:rPr>
        <w:t>2.定义</w:t>
      </w:r>
      <w:bookmarkEnd w:id="4"/>
    </w:p>
    <w:p w14:paraId="65481027">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2.1  “采购人”系指本次项目内容的采购单位。</w:t>
      </w:r>
    </w:p>
    <w:p w14:paraId="6377AE3C">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2.2  “采购代理机构”系指本次采购项目活动组织方。</w:t>
      </w:r>
    </w:p>
    <w:p w14:paraId="619BAC82">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2.3 “供应商”系指响应采购、参加磋商竞争的法人或者其他组织。</w:t>
      </w:r>
    </w:p>
    <w:p w14:paraId="336543BD">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2.4 “供应商代表”系指代表供应商参加本次磋商活动的供应商的法定代表人或其委托代理人。</w:t>
      </w:r>
    </w:p>
    <w:p w14:paraId="573E73D1">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2.5 “服务”系指供应商按竞争性磋商文件规定提供采购人所要求的一切项目内容。</w:t>
      </w:r>
    </w:p>
    <w:p w14:paraId="74EAD5F3">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2.6 “相关服务”系指竞争性磋商文件规定供应商须承担的与本次采购项目相关的服务、协调工作以及其他类似的义务。</w:t>
      </w:r>
    </w:p>
    <w:p w14:paraId="44544C91">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2.7 “竞争性磋商文件有效期”系指本次采购项目递交响应性文件截止之日起至合同签订之日止的期限。成交供应商的竞争性磋商文件有效期至合同完全履行止。</w:t>
      </w:r>
    </w:p>
    <w:p w14:paraId="4B02EDB9">
      <w:pPr>
        <w:autoSpaceDE w:val="0"/>
        <w:autoSpaceDN w:val="0"/>
        <w:adjustRightInd w:val="0"/>
        <w:spacing w:line="460" w:lineRule="exact"/>
        <w:ind w:firstLine="468" w:firstLineChars="200"/>
        <w:outlineLvl w:val="2"/>
        <w:rPr>
          <w:rFonts w:ascii="宋体" w:hAnsi="宋体" w:cs="宋体"/>
          <w:spacing w:val="-3"/>
          <w:sz w:val="24"/>
        </w:rPr>
      </w:pPr>
      <w:bookmarkStart w:id="5" w:name="_Toc25077"/>
      <w:r>
        <w:rPr>
          <w:rFonts w:hint="eastAsia" w:ascii="宋体" w:hAnsi="宋体" w:cs="宋体"/>
          <w:spacing w:val="-3"/>
          <w:sz w:val="24"/>
        </w:rPr>
        <w:t>3.资金来源：财政资金，已落实。</w:t>
      </w:r>
      <w:bookmarkEnd w:id="5"/>
    </w:p>
    <w:p w14:paraId="00A235F6">
      <w:pPr>
        <w:autoSpaceDE w:val="0"/>
        <w:autoSpaceDN w:val="0"/>
        <w:adjustRightInd w:val="0"/>
        <w:spacing w:line="460" w:lineRule="exact"/>
        <w:ind w:firstLine="468" w:firstLineChars="200"/>
        <w:outlineLvl w:val="2"/>
        <w:rPr>
          <w:rFonts w:ascii="宋体" w:hAnsi="宋体" w:cs="宋体"/>
          <w:spacing w:val="-3"/>
          <w:sz w:val="24"/>
        </w:rPr>
      </w:pPr>
      <w:bookmarkStart w:id="6" w:name="_Toc16278"/>
      <w:r>
        <w:rPr>
          <w:rFonts w:hint="eastAsia" w:ascii="宋体" w:hAnsi="宋体" w:cs="宋体"/>
          <w:spacing w:val="-3"/>
          <w:sz w:val="24"/>
        </w:rPr>
        <w:t>4.供应商应提交的证明文件</w:t>
      </w:r>
      <w:bookmarkEnd w:id="6"/>
    </w:p>
    <w:p w14:paraId="4E7DC70D">
      <w:pPr>
        <w:autoSpaceDE w:val="0"/>
        <w:autoSpaceDN w:val="0"/>
        <w:adjustRightInd w:val="0"/>
        <w:spacing w:line="460" w:lineRule="exact"/>
        <w:ind w:firstLine="480" w:firstLineChars="200"/>
        <w:rPr>
          <w:rFonts w:ascii="宋体" w:hAnsi="宋体" w:cs="宋体"/>
          <w:b/>
          <w:spacing w:val="-3"/>
          <w:sz w:val="24"/>
        </w:rPr>
      </w:pPr>
      <w:r>
        <w:rPr>
          <w:rFonts w:hint="eastAsia" w:ascii="宋体" w:hAnsi="宋体" w:cs="宋体"/>
          <w:sz w:val="24"/>
        </w:rPr>
        <w:t>具体详见供应商须知</w:t>
      </w:r>
    </w:p>
    <w:p w14:paraId="3EC3DF3A">
      <w:pPr>
        <w:autoSpaceDE w:val="0"/>
        <w:autoSpaceDN w:val="0"/>
        <w:adjustRightInd w:val="0"/>
        <w:spacing w:line="460" w:lineRule="exact"/>
        <w:ind w:firstLine="468" w:firstLineChars="200"/>
        <w:outlineLvl w:val="2"/>
        <w:rPr>
          <w:rFonts w:ascii="宋体" w:hAnsi="宋体" w:cs="宋体"/>
          <w:spacing w:val="-3"/>
          <w:sz w:val="24"/>
        </w:rPr>
      </w:pPr>
      <w:bookmarkStart w:id="7" w:name="_Toc6584"/>
      <w:r>
        <w:rPr>
          <w:rFonts w:hint="eastAsia" w:ascii="宋体" w:hAnsi="宋体" w:cs="宋体"/>
          <w:spacing w:val="-3"/>
          <w:sz w:val="24"/>
        </w:rPr>
        <w:t>5.磋商费用</w:t>
      </w:r>
      <w:bookmarkEnd w:id="7"/>
    </w:p>
    <w:p w14:paraId="0CC86700">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不论磋商结果如何，供应商均应自行承担所有与磋商有关的全部费用。</w:t>
      </w:r>
    </w:p>
    <w:p w14:paraId="01861E4E">
      <w:pPr>
        <w:autoSpaceDE w:val="0"/>
        <w:autoSpaceDN w:val="0"/>
        <w:adjustRightInd w:val="0"/>
        <w:spacing w:line="460" w:lineRule="exact"/>
        <w:ind w:firstLine="468" w:firstLineChars="200"/>
        <w:outlineLvl w:val="2"/>
        <w:rPr>
          <w:rFonts w:ascii="宋体" w:hAnsi="宋体" w:cs="宋体"/>
          <w:spacing w:val="-3"/>
          <w:sz w:val="24"/>
        </w:rPr>
      </w:pPr>
      <w:bookmarkStart w:id="8" w:name="_Toc13621"/>
      <w:r>
        <w:rPr>
          <w:rFonts w:hint="eastAsia" w:ascii="宋体" w:hAnsi="宋体" w:cs="宋体"/>
          <w:spacing w:val="-3"/>
          <w:sz w:val="24"/>
        </w:rPr>
        <w:t>6.联合体参加磋商</w:t>
      </w:r>
      <w:bookmarkEnd w:id="8"/>
    </w:p>
    <w:p w14:paraId="24079DD4">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6.1 本项目不接受联合体参加磋商。</w:t>
      </w:r>
    </w:p>
    <w:p w14:paraId="0295C201">
      <w:pPr>
        <w:autoSpaceDE w:val="0"/>
        <w:autoSpaceDN w:val="0"/>
        <w:adjustRightInd w:val="0"/>
        <w:spacing w:line="460" w:lineRule="exact"/>
        <w:ind w:firstLine="468" w:firstLineChars="200"/>
        <w:outlineLvl w:val="2"/>
        <w:rPr>
          <w:rFonts w:ascii="宋体" w:hAnsi="宋体" w:cs="宋体"/>
          <w:spacing w:val="-3"/>
          <w:sz w:val="24"/>
        </w:rPr>
      </w:pPr>
      <w:bookmarkStart w:id="9" w:name="_Toc7233"/>
      <w:r>
        <w:rPr>
          <w:rFonts w:hint="eastAsia" w:ascii="宋体" w:hAnsi="宋体" w:cs="宋体"/>
          <w:spacing w:val="-3"/>
          <w:sz w:val="24"/>
        </w:rPr>
        <w:t>7.转包与分包</w:t>
      </w:r>
      <w:bookmarkEnd w:id="9"/>
    </w:p>
    <w:p w14:paraId="7157F5A9">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7.1 本项目不允许采取转包方式履行合同。</w:t>
      </w:r>
    </w:p>
    <w:p w14:paraId="26427345">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7.2 本项目不允许采取分包方式履行合同。</w:t>
      </w:r>
    </w:p>
    <w:p w14:paraId="4AE15B08">
      <w:pPr>
        <w:autoSpaceDE w:val="0"/>
        <w:autoSpaceDN w:val="0"/>
        <w:adjustRightInd w:val="0"/>
        <w:spacing w:line="460" w:lineRule="exact"/>
        <w:ind w:firstLine="468" w:firstLineChars="200"/>
        <w:outlineLvl w:val="2"/>
        <w:rPr>
          <w:rFonts w:ascii="宋体" w:hAnsi="宋体" w:cs="宋体"/>
          <w:spacing w:val="-3"/>
          <w:sz w:val="24"/>
        </w:rPr>
      </w:pPr>
      <w:bookmarkStart w:id="10" w:name="_Toc21763"/>
      <w:r>
        <w:rPr>
          <w:rFonts w:hint="eastAsia" w:ascii="宋体" w:hAnsi="宋体" w:cs="宋体"/>
          <w:spacing w:val="-3"/>
          <w:sz w:val="24"/>
        </w:rPr>
        <w:t>7.3 本项目允许偏离（正偏离）。</w:t>
      </w:r>
    </w:p>
    <w:p w14:paraId="219ACDB9">
      <w:pPr>
        <w:autoSpaceDE w:val="0"/>
        <w:autoSpaceDN w:val="0"/>
        <w:adjustRightInd w:val="0"/>
        <w:spacing w:line="460" w:lineRule="exact"/>
        <w:ind w:firstLine="468" w:firstLineChars="200"/>
        <w:outlineLvl w:val="2"/>
        <w:rPr>
          <w:rFonts w:ascii="宋体" w:hAnsi="宋体" w:cs="宋体"/>
          <w:spacing w:val="-3"/>
          <w:sz w:val="24"/>
        </w:rPr>
      </w:pPr>
      <w:r>
        <w:rPr>
          <w:rFonts w:hint="eastAsia" w:ascii="宋体" w:hAnsi="宋体" w:cs="宋体"/>
          <w:spacing w:val="-3"/>
          <w:sz w:val="24"/>
        </w:rPr>
        <w:t>8.特别说明：</w:t>
      </w:r>
      <w:bookmarkEnd w:id="10"/>
    </w:p>
    <w:p w14:paraId="640B0528">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8.1 供应商参加磋商所使用的资格、信誉、荣誉、业绩与企业认证必须为本法人所拥有。</w:t>
      </w:r>
    </w:p>
    <w:p w14:paraId="6B2616D3">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8.2 供应商代表只能接受一个供应商的委托参加磋商。</w:t>
      </w:r>
    </w:p>
    <w:p w14:paraId="540DCE8B">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8.3 供应商在磋商活动中提供虚假材料或从事其他违法活动的,其响应无效，由相关部门查处。</w:t>
      </w:r>
    </w:p>
    <w:p w14:paraId="3EE666FA">
      <w:pPr>
        <w:autoSpaceDE w:val="0"/>
        <w:autoSpaceDN w:val="0"/>
        <w:adjustRightInd w:val="0"/>
        <w:spacing w:line="460" w:lineRule="exact"/>
        <w:ind w:firstLine="468" w:firstLineChars="200"/>
        <w:outlineLvl w:val="2"/>
        <w:rPr>
          <w:rFonts w:ascii="宋体" w:hAnsi="宋体" w:cs="宋体"/>
          <w:spacing w:val="-3"/>
          <w:sz w:val="24"/>
        </w:rPr>
      </w:pPr>
      <w:bookmarkStart w:id="11" w:name="_Toc20927"/>
      <w:r>
        <w:rPr>
          <w:rFonts w:hint="eastAsia" w:ascii="宋体" w:hAnsi="宋体" w:cs="宋体"/>
          <w:spacing w:val="-3"/>
          <w:sz w:val="24"/>
        </w:rPr>
        <w:t>9.质疑和投诉</w:t>
      </w:r>
      <w:bookmarkEnd w:id="11"/>
    </w:p>
    <w:p w14:paraId="48A09228">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9.1 供应商认为磋商过程和成交结果使自己的合法权益受到损害的，应当在知道或者应知其权益受到损害之日起7个工作日内，向采购人或采购代理机构提出质疑。供应商对采购人或采购代理机构的质疑答复不满意或采购人或采购代理机构未在规定时间内作出答复的，可以在答复期满后15个工作日内向同级财政部门投诉。</w:t>
      </w:r>
    </w:p>
    <w:p w14:paraId="06DF14F6">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9.2 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511FC942">
      <w:pPr>
        <w:autoSpaceDE w:val="0"/>
        <w:autoSpaceDN w:val="0"/>
        <w:adjustRightInd w:val="0"/>
        <w:spacing w:line="460" w:lineRule="exact"/>
        <w:ind w:firstLine="468" w:firstLineChars="200"/>
        <w:outlineLvl w:val="2"/>
        <w:rPr>
          <w:rFonts w:ascii="宋体" w:hAnsi="宋体" w:cs="宋体"/>
          <w:spacing w:val="-3"/>
          <w:sz w:val="24"/>
        </w:rPr>
      </w:pPr>
      <w:bookmarkStart w:id="12" w:name="_Toc21617"/>
      <w:r>
        <w:rPr>
          <w:rFonts w:hint="eastAsia" w:ascii="宋体" w:hAnsi="宋体" w:cs="宋体"/>
          <w:spacing w:val="-3"/>
          <w:sz w:val="24"/>
        </w:rPr>
        <w:t>10.供应商的风险</w:t>
      </w:r>
      <w:bookmarkEnd w:id="12"/>
    </w:p>
    <w:p w14:paraId="7C9BBDC2">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供应商没有按照竞争性磋商文件要求提供全部资料，或者供应商没有对响应性文件在各方面都作出实质性响应是供应商的风险，并可能导致其响应被拒绝。</w:t>
      </w:r>
    </w:p>
    <w:p w14:paraId="61C0278A">
      <w:pPr>
        <w:keepNext/>
        <w:keepLines/>
        <w:spacing w:line="460" w:lineRule="exact"/>
        <w:ind w:firstLine="482" w:firstLineChars="200"/>
        <w:jc w:val="center"/>
        <w:outlineLvl w:val="1"/>
        <w:rPr>
          <w:rFonts w:ascii="宋体" w:hAnsi="宋体" w:cs="宋体"/>
          <w:b/>
          <w:sz w:val="24"/>
        </w:rPr>
      </w:pPr>
      <w:bookmarkStart w:id="13" w:name="_Toc461977415"/>
      <w:bookmarkEnd w:id="13"/>
      <w:bookmarkStart w:id="14" w:name="_Toc22484"/>
      <w:r>
        <w:rPr>
          <w:rFonts w:hint="eastAsia" w:ascii="宋体" w:hAnsi="宋体" w:cs="宋体"/>
          <w:b/>
          <w:sz w:val="24"/>
        </w:rPr>
        <w:t>二、竞争性磋商文件</w:t>
      </w:r>
      <w:bookmarkEnd w:id="14"/>
    </w:p>
    <w:p w14:paraId="1B37F997">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11.竞争性磋商文件的构成。本竞争性磋商文件由以下部分组成：</w:t>
      </w:r>
    </w:p>
    <w:p w14:paraId="4F2D4B28">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11.1 竞争性磋商公告</w:t>
      </w:r>
    </w:p>
    <w:p w14:paraId="7005527B">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11.2 供应商须知</w:t>
      </w:r>
    </w:p>
    <w:p w14:paraId="2A2815FA">
      <w:pPr>
        <w:autoSpaceDE w:val="0"/>
        <w:autoSpaceDN w:val="0"/>
        <w:adjustRightInd w:val="0"/>
        <w:spacing w:line="460" w:lineRule="exact"/>
        <w:ind w:firstLine="468" w:firstLineChars="200"/>
        <w:rPr>
          <w:rFonts w:ascii="宋体" w:hAnsi="宋体" w:cs="宋体"/>
          <w:color w:val="000000" w:themeColor="text1"/>
          <w:spacing w:val="-3"/>
          <w:sz w:val="24"/>
          <w14:textFill>
            <w14:solidFill>
              <w14:schemeClr w14:val="tx1"/>
            </w14:solidFill>
          </w14:textFill>
        </w:rPr>
      </w:pPr>
      <w:r>
        <w:rPr>
          <w:rFonts w:hint="eastAsia" w:ascii="宋体" w:hAnsi="宋体" w:cs="宋体"/>
          <w:color w:val="000000" w:themeColor="text1"/>
          <w:spacing w:val="-3"/>
          <w:sz w:val="24"/>
          <w14:textFill>
            <w14:solidFill>
              <w14:schemeClr w14:val="tx1"/>
            </w14:solidFill>
          </w14:textFill>
        </w:rPr>
        <w:t>11.3 服务需求及要求</w:t>
      </w:r>
    </w:p>
    <w:p w14:paraId="1CE041E8">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11.4 评审办法</w:t>
      </w:r>
    </w:p>
    <w:p w14:paraId="6EA697DB">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11.5 合同条款及格式</w:t>
      </w:r>
    </w:p>
    <w:p w14:paraId="74045BB7">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11.6 响应性文件格式</w:t>
      </w:r>
    </w:p>
    <w:p w14:paraId="2FC6A848">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12.竞争性磋商文件的澄清与修改</w:t>
      </w:r>
    </w:p>
    <w:p w14:paraId="268A0CF3">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12.1 采购代理机构对已发出的竞争性磋商文件进行必要澄清、修改或补充</w:t>
      </w:r>
      <w:r>
        <w:rPr>
          <w:rFonts w:hint="eastAsia" w:ascii="宋体" w:hAnsi="宋体" w:cs="宋体"/>
          <w:spacing w:val="-6"/>
          <w:sz w:val="24"/>
        </w:rPr>
        <w:t>的，应当在竞争性磋商文件要求提交响应性文件截止时间5日前（如至原定</w:t>
      </w:r>
      <w:r>
        <w:rPr>
          <w:rFonts w:hint="eastAsia" w:ascii="宋体" w:hAnsi="宋体" w:cs="宋体"/>
          <w:spacing w:val="-4"/>
          <w:sz w:val="24"/>
        </w:rPr>
        <w:t>截止时间不足5日，则需延长磋商开始时间）前，在发布公告的相关媒体上发布更正公告</w:t>
      </w:r>
      <w:r>
        <w:rPr>
          <w:rFonts w:hint="eastAsia" w:ascii="宋体" w:hAnsi="宋体" w:cs="宋体"/>
          <w:spacing w:val="-3"/>
          <w:sz w:val="24"/>
        </w:rPr>
        <w:t>。竞争性磋商文件公示期间对竞争性磋商文件进行的澄清、修改或补充不受上述限制。</w:t>
      </w:r>
    </w:p>
    <w:p w14:paraId="5C0D6DF0">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12.2 竞争性磋商文件澄清、修改或补充的内容为竞争性磋商文件的组成部分。</w:t>
      </w:r>
    </w:p>
    <w:p w14:paraId="773A57D3">
      <w:pPr>
        <w:autoSpaceDE w:val="0"/>
        <w:autoSpaceDN w:val="0"/>
        <w:adjustRightInd w:val="0"/>
        <w:spacing w:line="460" w:lineRule="exact"/>
        <w:ind w:firstLine="468" w:firstLineChars="200"/>
        <w:rPr>
          <w:rFonts w:ascii="宋体" w:hAnsi="宋体" w:cs="宋体"/>
          <w:spacing w:val="-5"/>
          <w:sz w:val="24"/>
        </w:rPr>
      </w:pPr>
      <w:r>
        <w:rPr>
          <w:rFonts w:hint="eastAsia" w:ascii="宋体" w:hAnsi="宋体" w:cs="宋体"/>
          <w:spacing w:val="-3"/>
          <w:sz w:val="24"/>
        </w:rPr>
        <w:t>12.3 竞争性磋商文件的澄清、修改或补充都应通过本采购代理机构以法定形式</w:t>
      </w:r>
      <w:r>
        <w:rPr>
          <w:rFonts w:hint="eastAsia" w:ascii="宋体" w:hAnsi="宋体" w:cs="宋体"/>
          <w:spacing w:val="-5"/>
          <w:sz w:val="24"/>
        </w:rPr>
        <w:t>发布。采购人未通过本采购代理机构对竞争性磋商文件进行的澄清、修改或补充无效，磋商时不予认可。</w:t>
      </w:r>
    </w:p>
    <w:p w14:paraId="772EFB02">
      <w:pPr>
        <w:autoSpaceDE w:val="0"/>
        <w:autoSpaceDN w:val="0"/>
        <w:adjustRightInd w:val="0"/>
        <w:spacing w:line="460" w:lineRule="exact"/>
        <w:ind w:firstLine="468" w:firstLineChars="200"/>
        <w:rPr>
          <w:rFonts w:ascii="宋体" w:hAnsi="宋体" w:cs="宋体"/>
          <w:spacing w:val="-4"/>
          <w:sz w:val="24"/>
        </w:rPr>
      </w:pPr>
      <w:r>
        <w:rPr>
          <w:rFonts w:hint="eastAsia" w:ascii="宋体" w:hAnsi="宋体" w:cs="宋体"/>
          <w:spacing w:val="-3"/>
          <w:sz w:val="24"/>
        </w:rPr>
        <w:t>12.4 采购代理机构可以视采购具体情况，延长递交响应性文件截止时间和</w:t>
      </w:r>
      <w:r>
        <w:rPr>
          <w:rFonts w:hint="eastAsia" w:ascii="宋体" w:hAnsi="宋体" w:cs="宋体"/>
          <w:spacing w:val="-4"/>
          <w:sz w:val="24"/>
        </w:rPr>
        <w:t>开始磋商时间，但至少应当在竞争性磋商文件要求提交响应性文件的截止时间5日前，将变更时间在《中国招标投标公共服务平台》、《河南省政府采购网》和《三门峡市公共资源交易中心网》发布更正公告。</w:t>
      </w:r>
    </w:p>
    <w:p w14:paraId="017FCBD3">
      <w:pPr>
        <w:keepNext/>
        <w:keepLines/>
        <w:spacing w:line="460" w:lineRule="exact"/>
        <w:ind w:firstLine="482" w:firstLineChars="200"/>
        <w:jc w:val="center"/>
        <w:outlineLvl w:val="1"/>
        <w:rPr>
          <w:rFonts w:ascii="宋体" w:hAnsi="宋体" w:cs="宋体"/>
          <w:b/>
          <w:sz w:val="24"/>
        </w:rPr>
      </w:pPr>
      <w:bookmarkStart w:id="15" w:name="_Toc461977416"/>
      <w:bookmarkEnd w:id="15"/>
      <w:bookmarkStart w:id="16" w:name="_Toc2226"/>
      <w:r>
        <w:rPr>
          <w:rFonts w:hint="eastAsia" w:ascii="宋体" w:hAnsi="宋体" w:cs="宋体"/>
          <w:b/>
          <w:sz w:val="24"/>
        </w:rPr>
        <w:t>三、响应性文件的编制</w:t>
      </w:r>
      <w:bookmarkEnd w:id="16"/>
    </w:p>
    <w:p w14:paraId="719F77F8">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13.要求</w:t>
      </w:r>
    </w:p>
    <w:p w14:paraId="610CF3E2">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13.1供应商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14:paraId="7DE48E24">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14.响应性文件的语言和计量单位</w:t>
      </w:r>
    </w:p>
    <w:p w14:paraId="1D221FBE">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14.1 响应性文件以及供应商与采购、代理机构就有关磋商事宜的所有来往函电均应使用简体中文书写。</w:t>
      </w:r>
    </w:p>
    <w:p w14:paraId="16F83E61">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14.2 关于计量单位，竞争性磋商文件已有明确规定的，使用竞争性磋商文件规定的计量单位；竞争性磋商文件没有规定的，应采用中华人民共和国法定计量单位。</w:t>
      </w:r>
    </w:p>
    <w:p w14:paraId="743A1450">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15.响应性文件的组成。响应性文件应包括：详见磋商文件</w:t>
      </w:r>
    </w:p>
    <w:p w14:paraId="7527D1D4">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16.响应性文件有效期</w:t>
      </w:r>
    </w:p>
    <w:p w14:paraId="4E990B02">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16.1 响应性文件从所规定的递交响应性文件截止期之后开始生效，有效期不足将导致其响应性文件被拒绝。成交供应商的响应性文件有效期至合同完全履行止。</w:t>
      </w:r>
    </w:p>
    <w:p w14:paraId="39AFB062">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16.2 特殊情况下采购代理机构可于响应性文件有效期满之前要求供应商同意延长有效期，供应商应在采购代理机构规定的期限内予以答复。</w:t>
      </w:r>
    </w:p>
    <w:p w14:paraId="16C47444">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17.磋商报价</w:t>
      </w:r>
    </w:p>
    <w:p w14:paraId="468B0A8B">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17.1 所有磋商报价均以人民币元为计算单位。供应商的报价为项目实施所需的人工费、服务费、运输费、税费及完成项目所需其他一切费用。</w:t>
      </w:r>
    </w:p>
    <w:p w14:paraId="4913EF0B">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17.2 供应商要按初次报价一览表的内容填写。</w:t>
      </w:r>
    </w:p>
    <w:p w14:paraId="41F72862">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17.3本次磋商应以人民币报价，进行二次报价。</w:t>
      </w:r>
    </w:p>
    <w:p w14:paraId="04770420">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18.磋商保证金</w:t>
      </w:r>
    </w:p>
    <w:p w14:paraId="084973FA">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18.1按照《河南省财政厅关于优化政府采购营商环境有关问题的通知》（豫财购[2019]4号文）的要求本项目不再收取磋商保证金。</w:t>
      </w:r>
    </w:p>
    <w:p w14:paraId="5E62C02D">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19. 响应性文件的签署</w:t>
      </w:r>
    </w:p>
    <w:p w14:paraId="0C361943">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19.1 供应商应按供应商前附表中要求签署。响应性文件内容不完整、编排混乱导致被误读、漏读或者查找不到相关内容的，由供应商负责。</w:t>
      </w:r>
    </w:p>
    <w:p w14:paraId="3D279CE3">
      <w:pPr>
        <w:keepNext/>
        <w:keepLines/>
        <w:spacing w:line="460" w:lineRule="exact"/>
        <w:ind w:firstLine="482" w:firstLineChars="200"/>
        <w:jc w:val="center"/>
        <w:outlineLvl w:val="1"/>
        <w:rPr>
          <w:rFonts w:ascii="宋体" w:hAnsi="宋体" w:cs="宋体"/>
          <w:b/>
          <w:sz w:val="24"/>
        </w:rPr>
      </w:pPr>
      <w:bookmarkStart w:id="17" w:name="_Toc461977417"/>
      <w:bookmarkEnd w:id="17"/>
      <w:bookmarkStart w:id="18" w:name="_Toc27830"/>
      <w:r>
        <w:rPr>
          <w:rFonts w:hint="eastAsia" w:ascii="宋体" w:hAnsi="宋体" w:cs="宋体"/>
          <w:b/>
          <w:sz w:val="24"/>
        </w:rPr>
        <w:t>四、响应性文件的递交</w:t>
      </w:r>
      <w:bookmarkEnd w:id="18"/>
    </w:p>
    <w:p w14:paraId="73DB9B6A">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 xml:space="preserve"> </w:t>
      </w:r>
    </w:p>
    <w:p w14:paraId="365031E2">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20.响应性文件的递交</w:t>
      </w:r>
    </w:p>
    <w:p w14:paraId="437DAEEA">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在响应文件截止时间前上传至三门峡市公共资源交易中心系统平台。</w:t>
      </w:r>
    </w:p>
    <w:p w14:paraId="398A95B5">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21.响应性文件的修改和撤回</w:t>
      </w:r>
    </w:p>
    <w:p w14:paraId="4AAB1561">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21.1供应商在递交竞争性磋商文件截止时间前，可以对所提交的响应性文件进行补充、修改或者撤回。</w:t>
      </w:r>
    </w:p>
    <w:p w14:paraId="5CE7F485">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22.供应商有下列情形之一的，采购人或采购代理机构将拒绝接受其响应性文件：</w:t>
      </w:r>
    </w:p>
    <w:p w14:paraId="3896F0C3">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22.1 在竞争性磋商文件规定的递交竞争性磋商文件截止时间之后上传响应性文件的。</w:t>
      </w:r>
    </w:p>
    <w:p w14:paraId="03278DF5">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22.2未按竞争性磋商文件参加磋商的。</w:t>
      </w:r>
    </w:p>
    <w:p w14:paraId="3EDB1CED">
      <w:pPr>
        <w:keepNext/>
        <w:keepLines/>
        <w:spacing w:line="460" w:lineRule="exact"/>
        <w:ind w:firstLine="482" w:firstLineChars="200"/>
        <w:jc w:val="center"/>
        <w:outlineLvl w:val="1"/>
        <w:rPr>
          <w:rFonts w:ascii="宋体" w:hAnsi="宋体" w:cs="宋体"/>
          <w:b/>
          <w:sz w:val="24"/>
        </w:rPr>
      </w:pPr>
      <w:bookmarkStart w:id="19" w:name="_Toc461977418"/>
      <w:bookmarkEnd w:id="19"/>
      <w:bookmarkStart w:id="20" w:name="_Toc9665"/>
      <w:r>
        <w:rPr>
          <w:rFonts w:hint="eastAsia" w:ascii="宋体" w:hAnsi="宋体" w:cs="宋体"/>
          <w:b/>
          <w:sz w:val="24"/>
        </w:rPr>
        <w:t>五、磋商</w:t>
      </w:r>
      <w:bookmarkEnd w:id="20"/>
    </w:p>
    <w:p w14:paraId="526E276B">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23、磋商仪式</w:t>
      </w:r>
    </w:p>
    <w:p w14:paraId="0AF30AEF">
      <w:pPr>
        <w:autoSpaceDE w:val="0"/>
        <w:autoSpaceDN w:val="0"/>
        <w:adjustRightInd w:val="0"/>
        <w:spacing w:line="460" w:lineRule="exact"/>
        <w:ind w:firstLine="464" w:firstLineChars="200"/>
        <w:rPr>
          <w:rFonts w:ascii="宋体" w:hAnsi="宋体" w:cs="宋体"/>
          <w:sz w:val="24"/>
          <w:shd w:val="clear" w:color="auto" w:fill="FFFFFF"/>
        </w:rPr>
      </w:pPr>
      <w:r>
        <w:rPr>
          <w:rFonts w:hint="eastAsia" w:ascii="宋体" w:hAnsi="宋体" w:cs="宋体"/>
          <w:spacing w:val="-4"/>
          <w:sz w:val="24"/>
        </w:rPr>
        <w:t>磋商仪式由代理公司主持，竞争性磋商采购人代表、监督代表及有关工作人员参加，本项目为不见面开标项目，所有参与交易活动的供应商可以不到现场参加开标，供应商进行远程开标解密工作，每位供应商的解密时间为开标时间起30分钟内完成，</w:t>
      </w:r>
      <w:r>
        <w:rPr>
          <w:rFonts w:hint="eastAsia" w:ascii="宋体" w:hAnsi="宋体" w:cs="宋体"/>
          <w:sz w:val="24"/>
          <w:shd w:val="clear" w:color="auto" w:fill="FFFFFF"/>
        </w:rPr>
        <w:t>因供应商原因未能解密、解密失败或解密超时的将被拒绝。</w:t>
      </w:r>
    </w:p>
    <w:p w14:paraId="22A4DDAD">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24、磋商小组</w:t>
      </w:r>
      <w:r>
        <w:rPr>
          <w:rFonts w:hint="eastAsia" w:ascii="宋体" w:hAnsi="宋体" w:cs="宋体"/>
          <w:spacing w:val="-4"/>
          <w:sz w:val="24"/>
        </w:rPr>
        <w:tab/>
      </w:r>
    </w:p>
    <w:p w14:paraId="31B04A23">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采购代理机构根据采购项目的特点依法组建磋商小组。磋商小组由采购人代表和有关技术、经济等方面的专家组成，成员为3人。其中：技术、经济等方面的专家2名，采购人代表1名。采购人代表不得担任磋商小组组长。</w:t>
      </w:r>
    </w:p>
    <w:p w14:paraId="0D926E00">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25、磋商工作纪律及保密</w:t>
      </w:r>
    </w:p>
    <w:p w14:paraId="1B522AA0">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评审专家应当遵守评审工作纪律，不得泄露评审情况和评审中获悉的商业秘密。</w:t>
      </w:r>
    </w:p>
    <w:p w14:paraId="7A5ED5EF">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26、磋商小组工作原则</w:t>
      </w:r>
    </w:p>
    <w:p w14:paraId="01C32CBC">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072B9189">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27、响应文件审查</w:t>
      </w:r>
    </w:p>
    <w:p w14:paraId="1D699AF9">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C7CFA0B">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28、供应商澄清</w:t>
      </w:r>
    </w:p>
    <w:p w14:paraId="2D74433C">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磋商小组要求供应商澄清、说明或者更正响应文件将在电子系统作出。</w:t>
      </w:r>
    </w:p>
    <w:p w14:paraId="2225E35A">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29、磋商程序、最后报价、综合评分</w:t>
      </w:r>
    </w:p>
    <w:p w14:paraId="7D1AF859">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磋商小组所有成员应当集中与单一供应商分别进行磋商，并给予所有参加磋商的供应商平等的磋商机会。</w:t>
      </w:r>
    </w:p>
    <w:p w14:paraId="695A30AF">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在磋商过程中，磋商小组可以根据磋商文件和磋商情况实质性变动采购需求中的技术、服务要求以及合同草案条款，但不得变动磋商文件中的其他内容。</w:t>
      </w:r>
    </w:p>
    <w:p w14:paraId="612A2F2A">
      <w:pPr>
        <w:spacing w:line="460" w:lineRule="exact"/>
        <w:ind w:firstLine="480"/>
        <w:rPr>
          <w:rFonts w:ascii="宋体" w:hAnsi="宋体" w:cs="宋体"/>
          <w:spacing w:val="-4"/>
          <w:sz w:val="24"/>
        </w:rPr>
      </w:pPr>
      <w:r>
        <w:rPr>
          <w:rFonts w:hint="eastAsia" w:ascii="宋体" w:hAnsi="宋体" w:cs="宋体"/>
          <w:spacing w:val="-4"/>
          <w:sz w:val="24"/>
        </w:rPr>
        <w:t>磋商文件能够详细列明采购的的技术、服务要求的，磋商结束后，磋商小组将要求所有实质性响应的供应商在规定时间内提交最后报价。各供应商在会员系统中收到有关二次报价信息后，必须在规定时间内给出答复，并在签章后提交，采购人及采购代理机构不再电话通知。提交最后报价的供应商不得少于3家。最后报价是响应人响应文件的有效组成部分。</w:t>
      </w:r>
      <w:r>
        <w:rPr>
          <w:rFonts w:hint="eastAsia" w:ascii="宋体" w:hAnsi="宋体" w:cs="宋体"/>
          <w:sz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B9EEFB9">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已提交响应文件的供应商，在提交最后报价之前，可以根据情况退出磋商。</w:t>
      </w:r>
    </w:p>
    <w:p w14:paraId="4E444E9C">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7C222A42">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评审时，磋商小组各成员独立对每个有效响应的文件进行评价、打分，然后汇总每个供应商每项评分因素的得分。</w:t>
      </w:r>
    </w:p>
    <w:p w14:paraId="738F92B2">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14:paraId="1B175225">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出现下列情形之一的，将终止竞争性磋商采购活动，发布项目终止公告并说明原因，重新开展采购活动：</w:t>
      </w:r>
    </w:p>
    <w:p w14:paraId="22EA19CF">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（1）、不符合法律、法规和竞争性磋商文件中规定的其他实质性要求的；</w:t>
      </w:r>
    </w:p>
    <w:p w14:paraId="5918BE12">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（2）、其他法律、法规及本竞争性磋商文件规定的属响应无效的情形。终止竞争性磋商采购活动的条款；</w:t>
      </w:r>
    </w:p>
    <w:p w14:paraId="416E43B1">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（3）、因情况变化，不再符合规定的竞争性磋商采购方式适用情形的；出现影响采购公正的违法、违规行为的；</w:t>
      </w:r>
    </w:p>
    <w:p w14:paraId="3A7C42E0">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30、磋商截止时间结束后参加供应商不足3家的，应重新组织采购。评审期间符合专业条件的供应商或者对磋商响应文件作出实质响应的供应商不足3家的，采购代理机构将报请主管监督部门批准。</w:t>
      </w:r>
    </w:p>
    <w:p w14:paraId="5AC07133">
      <w:pPr>
        <w:keepNext/>
        <w:keepLines/>
        <w:spacing w:line="460" w:lineRule="exact"/>
        <w:jc w:val="center"/>
        <w:outlineLvl w:val="1"/>
        <w:rPr>
          <w:rFonts w:ascii="宋体" w:hAnsi="宋体" w:cs="宋体"/>
          <w:b/>
          <w:sz w:val="24"/>
        </w:rPr>
      </w:pPr>
      <w:bookmarkStart w:id="21" w:name="_Toc461977419"/>
      <w:bookmarkEnd w:id="21"/>
      <w:bookmarkStart w:id="22" w:name="_Toc12427"/>
      <w:r>
        <w:rPr>
          <w:rFonts w:hint="eastAsia" w:ascii="宋体" w:hAnsi="宋体" w:cs="宋体"/>
          <w:b/>
          <w:sz w:val="24"/>
        </w:rPr>
        <w:t>六、确定成交</w:t>
      </w:r>
      <w:bookmarkEnd w:id="22"/>
    </w:p>
    <w:p w14:paraId="66A0087D">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评标结束后，采购人和其委托的采购代理机构，在政府采购项目评审结束当日完成评标报告的报送、中标成交供应商的确定、中标公告的发布、中标成交通知书发出。中标通知书对采购人和中标供应商具有同等法律效力。中标通知书发出后，采购人改变中标结果，或者中标供应商放弃中标，应按相关法律、规章、规范性文件的要求承担相应的法律责任。未按规定交纳服务费、领取中标通知书的视为自动放弃中标。</w:t>
      </w:r>
    </w:p>
    <w:p w14:paraId="11F39AA6">
      <w:pPr>
        <w:keepNext/>
        <w:keepLines/>
        <w:spacing w:line="460" w:lineRule="exact"/>
        <w:jc w:val="center"/>
        <w:outlineLvl w:val="1"/>
        <w:rPr>
          <w:rFonts w:ascii="宋体" w:hAnsi="宋体" w:cs="宋体"/>
          <w:b/>
          <w:sz w:val="24"/>
        </w:rPr>
      </w:pPr>
      <w:bookmarkStart w:id="23" w:name="_Toc461977420"/>
      <w:bookmarkEnd w:id="23"/>
      <w:bookmarkStart w:id="24" w:name="_Toc32480"/>
      <w:r>
        <w:rPr>
          <w:rFonts w:hint="eastAsia" w:ascii="宋体" w:hAnsi="宋体" w:cs="宋体"/>
          <w:b/>
          <w:sz w:val="24"/>
        </w:rPr>
        <w:t>七、授予合同</w:t>
      </w:r>
      <w:bookmarkEnd w:id="24"/>
    </w:p>
    <w:p w14:paraId="416A8A20">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采购人、成交供应商在成交通知书发出之日发出之日起在1个工作日，根据竞争性磋商文件确定的事项和成交供应商响应性文件签订合同。合同签订后1个工作日内在河南省政府采购网上发布公告并完成合同备案。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70CC9DF7">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68B59363">
      <w:pPr>
        <w:autoSpaceDE w:val="0"/>
        <w:autoSpaceDN w:val="0"/>
        <w:adjustRightInd w:val="0"/>
        <w:spacing w:line="460" w:lineRule="exact"/>
        <w:ind w:firstLine="464" w:firstLineChars="200"/>
        <w:rPr>
          <w:rFonts w:ascii="宋体" w:hAnsi="宋体" w:cs="宋体"/>
          <w:b/>
          <w:sz w:val="32"/>
          <w:szCs w:val="32"/>
        </w:rPr>
      </w:pPr>
      <w:r>
        <w:rPr>
          <w:rFonts w:hint="eastAsia" w:ascii="宋体" w:hAnsi="宋体" w:cs="宋体"/>
          <w:spacing w:val="-4"/>
          <w:sz w:val="24"/>
        </w:rPr>
        <w:t xml:space="preserve">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 </w:t>
      </w:r>
    </w:p>
    <w:p w14:paraId="08D6F76D">
      <w:pPr>
        <w:keepNext/>
        <w:keepLines/>
        <w:spacing w:line="460" w:lineRule="exact"/>
        <w:jc w:val="center"/>
        <w:outlineLvl w:val="1"/>
        <w:rPr>
          <w:rFonts w:ascii="宋体" w:hAnsi="宋体" w:cs="宋体"/>
          <w:sz w:val="28"/>
          <w:szCs w:val="28"/>
        </w:rPr>
      </w:pPr>
      <w:r>
        <w:rPr>
          <w:rFonts w:hint="eastAsia" w:ascii="宋体" w:hAnsi="宋体" w:cs="宋体"/>
          <w:b/>
          <w:sz w:val="24"/>
        </w:rPr>
        <w:t>八、</w:t>
      </w:r>
      <w:bookmarkStart w:id="25" w:name="_Toc13604_WPSOffice_Level3"/>
      <w:r>
        <w:rPr>
          <w:rFonts w:hint="eastAsia" w:ascii="宋体" w:hAnsi="宋体" w:cs="宋体"/>
          <w:b/>
          <w:sz w:val="24"/>
        </w:rPr>
        <w:t>质疑程序及处理</w:t>
      </w:r>
      <w:bookmarkEnd w:id="25"/>
    </w:p>
    <w:p w14:paraId="19D841AA">
      <w:pPr>
        <w:pStyle w:val="35"/>
        <w:numPr>
          <w:ilvl w:val="1"/>
          <w:numId w:val="0"/>
        </w:numPr>
        <w:tabs>
          <w:tab w:val="left" w:pos="1341"/>
        </w:tabs>
        <w:wordWrap w:val="0"/>
        <w:spacing w:line="460" w:lineRule="exact"/>
        <w:ind w:firstLine="464" w:firstLineChars="200"/>
        <w:rPr>
          <w:rFonts w:ascii="宋体" w:hAnsi="宋体" w:cs="宋体"/>
          <w:spacing w:val="-4"/>
          <w:sz w:val="24"/>
        </w:rPr>
      </w:pPr>
      <w:r>
        <w:rPr>
          <w:rFonts w:hint="eastAsia" w:ascii="宋体" w:hAnsi="宋体" w:cs="宋体"/>
          <w:spacing w:val="-4"/>
          <w:sz w:val="24"/>
        </w:rPr>
        <w:t>31.1若竞争性磋商响应人认为其磋商未获公平评审或磋商文件、采购过程和成交结果使自己的合法权益受到损害，可以在知道或者应知其权益受到损害之日起 7 个工作日内，将质疑书原件送达采购人或采购代理机构。提出质疑期限的计算，依照下列规定办理：</w:t>
      </w:r>
    </w:p>
    <w:p w14:paraId="09D58119">
      <w:pPr>
        <w:pStyle w:val="7"/>
        <w:wordWrap w:val="0"/>
        <w:spacing w:line="460" w:lineRule="exact"/>
        <w:ind w:right="338" w:firstLine="464" w:firstLineChars="200"/>
        <w:rPr>
          <w:rFonts w:ascii="宋体" w:hAnsi="宋体" w:cs="宋体"/>
          <w:spacing w:val="-4"/>
          <w:kern w:val="2"/>
          <w:sz w:val="24"/>
        </w:rPr>
      </w:pPr>
      <w:r>
        <w:rPr>
          <w:rFonts w:hint="eastAsia" w:ascii="宋体" w:hAnsi="宋体" w:cs="宋体"/>
          <w:spacing w:val="-4"/>
          <w:kern w:val="2"/>
          <w:sz w:val="24"/>
        </w:rPr>
        <w:t>（一）对可以质疑的磋商文件提出质疑的，为收到磋商文件之日或者磋商文件公告期限届满之日；</w:t>
      </w:r>
    </w:p>
    <w:p w14:paraId="5EF095B0">
      <w:pPr>
        <w:pStyle w:val="7"/>
        <w:wordWrap w:val="0"/>
        <w:spacing w:line="460" w:lineRule="exact"/>
        <w:ind w:firstLine="464" w:firstLineChars="200"/>
        <w:rPr>
          <w:rFonts w:ascii="宋体" w:hAnsi="宋体" w:cs="宋体"/>
          <w:spacing w:val="-4"/>
          <w:kern w:val="2"/>
          <w:sz w:val="24"/>
        </w:rPr>
      </w:pPr>
      <w:r>
        <w:rPr>
          <w:rFonts w:hint="eastAsia" w:ascii="宋体" w:hAnsi="宋体" w:cs="宋体"/>
          <w:spacing w:val="-4"/>
          <w:kern w:val="2"/>
          <w:sz w:val="24"/>
        </w:rPr>
        <w:t>（二）对采购过程提出质疑的，为各采购程序环节结束之日；</w:t>
      </w:r>
    </w:p>
    <w:p w14:paraId="29B0258F">
      <w:pPr>
        <w:pStyle w:val="7"/>
        <w:wordWrap w:val="0"/>
        <w:spacing w:before="107" w:line="460" w:lineRule="exact"/>
        <w:ind w:firstLine="464" w:firstLineChars="200"/>
        <w:rPr>
          <w:rFonts w:ascii="宋体" w:hAnsi="宋体" w:cs="宋体"/>
          <w:spacing w:val="-4"/>
          <w:kern w:val="2"/>
          <w:sz w:val="24"/>
        </w:rPr>
      </w:pPr>
      <w:r>
        <w:rPr>
          <w:rFonts w:hint="eastAsia" w:ascii="宋体" w:hAnsi="宋体" w:cs="宋体"/>
          <w:spacing w:val="-4"/>
          <w:kern w:val="2"/>
          <w:sz w:val="24"/>
        </w:rPr>
        <w:t>（三）对成交结果提出质疑的，为成交结果公告期限届满之日。</w:t>
      </w:r>
    </w:p>
    <w:p w14:paraId="6348F3B4">
      <w:pPr>
        <w:pStyle w:val="35"/>
        <w:numPr>
          <w:ilvl w:val="1"/>
          <w:numId w:val="0"/>
        </w:numPr>
        <w:tabs>
          <w:tab w:val="left" w:pos="1341"/>
        </w:tabs>
        <w:wordWrap w:val="0"/>
        <w:spacing w:before="113" w:line="460" w:lineRule="exact"/>
        <w:ind w:right="340" w:firstLine="464" w:firstLineChars="200"/>
        <w:rPr>
          <w:rFonts w:ascii="宋体" w:hAnsi="宋体" w:cs="宋体"/>
          <w:spacing w:val="-4"/>
          <w:sz w:val="24"/>
        </w:rPr>
      </w:pPr>
      <w:r>
        <w:rPr>
          <w:rFonts w:hint="eastAsia" w:ascii="宋体" w:hAnsi="宋体" w:cs="宋体"/>
          <w:spacing w:val="-4"/>
          <w:sz w:val="24"/>
        </w:rPr>
        <w:t>31</w:t>
      </w:r>
      <w:r>
        <w:rPr>
          <w:rFonts w:ascii="宋体" w:hAnsi="宋体" w:cs="宋体"/>
          <w:spacing w:val="-4"/>
          <w:sz w:val="24"/>
          <w:lang w:val="zh-CN"/>
        </w:rPr>
        <w:t>.2</w:t>
      </w:r>
      <w:r>
        <w:rPr>
          <w:rFonts w:hint="eastAsia" w:ascii="宋体" w:hAnsi="宋体" w:cs="宋体"/>
          <w:spacing w:val="-4"/>
          <w:sz w:val="24"/>
        </w:rPr>
        <w:t>质疑书应当包括下列主要内容，并按照“谁主张、谁举证”的原则，附上相关证明材料。否则，采购人不予受理：</w:t>
      </w:r>
    </w:p>
    <w:p w14:paraId="460952D5">
      <w:pPr>
        <w:pStyle w:val="7"/>
        <w:wordWrap w:val="0"/>
        <w:spacing w:line="460" w:lineRule="exact"/>
        <w:ind w:right="337" w:firstLine="464" w:firstLineChars="200"/>
        <w:rPr>
          <w:rFonts w:ascii="宋体" w:hAnsi="宋体" w:cs="宋体"/>
          <w:spacing w:val="-4"/>
          <w:kern w:val="2"/>
          <w:sz w:val="24"/>
        </w:rPr>
      </w:pPr>
      <w:r>
        <w:rPr>
          <w:rFonts w:hint="eastAsia" w:ascii="宋体" w:hAnsi="宋体" w:cs="宋体"/>
          <w:spacing w:val="-4"/>
          <w:kern w:val="2"/>
          <w:sz w:val="24"/>
        </w:rPr>
        <w:t>（一）质疑磋商响应供应商全称、地址、法定代表人、联系人及联系电话、邮政编码等；</w:t>
      </w:r>
    </w:p>
    <w:p w14:paraId="2C66208A">
      <w:pPr>
        <w:pStyle w:val="7"/>
        <w:wordWrap w:val="0"/>
        <w:spacing w:line="460" w:lineRule="exact"/>
        <w:ind w:firstLine="464" w:firstLineChars="200"/>
        <w:rPr>
          <w:rFonts w:ascii="宋体" w:hAnsi="宋体" w:cs="宋体"/>
          <w:spacing w:val="-4"/>
          <w:kern w:val="2"/>
          <w:sz w:val="24"/>
        </w:rPr>
      </w:pPr>
      <w:r>
        <w:rPr>
          <w:rFonts w:hint="eastAsia" w:ascii="宋体" w:hAnsi="宋体" w:cs="宋体"/>
          <w:spacing w:val="-4"/>
          <w:kern w:val="2"/>
          <w:sz w:val="24"/>
        </w:rPr>
        <w:t>（二）被质疑采购项目的名称、编号；</w:t>
      </w:r>
    </w:p>
    <w:p w14:paraId="3F28B95C">
      <w:pPr>
        <w:pStyle w:val="7"/>
        <w:wordWrap w:val="0"/>
        <w:spacing w:before="110" w:line="460" w:lineRule="exact"/>
        <w:ind w:firstLine="464" w:firstLineChars="200"/>
        <w:rPr>
          <w:rFonts w:ascii="宋体" w:hAnsi="宋体" w:cs="宋体"/>
          <w:spacing w:val="-4"/>
          <w:kern w:val="2"/>
          <w:sz w:val="24"/>
        </w:rPr>
      </w:pPr>
      <w:r>
        <w:rPr>
          <w:rFonts w:hint="eastAsia" w:ascii="宋体" w:hAnsi="宋体" w:cs="宋体"/>
          <w:spacing w:val="-4"/>
          <w:kern w:val="2"/>
          <w:sz w:val="24"/>
        </w:rPr>
        <w:t>（三）质疑的具体事项、明确的请求和主张；</w:t>
      </w:r>
    </w:p>
    <w:p w14:paraId="73ADFAAA">
      <w:pPr>
        <w:pStyle w:val="7"/>
        <w:wordWrap w:val="0"/>
        <w:spacing w:before="112" w:line="460" w:lineRule="exact"/>
        <w:ind w:right="338" w:firstLine="464" w:firstLineChars="200"/>
        <w:rPr>
          <w:rFonts w:ascii="宋体" w:hAnsi="宋体" w:cs="宋体"/>
          <w:spacing w:val="-4"/>
          <w:kern w:val="2"/>
          <w:sz w:val="24"/>
        </w:rPr>
      </w:pPr>
      <w:r>
        <w:rPr>
          <w:rFonts w:hint="eastAsia" w:ascii="宋体" w:hAnsi="宋体" w:cs="宋体"/>
          <w:spacing w:val="-4"/>
          <w:kern w:val="2"/>
          <w:sz w:val="24"/>
        </w:rPr>
        <w:t>（四）质疑所依据的法律依据（具体条款）、具体事实和具体理由。质疑书依据理由部分只有主观陈述、推理、猜测等，而没有提供客观事实依据、法律依据的；</w:t>
      </w:r>
    </w:p>
    <w:p w14:paraId="216F4596">
      <w:pPr>
        <w:pStyle w:val="7"/>
        <w:wordWrap w:val="0"/>
        <w:spacing w:line="460" w:lineRule="exact"/>
        <w:ind w:right="337" w:firstLine="464" w:firstLineChars="200"/>
        <w:rPr>
          <w:rFonts w:ascii="宋体" w:hAnsi="宋体" w:cs="宋体"/>
          <w:spacing w:val="-4"/>
          <w:kern w:val="2"/>
          <w:sz w:val="24"/>
        </w:rPr>
      </w:pPr>
      <w:r>
        <w:rPr>
          <w:rFonts w:hint="eastAsia" w:ascii="宋体" w:hAnsi="宋体" w:cs="宋体"/>
          <w:spacing w:val="-4"/>
          <w:kern w:val="2"/>
          <w:sz w:val="24"/>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2F17D1E2">
      <w:pPr>
        <w:pStyle w:val="7"/>
        <w:wordWrap w:val="0"/>
        <w:spacing w:line="460" w:lineRule="exact"/>
        <w:ind w:right="337" w:firstLine="464" w:firstLineChars="200"/>
        <w:rPr>
          <w:rFonts w:ascii="宋体" w:hAnsi="宋体" w:cs="宋体"/>
          <w:spacing w:val="-4"/>
          <w:kern w:val="2"/>
          <w:sz w:val="24"/>
        </w:rPr>
      </w:pPr>
      <w:r>
        <w:rPr>
          <w:rFonts w:hint="eastAsia" w:ascii="宋体" w:hAnsi="宋体" w:cs="宋体"/>
          <w:spacing w:val="-4"/>
          <w:kern w:val="2"/>
          <w:sz w:val="24"/>
        </w:rPr>
        <w:t>（六）充足有效的相关证明材料；如果涉及到产品功能或技术指标的，应出具相关制造商的证明文件；</w:t>
      </w:r>
    </w:p>
    <w:p w14:paraId="008C28D6">
      <w:pPr>
        <w:pStyle w:val="7"/>
        <w:wordWrap w:val="0"/>
        <w:spacing w:line="460" w:lineRule="exact"/>
        <w:ind w:right="337" w:firstLine="464" w:firstLineChars="200"/>
        <w:rPr>
          <w:rFonts w:ascii="宋体" w:hAnsi="宋体" w:cs="宋体"/>
          <w:spacing w:val="-4"/>
          <w:kern w:val="2"/>
          <w:sz w:val="24"/>
        </w:rPr>
      </w:pPr>
      <w:r>
        <w:rPr>
          <w:rFonts w:hint="eastAsia" w:ascii="宋体" w:hAnsi="宋体" w:cs="宋体"/>
          <w:spacing w:val="-4"/>
          <w:kern w:val="2"/>
          <w:sz w:val="24"/>
        </w:rPr>
        <w:t>（七）质疑材料中有外文资料的，应一并附上中文译本，并以中文译本为准。</w:t>
      </w:r>
    </w:p>
    <w:p w14:paraId="69917393">
      <w:pPr>
        <w:pStyle w:val="7"/>
        <w:wordWrap w:val="0"/>
        <w:spacing w:line="460" w:lineRule="exact"/>
        <w:ind w:right="337" w:firstLine="464" w:firstLineChars="200"/>
        <w:rPr>
          <w:rFonts w:ascii="宋体" w:hAnsi="宋体" w:cs="宋体"/>
          <w:spacing w:val="-4"/>
          <w:kern w:val="2"/>
          <w:sz w:val="24"/>
        </w:rPr>
      </w:pPr>
      <w:r>
        <w:rPr>
          <w:rFonts w:hint="eastAsia" w:ascii="宋体" w:hAnsi="宋体" w:cs="宋体"/>
          <w:spacing w:val="-4"/>
          <w:kern w:val="2"/>
          <w:sz w:val="24"/>
        </w:rPr>
        <w:t>（八）提起质疑的日期</w:t>
      </w:r>
    </w:p>
    <w:p w14:paraId="34AC332C">
      <w:pPr>
        <w:pStyle w:val="7"/>
        <w:wordWrap w:val="0"/>
        <w:spacing w:line="460" w:lineRule="exact"/>
        <w:ind w:right="337" w:firstLine="464" w:firstLineChars="200"/>
        <w:rPr>
          <w:rFonts w:ascii="宋体" w:hAnsi="宋体" w:cs="宋体"/>
          <w:spacing w:val="-4"/>
          <w:kern w:val="2"/>
          <w:sz w:val="24"/>
        </w:rPr>
      </w:pPr>
      <w:r>
        <w:rPr>
          <w:rFonts w:hint="eastAsia" w:ascii="宋体" w:hAnsi="宋体" w:cs="宋体"/>
          <w:spacing w:val="-4"/>
          <w:kern w:val="2"/>
          <w:sz w:val="24"/>
        </w:rPr>
        <w:t>磋商响应供应商质疑实行实名制并须在质疑书上署名。磋商响应供应商不得进行虚假、恶意质疑，不得以质疑为手段获取不当得利、实现非法目的。磋商响应供应商为自然人的，应当由本人签字；磋商响应供应商为法人的，应当由法定代表人签字或盖章并加盖公章；磋商响应供应商为其他组织的，应当由主要负责人签字或盖章并加盖公章。磋商响应供应商其他工作人员或代理人员在质疑书上的署名不具有法律效力。</w:t>
      </w:r>
    </w:p>
    <w:p w14:paraId="1DC89487">
      <w:pPr>
        <w:pStyle w:val="35"/>
        <w:numPr>
          <w:ilvl w:val="1"/>
          <w:numId w:val="0"/>
        </w:numPr>
        <w:tabs>
          <w:tab w:val="left" w:pos="1341"/>
        </w:tabs>
        <w:wordWrap w:val="0"/>
        <w:spacing w:line="460" w:lineRule="exact"/>
        <w:ind w:right="338" w:firstLine="464" w:firstLineChars="200"/>
        <w:rPr>
          <w:rFonts w:ascii="宋体" w:hAnsi="宋体" w:cs="宋体"/>
          <w:spacing w:val="-4"/>
          <w:sz w:val="24"/>
        </w:rPr>
      </w:pPr>
      <w:r>
        <w:rPr>
          <w:rFonts w:hint="eastAsia" w:ascii="宋体" w:hAnsi="宋体" w:cs="宋体"/>
          <w:spacing w:val="-4"/>
          <w:sz w:val="24"/>
        </w:rPr>
        <w:t>31</w:t>
      </w:r>
      <w:r>
        <w:rPr>
          <w:rFonts w:ascii="宋体" w:hAnsi="宋体" w:cs="宋体"/>
          <w:spacing w:val="-4"/>
          <w:sz w:val="24"/>
          <w:lang w:val="zh-CN"/>
        </w:rPr>
        <w:t>.3</w:t>
      </w:r>
      <w:r>
        <w:rPr>
          <w:rFonts w:hint="eastAsia" w:ascii="宋体" w:hAnsi="宋体" w:cs="宋体"/>
          <w:spacing w:val="-4"/>
          <w:sz w:val="24"/>
        </w:rPr>
        <w:t>磋商响应供应商委托代理人办理质疑事宜，应当提交授权委托书，并载明委托代理的具体权限和事项。授权委托书应当由委托人签字并加盖单位公章。</w:t>
      </w:r>
    </w:p>
    <w:p w14:paraId="4032D3DC">
      <w:pPr>
        <w:pStyle w:val="35"/>
        <w:numPr>
          <w:ilvl w:val="1"/>
          <w:numId w:val="0"/>
        </w:numPr>
        <w:tabs>
          <w:tab w:val="left" w:pos="1341"/>
        </w:tabs>
        <w:wordWrap w:val="0"/>
        <w:spacing w:line="460" w:lineRule="exact"/>
        <w:ind w:right="338" w:firstLine="464" w:firstLineChars="200"/>
        <w:rPr>
          <w:rFonts w:ascii="宋体" w:hAnsi="宋体" w:cs="宋体"/>
          <w:spacing w:val="-4"/>
          <w:sz w:val="24"/>
        </w:rPr>
      </w:pPr>
      <w:r>
        <w:rPr>
          <w:rFonts w:hint="eastAsia" w:ascii="宋体" w:hAnsi="宋体" w:cs="宋体"/>
          <w:spacing w:val="-4"/>
          <w:sz w:val="24"/>
        </w:rPr>
        <w:t>31</w:t>
      </w:r>
      <w:r>
        <w:rPr>
          <w:rFonts w:ascii="宋体" w:hAnsi="宋体" w:cs="宋体"/>
          <w:spacing w:val="-4"/>
          <w:sz w:val="24"/>
          <w:lang w:val="zh-CN"/>
        </w:rPr>
        <w:t>.4</w:t>
      </w:r>
      <w:r>
        <w:rPr>
          <w:rFonts w:hint="eastAsia" w:ascii="宋体" w:hAnsi="宋体" w:cs="宋体"/>
          <w:spacing w:val="-4"/>
          <w:sz w:val="24"/>
        </w:rPr>
        <w:t>提交质疑书时，磋商响应供应商应同时提交本人身份证，委托他人代理质疑事宜的，还应提交被委托人的身份证。磋商响应供应商是法人的，应一并提交法人营业执照和法定代表人身份证；磋商响应供应商是其他组织的，应一并提交其他组织经营许可证和主要负责人身份证。磋商响应供应商应当提供上述证明材料的原件及复印件，原件经采购人核对无误后返还。</w:t>
      </w:r>
    </w:p>
    <w:p w14:paraId="2513C503">
      <w:pPr>
        <w:pStyle w:val="35"/>
        <w:numPr>
          <w:ilvl w:val="1"/>
          <w:numId w:val="0"/>
        </w:numPr>
        <w:tabs>
          <w:tab w:val="left" w:pos="1341"/>
        </w:tabs>
        <w:wordWrap w:val="0"/>
        <w:spacing w:line="460" w:lineRule="exact"/>
        <w:ind w:right="338" w:firstLine="464" w:firstLineChars="200"/>
        <w:rPr>
          <w:rFonts w:ascii="宋体" w:hAnsi="宋体" w:cs="宋体"/>
          <w:spacing w:val="-4"/>
          <w:sz w:val="24"/>
        </w:rPr>
      </w:pPr>
      <w:r>
        <w:rPr>
          <w:rFonts w:hint="eastAsia" w:ascii="宋体" w:hAnsi="宋体" w:cs="宋体"/>
          <w:spacing w:val="-4"/>
          <w:sz w:val="24"/>
        </w:rPr>
        <w:t>31</w:t>
      </w:r>
      <w:r>
        <w:rPr>
          <w:rFonts w:ascii="宋体" w:hAnsi="宋体" w:cs="宋体"/>
          <w:spacing w:val="-4"/>
          <w:sz w:val="24"/>
          <w:lang w:val="zh-CN"/>
        </w:rPr>
        <w:t>.5</w:t>
      </w:r>
      <w:r>
        <w:rPr>
          <w:rFonts w:hint="eastAsia" w:ascii="宋体" w:hAnsi="宋体" w:cs="宋体"/>
          <w:spacing w:val="-4"/>
          <w:sz w:val="24"/>
        </w:rPr>
        <w:t>质疑书提交方式。磋商响应供应商或者其委托代理人应当当面提交质疑书及相关证明材料。磋商响应供应商以电子邮件、传真等其他方式提交质疑书及相关证明材料的，或者不是磋商响应供应商或者其委托代理人提交质疑书及相关证明材料的，采购人或采购机构可以拒收。</w:t>
      </w:r>
    </w:p>
    <w:p w14:paraId="433B8C1C">
      <w:pPr>
        <w:pStyle w:val="35"/>
        <w:numPr>
          <w:ilvl w:val="1"/>
          <w:numId w:val="0"/>
        </w:numPr>
        <w:tabs>
          <w:tab w:val="left" w:pos="1341"/>
        </w:tabs>
        <w:wordWrap w:val="0"/>
        <w:spacing w:line="460" w:lineRule="exact"/>
        <w:ind w:right="338" w:firstLine="464" w:firstLineChars="200"/>
        <w:rPr>
          <w:rFonts w:ascii="宋体" w:hAnsi="宋体" w:cs="宋体"/>
          <w:spacing w:val="-4"/>
          <w:sz w:val="24"/>
        </w:rPr>
      </w:pPr>
      <w:r>
        <w:rPr>
          <w:rFonts w:hint="eastAsia" w:ascii="宋体" w:hAnsi="宋体" w:cs="宋体"/>
          <w:spacing w:val="-4"/>
          <w:sz w:val="24"/>
        </w:rPr>
        <w:t>31</w:t>
      </w:r>
      <w:r>
        <w:rPr>
          <w:rFonts w:ascii="宋体" w:hAnsi="宋体" w:cs="宋体"/>
          <w:spacing w:val="-4"/>
          <w:sz w:val="24"/>
          <w:lang w:val="zh-CN"/>
        </w:rPr>
        <w:t>.6</w:t>
      </w:r>
      <w:r>
        <w:rPr>
          <w:rFonts w:hint="eastAsia" w:ascii="宋体" w:hAnsi="宋体" w:cs="宋体"/>
          <w:spacing w:val="-4"/>
          <w:sz w:val="24"/>
        </w:rPr>
        <w:t>磋商响应供应商不得虚假质疑和恶意质疑，并对质疑内容的真实性承担责任。磋商响应供应商或者其他利害关系人通过捏造事实、伪造证明材料等方式提出异议或投诉，阻碍招磋商活动正常进行的，属于严重不良行为，采购人将提请财政部门将其列入不良行为记录名单，并依法予以处罚。</w:t>
      </w:r>
    </w:p>
    <w:p w14:paraId="76FB1D41">
      <w:pPr>
        <w:pStyle w:val="35"/>
        <w:numPr>
          <w:ilvl w:val="1"/>
          <w:numId w:val="0"/>
        </w:numPr>
        <w:tabs>
          <w:tab w:val="left" w:pos="1341"/>
        </w:tabs>
        <w:wordWrap w:val="0"/>
        <w:spacing w:line="460" w:lineRule="exact"/>
        <w:ind w:right="218" w:firstLine="464" w:firstLineChars="200"/>
        <w:rPr>
          <w:rFonts w:ascii="宋体" w:hAnsi="宋体" w:cs="宋体"/>
          <w:spacing w:val="-4"/>
          <w:sz w:val="24"/>
        </w:rPr>
      </w:pPr>
      <w:r>
        <w:rPr>
          <w:rFonts w:hint="eastAsia" w:ascii="宋体" w:hAnsi="宋体" w:cs="宋体"/>
          <w:spacing w:val="-4"/>
          <w:sz w:val="24"/>
        </w:rPr>
        <w:t>31</w:t>
      </w:r>
      <w:r>
        <w:rPr>
          <w:rFonts w:ascii="宋体" w:hAnsi="宋体" w:cs="宋体"/>
          <w:spacing w:val="-4"/>
          <w:sz w:val="24"/>
          <w:lang w:val="zh-CN"/>
        </w:rPr>
        <w:t>.7</w:t>
      </w:r>
      <w:r>
        <w:rPr>
          <w:rFonts w:hint="eastAsia" w:ascii="宋体" w:hAnsi="宋体" w:cs="宋体"/>
          <w:spacing w:val="-4"/>
          <w:sz w:val="24"/>
        </w:rPr>
        <w:t>采购人将在收到符合上述条件的书面质疑后 7 个工作日内审查质疑事项，作出答复或相关处理决定，并以书面形式通知质疑磋商响应供应商和其他有关磋商响应供应商，但答复的内容不涉及商业秘密。若质疑涉及磋商制度或程序，将被转交政府采购的管理部门审查。采购人遵循“谁过错谁负担”的原则，有过错的一方承担调查论证费用。</w:t>
      </w:r>
    </w:p>
    <w:p w14:paraId="54D7E89F">
      <w:pPr>
        <w:pStyle w:val="35"/>
        <w:numPr>
          <w:ilvl w:val="1"/>
          <w:numId w:val="0"/>
        </w:numPr>
        <w:tabs>
          <w:tab w:val="left" w:pos="1341"/>
        </w:tabs>
        <w:wordWrap w:val="0"/>
        <w:spacing w:line="460" w:lineRule="exact"/>
        <w:ind w:right="338" w:firstLine="464" w:firstLineChars="200"/>
        <w:rPr>
          <w:rFonts w:ascii="宋体" w:hAnsi="宋体" w:cs="宋体"/>
          <w:spacing w:val="-4"/>
          <w:sz w:val="24"/>
        </w:rPr>
      </w:pPr>
      <w:r>
        <w:rPr>
          <w:rFonts w:hint="eastAsia" w:ascii="宋体" w:hAnsi="宋体" w:cs="宋体"/>
          <w:spacing w:val="-4"/>
          <w:sz w:val="24"/>
        </w:rPr>
        <w:t>31</w:t>
      </w:r>
      <w:r>
        <w:rPr>
          <w:rFonts w:ascii="宋体" w:hAnsi="宋体" w:cs="宋体"/>
          <w:spacing w:val="-4"/>
          <w:sz w:val="24"/>
          <w:lang w:val="zh-CN"/>
        </w:rPr>
        <w:t>.8</w:t>
      </w:r>
      <w:r>
        <w:rPr>
          <w:rFonts w:hint="eastAsia" w:ascii="宋体" w:hAnsi="宋体" w:cs="宋体"/>
          <w:spacing w:val="-4"/>
          <w:sz w:val="24"/>
        </w:rPr>
        <w:t>质疑供应商对采购人的答复不满意以及采购人未在规定的时间内做出答复的， 可以在答复期满后 15 个工作日内向财政部门投诉。</w:t>
      </w:r>
    </w:p>
    <w:p w14:paraId="7D1FABCD">
      <w:pPr>
        <w:keepNext/>
        <w:keepLines/>
        <w:spacing w:line="360" w:lineRule="auto"/>
        <w:outlineLvl w:val="1"/>
        <w:rPr>
          <w:rFonts w:ascii="宋体" w:hAnsi="宋体" w:cs="宋体"/>
          <w:b/>
          <w:sz w:val="24"/>
        </w:rPr>
      </w:pPr>
    </w:p>
    <w:p w14:paraId="052A9AE9">
      <w:pPr>
        <w:adjustRightInd w:val="0"/>
        <w:snapToGrid w:val="0"/>
        <w:spacing w:line="360" w:lineRule="auto"/>
        <w:rPr>
          <w:rFonts w:ascii="宋体" w:hAnsi="宋体" w:cs="宋体"/>
          <w:b/>
          <w:bCs/>
          <w:sz w:val="28"/>
          <w:szCs w:val="28"/>
        </w:rPr>
      </w:pPr>
    </w:p>
    <w:p w14:paraId="31B4CD89">
      <w:pPr>
        <w:rPr>
          <w:rFonts w:ascii="宋体" w:hAnsi="宋体" w:cs="宋体"/>
          <w:b/>
          <w:bCs/>
          <w:sz w:val="24"/>
        </w:rPr>
      </w:pPr>
      <w:r>
        <w:rPr>
          <w:rFonts w:hint="eastAsia" w:ascii="宋体" w:hAnsi="宋体" w:cs="宋体"/>
          <w:b/>
          <w:bCs/>
          <w:sz w:val="24"/>
        </w:rPr>
        <w:br w:type="page"/>
      </w:r>
    </w:p>
    <w:p w14:paraId="3060E079">
      <w:pPr>
        <w:spacing w:line="480" w:lineRule="auto"/>
        <w:jc w:val="center"/>
        <w:rPr>
          <w:rFonts w:ascii="宋体" w:hAnsi="宋体" w:cs="宋体"/>
          <w:b/>
          <w:sz w:val="32"/>
          <w:szCs w:val="32"/>
        </w:rPr>
      </w:pPr>
      <w:bookmarkStart w:id="26" w:name="_Toc469928905"/>
      <w:r>
        <w:rPr>
          <w:rFonts w:hint="eastAsia" w:ascii="宋体" w:hAnsi="宋体" w:cs="宋体"/>
          <w:b/>
          <w:sz w:val="32"/>
          <w:szCs w:val="32"/>
        </w:rPr>
        <w:t>第三章 服务需求及要求</w:t>
      </w:r>
    </w:p>
    <w:p w14:paraId="69F6A688">
      <w:pPr>
        <w:keepNext w:val="0"/>
        <w:keepLines w:val="0"/>
        <w:pageBreakBefore w:val="0"/>
        <w:numPr>
          <w:ilvl w:val="0"/>
          <w:numId w:val="3"/>
        </w:numPr>
        <w:kinsoku/>
        <w:wordWrap/>
        <w:overflowPunct/>
        <w:topLinePunct w:val="0"/>
        <w:autoSpaceDE/>
        <w:autoSpaceDN/>
        <w:bidi w:val="0"/>
        <w:adjustRightInd/>
        <w:snapToGrid/>
        <w:spacing w:line="520" w:lineRule="atLeas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项目概况</w:t>
      </w:r>
    </w:p>
    <w:p w14:paraId="1496D36B">
      <w:pPr>
        <w:keepNext w:val="0"/>
        <w:keepLines w:val="0"/>
        <w:pageBreakBefore w:val="0"/>
        <w:numPr>
          <w:ilvl w:val="0"/>
          <w:numId w:val="0"/>
        </w:numPr>
        <w:kinsoku/>
        <w:wordWrap/>
        <w:overflowPunct/>
        <w:topLinePunct w:val="0"/>
        <w:autoSpaceDE/>
        <w:autoSpaceDN/>
        <w:bidi w:val="0"/>
        <w:adjustRightInd/>
        <w:snapToGrid/>
        <w:spacing w:line="520" w:lineRule="atLeast"/>
        <w:jc w:val="left"/>
        <w:textAlignment w:val="auto"/>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    河南黄河湿地国家级自然保护区，2003年6月经国务院批准建立，以保护湿地生态系统和湿地水禽为主的自然保护区，保护区灵宝段位于河南西部的豫、晋、陕三省交界处，西接陕西省东与三门峡市的一体化示范区交界，北与山西省隔河相望，南依黄土塬地。</w:t>
      </w:r>
    </w:p>
    <w:p w14:paraId="798E9F46">
      <w:pPr>
        <w:keepNext w:val="0"/>
        <w:keepLines w:val="0"/>
        <w:pageBreakBefore w:val="0"/>
        <w:widowControl/>
        <w:suppressLineNumbers w:val="0"/>
        <w:kinsoku/>
        <w:wordWrap/>
        <w:overflowPunct/>
        <w:topLinePunct w:val="0"/>
        <w:autoSpaceDE/>
        <w:autoSpaceDN/>
        <w:bidi w:val="0"/>
        <w:adjustRightInd/>
        <w:snapToGrid/>
        <w:spacing w:line="520" w:lineRule="atLeast"/>
        <w:ind w:firstLine="480" w:firstLineChars="200"/>
        <w:jc w:val="left"/>
        <w:textAlignment w:val="auto"/>
        <w:rPr>
          <w:rStyle w:val="51"/>
          <w:rFonts w:hint="eastAsia" w:ascii="宋体" w:hAnsi="宋体" w:eastAsia="宋体" w:cs="宋体"/>
          <w:sz w:val="28"/>
          <w:szCs w:val="28"/>
          <w:lang w:val="en-US" w:eastAsia="zh-CN" w:bidi="ar"/>
        </w:rPr>
      </w:pPr>
      <w:r>
        <w:rPr>
          <w:rStyle w:val="51"/>
          <w:rFonts w:hint="eastAsia" w:ascii="宋体" w:hAnsi="宋体" w:eastAsia="宋体" w:cs="宋体"/>
          <w:sz w:val="24"/>
          <w:szCs w:val="24"/>
          <w:lang w:val="en-US" w:eastAsia="zh-CN" w:bidi="ar"/>
        </w:rPr>
        <w:t>本项目基于保护区本底资源数据，接入动态感知监测数据与专项调查数据，进行数据的融合、挖掘分析，将保护区管理服务工作从定性变为定量、静态变为动态、单一变为综合，并进行现状分析展示、实时业务调度、演示汇报、综合监管、应用决策，建立数字孪生体将保护区湿地、野生动植物等资源、空间格局、地理环境、业务数据融合到一个时空体系中，以可视化形式呈现各项信息，通过多维感知监测、数字化业务协同手段建设集资源调查、资源管理、资源保护于一体的数字化立体巡护系统，实现黄河湿地保护区灵宝段资源全域、全要素监测管理为保护区监管进行动态模拟和决策，实现对保护区整体数字化分析可视化，充分挖掘时空价值为管理工作提供切实可靠的决策支持，对保护生态状况、生态健康和生态服务价值进行评估、分析，对后期保护、管理、发展的措施制定支撑提供量化依据，让管理决策更加科学。</w:t>
      </w:r>
    </w:p>
    <w:p w14:paraId="35F8B560">
      <w:pPr>
        <w:keepNext w:val="0"/>
        <w:keepLines w:val="0"/>
        <w:pageBreakBefore w:val="0"/>
        <w:numPr>
          <w:ilvl w:val="0"/>
          <w:numId w:val="3"/>
        </w:numPr>
        <w:kinsoku/>
        <w:wordWrap/>
        <w:overflowPunct/>
        <w:topLinePunct w:val="0"/>
        <w:autoSpaceDE/>
        <w:autoSpaceDN/>
        <w:bidi w:val="0"/>
        <w:adjustRightInd/>
        <w:snapToGrid/>
        <w:spacing w:line="520" w:lineRule="atLeas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采购清单及技术要求</w:t>
      </w:r>
    </w:p>
    <w:tbl>
      <w:tblPr>
        <w:tblStyle w:val="20"/>
        <w:tblW w:w="49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75"/>
        <w:gridCol w:w="988"/>
        <w:gridCol w:w="637"/>
        <w:gridCol w:w="663"/>
        <w:gridCol w:w="5575"/>
      </w:tblGrid>
      <w:tr w14:paraId="0936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355484E4">
            <w:pPr>
              <w:keepNext w:val="0"/>
              <w:keepLines w:val="0"/>
              <w:pageBreakBefore w:val="0"/>
              <w:numPr>
                <w:ilvl w:val="0"/>
                <w:numId w:val="0"/>
              </w:numPr>
              <w:kinsoku/>
              <w:wordWrap/>
              <w:overflowPunct/>
              <w:autoSpaceDE/>
              <w:autoSpaceDN/>
              <w:bidi w:val="0"/>
              <w:adjustRightInd/>
              <w:spacing w:line="570" w:lineRule="exact"/>
              <w:jc w:val="center"/>
              <w:textAlignment w:val="auto"/>
              <w:rPr>
                <w:rFonts w:hint="default" w:asciiTheme="minorEastAsia" w:hAnsiTheme="minorEastAsia" w:eastAsiaTheme="minorEastAsia" w:cstheme="minorEastAsia"/>
                <w:b/>
                <w:bCs w:val="0"/>
                <w:sz w:val="20"/>
                <w:szCs w:val="20"/>
                <w:vertAlign w:val="baseline"/>
                <w:lang w:val="en-US" w:eastAsia="zh-CN"/>
              </w:rPr>
            </w:pPr>
            <w:r>
              <w:rPr>
                <w:rFonts w:hint="eastAsia" w:asciiTheme="minorEastAsia" w:hAnsiTheme="minorEastAsia" w:eastAsiaTheme="minorEastAsia" w:cstheme="minorEastAsia"/>
                <w:b/>
                <w:bCs w:val="0"/>
                <w:sz w:val="20"/>
                <w:szCs w:val="20"/>
                <w:vertAlign w:val="baseline"/>
                <w:lang w:val="en-US" w:eastAsia="zh-CN"/>
              </w:rPr>
              <w:t>序号</w:t>
            </w:r>
          </w:p>
        </w:tc>
        <w:tc>
          <w:tcPr>
            <w:tcW w:w="649" w:type="pct"/>
            <w:vAlign w:val="center"/>
          </w:tcPr>
          <w:p w14:paraId="0B41A794">
            <w:pPr>
              <w:keepNext w:val="0"/>
              <w:keepLines w:val="0"/>
              <w:pageBreakBefore w:val="0"/>
              <w:numPr>
                <w:ilvl w:val="0"/>
                <w:numId w:val="0"/>
              </w:numPr>
              <w:kinsoku/>
              <w:wordWrap/>
              <w:overflowPunct/>
              <w:autoSpaceDE/>
              <w:autoSpaceDN/>
              <w:bidi w:val="0"/>
              <w:adjustRightInd/>
              <w:spacing w:line="570" w:lineRule="exact"/>
              <w:jc w:val="center"/>
              <w:textAlignment w:val="auto"/>
              <w:rPr>
                <w:rFonts w:hint="eastAsia" w:asciiTheme="minorEastAsia" w:hAnsiTheme="minorEastAsia" w:eastAsiaTheme="minorEastAsia" w:cstheme="minorEastAsia"/>
                <w:b/>
                <w:bCs w:val="0"/>
                <w:sz w:val="20"/>
                <w:szCs w:val="20"/>
                <w:vertAlign w:val="baseline"/>
                <w:lang w:val="en-US" w:eastAsia="zh-CN"/>
              </w:rPr>
            </w:pPr>
            <w:r>
              <w:rPr>
                <w:rFonts w:hint="eastAsia" w:asciiTheme="minorEastAsia" w:hAnsiTheme="minorEastAsia" w:eastAsiaTheme="minorEastAsia" w:cstheme="minorEastAsia"/>
                <w:b/>
                <w:bCs w:val="0"/>
                <w:sz w:val="20"/>
                <w:szCs w:val="20"/>
                <w:vertAlign w:val="baseline"/>
                <w:lang w:val="en-US" w:eastAsia="zh-CN"/>
              </w:rPr>
              <w:t>建设内容</w:t>
            </w:r>
          </w:p>
        </w:tc>
        <w:tc>
          <w:tcPr>
            <w:tcW w:w="503" w:type="pct"/>
            <w:vAlign w:val="center"/>
          </w:tcPr>
          <w:p w14:paraId="2406E186">
            <w:pPr>
              <w:keepNext w:val="0"/>
              <w:keepLines w:val="0"/>
              <w:pageBreakBefore w:val="0"/>
              <w:numPr>
                <w:ilvl w:val="0"/>
                <w:numId w:val="0"/>
              </w:numPr>
              <w:kinsoku/>
              <w:wordWrap/>
              <w:overflowPunct/>
              <w:autoSpaceDE/>
              <w:autoSpaceDN/>
              <w:bidi w:val="0"/>
              <w:adjustRightInd/>
              <w:spacing w:line="570" w:lineRule="exact"/>
              <w:jc w:val="center"/>
              <w:textAlignment w:val="auto"/>
              <w:rPr>
                <w:rFonts w:hint="eastAsia" w:asciiTheme="minorEastAsia" w:hAnsiTheme="minorEastAsia" w:eastAsiaTheme="minorEastAsia" w:cstheme="minorEastAsia"/>
                <w:b/>
                <w:bCs w:val="0"/>
                <w:sz w:val="20"/>
                <w:szCs w:val="20"/>
                <w:vertAlign w:val="baseline"/>
                <w:lang w:val="en-US" w:eastAsia="zh-CN"/>
              </w:rPr>
            </w:pPr>
            <w:r>
              <w:rPr>
                <w:rFonts w:hint="eastAsia" w:asciiTheme="minorEastAsia" w:hAnsiTheme="minorEastAsia" w:eastAsiaTheme="minorEastAsia" w:cstheme="minorEastAsia"/>
                <w:b/>
                <w:bCs w:val="0"/>
                <w:sz w:val="20"/>
                <w:szCs w:val="20"/>
                <w:vertAlign w:val="baseline"/>
                <w:lang w:val="en-US" w:eastAsia="zh-CN"/>
              </w:rPr>
              <w:t>分项</w:t>
            </w:r>
          </w:p>
        </w:tc>
        <w:tc>
          <w:tcPr>
            <w:tcW w:w="324" w:type="pct"/>
            <w:vAlign w:val="center"/>
          </w:tcPr>
          <w:p w14:paraId="185510E3">
            <w:pPr>
              <w:keepNext w:val="0"/>
              <w:keepLines w:val="0"/>
              <w:pageBreakBefore w:val="0"/>
              <w:numPr>
                <w:ilvl w:val="0"/>
                <w:numId w:val="0"/>
              </w:numPr>
              <w:kinsoku/>
              <w:wordWrap/>
              <w:overflowPunct/>
              <w:autoSpaceDE/>
              <w:autoSpaceDN/>
              <w:bidi w:val="0"/>
              <w:adjustRightInd/>
              <w:spacing w:line="570" w:lineRule="exact"/>
              <w:jc w:val="center"/>
              <w:textAlignment w:val="auto"/>
              <w:rPr>
                <w:rFonts w:hint="eastAsia" w:asciiTheme="minorEastAsia" w:hAnsiTheme="minorEastAsia" w:eastAsiaTheme="minorEastAsia" w:cstheme="minorEastAsia"/>
                <w:b/>
                <w:bCs w:val="0"/>
                <w:sz w:val="20"/>
                <w:szCs w:val="20"/>
                <w:vertAlign w:val="baseline"/>
                <w:lang w:val="en-US" w:eastAsia="zh-CN"/>
              </w:rPr>
            </w:pPr>
            <w:r>
              <w:rPr>
                <w:rFonts w:hint="eastAsia" w:asciiTheme="minorEastAsia" w:hAnsiTheme="minorEastAsia" w:eastAsiaTheme="minorEastAsia" w:cstheme="minorEastAsia"/>
                <w:b/>
                <w:bCs w:val="0"/>
                <w:sz w:val="20"/>
                <w:szCs w:val="20"/>
                <w:vertAlign w:val="baseline"/>
                <w:lang w:val="en-US" w:eastAsia="zh-CN"/>
              </w:rPr>
              <w:t>数量</w:t>
            </w:r>
          </w:p>
        </w:tc>
        <w:tc>
          <w:tcPr>
            <w:tcW w:w="337" w:type="pct"/>
            <w:vAlign w:val="center"/>
          </w:tcPr>
          <w:p w14:paraId="140D4371">
            <w:pPr>
              <w:keepNext w:val="0"/>
              <w:keepLines w:val="0"/>
              <w:pageBreakBefore w:val="0"/>
              <w:numPr>
                <w:ilvl w:val="0"/>
                <w:numId w:val="0"/>
              </w:numPr>
              <w:kinsoku/>
              <w:wordWrap/>
              <w:overflowPunct/>
              <w:autoSpaceDE/>
              <w:autoSpaceDN/>
              <w:bidi w:val="0"/>
              <w:adjustRightInd/>
              <w:spacing w:line="570" w:lineRule="exact"/>
              <w:jc w:val="center"/>
              <w:textAlignment w:val="auto"/>
              <w:rPr>
                <w:rFonts w:hint="eastAsia" w:asciiTheme="minorEastAsia" w:hAnsiTheme="minorEastAsia" w:eastAsiaTheme="minorEastAsia" w:cstheme="minorEastAsia"/>
                <w:b/>
                <w:bCs w:val="0"/>
                <w:sz w:val="20"/>
                <w:szCs w:val="20"/>
                <w:vertAlign w:val="baseline"/>
                <w:lang w:val="en-US" w:eastAsia="zh-CN"/>
              </w:rPr>
            </w:pPr>
            <w:r>
              <w:rPr>
                <w:rFonts w:hint="eastAsia" w:asciiTheme="minorEastAsia" w:hAnsiTheme="minorEastAsia" w:eastAsiaTheme="minorEastAsia" w:cstheme="minorEastAsia"/>
                <w:b/>
                <w:bCs w:val="0"/>
                <w:sz w:val="20"/>
                <w:szCs w:val="20"/>
                <w:vertAlign w:val="baseline"/>
                <w:lang w:val="en-US" w:eastAsia="zh-CN"/>
              </w:rPr>
              <w:t>单位</w:t>
            </w:r>
          </w:p>
        </w:tc>
        <w:tc>
          <w:tcPr>
            <w:tcW w:w="2841" w:type="pct"/>
            <w:vAlign w:val="center"/>
          </w:tcPr>
          <w:p w14:paraId="6F8474D4">
            <w:pPr>
              <w:keepNext w:val="0"/>
              <w:keepLines w:val="0"/>
              <w:pageBreakBefore w:val="0"/>
              <w:numPr>
                <w:ilvl w:val="0"/>
                <w:numId w:val="0"/>
              </w:numPr>
              <w:kinsoku/>
              <w:wordWrap/>
              <w:overflowPunct/>
              <w:autoSpaceDE/>
              <w:autoSpaceDN/>
              <w:bidi w:val="0"/>
              <w:adjustRightInd/>
              <w:spacing w:line="570" w:lineRule="exact"/>
              <w:jc w:val="center"/>
              <w:textAlignment w:val="auto"/>
              <w:rPr>
                <w:rFonts w:hint="default" w:asciiTheme="minorEastAsia" w:hAnsiTheme="minorEastAsia" w:eastAsiaTheme="minorEastAsia" w:cstheme="minorEastAsia"/>
                <w:b/>
                <w:bCs w:val="0"/>
                <w:sz w:val="20"/>
                <w:szCs w:val="20"/>
                <w:vertAlign w:val="baseline"/>
                <w:lang w:val="en-US" w:eastAsia="zh-CN"/>
              </w:rPr>
            </w:pPr>
            <w:r>
              <w:rPr>
                <w:rFonts w:hint="eastAsia" w:asciiTheme="minorEastAsia" w:hAnsiTheme="minorEastAsia" w:cstheme="minorEastAsia"/>
                <w:b/>
                <w:bCs w:val="0"/>
                <w:sz w:val="20"/>
                <w:szCs w:val="20"/>
                <w:vertAlign w:val="baseline"/>
                <w:lang w:val="en-US" w:eastAsia="zh-CN"/>
              </w:rPr>
              <w:t>技术参数要求</w:t>
            </w:r>
          </w:p>
        </w:tc>
      </w:tr>
      <w:tr w14:paraId="1882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5610CD6C">
            <w:pPr>
              <w:keepNext w:val="0"/>
              <w:keepLines w:val="0"/>
              <w:pageBreakBefore w:val="0"/>
              <w:numPr>
                <w:ilvl w:val="0"/>
                <w:numId w:val="0"/>
              </w:numPr>
              <w:kinsoku/>
              <w:wordWrap/>
              <w:overflowPunct/>
              <w:autoSpaceDE/>
              <w:autoSpaceDN/>
              <w:bidi w:val="0"/>
              <w:adjustRightInd/>
              <w:spacing w:line="240" w:lineRule="auto"/>
              <w:jc w:val="center"/>
              <w:textAlignment w:val="auto"/>
              <w:rPr>
                <w:rFonts w:hint="default"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1</w:t>
            </w:r>
          </w:p>
        </w:tc>
        <w:tc>
          <w:tcPr>
            <w:tcW w:w="649" w:type="pct"/>
            <w:vAlign w:val="center"/>
          </w:tcPr>
          <w:p w14:paraId="3CB7CBAD">
            <w:pPr>
              <w:keepNext w:val="0"/>
              <w:keepLines w:val="0"/>
              <w:pageBreakBefore w:val="0"/>
              <w:numPr>
                <w:ilvl w:val="0"/>
                <w:numId w:val="0"/>
              </w:numPr>
              <w:kinsoku/>
              <w:wordWrap/>
              <w:overflowPunct/>
              <w:autoSpaceDE/>
              <w:autoSpaceDN/>
              <w:bidi w:val="0"/>
              <w:adjustRightInd/>
              <w:spacing w:line="240" w:lineRule="auto"/>
              <w:jc w:val="center"/>
              <w:textAlignment w:val="auto"/>
              <w:rPr>
                <w:rFonts w:hint="eastAsia"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房屋修缮</w:t>
            </w:r>
          </w:p>
        </w:tc>
        <w:tc>
          <w:tcPr>
            <w:tcW w:w="503" w:type="pct"/>
            <w:vAlign w:val="center"/>
          </w:tcPr>
          <w:p w14:paraId="19E60D1D">
            <w:pPr>
              <w:keepNext w:val="0"/>
              <w:keepLines w:val="0"/>
              <w:widowControl/>
              <w:suppressLineNumbers w:val="0"/>
              <w:jc w:val="center"/>
              <w:textAlignment w:val="center"/>
              <w:rPr>
                <w:rFonts w:hint="eastAsia"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房屋修缮</w:t>
            </w:r>
          </w:p>
        </w:tc>
        <w:tc>
          <w:tcPr>
            <w:tcW w:w="324" w:type="pct"/>
            <w:vAlign w:val="center"/>
          </w:tcPr>
          <w:p w14:paraId="79E18FFB">
            <w:pPr>
              <w:keepNext w:val="0"/>
              <w:keepLines w:val="0"/>
              <w:widowControl/>
              <w:suppressLineNumbers w:val="0"/>
              <w:jc w:val="center"/>
              <w:textAlignment w:val="center"/>
              <w:rPr>
                <w:rFonts w:hint="eastAsia"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1</w:t>
            </w:r>
          </w:p>
        </w:tc>
        <w:tc>
          <w:tcPr>
            <w:tcW w:w="337" w:type="pct"/>
            <w:vAlign w:val="center"/>
          </w:tcPr>
          <w:p w14:paraId="617B78D2">
            <w:pPr>
              <w:keepNext w:val="0"/>
              <w:keepLines w:val="0"/>
              <w:widowControl/>
              <w:suppressLineNumbers w:val="0"/>
              <w:jc w:val="center"/>
              <w:textAlignment w:val="center"/>
              <w:rPr>
                <w:rFonts w:hint="eastAsia"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项</w:t>
            </w:r>
          </w:p>
        </w:tc>
        <w:tc>
          <w:tcPr>
            <w:tcW w:w="2841" w:type="pct"/>
            <w:vAlign w:val="center"/>
          </w:tcPr>
          <w:p w14:paraId="2910EBF5">
            <w:pPr>
              <w:keepNext w:val="0"/>
              <w:keepLines w:val="0"/>
              <w:widowControl/>
              <w:suppressLineNumbers w:val="0"/>
              <w:jc w:val="left"/>
              <w:textAlignment w:val="center"/>
              <w:rPr>
                <w:rFonts w:hint="default"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完成钢结构框架房屋约200平米修缮，包含地板铺设、墙体抹灰、吊顶、隔断制作、电缆铺设、灯具开关、窗帘制作等。</w:t>
            </w:r>
          </w:p>
        </w:tc>
      </w:tr>
      <w:tr w14:paraId="0286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78FB0A53">
            <w:pPr>
              <w:keepNext w:val="0"/>
              <w:keepLines w:val="0"/>
              <w:pageBreakBefore w:val="0"/>
              <w:numPr>
                <w:ilvl w:val="0"/>
                <w:numId w:val="0"/>
              </w:numPr>
              <w:kinsoku/>
              <w:wordWrap/>
              <w:overflowPunct/>
              <w:autoSpaceDE/>
              <w:autoSpaceDN/>
              <w:bidi w:val="0"/>
              <w:adjustRightInd/>
              <w:spacing w:line="570" w:lineRule="exact"/>
              <w:jc w:val="center"/>
              <w:textAlignment w:val="auto"/>
              <w:rPr>
                <w:rFonts w:hint="default"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2</w:t>
            </w:r>
          </w:p>
        </w:tc>
        <w:tc>
          <w:tcPr>
            <w:tcW w:w="649" w:type="pct"/>
            <w:vMerge w:val="restart"/>
            <w:vAlign w:val="center"/>
          </w:tcPr>
          <w:p w14:paraId="77DA8BEA">
            <w:pPr>
              <w:keepNext w:val="0"/>
              <w:keepLines w:val="0"/>
              <w:pageBreakBefore w:val="0"/>
              <w:numPr>
                <w:ilvl w:val="0"/>
                <w:numId w:val="0"/>
              </w:numPr>
              <w:kinsoku/>
              <w:wordWrap/>
              <w:overflowPunct/>
              <w:autoSpaceDE/>
              <w:autoSpaceDN/>
              <w:bidi w:val="0"/>
              <w:adjustRightInd/>
              <w:spacing w:line="570" w:lineRule="exact"/>
              <w:jc w:val="center"/>
              <w:textAlignment w:val="auto"/>
              <w:rPr>
                <w:rFonts w:hint="eastAsia"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保护区一中心建设</w:t>
            </w:r>
          </w:p>
        </w:tc>
        <w:tc>
          <w:tcPr>
            <w:tcW w:w="503" w:type="pct"/>
            <w:vAlign w:val="center"/>
          </w:tcPr>
          <w:p w14:paraId="7EB8DAA7">
            <w:pPr>
              <w:keepNext w:val="0"/>
              <w:keepLines w:val="0"/>
              <w:widowControl/>
              <w:suppressLineNumbers w:val="0"/>
              <w:jc w:val="center"/>
              <w:textAlignment w:val="center"/>
              <w:rPr>
                <w:rFonts w:hint="eastAsia" w:ascii="仿宋" w:hAnsi="仿宋" w:eastAsia="仿宋" w:cs="仿宋"/>
                <w:bCs/>
                <w:sz w:val="18"/>
                <w:szCs w:val="18"/>
                <w:vertAlign w:val="baseline"/>
                <w:lang w:val="en-US" w:eastAsia="zh-CN"/>
              </w:rPr>
            </w:pPr>
            <w:r>
              <w:rPr>
                <w:rFonts w:hint="eastAsia" w:ascii="仿宋" w:hAnsi="仿宋" w:eastAsia="仿宋" w:cs="仿宋"/>
                <w:i w:val="0"/>
                <w:iCs w:val="0"/>
                <w:color w:val="000000"/>
                <w:kern w:val="0"/>
                <w:sz w:val="18"/>
                <w:szCs w:val="18"/>
                <w:u w:val="none"/>
                <w:lang w:val="en-US" w:eastAsia="zh-CN" w:bidi="ar"/>
              </w:rPr>
              <w:t>音箱</w:t>
            </w:r>
          </w:p>
        </w:tc>
        <w:tc>
          <w:tcPr>
            <w:tcW w:w="324" w:type="pct"/>
            <w:vAlign w:val="center"/>
          </w:tcPr>
          <w:p w14:paraId="696E574B">
            <w:pPr>
              <w:keepNext w:val="0"/>
              <w:keepLines w:val="0"/>
              <w:widowControl/>
              <w:suppressLineNumbers w:val="0"/>
              <w:jc w:val="center"/>
              <w:textAlignment w:val="center"/>
              <w:rPr>
                <w:rFonts w:hint="eastAsia" w:ascii="仿宋" w:hAnsi="仿宋" w:eastAsia="仿宋" w:cs="仿宋"/>
                <w:bCs/>
                <w:sz w:val="18"/>
                <w:szCs w:val="18"/>
                <w:vertAlign w:val="baseline"/>
                <w:lang w:val="en-US" w:eastAsia="zh-CN"/>
              </w:rPr>
            </w:pPr>
            <w:r>
              <w:rPr>
                <w:rFonts w:hint="eastAsia" w:ascii="仿宋" w:hAnsi="仿宋" w:eastAsia="仿宋" w:cs="仿宋"/>
                <w:i w:val="0"/>
                <w:iCs w:val="0"/>
                <w:color w:val="000000"/>
                <w:kern w:val="0"/>
                <w:sz w:val="18"/>
                <w:szCs w:val="18"/>
                <w:u w:val="none"/>
                <w:lang w:val="en-US" w:eastAsia="zh-CN" w:bidi="ar"/>
              </w:rPr>
              <w:t>4</w:t>
            </w:r>
          </w:p>
        </w:tc>
        <w:tc>
          <w:tcPr>
            <w:tcW w:w="337" w:type="pct"/>
            <w:vAlign w:val="center"/>
          </w:tcPr>
          <w:p w14:paraId="26AFC4D6">
            <w:pPr>
              <w:keepNext w:val="0"/>
              <w:keepLines w:val="0"/>
              <w:widowControl/>
              <w:suppressLineNumbers w:val="0"/>
              <w:jc w:val="center"/>
              <w:textAlignment w:val="center"/>
              <w:rPr>
                <w:rFonts w:hint="eastAsia"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个</w:t>
            </w:r>
          </w:p>
        </w:tc>
        <w:tc>
          <w:tcPr>
            <w:tcW w:w="2841" w:type="pct"/>
            <w:vAlign w:val="center"/>
          </w:tcPr>
          <w:p w14:paraId="46CC6AB7">
            <w:pPr>
              <w:keepNext w:val="0"/>
              <w:keepLines w:val="0"/>
              <w:widowControl/>
              <w:suppressLineNumbers w:val="0"/>
              <w:jc w:val="left"/>
              <w:textAlignment w:val="center"/>
              <w:rPr>
                <w:rFonts w:hint="eastAsia"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1.额定功率：≥150W</w:t>
            </w:r>
          </w:p>
          <w:p w14:paraId="05266C9A">
            <w:pPr>
              <w:keepNext w:val="0"/>
              <w:keepLines w:val="0"/>
              <w:widowControl/>
              <w:suppressLineNumbers w:val="0"/>
              <w:jc w:val="left"/>
              <w:textAlignment w:val="center"/>
              <w:rPr>
                <w:rFonts w:hint="eastAsia"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2.最大功率：≥300W</w:t>
            </w:r>
          </w:p>
          <w:p w14:paraId="7B1F9A19">
            <w:pPr>
              <w:keepNext w:val="0"/>
              <w:keepLines w:val="0"/>
              <w:widowControl/>
              <w:suppressLineNumbers w:val="0"/>
              <w:jc w:val="left"/>
              <w:textAlignment w:val="center"/>
              <w:rPr>
                <w:rFonts w:hint="eastAsia"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3.标称阻抗：≤6Ω</w:t>
            </w:r>
          </w:p>
          <w:p w14:paraId="6332DFFB">
            <w:pPr>
              <w:keepNext w:val="0"/>
              <w:keepLines w:val="0"/>
              <w:widowControl/>
              <w:suppressLineNumbers w:val="0"/>
              <w:jc w:val="left"/>
              <w:textAlignment w:val="center"/>
              <w:rPr>
                <w:rFonts w:hint="eastAsia"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4.频率范围（-10dB）等同或优于80Hz-20kHz</w:t>
            </w:r>
          </w:p>
          <w:p w14:paraId="7B57A9AE">
            <w:pPr>
              <w:keepNext w:val="0"/>
              <w:keepLines w:val="0"/>
              <w:widowControl/>
              <w:suppressLineNumbers w:val="0"/>
              <w:jc w:val="left"/>
              <w:textAlignment w:val="center"/>
              <w:rPr>
                <w:rFonts w:hint="eastAsia"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5.灵敏度：≥96dB±3dB</w:t>
            </w:r>
          </w:p>
          <w:p w14:paraId="7FD35E81">
            <w:pPr>
              <w:keepNext w:val="0"/>
              <w:keepLines w:val="0"/>
              <w:widowControl/>
              <w:suppressLineNumbers w:val="0"/>
              <w:jc w:val="left"/>
              <w:textAlignment w:val="center"/>
              <w:rPr>
                <w:rFonts w:hint="eastAsia"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6.最大声压级（额定/峰值）≥117dB/123dB</w:t>
            </w:r>
          </w:p>
          <w:p w14:paraId="062453A2">
            <w:pPr>
              <w:keepNext w:val="0"/>
              <w:keepLines w:val="0"/>
              <w:widowControl/>
              <w:suppressLineNumbers w:val="0"/>
              <w:jc w:val="left"/>
              <w:textAlignment w:val="center"/>
              <w:rPr>
                <w:rFonts w:hint="eastAsia"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7.覆盖角度(-6dB）：水平覆盖角≥110°，垂直覆盖角≥100°</w:t>
            </w:r>
          </w:p>
          <w:p w14:paraId="1CBCC451">
            <w:pPr>
              <w:keepNext w:val="0"/>
              <w:keepLines w:val="0"/>
              <w:widowControl/>
              <w:suppressLineNumbers w:val="0"/>
              <w:jc w:val="left"/>
              <w:textAlignment w:val="center"/>
              <w:rPr>
                <w:rFonts w:hint="eastAsia"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8.音箱内置≥6只3寸PZ全频喇叭单元，承载功率大，失真低、频响宽、人声表现优秀，灵敏度高。</w:t>
            </w:r>
          </w:p>
        </w:tc>
      </w:tr>
      <w:tr w14:paraId="05E8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56C363B5">
            <w:pPr>
              <w:keepNext w:val="0"/>
              <w:keepLines w:val="0"/>
              <w:pageBreakBefore w:val="0"/>
              <w:numPr>
                <w:ilvl w:val="0"/>
                <w:numId w:val="0"/>
              </w:numPr>
              <w:kinsoku/>
              <w:wordWrap/>
              <w:overflowPunct/>
              <w:autoSpaceDE/>
              <w:autoSpaceDN/>
              <w:bidi w:val="0"/>
              <w:adjustRightInd/>
              <w:spacing w:line="570" w:lineRule="exact"/>
              <w:jc w:val="center"/>
              <w:textAlignment w:val="auto"/>
              <w:rPr>
                <w:rFonts w:hint="default"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3</w:t>
            </w:r>
          </w:p>
        </w:tc>
        <w:tc>
          <w:tcPr>
            <w:tcW w:w="649" w:type="pct"/>
            <w:vMerge w:val="continue"/>
            <w:vAlign w:val="center"/>
          </w:tcPr>
          <w:p w14:paraId="340645C2">
            <w:pPr>
              <w:keepNext w:val="0"/>
              <w:keepLines w:val="0"/>
              <w:pageBreakBefore w:val="0"/>
              <w:numPr>
                <w:ilvl w:val="0"/>
                <w:numId w:val="0"/>
              </w:numPr>
              <w:kinsoku/>
              <w:wordWrap/>
              <w:overflowPunct/>
              <w:autoSpaceDE/>
              <w:autoSpaceDN/>
              <w:bidi w:val="0"/>
              <w:adjustRightInd/>
              <w:spacing w:line="570" w:lineRule="exact"/>
              <w:jc w:val="center"/>
              <w:textAlignment w:val="auto"/>
              <w:rPr>
                <w:rFonts w:hint="eastAsia" w:ascii="仿宋" w:hAnsi="仿宋" w:eastAsia="仿宋" w:cs="仿宋"/>
                <w:bCs/>
                <w:sz w:val="18"/>
                <w:szCs w:val="18"/>
                <w:vertAlign w:val="baseline"/>
                <w:lang w:val="en-US" w:eastAsia="zh-CN"/>
              </w:rPr>
            </w:pPr>
          </w:p>
        </w:tc>
        <w:tc>
          <w:tcPr>
            <w:tcW w:w="503" w:type="pct"/>
            <w:vAlign w:val="center"/>
          </w:tcPr>
          <w:p w14:paraId="7647AEBD">
            <w:pPr>
              <w:keepNext w:val="0"/>
              <w:keepLines w:val="0"/>
              <w:widowControl/>
              <w:suppressLineNumbers w:val="0"/>
              <w:jc w:val="center"/>
              <w:textAlignment w:val="center"/>
              <w:rPr>
                <w:rFonts w:hint="eastAsia"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专业功放</w:t>
            </w:r>
          </w:p>
        </w:tc>
        <w:tc>
          <w:tcPr>
            <w:tcW w:w="324" w:type="pct"/>
            <w:vAlign w:val="center"/>
          </w:tcPr>
          <w:p w14:paraId="47423235">
            <w:pPr>
              <w:keepNext w:val="0"/>
              <w:keepLines w:val="0"/>
              <w:widowControl/>
              <w:suppressLineNumbers w:val="0"/>
              <w:jc w:val="center"/>
              <w:textAlignment w:val="center"/>
              <w:rPr>
                <w:rFonts w:hint="eastAsia" w:ascii="仿宋" w:hAnsi="仿宋" w:eastAsia="仿宋" w:cs="仿宋"/>
                <w:bCs/>
                <w:sz w:val="18"/>
                <w:szCs w:val="18"/>
                <w:vertAlign w:val="baseline"/>
                <w:lang w:val="en-US" w:eastAsia="zh-CN"/>
              </w:rPr>
            </w:pPr>
            <w:r>
              <w:rPr>
                <w:rFonts w:hint="eastAsia" w:ascii="仿宋" w:hAnsi="仿宋" w:eastAsia="仿宋" w:cs="仿宋"/>
                <w:i w:val="0"/>
                <w:iCs w:val="0"/>
                <w:color w:val="000000"/>
                <w:kern w:val="0"/>
                <w:sz w:val="18"/>
                <w:szCs w:val="18"/>
                <w:u w:val="none"/>
                <w:lang w:val="en-US" w:eastAsia="zh-CN" w:bidi="ar"/>
              </w:rPr>
              <w:t>1</w:t>
            </w:r>
          </w:p>
        </w:tc>
        <w:tc>
          <w:tcPr>
            <w:tcW w:w="337" w:type="pct"/>
            <w:vAlign w:val="center"/>
          </w:tcPr>
          <w:p w14:paraId="707F9108">
            <w:pPr>
              <w:keepNext w:val="0"/>
              <w:keepLines w:val="0"/>
              <w:widowControl/>
              <w:suppressLineNumbers w:val="0"/>
              <w:jc w:val="center"/>
              <w:textAlignment w:val="center"/>
              <w:rPr>
                <w:rFonts w:hint="eastAsia" w:ascii="仿宋" w:hAnsi="仿宋" w:eastAsia="仿宋" w:cs="仿宋"/>
                <w:bCs/>
                <w:sz w:val="18"/>
                <w:szCs w:val="18"/>
                <w:vertAlign w:val="baseline"/>
                <w:lang w:val="en-US" w:eastAsia="zh-CN"/>
              </w:rPr>
            </w:pPr>
            <w:r>
              <w:rPr>
                <w:rFonts w:hint="eastAsia" w:ascii="仿宋" w:hAnsi="仿宋" w:eastAsia="仿宋" w:cs="仿宋"/>
                <w:i w:val="0"/>
                <w:iCs w:val="0"/>
                <w:color w:val="000000"/>
                <w:kern w:val="0"/>
                <w:sz w:val="18"/>
                <w:szCs w:val="18"/>
                <w:u w:val="none"/>
                <w:lang w:val="en-US" w:eastAsia="zh-CN" w:bidi="ar"/>
              </w:rPr>
              <w:t>台</w:t>
            </w:r>
          </w:p>
        </w:tc>
        <w:tc>
          <w:tcPr>
            <w:tcW w:w="2841" w:type="pct"/>
            <w:vAlign w:val="center"/>
          </w:tcPr>
          <w:p w14:paraId="4853021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1.采用高效功率放大电路，输出可桥接8欧。</w:t>
            </w:r>
          </w:p>
          <w:p w14:paraId="65139CD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2.电源采用开关电源供电，具有过压保护功能。</w:t>
            </w:r>
          </w:p>
          <w:p w14:paraId="12FCBFE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3.功放具有压限，过温保护，过流保护，输出直流保护，输出短路保护等功能。</w:t>
            </w:r>
          </w:p>
          <w:p w14:paraId="2794A73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4.支持XLR平衡式输入，SPEAKON音响插座输出。</w:t>
            </w:r>
          </w:p>
          <w:p w14:paraId="6F4D311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5.MONO /STEREO/BRIDGE三种模式可选择切换。</w:t>
            </w:r>
          </w:p>
          <w:p w14:paraId="2A075E8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6.常规带载8Ω，最低带载4Ω。</w:t>
            </w:r>
          </w:p>
          <w:p w14:paraId="7572A7D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7.输出功率：立体声8Ω ：≥200W×4；立体声4Ω：≥380W×4；桥接8Ω：≥760W×2。</w:t>
            </w:r>
          </w:p>
        </w:tc>
      </w:tr>
      <w:tr w14:paraId="5920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5CB6F0D8">
            <w:pPr>
              <w:keepNext w:val="0"/>
              <w:keepLines w:val="0"/>
              <w:pageBreakBefore w:val="0"/>
              <w:numPr>
                <w:ilvl w:val="0"/>
                <w:numId w:val="0"/>
              </w:numPr>
              <w:kinsoku/>
              <w:wordWrap/>
              <w:overflowPunct/>
              <w:autoSpaceDE/>
              <w:autoSpaceDN/>
              <w:bidi w:val="0"/>
              <w:adjustRightInd/>
              <w:spacing w:line="570" w:lineRule="exact"/>
              <w:jc w:val="center"/>
              <w:textAlignment w:val="auto"/>
              <w:rPr>
                <w:rFonts w:hint="default"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4</w:t>
            </w:r>
          </w:p>
        </w:tc>
        <w:tc>
          <w:tcPr>
            <w:tcW w:w="649" w:type="pct"/>
            <w:vMerge w:val="continue"/>
            <w:vAlign w:val="center"/>
          </w:tcPr>
          <w:p w14:paraId="3CEEFF82">
            <w:pPr>
              <w:keepNext w:val="0"/>
              <w:keepLines w:val="0"/>
              <w:pageBreakBefore w:val="0"/>
              <w:numPr>
                <w:ilvl w:val="0"/>
                <w:numId w:val="0"/>
              </w:numPr>
              <w:kinsoku/>
              <w:wordWrap/>
              <w:overflowPunct/>
              <w:autoSpaceDE/>
              <w:autoSpaceDN/>
              <w:bidi w:val="0"/>
              <w:adjustRightInd/>
              <w:spacing w:line="570" w:lineRule="exact"/>
              <w:jc w:val="center"/>
              <w:textAlignment w:val="auto"/>
              <w:rPr>
                <w:rFonts w:hint="eastAsia" w:ascii="仿宋" w:hAnsi="仿宋" w:eastAsia="仿宋" w:cs="仿宋"/>
                <w:bCs/>
                <w:sz w:val="18"/>
                <w:szCs w:val="18"/>
                <w:vertAlign w:val="baseline"/>
                <w:lang w:val="en-US" w:eastAsia="zh-CN"/>
              </w:rPr>
            </w:pPr>
          </w:p>
        </w:tc>
        <w:tc>
          <w:tcPr>
            <w:tcW w:w="503" w:type="pct"/>
            <w:vAlign w:val="center"/>
          </w:tcPr>
          <w:p w14:paraId="7539D01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调音台</w:t>
            </w:r>
          </w:p>
        </w:tc>
        <w:tc>
          <w:tcPr>
            <w:tcW w:w="324" w:type="pct"/>
            <w:vAlign w:val="center"/>
          </w:tcPr>
          <w:p w14:paraId="3866CFE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337" w:type="pct"/>
            <w:vAlign w:val="center"/>
          </w:tcPr>
          <w:p w14:paraId="6D0518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2841" w:type="pct"/>
            <w:vAlign w:val="center"/>
          </w:tcPr>
          <w:p w14:paraId="4AB95CB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1.支持≥8路麦克风输入兼容6路线路输入接口，支持≥2路立体声输入接口，≥4路RCA输入，话筒接口幻象电源：+48V。</w:t>
            </w:r>
          </w:p>
          <w:p w14:paraId="0C622C3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2.具有≥2组立体声输出、≥4路编组输出、≥4路辅助输出、≥1个耳机监听输出、≥1个接口双路效果输出 、≥1组控制室输出、≥1组主混音断点插入、≥6个断点插入。</w:t>
            </w:r>
          </w:p>
          <w:p w14:paraId="0931E5B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3.内置≥24位DSP效果器，提供≥100种预设效果。</w:t>
            </w:r>
          </w:p>
          <w:p w14:paraId="32D50A6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4.具备≥13个60mm行程的高精密碳膜推子。</w:t>
            </w:r>
          </w:p>
          <w:p w14:paraId="644DAF2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5.内置USB声卡模块，支持连接电脑进行音乐播放和声音录音；内置MP3播放器，支持≥1个USB接口接U盘播放音乐。</w:t>
            </w:r>
          </w:p>
        </w:tc>
      </w:tr>
      <w:tr w14:paraId="050A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03DA9327">
            <w:pPr>
              <w:keepNext w:val="0"/>
              <w:keepLines w:val="0"/>
              <w:pageBreakBefore w:val="0"/>
              <w:numPr>
                <w:ilvl w:val="0"/>
                <w:numId w:val="0"/>
              </w:numPr>
              <w:kinsoku/>
              <w:wordWrap/>
              <w:overflowPunct/>
              <w:autoSpaceDE/>
              <w:autoSpaceDN/>
              <w:bidi w:val="0"/>
              <w:adjustRightInd/>
              <w:spacing w:line="570" w:lineRule="exact"/>
              <w:jc w:val="center"/>
              <w:textAlignment w:val="auto"/>
              <w:rPr>
                <w:rFonts w:hint="default"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5</w:t>
            </w:r>
          </w:p>
        </w:tc>
        <w:tc>
          <w:tcPr>
            <w:tcW w:w="649" w:type="pct"/>
            <w:vMerge w:val="continue"/>
            <w:vAlign w:val="center"/>
          </w:tcPr>
          <w:p w14:paraId="2DC52A8B">
            <w:pPr>
              <w:keepNext w:val="0"/>
              <w:keepLines w:val="0"/>
              <w:pageBreakBefore w:val="0"/>
              <w:numPr>
                <w:ilvl w:val="0"/>
                <w:numId w:val="0"/>
              </w:numPr>
              <w:kinsoku/>
              <w:wordWrap/>
              <w:overflowPunct/>
              <w:autoSpaceDE/>
              <w:autoSpaceDN/>
              <w:bidi w:val="0"/>
              <w:adjustRightInd/>
              <w:spacing w:line="570" w:lineRule="exact"/>
              <w:jc w:val="center"/>
              <w:textAlignment w:val="auto"/>
              <w:rPr>
                <w:rFonts w:hint="eastAsia" w:ascii="仿宋" w:hAnsi="仿宋" w:eastAsia="仿宋" w:cs="仿宋"/>
                <w:bCs/>
                <w:sz w:val="18"/>
                <w:szCs w:val="18"/>
                <w:vertAlign w:val="baseline"/>
                <w:lang w:val="en-US" w:eastAsia="zh-CN"/>
              </w:rPr>
            </w:pPr>
          </w:p>
        </w:tc>
        <w:tc>
          <w:tcPr>
            <w:tcW w:w="503" w:type="pct"/>
            <w:vAlign w:val="center"/>
          </w:tcPr>
          <w:p w14:paraId="5DC7AE3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音频处理器</w:t>
            </w:r>
          </w:p>
        </w:tc>
        <w:tc>
          <w:tcPr>
            <w:tcW w:w="324" w:type="pct"/>
            <w:vAlign w:val="center"/>
          </w:tcPr>
          <w:p w14:paraId="2224A53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337" w:type="pct"/>
            <w:vAlign w:val="center"/>
          </w:tcPr>
          <w:p w14:paraId="556889D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2841" w:type="pct"/>
            <w:vAlign w:val="center"/>
          </w:tcPr>
          <w:p w14:paraId="172C175B">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后面板具有≥4路线路音频凤凰端子平衡输入接口（具有48V幻象供电）、≥4路线路音频凤凰端子平衡输出接口、≥1个拨码开关、≥1个RJ45接口、≥1个RS232接口、≥1个RS485接口、≥8个可编程GPIO控制接口、≥1个接地柱；前面板具有≥2.0英寸 IPS 真彩显示屏、≥1个编码旋钮、≥1个USB存储设备接口。</w:t>
            </w:r>
          </w:p>
          <w:p w14:paraId="295B8FE8">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提供功能截图佐证）（需提供得到CMA或CNAS认可的检测机构出具的检测报告作为该技术参数证明材料）</w:t>
            </w:r>
          </w:p>
          <w:p w14:paraId="1C1DA9AB">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3.具有矩阵增益调节功能，每个输入通道参与混音的增益可调，增益调节范围等同或优于-72db到12db。</w:t>
            </w:r>
          </w:p>
          <w:p w14:paraId="519C77EC">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音频处理器具有跨平台软件，可运行的操作系统版本≥8种，包括Windows7/10/11、银河麒麟桌面操作系统（兆芯版）、银河麒麟桌面操作系统（飞腾版）、macOS系统、统信UOS、Ubuntu桌面版操作系统。（提供功能截图佐证）（需提供得到CMA或CNAS认可的检测机构出具的检测报告作为该技术参数证明材料）</w:t>
            </w:r>
          </w:p>
          <w:p w14:paraId="02718C6B">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5.产品具有PC客户端、手机移动端、安卓平板端不同控制方式，可以通同时登入APP软件、PC客户端同时连接设备，并实现多端数据的同步。</w:t>
            </w:r>
          </w:p>
          <w:p w14:paraId="4743117B">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6.设备具有编码旋钮和IPS屏幕，可用于控制和配置设备静音，增益，场景；IPS屏幕能够显示IP地址，输入和输出通道的实时电平。</w:t>
            </w:r>
          </w:p>
          <w:p w14:paraId="71716027">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7.具有设备定位功能，客户端一键定位局域网内同类设备，被定位的设备会显示定位信息。</w:t>
            </w:r>
          </w:p>
          <w:p w14:paraId="12BDBF80">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8.设备具有统一集中控制功能，支持≥65535台设备通过软件集中控制。</w:t>
            </w:r>
          </w:p>
          <w:p w14:paraId="5D7C8AB7">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提供功能截图佐证）（需提供得到CMA或CNAS认可的检测机构出具的检测报告作为该技术参数证明材料）</w:t>
            </w:r>
          </w:p>
        </w:tc>
      </w:tr>
      <w:tr w14:paraId="4BF7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0B5A7A99">
            <w:pPr>
              <w:keepNext w:val="0"/>
              <w:keepLines w:val="0"/>
              <w:pageBreakBefore w:val="0"/>
              <w:numPr>
                <w:ilvl w:val="0"/>
                <w:numId w:val="0"/>
              </w:numPr>
              <w:kinsoku/>
              <w:wordWrap/>
              <w:overflowPunct/>
              <w:autoSpaceDE/>
              <w:autoSpaceDN/>
              <w:bidi w:val="0"/>
              <w:adjustRightInd/>
              <w:spacing w:line="570" w:lineRule="exact"/>
              <w:jc w:val="center"/>
              <w:textAlignment w:val="auto"/>
              <w:rPr>
                <w:rFonts w:hint="default"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6</w:t>
            </w:r>
          </w:p>
        </w:tc>
        <w:tc>
          <w:tcPr>
            <w:tcW w:w="649" w:type="pct"/>
            <w:vMerge w:val="continue"/>
            <w:vAlign w:val="center"/>
          </w:tcPr>
          <w:p w14:paraId="5BEAE932">
            <w:pPr>
              <w:keepNext w:val="0"/>
              <w:keepLines w:val="0"/>
              <w:pageBreakBefore w:val="0"/>
              <w:numPr>
                <w:ilvl w:val="0"/>
                <w:numId w:val="0"/>
              </w:numPr>
              <w:kinsoku/>
              <w:wordWrap/>
              <w:overflowPunct/>
              <w:autoSpaceDE/>
              <w:autoSpaceDN/>
              <w:bidi w:val="0"/>
              <w:adjustRightInd/>
              <w:spacing w:line="570" w:lineRule="exact"/>
              <w:jc w:val="center"/>
              <w:textAlignment w:val="auto"/>
              <w:rPr>
                <w:rFonts w:hint="eastAsia" w:ascii="仿宋" w:hAnsi="仿宋" w:eastAsia="仿宋" w:cs="仿宋"/>
                <w:bCs/>
                <w:sz w:val="18"/>
                <w:szCs w:val="18"/>
                <w:vertAlign w:val="baseline"/>
                <w:lang w:val="en-US" w:eastAsia="zh-CN"/>
              </w:rPr>
            </w:pPr>
          </w:p>
        </w:tc>
        <w:tc>
          <w:tcPr>
            <w:tcW w:w="503" w:type="pct"/>
            <w:vAlign w:val="center"/>
          </w:tcPr>
          <w:p w14:paraId="41680FC2">
            <w:pPr>
              <w:keepNext w:val="0"/>
              <w:keepLines w:val="0"/>
              <w:widowControl/>
              <w:suppressLineNumbers w:val="0"/>
              <w:jc w:val="center"/>
              <w:textAlignment w:val="center"/>
              <w:rPr>
                <w:rFonts w:hint="eastAsia"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无线话筒</w:t>
            </w:r>
          </w:p>
        </w:tc>
        <w:tc>
          <w:tcPr>
            <w:tcW w:w="324" w:type="pct"/>
            <w:vAlign w:val="center"/>
          </w:tcPr>
          <w:p w14:paraId="082CCB2F">
            <w:pPr>
              <w:keepNext w:val="0"/>
              <w:keepLines w:val="0"/>
              <w:widowControl/>
              <w:suppressLineNumbers w:val="0"/>
              <w:jc w:val="center"/>
              <w:textAlignment w:val="center"/>
              <w:rPr>
                <w:rFonts w:hint="eastAsia"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1</w:t>
            </w:r>
          </w:p>
        </w:tc>
        <w:tc>
          <w:tcPr>
            <w:tcW w:w="337" w:type="pct"/>
            <w:vAlign w:val="center"/>
          </w:tcPr>
          <w:p w14:paraId="0C0D7285">
            <w:pPr>
              <w:keepNext w:val="0"/>
              <w:keepLines w:val="0"/>
              <w:widowControl/>
              <w:suppressLineNumbers w:val="0"/>
              <w:jc w:val="center"/>
              <w:textAlignment w:val="center"/>
              <w:rPr>
                <w:rFonts w:hint="eastAsia"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套</w:t>
            </w:r>
          </w:p>
        </w:tc>
        <w:tc>
          <w:tcPr>
            <w:tcW w:w="2841" w:type="pct"/>
            <w:vAlign w:val="center"/>
          </w:tcPr>
          <w:p w14:paraId="70F3BB6C">
            <w:pPr>
              <w:keepNext w:val="0"/>
              <w:keepLines w:val="0"/>
              <w:widowControl/>
              <w:suppressLineNumbers w:val="0"/>
              <w:jc w:val="left"/>
              <w:textAlignment w:val="center"/>
              <w:rPr>
                <w:rFonts w:hint="eastAsia" w:ascii="仿宋" w:hAnsi="仿宋" w:eastAsia="仿宋" w:cs="仿宋"/>
                <w:bCs/>
                <w:sz w:val="18"/>
                <w:szCs w:val="18"/>
                <w:highlight w:val="none"/>
                <w:vertAlign w:val="baseline"/>
                <w:lang w:val="en-US" w:eastAsia="zh-CN"/>
              </w:rPr>
            </w:pPr>
            <w:r>
              <w:rPr>
                <w:rFonts w:hint="eastAsia" w:ascii="仿宋" w:hAnsi="仿宋" w:eastAsia="仿宋" w:cs="仿宋"/>
                <w:bCs/>
                <w:sz w:val="18"/>
                <w:szCs w:val="18"/>
                <w:highlight w:val="none"/>
                <w:vertAlign w:val="baseline"/>
                <w:lang w:val="en-US" w:eastAsia="zh-CN"/>
              </w:rPr>
              <w:t>1.基于数字U段的传输技术，pi/4-DQPSK调制方式，采用国产主控芯片，传输距离≥80米，接收机具有≥2路平衡输出、≥1路非平衡混音输出；具有混响、均衡、智能静音、音频加密、功率调节功能。</w:t>
            </w:r>
          </w:p>
          <w:p w14:paraId="36751EC2">
            <w:pPr>
              <w:keepNext w:val="0"/>
              <w:keepLines w:val="0"/>
              <w:widowControl/>
              <w:suppressLineNumbers w:val="0"/>
              <w:jc w:val="left"/>
              <w:textAlignment w:val="center"/>
              <w:rPr>
                <w:rFonts w:hint="eastAsia" w:ascii="仿宋" w:hAnsi="仿宋" w:eastAsia="仿宋" w:cs="仿宋"/>
                <w:bCs/>
                <w:sz w:val="18"/>
                <w:szCs w:val="18"/>
                <w:highlight w:val="none"/>
                <w:vertAlign w:val="baseline"/>
                <w:lang w:val="en-US" w:eastAsia="zh-CN"/>
              </w:rPr>
            </w:pPr>
            <w:r>
              <w:rPr>
                <w:rFonts w:hint="eastAsia" w:ascii="仿宋" w:hAnsi="仿宋" w:eastAsia="仿宋" w:cs="仿宋"/>
                <w:bCs/>
                <w:sz w:val="18"/>
                <w:szCs w:val="18"/>
                <w:highlight w:val="none"/>
                <w:vertAlign w:val="baseline"/>
                <w:lang w:val="en-US" w:eastAsia="zh-CN"/>
              </w:rPr>
              <w:t>2.具有≥1台接收主机、≥2台桌面式鹅颈咪杆发射机；频率范围等同或优于470MHz-510MHz、540MHz-590MHz、640MHz-690MHz、807MHz-830MHz四个频段使用。</w:t>
            </w:r>
          </w:p>
          <w:p w14:paraId="20992495">
            <w:pPr>
              <w:keepNext w:val="0"/>
              <w:keepLines w:val="0"/>
              <w:widowControl/>
              <w:suppressLineNumbers w:val="0"/>
              <w:jc w:val="left"/>
              <w:textAlignment w:val="center"/>
              <w:rPr>
                <w:rFonts w:hint="eastAsia" w:ascii="仿宋" w:hAnsi="仿宋" w:eastAsia="仿宋" w:cs="仿宋"/>
                <w:bCs/>
                <w:sz w:val="18"/>
                <w:szCs w:val="18"/>
                <w:highlight w:val="none"/>
                <w:vertAlign w:val="baseline"/>
                <w:lang w:val="en-US" w:eastAsia="zh-CN"/>
              </w:rPr>
            </w:pPr>
            <w:r>
              <w:rPr>
                <w:rFonts w:hint="eastAsia" w:ascii="仿宋" w:hAnsi="仿宋" w:eastAsia="仿宋" w:cs="仿宋"/>
                <w:bCs/>
                <w:sz w:val="18"/>
                <w:szCs w:val="18"/>
                <w:highlight w:val="none"/>
                <w:vertAlign w:val="baseline"/>
                <w:lang w:val="en-US" w:eastAsia="zh-CN"/>
              </w:rPr>
              <w:t>3.接收机前面板具有≥2个TFT-LCD显示屏、≥2个编码旋钮、≥2个频率扫描实体按键、≥2个红外对频实体按键、≥1个电源开关按键、≥1个二合一指示灯（红外发射管+对频指示灯）；后面板具有≥1个LINE-OUT接口、≥2个XLR-OUT接口、≥2个BNC接口、≥1个DC接口。桌面式发射机具有≥1个TYPE-C 充电口、≥1个3.5mm耳麦输入接口、≥1个OLED显示屏、≥1个电源开关按键，≥1个触摸开关麦按键。（需提供得到CMA或CNAS认可的检测机构出具的检测报告作为该技术参数证明材料）</w:t>
            </w:r>
          </w:p>
          <w:p w14:paraId="0CDC4C10">
            <w:pPr>
              <w:keepNext w:val="0"/>
              <w:keepLines w:val="0"/>
              <w:widowControl/>
              <w:suppressLineNumbers w:val="0"/>
              <w:jc w:val="left"/>
              <w:textAlignment w:val="center"/>
              <w:rPr>
                <w:rFonts w:hint="eastAsia" w:ascii="仿宋" w:hAnsi="仿宋" w:eastAsia="仿宋" w:cs="仿宋"/>
                <w:bCs/>
                <w:sz w:val="18"/>
                <w:szCs w:val="18"/>
                <w:highlight w:val="none"/>
                <w:vertAlign w:val="baseline"/>
                <w:lang w:val="en-US" w:eastAsia="zh-CN"/>
              </w:rPr>
            </w:pPr>
            <w:r>
              <w:rPr>
                <w:rFonts w:hint="eastAsia" w:ascii="仿宋" w:hAnsi="仿宋" w:eastAsia="仿宋" w:cs="仿宋"/>
                <w:bCs/>
                <w:sz w:val="18"/>
                <w:szCs w:val="18"/>
                <w:highlight w:val="none"/>
                <w:vertAlign w:val="baseline"/>
                <w:lang w:val="en-US" w:eastAsia="zh-CN"/>
              </w:rPr>
              <w:t>4.具有多档位混响调节功能，混响效果≥15625个，效果占比、回响延时、混响幅度调节，三种音效各具有≥25档调节方式。（需提供得到CMA或CNAS认可的检测机构出具的检测报告作为该技术参数证明材料）</w:t>
            </w:r>
          </w:p>
          <w:p w14:paraId="3E372523">
            <w:pPr>
              <w:keepNext w:val="0"/>
              <w:keepLines w:val="0"/>
              <w:widowControl/>
              <w:suppressLineNumbers w:val="0"/>
              <w:jc w:val="left"/>
              <w:textAlignment w:val="center"/>
              <w:rPr>
                <w:rFonts w:hint="eastAsia" w:ascii="仿宋" w:hAnsi="仿宋" w:eastAsia="仿宋" w:cs="仿宋"/>
                <w:bCs/>
                <w:sz w:val="18"/>
                <w:szCs w:val="18"/>
                <w:highlight w:val="none"/>
                <w:vertAlign w:val="baseline"/>
                <w:lang w:val="en-US" w:eastAsia="zh-CN"/>
              </w:rPr>
            </w:pPr>
            <w:r>
              <w:rPr>
                <w:rFonts w:hint="eastAsia" w:ascii="仿宋" w:hAnsi="仿宋" w:eastAsia="仿宋" w:cs="仿宋"/>
                <w:bCs/>
                <w:sz w:val="18"/>
                <w:szCs w:val="18"/>
                <w:highlight w:val="none"/>
                <w:vertAlign w:val="baseline"/>
                <w:lang w:val="en-US" w:eastAsia="zh-CN"/>
              </w:rPr>
              <w:t>5.具有多频段均衡调节功能，均衡调节≥2197种，麦克风均衡器调节功能，具有高、中、低音三种调节档位，每种效果支持≥13档调节。</w:t>
            </w:r>
          </w:p>
          <w:p w14:paraId="7576464E">
            <w:pPr>
              <w:keepNext w:val="0"/>
              <w:keepLines w:val="0"/>
              <w:widowControl/>
              <w:suppressLineNumbers w:val="0"/>
              <w:jc w:val="left"/>
              <w:textAlignment w:val="center"/>
              <w:rPr>
                <w:rFonts w:hint="eastAsia" w:ascii="仿宋" w:hAnsi="仿宋" w:eastAsia="仿宋" w:cs="仿宋"/>
                <w:bCs/>
                <w:sz w:val="18"/>
                <w:szCs w:val="18"/>
                <w:highlight w:val="none"/>
                <w:vertAlign w:val="baseline"/>
                <w:lang w:val="en-US" w:eastAsia="zh-CN"/>
              </w:rPr>
            </w:pPr>
            <w:r>
              <w:rPr>
                <w:rFonts w:hint="eastAsia" w:ascii="仿宋" w:hAnsi="仿宋" w:eastAsia="仿宋" w:cs="仿宋"/>
                <w:bCs/>
                <w:sz w:val="18"/>
                <w:szCs w:val="18"/>
                <w:highlight w:val="none"/>
                <w:vertAlign w:val="baseline"/>
                <w:lang w:val="en-US" w:eastAsia="zh-CN"/>
              </w:rPr>
              <w:t>6.具有ID码防串扰功能，采用32位唯一ID码，用于接收和发射配对，收发ID码必须相同才能对码，能够有效防止相同频率的信号相互串台。</w:t>
            </w:r>
          </w:p>
          <w:p w14:paraId="05B659E4">
            <w:pPr>
              <w:keepNext w:val="0"/>
              <w:keepLines w:val="0"/>
              <w:widowControl/>
              <w:suppressLineNumbers w:val="0"/>
              <w:jc w:val="left"/>
              <w:textAlignment w:val="center"/>
              <w:rPr>
                <w:rFonts w:hint="eastAsia" w:ascii="仿宋" w:hAnsi="仿宋" w:eastAsia="仿宋" w:cs="仿宋"/>
                <w:bCs/>
                <w:sz w:val="18"/>
                <w:szCs w:val="18"/>
                <w:highlight w:val="none"/>
                <w:vertAlign w:val="baseline"/>
                <w:lang w:val="en-US" w:eastAsia="zh-CN"/>
              </w:rPr>
            </w:pPr>
            <w:r>
              <w:rPr>
                <w:rFonts w:hint="eastAsia" w:ascii="仿宋" w:hAnsi="仿宋" w:eastAsia="仿宋" w:cs="仿宋"/>
                <w:bCs/>
                <w:sz w:val="18"/>
                <w:szCs w:val="18"/>
                <w:highlight w:val="none"/>
                <w:vertAlign w:val="baseline"/>
                <w:lang w:val="en-US" w:eastAsia="zh-CN"/>
              </w:rPr>
              <w:t>7.接收机具有≥2个2.2英寸的TFT-LCD显示屏；发射机具有≥0.96英寸OLED显示屏，能够显示频率信息、音频加密状态、功率挡位、静音状态、电量格数信息。</w:t>
            </w:r>
          </w:p>
          <w:p w14:paraId="5EB69B9D">
            <w:pPr>
              <w:keepNext w:val="0"/>
              <w:keepLines w:val="0"/>
              <w:widowControl/>
              <w:suppressLineNumbers w:val="0"/>
              <w:jc w:val="left"/>
              <w:textAlignment w:val="center"/>
              <w:rPr>
                <w:rFonts w:hint="eastAsia" w:ascii="仿宋" w:hAnsi="仿宋" w:eastAsia="仿宋" w:cs="仿宋"/>
                <w:bCs/>
                <w:sz w:val="18"/>
                <w:szCs w:val="18"/>
                <w:highlight w:val="none"/>
                <w:vertAlign w:val="baseline"/>
                <w:lang w:val="en-US" w:eastAsia="zh-CN"/>
              </w:rPr>
            </w:pPr>
            <w:r>
              <w:rPr>
                <w:rFonts w:hint="eastAsia" w:ascii="仿宋" w:hAnsi="仿宋" w:eastAsia="仿宋" w:cs="仿宋"/>
                <w:bCs/>
                <w:sz w:val="18"/>
                <w:szCs w:val="18"/>
                <w:highlight w:val="none"/>
                <w:vertAlign w:val="baseline"/>
                <w:lang w:val="en-US" w:eastAsia="zh-CN"/>
              </w:rPr>
              <w:t>8.桌面式发射机配置≥1颗容量2400mAh的锂电池，使用时长≥15小时；设备电池孔位≥4个，电池具有扩展性，通过拓展连续使用时长≥60小时。（需提供得到CMA或CNAS认可的检测机构出具的检测报告作为该技术参数证明材料）</w:t>
            </w:r>
          </w:p>
        </w:tc>
      </w:tr>
      <w:tr w14:paraId="3FFA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1C4FA3DD">
            <w:pPr>
              <w:keepNext w:val="0"/>
              <w:keepLines w:val="0"/>
              <w:pageBreakBefore w:val="0"/>
              <w:numPr>
                <w:ilvl w:val="0"/>
                <w:numId w:val="0"/>
              </w:numPr>
              <w:kinsoku/>
              <w:wordWrap/>
              <w:overflowPunct/>
              <w:autoSpaceDE/>
              <w:autoSpaceDN/>
              <w:bidi w:val="0"/>
              <w:adjustRightInd/>
              <w:spacing w:line="570" w:lineRule="exact"/>
              <w:jc w:val="center"/>
              <w:textAlignment w:val="auto"/>
              <w:rPr>
                <w:rFonts w:hint="default"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7</w:t>
            </w:r>
          </w:p>
        </w:tc>
        <w:tc>
          <w:tcPr>
            <w:tcW w:w="649" w:type="pct"/>
            <w:vMerge w:val="continue"/>
            <w:vAlign w:val="center"/>
          </w:tcPr>
          <w:p w14:paraId="01EB82A8">
            <w:pPr>
              <w:keepNext w:val="0"/>
              <w:keepLines w:val="0"/>
              <w:pageBreakBefore w:val="0"/>
              <w:numPr>
                <w:ilvl w:val="0"/>
                <w:numId w:val="0"/>
              </w:numPr>
              <w:kinsoku/>
              <w:wordWrap/>
              <w:overflowPunct/>
              <w:autoSpaceDE/>
              <w:autoSpaceDN/>
              <w:bidi w:val="0"/>
              <w:adjustRightInd/>
              <w:spacing w:line="570" w:lineRule="exact"/>
              <w:jc w:val="center"/>
              <w:textAlignment w:val="auto"/>
              <w:rPr>
                <w:rFonts w:hint="eastAsia" w:ascii="仿宋" w:hAnsi="仿宋" w:eastAsia="仿宋" w:cs="仿宋"/>
                <w:bCs/>
                <w:sz w:val="18"/>
                <w:szCs w:val="18"/>
                <w:vertAlign w:val="baseline"/>
                <w:lang w:val="en-US" w:eastAsia="zh-CN"/>
              </w:rPr>
            </w:pPr>
          </w:p>
        </w:tc>
        <w:tc>
          <w:tcPr>
            <w:tcW w:w="503" w:type="pct"/>
            <w:vAlign w:val="center"/>
          </w:tcPr>
          <w:p w14:paraId="4A7D77E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电源管理器</w:t>
            </w:r>
          </w:p>
        </w:tc>
        <w:tc>
          <w:tcPr>
            <w:tcW w:w="324" w:type="pct"/>
            <w:vAlign w:val="center"/>
          </w:tcPr>
          <w:p w14:paraId="55B925B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337" w:type="pct"/>
            <w:vAlign w:val="center"/>
          </w:tcPr>
          <w:p w14:paraId="6631EF1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2841" w:type="pct"/>
            <w:vAlign w:val="center"/>
          </w:tcPr>
          <w:p w14:paraId="3C69D84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1.支持≥8通道电源时序打开/关闭，每路动作延时时间：≤1秒，支持远程控制（上电+24V直流信号）8通道电源时序打开/关闭—当电源开关处于off位置时有效。支持配置CH1和CH2通道为受控或不受控状态。</w:t>
            </w:r>
          </w:p>
          <w:p w14:paraId="5B70722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2.当远程控制有效时同时控制后板ALARM（报警）端口导通以起到级联控制ALARM（报警）功能。</w:t>
            </w:r>
          </w:p>
          <w:p w14:paraId="310EDC5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3.单个通道最大负载功率≥2200W，所有通道负载总功率≥6000W。输出连接器：多用途电源插座。</w:t>
            </w:r>
          </w:p>
          <w:p w14:paraId="6C5F572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4.具有一路及以上USB输出接口。</w:t>
            </w:r>
          </w:p>
        </w:tc>
      </w:tr>
      <w:tr w14:paraId="3E72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579C6254">
            <w:pPr>
              <w:keepNext w:val="0"/>
              <w:keepLines w:val="0"/>
              <w:pageBreakBefore w:val="0"/>
              <w:numPr>
                <w:ilvl w:val="0"/>
                <w:numId w:val="0"/>
              </w:numPr>
              <w:kinsoku/>
              <w:wordWrap/>
              <w:overflowPunct/>
              <w:autoSpaceDE/>
              <w:autoSpaceDN/>
              <w:bidi w:val="0"/>
              <w:adjustRightInd/>
              <w:spacing w:line="570" w:lineRule="exact"/>
              <w:jc w:val="center"/>
              <w:textAlignment w:val="auto"/>
              <w:rPr>
                <w:rFonts w:hint="default"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8</w:t>
            </w:r>
          </w:p>
        </w:tc>
        <w:tc>
          <w:tcPr>
            <w:tcW w:w="649" w:type="pct"/>
            <w:vMerge w:val="continue"/>
            <w:vAlign w:val="center"/>
          </w:tcPr>
          <w:p w14:paraId="18E7E3C7">
            <w:pPr>
              <w:keepNext w:val="0"/>
              <w:keepLines w:val="0"/>
              <w:pageBreakBefore w:val="0"/>
              <w:numPr>
                <w:ilvl w:val="0"/>
                <w:numId w:val="0"/>
              </w:numPr>
              <w:kinsoku/>
              <w:wordWrap/>
              <w:overflowPunct/>
              <w:autoSpaceDE/>
              <w:autoSpaceDN/>
              <w:bidi w:val="0"/>
              <w:adjustRightInd/>
              <w:spacing w:line="570" w:lineRule="exact"/>
              <w:jc w:val="center"/>
              <w:textAlignment w:val="auto"/>
              <w:rPr>
                <w:rFonts w:hint="eastAsia" w:ascii="仿宋" w:hAnsi="仿宋" w:eastAsia="仿宋" w:cs="仿宋"/>
                <w:bCs/>
                <w:sz w:val="18"/>
                <w:szCs w:val="18"/>
                <w:vertAlign w:val="baseline"/>
                <w:lang w:val="en-US" w:eastAsia="zh-CN"/>
              </w:rPr>
            </w:pPr>
          </w:p>
        </w:tc>
        <w:tc>
          <w:tcPr>
            <w:tcW w:w="503" w:type="pct"/>
            <w:vAlign w:val="center"/>
          </w:tcPr>
          <w:p w14:paraId="7041385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控制台</w:t>
            </w:r>
          </w:p>
        </w:tc>
        <w:tc>
          <w:tcPr>
            <w:tcW w:w="324" w:type="pct"/>
            <w:vAlign w:val="center"/>
          </w:tcPr>
          <w:p w14:paraId="03FE0B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337" w:type="pct"/>
            <w:vAlign w:val="center"/>
          </w:tcPr>
          <w:p w14:paraId="0E7CE2A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套</w:t>
            </w:r>
          </w:p>
        </w:tc>
        <w:tc>
          <w:tcPr>
            <w:tcW w:w="2841" w:type="pct"/>
            <w:vAlign w:val="center"/>
          </w:tcPr>
          <w:p w14:paraId="2368732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双联操作台，长≥1280mm；宽≥950mm；高≥950mm，含操作椅2套。</w:t>
            </w:r>
          </w:p>
        </w:tc>
      </w:tr>
      <w:tr w14:paraId="729F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515E8823">
            <w:pPr>
              <w:keepNext w:val="0"/>
              <w:keepLines w:val="0"/>
              <w:pageBreakBefore w:val="0"/>
              <w:numPr>
                <w:ilvl w:val="0"/>
                <w:numId w:val="0"/>
              </w:numPr>
              <w:kinsoku/>
              <w:wordWrap/>
              <w:overflowPunct/>
              <w:autoSpaceDE/>
              <w:autoSpaceDN/>
              <w:bidi w:val="0"/>
              <w:adjustRightInd/>
              <w:spacing w:line="570" w:lineRule="exact"/>
              <w:jc w:val="center"/>
              <w:textAlignment w:val="auto"/>
              <w:rPr>
                <w:rFonts w:hint="default"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9</w:t>
            </w:r>
          </w:p>
        </w:tc>
        <w:tc>
          <w:tcPr>
            <w:tcW w:w="649" w:type="pct"/>
            <w:vMerge w:val="continue"/>
            <w:vAlign w:val="center"/>
          </w:tcPr>
          <w:p w14:paraId="28EBDF01">
            <w:pPr>
              <w:keepNext w:val="0"/>
              <w:keepLines w:val="0"/>
              <w:pageBreakBefore w:val="0"/>
              <w:numPr>
                <w:ilvl w:val="0"/>
                <w:numId w:val="0"/>
              </w:numPr>
              <w:kinsoku/>
              <w:wordWrap/>
              <w:overflowPunct/>
              <w:autoSpaceDE/>
              <w:autoSpaceDN/>
              <w:bidi w:val="0"/>
              <w:adjustRightInd/>
              <w:spacing w:line="570" w:lineRule="exact"/>
              <w:jc w:val="center"/>
              <w:textAlignment w:val="auto"/>
              <w:rPr>
                <w:rFonts w:hint="eastAsia" w:ascii="仿宋" w:hAnsi="仿宋" w:eastAsia="仿宋" w:cs="仿宋"/>
                <w:bCs/>
                <w:sz w:val="18"/>
                <w:szCs w:val="18"/>
                <w:vertAlign w:val="baseline"/>
                <w:lang w:val="en-US" w:eastAsia="zh-CN"/>
              </w:rPr>
            </w:pPr>
          </w:p>
        </w:tc>
        <w:tc>
          <w:tcPr>
            <w:tcW w:w="503" w:type="pct"/>
            <w:vAlign w:val="center"/>
          </w:tcPr>
          <w:p w14:paraId="584297C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LED大屏幕</w:t>
            </w:r>
          </w:p>
        </w:tc>
        <w:tc>
          <w:tcPr>
            <w:tcW w:w="324" w:type="pct"/>
            <w:vAlign w:val="center"/>
          </w:tcPr>
          <w:p w14:paraId="2962F0A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7.3216</w:t>
            </w:r>
          </w:p>
        </w:tc>
        <w:tc>
          <w:tcPr>
            <w:tcW w:w="337" w:type="pct"/>
            <w:vAlign w:val="center"/>
          </w:tcPr>
          <w:p w14:paraId="6AFACA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t>
            </w:r>
          </w:p>
        </w:tc>
        <w:tc>
          <w:tcPr>
            <w:tcW w:w="2841" w:type="pct"/>
            <w:vAlign w:val="center"/>
          </w:tcPr>
          <w:p w14:paraId="6A766B2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尺寸：3.52m*2.08m</w:t>
            </w:r>
          </w:p>
          <w:p w14:paraId="6668F82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1.LED显示屏采用≤1.25mm点间距；</w:t>
            </w:r>
          </w:p>
          <w:p w14:paraId="65E0297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2.LED显示屏模组尺寸320mm*160mm；</w:t>
            </w:r>
          </w:p>
          <w:p w14:paraId="0F1250B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3.LED显示屏采用前/后维护方式，可正面拆卸模组、接收卡、电源等低压器件，具备热插拔能力；</w:t>
            </w:r>
          </w:p>
          <w:p w14:paraId="34F9D3E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4.LED显示屏符合等同或优于IP5X防护等级；</w:t>
            </w:r>
          </w:p>
          <w:p w14:paraId="323B153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5.LED显示屏亮度可达到200-800cd/m²，可通过配套软件0-100%调节，设置亮度定时调节；</w:t>
            </w:r>
          </w:p>
          <w:p w14:paraId="6A96923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LED显示屏对比度≥10000：1；LED显示屏杂点率≤1/100000且无连续失控点；LED显示屏亮度均匀性≥99%；LED显示色度均匀性±0.001Cx,Cy之内；LED显示屏像素中心距相对偏差≤1%；LED显示屏观看水平/垂直视角≥175°；LED显示屏平均故障恢复时间（MTTR）≤2分钟；</w:t>
            </w:r>
          </w:p>
          <w:p w14:paraId="3BBF6C6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7.LED显示屏刷新频率≥4200Hz，可通过配套控制软件调节刷新率设置选项；</w:t>
            </w:r>
          </w:p>
          <w:p w14:paraId="15BF98D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8.LED显示屏峰值功耗为≤500W/㎡；LED显示屏平均功耗为≤125W/㎡；</w:t>
            </w:r>
          </w:p>
        </w:tc>
      </w:tr>
      <w:tr w14:paraId="380D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01FD670B">
            <w:pPr>
              <w:keepNext w:val="0"/>
              <w:keepLines w:val="0"/>
              <w:pageBreakBefore w:val="0"/>
              <w:numPr>
                <w:ilvl w:val="0"/>
                <w:numId w:val="0"/>
              </w:numPr>
              <w:kinsoku/>
              <w:wordWrap/>
              <w:overflowPunct/>
              <w:autoSpaceDE/>
              <w:autoSpaceDN/>
              <w:bidi w:val="0"/>
              <w:adjustRightInd/>
              <w:spacing w:line="570" w:lineRule="exact"/>
              <w:jc w:val="center"/>
              <w:textAlignment w:val="auto"/>
              <w:rPr>
                <w:rFonts w:hint="default"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10</w:t>
            </w:r>
          </w:p>
        </w:tc>
        <w:tc>
          <w:tcPr>
            <w:tcW w:w="649" w:type="pct"/>
            <w:vMerge w:val="continue"/>
            <w:vAlign w:val="center"/>
          </w:tcPr>
          <w:p w14:paraId="3560FFDD">
            <w:pPr>
              <w:keepNext w:val="0"/>
              <w:keepLines w:val="0"/>
              <w:pageBreakBefore w:val="0"/>
              <w:numPr>
                <w:ilvl w:val="0"/>
                <w:numId w:val="0"/>
              </w:numPr>
              <w:kinsoku/>
              <w:wordWrap/>
              <w:overflowPunct/>
              <w:autoSpaceDE/>
              <w:autoSpaceDN/>
              <w:bidi w:val="0"/>
              <w:adjustRightInd/>
              <w:spacing w:line="570" w:lineRule="exact"/>
              <w:jc w:val="center"/>
              <w:textAlignment w:val="auto"/>
              <w:rPr>
                <w:rFonts w:hint="eastAsia" w:ascii="仿宋" w:hAnsi="仿宋" w:eastAsia="仿宋" w:cs="仿宋"/>
                <w:bCs/>
                <w:sz w:val="18"/>
                <w:szCs w:val="18"/>
                <w:vertAlign w:val="baseline"/>
                <w:lang w:val="en-US" w:eastAsia="zh-CN"/>
              </w:rPr>
            </w:pPr>
          </w:p>
        </w:tc>
        <w:tc>
          <w:tcPr>
            <w:tcW w:w="503" w:type="pct"/>
            <w:vAlign w:val="center"/>
          </w:tcPr>
          <w:p w14:paraId="1177040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视频处理器</w:t>
            </w:r>
          </w:p>
        </w:tc>
        <w:tc>
          <w:tcPr>
            <w:tcW w:w="324" w:type="pct"/>
            <w:vAlign w:val="center"/>
          </w:tcPr>
          <w:p w14:paraId="3FE48D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337" w:type="pct"/>
            <w:vAlign w:val="center"/>
          </w:tcPr>
          <w:p w14:paraId="22DED9D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套</w:t>
            </w:r>
          </w:p>
        </w:tc>
        <w:tc>
          <w:tcPr>
            <w:tcW w:w="2841" w:type="pct"/>
            <w:vAlign w:val="center"/>
          </w:tcPr>
          <w:p w14:paraId="3A26E25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输入</w:t>
            </w:r>
          </w:p>
          <w:p w14:paraId="39A1B10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支持 1 路 HDMI、1 路 DVI、1 路 DP、1 路 VGA、1 路 EXT（EXT 为扩展接口，默认标配 DVI 接口，可选配</w:t>
            </w:r>
          </w:p>
          <w:p w14:paraId="3F39363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SDI 接口）信号输入，多路视频信号任意切换；</w:t>
            </w:r>
          </w:p>
          <w:p w14:paraId="7BB4333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支持 1 路 TRS 3.5mm 标准双声道音频输入和 HDMI 音频输入。</w:t>
            </w:r>
          </w:p>
          <w:p w14:paraId="0A8A462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输出</w:t>
            </w:r>
          </w:p>
          <w:p w14:paraId="00D4CC5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标配 8 路千兆网口，直接级联接收卡；</w:t>
            </w:r>
          </w:p>
          <w:p w14:paraId="140CB7B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最大控制 520 万像素，水平最大支持 8000 像素，垂直最大支持 4000 像素；</w:t>
            </w:r>
          </w:p>
          <w:p w14:paraId="2B7A053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 路 TRS 3.5mm 标准双声道音频输出。</w:t>
            </w:r>
          </w:p>
        </w:tc>
      </w:tr>
      <w:tr w14:paraId="487A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5ED077ED">
            <w:pPr>
              <w:keepNext w:val="0"/>
              <w:keepLines w:val="0"/>
              <w:pageBreakBefore w:val="0"/>
              <w:numPr>
                <w:ilvl w:val="0"/>
                <w:numId w:val="0"/>
              </w:numPr>
              <w:kinsoku/>
              <w:wordWrap/>
              <w:overflowPunct/>
              <w:autoSpaceDE/>
              <w:autoSpaceDN/>
              <w:bidi w:val="0"/>
              <w:adjustRightInd/>
              <w:spacing w:line="570" w:lineRule="exact"/>
              <w:jc w:val="center"/>
              <w:textAlignment w:val="auto"/>
              <w:rPr>
                <w:rFonts w:hint="default"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11</w:t>
            </w:r>
          </w:p>
        </w:tc>
        <w:tc>
          <w:tcPr>
            <w:tcW w:w="649" w:type="pct"/>
            <w:vMerge w:val="continue"/>
            <w:vAlign w:val="center"/>
          </w:tcPr>
          <w:p w14:paraId="53579C1F">
            <w:pPr>
              <w:keepNext w:val="0"/>
              <w:keepLines w:val="0"/>
              <w:pageBreakBefore w:val="0"/>
              <w:numPr>
                <w:ilvl w:val="0"/>
                <w:numId w:val="0"/>
              </w:numPr>
              <w:kinsoku/>
              <w:wordWrap/>
              <w:overflowPunct/>
              <w:autoSpaceDE/>
              <w:autoSpaceDN/>
              <w:bidi w:val="0"/>
              <w:adjustRightInd/>
              <w:spacing w:line="570" w:lineRule="exact"/>
              <w:jc w:val="center"/>
              <w:textAlignment w:val="auto"/>
              <w:rPr>
                <w:rFonts w:hint="eastAsia" w:ascii="仿宋" w:hAnsi="仿宋" w:eastAsia="仿宋" w:cs="仿宋"/>
                <w:bCs/>
                <w:sz w:val="18"/>
                <w:szCs w:val="18"/>
                <w:vertAlign w:val="baseline"/>
                <w:lang w:val="en-US" w:eastAsia="zh-CN"/>
              </w:rPr>
            </w:pPr>
          </w:p>
        </w:tc>
        <w:tc>
          <w:tcPr>
            <w:tcW w:w="503" w:type="pct"/>
            <w:vAlign w:val="center"/>
          </w:tcPr>
          <w:p w14:paraId="0F86858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工作站</w:t>
            </w:r>
          </w:p>
        </w:tc>
        <w:tc>
          <w:tcPr>
            <w:tcW w:w="324" w:type="pct"/>
            <w:vAlign w:val="center"/>
          </w:tcPr>
          <w:p w14:paraId="42620F7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337" w:type="pct"/>
            <w:vAlign w:val="center"/>
          </w:tcPr>
          <w:p w14:paraId="6A51C7F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2841" w:type="pct"/>
            <w:vAlign w:val="center"/>
          </w:tcPr>
          <w:p w14:paraId="573BB90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1、CPU:≥8核2.1GHz</w:t>
            </w:r>
          </w:p>
          <w:p w14:paraId="166F7C7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2、内存：≥16GB</w:t>
            </w:r>
          </w:p>
          <w:p w14:paraId="5EC6B40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3、硬盘：≥512G</w:t>
            </w:r>
          </w:p>
          <w:p w14:paraId="6E2C8A8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4、显卡：显存不小于8GB</w:t>
            </w:r>
          </w:p>
          <w:p w14:paraId="0663A53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5、显示器：23.8英寸</w:t>
            </w:r>
          </w:p>
          <w:p w14:paraId="225454E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6、操作系统：含国产操作系统</w:t>
            </w:r>
          </w:p>
        </w:tc>
      </w:tr>
      <w:tr w14:paraId="7DBB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210B791E">
            <w:pPr>
              <w:keepNext w:val="0"/>
              <w:keepLines w:val="0"/>
              <w:pageBreakBefore w:val="0"/>
              <w:numPr>
                <w:ilvl w:val="0"/>
                <w:numId w:val="0"/>
              </w:numPr>
              <w:kinsoku/>
              <w:wordWrap/>
              <w:overflowPunct/>
              <w:autoSpaceDE/>
              <w:autoSpaceDN/>
              <w:bidi w:val="0"/>
              <w:adjustRightInd/>
              <w:spacing w:line="570" w:lineRule="exact"/>
              <w:jc w:val="center"/>
              <w:textAlignment w:val="auto"/>
              <w:rPr>
                <w:rFonts w:hint="default"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12</w:t>
            </w:r>
          </w:p>
        </w:tc>
        <w:tc>
          <w:tcPr>
            <w:tcW w:w="649" w:type="pct"/>
            <w:vMerge w:val="continue"/>
            <w:vAlign w:val="center"/>
          </w:tcPr>
          <w:p w14:paraId="0D4BF367">
            <w:pPr>
              <w:keepNext w:val="0"/>
              <w:keepLines w:val="0"/>
              <w:pageBreakBefore w:val="0"/>
              <w:numPr>
                <w:ilvl w:val="0"/>
                <w:numId w:val="0"/>
              </w:numPr>
              <w:kinsoku/>
              <w:wordWrap/>
              <w:overflowPunct/>
              <w:autoSpaceDE/>
              <w:autoSpaceDN/>
              <w:bidi w:val="0"/>
              <w:adjustRightInd/>
              <w:spacing w:line="570" w:lineRule="exact"/>
              <w:jc w:val="center"/>
              <w:textAlignment w:val="auto"/>
              <w:rPr>
                <w:rFonts w:hint="eastAsia" w:ascii="仿宋" w:hAnsi="仿宋" w:eastAsia="仿宋" w:cs="仿宋"/>
                <w:bCs/>
                <w:sz w:val="18"/>
                <w:szCs w:val="18"/>
                <w:vertAlign w:val="baseline"/>
                <w:lang w:val="en-US" w:eastAsia="zh-CN"/>
              </w:rPr>
            </w:pPr>
          </w:p>
        </w:tc>
        <w:tc>
          <w:tcPr>
            <w:tcW w:w="503" w:type="pct"/>
            <w:vAlign w:val="center"/>
          </w:tcPr>
          <w:p w14:paraId="77733B2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应用服务器</w:t>
            </w:r>
          </w:p>
        </w:tc>
        <w:tc>
          <w:tcPr>
            <w:tcW w:w="324" w:type="pct"/>
            <w:vAlign w:val="center"/>
          </w:tcPr>
          <w:p w14:paraId="0E08242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337" w:type="pct"/>
            <w:vAlign w:val="center"/>
          </w:tcPr>
          <w:p w14:paraId="630EF2D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2841" w:type="pct"/>
            <w:vAlign w:val="center"/>
          </w:tcPr>
          <w:p w14:paraId="6DC0005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1、CPU：≥32核2.6GHz；</w:t>
            </w:r>
          </w:p>
          <w:p w14:paraId="5901B4F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2、内存：≥64G；</w:t>
            </w:r>
          </w:p>
          <w:p w14:paraId="78A1C1A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3、硬盘：≥16TB；</w:t>
            </w:r>
          </w:p>
          <w:p w14:paraId="0B16CDF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4、电源：配置2个电源模块，单电源功率≥900W；</w:t>
            </w:r>
          </w:p>
          <w:p w14:paraId="7E71C94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5、网口：≥4个千兆网络电口；</w:t>
            </w:r>
          </w:p>
          <w:p w14:paraId="5C6A5D8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6、RAID卡：支持RAID0，1，5，10。</w:t>
            </w:r>
          </w:p>
          <w:p w14:paraId="06B70B6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7、操作系统：含国产操作系统</w:t>
            </w:r>
          </w:p>
        </w:tc>
      </w:tr>
      <w:tr w14:paraId="5951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7A8CB390">
            <w:pPr>
              <w:keepNext w:val="0"/>
              <w:keepLines w:val="0"/>
              <w:pageBreakBefore w:val="0"/>
              <w:numPr>
                <w:ilvl w:val="0"/>
                <w:numId w:val="0"/>
              </w:numPr>
              <w:kinsoku/>
              <w:wordWrap/>
              <w:overflowPunct/>
              <w:autoSpaceDE/>
              <w:autoSpaceDN/>
              <w:bidi w:val="0"/>
              <w:adjustRightInd/>
              <w:spacing w:line="570" w:lineRule="exact"/>
              <w:jc w:val="center"/>
              <w:textAlignment w:val="auto"/>
              <w:rPr>
                <w:rFonts w:hint="default"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13</w:t>
            </w:r>
          </w:p>
        </w:tc>
        <w:tc>
          <w:tcPr>
            <w:tcW w:w="649" w:type="pct"/>
            <w:vMerge w:val="continue"/>
            <w:vAlign w:val="center"/>
          </w:tcPr>
          <w:p w14:paraId="67B1DEC7">
            <w:pPr>
              <w:keepNext w:val="0"/>
              <w:keepLines w:val="0"/>
              <w:pageBreakBefore w:val="0"/>
              <w:numPr>
                <w:ilvl w:val="0"/>
                <w:numId w:val="0"/>
              </w:numPr>
              <w:kinsoku/>
              <w:wordWrap/>
              <w:overflowPunct/>
              <w:autoSpaceDE/>
              <w:autoSpaceDN/>
              <w:bidi w:val="0"/>
              <w:adjustRightInd/>
              <w:spacing w:line="570" w:lineRule="exact"/>
              <w:jc w:val="center"/>
              <w:textAlignment w:val="auto"/>
              <w:rPr>
                <w:rFonts w:hint="eastAsia" w:ascii="仿宋" w:hAnsi="仿宋" w:eastAsia="仿宋" w:cs="仿宋"/>
                <w:bCs/>
                <w:sz w:val="18"/>
                <w:szCs w:val="18"/>
                <w:vertAlign w:val="baseline"/>
                <w:lang w:val="en-US" w:eastAsia="zh-CN"/>
              </w:rPr>
            </w:pPr>
          </w:p>
        </w:tc>
        <w:tc>
          <w:tcPr>
            <w:tcW w:w="503" w:type="pct"/>
            <w:vAlign w:val="center"/>
          </w:tcPr>
          <w:p w14:paraId="2942727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数据服务器</w:t>
            </w:r>
          </w:p>
        </w:tc>
        <w:tc>
          <w:tcPr>
            <w:tcW w:w="324" w:type="pct"/>
            <w:vAlign w:val="center"/>
          </w:tcPr>
          <w:p w14:paraId="03A9C8E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337" w:type="pct"/>
            <w:vAlign w:val="center"/>
          </w:tcPr>
          <w:p w14:paraId="7926C8A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2841" w:type="pct"/>
            <w:vAlign w:val="center"/>
          </w:tcPr>
          <w:p w14:paraId="50C7809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1、CPU：≥32核2.6GHz；</w:t>
            </w:r>
          </w:p>
          <w:p w14:paraId="4CDE612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2、内存：≥32G；</w:t>
            </w:r>
          </w:p>
          <w:p w14:paraId="52CE81B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3、硬盘：≥80TB；</w:t>
            </w:r>
          </w:p>
          <w:p w14:paraId="307AD85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4、电源：配置2个电源模块，单电源功率≥900W；</w:t>
            </w:r>
          </w:p>
          <w:p w14:paraId="0629DF6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5、网口：≥4个千兆网络电口；</w:t>
            </w:r>
          </w:p>
          <w:p w14:paraId="16E0C51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6、RAID卡：支持RAID0，1，5，10。</w:t>
            </w:r>
          </w:p>
          <w:p w14:paraId="7420E77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7、操作系统：含国产操作系统</w:t>
            </w:r>
          </w:p>
        </w:tc>
      </w:tr>
      <w:tr w14:paraId="4625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31358684">
            <w:pPr>
              <w:keepNext w:val="0"/>
              <w:keepLines w:val="0"/>
              <w:pageBreakBefore w:val="0"/>
              <w:numPr>
                <w:ilvl w:val="0"/>
                <w:numId w:val="0"/>
              </w:numPr>
              <w:kinsoku/>
              <w:wordWrap/>
              <w:overflowPunct/>
              <w:autoSpaceDE/>
              <w:autoSpaceDN/>
              <w:bidi w:val="0"/>
              <w:adjustRightInd/>
              <w:spacing w:line="570" w:lineRule="exact"/>
              <w:jc w:val="center"/>
              <w:textAlignment w:val="auto"/>
              <w:rPr>
                <w:rFonts w:hint="default"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14</w:t>
            </w:r>
          </w:p>
        </w:tc>
        <w:tc>
          <w:tcPr>
            <w:tcW w:w="649" w:type="pct"/>
            <w:vMerge w:val="continue"/>
            <w:vAlign w:val="center"/>
          </w:tcPr>
          <w:p w14:paraId="41E2954B">
            <w:pPr>
              <w:keepNext w:val="0"/>
              <w:keepLines w:val="0"/>
              <w:pageBreakBefore w:val="0"/>
              <w:numPr>
                <w:ilvl w:val="0"/>
                <w:numId w:val="0"/>
              </w:numPr>
              <w:kinsoku/>
              <w:wordWrap/>
              <w:overflowPunct/>
              <w:autoSpaceDE/>
              <w:autoSpaceDN/>
              <w:bidi w:val="0"/>
              <w:adjustRightInd/>
              <w:spacing w:line="570" w:lineRule="exact"/>
              <w:jc w:val="center"/>
              <w:textAlignment w:val="auto"/>
              <w:rPr>
                <w:rFonts w:hint="eastAsia" w:ascii="仿宋" w:hAnsi="仿宋" w:eastAsia="仿宋" w:cs="仿宋"/>
                <w:bCs/>
                <w:sz w:val="18"/>
                <w:szCs w:val="18"/>
                <w:vertAlign w:val="baseline"/>
                <w:lang w:val="en-US" w:eastAsia="zh-CN"/>
              </w:rPr>
            </w:pPr>
          </w:p>
        </w:tc>
        <w:tc>
          <w:tcPr>
            <w:tcW w:w="503" w:type="pct"/>
            <w:vAlign w:val="center"/>
          </w:tcPr>
          <w:p w14:paraId="2826030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机柜</w:t>
            </w:r>
          </w:p>
        </w:tc>
        <w:tc>
          <w:tcPr>
            <w:tcW w:w="324" w:type="pct"/>
            <w:vAlign w:val="center"/>
          </w:tcPr>
          <w:p w14:paraId="7DB7DA0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337" w:type="pct"/>
            <w:vAlign w:val="center"/>
          </w:tcPr>
          <w:p w14:paraId="3CB1144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2841" w:type="pct"/>
            <w:vAlign w:val="center"/>
          </w:tcPr>
          <w:p w14:paraId="6231FDE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1、容量：42U</w:t>
            </w:r>
          </w:p>
          <w:p w14:paraId="44CC062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2、材质：冷轧钢</w:t>
            </w:r>
          </w:p>
          <w:p w14:paraId="6877A09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3、板材厚度≥1.2mm</w:t>
            </w:r>
          </w:p>
          <w:p w14:paraId="628A6B7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4、深度≥1000mm</w:t>
            </w:r>
          </w:p>
          <w:p w14:paraId="3A9CFF7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5、宽度≥600mm</w:t>
            </w:r>
          </w:p>
        </w:tc>
      </w:tr>
      <w:tr w14:paraId="67D3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1B31C54B">
            <w:pPr>
              <w:keepNext w:val="0"/>
              <w:keepLines w:val="0"/>
              <w:pageBreakBefore w:val="0"/>
              <w:numPr>
                <w:ilvl w:val="0"/>
                <w:numId w:val="0"/>
              </w:numPr>
              <w:kinsoku/>
              <w:wordWrap/>
              <w:overflowPunct/>
              <w:autoSpaceDE/>
              <w:autoSpaceDN/>
              <w:bidi w:val="0"/>
              <w:adjustRightInd/>
              <w:spacing w:line="570" w:lineRule="exact"/>
              <w:jc w:val="center"/>
              <w:textAlignment w:val="auto"/>
              <w:rPr>
                <w:rFonts w:hint="default"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15</w:t>
            </w:r>
          </w:p>
        </w:tc>
        <w:tc>
          <w:tcPr>
            <w:tcW w:w="649" w:type="pct"/>
            <w:vMerge w:val="continue"/>
            <w:vAlign w:val="center"/>
          </w:tcPr>
          <w:p w14:paraId="7BCD95F1">
            <w:pPr>
              <w:keepNext w:val="0"/>
              <w:keepLines w:val="0"/>
              <w:pageBreakBefore w:val="0"/>
              <w:numPr>
                <w:ilvl w:val="0"/>
                <w:numId w:val="0"/>
              </w:numPr>
              <w:kinsoku/>
              <w:wordWrap/>
              <w:overflowPunct/>
              <w:autoSpaceDE/>
              <w:autoSpaceDN/>
              <w:bidi w:val="0"/>
              <w:adjustRightInd/>
              <w:spacing w:line="570" w:lineRule="exact"/>
              <w:jc w:val="center"/>
              <w:textAlignment w:val="auto"/>
              <w:rPr>
                <w:rFonts w:hint="eastAsia" w:ascii="仿宋" w:hAnsi="仿宋" w:eastAsia="仿宋" w:cs="仿宋"/>
                <w:bCs/>
                <w:sz w:val="18"/>
                <w:szCs w:val="18"/>
                <w:vertAlign w:val="baseline"/>
                <w:lang w:val="en-US" w:eastAsia="zh-CN"/>
              </w:rPr>
            </w:pPr>
          </w:p>
        </w:tc>
        <w:tc>
          <w:tcPr>
            <w:tcW w:w="503" w:type="pct"/>
            <w:vAlign w:val="center"/>
          </w:tcPr>
          <w:p w14:paraId="663317F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防火墙</w:t>
            </w:r>
          </w:p>
        </w:tc>
        <w:tc>
          <w:tcPr>
            <w:tcW w:w="324" w:type="pct"/>
            <w:vAlign w:val="center"/>
          </w:tcPr>
          <w:p w14:paraId="66D5760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337" w:type="pct"/>
            <w:vAlign w:val="center"/>
          </w:tcPr>
          <w:p w14:paraId="5AB927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2841" w:type="pct"/>
            <w:vAlign w:val="center"/>
          </w:tcPr>
          <w:p w14:paraId="0B53B62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1、固定接口≥2 x 10GE (SFP+) + 8 x GE Combo + 2 x GE WAN；</w:t>
            </w:r>
          </w:p>
          <w:p w14:paraId="2079267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2、处理器≥1个CPU，4核/CPU，主频1.4GHz；</w:t>
            </w:r>
          </w:p>
          <w:p w14:paraId="557E50E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3、VPN支持：支持丰富高可靠性的VPN特性，如IPSec VPN，SSL VPN，L2TP VPN，MPLS VPN，GRE等，提供自研的VPN客户端SecoClient，实现SSL VPN，L2TP VPN和L2TP over IPSec VPN用户远程接入，支持DES，3DES，AES，SHA，SM2/SM3/SM4等多种加密算法；</w:t>
            </w:r>
          </w:p>
          <w:p w14:paraId="4286E2E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4、应用识别与管控：识别6000+应用，访问控制精度到应用功能，例如：区分微信的文字和语音。应用识别与入侵检测、防病毒、内容过滤相结合，提高检测性能和准确率；</w:t>
            </w:r>
          </w:p>
          <w:p w14:paraId="790B7FA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5、带宽管理：在识别业务应用的基础上，可管理每用户/IP使用的带宽, 确保关键业务和关键用户的网络体验。管控方式包括：限制最大带宽或保障最小带宽、应用的策略路由、修改应用转发优先级等；</w:t>
            </w:r>
          </w:p>
        </w:tc>
      </w:tr>
      <w:tr w14:paraId="03BD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71F80EC4">
            <w:pPr>
              <w:keepNext w:val="0"/>
              <w:keepLines w:val="0"/>
              <w:pageBreakBefore w:val="0"/>
              <w:numPr>
                <w:ilvl w:val="0"/>
                <w:numId w:val="0"/>
              </w:numPr>
              <w:kinsoku/>
              <w:wordWrap/>
              <w:overflowPunct/>
              <w:autoSpaceDE/>
              <w:autoSpaceDN/>
              <w:bidi w:val="0"/>
              <w:adjustRightInd/>
              <w:spacing w:line="570" w:lineRule="exact"/>
              <w:jc w:val="center"/>
              <w:textAlignment w:val="auto"/>
              <w:rPr>
                <w:rFonts w:hint="default"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16</w:t>
            </w:r>
          </w:p>
        </w:tc>
        <w:tc>
          <w:tcPr>
            <w:tcW w:w="649" w:type="pct"/>
            <w:vMerge w:val="continue"/>
            <w:vAlign w:val="center"/>
          </w:tcPr>
          <w:p w14:paraId="5F5DA722">
            <w:pPr>
              <w:keepNext w:val="0"/>
              <w:keepLines w:val="0"/>
              <w:pageBreakBefore w:val="0"/>
              <w:numPr>
                <w:ilvl w:val="0"/>
                <w:numId w:val="0"/>
              </w:numPr>
              <w:kinsoku/>
              <w:wordWrap/>
              <w:overflowPunct/>
              <w:autoSpaceDE/>
              <w:autoSpaceDN/>
              <w:bidi w:val="0"/>
              <w:adjustRightInd/>
              <w:spacing w:line="570" w:lineRule="exact"/>
              <w:jc w:val="center"/>
              <w:textAlignment w:val="auto"/>
              <w:rPr>
                <w:rFonts w:hint="eastAsia" w:ascii="仿宋" w:hAnsi="仿宋" w:eastAsia="仿宋" w:cs="仿宋"/>
                <w:bCs/>
                <w:sz w:val="18"/>
                <w:szCs w:val="18"/>
                <w:vertAlign w:val="baseline"/>
                <w:lang w:val="en-US" w:eastAsia="zh-CN"/>
              </w:rPr>
            </w:pPr>
          </w:p>
        </w:tc>
        <w:tc>
          <w:tcPr>
            <w:tcW w:w="503" w:type="pct"/>
            <w:vAlign w:val="center"/>
          </w:tcPr>
          <w:p w14:paraId="7311F8F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交换机</w:t>
            </w:r>
          </w:p>
        </w:tc>
        <w:tc>
          <w:tcPr>
            <w:tcW w:w="324" w:type="pct"/>
            <w:vAlign w:val="center"/>
          </w:tcPr>
          <w:p w14:paraId="45B4FB5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337" w:type="pct"/>
            <w:vAlign w:val="center"/>
          </w:tcPr>
          <w:p w14:paraId="291F9CD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2841" w:type="pct"/>
            <w:vAlign w:val="center"/>
          </w:tcPr>
          <w:p w14:paraId="20CEA86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1、扇热方式：风冷扇热，支持智能调速；</w:t>
            </w:r>
          </w:p>
          <w:p w14:paraId="39DA74F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2、传输速率：≥1000Mbps;</w:t>
            </w:r>
          </w:p>
          <w:p w14:paraId="67CFE1D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3、端口：≥24个千兆电口，4个万兆光口；</w:t>
            </w:r>
          </w:p>
          <w:p w14:paraId="4DF716E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4、包转发率：≥108/126Mbps；</w:t>
            </w:r>
          </w:p>
          <w:p w14:paraId="5327ECC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5、交换容量：≥336Gbps/3.36Tbps；</w:t>
            </w:r>
          </w:p>
          <w:p w14:paraId="5A692CB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6、最大功耗：≤38.75W。</w:t>
            </w:r>
          </w:p>
        </w:tc>
      </w:tr>
      <w:tr w14:paraId="2406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1ACED2D6">
            <w:pPr>
              <w:keepNext w:val="0"/>
              <w:keepLines w:val="0"/>
              <w:pageBreakBefore w:val="0"/>
              <w:numPr>
                <w:ilvl w:val="0"/>
                <w:numId w:val="0"/>
              </w:numPr>
              <w:kinsoku/>
              <w:wordWrap/>
              <w:overflowPunct/>
              <w:autoSpaceDE/>
              <w:autoSpaceDN/>
              <w:bidi w:val="0"/>
              <w:adjustRightInd/>
              <w:spacing w:line="570" w:lineRule="exact"/>
              <w:jc w:val="center"/>
              <w:textAlignment w:val="auto"/>
              <w:rPr>
                <w:rFonts w:hint="default"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17</w:t>
            </w:r>
          </w:p>
        </w:tc>
        <w:tc>
          <w:tcPr>
            <w:tcW w:w="649" w:type="pct"/>
            <w:vMerge w:val="continue"/>
            <w:vAlign w:val="center"/>
          </w:tcPr>
          <w:p w14:paraId="16D3B1D6">
            <w:pPr>
              <w:keepNext w:val="0"/>
              <w:keepLines w:val="0"/>
              <w:pageBreakBefore w:val="0"/>
              <w:numPr>
                <w:ilvl w:val="0"/>
                <w:numId w:val="0"/>
              </w:numPr>
              <w:kinsoku/>
              <w:wordWrap/>
              <w:overflowPunct/>
              <w:autoSpaceDE/>
              <w:autoSpaceDN/>
              <w:bidi w:val="0"/>
              <w:adjustRightInd/>
              <w:spacing w:line="570" w:lineRule="exact"/>
              <w:jc w:val="center"/>
              <w:textAlignment w:val="auto"/>
              <w:rPr>
                <w:rFonts w:hint="eastAsia" w:ascii="仿宋" w:hAnsi="仿宋" w:eastAsia="仿宋" w:cs="仿宋"/>
                <w:bCs/>
                <w:sz w:val="18"/>
                <w:szCs w:val="18"/>
                <w:vertAlign w:val="baseline"/>
                <w:lang w:val="en-US" w:eastAsia="zh-CN"/>
              </w:rPr>
            </w:pPr>
          </w:p>
        </w:tc>
        <w:tc>
          <w:tcPr>
            <w:tcW w:w="503" w:type="pct"/>
            <w:vAlign w:val="center"/>
          </w:tcPr>
          <w:p w14:paraId="765FC52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互联网专线</w:t>
            </w:r>
          </w:p>
        </w:tc>
        <w:tc>
          <w:tcPr>
            <w:tcW w:w="324" w:type="pct"/>
            <w:vAlign w:val="center"/>
          </w:tcPr>
          <w:p w14:paraId="0728D6E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337" w:type="pct"/>
            <w:vAlign w:val="center"/>
          </w:tcPr>
          <w:p w14:paraId="4806345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项</w:t>
            </w:r>
          </w:p>
        </w:tc>
        <w:tc>
          <w:tcPr>
            <w:tcW w:w="2841" w:type="pct"/>
            <w:vAlign w:val="center"/>
          </w:tcPr>
          <w:p w14:paraId="2CE55E1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100M带宽。</w:t>
            </w:r>
          </w:p>
        </w:tc>
      </w:tr>
      <w:tr w14:paraId="0158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7BBCD955">
            <w:pPr>
              <w:keepNext w:val="0"/>
              <w:keepLines w:val="0"/>
              <w:pageBreakBefore w:val="0"/>
              <w:numPr>
                <w:ilvl w:val="0"/>
                <w:numId w:val="0"/>
              </w:numPr>
              <w:kinsoku/>
              <w:wordWrap/>
              <w:overflowPunct/>
              <w:autoSpaceDE/>
              <w:autoSpaceDN/>
              <w:bidi w:val="0"/>
              <w:adjustRightInd/>
              <w:spacing w:line="570" w:lineRule="exact"/>
              <w:jc w:val="center"/>
              <w:textAlignment w:val="auto"/>
              <w:rPr>
                <w:rFonts w:hint="default"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18</w:t>
            </w:r>
          </w:p>
        </w:tc>
        <w:tc>
          <w:tcPr>
            <w:tcW w:w="649" w:type="pct"/>
            <w:vMerge w:val="restart"/>
            <w:vAlign w:val="center"/>
          </w:tcPr>
          <w:p w14:paraId="7C83CE31">
            <w:pPr>
              <w:keepNext w:val="0"/>
              <w:keepLines w:val="0"/>
              <w:pageBreakBefore w:val="0"/>
              <w:numPr>
                <w:ilvl w:val="0"/>
                <w:numId w:val="0"/>
              </w:numPr>
              <w:kinsoku/>
              <w:wordWrap/>
              <w:overflowPunct/>
              <w:autoSpaceDE/>
              <w:autoSpaceDN/>
              <w:bidi w:val="0"/>
              <w:adjustRightInd/>
              <w:spacing w:line="570" w:lineRule="exact"/>
              <w:jc w:val="center"/>
              <w:textAlignment w:val="auto"/>
              <w:rPr>
                <w:rFonts w:hint="eastAsia"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智慧保护区平台建设</w:t>
            </w:r>
          </w:p>
        </w:tc>
        <w:tc>
          <w:tcPr>
            <w:tcW w:w="503" w:type="pct"/>
            <w:vAlign w:val="center"/>
          </w:tcPr>
          <w:p w14:paraId="4E0504C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GIS平台</w:t>
            </w:r>
          </w:p>
        </w:tc>
        <w:tc>
          <w:tcPr>
            <w:tcW w:w="324" w:type="pct"/>
            <w:vAlign w:val="center"/>
          </w:tcPr>
          <w:p w14:paraId="1CA57B8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337" w:type="pct"/>
            <w:vAlign w:val="center"/>
          </w:tcPr>
          <w:p w14:paraId="1250317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项</w:t>
            </w:r>
          </w:p>
        </w:tc>
        <w:tc>
          <w:tcPr>
            <w:tcW w:w="2841" w:type="pct"/>
            <w:vAlign w:val="center"/>
          </w:tcPr>
          <w:p w14:paraId="06953412">
            <w:pPr>
              <w:keepNext w:val="0"/>
              <w:keepLines w:val="0"/>
              <w:widowControl/>
              <w:numPr>
                <w:ilvl w:val="0"/>
                <w:numId w:val="4"/>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数据服务：可向用户呈现平台内所有数据资源体系及访问权限，进行数据查询、数据浏览、数据发布共享、数据导入导出、数据处理、类型转换等。</w:t>
            </w:r>
          </w:p>
          <w:p w14:paraId="0652592B">
            <w:pPr>
              <w:keepNext w:val="0"/>
              <w:keepLines w:val="0"/>
              <w:widowControl/>
              <w:numPr>
                <w:ilvl w:val="0"/>
                <w:numId w:val="4"/>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基础服务：提供空间分析、统计报表、专题图制作、地图发布与聚合等能力。</w:t>
            </w:r>
          </w:p>
          <w:p w14:paraId="25FB0A08">
            <w:pPr>
              <w:keepNext w:val="0"/>
              <w:keepLines w:val="0"/>
              <w:widowControl/>
              <w:numPr>
                <w:ilvl w:val="0"/>
                <w:numId w:val="4"/>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三维场景服务：通过三维数据的处理、场景的构建、在线发布、交互性的添加、场景导航以及分析工具的集成等，将三维空间数据、模型和场景通过Web服务或其他形式发布，供用户浏览、查询和分析。</w:t>
            </w:r>
          </w:p>
          <w:p w14:paraId="7DF5BCB2">
            <w:pPr>
              <w:keepNext w:val="0"/>
              <w:keepLines w:val="0"/>
              <w:widowControl/>
              <w:numPr>
                <w:ilvl w:val="0"/>
                <w:numId w:val="4"/>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定制服务：提供API、服务接口和二次开发接口进行二次开发，通过API调用、WebService、服务接口、二次开发等多种技术形式，实现地图浏览、数据查询、信息共享等数据资源服务，专题应用服务以及空间分析、统计报表等通用服务。</w:t>
            </w:r>
          </w:p>
        </w:tc>
      </w:tr>
      <w:tr w14:paraId="3997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314EBC1E">
            <w:pPr>
              <w:keepNext w:val="0"/>
              <w:keepLines w:val="0"/>
              <w:pageBreakBefore w:val="0"/>
              <w:numPr>
                <w:ilvl w:val="0"/>
                <w:numId w:val="0"/>
              </w:numPr>
              <w:kinsoku/>
              <w:wordWrap/>
              <w:overflowPunct/>
              <w:autoSpaceDE/>
              <w:autoSpaceDN/>
              <w:bidi w:val="0"/>
              <w:adjustRightInd/>
              <w:spacing w:line="570" w:lineRule="exact"/>
              <w:jc w:val="center"/>
              <w:textAlignment w:val="auto"/>
              <w:rPr>
                <w:rFonts w:hint="default"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19</w:t>
            </w:r>
          </w:p>
        </w:tc>
        <w:tc>
          <w:tcPr>
            <w:tcW w:w="649" w:type="pct"/>
            <w:vMerge w:val="continue"/>
            <w:vAlign w:val="center"/>
          </w:tcPr>
          <w:p w14:paraId="1EB22379">
            <w:pPr>
              <w:keepNext w:val="0"/>
              <w:keepLines w:val="0"/>
              <w:pageBreakBefore w:val="0"/>
              <w:numPr>
                <w:ilvl w:val="0"/>
                <w:numId w:val="0"/>
              </w:numPr>
              <w:kinsoku/>
              <w:wordWrap/>
              <w:overflowPunct/>
              <w:autoSpaceDE/>
              <w:autoSpaceDN/>
              <w:bidi w:val="0"/>
              <w:adjustRightInd/>
              <w:spacing w:line="570" w:lineRule="exact"/>
              <w:jc w:val="center"/>
              <w:textAlignment w:val="auto"/>
              <w:rPr>
                <w:rFonts w:hint="eastAsia" w:ascii="仿宋" w:hAnsi="仿宋" w:eastAsia="仿宋" w:cs="仿宋"/>
                <w:bCs/>
                <w:sz w:val="18"/>
                <w:szCs w:val="18"/>
                <w:vertAlign w:val="baseline"/>
                <w:lang w:val="en-US" w:eastAsia="zh-CN"/>
              </w:rPr>
            </w:pPr>
          </w:p>
        </w:tc>
        <w:tc>
          <w:tcPr>
            <w:tcW w:w="503" w:type="pct"/>
            <w:vAlign w:val="center"/>
          </w:tcPr>
          <w:p w14:paraId="507B7D7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统一资源管理</w:t>
            </w:r>
          </w:p>
        </w:tc>
        <w:tc>
          <w:tcPr>
            <w:tcW w:w="324" w:type="pct"/>
            <w:vAlign w:val="center"/>
          </w:tcPr>
          <w:p w14:paraId="5A71869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337" w:type="pct"/>
            <w:vAlign w:val="center"/>
          </w:tcPr>
          <w:p w14:paraId="3CAE86E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项</w:t>
            </w:r>
          </w:p>
        </w:tc>
        <w:tc>
          <w:tcPr>
            <w:tcW w:w="2841" w:type="pct"/>
            <w:vAlign w:val="center"/>
          </w:tcPr>
          <w:p w14:paraId="434EC388">
            <w:pPr>
              <w:keepNext w:val="0"/>
              <w:keepLines w:val="0"/>
              <w:widowControl/>
              <w:numPr>
                <w:ilvl w:val="0"/>
                <w:numId w:val="5"/>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应用集成：开发应用集成接口，针对各个业务系统提供服务注册、查看、分配等数据接口管理，采用服务调用模式进行应用集成。通过构建统一的交换和业务协同机制，实现多业务应用的互联互通、单点登录；对用户进行统一身份认证与系统权限、用户权限的认证和维护管理；并提供登录背景管理、主页背景管理、版本管理、参数设置、样式管理等定制化门户管理服务，为保护区用户提供一站式、高效便捷的智能化服务体验。</w:t>
            </w:r>
          </w:p>
          <w:p w14:paraId="1E53D6AE">
            <w:pPr>
              <w:keepNext w:val="0"/>
              <w:keepLines w:val="0"/>
              <w:widowControl/>
              <w:numPr>
                <w:ilvl w:val="0"/>
                <w:numId w:val="5"/>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组织机构管理：按照保护区的部门组织机构设定，进行组织机构构建、增、删、改、查与数据维护更新管理，实现组织机构按树状结构体系化管理,支持结构扩展，为保护区人员新增、离退休管理和数据权限配置及机构改革系统可持续应用奠定基础。</w:t>
            </w:r>
          </w:p>
          <w:p w14:paraId="74B20C61">
            <w:pPr>
              <w:keepNext w:val="0"/>
              <w:keepLines w:val="0"/>
              <w:widowControl/>
              <w:numPr>
                <w:ilvl w:val="0"/>
                <w:numId w:val="5"/>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用户与角色管理：按照组织机构管理的部门进行保护区人员用户管理，包括基础信息管理、用户密码管理、可用状态管理等；建立不同的角色，按照角色岗位分配系统功能、数据、地图等设定不同的权限。</w:t>
            </w:r>
          </w:p>
          <w:p w14:paraId="4D467D5A">
            <w:pPr>
              <w:keepNext w:val="0"/>
              <w:keepLines w:val="0"/>
              <w:widowControl/>
              <w:numPr>
                <w:ilvl w:val="0"/>
                <w:numId w:val="5"/>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在线用户监测：实现对用户登录信息的管理，包括用户名称、用户类型、登录地址、登录时间，支持根据用户名称、登录地址等特定条件进行检索查询，并支持对登录用户进行强退处理。</w:t>
            </w:r>
          </w:p>
          <w:p w14:paraId="0A00BE21">
            <w:pPr>
              <w:keepNext w:val="0"/>
              <w:keepLines w:val="0"/>
              <w:widowControl/>
              <w:numPr>
                <w:ilvl w:val="0"/>
                <w:numId w:val="5"/>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日志管理：基于平台对不同的业务应用建立涵盖业务功能和用户登陆的日志，将应用系统运行、操作、出现故障以及解决方法等信息，以日志的形式保存下来，集中管理，实现对日志的查询、统计。日志包括操作结果、操作内容、创建时间、创建人、请求接口等信息，支持对应用系统中各个功能的使用日志进行查询。</w:t>
            </w:r>
          </w:p>
          <w:p w14:paraId="3940CF2B">
            <w:pPr>
              <w:keepNext w:val="0"/>
              <w:keepLines w:val="0"/>
              <w:widowControl/>
              <w:numPr>
                <w:ilvl w:val="0"/>
                <w:numId w:val="5"/>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服务器监控管理：实现对资源服务总线、服务接口、CPU、内存、服务器信息、磁盘状态等相关资源的运行状态监控、性能监控、负载监控以及异常自动告警提示。并提供任务执行日志记录、异常处理、任务状态监控等功能，帮助用户全面了解任务执行情况，及时发现和解决问题。</w:t>
            </w:r>
          </w:p>
        </w:tc>
      </w:tr>
      <w:tr w14:paraId="789E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658A5B04">
            <w:pPr>
              <w:keepNext w:val="0"/>
              <w:keepLines w:val="0"/>
              <w:pageBreakBefore w:val="0"/>
              <w:numPr>
                <w:ilvl w:val="0"/>
                <w:numId w:val="0"/>
              </w:numPr>
              <w:kinsoku/>
              <w:wordWrap/>
              <w:overflowPunct/>
              <w:autoSpaceDE/>
              <w:autoSpaceDN/>
              <w:bidi w:val="0"/>
              <w:adjustRightInd/>
              <w:spacing w:line="570" w:lineRule="exact"/>
              <w:jc w:val="center"/>
              <w:textAlignment w:val="auto"/>
              <w:rPr>
                <w:rFonts w:hint="default"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20</w:t>
            </w:r>
          </w:p>
        </w:tc>
        <w:tc>
          <w:tcPr>
            <w:tcW w:w="649" w:type="pct"/>
            <w:vMerge w:val="continue"/>
            <w:vAlign w:val="center"/>
          </w:tcPr>
          <w:p w14:paraId="292EBDE9">
            <w:pPr>
              <w:keepNext w:val="0"/>
              <w:keepLines w:val="0"/>
              <w:pageBreakBefore w:val="0"/>
              <w:numPr>
                <w:ilvl w:val="0"/>
                <w:numId w:val="0"/>
              </w:numPr>
              <w:kinsoku/>
              <w:wordWrap/>
              <w:overflowPunct/>
              <w:autoSpaceDE/>
              <w:autoSpaceDN/>
              <w:bidi w:val="0"/>
              <w:adjustRightInd/>
              <w:spacing w:line="570" w:lineRule="exact"/>
              <w:jc w:val="center"/>
              <w:textAlignment w:val="auto"/>
              <w:rPr>
                <w:rFonts w:hint="eastAsia" w:ascii="仿宋" w:hAnsi="仿宋" w:eastAsia="仿宋" w:cs="仿宋"/>
                <w:bCs/>
                <w:sz w:val="18"/>
                <w:szCs w:val="18"/>
                <w:vertAlign w:val="baseline"/>
                <w:lang w:val="en-US" w:eastAsia="zh-CN"/>
              </w:rPr>
            </w:pPr>
          </w:p>
        </w:tc>
        <w:tc>
          <w:tcPr>
            <w:tcW w:w="503" w:type="pct"/>
            <w:vAlign w:val="center"/>
          </w:tcPr>
          <w:p w14:paraId="4317AE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数字孪生应用</w:t>
            </w:r>
          </w:p>
        </w:tc>
        <w:tc>
          <w:tcPr>
            <w:tcW w:w="324" w:type="pct"/>
            <w:vAlign w:val="center"/>
          </w:tcPr>
          <w:p w14:paraId="51B2A2A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337" w:type="pct"/>
            <w:vAlign w:val="center"/>
          </w:tcPr>
          <w:p w14:paraId="70E766D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项</w:t>
            </w:r>
          </w:p>
        </w:tc>
        <w:tc>
          <w:tcPr>
            <w:tcW w:w="2841" w:type="pct"/>
            <w:vAlign w:val="center"/>
          </w:tcPr>
          <w:p w14:paraId="0BD64BF5">
            <w:pPr>
              <w:keepNext w:val="0"/>
              <w:keepLines w:val="0"/>
              <w:widowControl/>
              <w:numPr>
                <w:ilvl w:val="0"/>
                <w:numId w:val="6"/>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保护区概览：实现保护区整体情况的数字化展现，对概况信息、空间格局、自然地理、自然资源、社会经济条件、管理体系、建设情况等内容进行汇集，多纬度呈现保护区全貌，展示保护区风采，使管理者能够直观掌握保护区及周边实际状况，更好进行管理、保护、服务的规划和决策。</w:t>
            </w:r>
          </w:p>
          <w:p w14:paraId="1D907700">
            <w:pPr>
              <w:keepNext w:val="0"/>
              <w:keepLines w:val="0"/>
              <w:widowControl/>
              <w:numPr>
                <w:ilvl w:val="0"/>
                <w:numId w:val="6"/>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规划发展：将黄河湿地保护区建设发展现状、社会经济条件、数字规划内容数字化呈现，提供了明确的发展目标，管理者清晰看到黄河湿地保护区规划效果，直观掌握黄河湿地保护区规划内容和方向，优化资源配置，提升运行效率，在日常管理、规划建设中以总体规划为导向，使决策更加明晰和科学，更好地推进黄河湿地保护区建设发展。</w:t>
            </w:r>
          </w:p>
          <w:p w14:paraId="1F8D3BEC">
            <w:pPr>
              <w:keepNext w:val="0"/>
              <w:keepLines w:val="0"/>
              <w:widowControl/>
              <w:numPr>
                <w:ilvl w:val="0"/>
                <w:numId w:val="6"/>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生物多样性：通过接入的保护区物联感知监测、人工调查等手段获取到的生物多样数据，对保护区生物多样性监测数据进行数据汇总和生物监测结果的分析，为野生动植物科研监测提供支持。通过长期监测、调查得来的植物群落、动物栖息地、候鸟迁徙规律等来反映黄河湿地保护区内容生物物种的分布状况和种群特点，对黄河湿地保护区青头潜鸭、中华秋沙鸭、东方白鹳、黑鹳等重点关注鸟类物种的惊鸟距离研究模拟，分析鸟类的栖息、迁徙及生存挑战因素，为黄河湿地保护区保护、利用规划制定和优化提供决策支持。</w:t>
            </w:r>
          </w:p>
          <w:p w14:paraId="62A870CC">
            <w:pPr>
              <w:keepNext w:val="0"/>
              <w:keepLines w:val="0"/>
              <w:widowControl/>
              <w:numPr>
                <w:ilvl w:val="0"/>
                <w:numId w:val="6"/>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生态环境：接入保护区中气候气象，水文水质和土壤等生境监测数据，进行空间插值、统计分析、动态展示，实现保护区实时、连续环境状况一屏可视；对保护区环境质量评估、统计优良率，分析各项污染物的监测情况及其趋势变化，以统计图表的形式进行一屏总览展示；对湿地水文过程模拟、气象变化模拟，掌握黄河湿地环境变化机制，实现黄河湿地环境监管的一屏可管。通过对生态环境模块实现生态环境信息的整合分析，客观反映保护区生态环境的状态和趋势，为保护区生态环境研究和保护提供决策依据和支撑。</w:t>
            </w:r>
          </w:p>
          <w:p w14:paraId="10F079A2">
            <w:pPr>
              <w:keepNext w:val="0"/>
              <w:keepLines w:val="0"/>
              <w:widowControl/>
              <w:numPr>
                <w:ilvl w:val="0"/>
                <w:numId w:val="6"/>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生态安全：围绕对保护区资源保护和安全防控工作，通过立体巡护、电子围栏等感知监测的手段，主要对人为干扰影响进行全方位监管防控和监管处置。平台包括视频监控、立体巡查管护的安全探查、信息上报、调度处置、数据分析的全闭环业务。实现感知监测实时画面一屏可视，实时感知掌控保护区安全防控现状。告警和处置监测动态信息一屏可管，确保对异常情况的快速响应和处置，保障生态安全，降低安全隐患。通过多源数据关联分析，为保护区安全防控管理决策提供数据依据，为保护区安全防控工作、智能化安防部署提供全面的信息支撑和智能化辅助管理。</w:t>
            </w:r>
          </w:p>
          <w:p w14:paraId="334C3A06">
            <w:pPr>
              <w:keepNext w:val="0"/>
              <w:keepLines w:val="0"/>
              <w:widowControl/>
              <w:numPr>
                <w:ilvl w:val="0"/>
                <w:numId w:val="6"/>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科研宣教：对保护区对应的科研项目、科研成果、学术访问、科普概况、科普动态等科研管理和科普宣教的内容进行整体可视化，客观展现科研工作和科普宣教工作的状况，为保护区科研和宣教工作优化提供决策依据。</w:t>
            </w:r>
          </w:p>
          <w:p w14:paraId="5FC995C2">
            <w:pPr>
              <w:keepNext w:val="0"/>
              <w:keepLines w:val="0"/>
              <w:widowControl/>
              <w:numPr>
                <w:ilvl w:val="0"/>
                <w:numId w:val="6"/>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智慧决策：通过保护区本底资源信息、实时动态监测信息，基于时空基础和多源数据融合，利用对应的评估评价指标体系，综合判断研究自然保护区生态健康、生态保护成效、生态服务价值和生态状况，对自然保护区具体的业务内容提供运营管控决策。包括生态健康评价、生态保护状况评估和生态保护成效评价。</w:t>
            </w:r>
          </w:p>
        </w:tc>
      </w:tr>
      <w:tr w14:paraId="38C1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466A85E1">
            <w:pPr>
              <w:keepNext w:val="0"/>
              <w:keepLines w:val="0"/>
              <w:pageBreakBefore w:val="0"/>
              <w:numPr>
                <w:ilvl w:val="0"/>
                <w:numId w:val="0"/>
              </w:numPr>
              <w:kinsoku/>
              <w:wordWrap/>
              <w:overflowPunct/>
              <w:autoSpaceDE/>
              <w:autoSpaceDN/>
              <w:bidi w:val="0"/>
              <w:adjustRightInd/>
              <w:spacing w:line="570" w:lineRule="exact"/>
              <w:jc w:val="center"/>
              <w:textAlignment w:val="auto"/>
              <w:rPr>
                <w:rFonts w:hint="default"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21</w:t>
            </w:r>
          </w:p>
        </w:tc>
        <w:tc>
          <w:tcPr>
            <w:tcW w:w="649" w:type="pct"/>
            <w:vMerge w:val="continue"/>
            <w:vAlign w:val="center"/>
          </w:tcPr>
          <w:p w14:paraId="17A12953">
            <w:pPr>
              <w:keepNext w:val="0"/>
              <w:keepLines w:val="0"/>
              <w:pageBreakBefore w:val="0"/>
              <w:numPr>
                <w:ilvl w:val="0"/>
                <w:numId w:val="0"/>
              </w:numPr>
              <w:kinsoku/>
              <w:wordWrap/>
              <w:overflowPunct/>
              <w:autoSpaceDE/>
              <w:autoSpaceDN/>
              <w:bidi w:val="0"/>
              <w:adjustRightInd/>
              <w:spacing w:line="570" w:lineRule="exact"/>
              <w:jc w:val="center"/>
              <w:textAlignment w:val="auto"/>
              <w:rPr>
                <w:rFonts w:hint="eastAsia" w:ascii="仿宋" w:hAnsi="仿宋" w:eastAsia="仿宋" w:cs="仿宋"/>
                <w:bCs/>
                <w:sz w:val="18"/>
                <w:szCs w:val="18"/>
                <w:vertAlign w:val="baseline"/>
                <w:lang w:val="en-US" w:eastAsia="zh-CN"/>
              </w:rPr>
            </w:pPr>
          </w:p>
        </w:tc>
        <w:tc>
          <w:tcPr>
            <w:tcW w:w="503" w:type="pct"/>
            <w:vAlign w:val="center"/>
          </w:tcPr>
          <w:p w14:paraId="5DC6C49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立体巡护应用管理系统</w:t>
            </w:r>
          </w:p>
        </w:tc>
        <w:tc>
          <w:tcPr>
            <w:tcW w:w="324" w:type="pct"/>
            <w:vAlign w:val="center"/>
          </w:tcPr>
          <w:p w14:paraId="7782AC5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337" w:type="pct"/>
            <w:vAlign w:val="center"/>
          </w:tcPr>
          <w:p w14:paraId="44A3A5B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项</w:t>
            </w:r>
          </w:p>
        </w:tc>
        <w:tc>
          <w:tcPr>
            <w:tcW w:w="2841" w:type="pct"/>
            <w:vAlign w:val="center"/>
          </w:tcPr>
          <w:p w14:paraId="120C92A5">
            <w:pPr>
              <w:keepNext w:val="0"/>
              <w:keepLines w:val="0"/>
              <w:widowControl/>
              <w:numPr>
                <w:ilvl w:val="0"/>
                <w:numId w:val="7"/>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空间管理：系统具备三维地图数据管理、空间量测、空间分析、在线标绘的功能，从而提高保护区的三维空间管理能力和空间数据应用水平，为智慧化管理提供基础支撑。系统能够进行空间点、线、面、体积的量算，进行通视分析、视域分析、坡度分析、缓冲区分析和剖面分析，为用户的各类规划、管理、科研、监测等日常业务提供技术支撑。能够实现数据导入，图层管理，数据导出，矢量数据在线绘制，矢量数据信息查询等功能。</w:t>
            </w:r>
          </w:p>
          <w:p w14:paraId="5447C03F">
            <w:pPr>
              <w:keepNext w:val="0"/>
              <w:keepLines w:val="0"/>
              <w:widowControl/>
              <w:numPr>
                <w:ilvl w:val="0"/>
                <w:numId w:val="7"/>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工作中心：进行巡护计划、任务制定、作业准备、任务下发、在线过程管理的全流程管理。包括计划任务的定制、统计、进度跟踪，通过系统记录和管理巡护过程中发现的动植物、干扰事件、影像资料等情况，进行上报生物多样性、事件和影像资料管理，实现巡护上报信息的查看和跟踪处理，及时对事件进行核查处置。利用GIS地图服务、空间分析手段、数据库分析技术，对在线巡护任务的人员、事件、UAV等设备进行在线关注、在线督查、在线发送消息、实时视频互动、在线调度与巡护动态统计，在地图上可查看巡护轨迹、巡护实时位置及滑动动态时间轴快速查看，一图展示、实时掌握巡护在线人员动态、动向。</w:t>
            </w:r>
          </w:p>
          <w:p w14:paraId="1B109A0F">
            <w:pPr>
              <w:keepNext w:val="0"/>
              <w:keepLines w:val="0"/>
              <w:widowControl/>
              <w:numPr>
                <w:ilvl w:val="0"/>
                <w:numId w:val="7"/>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巡检管理中心：提供人员排班、考勤管理，实现巡护安排调度、资源优化管理；通过数字化考核指标、考核模板定制，对巡护工作进行量化评价；为配合巡护作业准备，对巡护空间（巡护路线、样地样线、UAV航线）、设备设施、巡护装备、文库资料等，对巡护资源进行统一数字化管理。根据巡护的目的、类型、内容及计划，为管理者提供定向设计、管理业务模型的途径，充分满足了巡护个性化需求。</w:t>
            </w:r>
          </w:p>
          <w:p w14:paraId="6E7D2481">
            <w:pPr>
              <w:keepNext w:val="0"/>
              <w:keepLines w:val="0"/>
              <w:widowControl/>
              <w:numPr>
                <w:ilvl w:val="0"/>
                <w:numId w:val="7"/>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消息中心：作为消息门户，通过接收发消息完成通知指令的上通下达、任务状态的动态提醒、相关事件的及时播报，围绕巡护工作进行特定范围的沟通交流，包括系统消息、任务消息、事件消息、通知公告推送四个模块。</w:t>
            </w:r>
          </w:p>
          <w:p w14:paraId="570E597C">
            <w:pPr>
              <w:keepNext w:val="0"/>
              <w:keepLines w:val="0"/>
              <w:widowControl/>
              <w:numPr>
                <w:ilvl w:val="0"/>
                <w:numId w:val="7"/>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巡护数据看板：以保护区基础数据为依托、地理空间数据为底图，通过汇聚、融合巡护业务管理数据，利用空间分析技术、数据挖掘技术、数据可视化技术等，通过对海量数据的抽取、分析与挖掘，构建数据分析模型，以一屏可览、一数可视的形式输出巡护实况、巡护目标、绩效考核、事件统计、事件列表、事件变化统计分析。</w:t>
            </w:r>
          </w:p>
          <w:p w14:paraId="6542C14F">
            <w:pPr>
              <w:keepNext w:val="0"/>
              <w:keepLines w:val="0"/>
              <w:widowControl/>
              <w:numPr>
                <w:ilvl w:val="0"/>
                <w:numId w:val="7"/>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地图服务：基于GIS平台服务的支撑，融合计算机图形和数据库于一体，支持多种空间数据图层的叠加展示，同时支持空间数据图层的增、删、改、查等数据更新、维护操作，保证空间地图数据的及时更新和现势性；将空间信息、属性信息及历史变化情况真实准确、直观动态地输出，服务于保护区资源数据多维可视化展示、空间统计分析、数据图数联动、智能决策的需求。</w:t>
            </w:r>
          </w:p>
        </w:tc>
      </w:tr>
      <w:tr w14:paraId="5E89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363BFECE">
            <w:pPr>
              <w:keepNext w:val="0"/>
              <w:keepLines w:val="0"/>
              <w:pageBreakBefore w:val="0"/>
              <w:numPr>
                <w:ilvl w:val="0"/>
                <w:numId w:val="0"/>
              </w:numPr>
              <w:kinsoku/>
              <w:wordWrap/>
              <w:overflowPunct/>
              <w:autoSpaceDE/>
              <w:autoSpaceDN/>
              <w:bidi w:val="0"/>
              <w:adjustRightInd/>
              <w:spacing w:line="570" w:lineRule="exact"/>
              <w:jc w:val="center"/>
              <w:textAlignment w:val="auto"/>
              <w:rPr>
                <w:rFonts w:hint="default"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22</w:t>
            </w:r>
          </w:p>
        </w:tc>
        <w:tc>
          <w:tcPr>
            <w:tcW w:w="649" w:type="pct"/>
            <w:vMerge w:val="continue"/>
            <w:vAlign w:val="center"/>
          </w:tcPr>
          <w:p w14:paraId="1109E83D">
            <w:pPr>
              <w:keepNext w:val="0"/>
              <w:keepLines w:val="0"/>
              <w:pageBreakBefore w:val="0"/>
              <w:numPr>
                <w:ilvl w:val="0"/>
                <w:numId w:val="0"/>
              </w:numPr>
              <w:kinsoku/>
              <w:wordWrap/>
              <w:overflowPunct/>
              <w:autoSpaceDE/>
              <w:autoSpaceDN/>
              <w:bidi w:val="0"/>
              <w:adjustRightInd/>
              <w:spacing w:line="570" w:lineRule="exact"/>
              <w:jc w:val="center"/>
              <w:textAlignment w:val="auto"/>
              <w:rPr>
                <w:rFonts w:hint="eastAsia" w:ascii="仿宋" w:hAnsi="仿宋" w:eastAsia="仿宋" w:cs="仿宋"/>
                <w:bCs/>
                <w:sz w:val="18"/>
                <w:szCs w:val="18"/>
                <w:vertAlign w:val="baseline"/>
                <w:lang w:val="en-US" w:eastAsia="zh-CN"/>
              </w:rPr>
            </w:pPr>
          </w:p>
        </w:tc>
        <w:tc>
          <w:tcPr>
            <w:tcW w:w="503" w:type="pct"/>
            <w:vAlign w:val="center"/>
          </w:tcPr>
          <w:p w14:paraId="5728095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移动巡护APP</w:t>
            </w:r>
          </w:p>
        </w:tc>
        <w:tc>
          <w:tcPr>
            <w:tcW w:w="324" w:type="pct"/>
            <w:vAlign w:val="center"/>
          </w:tcPr>
          <w:p w14:paraId="2012622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337" w:type="pct"/>
            <w:vAlign w:val="center"/>
          </w:tcPr>
          <w:p w14:paraId="6A05C26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项</w:t>
            </w:r>
          </w:p>
        </w:tc>
        <w:tc>
          <w:tcPr>
            <w:tcW w:w="2841" w:type="pct"/>
            <w:vAlign w:val="center"/>
          </w:tcPr>
          <w:p w14:paraId="71F767D8">
            <w:pPr>
              <w:keepNext w:val="0"/>
              <w:keepLines w:val="0"/>
              <w:widowControl/>
              <w:numPr>
                <w:ilvl w:val="0"/>
                <w:numId w:val="8"/>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移动数据看板：数据看板应包含巡护任务概况、巡护上报、巡护数据、任务简报的展示与管理。以文字描述、统计图、统计表、动态动画等多种方式展示，对各类巡护数据进行统计分析，并支持巡护数据折叠与详情下钻的智能控制，实现巡护人员巡护工作的一屏全览，且为管理人员清晰、直观展示巡护工作总结情况。看板统计数据协助巡护人员进行工作总结、汇报，强化了巡护APP的便捷性，便于巡护人员自我管理；同时，将大量庞杂的巡护数据转化为领导直观、易读的服务决策信息，协助管理者统筹管理、辅助决策、可视化服务的使命，提高管理人员的管理效率。</w:t>
            </w:r>
          </w:p>
          <w:p w14:paraId="01A2C5A2">
            <w:pPr>
              <w:keepNext w:val="0"/>
              <w:keepLines w:val="0"/>
              <w:widowControl/>
              <w:numPr>
                <w:ilvl w:val="0"/>
                <w:numId w:val="8"/>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移动巡护：通过任务巡护、一键巡护等方式便捷开始数字移动巡护工作，进行巡护地图定位、巡护打卡，记录巡护时间、轨迹路线，通过拍照、录像、录音、文字、表格等手段进行巡护事件上报，支持在线和离线自动上报功能；提供一键求救功能，在面临安全威胁、突发事件时可一键报警发送紧急信号；支持动态接收、实时统计、查询查看巡护任务，根据巡护时间、路线、上报事件等信息抽取自动生成巡护日志；支持管理者用户进行巡护审批，包括巡护任务安排、资源安排、人员排班安排及时发送管理者，实现管理者随时随地、移动办公审批。</w:t>
            </w:r>
          </w:p>
          <w:p w14:paraId="2F055D69">
            <w:pPr>
              <w:keepNext w:val="0"/>
              <w:keepLines w:val="0"/>
              <w:widowControl/>
              <w:numPr>
                <w:ilvl w:val="0"/>
                <w:numId w:val="8"/>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巡护工作管理：巡护工作管理包括巡护计划审批管理、巡护任务管理、日志管理、巡护统计及绩效考核管理，巡护管理员可查看部门及个人的巡护工作执行及完成情况，并对巡护人员进行绩效考核，实现巡护管理工作的掌上办公。</w:t>
            </w:r>
          </w:p>
          <w:p w14:paraId="6A1551B7">
            <w:pPr>
              <w:keepNext w:val="0"/>
              <w:keepLines w:val="0"/>
              <w:widowControl/>
              <w:numPr>
                <w:ilvl w:val="0"/>
                <w:numId w:val="8"/>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移动消息管理：用于接收巡护下发的任务消息及通知公告，并可通过移动作业APP完成通知指令的上通下达、任务状态的动态提醒、相关事件的及时播报，围绕巡护工作进行特定范围的沟通交流，主要应包含巡护系统消息、任务消息、巡护事件消息、通知公告、工作报告五个功能模块。</w:t>
            </w:r>
          </w:p>
          <w:p w14:paraId="67D71198">
            <w:pPr>
              <w:keepNext w:val="0"/>
              <w:keepLines w:val="0"/>
              <w:widowControl/>
              <w:numPr>
                <w:ilvl w:val="0"/>
                <w:numId w:val="8"/>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移动端地图服务：基于GIS平台服务的支撑，地图功能凭借其友好的界面、简捷的操作、强大的功能，支持为巡护工作的轨迹定位、巡护事件上报与查询、巡护资源可视化等，实现巡护工作的一图可视、一数总览、便捷数字化，主要包括地图图层管理、空间量测与兴趣点设置。</w:t>
            </w:r>
          </w:p>
          <w:p w14:paraId="338918C3">
            <w:pPr>
              <w:keepNext w:val="0"/>
              <w:keepLines w:val="0"/>
              <w:widowControl/>
              <w:numPr>
                <w:ilvl w:val="0"/>
                <w:numId w:val="8"/>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人中心：提供用户个人信息管理、轨迹记录设置、政策规范查看、通讯录查看等功能，用户可以在个人中心查看和编辑个人资料，查看相关保护区相关政策法规、物种名录，以及客户服务信息和巡护人员通讯录信息，为巡护工作提供参考和决策支持。</w:t>
            </w:r>
          </w:p>
        </w:tc>
      </w:tr>
      <w:tr w14:paraId="0536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7FFD9A21">
            <w:pPr>
              <w:keepNext w:val="0"/>
              <w:keepLines w:val="0"/>
              <w:pageBreakBefore w:val="0"/>
              <w:numPr>
                <w:ilvl w:val="0"/>
                <w:numId w:val="0"/>
              </w:numPr>
              <w:kinsoku/>
              <w:wordWrap/>
              <w:overflowPunct/>
              <w:autoSpaceDE/>
              <w:autoSpaceDN/>
              <w:bidi w:val="0"/>
              <w:adjustRightInd/>
              <w:spacing w:line="570" w:lineRule="exact"/>
              <w:jc w:val="center"/>
              <w:textAlignment w:val="auto"/>
              <w:rPr>
                <w:rFonts w:hint="default"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23</w:t>
            </w:r>
          </w:p>
        </w:tc>
        <w:tc>
          <w:tcPr>
            <w:tcW w:w="649" w:type="pct"/>
            <w:vMerge w:val="restart"/>
            <w:vAlign w:val="center"/>
          </w:tcPr>
          <w:p w14:paraId="687AD8CD">
            <w:pPr>
              <w:keepNext w:val="0"/>
              <w:keepLines w:val="0"/>
              <w:pageBreakBefore w:val="0"/>
              <w:numPr>
                <w:ilvl w:val="0"/>
                <w:numId w:val="0"/>
              </w:numPr>
              <w:kinsoku/>
              <w:wordWrap/>
              <w:overflowPunct/>
              <w:autoSpaceDE/>
              <w:autoSpaceDN/>
              <w:bidi w:val="0"/>
              <w:adjustRightInd/>
              <w:spacing w:line="570" w:lineRule="exact"/>
              <w:jc w:val="center"/>
              <w:textAlignment w:val="auto"/>
              <w:rPr>
                <w:rFonts w:hint="eastAsia"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保护区基础数据建设</w:t>
            </w:r>
          </w:p>
        </w:tc>
        <w:tc>
          <w:tcPr>
            <w:tcW w:w="503" w:type="pct"/>
            <w:vAlign w:val="center"/>
          </w:tcPr>
          <w:p w14:paraId="0D9DB2E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数据治理</w:t>
            </w:r>
          </w:p>
        </w:tc>
        <w:tc>
          <w:tcPr>
            <w:tcW w:w="324" w:type="pct"/>
            <w:vAlign w:val="center"/>
          </w:tcPr>
          <w:p w14:paraId="180A7E0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337" w:type="pct"/>
            <w:vAlign w:val="center"/>
          </w:tcPr>
          <w:p w14:paraId="5C7E43C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项</w:t>
            </w:r>
          </w:p>
        </w:tc>
        <w:tc>
          <w:tcPr>
            <w:tcW w:w="2841" w:type="pct"/>
            <w:vAlign w:val="center"/>
          </w:tcPr>
          <w:p w14:paraId="00C2CA06">
            <w:pPr>
              <w:keepNext w:val="0"/>
              <w:keepLines w:val="0"/>
              <w:widowControl/>
              <w:numPr>
                <w:ilvl w:val="0"/>
                <w:numId w:val="9"/>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数据资源目录建设：基于自然保护区定位、业务现状、发展方向探索、亮点特色打造，识别自然保护区主数据，梳理生物资源、生态环境、生物多样性、宣教发展及人口、经济、社会等与生态保护相关的数据资源，明确各类数据的来源、类别、共享和开放属性、级别、使用要求、更新周期、业务关系等。基于数据多源异构的视角，以业务条线分类、以数据条线分级，按照纵向贯穿自然保护区管理层至基础监测业务层，横向覆盖资源监管、科研监测、科普宣教、灾害防控、综合管理等全业务专题的原则，围绕林草数据共建共享、融合应用需求，分类分级理清自然保护区数据脉络，形成涵盖林草、保护区、自然资源保护全要素的数据源目录。</w:t>
            </w:r>
          </w:p>
          <w:p w14:paraId="2719E75B">
            <w:pPr>
              <w:keepNext w:val="0"/>
              <w:keepLines w:val="0"/>
              <w:widowControl/>
              <w:numPr>
                <w:ilvl w:val="0"/>
                <w:numId w:val="9"/>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数据标准：为保障数据的内外部使用和交换的一致性和准确性而定制数据标准，参考国家标准、林草行业标准、地方标准，建立一套统一的数据规范体系，包括定义数据命名规则、数据类型、字段长度、数据编码、参照完整性等标准，并通过制定数据质量检查规则、数据交换格式和接口规范，确保不同系统和部门之间的数据一致性、准确性和可交换性，从而提升数据的利用效率和管理水平，为保护区的业务应用和长期发展提供坚实的数据基础。保护区数据标准定制包含资源分类标准、空间数据坐标标准、数据建库标准、数据共享交换标准、数据质量标准。</w:t>
            </w:r>
          </w:p>
          <w:p w14:paraId="6A26A3EC">
            <w:pPr>
              <w:keepNext w:val="0"/>
              <w:keepLines w:val="0"/>
              <w:widowControl/>
              <w:numPr>
                <w:ilvl w:val="0"/>
                <w:numId w:val="9"/>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数据盘点：对自然保护区保护管理相关的数据资源进行全面、系统的清查和整理，可了解数据资源的现状、分布和使用情况，通过数据盘点，识别自然保护区数据资源的来源和存储位置，检查数据的准确性、完整性和一致性，根据盘点结果，掌握数据资源现状，制定或调整数据管理策略、标准和流程。</w:t>
            </w:r>
          </w:p>
          <w:p w14:paraId="4156420D">
            <w:pPr>
              <w:keepNext w:val="0"/>
              <w:keepLines w:val="0"/>
              <w:widowControl/>
              <w:numPr>
                <w:ilvl w:val="0"/>
                <w:numId w:val="9"/>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数据采集汇聚：基于自然保护区数据资源盘点分析，进行存量数据采集、数据库抽取、人工采集、物联网采集、网络数据采集等方式的数据采集汇聚，确保数据的准确性、完整性和时效性，为项目建设和管理提供详实的基础数据支持。</w:t>
            </w:r>
          </w:p>
          <w:p w14:paraId="281D10A2">
            <w:pPr>
              <w:keepNext w:val="0"/>
              <w:keepLines w:val="0"/>
              <w:widowControl/>
              <w:numPr>
                <w:ilvl w:val="0"/>
                <w:numId w:val="9"/>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数据清洗治理：对保护区各类资源数据进行清洗治理处理，根据数据标准化流程，运用专业的数据处理技术和方法，对已采集的保护区数据进行筛选、校验、去重、纠正和整合，以消除数据中的错误、冗余和不一致性，进行数据整理、数据校验、数据清洗、数据比对、数据完善、数据转换相关工作，实现非结构化数据、半结构化数据结构化，结构化数据标准化，确保数据质量符合规范要求，从而提升数据的可用性和可靠性，为自然保护区的项目建设、规划决策、科研监测分析和管理服务提供高质量的数据保障。</w:t>
            </w:r>
          </w:p>
          <w:p w14:paraId="3258133A">
            <w:pPr>
              <w:keepNext w:val="0"/>
              <w:keepLines w:val="0"/>
              <w:widowControl/>
              <w:numPr>
                <w:ilvl w:val="0"/>
                <w:numId w:val="9"/>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整合建库：对保护区内的空间地理数据、资源信息数据、监测信息数据、业务信息数据进行采集、处理、存储和整合，构建一个集中、高效、安全的数据库系统，建设保护区空间地理数据库、资源信息数据库、监测信息数据库、业务信息数据库，实现自然保护区各类数据统一存储、管理，支撑保护区各项业务的发展。</w:t>
            </w:r>
          </w:p>
        </w:tc>
      </w:tr>
      <w:tr w14:paraId="725F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65EEB499">
            <w:pPr>
              <w:keepNext w:val="0"/>
              <w:keepLines w:val="0"/>
              <w:pageBreakBefore w:val="0"/>
              <w:numPr>
                <w:ilvl w:val="0"/>
                <w:numId w:val="0"/>
              </w:numPr>
              <w:kinsoku/>
              <w:wordWrap/>
              <w:overflowPunct/>
              <w:autoSpaceDE/>
              <w:autoSpaceDN/>
              <w:bidi w:val="0"/>
              <w:adjustRightInd/>
              <w:spacing w:line="570" w:lineRule="exact"/>
              <w:jc w:val="center"/>
              <w:textAlignment w:val="auto"/>
              <w:rPr>
                <w:rFonts w:hint="default"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24</w:t>
            </w:r>
          </w:p>
        </w:tc>
        <w:tc>
          <w:tcPr>
            <w:tcW w:w="649" w:type="pct"/>
            <w:vMerge w:val="continue"/>
            <w:vAlign w:val="center"/>
          </w:tcPr>
          <w:p w14:paraId="51964283">
            <w:pPr>
              <w:keepNext w:val="0"/>
              <w:keepLines w:val="0"/>
              <w:pageBreakBefore w:val="0"/>
              <w:numPr>
                <w:ilvl w:val="0"/>
                <w:numId w:val="0"/>
              </w:numPr>
              <w:kinsoku/>
              <w:wordWrap/>
              <w:overflowPunct/>
              <w:autoSpaceDE/>
              <w:autoSpaceDN/>
              <w:bidi w:val="0"/>
              <w:adjustRightInd/>
              <w:spacing w:line="570" w:lineRule="exact"/>
              <w:jc w:val="center"/>
              <w:textAlignment w:val="auto"/>
              <w:rPr>
                <w:rFonts w:hint="eastAsia" w:ascii="仿宋" w:hAnsi="仿宋" w:eastAsia="仿宋" w:cs="仿宋"/>
                <w:bCs/>
                <w:sz w:val="18"/>
                <w:szCs w:val="18"/>
                <w:vertAlign w:val="baseline"/>
                <w:lang w:val="en-US" w:eastAsia="zh-CN"/>
              </w:rPr>
            </w:pPr>
          </w:p>
        </w:tc>
        <w:tc>
          <w:tcPr>
            <w:tcW w:w="503" w:type="pct"/>
            <w:vAlign w:val="center"/>
          </w:tcPr>
          <w:p w14:paraId="7E647DF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数据集成</w:t>
            </w:r>
          </w:p>
        </w:tc>
        <w:tc>
          <w:tcPr>
            <w:tcW w:w="324" w:type="pct"/>
            <w:vAlign w:val="center"/>
          </w:tcPr>
          <w:p w14:paraId="60719A1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337" w:type="pct"/>
            <w:vAlign w:val="center"/>
          </w:tcPr>
          <w:p w14:paraId="4EA1A66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项</w:t>
            </w:r>
          </w:p>
        </w:tc>
        <w:tc>
          <w:tcPr>
            <w:tcW w:w="2841" w:type="pct"/>
            <w:vAlign w:val="center"/>
          </w:tcPr>
          <w:p w14:paraId="3FE59FE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完成保护区范围已建视频监控、生态定位站等监测数据平台接入</w:t>
            </w:r>
          </w:p>
        </w:tc>
      </w:tr>
      <w:tr w14:paraId="2257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579649FE">
            <w:pPr>
              <w:keepNext w:val="0"/>
              <w:keepLines w:val="0"/>
              <w:pageBreakBefore w:val="0"/>
              <w:numPr>
                <w:ilvl w:val="0"/>
                <w:numId w:val="0"/>
              </w:numPr>
              <w:kinsoku/>
              <w:wordWrap/>
              <w:overflowPunct/>
              <w:autoSpaceDE/>
              <w:autoSpaceDN/>
              <w:bidi w:val="0"/>
              <w:adjustRightInd/>
              <w:spacing w:line="570" w:lineRule="exact"/>
              <w:jc w:val="center"/>
              <w:textAlignment w:val="auto"/>
              <w:rPr>
                <w:rFonts w:hint="default" w:ascii="仿宋" w:hAnsi="仿宋" w:eastAsia="仿宋" w:cs="仿宋"/>
                <w:bCs/>
                <w:sz w:val="18"/>
                <w:szCs w:val="18"/>
                <w:vertAlign w:val="baseline"/>
                <w:lang w:val="en-US" w:eastAsia="zh-CN"/>
              </w:rPr>
            </w:pPr>
            <w:r>
              <w:rPr>
                <w:rFonts w:hint="eastAsia" w:ascii="仿宋" w:hAnsi="仿宋" w:eastAsia="仿宋" w:cs="仿宋"/>
                <w:bCs/>
                <w:sz w:val="18"/>
                <w:szCs w:val="18"/>
                <w:vertAlign w:val="baseline"/>
                <w:lang w:val="en-US" w:eastAsia="zh-CN"/>
              </w:rPr>
              <w:t>25</w:t>
            </w:r>
          </w:p>
        </w:tc>
        <w:tc>
          <w:tcPr>
            <w:tcW w:w="649" w:type="pct"/>
            <w:vMerge w:val="continue"/>
            <w:vAlign w:val="center"/>
          </w:tcPr>
          <w:p w14:paraId="64328952">
            <w:pPr>
              <w:keepNext w:val="0"/>
              <w:keepLines w:val="0"/>
              <w:pageBreakBefore w:val="0"/>
              <w:numPr>
                <w:ilvl w:val="0"/>
                <w:numId w:val="0"/>
              </w:numPr>
              <w:kinsoku/>
              <w:wordWrap/>
              <w:overflowPunct/>
              <w:autoSpaceDE/>
              <w:autoSpaceDN/>
              <w:bidi w:val="0"/>
              <w:adjustRightInd/>
              <w:spacing w:line="570" w:lineRule="exact"/>
              <w:jc w:val="center"/>
              <w:textAlignment w:val="auto"/>
              <w:rPr>
                <w:rFonts w:hint="eastAsia" w:ascii="仿宋" w:hAnsi="仿宋" w:eastAsia="仿宋" w:cs="仿宋"/>
                <w:bCs/>
                <w:sz w:val="18"/>
                <w:szCs w:val="18"/>
                <w:vertAlign w:val="baseline"/>
                <w:lang w:val="en-US" w:eastAsia="zh-CN"/>
              </w:rPr>
            </w:pPr>
          </w:p>
        </w:tc>
        <w:tc>
          <w:tcPr>
            <w:tcW w:w="503" w:type="pct"/>
            <w:vAlign w:val="center"/>
          </w:tcPr>
          <w:p w14:paraId="5B12187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无人机航测</w:t>
            </w:r>
          </w:p>
        </w:tc>
        <w:tc>
          <w:tcPr>
            <w:tcW w:w="324" w:type="pct"/>
            <w:vAlign w:val="center"/>
          </w:tcPr>
          <w:p w14:paraId="2FC0FF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135</w:t>
            </w:r>
          </w:p>
        </w:tc>
        <w:tc>
          <w:tcPr>
            <w:tcW w:w="337" w:type="pct"/>
            <w:vAlign w:val="center"/>
          </w:tcPr>
          <w:p w14:paraId="38C4182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Km²</w:t>
            </w:r>
          </w:p>
        </w:tc>
        <w:tc>
          <w:tcPr>
            <w:tcW w:w="2841" w:type="pct"/>
            <w:vAlign w:val="center"/>
          </w:tcPr>
          <w:p w14:paraId="1E4A9FE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完成保护区约135平方公里1：1000比例尺正射影像航飞制作。</w:t>
            </w:r>
          </w:p>
        </w:tc>
      </w:tr>
    </w:tbl>
    <w:p w14:paraId="3E30B27C">
      <w:pPr>
        <w:keepNext w:val="0"/>
        <w:keepLines w:val="0"/>
        <w:pageBreakBefore w:val="0"/>
        <w:numPr>
          <w:ilvl w:val="0"/>
          <w:numId w:val="0"/>
        </w:numPr>
        <w:kinsoku/>
        <w:wordWrap/>
        <w:overflowPunct/>
        <w:topLinePunct w:val="0"/>
        <w:autoSpaceDE/>
        <w:autoSpaceDN/>
        <w:bidi w:val="0"/>
        <w:adjustRightInd/>
        <w:snapToGrid/>
        <w:spacing w:line="540" w:lineRule="atLeast"/>
        <w:ind w:leftChars="0"/>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三、</w:t>
      </w:r>
      <w:r>
        <w:rPr>
          <w:rFonts w:hint="eastAsia" w:ascii="宋体" w:hAnsi="宋体" w:eastAsia="宋体" w:cs="宋体"/>
          <w:bCs/>
          <w:sz w:val="24"/>
          <w:szCs w:val="24"/>
          <w:lang w:val="en-US" w:eastAsia="zh-CN"/>
        </w:rPr>
        <w:t>其他要求</w:t>
      </w:r>
    </w:p>
    <w:p w14:paraId="52F89DB5">
      <w:pPr>
        <w:keepNext w:val="0"/>
        <w:keepLines w:val="0"/>
        <w:pageBreakBefore w:val="0"/>
        <w:widowControl/>
        <w:suppressLineNumbers w:val="0"/>
        <w:kinsoku/>
        <w:wordWrap/>
        <w:overflowPunct/>
        <w:topLinePunct w:val="0"/>
        <w:autoSpaceDE/>
        <w:autoSpaceDN/>
        <w:bidi w:val="0"/>
        <w:adjustRightInd/>
        <w:snapToGrid/>
        <w:spacing w:line="540" w:lineRule="atLeast"/>
        <w:jc w:val="left"/>
        <w:textAlignment w:val="auto"/>
        <w:rPr>
          <w:rFonts w:hint="eastAsia" w:ascii="宋体" w:hAnsi="宋体" w:eastAsia="宋体" w:cs="宋体"/>
          <w:sz w:val="24"/>
          <w:szCs w:val="24"/>
          <w:lang w:val="en-US"/>
        </w:rPr>
      </w:pPr>
      <w:r>
        <w:rPr>
          <w:rStyle w:val="51"/>
          <w:rFonts w:hint="eastAsia" w:ascii="宋体" w:hAnsi="宋体" w:eastAsia="宋体" w:cs="宋体"/>
          <w:sz w:val="24"/>
          <w:szCs w:val="24"/>
          <w:lang w:val="en-US" w:eastAsia="zh-CN" w:bidi="ar"/>
        </w:rPr>
        <w:t>（1）交付时间要求</w:t>
      </w:r>
    </w:p>
    <w:p w14:paraId="0F2F9B48">
      <w:pPr>
        <w:keepNext w:val="0"/>
        <w:keepLines w:val="0"/>
        <w:pageBreakBefore w:val="0"/>
        <w:widowControl/>
        <w:suppressLineNumbers w:val="0"/>
        <w:kinsoku/>
        <w:wordWrap/>
        <w:overflowPunct/>
        <w:topLinePunct w:val="0"/>
        <w:autoSpaceDE/>
        <w:autoSpaceDN/>
        <w:bidi w:val="0"/>
        <w:adjustRightInd/>
        <w:snapToGrid/>
        <w:spacing w:line="540" w:lineRule="atLeast"/>
        <w:jc w:val="left"/>
        <w:textAlignment w:val="auto"/>
        <w:rPr>
          <w:rFonts w:hint="eastAsia" w:ascii="宋体" w:hAnsi="宋体" w:eastAsia="宋体" w:cs="宋体"/>
          <w:sz w:val="24"/>
          <w:szCs w:val="24"/>
        </w:rPr>
      </w:pPr>
      <w:r>
        <w:rPr>
          <w:rStyle w:val="51"/>
          <w:rFonts w:hint="eastAsia" w:ascii="宋体" w:hAnsi="宋体" w:eastAsia="宋体" w:cs="宋体"/>
          <w:sz w:val="24"/>
          <w:szCs w:val="24"/>
          <w:lang w:val="en-US" w:eastAsia="zh-CN" w:bidi="ar"/>
        </w:rPr>
        <w:t>自合同签订之日起 90 日历天内完成。</w:t>
      </w:r>
    </w:p>
    <w:p w14:paraId="1216461E">
      <w:pPr>
        <w:keepNext w:val="0"/>
        <w:keepLines w:val="0"/>
        <w:pageBreakBefore w:val="0"/>
        <w:widowControl/>
        <w:suppressLineNumbers w:val="0"/>
        <w:kinsoku/>
        <w:wordWrap/>
        <w:overflowPunct/>
        <w:topLinePunct w:val="0"/>
        <w:autoSpaceDE/>
        <w:autoSpaceDN/>
        <w:bidi w:val="0"/>
        <w:adjustRightInd/>
        <w:snapToGrid/>
        <w:spacing w:line="540" w:lineRule="atLeast"/>
        <w:jc w:val="left"/>
        <w:textAlignment w:val="auto"/>
        <w:rPr>
          <w:rFonts w:hint="eastAsia" w:ascii="宋体" w:hAnsi="宋体" w:eastAsia="宋体" w:cs="宋体"/>
          <w:sz w:val="24"/>
          <w:szCs w:val="24"/>
        </w:rPr>
      </w:pPr>
      <w:r>
        <w:rPr>
          <w:rStyle w:val="51"/>
          <w:rFonts w:hint="eastAsia" w:ascii="宋体" w:hAnsi="宋体" w:eastAsia="宋体" w:cs="宋体"/>
          <w:sz w:val="24"/>
          <w:szCs w:val="24"/>
          <w:lang w:val="en-US" w:eastAsia="zh-CN" w:bidi="ar"/>
        </w:rPr>
        <w:t>（2）售后服务要求</w:t>
      </w:r>
    </w:p>
    <w:p w14:paraId="22E65F1A">
      <w:pPr>
        <w:keepNext w:val="0"/>
        <w:keepLines w:val="0"/>
        <w:pageBreakBefore w:val="0"/>
        <w:widowControl/>
        <w:suppressLineNumbers w:val="0"/>
        <w:kinsoku/>
        <w:wordWrap/>
        <w:overflowPunct/>
        <w:topLinePunct w:val="0"/>
        <w:autoSpaceDE/>
        <w:autoSpaceDN/>
        <w:bidi w:val="0"/>
        <w:adjustRightInd/>
        <w:snapToGrid/>
        <w:spacing w:line="540" w:lineRule="atLeast"/>
        <w:jc w:val="left"/>
        <w:textAlignment w:val="auto"/>
        <w:rPr>
          <w:rStyle w:val="51"/>
          <w:rFonts w:hint="eastAsia" w:ascii="宋体" w:hAnsi="宋体" w:eastAsia="宋体" w:cs="宋体"/>
          <w:sz w:val="24"/>
          <w:szCs w:val="24"/>
          <w:lang w:val="en-US" w:eastAsia="zh-CN" w:bidi="ar"/>
        </w:rPr>
      </w:pPr>
      <w:r>
        <w:rPr>
          <w:rStyle w:val="51"/>
          <w:rFonts w:hint="eastAsia" w:ascii="宋体" w:hAnsi="宋体" w:eastAsia="宋体" w:cs="宋体"/>
          <w:sz w:val="24"/>
          <w:szCs w:val="24"/>
          <w:lang w:val="en-US" w:eastAsia="zh-CN" w:bidi="ar"/>
        </w:rPr>
        <w:t>质保期：自项目验收合格之日起1年。</w:t>
      </w:r>
    </w:p>
    <w:p w14:paraId="6891DF75">
      <w:pPr>
        <w:keepNext w:val="0"/>
        <w:keepLines w:val="0"/>
        <w:pageBreakBefore w:val="0"/>
        <w:widowControl/>
        <w:suppressLineNumbers w:val="0"/>
        <w:kinsoku/>
        <w:wordWrap/>
        <w:overflowPunct/>
        <w:topLinePunct w:val="0"/>
        <w:autoSpaceDE/>
        <w:autoSpaceDN/>
        <w:bidi w:val="0"/>
        <w:adjustRightInd/>
        <w:snapToGrid/>
        <w:spacing w:line="540" w:lineRule="atLeast"/>
        <w:jc w:val="left"/>
        <w:textAlignment w:val="auto"/>
        <w:rPr>
          <w:rFonts w:hint="eastAsia" w:ascii="宋体" w:hAnsi="宋体" w:eastAsia="宋体" w:cs="宋体"/>
          <w:kern w:val="0"/>
          <w:sz w:val="24"/>
          <w:szCs w:val="24"/>
          <w:lang w:val="en-US" w:eastAsia="zh-CN" w:bidi="ar"/>
        </w:rPr>
      </w:pPr>
      <w:r>
        <w:rPr>
          <w:rStyle w:val="51"/>
          <w:rFonts w:hint="eastAsia" w:ascii="宋体" w:hAnsi="宋体" w:eastAsia="宋体" w:cs="宋体"/>
          <w:sz w:val="24"/>
          <w:szCs w:val="24"/>
          <w:lang w:val="en-US" w:eastAsia="zh-CN" w:bidi="ar"/>
        </w:rPr>
        <w:t>售后服务响应时间：应在采购人发出服务通知之时起至少 2 小时内响应，8 小时内到达现场，48小时内维护处理完毕。</w:t>
      </w:r>
    </w:p>
    <w:p w14:paraId="1B6E74E8">
      <w:pPr>
        <w:keepNext w:val="0"/>
        <w:keepLines w:val="0"/>
        <w:pageBreakBefore w:val="0"/>
        <w:widowControl/>
        <w:suppressLineNumbers w:val="0"/>
        <w:kinsoku/>
        <w:wordWrap/>
        <w:overflowPunct/>
        <w:topLinePunct w:val="0"/>
        <w:autoSpaceDE/>
        <w:autoSpaceDN/>
        <w:bidi w:val="0"/>
        <w:adjustRightInd/>
        <w:snapToGrid/>
        <w:spacing w:line="540" w:lineRule="atLeas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（3）培训要求</w:t>
      </w:r>
    </w:p>
    <w:p w14:paraId="11C2CAA5">
      <w:pPr>
        <w:keepNext w:val="0"/>
        <w:keepLines w:val="0"/>
        <w:pageBreakBefore w:val="0"/>
        <w:widowControl/>
        <w:suppressLineNumbers w:val="0"/>
        <w:kinsoku/>
        <w:wordWrap/>
        <w:overflowPunct/>
        <w:topLinePunct w:val="0"/>
        <w:autoSpaceDE/>
        <w:autoSpaceDN/>
        <w:bidi w:val="0"/>
        <w:adjustRightInd/>
        <w:snapToGrid/>
        <w:spacing w:line="540" w:lineRule="atLeast"/>
        <w:jc w:val="left"/>
        <w:textAlignment w:val="auto"/>
        <w:rPr>
          <w:rFonts w:hint="eastAsia" w:ascii="宋体" w:hAnsi="宋体" w:eastAsia="宋体" w:cs="宋体"/>
          <w:bCs/>
          <w:sz w:val="24"/>
          <w:szCs w:val="24"/>
          <w:lang w:val="en-US" w:eastAsia="zh-CN"/>
        </w:rPr>
      </w:pPr>
      <w:r>
        <w:rPr>
          <w:rFonts w:hint="eastAsia" w:ascii="宋体" w:hAnsi="宋体" w:eastAsia="宋体" w:cs="宋体"/>
          <w:kern w:val="0"/>
          <w:sz w:val="24"/>
          <w:szCs w:val="24"/>
          <w:lang w:val="en-US" w:eastAsia="zh-CN" w:bidi="ar"/>
        </w:rPr>
        <w:t>供应商应根据本项目情况提供完整的技术培训。包括对采购人操作人员及相关技术人员开展日常操作、日常维护、简易故障处理等进行技术培训。</w:t>
      </w:r>
    </w:p>
    <w:p w14:paraId="2DC671F1"/>
    <w:p w14:paraId="09FE1947">
      <w:pPr>
        <w:rPr>
          <w:rFonts w:ascii="宋体" w:hAnsi="宋体" w:cs="宋体"/>
          <w:bCs/>
          <w:kern w:val="0"/>
          <w:sz w:val="24"/>
        </w:rPr>
      </w:pPr>
    </w:p>
    <w:p w14:paraId="6395DED2">
      <w:pPr>
        <w:spacing w:line="360" w:lineRule="auto"/>
        <w:rPr>
          <w:rFonts w:ascii="方正楷体_GBK" w:hAnsi="宋体" w:eastAsia="方正楷体_GBK"/>
          <w:sz w:val="24"/>
        </w:rPr>
      </w:pPr>
    </w:p>
    <w:p w14:paraId="42E934B3">
      <w:pPr>
        <w:spacing w:line="360" w:lineRule="auto"/>
        <w:rPr>
          <w:rFonts w:ascii="宋体" w:hAnsi="宋体" w:cs="宋体"/>
          <w:bCs/>
          <w:sz w:val="32"/>
          <w:szCs w:val="36"/>
          <w:lang w:val="zh-CN"/>
        </w:rPr>
      </w:pPr>
      <w:r>
        <w:rPr>
          <w:rFonts w:hint="eastAsia" w:ascii="宋体" w:hAnsi="宋体" w:cs="宋体"/>
          <w:bCs/>
          <w:sz w:val="22"/>
          <w:lang w:val="zh-CN"/>
        </w:rPr>
        <w:br w:type="page"/>
      </w:r>
    </w:p>
    <w:p w14:paraId="3A46C3A6">
      <w:pPr>
        <w:spacing w:line="480" w:lineRule="auto"/>
        <w:ind w:firstLine="480"/>
        <w:jc w:val="center"/>
        <w:rPr>
          <w:rFonts w:ascii="宋体" w:hAnsi="宋体" w:cs="宋体"/>
          <w:b/>
          <w:sz w:val="32"/>
          <w:szCs w:val="36"/>
        </w:rPr>
      </w:pPr>
      <w:r>
        <w:rPr>
          <w:rFonts w:hint="eastAsia" w:ascii="宋体" w:hAnsi="宋体" w:cs="宋体"/>
          <w:b/>
          <w:sz w:val="32"/>
          <w:szCs w:val="36"/>
        </w:rPr>
        <w:t>第四章 评标办法</w:t>
      </w:r>
    </w:p>
    <w:p w14:paraId="325E96C0">
      <w:pPr>
        <w:spacing w:line="400" w:lineRule="exact"/>
        <w:ind w:firstLine="480" w:firstLineChars="200"/>
        <w:jc w:val="left"/>
        <w:rPr>
          <w:rFonts w:ascii="宋体" w:hAnsi="宋体" w:cs="宋体"/>
          <w:sz w:val="24"/>
          <w:szCs w:val="28"/>
        </w:rPr>
      </w:pPr>
      <w:r>
        <w:rPr>
          <w:rFonts w:hint="eastAsia" w:ascii="宋体" w:hAnsi="宋体" w:cs="宋体"/>
          <w:sz w:val="24"/>
          <w:szCs w:val="28"/>
        </w:rPr>
        <w:t>一、评审程序：</w:t>
      </w:r>
    </w:p>
    <w:p w14:paraId="4B6354FC">
      <w:pPr>
        <w:spacing w:line="400" w:lineRule="exact"/>
        <w:ind w:firstLine="480" w:firstLineChars="200"/>
        <w:jc w:val="left"/>
        <w:rPr>
          <w:rFonts w:ascii="宋体" w:hAnsi="宋体" w:cs="宋体"/>
          <w:sz w:val="24"/>
          <w:szCs w:val="28"/>
        </w:rPr>
      </w:pPr>
      <w:r>
        <w:rPr>
          <w:rFonts w:hint="eastAsia" w:ascii="宋体" w:hAnsi="宋体" w:cs="宋体"/>
          <w:sz w:val="24"/>
          <w:szCs w:val="28"/>
        </w:rPr>
        <w:t xml:space="preserve">1、磋商小组对磋商文件进行确认。 </w:t>
      </w:r>
    </w:p>
    <w:p w14:paraId="65B39CAB">
      <w:pPr>
        <w:spacing w:line="400" w:lineRule="exact"/>
        <w:ind w:firstLine="480" w:firstLineChars="200"/>
        <w:jc w:val="left"/>
        <w:rPr>
          <w:rFonts w:ascii="宋体" w:hAnsi="宋体" w:cs="宋体"/>
          <w:sz w:val="24"/>
          <w:szCs w:val="28"/>
        </w:rPr>
      </w:pPr>
      <w:r>
        <w:rPr>
          <w:rFonts w:hint="eastAsia" w:ascii="宋体" w:hAnsi="宋体" w:cs="宋体"/>
          <w:sz w:val="24"/>
          <w:szCs w:val="28"/>
        </w:rPr>
        <w:t>2、磋商小组推选组长，讨论、通过磋商工作流程和磋商要点。</w:t>
      </w:r>
    </w:p>
    <w:p w14:paraId="2996C623">
      <w:pPr>
        <w:spacing w:line="400" w:lineRule="exact"/>
        <w:ind w:firstLine="480" w:firstLineChars="200"/>
        <w:jc w:val="left"/>
        <w:rPr>
          <w:rFonts w:ascii="宋体" w:hAnsi="宋体" w:cs="宋体"/>
          <w:sz w:val="24"/>
          <w:szCs w:val="28"/>
        </w:rPr>
      </w:pPr>
      <w:r>
        <w:rPr>
          <w:rFonts w:hint="eastAsia" w:ascii="宋体" w:hAnsi="宋体" w:cs="宋体"/>
          <w:sz w:val="24"/>
          <w:szCs w:val="28"/>
        </w:rPr>
        <w:t xml:space="preserve">3、初步审查：磋商开始后，磋商小组依据磋商文件规定，对响应人的资格性及响应文件的形式、响应性进行审查。响应文件的内容是否完整、文件签署是否正确、响应文件是否符合磋商文件的要求进行审查，以确定是否对磋商文件的实质性要求作出响应，以确定磋商响应人是否具备参与磋商的资格。 </w:t>
      </w:r>
    </w:p>
    <w:p w14:paraId="1750B793">
      <w:pPr>
        <w:spacing w:line="400" w:lineRule="exact"/>
        <w:ind w:firstLine="480" w:firstLineChars="200"/>
        <w:jc w:val="left"/>
        <w:rPr>
          <w:rFonts w:ascii="宋体" w:hAnsi="宋体" w:cs="宋体"/>
          <w:sz w:val="24"/>
          <w:szCs w:val="28"/>
        </w:rPr>
      </w:pPr>
      <w:r>
        <w:rPr>
          <w:rFonts w:hint="eastAsia" w:ascii="宋体" w:hAnsi="宋体" w:cs="宋体"/>
          <w:sz w:val="24"/>
          <w:szCs w:val="28"/>
        </w:rPr>
        <w:t>4、技术评审。磋商小组对响应文件在质量、技术等方面是否能满足磋商文件实质性要求进行评审。</w:t>
      </w:r>
    </w:p>
    <w:p w14:paraId="70CC7D3D">
      <w:pPr>
        <w:spacing w:line="400" w:lineRule="exact"/>
        <w:ind w:firstLine="480" w:firstLineChars="200"/>
        <w:jc w:val="left"/>
        <w:rPr>
          <w:rFonts w:ascii="宋体" w:hAnsi="宋体" w:cs="宋体"/>
          <w:sz w:val="24"/>
          <w:szCs w:val="28"/>
        </w:rPr>
      </w:pPr>
      <w:r>
        <w:rPr>
          <w:rFonts w:hint="eastAsia" w:ascii="宋体" w:hAnsi="宋体" w:cs="宋体"/>
          <w:sz w:val="24"/>
          <w:szCs w:val="28"/>
        </w:rPr>
        <w:t xml:space="preserve">5、在资格性、形式、响应性审查中如出现下列情况之一的响应文件，按无效响应文件处理，不再进行磋商，磋商小组当场告知响应人： </w:t>
      </w:r>
    </w:p>
    <w:p w14:paraId="4FA22B87">
      <w:pPr>
        <w:spacing w:line="400" w:lineRule="exact"/>
        <w:ind w:firstLine="480" w:firstLineChars="200"/>
        <w:jc w:val="left"/>
        <w:rPr>
          <w:rFonts w:ascii="宋体" w:hAnsi="宋体" w:cs="宋体"/>
          <w:sz w:val="24"/>
          <w:szCs w:val="28"/>
        </w:rPr>
      </w:pPr>
      <w:r>
        <w:rPr>
          <w:rFonts w:hint="eastAsia" w:ascii="宋体" w:hAnsi="宋体" w:cs="宋体"/>
          <w:sz w:val="24"/>
          <w:szCs w:val="28"/>
        </w:rPr>
        <w:t xml:space="preserve">（1）响应文件中资格证明文件不全或未实质性响应竞争性磋商文件要求的； </w:t>
      </w:r>
    </w:p>
    <w:p w14:paraId="71D4B583">
      <w:pPr>
        <w:spacing w:line="400" w:lineRule="exact"/>
        <w:ind w:firstLine="480" w:firstLineChars="200"/>
        <w:jc w:val="left"/>
        <w:rPr>
          <w:rFonts w:ascii="宋体" w:hAnsi="宋体" w:cs="宋体"/>
          <w:sz w:val="24"/>
          <w:szCs w:val="28"/>
        </w:rPr>
      </w:pPr>
      <w:r>
        <w:rPr>
          <w:rFonts w:hint="eastAsia" w:ascii="宋体" w:hAnsi="宋体" w:cs="宋体"/>
          <w:sz w:val="24"/>
          <w:szCs w:val="28"/>
        </w:rPr>
        <w:t>（2）响应文件无法定代表人（负责人）或其有效委托的授权人的签章，或未按磋商文件的要求签章的，或授权期限不符合要求的；</w:t>
      </w:r>
    </w:p>
    <w:p w14:paraId="3D6DA3FC">
      <w:pPr>
        <w:spacing w:line="400" w:lineRule="exact"/>
        <w:ind w:firstLine="480" w:firstLineChars="200"/>
        <w:jc w:val="left"/>
        <w:rPr>
          <w:rFonts w:ascii="宋体" w:hAnsi="宋体" w:cs="宋体"/>
          <w:sz w:val="24"/>
          <w:szCs w:val="28"/>
        </w:rPr>
      </w:pPr>
      <w:r>
        <w:rPr>
          <w:rFonts w:hint="eastAsia" w:ascii="宋体" w:hAnsi="宋体" w:cs="宋体"/>
          <w:sz w:val="24"/>
          <w:szCs w:val="28"/>
        </w:rPr>
        <w:t>（3）响应文件有效期短于竞争性磋商文件要求的；</w:t>
      </w:r>
    </w:p>
    <w:p w14:paraId="0F0F407F">
      <w:pPr>
        <w:spacing w:line="400" w:lineRule="exact"/>
        <w:ind w:firstLine="480" w:firstLineChars="200"/>
        <w:jc w:val="left"/>
        <w:rPr>
          <w:rFonts w:ascii="宋体" w:hAnsi="宋体" w:cs="宋体"/>
          <w:sz w:val="24"/>
          <w:szCs w:val="28"/>
        </w:rPr>
      </w:pPr>
      <w:r>
        <w:rPr>
          <w:rFonts w:hint="eastAsia" w:ascii="宋体" w:hAnsi="宋体" w:cs="宋体"/>
          <w:sz w:val="24"/>
          <w:szCs w:val="28"/>
        </w:rPr>
        <w:t>（4）响应文件中提供虚假或失实资料的；</w:t>
      </w:r>
    </w:p>
    <w:p w14:paraId="7BB8393F">
      <w:pPr>
        <w:spacing w:line="400" w:lineRule="exact"/>
        <w:ind w:firstLine="480" w:firstLineChars="200"/>
        <w:jc w:val="left"/>
        <w:rPr>
          <w:rFonts w:ascii="宋体" w:hAnsi="宋体" w:cs="宋体"/>
          <w:sz w:val="24"/>
          <w:szCs w:val="28"/>
        </w:rPr>
      </w:pPr>
      <w:r>
        <w:rPr>
          <w:rFonts w:hint="eastAsia" w:ascii="宋体" w:hAnsi="宋体" w:cs="宋体"/>
          <w:sz w:val="24"/>
          <w:szCs w:val="28"/>
        </w:rPr>
        <w:t>（5）不满足磋商文件其他实质性要求的；</w:t>
      </w:r>
    </w:p>
    <w:p w14:paraId="3EC21143">
      <w:pPr>
        <w:spacing w:line="400" w:lineRule="exact"/>
        <w:ind w:firstLine="480" w:firstLineChars="200"/>
        <w:jc w:val="left"/>
        <w:rPr>
          <w:rFonts w:ascii="宋体" w:hAnsi="宋体" w:cs="宋体"/>
          <w:sz w:val="24"/>
          <w:szCs w:val="28"/>
        </w:rPr>
      </w:pPr>
      <w:r>
        <w:rPr>
          <w:rFonts w:hint="eastAsia" w:ascii="宋体" w:hAnsi="宋体" w:cs="宋体"/>
          <w:sz w:val="24"/>
          <w:szCs w:val="28"/>
        </w:rPr>
        <w:t>6、磋商小组对通过资格性和形式、响应性审查的响应文件进行评估，确定与各响应人磋商的具体内容。</w:t>
      </w:r>
    </w:p>
    <w:p w14:paraId="44970CC7">
      <w:pPr>
        <w:spacing w:line="400" w:lineRule="exact"/>
        <w:ind w:firstLine="480" w:firstLineChars="200"/>
        <w:jc w:val="left"/>
        <w:rPr>
          <w:rFonts w:ascii="宋体" w:hAnsi="宋体" w:cs="宋体"/>
          <w:sz w:val="24"/>
          <w:szCs w:val="28"/>
        </w:rPr>
      </w:pPr>
      <w:r>
        <w:rPr>
          <w:rFonts w:hint="eastAsia" w:ascii="宋体" w:hAnsi="宋体" w:cs="宋体"/>
          <w:sz w:val="24"/>
          <w:szCs w:val="28"/>
        </w:rPr>
        <w:t>7、围绕磋商要点，磋商小组全体成员集中与单一响应人分别进行磋商。逐家磋商一次为一个轮次，磋商轮次由磋商小组视情况决定。各响应人磋商顺序按签到顺序进行磋商。</w:t>
      </w:r>
    </w:p>
    <w:p w14:paraId="5BA8AF32">
      <w:pPr>
        <w:spacing w:line="400" w:lineRule="exact"/>
        <w:ind w:firstLine="480" w:firstLineChars="200"/>
        <w:jc w:val="left"/>
        <w:rPr>
          <w:rFonts w:ascii="宋体" w:hAnsi="宋体" w:cs="宋体"/>
          <w:sz w:val="24"/>
          <w:szCs w:val="28"/>
        </w:rPr>
      </w:pPr>
      <w:r>
        <w:rPr>
          <w:rFonts w:hint="eastAsia" w:ascii="宋体" w:hAnsi="宋体" w:cs="宋体"/>
          <w:sz w:val="24"/>
          <w:szCs w:val="28"/>
        </w:rPr>
        <w:t xml:space="preserve">8、磋商过程中，磋商小组可以根据磋商情况实质性变动项目需求中的技术、质量要求以及合同草案条款，但不得变动磋商文件中的其他内容。实质性变动的内容需经采购人代表确认。并以书面形式通知所有参加磋商的响应人，该变动是磋商文件的有效组成部分。响应人应当按照磋商文件的变动情况和磋商小组的要求重新提交响应文件并由其法定代表人或授权代表签字或者加盖公章。由授权代表签字的应当附法定代表人授权书。响应人为自然人的应当由本人签字并附身份证。响应人应根据磋商小组的要求，以书面形式在规定时间内做出响应，未做出响应的响应文件将被视为无效投标。 </w:t>
      </w:r>
    </w:p>
    <w:p w14:paraId="3C1CD2F5">
      <w:pPr>
        <w:spacing w:line="400" w:lineRule="exact"/>
        <w:ind w:firstLine="480" w:firstLineChars="200"/>
        <w:jc w:val="left"/>
        <w:rPr>
          <w:rFonts w:ascii="宋体" w:hAnsi="宋体" w:cs="宋体"/>
          <w:sz w:val="24"/>
          <w:szCs w:val="28"/>
        </w:rPr>
      </w:pPr>
      <w:r>
        <w:rPr>
          <w:rFonts w:hint="eastAsia" w:ascii="宋体" w:hAnsi="宋体" w:cs="宋体"/>
          <w:sz w:val="24"/>
          <w:szCs w:val="28"/>
        </w:rPr>
        <w:t>9、 磋商结束后，未通过实质性响应的响应人将不再进行最后报价。经磋商确定最终采购需求和提交最后报价的响应人后，由磋商小组采用综合评分法对提交最后报价的响应人的响应文件和最后报价进行综合评分。</w:t>
      </w:r>
    </w:p>
    <w:p w14:paraId="29D8A3D7">
      <w:pPr>
        <w:spacing w:line="400" w:lineRule="exact"/>
        <w:ind w:firstLine="480" w:firstLineChars="200"/>
        <w:jc w:val="left"/>
        <w:rPr>
          <w:rFonts w:ascii="宋体" w:hAnsi="宋体" w:cs="宋体"/>
          <w:sz w:val="24"/>
          <w:szCs w:val="28"/>
        </w:rPr>
      </w:pPr>
      <w:r>
        <w:rPr>
          <w:rFonts w:hint="eastAsia" w:ascii="宋体" w:hAnsi="宋体" w:cs="宋体"/>
          <w:sz w:val="24"/>
          <w:szCs w:val="28"/>
        </w:rPr>
        <w:t>二、评审方法及标准：</w:t>
      </w:r>
    </w:p>
    <w:p w14:paraId="33EA1010">
      <w:pPr>
        <w:spacing w:line="400" w:lineRule="exact"/>
        <w:ind w:firstLine="480" w:firstLineChars="200"/>
        <w:jc w:val="left"/>
        <w:rPr>
          <w:rFonts w:ascii="宋体" w:hAnsi="宋体" w:cs="宋体"/>
          <w:sz w:val="24"/>
          <w:szCs w:val="28"/>
        </w:rPr>
      </w:pPr>
      <w:r>
        <w:rPr>
          <w:rFonts w:hint="eastAsia" w:ascii="宋体" w:hAnsi="宋体" w:cs="宋体"/>
          <w:sz w:val="24"/>
          <w:szCs w:val="28"/>
        </w:rPr>
        <w:t>评审方法：本项目采用综合评分法，总分为 100 分。综合评分法，是指磋商响应文件满足磋商文件全部实质性要求且按评审因素的量化指标评审得分最高的响应人为成交候选响应人的评审方法。磋商小组按照磋商文件的要求和条件，根据各响应人的商务、技术、对磋商文件的响应程度等进行综合评价、评分，将评审总得分按由高到低的顺序进行排列，并依此顺序推荐成交候选供应商；评审总得分相同的按最后报价由低到高顺序排列，评审总得分且最终报价相同的，按技术部分得分顺序排列。</w:t>
      </w:r>
    </w:p>
    <w:p w14:paraId="1C3633AA">
      <w:pPr>
        <w:spacing w:line="360" w:lineRule="auto"/>
        <w:rPr>
          <w:rFonts w:ascii="宋体" w:hAnsi="宋体" w:cs="宋体"/>
          <w:sz w:val="24"/>
        </w:rPr>
      </w:pPr>
    </w:p>
    <w:p w14:paraId="6F376988">
      <w:pPr>
        <w:spacing w:before="156" w:beforeLines="50" w:after="156" w:afterLines="50" w:line="360" w:lineRule="auto"/>
        <w:jc w:val="center"/>
        <w:outlineLvl w:val="1"/>
        <w:rPr>
          <w:rFonts w:ascii="宋体" w:hAnsi="宋体" w:cs="宋体"/>
          <w:b/>
          <w:sz w:val="24"/>
        </w:rPr>
      </w:pPr>
      <w:bookmarkStart w:id="27" w:name="_Toc17665"/>
      <w:r>
        <w:rPr>
          <w:rFonts w:hint="eastAsia" w:ascii="宋体" w:hAnsi="宋体" w:cs="宋体"/>
          <w:b/>
          <w:sz w:val="24"/>
        </w:rPr>
        <w:t>评标办法前附表</w:t>
      </w:r>
      <w:bookmarkEnd w:id="27"/>
    </w:p>
    <w:tbl>
      <w:tblPr>
        <w:tblStyle w:val="19"/>
        <w:tblW w:w="0" w:type="auto"/>
        <w:tblInd w:w="108" w:type="dxa"/>
        <w:tblLayout w:type="fixed"/>
        <w:tblCellMar>
          <w:top w:w="0" w:type="dxa"/>
          <w:left w:w="108" w:type="dxa"/>
          <w:bottom w:w="0" w:type="dxa"/>
          <w:right w:w="108" w:type="dxa"/>
        </w:tblCellMar>
      </w:tblPr>
      <w:tblGrid>
        <w:gridCol w:w="832"/>
        <w:gridCol w:w="1171"/>
        <w:gridCol w:w="1724"/>
        <w:gridCol w:w="5767"/>
      </w:tblGrid>
      <w:tr w14:paraId="750C66EC">
        <w:tblPrEx>
          <w:tblCellMar>
            <w:top w:w="0" w:type="dxa"/>
            <w:left w:w="108" w:type="dxa"/>
            <w:bottom w:w="0" w:type="dxa"/>
            <w:right w:w="108" w:type="dxa"/>
          </w:tblCellMar>
        </w:tblPrEx>
        <w:trPr>
          <w:trHeight w:val="606" w:hRule="atLeast"/>
        </w:trPr>
        <w:tc>
          <w:tcPr>
            <w:tcW w:w="2003" w:type="dxa"/>
            <w:gridSpan w:val="2"/>
            <w:tcBorders>
              <w:top w:val="single" w:color="auto" w:sz="4" w:space="0"/>
              <w:left w:val="single" w:color="auto" w:sz="4" w:space="0"/>
              <w:bottom w:val="single" w:color="auto" w:sz="4" w:space="0"/>
              <w:right w:val="single" w:color="auto" w:sz="4" w:space="0"/>
            </w:tcBorders>
            <w:vAlign w:val="center"/>
          </w:tcPr>
          <w:p w14:paraId="0DC22D69">
            <w:pPr>
              <w:spacing w:line="360" w:lineRule="auto"/>
              <w:jc w:val="center"/>
              <w:rPr>
                <w:rFonts w:ascii="宋体" w:hAnsi="宋体" w:cs="宋体"/>
                <w:sz w:val="24"/>
              </w:rPr>
            </w:pPr>
            <w:r>
              <w:rPr>
                <w:rFonts w:hint="eastAsia" w:ascii="宋体" w:hAnsi="宋体" w:cs="宋体"/>
                <w:sz w:val="24"/>
              </w:rPr>
              <w:t>2.1初步评审</w:t>
            </w:r>
          </w:p>
        </w:tc>
        <w:tc>
          <w:tcPr>
            <w:tcW w:w="1724" w:type="dxa"/>
            <w:tcBorders>
              <w:top w:val="single" w:color="auto" w:sz="4" w:space="0"/>
              <w:left w:val="nil"/>
              <w:bottom w:val="single" w:color="auto" w:sz="4" w:space="0"/>
              <w:right w:val="single" w:color="auto" w:sz="4" w:space="0"/>
            </w:tcBorders>
            <w:vAlign w:val="center"/>
          </w:tcPr>
          <w:p w14:paraId="305FE46C">
            <w:pPr>
              <w:spacing w:line="360" w:lineRule="auto"/>
              <w:jc w:val="center"/>
              <w:rPr>
                <w:rFonts w:ascii="宋体" w:hAnsi="宋体" w:cs="宋体"/>
                <w:sz w:val="24"/>
              </w:rPr>
            </w:pPr>
            <w:r>
              <w:rPr>
                <w:rFonts w:hint="eastAsia" w:ascii="宋体" w:hAnsi="宋体" w:cs="宋体"/>
                <w:sz w:val="24"/>
              </w:rPr>
              <w:t>评审因素</w:t>
            </w:r>
          </w:p>
        </w:tc>
        <w:tc>
          <w:tcPr>
            <w:tcW w:w="5767" w:type="dxa"/>
            <w:tcBorders>
              <w:top w:val="single" w:color="auto" w:sz="4" w:space="0"/>
              <w:left w:val="nil"/>
              <w:bottom w:val="single" w:color="auto" w:sz="4" w:space="0"/>
              <w:right w:val="single" w:color="auto" w:sz="4" w:space="0"/>
            </w:tcBorders>
            <w:vAlign w:val="center"/>
          </w:tcPr>
          <w:p w14:paraId="7525C2B8">
            <w:pPr>
              <w:spacing w:line="360" w:lineRule="auto"/>
              <w:jc w:val="center"/>
              <w:rPr>
                <w:rFonts w:ascii="宋体" w:hAnsi="宋体" w:cs="宋体"/>
                <w:sz w:val="24"/>
              </w:rPr>
            </w:pPr>
            <w:r>
              <w:rPr>
                <w:rFonts w:hint="eastAsia" w:ascii="宋体" w:hAnsi="宋体" w:cs="宋体"/>
                <w:sz w:val="24"/>
              </w:rPr>
              <w:t>评审标准</w:t>
            </w:r>
          </w:p>
        </w:tc>
      </w:tr>
      <w:tr w14:paraId="060BC71F">
        <w:tblPrEx>
          <w:tblCellMar>
            <w:top w:w="0" w:type="dxa"/>
            <w:left w:w="108" w:type="dxa"/>
            <w:bottom w:w="0" w:type="dxa"/>
            <w:right w:w="108" w:type="dxa"/>
          </w:tblCellMar>
        </w:tblPrEx>
        <w:trPr>
          <w:trHeight w:val="606" w:hRule="atLeast"/>
        </w:trPr>
        <w:tc>
          <w:tcPr>
            <w:tcW w:w="832" w:type="dxa"/>
            <w:vMerge w:val="restart"/>
            <w:tcBorders>
              <w:left w:val="single" w:color="auto" w:sz="4" w:space="0"/>
              <w:right w:val="single" w:color="auto" w:sz="4" w:space="0"/>
            </w:tcBorders>
            <w:vAlign w:val="center"/>
          </w:tcPr>
          <w:p w14:paraId="28514E71">
            <w:pPr>
              <w:spacing w:line="360" w:lineRule="auto"/>
              <w:jc w:val="center"/>
              <w:rPr>
                <w:rFonts w:ascii="宋体" w:hAnsi="宋体" w:cs="宋体"/>
                <w:sz w:val="24"/>
              </w:rPr>
            </w:pPr>
          </w:p>
        </w:tc>
        <w:tc>
          <w:tcPr>
            <w:tcW w:w="1171" w:type="dxa"/>
            <w:vMerge w:val="restart"/>
            <w:tcBorders>
              <w:left w:val="nil"/>
              <w:right w:val="single" w:color="auto" w:sz="4" w:space="0"/>
            </w:tcBorders>
            <w:vAlign w:val="center"/>
          </w:tcPr>
          <w:p w14:paraId="383B2CB8">
            <w:pPr>
              <w:spacing w:line="360" w:lineRule="auto"/>
              <w:jc w:val="center"/>
              <w:rPr>
                <w:rFonts w:ascii="宋体" w:hAnsi="宋体" w:cs="宋体"/>
                <w:sz w:val="24"/>
              </w:rPr>
            </w:pPr>
          </w:p>
        </w:tc>
        <w:tc>
          <w:tcPr>
            <w:tcW w:w="1724" w:type="dxa"/>
            <w:tcBorders>
              <w:top w:val="single" w:color="auto" w:sz="4" w:space="0"/>
              <w:left w:val="nil"/>
              <w:bottom w:val="single" w:color="auto" w:sz="4" w:space="0"/>
              <w:right w:val="single" w:color="auto" w:sz="4" w:space="0"/>
            </w:tcBorders>
            <w:vAlign w:val="center"/>
          </w:tcPr>
          <w:p w14:paraId="40482483">
            <w:pPr>
              <w:spacing w:line="360" w:lineRule="auto"/>
              <w:jc w:val="center"/>
              <w:rPr>
                <w:rFonts w:ascii="宋体" w:hAnsi="宋体" w:cs="宋体"/>
                <w:sz w:val="24"/>
              </w:rPr>
            </w:pPr>
            <w:r>
              <w:rPr>
                <w:rFonts w:hint="eastAsia" w:ascii="宋体" w:hAnsi="宋体" w:cs="宋体"/>
                <w:sz w:val="24"/>
              </w:rPr>
              <w:t>营业执照</w:t>
            </w:r>
          </w:p>
        </w:tc>
        <w:tc>
          <w:tcPr>
            <w:tcW w:w="5767" w:type="dxa"/>
            <w:tcBorders>
              <w:top w:val="single" w:color="auto" w:sz="4" w:space="0"/>
              <w:left w:val="nil"/>
              <w:bottom w:val="single" w:color="auto" w:sz="4" w:space="0"/>
              <w:right w:val="single" w:color="auto" w:sz="4" w:space="0"/>
            </w:tcBorders>
            <w:vAlign w:val="center"/>
          </w:tcPr>
          <w:p w14:paraId="06689683">
            <w:pPr>
              <w:spacing w:line="360" w:lineRule="auto"/>
              <w:rPr>
                <w:rFonts w:ascii="宋体" w:hAnsi="宋体" w:cs="宋体"/>
                <w:sz w:val="24"/>
              </w:rPr>
            </w:pPr>
            <w:r>
              <w:rPr>
                <w:rFonts w:hint="eastAsia" w:ascii="宋体" w:hAnsi="宋体" w:cs="宋体"/>
                <w:sz w:val="24"/>
              </w:rPr>
              <w:t>供应商必须是在中华人民共和国境内注册的能够独立承担民事责任的独立法人，具有有效的营业执照、税务登记证、组织机构代码证(或“三证合一”的营业执照)；</w:t>
            </w:r>
          </w:p>
        </w:tc>
      </w:tr>
      <w:tr w14:paraId="16175A23">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vAlign w:val="center"/>
          </w:tcPr>
          <w:p w14:paraId="3F317017">
            <w:pPr>
              <w:spacing w:line="360" w:lineRule="auto"/>
              <w:rPr>
                <w:rFonts w:ascii="宋体" w:hAnsi="宋体" w:cs="宋体"/>
                <w:sz w:val="24"/>
              </w:rPr>
            </w:pPr>
          </w:p>
        </w:tc>
        <w:tc>
          <w:tcPr>
            <w:tcW w:w="1171" w:type="dxa"/>
            <w:vMerge w:val="continue"/>
            <w:tcBorders>
              <w:left w:val="nil"/>
              <w:right w:val="single" w:color="auto" w:sz="4" w:space="0"/>
            </w:tcBorders>
            <w:vAlign w:val="center"/>
          </w:tcPr>
          <w:p w14:paraId="6FBBE56F">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vAlign w:val="center"/>
          </w:tcPr>
          <w:p w14:paraId="35A5D6F7">
            <w:pPr>
              <w:spacing w:line="360" w:lineRule="auto"/>
              <w:jc w:val="center"/>
              <w:rPr>
                <w:rFonts w:ascii="宋体" w:hAnsi="宋体" w:cs="宋体"/>
                <w:sz w:val="24"/>
              </w:rPr>
            </w:pPr>
            <w:r>
              <w:rPr>
                <w:rFonts w:hint="eastAsia" w:ascii="宋体" w:hAnsi="宋体" w:cs="宋体"/>
                <w:sz w:val="24"/>
              </w:rPr>
              <w:t>财务状况</w:t>
            </w:r>
          </w:p>
        </w:tc>
        <w:tc>
          <w:tcPr>
            <w:tcW w:w="5767" w:type="dxa"/>
            <w:tcBorders>
              <w:top w:val="single" w:color="auto" w:sz="4" w:space="0"/>
              <w:left w:val="nil"/>
              <w:bottom w:val="single" w:color="auto" w:sz="4" w:space="0"/>
              <w:right w:val="single" w:color="auto" w:sz="4" w:space="0"/>
            </w:tcBorders>
            <w:vAlign w:val="center"/>
          </w:tcPr>
          <w:p w14:paraId="1F1E8A7A">
            <w:pPr>
              <w:spacing w:line="360" w:lineRule="auto"/>
              <w:rPr>
                <w:rFonts w:ascii="宋体" w:hAnsi="宋体" w:cs="宋体"/>
                <w:sz w:val="24"/>
              </w:rPr>
            </w:pPr>
            <w:r>
              <w:rPr>
                <w:rFonts w:hint="eastAsia" w:ascii="宋体" w:hAnsi="宋体" w:cs="宋体"/>
                <w:sz w:val="24"/>
              </w:rPr>
              <w:t>具有良好的财务状况，提供近三年来任意一个年度的财务审计报告或自行承诺；</w:t>
            </w:r>
          </w:p>
        </w:tc>
      </w:tr>
      <w:tr w14:paraId="6318719E">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vAlign w:val="center"/>
          </w:tcPr>
          <w:p w14:paraId="596B167B">
            <w:pPr>
              <w:spacing w:line="360" w:lineRule="auto"/>
              <w:rPr>
                <w:rFonts w:ascii="宋体" w:hAnsi="宋体" w:cs="宋体"/>
                <w:sz w:val="24"/>
              </w:rPr>
            </w:pPr>
          </w:p>
        </w:tc>
        <w:tc>
          <w:tcPr>
            <w:tcW w:w="1171" w:type="dxa"/>
            <w:vMerge w:val="continue"/>
            <w:tcBorders>
              <w:left w:val="nil"/>
              <w:right w:val="single" w:color="auto" w:sz="4" w:space="0"/>
            </w:tcBorders>
            <w:vAlign w:val="center"/>
          </w:tcPr>
          <w:p w14:paraId="12D2C455">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vAlign w:val="center"/>
          </w:tcPr>
          <w:p w14:paraId="735BFE31">
            <w:pPr>
              <w:spacing w:line="360" w:lineRule="auto"/>
              <w:jc w:val="center"/>
              <w:rPr>
                <w:rFonts w:ascii="宋体" w:hAnsi="宋体" w:cs="宋体"/>
                <w:sz w:val="24"/>
              </w:rPr>
            </w:pPr>
            <w:r>
              <w:rPr>
                <w:rFonts w:hint="eastAsia" w:ascii="宋体" w:hAnsi="宋体" w:cs="宋体"/>
                <w:sz w:val="24"/>
              </w:rPr>
              <w:t>税收证明</w:t>
            </w:r>
          </w:p>
        </w:tc>
        <w:tc>
          <w:tcPr>
            <w:tcW w:w="5767" w:type="dxa"/>
            <w:tcBorders>
              <w:top w:val="single" w:color="auto" w:sz="4" w:space="0"/>
              <w:left w:val="nil"/>
              <w:bottom w:val="single" w:color="auto" w:sz="4" w:space="0"/>
              <w:right w:val="single" w:color="auto" w:sz="4" w:space="0"/>
            </w:tcBorders>
            <w:vAlign w:val="center"/>
          </w:tcPr>
          <w:p w14:paraId="418BBBE3">
            <w:pPr>
              <w:spacing w:line="560" w:lineRule="exact"/>
              <w:rPr>
                <w:rFonts w:ascii="宋体" w:hAnsi="宋体" w:cs="宋体"/>
                <w:sz w:val="24"/>
              </w:rPr>
            </w:pPr>
            <w:r>
              <w:rPr>
                <w:rFonts w:hint="eastAsia" w:ascii="宋体" w:hAnsi="宋体" w:cs="宋体"/>
                <w:sz w:val="24"/>
              </w:rPr>
              <w:t>提供企业近半年任意连续三个月依法缴纳税收的证明资料（新成立的企业从成立之日起计算）主要是指缴纳增值税或企业所得税或企业附加税的缴费证明，依法免税的投标响应人，应提供相应文件证明其依法免税；</w:t>
            </w:r>
          </w:p>
        </w:tc>
      </w:tr>
      <w:tr w14:paraId="03E734DB">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vAlign w:val="center"/>
          </w:tcPr>
          <w:p w14:paraId="1379E86C">
            <w:pPr>
              <w:spacing w:line="360" w:lineRule="auto"/>
              <w:rPr>
                <w:rFonts w:ascii="宋体" w:hAnsi="宋体" w:cs="宋体"/>
                <w:sz w:val="24"/>
              </w:rPr>
            </w:pPr>
          </w:p>
        </w:tc>
        <w:tc>
          <w:tcPr>
            <w:tcW w:w="1171" w:type="dxa"/>
            <w:vMerge w:val="continue"/>
            <w:tcBorders>
              <w:left w:val="nil"/>
              <w:right w:val="single" w:color="auto" w:sz="4" w:space="0"/>
            </w:tcBorders>
            <w:vAlign w:val="center"/>
          </w:tcPr>
          <w:p w14:paraId="7E1CD949">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vAlign w:val="center"/>
          </w:tcPr>
          <w:p w14:paraId="46B97FDB">
            <w:pPr>
              <w:spacing w:line="360" w:lineRule="auto"/>
              <w:jc w:val="center"/>
              <w:rPr>
                <w:rFonts w:ascii="宋体" w:hAnsi="宋体" w:cs="宋体"/>
                <w:sz w:val="24"/>
              </w:rPr>
            </w:pPr>
            <w:r>
              <w:rPr>
                <w:rFonts w:hint="eastAsia" w:ascii="宋体" w:hAnsi="宋体" w:cs="宋体"/>
                <w:sz w:val="24"/>
              </w:rPr>
              <w:t>项目负责人</w:t>
            </w:r>
          </w:p>
        </w:tc>
        <w:tc>
          <w:tcPr>
            <w:tcW w:w="5767" w:type="dxa"/>
            <w:tcBorders>
              <w:top w:val="single" w:color="auto" w:sz="4" w:space="0"/>
              <w:left w:val="nil"/>
              <w:bottom w:val="single" w:color="auto" w:sz="4" w:space="0"/>
              <w:right w:val="single" w:color="auto" w:sz="4" w:space="0"/>
            </w:tcBorders>
            <w:vAlign w:val="center"/>
          </w:tcPr>
          <w:p w14:paraId="22505FCE">
            <w:pPr>
              <w:spacing w:line="360" w:lineRule="auto"/>
              <w:rPr>
                <w:rFonts w:ascii="宋体" w:hAnsi="宋体" w:cs="宋体"/>
                <w:sz w:val="24"/>
              </w:rPr>
            </w:pPr>
            <w:r>
              <w:rPr>
                <w:rFonts w:hint="eastAsia" w:ascii="宋体" w:hAnsi="宋体" w:cs="宋体"/>
                <w:sz w:val="24"/>
              </w:rPr>
              <w:t>项目负责人为本单位正式员工（提供劳动合同）且已参加社会保险，提供近半年任意连续三个月参加社会养老保险的缴费证明（新成立企业从成立之日起计算）；</w:t>
            </w:r>
          </w:p>
        </w:tc>
      </w:tr>
      <w:tr w14:paraId="63D35D06">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vAlign w:val="center"/>
          </w:tcPr>
          <w:p w14:paraId="1C6FA2E1">
            <w:pPr>
              <w:spacing w:line="360" w:lineRule="auto"/>
              <w:rPr>
                <w:rFonts w:ascii="宋体" w:hAnsi="宋体" w:cs="宋体"/>
                <w:sz w:val="24"/>
              </w:rPr>
            </w:pPr>
          </w:p>
        </w:tc>
        <w:tc>
          <w:tcPr>
            <w:tcW w:w="1171" w:type="dxa"/>
            <w:vMerge w:val="continue"/>
            <w:tcBorders>
              <w:left w:val="nil"/>
              <w:right w:val="single" w:color="auto" w:sz="4" w:space="0"/>
            </w:tcBorders>
            <w:vAlign w:val="center"/>
          </w:tcPr>
          <w:p w14:paraId="2D0C84AC">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vAlign w:val="center"/>
          </w:tcPr>
          <w:p w14:paraId="1DF531FC">
            <w:pPr>
              <w:spacing w:line="360" w:lineRule="auto"/>
              <w:jc w:val="center"/>
              <w:rPr>
                <w:rFonts w:ascii="宋体" w:hAnsi="宋体" w:cs="宋体"/>
                <w:sz w:val="24"/>
              </w:rPr>
            </w:pPr>
            <w:r>
              <w:rPr>
                <w:rFonts w:hint="eastAsia" w:ascii="宋体" w:hAnsi="宋体" w:cs="宋体"/>
                <w:sz w:val="24"/>
              </w:rPr>
              <w:t>履行合同能力</w:t>
            </w:r>
          </w:p>
        </w:tc>
        <w:tc>
          <w:tcPr>
            <w:tcW w:w="5767" w:type="dxa"/>
            <w:tcBorders>
              <w:top w:val="single" w:color="auto" w:sz="4" w:space="0"/>
              <w:left w:val="nil"/>
              <w:bottom w:val="single" w:color="auto" w:sz="4" w:space="0"/>
              <w:right w:val="single" w:color="auto" w:sz="4" w:space="0"/>
            </w:tcBorders>
            <w:vAlign w:val="center"/>
          </w:tcPr>
          <w:p w14:paraId="1AC0A1A7">
            <w:pPr>
              <w:spacing w:line="360" w:lineRule="auto"/>
              <w:rPr>
                <w:rFonts w:ascii="宋体" w:hAnsi="宋体" w:cs="宋体"/>
                <w:sz w:val="24"/>
              </w:rPr>
            </w:pPr>
            <w:r>
              <w:rPr>
                <w:rFonts w:hint="eastAsia" w:ascii="宋体" w:hAnsi="宋体" w:cs="宋体"/>
                <w:sz w:val="24"/>
              </w:rPr>
              <w:t>具有履行合同所必需的设备和专业技术能力（提供承诺书，格式自拟）</w:t>
            </w:r>
          </w:p>
        </w:tc>
      </w:tr>
      <w:tr w14:paraId="3BE05021">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vAlign w:val="center"/>
          </w:tcPr>
          <w:p w14:paraId="227CF490">
            <w:pPr>
              <w:spacing w:line="360" w:lineRule="auto"/>
              <w:rPr>
                <w:rFonts w:ascii="宋体" w:hAnsi="宋体" w:cs="宋体"/>
                <w:sz w:val="24"/>
              </w:rPr>
            </w:pPr>
          </w:p>
        </w:tc>
        <w:tc>
          <w:tcPr>
            <w:tcW w:w="1171" w:type="dxa"/>
            <w:vMerge w:val="continue"/>
            <w:tcBorders>
              <w:left w:val="nil"/>
              <w:right w:val="single" w:color="auto" w:sz="4" w:space="0"/>
            </w:tcBorders>
            <w:vAlign w:val="center"/>
          </w:tcPr>
          <w:p w14:paraId="2DA901C1">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vAlign w:val="center"/>
          </w:tcPr>
          <w:p w14:paraId="2EA50F8C">
            <w:pPr>
              <w:spacing w:line="360" w:lineRule="auto"/>
              <w:jc w:val="center"/>
              <w:rPr>
                <w:rFonts w:ascii="宋体" w:hAnsi="宋体" w:cs="宋体"/>
                <w:sz w:val="24"/>
              </w:rPr>
            </w:pPr>
            <w:r>
              <w:rPr>
                <w:rFonts w:hint="eastAsia" w:ascii="宋体" w:hAnsi="宋体" w:cs="宋体"/>
                <w:sz w:val="24"/>
              </w:rPr>
              <w:t>无行贿犯罪记录查询或承诺</w:t>
            </w:r>
          </w:p>
        </w:tc>
        <w:tc>
          <w:tcPr>
            <w:tcW w:w="5767" w:type="dxa"/>
            <w:tcBorders>
              <w:top w:val="single" w:color="auto" w:sz="4" w:space="0"/>
              <w:left w:val="nil"/>
              <w:bottom w:val="single" w:color="auto" w:sz="4" w:space="0"/>
              <w:right w:val="single" w:color="auto" w:sz="4" w:space="0"/>
            </w:tcBorders>
            <w:vAlign w:val="center"/>
          </w:tcPr>
          <w:p w14:paraId="71AF03DC">
            <w:pPr>
              <w:spacing w:line="360" w:lineRule="auto"/>
              <w:rPr>
                <w:rFonts w:ascii="宋体" w:hAnsi="宋体" w:cs="宋体"/>
                <w:sz w:val="24"/>
              </w:rPr>
            </w:pPr>
            <w:r>
              <w:rPr>
                <w:rFonts w:hint="eastAsia" w:ascii="宋体" w:hAnsi="宋体" w:cs="宋体"/>
                <w:sz w:val="24"/>
              </w:rPr>
              <w:t>参加政府采购活动前3年内无行贿犯罪记录，供应商出具的无行贿犯罪记录在中国裁判文书网自行查询或自行承诺（查询对象：企业、法定代表人）；</w:t>
            </w:r>
          </w:p>
        </w:tc>
      </w:tr>
      <w:tr w14:paraId="2B81765F">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vAlign w:val="center"/>
          </w:tcPr>
          <w:p w14:paraId="2896754E">
            <w:pPr>
              <w:spacing w:line="360" w:lineRule="auto"/>
              <w:rPr>
                <w:rFonts w:ascii="宋体" w:hAnsi="宋体" w:cs="宋体"/>
                <w:sz w:val="24"/>
              </w:rPr>
            </w:pPr>
          </w:p>
        </w:tc>
        <w:tc>
          <w:tcPr>
            <w:tcW w:w="1171" w:type="dxa"/>
            <w:vMerge w:val="continue"/>
            <w:tcBorders>
              <w:left w:val="nil"/>
              <w:right w:val="single" w:color="auto" w:sz="4" w:space="0"/>
            </w:tcBorders>
            <w:vAlign w:val="center"/>
          </w:tcPr>
          <w:p w14:paraId="07577F45">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vAlign w:val="center"/>
          </w:tcPr>
          <w:p w14:paraId="7B78CFA5">
            <w:pPr>
              <w:wordWrap w:val="0"/>
              <w:spacing w:line="240" w:lineRule="atLeast"/>
              <w:jc w:val="center"/>
              <w:rPr>
                <w:rFonts w:ascii="宋体" w:hAnsi="宋体" w:cs="宋体"/>
                <w:sz w:val="32"/>
                <w:szCs w:val="32"/>
              </w:rPr>
            </w:pPr>
            <w:r>
              <w:rPr>
                <w:rFonts w:hint="eastAsia"/>
                <w:sz w:val="24"/>
              </w:rPr>
              <w:t>诚信承诺及查询</w:t>
            </w:r>
          </w:p>
        </w:tc>
        <w:tc>
          <w:tcPr>
            <w:tcW w:w="5767" w:type="dxa"/>
            <w:tcBorders>
              <w:top w:val="single" w:color="auto" w:sz="4" w:space="0"/>
              <w:left w:val="nil"/>
              <w:bottom w:val="single" w:color="auto" w:sz="4" w:space="0"/>
              <w:right w:val="single" w:color="auto" w:sz="4" w:space="0"/>
            </w:tcBorders>
            <w:vAlign w:val="center"/>
          </w:tcPr>
          <w:p w14:paraId="15510C47">
            <w:pPr>
              <w:spacing w:line="360" w:lineRule="auto"/>
              <w:rPr>
                <w:rFonts w:ascii="宋体" w:hAnsi="宋体" w:cs="宋体"/>
                <w:sz w:val="24"/>
              </w:rPr>
            </w:pPr>
            <w:r>
              <w:rPr>
                <w:rFonts w:hint="eastAsia" w:ascii="宋体" w:hAnsi="宋体" w:cs="宋体"/>
                <w:sz w:val="24"/>
                <w:lang w:val="en-US" w:eastAsia="zh-CN"/>
              </w:rPr>
              <w:t>1</w:t>
            </w:r>
            <w:r>
              <w:rPr>
                <w:rFonts w:hint="eastAsia" w:ascii="宋体" w:hAnsi="宋体" w:cs="宋体"/>
                <w:sz w:val="24"/>
              </w:rPr>
              <w:t>、供应商须出具本企业无商业贿赂和不正当竞争行为承诺书）；</w:t>
            </w:r>
          </w:p>
          <w:p w14:paraId="3BE574CD">
            <w:pPr>
              <w:spacing w:line="360" w:lineRule="auto"/>
              <w:rPr>
                <w:rFonts w:ascii="宋体" w:hAnsi="宋体" w:cs="宋体"/>
                <w:sz w:val="24"/>
              </w:rPr>
            </w:pPr>
            <w:r>
              <w:rPr>
                <w:rFonts w:hint="eastAsia" w:ascii="宋体" w:hAnsi="宋体" w:cs="宋体"/>
                <w:sz w:val="24"/>
                <w:lang w:val="en-US" w:eastAsia="zh-CN"/>
              </w:rPr>
              <w:t>2</w:t>
            </w:r>
            <w:r>
              <w:rPr>
                <w:rFonts w:hint="eastAsia" w:ascii="宋体" w:hAnsi="宋体" w:cs="宋体"/>
                <w:sz w:val="24"/>
              </w:rPr>
              <w:t>、单位负责人为同一人或者存在直接控股关系、管理关系的不同供应商，不得参加同一合同项下的政府采购活动（提供声明函）</w:t>
            </w:r>
          </w:p>
          <w:p w14:paraId="5334ABD6">
            <w:pPr>
              <w:spacing w:line="360" w:lineRule="auto"/>
              <w:rPr>
                <w:rFonts w:ascii="宋体" w:hAnsi="宋体" w:cs="宋体"/>
                <w:sz w:val="32"/>
                <w:szCs w:val="32"/>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bCs/>
                <w:sz w:val="24"/>
                <w:szCs w:val="28"/>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采购人或招标代理机构将在开标后通过以上网站进行查询，信用信息查询记录和证据将同采购文件等资料一同归档保存（相关网站有最新规定的，按最新规定执行）；</w:t>
            </w:r>
          </w:p>
        </w:tc>
      </w:tr>
      <w:tr w14:paraId="279FCB4D">
        <w:tblPrEx>
          <w:tblCellMar>
            <w:top w:w="0" w:type="dxa"/>
            <w:left w:w="108" w:type="dxa"/>
            <w:bottom w:w="0" w:type="dxa"/>
            <w:right w:w="108" w:type="dxa"/>
          </w:tblCellMar>
        </w:tblPrEx>
        <w:trPr>
          <w:trHeight w:val="648" w:hRule="atLeast"/>
        </w:trPr>
        <w:tc>
          <w:tcPr>
            <w:tcW w:w="832" w:type="dxa"/>
            <w:vMerge w:val="continue"/>
            <w:tcBorders>
              <w:left w:val="single" w:color="auto" w:sz="4" w:space="0"/>
              <w:bottom w:val="single" w:color="auto" w:sz="4" w:space="0"/>
              <w:right w:val="single" w:color="auto" w:sz="4" w:space="0"/>
            </w:tcBorders>
            <w:vAlign w:val="center"/>
          </w:tcPr>
          <w:p w14:paraId="3C35002B">
            <w:pPr>
              <w:spacing w:line="360" w:lineRule="auto"/>
              <w:rPr>
                <w:rFonts w:ascii="宋体" w:hAnsi="宋体" w:cs="宋体"/>
                <w:sz w:val="24"/>
              </w:rPr>
            </w:pPr>
          </w:p>
        </w:tc>
        <w:tc>
          <w:tcPr>
            <w:tcW w:w="1171" w:type="dxa"/>
            <w:vMerge w:val="continue"/>
            <w:tcBorders>
              <w:left w:val="nil"/>
              <w:bottom w:val="single" w:color="auto" w:sz="4" w:space="0"/>
              <w:right w:val="single" w:color="auto" w:sz="4" w:space="0"/>
            </w:tcBorders>
            <w:vAlign w:val="center"/>
          </w:tcPr>
          <w:p w14:paraId="4FCCEA8F">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vAlign w:val="center"/>
          </w:tcPr>
          <w:p w14:paraId="728C0504">
            <w:pPr>
              <w:wordWrap w:val="0"/>
              <w:spacing w:line="240" w:lineRule="atLeast"/>
              <w:jc w:val="center"/>
              <w:rPr>
                <w:rFonts w:ascii="宋体" w:hAnsi="宋体" w:cs="宋体"/>
                <w:sz w:val="32"/>
                <w:szCs w:val="32"/>
              </w:rPr>
            </w:pPr>
            <w:r>
              <w:rPr>
                <w:rFonts w:hint="eastAsia"/>
                <w:sz w:val="24"/>
              </w:rPr>
              <w:t>其他内容</w:t>
            </w:r>
          </w:p>
        </w:tc>
        <w:tc>
          <w:tcPr>
            <w:tcW w:w="5767" w:type="dxa"/>
            <w:tcBorders>
              <w:top w:val="single" w:color="auto" w:sz="4" w:space="0"/>
              <w:left w:val="nil"/>
              <w:bottom w:val="single" w:color="auto" w:sz="4" w:space="0"/>
              <w:right w:val="single" w:color="auto" w:sz="4" w:space="0"/>
            </w:tcBorders>
            <w:vAlign w:val="center"/>
          </w:tcPr>
          <w:p w14:paraId="2E578949">
            <w:pPr>
              <w:tabs>
                <w:tab w:val="left" w:pos="360"/>
              </w:tabs>
              <w:wordWrap w:val="0"/>
              <w:spacing w:line="320" w:lineRule="exact"/>
              <w:rPr>
                <w:rFonts w:ascii="宋体" w:hAnsi="宋体" w:cs="宋体"/>
                <w:sz w:val="32"/>
                <w:szCs w:val="32"/>
              </w:rPr>
            </w:pPr>
            <w:r>
              <w:rPr>
                <w:rFonts w:hint="eastAsia"/>
                <w:sz w:val="24"/>
              </w:rPr>
              <w:t>竞争性磋商文件规定的其他资格要求资料</w:t>
            </w:r>
          </w:p>
        </w:tc>
      </w:tr>
      <w:tr w14:paraId="41BD3074">
        <w:tblPrEx>
          <w:tblCellMar>
            <w:top w:w="0" w:type="dxa"/>
            <w:left w:w="108" w:type="dxa"/>
            <w:bottom w:w="0" w:type="dxa"/>
            <w:right w:w="108" w:type="dxa"/>
          </w:tblCellMar>
        </w:tblPrEx>
        <w:trPr>
          <w:trHeight w:val="648" w:hRule="atLeast"/>
        </w:trPr>
        <w:tc>
          <w:tcPr>
            <w:tcW w:w="832" w:type="dxa"/>
            <w:vMerge w:val="restart"/>
            <w:tcBorders>
              <w:top w:val="nil"/>
              <w:left w:val="single" w:color="auto" w:sz="4" w:space="0"/>
              <w:right w:val="single" w:color="auto" w:sz="4" w:space="0"/>
            </w:tcBorders>
            <w:vAlign w:val="center"/>
          </w:tcPr>
          <w:p w14:paraId="590F1467">
            <w:pPr>
              <w:spacing w:line="360" w:lineRule="auto"/>
              <w:rPr>
                <w:rFonts w:ascii="宋体" w:hAnsi="宋体" w:cs="宋体"/>
              </w:rPr>
            </w:pPr>
          </w:p>
          <w:p w14:paraId="485A804A">
            <w:pPr>
              <w:spacing w:line="360" w:lineRule="auto"/>
              <w:jc w:val="center"/>
              <w:rPr>
                <w:rFonts w:ascii="宋体" w:hAnsi="宋体" w:cs="宋体"/>
                <w:sz w:val="24"/>
              </w:rPr>
            </w:pPr>
          </w:p>
          <w:p w14:paraId="35DEE7D9">
            <w:pPr>
              <w:spacing w:line="360" w:lineRule="auto"/>
              <w:jc w:val="center"/>
              <w:rPr>
                <w:rFonts w:ascii="宋体" w:hAnsi="宋体" w:cs="宋体"/>
              </w:rPr>
            </w:pPr>
            <w:r>
              <w:rPr>
                <w:rFonts w:hint="eastAsia" w:ascii="宋体" w:hAnsi="宋体" w:cs="宋体"/>
                <w:sz w:val="24"/>
              </w:rPr>
              <w:t>2.1.2</w:t>
            </w:r>
          </w:p>
        </w:tc>
        <w:tc>
          <w:tcPr>
            <w:tcW w:w="1171" w:type="dxa"/>
            <w:vMerge w:val="restart"/>
            <w:tcBorders>
              <w:top w:val="nil"/>
              <w:left w:val="nil"/>
              <w:right w:val="single" w:color="auto" w:sz="4" w:space="0"/>
            </w:tcBorders>
            <w:vAlign w:val="center"/>
          </w:tcPr>
          <w:p w14:paraId="2113014F">
            <w:pPr>
              <w:spacing w:line="360" w:lineRule="auto"/>
              <w:jc w:val="center"/>
              <w:rPr>
                <w:rFonts w:ascii="宋体" w:hAnsi="宋体" w:cs="宋体"/>
                <w:sz w:val="24"/>
              </w:rPr>
            </w:pPr>
            <w:r>
              <w:rPr>
                <w:rFonts w:hint="eastAsia" w:ascii="宋体" w:hAnsi="宋体" w:cs="宋体"/>
                <w:sz w:val="24"/>
              </w:rPr>
              <w:t>符合性审查</w:t>
            </w:r>
          </w:p>
          <w:p w14:paraId="58351D8C">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vAlign w:val="center"/>
          </w:tcPr>
          <w:p w14:paraId="70F51DAC">
            <w:pPr>
              <w:spacing w:line="360" w:lineRule="auto"/>
              <w:rPr>
                <w:rFonts w:ascii="宋体" w:hAnsi="宋体" w:cs="宋体"/>
                <w:sz w:val="24"/>
              </w:rPr>
            </w:pPr>
            <w:r>
              <w:rPr>
                <w:rFonts w:hint="eastAsia" w:ascii="宋体" w:hAnsi="宋体" w:cs="宋体"/>
                <w:sz w:val="24"/>
              </w:rPr>
              <w:t>响应人名称</w:t>
            </w:r>
          </w:p>
        </w:tc>
        <w:tc>
          <w:tcPr>
            <w:tcW w:w="5767" w:type="dxa"/>
            <w:tcBorders>
              <w:top w:val="single" w:color="auto" w:sz="4" w:space="0"/>
              <w:left w:val="nil"/>
              <w:bottom w:val="single" w:color="auto" w:sz="4" w:space="0"/>
              <w:right w:val="single" w:color="auto" w:sz="4" w:space="0"/>
            </w:tcBorders>
            <w:vAlign w:val="center"/>
          </w:tcPr>
          <w:p w14:paraId="0AA49BF7">
            <w:pPr>
              <w:spacing w:line="360" w:lineRule="auto"/>
              <w:rPr>
                <w:rFonts w:ascii="宋体" w:hAnsi="宋体" w:cs="宋体"/>
                <w:sz w:val="24"/>
              </w:rPr>
            </w:pPr>
            <w:r>
              <w:rPr>
                <w:rFonts w:hint="eastAsia" w:ascii="宋体" w:hAnsi="宋体" w:cs="宋体"/>
                <w:sz w:val="24"/>
                <w:lang w:val="zh-TW"/>
              </w:rPr>
              <w:t>与营业执照是否一致</w:t>
            </w:r>
          </w:p>
        </w:tc>
      </w:tr>
      <w:tr w14:paraId="06DA25FE">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vAlign w:val="center"/>
          </w:tcPr>
          <w:p w14:paraId="66B2135E">
            <w:pPr>
              <w:spacing w:line="360" w:lineRule="auto"/>
              <w:rPr>
                <w:rFonts w:ascii="宋体" w:hAnsi="宋体" w:cs="宋体"/>
                <w:sz w:val="24"/>
              </w:rPr>
            </w:pPr>
          </w:p>
        </w:tc>
        <w:tc>
          <w:tcPr>
            <w:tcW w:w="1171" w:type="dxa"/>
            <w:vMerge w:val="continue"/>
            <w:tcBorders>
              <w:left w:val="nil"/>
              <w:right w:val="single" w:color="auto" w:sz="4" w:space="0"/>
            </w:tcBorders>
            <w:vAlign w:val="center"/>
          </w:tcPr>
          <w:p w14:paraId="52524EE8">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vAlign w:val="center"/>
          </w:tcPr>
          <w:p w14:paraId="01CE8E5C">
            <w:pPr>
              <w:spacing w:line="360" w:lineRule="auto"/>
              <w:rPr>
                <w:rFonts w:ascii="宋体" w:hAnsi="宋体" w:cs="宋体"/>
                <w:sz w:val="24"/>
              </w:rPr>
            </w:pPr>
            <w:r>
              <w:rPr>
                <w:rFonts w:hint="eastAsia" w:ascii="宋体" w:hAnsi="宋体" w:cs="宋体"/>
                <w:sz w:val="24"/>
              </w:rPr>
              <w:t>签字盖章</w:t>
            </w:r>
          </w:p>
        </w:tc>
        <w:tc>
          <w:tcPr>
            <w:tcW w:w="5767" w:type="dxa"/>
            <w:tcBorders>
              <w:top w:val="single" w:color="auto" w:sz="4" w:space="0"/>
              <w:left w:val="nil"/>
              <w:bottom w:val="single" w:color="auto" w:sz="4" w:space="0"/>
              <w:right w:val="single" w:color="auto" w:sz="4" w:space="0"/>
            </w:tcBorders>
            <w:vAlign w:val="center"/>
          </w:tcPr>
          <w:p w14:paraId="546C9093">
            <w:pPr>
              <w:spacing w:line="360" w:lineRule="auto"/>
              <w:rPr>
                <w:rFonts w:ascii="宋体" w:hAnsi="宋体" w:cs="宋体"/>
                <w:sz w:val="24"/>
              </w:rPr>
            </w:pPr>
            <w:r>
              <w:rPr>
                <w:rFonts w:hint="eastAsia" w:ascii="宋体" w:hAnsi="宋体" w:cs="宋体"/>
                <w:sz w:val="24"/>
                <w:lang w:val="zh-TW"/>
              </w:rPr>
              <w:t>符合竞争性磋商文件要求的签字、盖章</w:t>
            </w:r>
          </w:p>
        </w:tc>
      </w:tr>
      <w:tr w14:paraId="19B38FDB">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vAlign w:val="center"/>
          </w:tcPr>
          <w:p w14:paraId="64692F1E">
            <w:pPr>
              <w:spacing w:line="360" w:lineRule="auto"/>
              <w:rPr>
                <w:rFonts w:ascii="宋体" w:hAnsi="宋体" w:cs="宋体"/>
                <w:sz w:val="24"/>
              </w:rPr>
            </w:pPr>
          </w:p>
        </w:tc>
        <w:tc>
          <w:tcPr>
            <w:tcW w:w="1171" w:type="dxa"/>
            <w:vMerge w:val="continue"/>
            <w:tcBorders>
              <w:left w:val="nil"/>
              <w:right w:val="single" w:color="auto" w:sz="4" w:space="0"/>
            </w:tcBorders>
            <w:vAlign w:val="center"/>
          </w:tcPr>
          <w:p w14:paraId="2F213138">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vAlign w:val="center"/>
          </w:tcPr>
          <w:p w14:paraId="22A42810">
            <w:pPr>
              <w:spacing w:line="360" w:lineRule="auto"/>
              <w:rPr>
                <w:rFonts w:ascii="宋体" w:hAnsi="宋体" w:cs="宋体"/>
                <w:sz w:val="24"/>
              </w:rPr>
            </w:pPr>
            <w:r>
              <w:rPr>
                <w:rFonts w:hint="eastAsia" w:ascii="宋体" w:hAnsi="宋体" w:cs="宋体"/>
                <w:sz w:val="24"/>
              </w:rPr>
              <w:t>响应文件格式</w:t>
            </w:r>
          </w:p>
        </w:tc>
        <w:tc>
          <w:tcPr>
            <w:tcW w:w="5767" w:type="dxa"/>
            <w:tcBorders>
              <w:top w:val="single" w:color="auto" w:sz="4" w:space="0"/>
              <w:left w:val="nil"/>
              <w:bottom w:val="single" w:color="auto" w:sz="4" w:space="0"/>
              <w:right w:val="single" w:color="auto" w:sz="4" w:space="0"/>
            </w:tcBorders>
            <w:vAlign w:val="center"/>
          </w:tcPr>
          <w:p w14:paraId="628896FD">
            <w:pPr>
              <w:spacing w:line="360" w:lineRule="auto"/>
              <w:rPr>
                <w:rFonts w:ascii="宋体" w:hAnsi="宋体" w:cs="宋体"/>
                <w:sz w:val="24"/>
              </w:rPr>
            </w:pPr>
            <w:r>
              <w:rPr>
                <w:rFonts w:hint="eastAsia" w:ascii="宋体" w:hAnsi="宋体" w:cs="宋体"/>
                <w:sz w:val="24"/>
              </w:rPr>
              <w:t>符合磋商文件要求</w:t>
            </w:r>
          </w:p>
        </w:tc>
      </w:tr>
      <w:tr w14:paraId="54B5FC03">
        <w:tblPrEx>
          <w:tblCellMar>
            <w:top w:w="0" w:type="dxa"/>
            <w:left w:w="108" w:type="dxa"/>
            <w:bottom w:w="0" w:type="dxa"/>
            <w:right w:w="108" w:type="dxa"/>
          </w:tblCellMar>
        </w:tblPrEx>
        <w:trPr>
          <w:trHeight w:val="648" w:hRule="atLeast"/>
        </w:trPr>
        <w:tc>
          <w:tcPr>
            <w:tcW w:w="832" w:type="dxa"/>
            <w:vMerge w:val="continue"/>
            <w:tcBorders>
              <w:left w:val="single" w:color="auto" w:sz="4" w:space="0"/>
              <w:bottom w:val="single" w:color="auto" w:sz="4" w:space="0"/>
              <w:right w:val="single" w:color="auto" w:sz="4" w:space="0"/>
            </w:tcBorders>
            <w:vAlign w:val="center"/>
          </w:tcPr>
          <w:p w14:paraId="2A4855B1">
            <w:pPr>
              <w:spacing w:line="360" w:lineRule="auto"/>
              <w:rPr>
                <w:rFonts w:ascii="宋体" w:hAnsi="宋体" w:cs="宋体"/>
                <w:sz w:val="24"/>
              </w:rPr>
            </w:pPr>
          </w:p>
        </w:tc>
        <w:tc>
          <w:tcPr>
            <w:tcW w:w="1171" w:type="dxa"/>
            <w:vMerge w:val="continue"/>
            <w:tcBorders>
              <w:left w:val="nil"/>
              <w:bottom w:val="single" w:color="auto" w:sz="4" w:space="0"/>
              <w:right w:val="single" w:color="auto" w:sz="4" w:space="0"/>
            </w:tcBorders>
            <w:vAlign w:val="center"/>
          </w:tcPr>
          <w:p w14:paraId="749A6C30">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vAlign w:val="center"/>
          </w:tcPr>
          <w:p w14:paraId="67F76BE0">
            <w:pPr>
              <w:spacing w:line="360" w:lineRule="auto"/>
              <w:rPr>
                <w:rFonts w:ascii="宋体" w:hAnsi="宋体" w:cs="宋体"/>
                <w:sz w:val="24"/>
              </w:rPr>
            </w:pPr>
            <w:r>
              <w:rPr>
                <w:rFonts w:hint="eastAsia" w:ascii="宋体" w:hAnsi="宋体" w:cs="宋体"/>
                <w:sz w:val="24"/>
              </w:rPr>
              <w:t>报价唯一</w:t>
            </w:r>
          </w:p>
        </w:tc>
        <w:tc>
          <w:tcPr>
            <w:tcW w:w="5767" w:type="dxa"/>
            <w:tcBorders>
              <w:top w:val="single" w:color="auto" w:sz="4" w:space="0"/>
              <w:left w:val="nil"/>
              <w:bottom w:val="single" w:color="auto" w:sz="4" w:space="0"/>
              <w:right w:val="single" w:color="auto" w:sz="4" w:space="0"/>
            </w:tcBorders>
            <w:vAlign w:val="center"/>
          </w:tcPr>
          <w:p w14:paraId="37EEB1E9">
            <w:pPr>
              <w:spacing w:line="360" w:lineRule="auto"/>
              <w:rPr>
                <w:rFonts w:ascii="宋体" w:hAnsi="宋体" w:cs="宋体"/>
                <w:sz w:val="24"/>
              </w:rPr>
            </w:pPr>
            <w:r>
              <w:rPr>
                <w:rFonts w:hint="eastAsia" w:ascii="宋体" w:hAnsi="宋体" w:cs="宋体"/>
                <w:sz w:val="24"/>
              </w:rPr>
              <w:t>磋商函及磋商函附录中只能有一个有效报价</w:t>
            </w:r>
          </w:p>
        </w:tc>
      </w:tr>
      <w:tr w14:paraId="5C181A85">
        <w:tblPrEx>
          <w:tblCellMar>
            <w:top w:w="0" w:type="dxa"/>
            <w:left w:w="108" w:type="dxa"/>
            <w:bottom w:w="0" w:type="dxa"/>
            <w:right w:w="108" w:type="dxa"/>
          </w:tblCellMar>
        </w:tblPrEx>
        <w:trPr>
          <w:trHeight w:val="520" w:hRule="atLeast"/>
        </w:trPr>
        <w:tc>
          <w:tcPr>
            <w:tcW w:w="832" w:type="dxa"/>
            <w:vMerge w:val="restart"/>
            <w:tcBorders>
              <w:top w:val="nil"/>
              <w:left w:val="single" w:color="auto" w:sz="4" w:space="0"/>
              <w:bottom w:val="single" w:color="auto" w:sz="4" w:space="0"/>
              <w:right w:val="single" w:color="auto" w:sz="4" w:space="0"/>
            </w:tcBorders>
            <w:vAlign w:val="center"/>
          </w:tcPr>
          <w:p w14:paraId="7F303CDB">
            <w:pPr>
              <w:spacing w:line="360" w:lineRule="auto"/>
              <w:jc w:val="center"/>
              <w:rPr>
                <w:rFonts w:ascii="宋体" w:hAnsi="宋体" w:cs="宋体"/>
                <w:sz w:val="24"/>
              </w:rPr>
            </w:pPr>
            <w:r>
              <w:rPr>
                <w:rFonts w:hint="eastAsia" w:ascii="宋体" w:hAnsi="宋体" w:cs="宋体"/>
                <w:sz w:val="24"/>
              </w:rPr>
              <w:t>2.1.3</w:t>
            </w:r>
          </w:p>
        </w:tc>
        <w:tc>
          <w:tcPr>
            <w:tcW w:w="1171" w:type="dxa"/>
            <w:vMerge w:val="restart"/>
            <w:tcBorders>
              <w:top w:val="nil"/>
              <w:left w:val="nil"/>
              <w:bottom w:val="single" w:color="auto" w:sz="4" w:space="0"/>
              <w:right w:val="single" w:color="auto" w:sz="4" w:space="0"/>
            </w:tcBorders>
            <w:vAlign w:val="center"/>
          </w:tcPr>
          <w:p w14:paraId="61885AE5">
            <w:pPr>
              <w:spacing w:line="360" w:lineRule="auto"/>
              <w:jc w:val="center"/>
              <w:rPr>
                <w:rFonts w:ascii="宋体" w:hAnsi="宋体" w:cs="宋体"/>
                <w:sz w:val="24"/>
              </w:rPr>
            </w:pPr>
            <w:r>
              <w:rPr>
                <w:rFonts w:hint="eastAsia" w:ascii="宋体" w:hAnsi="宋体" w:cs="宋体"/>
                <w:sz w:val="24"/>
              </w:rPr>
              <w:t>响应性审查</w:t>
            </w:r>
          </w:p>
        </w:tc>
        <w:tc>
          <w:tcPr>
            <w:tcW w:w="1724" w:type="dxa"/>
            <w:tcBorders>
              <w:top w:val="single" w:color="auto" w:sz="4" w:space="0"/>
              <w:left w:val="nil"/>
              <w:bottom w:val="single" w:color="auto" w:sz="4" w:space="0"/>
              <w:right w:val="single" w:color="auto" w:sz="4" w:space="0"/>
            </w:tcBorders>
            <w:vAlign w:val="center"/>
          </w:tcPr>
          <w:p w14:paraId="160A6F96">
            <w:pPr>
              <w:spacing w:line="360" w:lineRule="auto"/>
              <w:rPr>
                <w:rFonts w:hint="eastAsia" w:ascii="宋体" w:hAnsi="宋体" w:eastAsia="宋体" w:cs="宋体"/>
                <w:sz w:val="24"/>
              </w:rPr>
            </w:pPr>
            <w:r>
              <w:rPr>
                <w:rFonts w:hint="eastAsia" w:ascii="宋体" w:hAnsi="宋体" w:eastAsia="宋体" w:cs="宋体"/>
                <w:sz w:val="24"/>
              </w:rPr>
              <w:t>服务期限</w:t>
            </w:r>
          </w:p>
        </w:tc>
        <w:tc>
          <w:tcPr>
            <w:tcW w:w="5767" w:type="dxa"/>
            <w:tcBorders>
              <w:top w:val="single" w:color="auto" w:sz="4" w:space="0"/>
              <w:left w:val="nil"/>
              <w:bottom w:val="single" w:color="auto" w:sz="4" w:space="0"/>
              <w:right w:val="single" w:color="auto" w:sz="4" w:space="0"/>
            </w:tcBorders>
            <w:vAlign w:val="center"/>
          </w:tcPr>
          <w:p w14:paraId="1A245C7E">
            <w:pPr>
              <w:spacing w:line="360" w:lineRule="auto"/>
              <w:rPr>
                <w:rFonts w:hint="eastAsia" w:ascii="宋体" w:hAnsi="宋体" w:eastAsia="宋体" w:cs="宋体"/>
                <w:sz w:val="24"/>
              </w:rPr>
            </w:pPr>
            <w:r>
              <w:rPr>
                <w:rFonts w:hint="eastAsia" w:ascii="宋体" w:hAnsi="宋体" w:eastAsia="宋体" w:cs="宋体"/>
                <w:sz w:val="24"/>
                <w:lang w:val="en-US" w:eastAsia="zh-CN"/>
              </w:rPr>
              <w:t>自合同签订之日起 90 日历天内完成</w:t>
            </w:r>
          </w:p>
        </w:tc>
      </w:tr>
      <w:tr w14:paraId="1850DA2C">
        <w:tblPrEx>
          <w:tblCellMar>
            <w:top w:w="0" w:type="dxa"/>
            <w:left w:w="108" w:type="dxa"/>
            <w:bottom w:w="0" w:type="dxa"/>
            <w:right w:w="108" w:type="dxa"/>
          </w:tblCellMar>
        </w:tblPrEx>
        <w:trPr>
          <w:trHeight w:val="606" w:hRule="atLeast"/>
        </w:trPr>
        <w:tc>
          <w:tcPr>
            <w:tcW w:w="832" w:type="dxa"/>
            <w:vMerge w:val="continue"/>
            <w:tcBorders>
              <w:top w:val="nil"/>
              <w:left w:val="single" w:color="auto" w:sz="4" w:space="0"/>
              <w:bottom w:val="single" w:color="auto" w:sz="4" w:space="0"/>
              <w:right w:val="single" w:color="auto" w:sz="4" w:space="0"/>
            </w:tcBorders>
            <w:vAlign w:val="center"/>
          </w:tcPr>
          <w:p w14:paraId="0BA67983">
            <w:pPr>
              <w:spacing w:line="360" w:lineRule="auto"/>
              <w:rPr>
                <w:rFonts w:ascii="宋体" w:hAnsi="宋体" w:cs="宋体"/>
                <w:sz w:val="24"/>
              </w:rPr>
            </w:pPr>
          </w:p>
        </w:tc>
        <w:tc>
          <w:tcPr>
            <w:tcW w:w="1171" w:type="dxa"/>
            <w:vMerge w:val="continue"/>
            <w:tcBorders>
              <w:top w:val="nil"/>
              <w:left w:val="nil"/>
              <w:bottom w:val="single" w:color="auto" w:sz="4" w:space="0"/>
              <w:right w:val="single" w:color="auto" w:sz="4" w:space="0"/>
            </w:tcBorders>
            <w:vAlign w:val="center"/>
          </w:tcPr>
          <w:p w14:paraId="39C8A612">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vAlign w:val="center"/>
          </w:tcPr>
          <w:p w14:paraId="6D4A13A6">
            <w:pPr>
              <w:spacing w:line="360" w:lineRule="auto"/>
              <w:rPr>
                <w:rFonts w:ascii="宋体" w:hAnsi="宋体" w:cs="宋体"/>
                <w:sz w:val="24"/>
              </w:rPr>
            </w:pPr>
            <w:r>
              <w:rPr>
                <w:rFonts w:hint="eastAsia" w:ascii="宋体" w:hAnsi="宋体" w:cs="宋体"/>
                <w:sz w:val="24"/>
              </w:rPr>
              <w:t>质量要求</w:t>
            </w:r>
          </w:p>
        </w:tc>
        <w:tc>
          <w:tcPr>
            <w:tcW w:w="5767" w:type="dxa"/>
            <w:tcBorders>
              <w:top w:val="single" w:color="auto" w:sz="4" w:space="0"/>
              <w:left w:val="nil"/>
              <w:bottom w:val="single" w:color="auto" w:sz="4" w:space="0"/>
              <w:right w:val="single" w:color="auto" w:sz="4" w:space="0"/>
            </w:tcBorders>
            <w:vAlign w:val="center"/>
          </w:tcPr>
          <w:p w14:paraId="57DAC487">
            <w:pPr>
              <w:spacing w:line="560" w:lineRule="exact"/>
              <w:rPr>
                <w:rFonts w:ascii="宋体" w:hAnsi="宋体" w:cs="宋体"/>
                <w:sz w:val="24"/>
              </w:rPr>
            </w:pPr>
            <w:r>
              <w:rPr>
                <w:rFonts w:hint="eastAsia" w:ascii="宋体" w:hAnsi="宋体" w:cs="宋体"/>
                <w:bCs/>
                <w:sz w:val="24"/>
                <w:szCs w:val="28"/>
              </w:rPr>
              <w:t>符合国家及行业相关规定要求且符合采购人需求</w:t>
            </w:r>
          </w:p>
        </w:tc>
      </w:tr>
      <w:tr w14:paraId="60088249">
        <w:tblPrEx>
          <w:tblCellMar>
            <w:top w:w="0" w:type="dxa"/>
            <w:left w:w="108" w:type="dxa"/>
            <w:bottom w:w="0" w:type="dxa"/>
            <w:right w:w="108" w:type="dxa"/>
          </w:tblCellMar>
        </w:tblPrEx>
        <w:trPr>
          <w:trHeight w:val="606" w:hRule="atLeast"/>
        </w:trPr>
        <w:tc>
          <w:tcPr>
            <w:tcW w:w="832" w:type="dxa"/>
            <w:vMerge w:val="continue"/>
            <w:tcBorders>
              <w:top w:val="nil"/>
              <w:left w:val="single" w:color="auto" w:sz="4" w:space="0"/>
              <w:bottom w:val="single" w:color="auto" w:sz="4" w:space="0"/>
              <w:right w:val="single" w:color="auto" w:sz="4" w:space="0"/>
            </w:tcBorders>
            <w:vAlign w:val="center"/>
          </w:tcPr>
          <w:p w14:paraId="1B227BF4">
            <w:pPr>
              <w:spacing w:line="360" w:lineRule="auto"/>
              <w:rPr>
                <w:rFonts w:ascii="宋体" w:hAnsi="宋体" w:cs="宋体"/>
                <w:sz w:val="24"/>
              </w:rPr>
            </w:pPr>
          </w:p>
        </w:tc>
        <w:tc>
          <w:tcPr>
            <w:tcW w:w="1171" w:type="dxa"/>
            <w:vMerge w:val="continue"/>
            <w:tcBorders>
              <w:top w:val="nil"/>
              <w:left w:val="nil"/>
              <w:bottom w:val="single" w:color="auto" w:sz="4" w:space="0"/>
              <w:right w:val="single" w:color="auto" w:sz="4" w:space="0"/>
            </w:tcBorders>
            <w:vAlign w:val="center"/>
          </w:tcPr>
          <w:p w14:paraId="66B29A21">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vAlign w:val="center"/>
          </w:tcPr>
          <w:p w14:paraId="76D460BB">
            <w:pPr>
              <w:adjustRightInd w:val="0"/>
              <w:spacing w:line="360" w:lineRule="auto"/>
              <w:ind w:left="2" w:hanging="2" w:hangingChars="1"/>
              <w:rPr>
                <w:rFonts w:ascii="宋体" w:hAnsi="宋体" w:cs="宋体"/>
                <w:sz w:val="24"/>
              </w:rPr>
            </w:pPr>
            <w:r>
              <w:rPr>
                <w:rFonts w:hint="eastAsia" w:ascii="宋体" w:hAnsi="宋体" w:cs="宋体"/>
                <w:sz w:val="24"/>
              </w:rPr>
              <w:t>服务地点</w:t>
            </w:r>
          </w:p>
        </w:tc>
        <w:tc>
          <w:tcPr>
            <w:tcW w:w="5767" w:type="dxa"/>
            <w:tcBorders>
              <w:top w:val="single" w:color="auto" w:sz="4" w:space="0"/>
              <w:left w:val="nil"/>
              <w:bottom w:val="single" w:color="auto" w:sz="4" w:space="0"/>
              <w:right w:val="single" w:color="auto" w:sz="4" w:space="0"/>
            </w:tcBorders>
            <w:vAlign w:val="center"/>
          </w:tcPr>
          <w:p w14:paraId="29A4DE5A">
            <w:pPr>
              <w:adjustRightInd w:val="0"/>
              <w:spacing w:line="360" w:lineRule="auto"/>
              <w:rPr>
                <w:rFonts w:ascii="宋体" w:hAnsi="宋体" w:cs="宋体"/>
                <w:sz w:val="24"/>
              </w:rPr>
            </w:pPr>
            <w:r>
              <w:rPr>
                <w:rFonts w:hint="eastAsia" w:ascii="宋体" w:hAnsi="宋体" w:cs="宋体"/>
                <w:sz w:val="24"/>
                <w:lang w:val="en-US" w:eastAsia="zh-CN"/>
              </w:rPr>
              <w:t>采购人</w:t>
            </w:r>
            <w:r>
              <w:rPr>
                <w:rFonts w:hint="eastAsia" w:ascii="宋体" w:hAnsi="宋体" w:cs="宋体"/>
                <w:sz w:val="24"/>
              </w:rPr>
              <w:t>指定地点</w:t>
            </w:r>
          </w:p>
        </w:tc>
      </w:tr>
      <w:tr w14:paraId="72694D0E">
        <w:tblPrEx>
          <w:tblCellMar>
            <w:top w:w="0" w:type="dxa"/>
            <w:left w:w="108" w:type="dxa"/>
            <w:bottom w:w="0" w:type="dxa"/>
            <w:right w:w="108" w:type="dxa"/>
          </w:tblCellMar>
        </w:tblPrEx>
        <w:trPr>
          <w:trHeight w:val="606" w:hRule="atLeast"/>
        </w:trPr>
        <w:tc>
          <w:tcPr>
            <w:tcW w:w="832" w:type="dxa"/>
            <w:vMerge w:val="continue"/>
            <w:tcBorders>
              <w:top w:val="nil"/>
              <w:left w:val="single" w:color="auto" w:sz="4" w:space="0"/>
              <w:bottom w:val="single" w:color="auto" w:sz="4" w:space="0"/>
              <w:right w:val="single" w:color="auto" w:sz="4" w:space="0"/>
            </w:tcBorders>
            <w:vAlign w:val="center"/>
          </w:tcPr>
          <w:p w14:paraId="336DA554">
            <w:pPr>
              <w:spacing w:line="360" w:lineRule="auto"/>
              <w:rPr>
                <w:rFonts w:ascii="宋体" w:hAnsi="宋体" w:cs="宋体"/>
                <w:sz w:val="24"/>
              </w:rPr>
            </w:pPr>
          </w:p>
        </w:tc>
        <w:tc>
          <w:tcPr>
            <w:tcW w:w="1171" w:type="dxa"/>
            <w:vMerge w:val="continue"/>
            <w:tcBorders>
              <w:top w:val="nil"/>
              <w:left w:val="nil"/>
              <w:bottom w:val="single" w:color="auto" w:sz="4" w:space="0"/>
              <w:right w:val="single" w:color="auto" w:sz="4" w:space="0"/>
            </w:tcBorders>
            <w:vAlign w:val="center"/>
          </w:tcPr>
          <w:p w14:paraId="7B299A86">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vAlign w:val="center"/>
          </w:tcPr>
          <w:p w14:paraId="1B147C05">
            <w:pPr>
              <w:spacing w:line="360" w:lineRule="auto"/>
              <w:rPr>
                <w:rFonts w:ascii="宋体" w:hAnsi="宋体" w:cs="宋体"/>
                <w:sz w:val="24"/>
              </w:rPr>
            </w:pPr>
            <w:r>
              <w:rPr>
                <w:rFonts w:hint="eastAsia" w:ascii="宋体" w:hAnsi="宋体" w:cs="宋体"/>
                <w:sz w:val="24"/>
              </w:rPr>
              <w:t>磋商有效期</w:t>
            </w:r>
          </w:p>
        </w:tc>
        <w:tc>
          <w:tcPr>
            <w:tcW w:w="5767" w:type="dxa"/>
            <w:tcBorders>
              <w:top w:val="single" w:color="auto" w:sz="4" w:space="0"/>
              <w:left w:val="nil"/>
              <w:bottom w:val="single" w:color="auto" w:sz="4" w:space="0"/>
              <w:right w:val="single" w:color="auto" w:sz="4" w:space="0"/>
            </w:tcBorders>
            <w:vAlign w:val="center"/>
          </w:tcPr>
          <w:p w14:paraId="47033843">
            <w:pPr>
              <w:spacing w:line="360" w:lineRule="auto"/>
              <w:rPr>
                <w:rFonts w:ascii="宋体" w:hAnsi="宋体" w:cs="宋体"/>
                <w:sz w:val="24"/>
              </w:rPr>
            </w:pPr>
            <w:r>
              <w:rPr>
                <w:rFonts w:hint="eastAsia" w:ascii="宋体" w:hAnsi="宋体" w:cs="宋体"/>
                <w:sz w:val="24"/>
              </w:rPr>
              <w:t>符合磋商文件要求</w:t>
            </w:r>
          </w:p>
        </w:tc>
      </w:tr>
      <w:tr w14:paraId="358E97A8">
        <w:tblPrEx>
          <w:tblCellMar>
            <w:top w:w="0" w:type="dxa"/>
            <w:left w:w="108" w:type="dxa"/>
            <w:bottom w:w="0" w:type="dxa"/>
            <w:right w:w="108" w:type="dxa"/>
          </w:tblCellMar>
        </w:tblPrEx>
        <w:trPr>
          <w:trHeight w:val="471" w:hRule="atLeast"/>
        </w:trPr>
        <w:tc>
          <w:tcPr>
            <w:tcW w:w="832" w:type="dxa"/>
            <w:vMerge w:val="continue"/>
            <w:tcBorders>
              <w:top w:val="nil"/>
              <w:left w:val="single" w:color="auto" w:sz="4" w:space="0"/>
              <w:bottom w:val="single" w:color="auto" w:sz="4" w:space="0"/>
              <w:right w:val="single" w:color="auto" w:sz="4" w:space="0"/>
            </w:tcBorders>
            <w:vAlign w:val="center"/>
          </w:tcPr>
          <w:p w14:paraId="681415DB">
            <w:pPr>
              <w:spacing w:line="360" w:lineRule="auto"/>
              <w:rPr>
                <w:rFonts w:ascii="宋体" w:hAnsi="宋体" w:cs="宋体"/>
                <w:sz w:val="24"/>
              </w:rPr>
            </w:pPr>
          </w:p>
        </w:tc>
        <w:tc>
          <w:tcPr>
            <w:tcW w:w="1171" w:type="dxa"/>
            <w:vMerge w:val="continue"/>
            <w:tcBorders>
              <w:top w:val="nil"/>
              <w:left w:val="nil"/>
              <w:bottom w:val="single" w:color="auto" w:sz="4" w:space="0"/>
              <w:right w:val="single" w:color="auto" w:sz="4" w:space="0"/>
            </w:tcBorders>
            <w:vAlign w:val="center"/>
          </w:tcPr>
          <w:p w14:paraId="26489285">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vAlign w:val="center"/>
          </w:tcPr>
          <w:p w14:paraId="7F4E3075">
            <w:pPr>
              <w:spacing w:line="360" w:lineRule="auto"/>
              <w:rPr>
                <w:rFonts w:ascii="宋体" w:hAnsi="宋体" w:cs="宋体"/>
                <w:sz w:val="24"/>
              </w:rPr>
            </w:pPr>
            <w:r>
              <w:rPr>
                <w:rFonts w:hint="eastAsia" w:ascii="宋体" w:hAnsi="宋体" w:cs="宋体"/>
                <w:sz w:val="24"/>
              </w:rPr>
              <w:t>磋商承诺函</w:t>
            </w:r>
          </w:p>
        </w:tc>
        <w:tc>
          <w:tcPr>
            <w:tcW w:w="5767" w:type="dxa"/>
            <w:tcBorders>
              <w:top w:val="single" w:color="auto" w:sz="4" w:space="0"/>
              <w:left w:val="nil"/>
              <w:bottom w:val="single" w:color="auto" w:sz="4" w:space="0"/>
              <w:right w:val="single" w:color="auto" w:sz="4" w:space="0"/>
            </w:tcBorders>
            <w:vAlign w:val="center"/>
          </w:tcPr>
          <w:p w14:paraId="25FBA622">
            <w:pPr>
              <w:spacing w:line="360" w:lineRule="auto"/>
              <w:rPr>
                <w:rFonts w:ascii="宋体" w:hAnsi="宋体" w:cs="宋体"/>
                <w:sz w:val="24"/>
              </w:rPr>
            </w:pPr>
            <w:r>
              <w:rPr>
                <w:rFonts w:hint="eastAsia" w:ascii="宋体" w:hAnsi="宋体" w:cs="宋体"/>
                <w:sz w:val="24"/>
              </w:rPr>
              <w:t>按照磋商文件要求提交</w:t>
            </w:r>
          </w:p>
        </w:tc>
      </w:tr>
      <w:tr w14:paraId="20AC0808">
        <w:tblPrEx>
          <w:tblCellMar>
            <w:top w:w="0" w:type="dxa"/>
            <w:left w:w="108" w:type="dxa"/>
            <w:bottom w:w="0" w:type="dxa"/>
            <w:right w:w="108" w:type="dxa"/>
          </w:tblCellMar>
        </w:tblPrEx>
        <w:trPr>
          <w:trHeight w:val="587" w:hRule="atLeast"/>
        </w:trPr>
        <w:tc>
          <w:tcPr>
            <w:tcW w:w="832" w:type="dxa"/>
            <w:vMerge w:val="continue"/>
            <w:tcBorders>
              <w:top w:val="nil"/>
              <w:left w:val="single" w:color="auto" w:sz="4" w:space="0"/>
              <w:bottom w:val="single" w:color="auto" w:sz="4" w:space="0"/>
              <w:right w:val="single" w:color="auto" w:sz="4" w:space="0"/>
            </w:tcBorders>
            <w:vAlign w:val="center"/>
          </w:tcPr>
          <w:p w14:paraId="6346C429">
            <w:pPr>
              <w:spacing w:line="360" w:lineRule="auto"/>
              <w:rPr>
                <w:rFonts w:ascii="宋体" w:hAnsi="宋体" w:cs="宋体"/>
                <w:sz w:val="24"/>
              </w:rPr>
            </w:pPr>
          </w:p>
        </w:tc>
        <w:tc>
          <w:tcPr>
            <w:tcW w:w="1171" w:type="dxa"/>
            <w:vMerge w:val="continue"/>
            <w:tcBorders>
              <w:top w:val="nil"/>
              <w:left w:val="nil"/>
              <w:bottom w:val="single" w:color="auto" w:sz="4" w:space="0"/>
              <w:right w:val="single" w:color="auto" w:sz="4" w:space="0"/>
            </w:tcBorders>
            <w:vAlign w:val="center"/>
          </w:tcPr>
          <w:p w14:paraId="1AA3C0FC">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shd w:val="clear" w:color="auto" w:fill="auto"/>
            <w:vAlign w:val="center"/>
          </w:tcPr>
          <w:p w14:paraId="37B0A955">
            <w:pPr>
              <w:spacing w:line="360" w:lineRule="auto"/>
              <w:rPr>
                <w:rFonts w:ascii="宋体" w:hAnsi="宋体" w:cs="宋体"/>
                <w:sz w:val="24"/>
              </w:rPr>
            </w:pPr>
            <w:r>
              <w:rPr>
                <w:rFonts w:hint="eastAsia" w:ascii="宋体" w:hAnsi="宋体" w:cs="宋体"/>
                <w:sz w:val="24"/>
              </w:rPr>
              <w:t>磋商报价</w:t>
            </w:r>
          </w:p>
        </w:tc>
        <w:tc>
          <w:tcPr>
            <w:tcW w:w="5767" w:type="dxa"/>
            <w:tcBorders>
              <w:top w:val="single" w:color="auto" w:sz="4" w:space="0"/>
              <w:left w:val="nil"/>
              <w:bottom w:val="single" w:color="auto" w:sz="4" w:space="0"/>
              <w:right w:val="single" w:color="auto" w:sz="4" w:space="0"/>
            </w:tcBorders>
            <w:shd w:val="clear" w:color="auto" w:fill="auto"/>
            <w:vAlign w:val="center"/>
          </w:tcPr>
          <w:p w14:paraId="1459D3E4">
            <w:pPr>
              <w:spacing w:line="360" w:lineRule="auto"/>
              <w:rPr>
                <w:rFonts w:ascii="宋体" w:hAnsi="宋体" w:cs="宋体"/>
                <w:sz w:val="24"/>
              </w:rPr>
            </w:pPr>
            <w:r>
              <w:rPr>
                <w:rFonts w:hint="eastAsia" w:ascii="宋体" w:hAnsi="宋体" w:cs="宋体"/>
                <w:sz w:val="24"/>
              </w:rPr>
              <w:t>磋商供应商的报价不能超出磋商预算价</w:t>
            </w:r>
          </w:p>
        </w:tc>
      </w:tr>
      <w:tr w14:paraId="5AAD5B55">
        <w:tblPrEx>
          <w:tblCellMar>
            <w:top w:w="0" w:type="dxa"/>
            <w:left w:w="108" w:type="dxa"/>
            <w:bottom w:w="0" w:type="dxa"/>
            <w:right w:w="108" w:type="dxa"/>
          </w:tblCellMar>
        </w:tblPrEx>
        <w:trPr>
          <w:trHeight w:val="522" w:hRule="atLeast"/>
        </w:trPr>
        <w:tc>
          <w:tcPr>
            <w:tcW w:w="832" w:type="dxa"/>
            <w:vMerge w:val="continue"/>
            <w:tcBorders>
              <w:top w:val="nil"/>
              <w:left w:val="single" w:color="auto" w:sz="4" w:space="0"/>
              <w:bottom w:val="single" w:color="auto" w:sz="4" w:space="0"/>
              <w:right w:val="single" w:color="auto" w:sz="4" w:space="0"/>
            </w:tcBorders>
            <w:vAlign w:val="center"/>
          </w:tcPr>
          <w:p w14:paraId="1E8B9960">
            <w:pPr>
              <w:spacing w:line="360" w:lineRule="auto"/>
              <w:rPr>
                <w:rFonts w:ascii="宋体" w:hAnsi="宋体" w:cs="宋体"/>
                <w:sz w:val="24"/>
              </w:rPr>
            </w:pPr>
          </w:p>
        </w:tc>
        <w:tc>
          <w:tcPr>
            <w:tcW w:w="1171" w:type="dxa"/>
            <w:vMerge w:val="continue"/>
            <w:tcBorders>
              <w:top w:val="nil"/>
              <w:left w:val="nil"/>
              <w:bottom w:val="single" w:color="auto" w:sz="4" w:space="0"/>
              <w:right w:val="single" w:color="auto" w:sz="4" w:space="0"/>
            </w:tcBorders>
            <w:vAlign w:val="center"/>
          </w:tcPr>
          <w:p w14:paraId="5CED4ED3">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shd w:val="clear" w:color="auto" w:fill="auto"/>
            <w:vAlign w:val="center"/>
          </w:tcPr>
          <w:p w14:paraId="328A11AF">
            <w:pPr>
              <w:spacing w:line="360" w:lineRule="auto"/>
              <w:rPr>
                <w:rFonts w:ascii="宋体" w:hAnsi="宋体" w:cs="宋体"/>
                <w:sz w:val="24"/>
              </w:rPr>
            </w:pPr>
            <w:r>
              <w:rPr>
                <w:rFonts w:hint="eastAsia" w:ascii="宋体" w:hAnsi="宋体" w:cs="宋体"/>
                <w:sz w:val="24"/>
              </w:rPr>
              <w:t>其他内容</w:t>
            </w:r>
          </w:p>
        </w:tc>
        <w:tc>
          <w:tcPr>
            <w:tcW w:w="5767" w:type="dxa"/>
            <w:tcBorders>
              <w:top w:val="single" w:color="auto" w:sz="4" w:space="0"/>
              <w:left w:val="nil"/>
              <w:bottom w:val="single" w:color="auto" w:sz="4" w:space="0"/>
              <w:right w:val="single" w:color="auto" w:sz="4" w:space="0"/>
            </w:tcBorders>
            <w:shd w:val="clear" w:color="auto" w:fill="auto"/>
            <w:vAlign w:val="center"/>
          </w:tcPr>
          <w:p w14:paraId="41858954">
            <w:pPr>
              <w:spacing w:line="360" w:lineRule="auto"/>
              <w:rPr>
                <w:rFonts w:ascii="宋体" w:hAnsi="宋体" w:cs="宋体"/>
                <w:sz w:val="24"/>
              </w:rPr>
            </w:pPr>
            <w:r>
              <w:rPr>
                <w:rFonts w:hint="eastAsia" w:ascii="宋体" w:hAnsi="宋体" w:cs="宋体"/>
                <w:sz w:val="24"/>
              </w:rPr>
              <w:t>符合竞争性磋商规定其他内容</w:t>
            </w:r>
          </w:p>
        </w:tc>
      </w:tr>
    </w:tbl>
    <w:p w14:paraId="69310729">
      <w:pPr>
        <w:widowControl/>
        <w:rPr>
          <w:rFonts w:ascii="宋体" w:hAnsi="宋体"/>
          <w:b/>
          <w:bCs/>
          <w:sz w:val="24"/>
        </w:rPr>
      </w:pPr>
    </w:p>
    <w:p w14:paraId="65990DCE">
      <w:pPr>
        <w:widowControl/>
        <w:jc w:val="center"/>
        <w:rPr>
          <w:rFonts w:ascii="宋体" w:hAnsi="宋体"/>
          <w:b/>
          <w:bCs/>
          <w:sz w:val="24"/>
        </w:rPr>
      </w:pPr>
    </w:p>
    <w:p w14:paraId="6619D66E">
      <w:pPr>
        <w:pStyle w:val="7"/>
      </w:pPr>
    </w:p>
    <w:p w14:paraId="335A5DDE">
      <w:pPr>
        <w:widowControl/>
        <w:jc w:val="center"/>
        <w:rPr>
          <w:rFonts w:ascii="宋体" w:hAnsi="宋体"/>
          <w:b/>
          <w:bCs/>
          <w:sz w:val="24"/>
        </w:rPr>
      </w:pPr>
      <w:r>
        <w:rPr>
          <w:rFonts w:hint="eastAsia" w:ascii="宋体" w:hAnsi="宋体"/>
          <w:b/>
          <w:bCs/>
          <w:sz w:val="24"/>
        </w:rPr>
        <w:t>评分标准</w:t>
      </w:r>
    </w:p>
    <w:p w14:paraId="7A668ECC">
      <w:pPr>
        <w:pStyle w:val="18"/>
        <w:spacing w:line="360" w:lineRule="auto"/>
        <w:ind w:left="400" w:firstLine="480"/>
        <w:jc w:val="center"/>
        <w:rPr>
          <w:rFonts w:ascii="宋体" w:hAnsi="宋体" w:cs="宋体"/>
          <w:sz w:val="24"/>
        </w:rPr>
      </w:pPr>
    </w:p>
    <w:tbl>
      <w:tblPr>
        <w:tblStyle w:val="19"/>
        <w:tblpPr w:leftFromText="180" w:rightFromText="180" w:vertAnchor="text" w:horzAnchor="margin" w:tblpXSpec="center" w:tblpY="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98"/>
        <w:gridCol w:w="1260"/>
        <w:gridCol w:w="6336"/>
      </w:tblGrid>
      <w:tr w14:paraId="0B28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044" w:type="dxa"/>
            <w:gridSpan w:val="2"/>
            <w:vAlign w:val="center"/>
          </w:tcPr>
          <w:p w14:paraId="7F8354A6">
            <w:pPr>
              <w:spacing w:line="288" w:lineRule="auto"/>
              <w:jc w:val="center"/>
              <w:rPr>
                <w:rFonts w:ascii="宋体" w:hAnsi="宋体" w:cs="宋体"/>
                <w:b/>
                <w:sz w:val="24"/>
              </w:rPr>
            </w:pPr>
            <w:r>
              <w:rPr>
                <w:rFonts w:hint="eastAsia" w:ascii="宋体" w:hAnsi="宋体" w:cs="宋体"/>
                <w:b/>
                <w:sz w:val="24"/>
              </w:rPr>
              <w:t>条款号</w:t>
            </w:r>
          </w:p>
        </w:tc>
        <w:tc>
          <w:tcPr>
            <w:tcW w:w="1260" w:type="dxa"/>
            <w:vAlign w:val="center"/>
          </w:tcPr>
          <w:p w14:paraId="1E6FAF52">
            <w:pPr>
              <w:spacing w:line="288" w:lineRule="auto"/>
              <w:rPr>
                <w:rFonts w:ascii="宋体" w:hAnsi="宋体" w:cs="宋体"/>
                <w:b/>
                <w:sz w:val="24"/>
              </w:rPr>
            </w:pPr>
            <w:r>
              <w:rPr>
                <w:rFonts w:hint="eastAsia" w:ascii="宋体" w:hAnsi="宋体" w:cs="宋体"/>
                <w:b/>
                <w:sz w:val="24"/>
              </w:rPr>
              <w:t>评分因素</w:t>
            </w:r>
          </w:p>
        </w:tc>
        <w:tc>
          <w:tcPr>
            <w:tcW w:w="6336" w:type="dxa"/>
            <w:vAlign w:val="center"/>
          </w:tcPr>
          <w:p w14:paraId="71F5CAF6">
            <w:pPr>
              <w:spacing w:line="288" w:lineRule="auto"/>
              <w:jc w:val="center"/>
              <w:rPr>
                <w:rFonts w:ascii="宋体" w:hAnsi="宋体" w:cs="宋体"/>
                <w:b/>
                <w:sz w:val="24"/>
              </w:rPr>
            </w:pPr>
            <w:r>
              <w:rPr>
                <w:rFonts w:hint="eastAsia" w:ascii="宋体" w:hAnsi="宋体" w:cs="宋体"/>
                <w:b/>
                <w:sz w:val="24"/>
              </w:rPr>
              <w:t>评分标准</w:t>
            </w:r>
          </w:p>
        </w:tc>
      </w:tr>
      <w:tr w14:paraId="6709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570D9E6">
            <w:pPr>
              <w:spacing w:line="360" w:lineRule="auto"/>
              <w:rPr>
                <w:rFonts w:ascii="宋体" w:hAnsi="宋体" w:cs="宋体"/>
                <w:sz w:val="24"/>
              </w:rPr>
            </w:pPr>
            <w:r>
              <w:rPr>
                <w:rFonts w:hint="eastAsia" w:ascii="宋体" w:hAnsi="宋体" w:cs="宋体"/>
                <w:sz w:val="24"/>
              </w:rPr>
              <w:t>2.2.1</w:t>
            </w:r>
          </w:p>
          <w:p w14:paraId="4A249C56">
            <w:pPr>
              <w:spacing w:line="360" w:lineRule="auto"/>
              <w:jc w:val="center"/>
              <w:rPr>
                <w:rFonts w:ascii="宋体" w:hAnsi="宋体" w:cs="宋体"/>
                <w:sz w:val="24"/>
              </w:rPr>
            </w:pPr>
            <w:r>
              <w:rPr>
                <w:rFonts w:hint="eastAsia" w:ascii="宋体" w:hAnsi="宋体" w:cs="宋体"/>
                <w:sz w:val="24"/>
              </w:rPr>
              <w:t>(1)</w:t>
            </w:r>
          </w:p>
        </w:tc>
        <w:tc>
          <w:tcPr>
            <w:tcW w:w="1198" w:type="dxa"/>
            <w:vAlign w:val="center"/>
          </w:tcPr>
          <w:p w14:paraId="3CC3EB79">
            <w:pPr>
              <w:spacing w:line="360" w:lineRule="auto"/>
              <w:jc w:val="center"/>
              <w:rPr>
                <w:rFonts w:ascii="宋体" w:hAnsi="宋体" w:cs="宋体"/>
                <w:sz w:val="24"/>
              </w:rPr>
            </w:pPr>
          </w:p>
          <w:p w14:paraId="1D1D75EC">
            <w:pPr>
              <w:spacing w:line="360" w:lineRule="auto"/>
              <w:jc w:val="center"/>
              <w:rPr>
                <w:rFonts w:ascii="宋体" w:hAnsi="宋体" w:cs="宋体"/>
                <w:sz w:val="24"/>
              </w:rPr>
            </w:pPr>
          </w:p>
          <w:p w14:paraId="20CB677A">
            <w:pPr>
              <w:spacing w:line="360" w:lineRule="auto"/>
              <w:jc w:val="center"/>
              <w:rPr>
                <w:rFonts w:ascii="宋体" w:hAnsi="宋体" w:cs="宋体"/>
                <w:sz w:val="24"/>
              </w:rPr>
            </w:pPr>
          </w:p>
          <w:p w14:paraId="7DB50207">
            <w:pPr>
              <w:spacing w:line="360" w:lineRule="auto"/>
              <w:jc w:val="center"/>
              <w:rPr>
                <w:rFonts w:ascii="宋体" w:hAnsi="宋体" w:cs="宋体"/>
                <w:sz w:val="24"/>
              </w:rPr>
            </w:pPr>
          </w:p>
          <w:p w14:paraId="11A454B6">
            <w:pPr>
              <w:spacing w:line="360" w:lineRule="auto"/>
              <w:jc w:val="center"/>
              <w:rPr>
                <w:rFonts w:ascii="宋体" w:hAnsi="宋体" w:cs="宋体"/>
                <w:sz w:val="24"/>
              </w:rPr>
            </w:pPr>
            <w:r>
              <w:rPr>
                <w:rFonts w:hint="eastAsia" w:ascii="宋体" w:hAnsi="宋体" w:cs="宋体"/>
                <w:sz w:val="24"/>
              </w:rPr>
              <w:t>报价</w:t>
            </w:r>
          </w:p>
          <w:p w14:paraId="67FCD6B4">
            <w:pPr>
              <w:spacing w:line="360" w:lineRule="auto"/>
              <w:jc w:val="center"/>
              <w:rPr>
                <w:rFonts w:ascii="宋体" w:hAnsi="宋体" w:cs="宋体"/>
                <w:sz w:val="24"/>
              </w:rPr>
            </w:pPr>
            <w:r>
              <w:rPr>
                <w:rFonts w:hint="eastAsia" w:ascii="宋体" w:hAnsi="宋体" w:cs="宋体"/>
                <w:sz w:val="24"/>
              </w:rPr>
              <w:t>部分</w:t>
            </w:r>
          </w:p>
          <w:p w14:paraId="2233B617">
            <w:pPr>
              <w:spacing w:line="360" w:lineRule="auto"/>
              <w:jc w:val="center"/>
              <w:rPr>
                <w:rFonts w:ascii="宋体" w:hAnsi="宋体" w:cs="宋体"/>
                <w:sz w:val="24"/>
              </w:rPr>
            </w:pPr>
            <w:r>
              <w:rPr>
                <w:rFonts w:hint="eastAsia" w:ascii="宋体" w:hAnsi="宋体" w:cs="宋体"/>
                <w:sz w:val="24"/>
              </w:rPr>
              <w:t>（15分）</w:t>
            </w:r>
          </w:p>
        </w:tc>
        <w:tc>
          <w:tcPr>
            <w:tcW w:w="1260" w:type="dxa"/>
            <w:vAlign w:val="center"/>
          </w:tcPr>
          <w:p w14:paraId="3E4C4E11">
            <w:pPr>
              <w:rPr>
                <w:rFonts w:ascii="宋体" w:hAnsi="宋体" w:cs="宋体"/>
                <w:sz w:val="24"/>
              </w:rPr>
            </w:pPr>
          </w:p>
          <w:p w14:paraId="719150E1">
            <w:pPr>
              <w:rPr>
                <w:rFonts w:ascii="宋体" w:hAnsi="宋体" w:cs="宋体"/>
                <w:sz w:val="24"/>
              </w:rPr>
            </w:pPr>
          </w:p>
          <w:p w14:paraId="20E3827F">
            <w:pPr>
              <w:rPr>
                <w:rFonts w:ascii="宋体" w:hAnsi="宋体" w:cs="宋体"/>
                <w:sz w:val="24"/>
              </w:rPr>
            </w:pPr>
          </w:p>
          <w:p w14:paraId="7B2386E5">
            <w:pPr>
              <w:rPr>
                <w:rFonts w:ascii="宋体" w:hAnsi="宋体" w:cs="宋体"/>
                <w:sz w:val="24"/>
              </w:rPr>
            </w:pPr>
          </w:p>
          <w:p w14:paraId="065140D8">
            <w:pPr>
              <w:rPr>
                <w:rFonts w:ascii="宋体" w:hAnsi="宋体" w:cs="宋体"/>
                <w:sz w:val="24"/>
              </w:rPr>
            </w:pPr>
          </w:p>
          <w:p w14:paraId="00735517">
            <w:pPr>
              <w:rPr>
                <w:rFonts w:ascii="宋体" w:hAnsi="宋体" w:cs="宋体"/>
                <w:sz w:val="24"/>
              </w:rPr>
            </w:pPr>
          </w:p>
          <w:p w14:paraId="4E9206FC">
            <w:pPr>
              <w:rPr>
                <w:rFonts w:ascii="宋体" w:hAnsi="宋体" w:cs="宋体"/>
                <w:sz w:val="24"/>
              </w:rPr>
            </w:pPr>
          </w:p>
          <w:p w14:paraId="1B202D73">
            <w:pPr>
              <w:rPr>
                <w:rFonts w:ascii="宋体" w:hAnsi="宋体" w:cs="宋体"/>
                <w:sz w:val="24"/>
              </w:rPr>
            </w:pPr>
          </w:p>
          <w:p w14:paraId="03BF989D">
            <w:pPr>
              <w:rPr>
                <w:rFonts w:ascii="宋体" w:hAnsi="宋体" w:cs="宋体"/>
                <w:sz w:val="24"/>
              </w:rPr>
            </w:pPr>
            <w:r>
              <w:rPr>
                <w:rFonts w:hint="eastAsia" w:ascii="宋体" w:hAnsi="宋体" w:cs="宋体"/>
                <w:sz w:val="24"/>
              </w:rPr>
              <w:t>投标报价</w:t>
            </w:r>
          </w:p>
          <w:p w14:paraId="0106CC94">
            <w:pPr>
              <w:rPr>
                <w:rFonts w:ascii="宋体" w:hAnsi="宋体" w:cs="宋体"/>
                <w:sz w:val="24"/>
              </w:rPr>
            </w:pPr>
            <w:r>
              <w:rPr>
                <w:rFonts w:hint="eastAsia" w:ascii="宋体" w:hAnsi="宋体" w:cs="宋体"/>
                <w:sz w:val="24"/>
              </w:rPr>
              <w:t>（15分）</w:t>
            </w:r>
          </w:p>
        </w:tc>
        <w:tc>
          <w:tcPr>
            <w:tcW w:w="6336" w:type="dxa"/>
            <w:vAlign w:val="center"/>
          </w:tcPr>
          <w:p w14:paraId="3056B755">
            <w:pPr>
              <w:wordWrap w:val="0"/>
              <w:spacing w:line="360" w:lineRule="auto"/>
              <w:rPr>
                <w:rFonts w:ascii="宋体" w:hAnsi="宋体" w:cs="宋体"/>
                <w:sz w:val="24"/>
              </w:rPr>
            </w:pPr>
            <w:r>
              <w:rPr>
                <w:rFonts w:hint="eastAsia" w:ascii="宋体" w:hAnsi="宋体" w:cs="宋体"/>
                <w:sz w:val="24"/>
              </w:rPr>
              <w:t>采用低价优先法计算，即满足竞争性磋商文件要求且投标价格最低的投标报价为评标基准价，其价格分为满分。其他投标人的价格分按照下列公式计算（保留两位小数）。</w:t>
            </w:r>
          </w:p>
          <w:p w14:paraId="0C2A2367">
            <w:pPr>
              <w:wordWrap w:val="0"/>
              <w:spacing w:line="360" w:lineRule="auto"/>
              <w:rPr>
                <w:rFonts w:ascii="宋体" w:hAnsi="宋体" w:cs="宋体"/>
                <w:sz w:val="24"/>
              </w:rPr>
            </w:pPr>
            <w:r>
              <w:rPr>
                <w:rFonts w:hint="eastAsia" w:ascii="宋体" w:hAnsi="宋体" w:cs="宋体"/>
                <w:sz w:val="24"/>
              </w:rPr>
              <w:t>投标报价得分=（评标基准价／投标报价）*15*100%</w:t>
            </w:r>
          </w:p>
          <w:p w14:paraId="7E8D03FE">
            <w:pPr>
              <w:wordWrap w:val="0"/>
              <w:spacing w:line="360" w:lineRule="auto"/>
              <w:rPr>
                <w:rFonts w:ascii="宋体" w:hAnsi="宋体" w:cs="宋体"/>
                <w:sz w:val="24"/>
              </w:rPr>
            </w:pPr>
            <w:r>
              <w:rPr>
                <w:rFonts w:hint="eastAsia" w:ascii="宋体" w:hAnsi="宋体" w:cs="宋体"/>
                <w:sz w:val="24"/>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6D5E37A">
            <w:pPr>
              <w:wordWrap w:val="0"/>
              <w:spacing w:line="360" w:lineRule="auto"/>
              <w:rPr>
                <w:rFonts w:hint="eastAsia" w:ascii="宋体" w:hAnsi="宋体" w:cs="宋体"/>
                <w:sz w:val="24"/>
              </w:rPr>
            </w:pPr>
            <w:r>
              <w:rPr>
                <w:rFonts w:hint="eastAsia" w:ascii="宋体" w:hAnsi="宋体" w:cs="宋体"/>
                <w:sz w:val="24"/>
              </w:rPr>
              <w:t>2.超出采购人预算价的投标报价为无效报价。</w:t>
            </w:r>
          </w:p>
          <w:p w14:paraId="7FF58E03">
            <w:pPr>
              <w:spacing w:line="360" w:lineRule="auto"/>
              <w:ind w:firstLine="420" w:firstLineChars="200"/>
              <w:rPr>
                <w:rFonts w:hint="eastAsia"/>
                <w:color w:val="000000"/>
                <w:szCs w:val="24"/>
              </w:rPr>
            </w:pPr>
            <w:r>
              <w:rPr>
                <w:rFonts w:hint="eastAsia"/>
                <w:color w:val="000000"/>
                <w:szCs w:val="24"/>
                <w:lang w:val="en-US" w:eastAsia="zh-CN"/>
              </w:rPr>
              <w:t>1</w:t>
            </w:r>
            <w:r>
              <w:rPr>
                <w:rFonts w:hint="eastAsia"/>
                <w:color w:val="000000"/>
                <w:szCs w:val="24"/>
              </w:rPr>
              <w:t>）为了促进中小企业发展，根据《政府采购促进中小企业发展管理办法》（财库﹝2020﹞46 号）及《三门峡市财政局关于进一步优化提升政府采购营商环境有关事项通知》（三财购（2021）14号）及《三门峡市财政局关于进一步加大政府采购支持中小企业发展有关事项的通知》（三财购（2022）9号）的规定，给予小型或微型企业、残疾人福利性单位提供本单位制造的货物、承担的工程或者服务，或者提供其他残疾人福利性单位制造的货物（不包括使用非残疾人福利性单位注册商标的货物）、监狱企业作为供应商所提供的本企业生产产品的价格20%的扣除，用扣除后的价格参与评审。</w:t>
            </w:r>
          </w:p>
          <w:p w14:paraId="4EADA299">
            <w:pPr>
              <w:spacing w:line="360" w:lineRule="auto"/>
              <w:ind w:firstLine="420" w:firstLineChars="200"/>
              <w:rPr>
                <w:rFonts w:hint="eastAsia"/>
                <w:color w:val="000000"/>
                <w:szCs w:val="24"/>
              </w:rPr>
            </w:pPr>
            <w:r>
              <w:rPr>
                <w:rFonts w:hint="eastAsia"/>
                <w:color w:val="000000"/>
                <w:szCs w:val="24"/>
                <w:lang w:val="en-US" w:eastAsia="zh-CN"/>
              </w:rPr>
              <w:t>2</w:t>
            </w:r>
            <w:r>
              <w:rPr>
                <w:rFonts w:hint="eastAsia"/>
                <w:color w:val="000000"/>
                <w:szCs w:val="24"/>
              </w:rPr>
              <w:t>）提供有效证明材料（相关行业主管部门开具的有效认定意见或按照“工信部联企业[2011]300 号”文件规定提供的人员、营业收入、资产等有效证明材料）后附中小企业声明函；残疾人福利性单位参加政府采购活动时，应当提供《残疾人福利性单位声明函》；监狱企业参加政府采购活动时，应当提供由省级以上监狱管理局、戒毒管理局（含新疆生产建设兵团）出具的属于监狱企业的证明文件。</w:t>
            </w:r>
          </w:p>
          <w:p w14:paraId="0B91F975">
            <w:pPr>
              <w:spacing w:line="360" w:lineRule="auto"/>
              <w:ind w:firstLine="420" w:firstLineChars="200"/>
              <w:rPr>
                <w:rFonts w:hint="eastAsia"/>
                <w:color w:val="000000"/>
                <w:szCs w:val="24"/>
              </w:rPr>
            </w:pPr>
            <w:r>
              <w:rPr>
                <w:rFonts w:hint="eastAsia"/>
                <w:color w:val="000000"/>
                <w:szCs w:val="24"/>
                <w:lang w:val="en-US" w:eastAsia="zh-CN"/>
              </w:rPr>
              <w:t>3</w:t>
            </w:r>
            <w:r>
              <w:rPr>
                <w:rFonts w:hint="eastAsia"/>
                <w:color w:val="000000"/>
                <w:szCs w:val="24"/>
              </w:rPr>
              <w:t>）没有提供有效证明材料的供应商将被视为不接受投标总价的扣除，用原投标总价参与评审。</w:t>
            </w:r>
          </w:p>
          <w:p w14:paraId="5BC1DAAF">
            <w:pPr>
              <w:wordWrap w:val="0"/>
              <w:spacing w:line="360" w:lineRule="auto"/>
              <w:rPr>
                <w:rFonts w:hint="eastAsia" w:ascii="宋体" w:hAnsi="宋体" w:cs="宋体"/>
                <w:sz w:val="24"/>
              </w:rPr>
            </w:pPr>
            <w:r>
              <w:rPr>
                <w:rFonts w:ascii="Times New Roman" w:hAnsi="Times New Roman"/>
                <w:b/>
                <w:snapToGrid/>
                <w:color w:val="auto"/>
                <w:kern w:val="2"/>
                <w:sz w:val="21"/>
                <w:szCs w:val="22"/>
                <w:lang w:eastAsia="zh-CN"/>
              </w:rPr>
              <w:t>同一供应商，中小微企业产品、监狱企业产品、残疾人福利性单位产品的价格扣除优惠只享受一次，不得重复享受</w:t>
            </w:r>
            <w:r>
              <w:rPr>
                <w:rFonts w:ascii="Times New Roman" w:hAnsi="Times New Roman" w:cs="Times New Roman"/>
                <w:snapToGrid/>
                <w:kern w:val="2"/>
                <w:sz w:val="21"/>
                <w:lang w:eastAsia="zh-CN"/>
              </w:rPr>
              <w:t>。</w:t>
            </w:r>
          </w:p>
        </w:tc>
      </w:tr>
      <w:tr w14:paraId="5083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846" w:type="dxa"/>
            <w:vMerge w:val="restart"/>
            <w:vAlign w:val="center"/>
          </w:tcPr>
          <w:p w14:paraId="33FAD574">
            <w:pPr>
              <w:spacing w:line="360" w:lineRule="auto"/>
              <w:rPr>
                <w:rFonts w:ascii="宋体" w:hAnsi="宋体" w:cs="宋体"/>
                <w:sz w:val="24"/>
              </w:rPr>
            </w:pPr>
            <w:r>
              <w:rPr>
                <w:rFonts w:hint="eastAsia" w:ascii="宋体" w:hAnsi="宋体" w:cs="宋体"/>
                <w:sz w:val="24"/>
              </w:rPr>
              <w:t>2.2.1</w:t>
            </w:r>
          </w:p>
          <w:p w14:paraId="044236BC">
            <w:pPr>
              <w:spacing w:line="360" w:lineRule="auto"/>
              <w:jc w:val="left"/>
              <w:rPr>
                <w:rFonts w:ascii="宋体" w:hAnsi="宋体" w:cs="宋体"/>
                <w:sz w:val="24"/>
              </w:rPr>
            </w:pPr>
            <w:r>
              <w:rPr>
                <w:rFonts w:hint="eastAsia" w:ascii="宋体" w:hAnsi="宋体" w:cs="宋体"/>
                <w:sz w:val="24"/>
              </w:rPr>
              <w:t>(2)</w:t>
            </w:r>
          </w:p>
        </w:tc>
        <w:tc>
          <w:tcPr>
            <w:tcW w:w="1198" w:type="dxa"/>
            <w:vMerge w:val="restart"/>
            <w:vAlign w:val="center"/>
          </w:tcPr>
          <w:p w14:paraId="1C11410F">
            <w:pPr>
              <w:autoSpaceDE w:val="0"/>
              <w:autoSpaceDN w:val="0"/>
              <w:adjustRightInd w:val="0"/>
              <w:spacing w:line="440" w:lineRule="exact"/>
              <w:ind w:left="2082" w:right="2063"/>
              <w:jc w:val="center"/>
              <w:rPr>
                <w:rFonts w:ascii="宋体" w:hAnsi="宋体" w:cs="宋体"/>
                <w:kern w:val="0"/>
                <w:sz w:val="24"/>
              </w:rPr>
            </w:pPr>
          </w:p>
          <w:p w14:paraId="789C6B08">
            <w:pPr>
              <w:spacing w:line="440" w:lineRule="exact"/>
              <w:jc w:val="center"/>
              <w:rPr>
                <w:rFonts w:ascii="宋体" w:hAnsi="宋体" w:cs="宋体"/>
                <w:sz w:val="24"/>
              </w:rPr>
            </w:pPr>
            <w:r>
              <w:rPr>
                <w:rFonts w:hint="eastAsia" w:ascii="宋体" w:hAnsi="宋体" w:cs="宋体"/>
                <w:sz w:val="24"/>
              </w:rPr>
              <w:t>技术标（5</w:t>
            </w:r>
            <w:r>
              <w:rPr>
                <w:rFonts w:hint="eastAsia" w:ascii="宋体" w:hAnsi="宋体" w:cs="宋体"/>
                <w:sz w:val="24"/>
                <w:lang w:val="en-US" w:eastAsia="zh-CN"/>
              </w:rPr>
              <w:t>5</w:t>
            </w:r>
            <w:r>
              <w:rPr>
                <w:rFonts w:hint="eastAsia" w:ascii="宋体" w:hAnsi="宋体" w:cs="宋体"/>
                <w:sz w:val="24"/>
              </w:rPr>
              <w:t>分）</w:t>
            </w:r>
          </w:p>
        </w:tc>
        <w:tc>
          <w:tcPr>
            <w:tcW w:w="1260" w:type="dxa"/>
            <w:vAlign w:val="center"/>
          </w:tcPr>
          <w:p w14:paraId="49B8EC3E">
            <w:pPr>
              <w:wordWrap w:val="0"/>
              <w:spacing w:line="360" w:lineRule="auto"/>
              <w:jc w:val="center"/>
              <w:rPr>
                <w:rFonts w:ascii="宋体" w:hAnsi="宋体"/>
                <w:bCs/>
                <w:sz w:val="24"/>
              </w:rPr>
            </w:pPr>
            <w:r>
              <w:rPr>
                <w:rFonts w:hint="eastAsia" w:ascii="宋体" w:hAnsi="宋体"/>
                <w:bCs/>
                <w:sz w:val="24"/>
              </w:rPr>
              <w:t>项目总体设计方案、技术路线</w:t>
            </w:r>
          </w:p>
          <w:p w14:paraId="3D07FFCF">
            <w:pPr>
              <w:wordWrap w:val="0"/>
              <w:spacing w:line="360" w:lineRule="auto"/>
              <w:jc w:val="center"/>
              <w:rPr>
                <w:rFonts w:ascii="宋体" w:hAnsi="宋体" w:cs="宋体"/>
                <w:sz w:val="24"/>
              </w:rPr>
            </w:pPr>
            <w:r>
              <w:rPr>
                <w:rFonts w:hint="eastAsia" w:ascii="宋体" w:hAnsi="宋体"/>
                <w:bCs/>
                <w:sz w:val="24"/>
              </w:rPr>
              <w:t>（</w:t>
            </w:r>
            <w:r>
              <w:rPr>
                <w:rFonts w:hint="eastAsia" w:ascii="宋体" w:hAnsi="宋体"/>
                <w:bCs/>
                <w:sz w:val="24"/>
                <w:lang w:val="en-US" w:eastAsia="zh-CN"/>
              </w:rPr>
              <w:t>5</w:t>
            </w:r>
            <w:r>
              <w:rPr>
                <w:rFonts w:hint="eastAsia" w:ascii="宋体" w:hAnsi="宋体"/>
                <w:bCs/>
                <w:sz w:val="24"/>
              </w:rPr>
              <w:t>分）</w:t>
            </w:r>
          </w:p>
        </w:tc>
        <w:tc>
          <w:tcPr>
            <w:tcW w:w="6336" w:type="dxa"/>
            <w:vAlign w:val="center"/>
          </w:tcPr>
          <w:p w14:paraId="6DDDD685">
            <w:pPr>
              <w:wordWrap w:val="0"/>
              <w:spacing w:line="360" w:lineRule="auto"/>
              <w:rPr>
                <w:rFonts w:ascii="宋体" w:hAnsi="宋体"/>
                <w:bCs/>
                <w:sz w:val="24"/>
              </w:rPr>
            </w:pPr>
            <w:r>
              <w:rPr>
                <w:rFonts w:hint="eastAsia" w:ascii="宋体" w:hAnsi="宋体"/>
                <w:bCs/>
                <w:sz w:val="24"/>
              </w:rPr>
              <w:t>（1）项目总体设计整体方案、技术路线，内容完整、具体、详细、可行的得5分；</w:t>
            </w:r>
          </w:p>
          <w:p w14:paraId="240906F4">
            <w:pPr>
              <w:wordWrap w:val="0"/>
              <w:spacing w:line="360" w:lineRule="auto"/>
              <w:rPr>
                <w:rFonts w:ascii="宋体" w:hAnsi="宋体"/>
                <w:bCs/>
                <w:sz w:val="24"/>
              </w:rPr>
            </w:pPr>
            <w:r>
              <w:rPr>
                <w:rFonts w:hint="eastAsia" w:ascii="宋体" w:hAnsi="宋体"/>
                <w:bCs/>
                <w:sz w:val="24"/>
              </w:rPr>
              <w:t>（2）项目总体设计整体方案、技术路线，内容较为完整、具体、详细、可行的得3分；</w:t>
            </w:r>
          </w:p>
          <w:p w14:paraId="4FFBCC0C">
            <w:pPr>
              <w:widowControl/>
              <w:spacing w:line="480" w:lineRule="exact"/>
              <w:rPr>
                <w:rFonts w:ascii="宋体" w:hAnsi="宋体"/>
                <w:bCs/>
                <w:sz w:val="24"/>
              </w:rPr>
            </w:pPr>
            <w:r>
              <w:rPr>
                <w:rFonts w:hint="eastAsia" w:ascii="宋体" w:hAnsi="宋体"/>
                <w:bCs/>
                <w:sz w:val="24"/>
              </w:rPr>
              <w:t>（3）项目总体设计整体方案、技术路线，内容不完整，描述简单，可行性差的得1分；</w:t>
            </w:r>
          </w:p>
          <w:p w14:paraId="5C0C269A">
            <w:pPr>
              <w:wordWrap w:val="0"/>
              <w:spacing w:line="360" w:lineRule="auto"/>
              <w:rPr>
                <w:rFonts w:ascii="宋体" w:hAnsi="宋体" w:cs="宋体"/>
                <w:sz w:val="24"/>
              </w:rPr>
            </w:pPr>
            <w:r>
              <w:rPr>
                <w:rFonts w:hint="eastAsia" w:ascii="宋体" w:hAnsi="宋体"/>
                <w:bCs/>
                <w:sz w:val="24"/>
              </w:rPr>
              <w:t>（4）本项未提供的不得分。</w:t>
            </w:r>
          </w:p>
        </w:tc>
      </w:tr>
      <w:tr w14:paraId="790E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46" w:type="dxa"/>
            <w:vMerge w:val="continue"/>
            <w:vAlign w:val="center"/>
          </w:tcPr>
          <w:p w14:paraId="50278C27">
            <w:pPr>
              <w:spacing w:line="360" w:lineRule="auto"/>
              <w:jc w:val="left"/>
              <w:rPr>
                <w:rFonts w:ascii="宋体" w:hAnsi="宋体" w:cs="宋体"/>
                <w:sz w:val="24"/>
              </w:rPr>
            </w:pPr>
          </w:p>
        </w:tc>
        <w:tc>
          <w:tcPr>
            <w:tcW w:w="1198" w:type="dxa"/>
            <w:vMerge w:val="continue"/>
            <w:vAlign w:val="center"/>
          </w:tcPr>
          <w:p w14:paraId="4FF308ED">
            <w:pPr>
              <w:spacing w:line="440" w:lineRule="exact"/>
              <w:jc w:val="center"/>
              <w:rPr>
                <w:rFonts w:ascii="宋体" w:hAnsi="宋体" w:cs="宋体"/>
                <w:sz w:val="24"/>
              </w:rPr>
            </w:pPr>
          </w:p>
        </w:tc>
        <w:tc>
          <w:tcPr>
            <w:tcW w:w="1260" w:type="dxa"/>
            <w:vAlign w:val="center"/>
          </w:tcPr>
          <w:p w14:paraId="1F6F2042">
            <w:pPr>
              <w:pStyle w:val="7"/>
              <w:widowControl/>
              <w:spacing w:line="440" w:lineRule="exact"/>
              <w:rPr>
                <w:rFonts w:ascii="宋体" w:hAnsi="宋体" w:cs="宋体"/>
                <w:sz w:val="24"/>
              </w:rPr>
            </w:pPr>
            <w:r>
              <w:rPr>
                <w:rFonts w:hint="eastAsia" w:ascii="宋体" w:hAnsi="宋体"/>
                <w:bCs/>
                <w:kern w:val="2"/>
                <w:sz w:val="24"/>
              </w:rPr>
              <w:t>项目建设方案</w:t>
            </w:r>
            <w:r>
              <w:rPr>
                <w:rFonts w:hint="eastAsia" w:ascii="宋体" w:hAnsi="宋体"/>
                <w:bCs/>
                <w:sz w:val="24"/>
              </w:rPr>
              <w:t>（15分）</w:t>
            </w:r>
          </w:p>
        </w:tc>
        <w:tc>
          <w:tcPr>
            <w:tcW w:w="6336" w:type="dxa"/>
            <w:vAlign w:val="center"/>
          </w:tcPr>
          <w:p w14:paraId="637FDF01">
            <w:pPr>
              <w:widowControl/>
              <w:spacing w:line="440" w:lineRule="exact"/>
              <w:rPr>
                <w:rFonts w:ascii="宋体" w:hAnsi="宋体"/>
                <w:bCs/>
                <w:sz w:val="24"/>
              </w:rPr>
            </w:pPr>
            <w:r>
              <w:rPr>
                <w:rFonts w:hint="eastAsia" w:ascii="宋体" w:hAnsi="宋体"/>
                <w:bCs/>
                <w:sz w:val="24"/>
              </w:rPr>
              <w:t>（1）提供的建设方案内容完整详细，表述清晰、全面，对项目工作理解准确，描述详细且技术成熟的得15分；</w:t>
            </w:r>
          </w:p>
          <w:p w14:paraId="399E1E72">
            <w:pPr>
              <w:widowControl/>
              <w:spacing w:line="440" w:lineRule="exact"/>
              <w:rPr>
                <w:rFonts w:ascii="宋体" w:hAnsi="宋体"/>
                <w:bCs/>
                <w:sz w:val="24"/>
              </w:rPr>
            </w:pPr>
            <w:r>
              <w:rPr>
                <w:rFonts w:hint="eastAsia" w:ascii="宋体" w:hAnsi="宋体"/>
                <w:bCs/>
                <w:sz w:val="24"/>
              </w:rPr>
              <w:t>（2）提供的建设方案内容一般，描述较为完整，具有一定可行性的得10分；</w:t>
            </w:r>
          </w:p>
          <w:p w14:paraId="3F1BB024">
            <w:pPr>
              <w:widowControl/>
              <w:spacing w:line="440" w:lineRule="exact"/>
              <w:rPr>
                <w:rFonts w:ascii="宋体" w:hAnsi="宋体"/>
                <w:bCs/>
                <w:sz w:val="24"/>
              </w:rPr>
            </w:pPr>
            <w:r>
              <w:rPr>
                <w:rFonts w:hint="eastAsia" w:ascii="宋体" w:hAnsi="宋体"/>
                <w:bCs/>
                <w:sz w:val="24"/>
              </w:rPr>
              <w:t>（3）提供的建设方案描述简单，可行性一般的得5分。</w:t>
            </w:r>
          </w:p>
          <w:p w14:paraId="77029D9E">
            <w:pPr>
              <w:widowControl/>
              <w:spacing w:line="440" w:lineRule="exact"/>
              <w:rPr>
                <w:rFonts w:ascii="宋体" w:hAnsi="宋体" w:cs="宋体"/>
                <w:sz w:val="24"/>
              </w:rPr>
            </w:pPr>
            <w:r>
              <w:rPr>
                <w:rFonts w:hint="eastAsia" w:ascii="宋体" w:hAnsi="宋体"/>
                <w:bCs/>
                <w:sz w:val="24"/>
              </w:rPr>
              <w:t>（4）未提供本项的不得分。</w:t>
            </w:r>
          </w:p>
        </w:tc>
      </w:tr>
      <w:tr w14:paraId="1D2F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46" w:type="dxa"/>
            <w:vMerge w:val="continue"/>
            <w:vAlign w:val="center"/>
          </w:tcPr>
          <w:p w14:paraId="3A1C2C84">
            <w:pPr>
              <w:spacing w:line="360" w:lineRule="auto"/>
              <w:jc w:val="left"/>
              <w:rPr>
                <w:rFonts w:ascii="宋体" w:hAnsi="宋体" w:cs="宋体"/>
                <w:sz w:val="24"/>
              </w:rPr>
            </w:pPr>
          </w:p>
        </w:tc>
        <w:tc>
          <w:tcPr>
            <w:tcW w:w="1198" w:type="dxa"/>
            <w:vMerge w:val="continue"/>
            <w:vAlign w:val="center"/>
          </w:tcPr>
          <w:p w14:paraId="1FC95C57">
            <w:pPr>
              <w:spacing w:line="440" w:lineRule="exact"/>
              <w:jc w:val="center"/>
              <w:rPr>
                <w:rFonts w:ascii="宋体" w:hAnsi="宋体" w:cs="宋体"/>
                <w:sz w:val="24"/>
              </w:rPr>
            </w:pPr>
          </w:p>
        </w:tc>
        <w:tc>
          <w:tcPr>
            <w:tcW w:w="1260" w:type="dxa"/>
            <w:vAlign w:val="center"/>
          </w:tcPr>
          <w:p w14:paraId="2DCA2C7A">
            <w:pPr>
              <w:wordWrap w:val="0"/>
              <w:spacing w:line="360" w:lineRule="auto"/>
              <w:jc w:val="center"/>
              <w:rPr>
                <w:rFonts w:ascii="宋体" w:hAnsi="宋体" w:cs="宋体"/>
                <w:sz w:val="24"/>
              </w:rPr>
            </w:pPr>
            <w:r>
              <w:rPr>
                <w:rFonts w:hint="eastAsia" w:ascii="宋体" w:hAnsi="宋体" w:eastAsia="宋体" w:cs="Times New Roman"/>
                <w:bCs/>
                <w:sz w:val="24"/>
              </w:rPr>
              <w:t>售后方案（5分）</w:t>
            </w:r>
          </w:p>
        </w:tc>
        <w:tc>
          <w:tcPr>
            <w:tcW w:w="6336" w:type="dxa"/>
            <w:vAlign w:val="center"/>
          </w:tcPr>
          <w:p w14:paraId="4F927A65">
            <w:pPr>
              <w:widowControl/>
              <w:spacing w:line="480" w:lineRule="exact"/>
              <w:rPr>
                <w:rFonts w:hint="eastAsia" w:ascii="宋体" w:hAnsi="宋体" w:eastAsia="宋体" w:cs="Times New Roman"/>
                <w:bCs/>
                <w:sz w:val="24"/>
              </w:rPr>
            </w:pPr>
            <w:r>
              <w:rPr>
                <w:rFonts w:hint="eastAsia" w:ascii="宋体" w:hAnsi="宋体" w:eastAsia="宋体" w:cs="Times New Roman"/>
                <w:bCs/>
                <w:sz w:val="24"/>
              </w:rPr>
              <w:t>提供针对本项目的售后方案，根据售后服务方案计划的详细、完善、可行性、快速反应、及时服务等综合打分：</w:t>
            </w:r>
          </w:p>
          <w:p w14:paraId="072DCEC4">
            <w:pPr>
              <w:widowControl/>
              <w:spacing w:line="480" w:lineRule="exact"/>
              <w:rPr>
                <w:rFonts w:hint="eastAsia" w:ascii="宋体" w:hAnsi="宋体" w:eastAsia="宋体" w:cs="Times New Roman"/>
                <w:bCs/>
                <w:sz w:val="24"/>
              </w:rPr>
            </w:pPr>
            <w:r>
              <w:rPr>
                <w:rFonts w:hint="eastAsia" w:ascii="宋体" w:hAnsi="宋体" w:eastAsia="宋体" w:cs="Times New Roman"/>
                <w:bCs/>
                <w:sz w:val="24"/>
              </w:rPr>
              <w:t>1、售后服务计划内容非常全面完整、计划非常科学合理可靠的得</w:t>
            </w:r>
            <w:r>
              <w:rPr>
                <w:rFonts w:hint="eastAsia" w:ascii="宋体" w:hAnsi="宋体" w:eastAsia="宋体" w:cs="Times New Roman"/>
                <w:bCs/>
                <w:sz w:val="24"/>
                <w:lang w:val="en-US" w:eastAsia="zh-CN"/>
              </w:rPr>
              <w:t>3</w:t>
            </w:r>
            <w:r>
              <w:rPr>
                <w:rFonts w:hint="eastAsia" w:ascii="宋体" w:hAnsi="宋体" w:eastAsia="宋体" w:cs="Times New Roman"/>
                <w:bCs/>
                <w:sz w:val="24"/>
              </w:rPr>
              <w:t>-</w:t>
            </w:r>
            <w:r>
              <w:rPr>
                <w:rFonts w:hint="eastAsia" w:ascii="宋体" w:hAnsi="宋体" w:eastAsia="宋体" w:cs="Times New Roman"/>
                <w:bCs/>
                <w:sz w:val="24"/>
                <w:lang w:val="en-US" w:eastAsia="zh-CN"/>
              </w:rPr>
              <w:t>5</w:t>
            </w:r>
            <w:r>
              <w:rPr>
                <w:rFonts w:hint="eastAsia" w:ascii="宋体" w:hAnsi="宋体" w:eastAsia="宋体" w:cs="Times New Roman"/>
                <w:bCs/>
                <w:sz w:val="24"/>
              </w:rPr>
              <w:t>分；</w:t>
            </w:r>
          </w:p>
          <w:p w14:paraId="1D3D0B39">
            <w:pPr>
              <w:widowControl/>
              <w:spacing w:line="480" w:lineRule="exact"/>
              <w:rPr>
                <w:rFonts w:hint="eastAsia" w:ascii="宋体" w:hAnsi="宋体" w:eastAsia="宋体" w:cs="Times New Roman"/>
                <w:bCs/>
                <w:sz w:val="24"/>
              </w:rPr>
            </w:pPr>
            <w:r>
              <w:rPr>
                <w:rFonts w:hint="eastAsia" w:ascii="宋体" w:hAnsi="宋体" w:eastAsia="宋体" w:cs="Times New Roman"/>
                <w:bCs/>
                <w:sz w:val="24"/>
              </w:rPr>
              <w:t xml:space="preserve">2、售后服务计划内容基本全面完整、计划基本科学合理可靠的得 </w:t>
            </w:r>
            <w:r>
              <w:rPr>
                <w:rFonts w:hint="eastAsia" w:ascii="宋体" w:hAnsi="宋体" w:eastAsia="宋体" w:cs="Times New Roman"/>
                <w:bCs/>
                <w:sz w:val="24"/>
                <w:lang w:val="en-US" w:eastAsia="zh-CN"/>
              </w:rPr>
              <w:t>1</w:t>
            </w:r>
            <w:r>
              <w:rPr>
                <w:rFonts w:hint="eastAsia" w:ascii="宋体" w:hAnsi="宋体" w:eastAsia="宋体" w:cs="Times New Roman"/>
                <w:bCs/>
                <w:sz w:val="24"/>
              </w:rPr>
              <w:t>-</w:t>
            </w:r>
            <w:r>
              <w:rPr>
                <w:rFonts w:hint="eastAsia" w:ascii="宋体" w:hAnsi="宋体" w:eastAsia="宋体" w:cs="Times New Roman"/>
                <w:bCs/>
                <w:sz w:val="24"/>
                <w:lang w:val="en-US" w:eastAsia="zh-CN"/>
              </w:rPr>
              <w:t>2.9</w:t>
            </w:r>
            <w:r>
              <w:rPr>
                <w:rFonts w:hint="eastAsia" w:ascii="宋体" w:hAnsi="宋体" w:eastAsia="宋体" w:cs="Times New Roman"/>
                <w:bCs/>
                <w:sz w:val="24"/>
              </w:rPr>
              <w:t xml:space="preserve"> 分；</w:t>
            </w:r>
          </w:p>
          <w:p w14:paraId="49E4486C">
            <w:pPr>
              <w:widowControl/>
              <w:spacing w:line="480" w:lineRule="exact"/>
              <w:rPr>
                <w:rFonts w:hint="eastAsia" w:ascii="宋体" w:hAnsi="宋体" w:eastAsia="宋体" w:cs="Times New Roman"/>
                <w:bCs/>
                <w:sz w:val="24"/>
              </w:rPr>
            </w:pPr>
            <w:r>
              <w:rPr>
                <w:rFonts w:hint="eastAsia" w:ascii="宋体" w:hAnsi="宋体" w:eastAsia="宋体" w:cs="Times New Roman"/>
                <w:bCs/>
                <w:sz w:val="24"/>
              </w:rPr>
              <w:t>3、售后服务计划内容、计划一般或不完善的得 0-</w:t>
            </w:r>
            <w:r>
              <w:rPr>
                <w:rFonts w:hint="eastAsia" w:ascii="宋体" w:hAnsi="宋体" w:eastAsia="宋体" w:cs="Times New Roman"/>
                <w:bCs/>
                <w:sz w:val="24"/>
                <w:lang w:val="en-US" w:eastAsia="zh-CN"/>
              </w:rPr>
              <w:t>0.9</w:t>
            </w:r>
            <w:r>
              <w:rPr>
                <w:rFonts w:hint="eastAsia" w:ascii="宋体" w:hAnsi="宋体" w:eastAsia="宋体" w:cs="Times New Roman"/>
                <w:bCs/>
                <w:sz w:val="24"/>
              </w:rPr>
              <w:t xml:space="preserve"> 分；</w:t>
            </w:r>
          </w:p>
          <w:p w14:paraId="09B129B1">
            <w:pPr>
              <w:widowControl/>
              <w:spacing w:line="480" w:lineRule="exact"/>
              <w:rPr>
                <w:rFonts w:ascii="宋体" w:hAnsi="宋体" w:cs="宋体"/>
                <w:sz w:val="24"/>
              </w:rPr>
            </w:pPr>
            <w:r>
              <w:rPr>
                <w:rFonts w:hint="eastAsia" w:ascii="宋体" w:hAnsi="宋体" w:eastAsia="宋体" w:cs="Times New Roman"/>
                <w:bCs/>
                <w:sz w:val="24"/>
              </w:rPr>
              <w:t>4、提供的方案不合理或未提供的得 0 分</w:t>
            </w:r>
          </w:p>
        </w:tc>
      </w:tr>
      <w:tr w14:paraId="7524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846" w:type="dxa"/>
            <w:vMerge w:val="continue"/>
            <w:vAlign w:val="center"/>
          </w:tcPr>
          <w:p w14:paraId="7AE59F6B">
            <w:pPr>
              <w:spacing w:line="360" w:lineRule="auto"/>
              <w:jc w:val="left"/>
              <w:rPr>
                <w:rFonts w:ascii="宋体" w:hAnsi="宋体" w:cs="宋体"/>
                <w:sz w:val="24"/>
              </w:rPr>
            </w:pPr>
          </w:p>
        </w:tc>
        <w:tc>
          <w:tcPr>
            <w:tcW w:w="1198" w:type="dxa"/>
            <w:vMerge w:val="continue"/>
            <w:vAlign w:val="center"/>
          </w:tcPr>
          <w:p w14:paraId="2F3F6680">
            <w:pPr>
              <w:spacing w:line="440" w:lineRule="exact"/>
              <w:jc w:val="center"/>
              <w:rPr>
                <w:rFonts w:ascii="宋体" w:hAnsi="宋体" w:cs="宋体"/>
                <w:sz w:val="24"/>
              </w:rPr>
            </w:pPr>
          </w:p>
        </w:tc>
        <w:tc>
          <w:tcPr>
            <w:tcW w:w="1260" w:type="dxa"/>
            <w:vAlign w:val="center"/>
          </w:tcPr>
          <w:p w14:paraId="6020220A">
            <w:pPr>
              <w:widowControl/>
              <w:spacing w:line="480" w:lineRule="exact"/>
              <w:jc w:val="center"/>
              <w:rPr>
                <w:rFonts w:ascii="宋体" w:hAnsi="宋体" w:cs="宋体"/>
                <w:sz w:val="24"/>
              </w:rPr>
            </w:pPr>
            <w:r>
              <w:rPr>
                <w:rFonts w:hint="eastAsia" w:ascii="宋体" w:hAnsi="宋体"/>
                <w:bCs/>
                <w:sz w:val="24"/>
              </w:rPr>
              <w:t>进度计划及保证措施（5分）</w:t>
            </w:r>
          </w:p>
        </w:tc>
        <w:tc>
          <w:tcPr>
            <w:tcW w:w="6336" w:type="dxa"/>
            <w:vAlign w:val="center"/>
          </w:tcPr>
          <w:p w14:paraId="3F445418">
            <w:pPr>
              <w:widowControl/>
              <w:spacing w:line="480" w:lineRule="exact"/>
              <w:rPr>
                <w:rFonts w:ascii="宋体" w:hAnsi="宋体"/>
                <w:bCs/>
                <w:sz w:val="24"/>
              </w:rPr>
            </w:pPr>
            <w:r>
              <w:rPr>
                <w:rFonts w:hint="eastAsia" w:ascii="宋体" w:hAnsi="宋体"/>
                <w:bCs/>
                <w:sz w:val="24"/>
              </w:rPr>
              <w:t>评委根据投标人提供的能够提出针对本项目的进度计划及保证措施，依据计划及保证措施的科学性、合理性、可行性进行综合评分。</w:t>
            </w:r>
          </w:p>
          <w:p w14:paraId="6BCD02DC">
            <w:pPr>
              <w:widowControl/>
              <w:spacing w:line="480" w:lineRule="exact"/>
              <w:rPr>
                <w:rFonts w:ascii="宋体" w:hAnsi="宋体"/>
                <w:bCs/>
                <w:sz w:val="24"/>
              </w:rPr>
            </w:pPr>
            <w:r>
              <w:rPr>
                <w:rFonts w:hint="eastAsia" w:ascii="宋体" w:hAnsi="宋体"/>
                <w:bCs/>
                <w:sz w:val="24"/>
              </w:rPr>
              <w:t>（1）进度计划及保证措施完善、周全，完全能够保证项目按时保质保量完成的得5分；</w:t>
            </w:r>
          </w:p>
          <w:p w14:paraId="4FBA19FA">
            <w:pPr>
              <w:widowControl/>
              <w:spacing w:line="480" w:lineRule="exact"/>
              <w:rPr>
                <w:rFonts w:ascii="宋体" w:hAnsi="宋体"/>
                <w:bCs/>
                <w:sz w:val="24"/>
              </w:rPr>
            </w:pPr>
            <w:r>
              <w:rPr>
                <w:rFonts w:hint="eastAsia" w:ascii="宋体" w:hAnsi="宋体"/>
                <w:bCs/>
                <w:sz w:val="24"/>
              </w:rPr>
              <w:t>（2）进度计划及保证措施合理、可行，基本能够保证项目按时完成的得 3分；</w:t>
            </w:r>
          </w:p>
          <w:p w14:paraId="0310FBE0">
            <w:pPr>
              <w:widowControl/>
              <w:spacing w:line="360" w:lineRule="auto"/>
              <w:rPr>
                <w:rFonts w:ascii="宋体" w:hAnsi="宋体"/>
                <w:bCs/>
                <w:sz w:val="24"/>
              </w:rPr>
            </w:pPr>
            <w:r>
              <w:rPr>
                <w:rFonts w:hint="eastAsia" w:ascii="宋体" w:hAnsi="宋体"/>
                <w:bCs/>
                <w:sz w:val="24"/>
              </w:rPr>
              <w:t>（3）进度计划及保证措施一般，不足以保证项目按时完成的得1分；</w:t>
            </w:r>
          </w:p>
          <w:p w14:paraId="6B987169">
            <w:pPr>
              <w:wordWrap w:val="0"/>
              <w:spacing w:line="360" w:lineRule="auto"/>
              <w:rPr>
                <w:rFonts w:ascii="宋体" w:hAnsi="宋体" w:cs="宋体"/>
                <w:sz w:val="24"/>
              </w:rPr>
            </w:pPr>
            <w:r>
              <w:rPr>
                <w:rFonts w:hint="eastAsia" w:ascii="宋体" w:hAnsi="宋体"/>
                <w:bCs/>
                <w:sz w:val="24"/>
              </w:rPr>
              <w:t>（4）本项未提供的不得分。</w:t>
            </w:r>
          </w:p>
        </w:tc>
      </w:tr>
      <w:tr w14:paraId="5522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846" w:type="dxa"/>
            <w:vMerge w:val="continue"/>
            <w:vAlign w:val="center"/>
          </w:tcPr>
          <w:p w14:paraId="261B5741">
            <w:pPr>
              <w:spacing w:line="360" w:lineRule="auto"/>
              <w:jc w:val="left"/>
              <w:rPr>
                <w:rFonts w:ascii="宋体" w:hAnsi="宋体" w:cs="宋体"/>
                <w:sz w:val="24"/>
              </w:rPr>
            </w:pPr>
          </w:p>
        </w:tc>
        <w:tc>
          <w:tcPr>
            <w:tcW w:w="1198" w:type="dxa"/>
            <w:vMerge w:val="continue"/>
            <w:vAlign w:val="center"/>
          </w:tcPr>
          <w:p w14:paraId="1CF16AE5">
            <w:pPr>
              <w:spacing w:line="440" w:lineRule="exact"/>
              <w:jc w:val="center"/>
              <w:rPr>
                <w:rFonts w:ascii="宋体" w:hAnsi="宋体" w:cs="宋体"/>
                <w:sz w:val="24"/>
              </w:rPr>
            </w:pPr>
          </w:p>
        </w:tc>
        <w:tc>
          <w:tcPr>
            <w:tcW w:w="1260" w:type="dxa"/>
            <w:shd w:val="clear" w:color="auto" w:fill="auto"/>
            <w:vAlign w:val="center"/>
          </w:tcPr>
          <w:p w14:paraId="714DFD7E">
            <w:pPr>
              <w:pStyle w:val="45"/>
              <w:widowControl/>
              <w:spacing w:line="480" w:lineRule="exact"/>
              <w:jc w:val="center"/>
              <w:rPr>
                <w:rFonts w:hAnsi="宋体" w:cs="Times New Roman"/>
                <w:bCs/>
                <w:color w:val="auto"/>
              </w:rPr>
            </w:pPr>
            <w:r>
              <w:rPr>
                <w:rFonts w:hint="eastAsia"/>
                <w:color w:val="000000"/>
              </w:rPr>
              <w:t>技术参数响应程度</w:t>
            </w:r>
            <w:r>
              <w:rPr>
                <w:rFonts w:hint="eastAsia" w:hAnsi="宋体" w:cs="Times New Roman"/>
                <w:bCs/>
                <w:color w:val="auto"/>
              </w:rPr>
              <w:t>(</w:t>
            </w:r>
            <w:r>
              <w:rPr>
                <w:rFonts w:hint="eastAsia" w:hAnsi="宋体" w:cs="Times New Roman"/>
                <w:bCs/>
                <w:color w:val="auto"/>
                <w:lang w:val="en-US" w:eastAsia="zh-CN"/>
              </w:rPr>
              <w:t>10</w:t>
            </w:r>
            <w:r>
              <w:rPr>
                <w:rFonts w:hint="eastAsia" w:hAnsi="宋体" w:cs="Times New Roman"/>
                <w:bCs/>
                <w:color w:val="auto"/>
              </w:rPr>
              <w:t>分)</w:t>
            </w:r>
          </w:p>
        </w:tc>
        <w:tc>
          <w:tcPr>
            <w:tcW w:w="6336" w:type="dxa"/>
            <w:shd w:val="clear" w:color="auto" w:fill="auto"/>
            <w:vAlign w:val="center"/>
          </w:tcPr>
          <w:p w14:paraId="72320169">
            <w:pPr>
              <w:widowControl/>
              <w:spacing w:line="480" w:lineRule="exact"/>
              <w:rPr>
                <w:rFonts w:hint="eastAsia" w:ascii="宋体" w:hAnsi="宋体" w:eastAsia="宋体" w:cs="Times New Roman"/>
                <w:bCs/>
                <w:sz w:val="24"/>
              </w:rPr>
            </w:pPr>
            <w:r>
              <w:rPr>
                <w:rFonts w:hint="eastAsia" w:ascii="宋体" w:hAnsi="宋体" w:eastAsia="宋体" w:cs="Times New Roman"/>
                <w:bCs/>
                <w:sz w:val="24"/>
              </w:rPr>
              <w:t>全部满足采购清单技术参数要求的得</w:t>
            </w:r>
            <w:r>
              <w:rPr>
                <w:rFonts w:hint="eastAsia" w:ascii="宋体" w:hAnsi="宋体" w:eastAsia="宋体" w:cs="Times New Roman"/>
                <w:bCs/>
                <w:sz w:val="24"/>
                <w:lang w:val="en-US" w:eastAsia="zh-CN"/>
              </w:rPr>
              <w:t>10</w:t>
            </w:r>
            <w:r>
              <w:rPr>
                <w:rFonts w:hint="eastAsia" w:ascii="宋体" w:hAnsi="宋体" w:eastAsia="宋体" w:cs="Times New Roman"/>
                <w:bCs/>
                <w:sz w:val="24"/>
              </w:rPr>
              <w:t>分，有1项技术参数负偏离的扣</w:t>
            </w:r>
            <w:r>
              <w:rPr>
                <w:rFonts w:hint="eastAsia" w:ascii="宋体" w:hAnsi="宋体" w:eastAsia="宋体" w:cs="Times New Roman"/>
                <w:bCs/>
                <w:sz w:val="24"/>
                <w:lang w:val="en-US" w:eastAsia="zh-CN"/>
              </w:rPr>
              <w:t>1</w:t>
            </w:r>
            <w:r>
              <w:rPr>
                <w:rFonts w:hint="eastAsia" w:ascii="宋体" w:hAnsi="宋体" w:eastAsia="宋体" w:cs="Times New Roman"/>
                <w:bCs/>
                <w:sz w:val="24"/>
              </w:rPr>
              <w:t>分，扣完为止。</w:t>
            </w:r>
          </w:p>
          <w:p w14:paraId="4E39C8C0">
            <w:pPr>
              <w:widowControl/>
              <w:spacing w:line="480" w:lineRule="exact"/>
              <w:rPr>
                <w:rFonts w:ascii="宋体" w:hAnsi="宋体"/>
                <w:bCs/>
                <w:sz w:val="24"/>
              </w:rPr>
            </w:pPr>
            <w:r>
              <w:rPr>
                <w:rFonts w:hint="eastAsia" w:ascii="宋体" w:hAnsi="宋体" w:eastAsia="宋体" w:cs="Times New Roman"/>
                <w:bCs/>
                <w:sz w:val="24"/>
              </w:rPr>
              <w:t>注：扣分分值大于得分分值的，本项计0分。</w:t>
            </w:r>
          </w:p>
        </w:tc>
      </w:tr>
      <w:tr w14:paraId="4777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846" w:type="dxa"/>
            <w:vMerge w:val="continue"/>
            <w:vAlign w:val="center"/>
          </w:tcPr>
          <w:p w14:paraId="51C761E9">
            <w:pPr>
              <w:spacing w:line="360" w:lineRule="auto"/>
              <w:jc w:val="left"/>
              <w:rPr>
                <w:rFonts w:ascii="宋体" w:hAnsi="宋体" w:cs="宋体"/>
                <w:sz w:val="24"/>
              </w:rPr>
            </w:pPr>
          </w:p>
        </w:tc>
        <w:tc>
          <w:tcPr>
            <w:tcW w:w="1198" w:type="dxa"/>
            <w:vMerge w:val="continue"/>
            <w:vAlign w:val="center"/>
          </w:tcPr>
          <w:p w14:paraId="1C9606B0">
            <w:pPr>
              <w:spacing w:line="440" w:lineRule="exact"/>
              <w:jc w:val="center"/>
              <w:rPr>
                <w:rFonts w:ascii="宋体" w:hAnsi="宋体" w:cs="宋体"/>
                <w:sz w:val="24"/>
              </w:rPr>
            </w:pPr>
          </w:p>
        </w:tc>
        <w:tc>
          <w:tcPr>
            <w:tcW w:w="1260" w:type="dxa"/>
            <w:shd w:val="clear" w:color="auto" w:fill="auto"/>
            <w:vAlign w:val="center"/>
          </w:tcPr>
          <w:p w14:paraId="5A8C059A">
            <w:pPr>
              <w:pStyle w:val="14"/>
              <w:rPr>
                <w:rFonts w:ascii="宋体" w:hAnsi="宋体"/>
                <w:sz w:val="24"/>
                <w:szCs w:val="24"/>
              </w:rPr>
            </w:pPr>
            <w:r>
              <w:rPr>
                <w:rFonts w:hint="eastAsia" w:ascii="宋体" w:hAnsi="宋体"/>
                <w:sz w:val="24"/>
                <w:szCs w:val="24"/>
              </w:rPr>
              <w:t>技术培训</w:t>
            </w:r>
          </w:p>
          <w:p w14:paraId="1BD53FB1">
            <w:pPr>
              <w:pStyle w:val="14"/>
              <w:rPr>
                <w:rFonts w:ascii="宋体" w:hAnsi="宋体"/>
                <w:sz w:val="24"/>
                <w:szCs w:val="24"/>
              </w:rPr>
            </w:pPr>
            <w:r>
              <w:rPr>
                <w:rFonts w:hint="eastAsia" w:ascii="宋体" w:hAnsi="宋体"/>
                <w:sz w:val="24"/>
                <w:szCs w:val="24"/>
              </w:rPr>
              <w:t>方案（</w:t>
            </w:r>
            <w:r>
              <w:rPr>
                <w:rFonts w:hint="eastAsia" w:ascii="宋体" w:hAnsi="宋体"/>
                <w:sz w:val="24"/>
                <w:szCs w:val="24"/>
                <w:lang w:val="en-US" w:eastAsia="zh-CN"/>
              </w:rPr>
              <w:t>5</w:t>
            </w:r>
            <w:r>
              <w:rPr>
                <w:rFonts w:hint="eastAsia" w:ascii="宋体" w:hAnsi="宋体"/>
                <w:sz w:val="24"/>
                <w:szCs w:val="24"/>
              </w:rPr>
              <w:t>分）</w:t>
            </w:r>
          </w:p>
        </w:tc>
        <w:tc>
          <w:tcPr>
            <w:tcW w:w="6336" w:type="dxa"/>
            <w:shd w:val="clear" w:color="auto" w:fill="auto"/>
            <w:vAlign w:val="center"/>
          </w:tcPr>
          <w:p w14:paraId="1A3F316B">
            <w:pPr>
              <w:pStyle w:val="14"/>
              <w:rPr>
                <w:rFonts w:ascii="宋体" w:hAnsi="宋体"/>
                <w:sz w:val="24"/>
                <w:szCs w:val="24"/>
              </w:rPr>
            </w:pPr>
            <w:r>
              <w:rPr>
                <w:rFonts w:hint="eastAsia" w:ascii="宋体" w:hAnsi="宋体"/>
                <w:sz w:val="24"/>
                <w:szCs w:val="24"/>
              </w:rPr>
              <w:t>（1）培训方案具体完整，有详细的培训内容、培训方式，能完全保证使用者熟练操作维护和正常使用情况的得</w:t>
            </w:r>
            <w:r>
              <w:rPr>
                <w:rFonts w:hint="eastAsia" w:ascii="宋体" w:hAnsi="宋体"/>
                <w:sz w:val="24"/>
                <w:szCs w:val="24"/>
                <w:lang w:val="en-US" w:eastAsia="zh-CN"/>
              </w:rPr>
              <w:t>5</w:t>
            </w:r>
            <w:r>
              <w:rPr>
                <w:rFonts w:hint="eastAsia" w:ascii="宋体" w:hAnsi="宋体"/>
                <w:sz w:val="24"/>
                <w:szCs w:val="24"/>
              </w:rPr>
              <w:t xml:space="preserve"> 分；</w:t>
            </w:r>
          </w:p>
          <w:p w14:paraId="31AF1EEA">
            <w:pPr>
              <w:spacing w:line="360" w:lineRule="auto"/>
              <w:rPr>
                <w:rFonts w:ascii="宋体" w:hAnsi="宋体"/>
                <w:bCs/>
                <w:kern w:val="0"/>
                <w:sz w:val="24"/>
              </w:rPr>
            </w:pPr>
            <w:r>
              <w:rPr>
                <w:rFonts w:hint="eastAsia" w:ascii="宋体" w:hAnsi="宋体"/>
                <w:bCs/>
                <w:kern w:val="0"/>
                <w:sz w:val="24"/>
              </w:rPr>
              <w:t xml:space="preserve">（2）培训方案基本完整，有基本详细的培训内容、培训方式，能基本保证使用者熟练操作维护和正常使用情况的得 </w:t>
            </w:r>
            <w:r>
              <w:rPr>
                <w:rFonts w:hint="eastAsia" w:ascii="宋体" w:hAnsi="宋体"/>
                <w:bCs/>
                <w:kern w:val="0"/>
                <w:sz w:val="24"/>
                <w:lang w:val="en-US" w:eastAsia="zh-CN"/>
              </w:rPr>
              <w:t>3</w:t>
            </w:r>
            <w:r>
              <w:rPr>
                <w:rFonts w:hint="eastAsia" w:ascii="宋体" w:hAnsi="宋体"/>
                <w:bCs/>
                <w:kern w:val="0"/>
                <w:sz w:val="24"/>
              </w:rPr>
              <w:t>分；</w:t>
            </w:r>
          </w:p>
          <w:p w14:paraId="2D8DA2E9">
            <w:pPr>
              <w:spacing w:line="360" w:lineRule="auto"/>
              <w:rPr>
                <w:rFonts w:ascii="宋体" w:hAnsi="宋体"/>
                <w:bCs/>
                <w:kern w:val="0"/>
                <w:sz w:val="24"/>
              </w:rPr>
            </w:pPr>
            <w:r>
              <w:rPr>
                <w:rFonts w:hint="eastAsia" w:ascii="宋体" w:hAnsi="宋体"/>
                <w:bCs/>
                <w:kern w:val="0"/>
                <w:sz w:val="24"/>
              </w:rPr>
              <w:t xml:space="preserve">（3）培训方案缺乏完整性，培训内容、培训方式，不能保证使用者熟练操作维护和正常使用情况的得 </w:t>
            </w:r>
            <w:r>
              <w:rPr>
                <w:rFonts w:hint="eastAsia" w:ascii="宋体" w:hAnsi="宋体"/>
                <w:bCs/>
                <w:kern w:val="0"/>
                <w:sz w:val="24"/>
                <w:lang w:val="en-US" w:eastAsia="zh-CN"/>
              </w:rPr>
              <w:t>1</w:t>
            </w:r>
            <w:r>
              <w:rPr>
                <w:rFonts w:hint="eastAsia" w:ascii="宋体" w:hAnsi="宋体"/>
                <w:bCs/>
                <w:kern w:val="0"/>
                <w:sz w:val="24"/>
              </w:rPr>
              <w:t xml:space="preserve"> 分；</w:t>
            </w:r>
          </w:p>
          <w:p w14:paraId="64EF413D">
            <w:pPr>
              <w:wordWrap w:val="0"/>
              <w:spacing w:line="360" w:lineRule="auto"/>
              <w:rPr>
                <w:rFonts w:ascii="宋体" w:hAnsi="宋体"/>
                <w:bCs/>
                <w:sz w:val="24"/>
              </w:rPr>
            </w:pPr>
            <w:r>
              <w:rPr>
                <w:rFonts w:hint="eastAsia" w:ascii="宋体" w:hAnsi="宋体"/>
                <w:bCs/>
                <w:kern w:val="0"/>
                <w:sz w:val="24"/>
              </w:rPr>
              <w:t>（4）本项未提供的不得分。</w:t>
            </w:r>
          </w:p>
        </w:tc>
      </w:tr>
      <w:tr w14:paraId="43AF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846" w:type="dxa"/>
            <w:vMerge w:val="continue"/>
            <w:vAlign w:val="center"/>
          </w:tcPr>
          <w:p w14:paraId="569119A0">
            <w:pPr>
              <w:spacing w:line="360" w:lineRule="auto"/>
              <w:jc w:val="left"/>
              <w:rPr>
                <w:rFonts w:ascii="宋体" w:hAnsi="宋体" w:cs="宋体"/>
                <w:sz w:val="24"/>
              </w:rPr>
            </w:pPr>
          </w:p>
        </w:tc>
        <w:tc>
          <w:tcPr>
            <w:tcW w:w="1198" w:type="dxa"/>
            <w:vMerge w:val="continue"/>
            <w:vAlign w:val="center"/>
          </w:tcPr>
          <w:p w14:paraId="357E20C9">
            <w:pPr>
              <w:spacing w:line="440" w:lineRule="exact"/>
              <w:jc w:val="center"/>
              <w:rPr>
                <w:rFonts w:ascii="宋体" w:hAnsi="宋体" w:cs="宋体"/>
                <w:sz w:val="24"/>
              </w:rPr>
            </w:pPr>
          </w:p>
        </w:tc>
        <w:tc>
          <w:tcPr>
            <w:tcW w:w="1260" w:type="dxa"/>
            <w:shd w:val="clear" w:color="auto" w:fill="auto"/>
            <w:vAlign w:val="center"/>
          </w:tcPr>
          <w:p w14:paraId="2DFF8708">
            <w:pPr>
              <w:wordWrap w:val="0"/>
              <w:spacing w:line="360" w:lineRule="auto"/>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应用服务能力(10分）</w:t>
            </w:r>
          </w:p>
        </w:tc>
        <w:tc>
          <w:tcPr>
            <w:tcW w:w="6336" w:type="dxa"/>
            <w:shd w:val="clear" w:color="auto" w:fill="auto"/>
            <w:vAlign w:val="center"/>
          </w:tcPr>
          <w:p w14:paraId="1C29C51F">
            <w:pPr>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1.供应商能提供与本项目采购内容（自然保护区、湿地管理相关系统）相关的计算机软件著作权登记证书的，每类提供一个得1分，最多得3分。（提供计算机软件著作权登记证书扫描件加盖公章）；</w:t>
            </w:r>
          </w:p>
          <w:p w14:paraId="097BF4E8">
            <w:pPr>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2、供应商获得过工业和信息化部颁发的领域科学技术成果登记证书的，得3分；</w:t>
            </w:r>
          </w:p>
          <w:p w14:paraId="736F160F">
            <w:pPr>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3.供应商提供有效期内的信息系统建设和服务能力等级证书CS2及以上的，得2分；</w:t>
            </w:r>
          </w:p>
          <w:p w14:paraId="01EB54D5">
            <w:pPr>
              <w:wordWrap w:val="0"/>
              <w:spacing w:line="360" w:lineRule="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4.供应商提供有效期内的安防工程企业设计施工维护能力证书三级及以上的，得2分。</w:t>
            </w:r>
          </w:p>
        </w:tc>
      </w:tr>
      <w:tr w14:paraId="6AE1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Merge w:val="restart"/>
            <w:vAlign w:val="center"/>
          </w:tcPr>
          <w:p w14:paraId="673555C8">
            <w:pPr>
              <w:spacing w:line="360" w:lineRule="auto"/>
              <w:jc w:val="left"/>
              <w:rPr>
                <w:rFonts w:ascii="宋体" w:hAnsi="宋体" w:cs="宋体"/>
                <w:sz w:val="24"/>
              </w:rPr>
            </w:pPr>
            <w:r>
              <w:rPr>
                <w:rFonts w:hint="eastAsia" w:ascii="宋体" w:hAnsi="宋体" w:cs="宋体"/>
                <w:sz w:val="24"/>
              </w:rPr>
              <w:t>2.2.1</w:t>
            </w:r>
          </w:p>
          <w:p w14:paraId="23DE7D2D">
            <w:pPr>
              <w:spacing w:line="360" w:lineRule="auto"/>
              <w:jc w:val="center"/>
              <w:rPr>
                <w:rFonts w:ascii="宋体" w:hAnsi="宋体" w:cs="宋体"/>
                <w:sz w:val="24"/>
              </w:rPr>
            </w:pPr>
            <w:r>
              <w:rPr>
                <w:rFonts w:hint="eastAsia" w:ascii="宋体" w:hAnsi="宋体" w:cs="宋体"/>
                <w:sz w:val="24"/>
              </w:rPr>
              <w:t>(3)</w:t>
            </w:r>
          </w:p>
        </w:tc>
        <w:tc>
          <w:tcPr>
            <w:tcW w:w="1198" w:type="dxa"/>
            <w:vMerge w:val="restart"/>
            <w:vAlign w:val="center"/>
          </w:tcPr>
          <w:p w14:paraId="01CB1C06">
            <w:pPr>
              <w:wordWrap w:val="0"/>
              <w:adjustRightInd w:val="0"/>
              <w:snapToGrid w:val="0"/>
              <w:spacing w:line="240" w:lineRule="atLeast"/>
              <w:jc w:val="left"/>
              <w:rPr>
                <w:rFonts w:ascii="宋体" w:hAnsi="宋体" w:cs="宋体"/>
                <w:sz w:val="24"/>
              </w:rPr>
            </w:pPr>
          </w:p>
          <w:p w14:paraId="461DEDBB">
            <w:pPr>
              <w:wordWrap w:val="0"/>
              <w:adjustRightInd w:val="0"/>
              <w:snapToGrid w:val="0"/>
              <w:spacing w:line="240" w:lineRule="atLeast"/>
              <w:jc w:val="left"/>
              <w:rPr>
                <w:rFonts w:ascii="宋体" w:hAnsi="宋体" w:cs="宋体"/>
                <w:sz w:val="24"/>
              </w:rPr>
            </w:pPr>
          </w:p>
          <w:p w14:paraId="4C1B3EAB">
            <w:pPr>
              <w:wordWrap w:val="0"/>
              <w:adjustRightInd w:val="0"/>
              <w:snapToGrid w:val="0"/>
              <w:spacing w:line="240" w:lineRule="atLeast"/>
              <w:jc w:val="left"/>
              <w:rPr>
                <w:rFonts w:ascii="宋体" w:hAnsi="宋体" w:cs="宋体"/>
                <w:sz w:val="24"/>
              </w:rPr>
            </w:pPr>
          </w:p>
          <w:p w14:paraId="6A059FF5">
            <w:pPr>
              <w:wordWrap w:val="0"/>
              <w:adjustRightInd w:val="0"/>
              <w:snapToGrid w:val="0"/>
              <w:spacing w:line="240" w:lineRule="atLeast"/>
              <w:jc w:val="left"/>
              <w:rPr>
                <w:rFonts w:ascii="宋体" w:hAnsi="宋体" w:cs="宋体"/>
                <w:sz w:val="24"/>
              </w:rPr>
            </w:pPr>
          </w:p>
          <w:p w14:paraId="556B3A1E">
            <w:pPr>
              <w:wordWrap w:val="0"/>
              <w:adjustRightInd w:val="0"/>
              <w:snapToGrid w:val="0"/>
              <w:spacing w:line="240" w:lineRule="atLeast"/>
              <w:jc w:val="left"/>
              <w:rPr>
                <w:rFonts w:ascii="宋体" w:hAnsi="宋体" w:cs="宋体"/>
                <w:sz w:val="24"/>
              </w:rPr>
            </w:pPr>
          </w:p>
          <w:p w14:paraId="49EA52A4">
            <w:pPr>
              <w:wordWrap w:val="0"/>
              <w:adjustRightInd w:val="0"/>
              <w:snapToGrid w:val="0"/>
              <w:spacing w:line="240" w:lineRule="atLeast"/>
              <w:jc w:val="left"/>
              <w:rPr>
                <w:rFonts w:ascii="宋体" w:hAnsi="宋体" w:cs="宋体"/>
                <w:sz w:val="24"/>
              </w:rPr>
            </w:pPr>
          </w:p>
          <w:p w14:paraId="786CADB8">
            <w:pPr>
              <w:wordWrap w:val="0"/>
              <w:adjustRightInd w:val="0"/>
              <w:snapToGrid w:val="0"/>
              <w:spacing w:line="240" w:lineRule="atLeast"/>
              <w:jc w:val="left"/>
              <w:rPr>
                <w:rFonts w:ascii="宋体" w:hAnsi="宋体" w:cs="宋体"/>
                <w:sz w:val="24"/>
              </w:rPr>
            </w:pPr>
            <w:r>
              <w:rPr>
                <w:rFonts w:hint="eastAsia" w:ascii="宋体" w:hAnsi="宋体" w:cs="宋体"/>
                <w:sz w:val="24"/>
              </w:rPr>
              <w:t>综合标</w:t>
            </w:r>
          </w:p>
          <w:p w14:paraId="3E88C02B">
            <w:pPr>
              <w:wordWrap w:val="0"/>
              <w:adjustRightInd w:val="0"/>
              <w:snapToGrid w:val="0"/>
              <w:spacing w:line="240" w:lineRule="atLeast"/>
              <w:jc w:val="left"/>
              <w:rPr>
                <w:rFonts w:ascii="宋体" w:hAnsi="宋体" w:cs="宋体"/>
                <w:sz w:val="24"/>
              </w:rPr>
            </w:pPr>
            <w:r>
              <w:rPr>
                <w:rFonts w:hint="eastAsia" w:ascii="宋体" w:hAnsi="宋体" w:cs="宋体"/>
                <w:sz w:val="24"/>
              </w:rPr>
              <w:t>（30分）</w:t>
            </w:r>
          </w:p>
        </w:tc>
        <w:tc>
          <w:tcPr>
            <w:tcW w:w="1260" w:type="dxa"/>
            <w:vAlign w:val="center"/>
          </w:tcPr>
          <w:p w14:paraId="055C6320">
            <w:pPr>
              <w:pStyle w:val="14"/>
              <w:rPr>
                <w:rFonts w:ascii="宋体" w:hAnsi="宋体"/>
                <w:sz w:val="24"/>
                <w:szCs w:val="24"/>
              </w:rPr>
            </w:pPr>
            <w:r>
              <w:rPr>
                <w:rFonts w:hint="eastAsia" w:ascii="宋体" w:hAnsi="宋体"/>
                <w:sz w:val="24"/>
                <w:szCs w:val="24"/>
              </w:rPr>
              <w:t>企业业绩</w:t>
            </w:r>
          </w:p>
          <w:p w14:paraId="15116572">
            <w:pPr>
              <w:pStyle w:val="14"/>
              <w:rPr>
                <w:rFonts w:ascii="宋体" w:hAnsi="宋体" w:cs="宋体"/>
                <w:sz w:val="24"/>
                <w:szCs w:val="24"/>
              </w:rPr>
            </w:pPr>
            <w:r>
              <w:rPr>
                <w:rFonts w:hint="eastAsia" w:ascii="宋体" w:hAnsi="宋体"/>
                <w:sz w:val="24"/>
                <w:szCs w:val="24"/>
              </w:rPr>
              <w:t>（</w:t>
            </w:r>
            <w:r>
              <w:rPr>
                <w:rFonts w:hint="eastAsia" w:ascii="宋体" w:hAnsi="宋体"/>
                <w:sz w:val="24"/>
                <w:szCs w:val="24"/>
                <w:lang w:val="en-US" w:eastAsia="zh-CN"/>
              </w:rPr>
              <w:t>10</w:t>
            </w:r>
            <w:r>
              <w:rPr>
                <w:rFonts w:hint="eastAsia" w:ascii="宋体" w:hAnsi="宋体"/>
                <w:sz w:val="24"/>
                <w:szCs w:val="24"/>
              </w:rPr>
              <w:t>分）</w:t>
            </w:r>
          </w:p>
        </w:tc>
        <w:tc>
          <w:tcPr>
            <w:tcW w:w="6336" w:type="dxa"/>
            <w:vAlign w:val="center"/>
          </w:tcPr>
          <w:p w14:paraId="5B3B0EA9">
            <w:pPr>
              <w:pStyle w:val="14"/>
              <w:rPr>
                <w:rFonts w:ascii="宋体" w:hAnsi="宋体" w:cs="宋体"/>
                <w:sz w:val="24"/>
                <w:szCs w:val="24"/>
              </w:rPr>
            </w:pPr>
            <w:r>
              <w:rPr>
                <w:rFonts w:hint="eastAsia" w:ascii="宋体" w:hAnsi="宋体" w:eastAsia="宋体" w:cs="Times New Roman"/>
                <w:bCs/>
                <w:kern w:val="2"/>
                <w:sz w:val="24"/>
                <w:szCs w:val="24"/>
                <w:lang w:val="en-US" w:eastAsia="zh-CN" w:bidi="ar-SA"/>
              </w:rPr>
              <w:t>供应商提供自2022年1月1日（合同签订时间为准）以来自然保护地类似信息化项目业绩合同，合同服务内容包含智慧化平台建设内容，每提供一个得2分，最多得10分。（提供中标通知书、合同扫描件、验收报告，未按要求提供的均不得分）</w:t>
            </w:r>
          </w:p>
        </w:tc>
      </w:tr>
      <w:tr w14:paraId="621D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846" w:type="dxa"/>
            <w:vMerge w:val="continue"/>
            <w:vAlign w:val="center"/>
          </w:tcPr>
          <w:p w14:paraId="78005137">
            <w:pPr>
              <w:wordWrap w:val="0"/>
              <w:spacing w:line="360" w:lineRule="auto"/>
              <w:jc w:val="center"/>
              <w:rPr>
                <w:rFonts w:ascii="宋体" w:hAnsi="宋体" w:cs="宋体"/>
                <w:sz w:val="24"/>
              </w:rPr>
            </w:pPr>
          </w:p>
        </w:tc>
        <w:tc>
          <w:tcPr>
            <w:tcW w:w="1198" w:type="dxa"/>
            <w:vMerge w:val="continue"/>
            <w:vAlign w:val="center"/>
          </w:tcPr>
          <w:p w14:paraId="20A94B43">
            <w:pPr>
              <w:wordWrap w:val="0"/>
              <w:spacing w:line="360" w:lineRule="auto"/>
              <w:jc w:val="center"/>
              <w:rPr>
                <w:rFonts w:ascii="宋体" w:hAnsi="宋体" w:cs="宋体"/>
                <w:sz w:val="24"/>
              </w:rPr>
            </w:pPr>
          </w:p>
        </w:tc>
        <w:tc>
          <w:tcPr>
            <w:tcW w:w="1260" w:type="dxa"/>
            <w:vMerge w:val="restart"/>
            <w:shd w:val="clear" w:color="auto" w:fill="auto"/>
            <w:vAlign w:val="center"/>
          </w:tcPr>
          <w:p w14:paraId="0E7CD7C6">
            <w:pPr>
              <w:pStyle w:val="14"/>
              <w:rPr>
                <w:rFonts w:ascii="宋体" w:hAnsi="宋体" w:cs="宋体"/>
                <w:sz w:val="24"/>
                <w:szCs w:val="24"/>
              </w:rPr>
            </w:pPr>
            <w:r>
              <w:rPr>
                <w:rFonts w:hint="eastAsia" w:ascii="宋体" w:hAnsi="宋体"/>
                <w:sz w:val="24"/>
                <w:szCs w:val="24"/>
              </w:rPr>
              <w:t>企业实力证书（</w:t>
            </w:r>
            <w:r>
              <w:rPr>
                <w:rFonts w:hint="eastAsia" w:ascii="宋体" w:hAnsi="宋体"/>
                <w:sz w:val="24"/>
                <w:szCs w:val="24"/>
                <w:lang w:val="en-US" w:eastAsia="zh-CN"/>
              </w:rPr>
              <w:t>5</w:t>
            </w:r>
            <w:r>
              <w:rPr>
                <w:rFonts w:hint="eastAsia" w:ascii="宋体" w:hAnsi="宋体"/>
                <w:sz w:val="24"/>
                <w:szCs w:val="24"/>
              </w:rPr>
              <w:t>分）</w:t>
            </w:r>
          </w:p>
        </w:tc>
        <w:tc>
          <w:tcPr>
            <w:tcW w:w="6336" w:type="dxa"/>
            <w:vAlign w:val="center"/>
          </w:tcPr>
          <w:p w14:paraId="67F6CD57">
            <w:pPr>
              <w:spacing w:line="400" w:lineRule="exact"/>
              <w:rPr>
                <w:rFonts w:ascii="宋体" w:hAnsi="宋体"/>
                <w:bCs/>
                <w:sz w:val="24"/>
              </w:rPr>
            </w:pPr>
            <w:r>
              <w:rPr>
                <w:rFonts w:hint="eastAsia" w:ascii="宋体" w:hAnsi="宋体" w:eastAsia="宋体" w:cs="黑体"/>
                <w:kern w:val="2"/>
                <w:sz w:val="24"/>
                <w:szCs w:val="24"/>
                <w:lang w:val="en-US" w:eastAsia="zh-CN" w:bidi="ar-SA"/>
              </w:rPr>
              <w:t>供应商提供有效期内的ISO9001质量管理体系认证、ISO14001环境管理体系认证、ISO20000信息技术服务管理体系认证、ISO27001信息安全管理体系认证、ISO45001职业健康安全管理体系认证；每提供一项认证证书得1分，最高得5分，未提供或不满足要求的，该项不得分。</w:t>
            </w:r>
          </w:p>
        </w:tc>
      </w:tr>
      <w:tr w14:paraId="5380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3" w:hRule="atLeast"/>
          <w:jc w:val="center"/>
        </w:trPr>
        <w:tc>
          <w:tcPr>
            <w:tcW w:w="846" w:type="dxa"/>
            <w:vMerge w:val="continue"/>
            <w:vAlign w:val="center"/>
          </w:tcPr>
          <w:p w14:paraId="7F96AE3F">
            <w:pPr>
              <w:wordWrap w:val="0"/>
              <w:spacing w:line="360" w:lineRule="auto"/>
              <w:jc w:val="center"/>
              <w:rPr>
                <w:rFonts w:ascii="宋体" w:hAnsi="宋体" w:cs="宋体"/>
                <w:sz w:val="24"/>
              </w:rPr>
            </w:pPr>
          </w:p>
        </w:tc>
        <w:tc>
          <w:tcPr>
            <w:tcW w:w="1198" w:type="dxa"/>
            <w:vMerge w:val="continue"/>
            <w:vAlign w:val="center"/>
          </w:tcPr>
          <w:p w14:paraId="128037D1">
            <w:pPr>
              <w:wordWrap w:val="0"/>
              <w:spacing w:line="360" w:lineRule="auto"/>
              <w:jc w:val="center"/>
              <w:rPr>
                <w:rFonts w:ascii="宋体" w:hAnsi="宋体" w:cs="宋体"/>
                <w:sz w:val="24"/>
              </w:rPr>
            </w:pPr>
          </w:p>
        </w:tc>
        <w:tc>
          <w:tcPr>
            <w:tcW w:w="1260" w:type="dxa"/>
            <w:shd w:val="clear" w:color="auto" w:fill="auto"/>
            <w:vAlign w:val="center"/>
          </w:tcPr>
          <w:p w14:paraId="6AC8E250">
            <w:pPr>
              <w:pStyle w:val="14"/>
              <w:rPr>
                <w:rFonts w:hint="eastAsia" w:ascii="宋体" w:hAnsi="宋体" w:eastAsia="宋体" w:cs="黑体"/>
                <w:kern w:val="2"/>
                <w:sz w:val="24"/>
                <w:szCs w:val="24"/>
                <w:lang w:val="en-US" w:eastAsia="zh-CN" w:bidi="ar-SA"/>
              </w:rPr>
            </w:pPr>
            <w:r>
              <w:rPr>
                <w:rFonts w:hint="eastAsia" w:ascii="宋体" w:hAnsi="宋体" w:eastAsia="宋体" w:cs="黑体"/>
                <w:kern w:val="2"/>
                <w:sz w:val="24"/>
                <w:szCs w:val="24"/>
                <w:lang w:val="en-US" w:eastAsia="zh-CN" w:bidi="ar-SA"/>
              </w:rPr>
              <w:t>项目人员组成（15分）</w:t>
            </w:r>
          </w:p>
        </w:tc>
        <w:tc>
          <w:tcPr>
            <w:tcW w:w="6336" w:type="dxa"/>
            <w:vAlign w:val="center"/>
          </w:tcPr>
          <w:p w14:paraId="5872A81C">
            <w:pPr>
              <w:numPr>
                <w:ilvl w:val="0"/>
                <w:numId w:val="10"/>
              </w:numPr>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供应商拟派本项目项目负责人具有计算机技术</w:t>
            </w:r>
            <w:r>
              <w:rPr>
                <w:rFonts w:hint="eastAsia" w:ascii="宋体" w:hAnsi="宋体" w:cs="Times New Roman"/>
                <w:bCs/>
                <w:kern w:val="2"/>
                <w:sz w:val="24"/>
                <w:szCs w:val="24"/>
                <w:lang w:val="en-US" w:eastAsia="zh-CN" w:bidi="ar-SA"/>
              </w:rPr>
              <w:t>或</w:t>
            </w:r>
            <w:r>
              <w:rPr>
                <w:rFonts w:hint="eastAsia" w:ascii="宋体" w:hAnsi="宋体" w:eastAsia="宋体" w:cs="Times New Roman"/>
                <w:bCs/>
                <w:kern w:val="2"/>
                <w:sz w:val="24"/>
                <w:szCs w:val="24"/>
                <w:lang w:val="en-US" w:eastAsia="zh-CN" w:bidi="ar-SA"/>
              </w:rPr>
              <w:t>软件类高级职称的，且证书在有效期内的得4分；</w:t>
            </w:r>
          </w:p>
          <w:p w14:paraId="41A82F36">
            <w:pPr>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2.供应商拟派本项目组成员具有计算机技术</w:t>
            </w:r>
            <w:r>
              <w:rPr>
                <w:rFonts w:hint="eastAsia" w:ascii="宋体" w:hAnsi="宋体" w:cs="Times New Roman"/>
                <w:bCs/>
                <w:kern w:val="2"/>
                <w:sz w:val="24"/>
                <w:szCs w:val="24"/>
                <w:lang w:val="en-US" w:eastAsia="zh-CN" w:bidi="ar-SA"/>
              </w:rPr>
              <w:t>或</w:t>
            </w:r>
            <w:r>
              <w:rPr>
                <w:rFonts w:hint="eastAsia" w:ascii="宋体" w:hAnsi="宋体" w:eastAsia="宋体" w:cs="Times New Roman"/>
                <w:bCs/>
                <w:kern w:val="2"/>
                <w:sz w:val="24"/>
                <w:szCs w:val="24"/>
                <w:lang w:val="en-US" w:eastAsia="zh-CN" w:bidi="ar-SA"/>
              </w:rPr>
              <w:t>软件类中级及以上职称的，每有1个得2分，最高得</w:t>
            </w:r>
            <w:r>
              <w:rPr>
                <w:rFonts w:hint="eastAsia" w:ascii="宋体" w:hAnsi="宋体" w:cs="Times New Roman"/>
                <w:bCs/>
                <w:kern w:val="2"/>
                <w:sz w:val="24"/>
                <w:szCs w:val="24"/>
                <w:lang w:val="en-US" w:eastAsia="zh-CN" w:bidi="ar-SA"/>
              </w:rPr>
              <w:t>4</w:t>
            </w:r>
            <w:r>
              <w:rPr>
                <w:rFonts w:hint="eastAsia" w:ascii="宋体" w:hAnsi="宋体" w:eastAsia="宋体" w:cs="Times New Roman"/>
                <w:bCs/>
                <w:kern w:val="2"/>
                <w:sz w:val="24"/>
                <w:szCs w:val="24"/>
                <w:lang w:val="en-US" w:eastAsia="zh-CN" w:bidi="ar-SA"/>
              </w:rPr>
              <w:t>分；</w:t>
            </w:r>
          </w:p>
          <w:p w14:paraId="6C27F9D0">
            <w:pPr>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3.供应商拟派本项目服务团队人数少于10人不得分，10人以上，每多1人得1分，最多得</w:t>
            </w:r>
            <w:r>
              <w:rPr>
                <w:rFonts w:hint="eastAsia" w:ascii="宋体" w:hAnsi="宋体" w:cs="Times New Roman"/>
                <w:bCs/>
                <w:kern w:val="2"/>
                <w:sz w:val="24"/>
                <w:szCs w:val="24"/>
                <w:lang w:val="en-US" w:eastAsia="zh-CN" w:bidi="ar-SA"/>
              </w:rPr>
              <w:t>7</w:t>
            </w:r>
            <w:r>
              <w:rPr>
                <w:rFonts w:hint="eastAsia" w:ascii="宋体" w:hAnsi="宋体" w:eastAsia="宋体" w:cs="Times New Roman"/>
                <w:bCs/>
                <w:kern w:val="2"/>
                <w:sz w:val="24"/>
                <w:szCs w:val="24"/>
                <w:lang w:val="en-US" w:eastAsia="zh-CN" w:bidi="ar-SA"/>
              </w:rPr>
              <w:t>分。</w:t>
            </w:r>
          </w:p>
          <w:p w14:paraId="35D3486C">
            <w:pPr>
              <w:pStyle w:val="14"/>
              <w:rPr>
                <w:rFonts w:hint="eastAsia" w:ascii="宋体" w:hAnsi="宋体" w:eastAsia="宋体" w:cs="黑体"/>
                <w:kern w:val="2"/>
                <w:sz w:val="24"/>
                <w:szCs w:val="24"/>
                <w:lang w:val="en-US" w:eastAsia="zh-CN" w:bidi="ar-SA"/>
              </w:rPr>
            </w:pPr>
            <w:r>
              <w:rPr>
                <w:rFonts w:hint="eastAsia" w:ascii="宋体" w:hAnsi="宋体" w:eastAsia="宋体" w:cs="Times New Roman"/>
                <w:bCs/>
                <w:kern w:val="2"/>
                <w:sz w:val="24"/>
                <w:szCs w:val="24"/>
                <w:lang w:val="en-US" w:eastAsia="zh-CN" w:bidi="ar-SA"/>
              </w:rPr>
              <w:t>注：以上人员需提供相应身份证、职称证书和近半年以来连续三个月供应商为其缴纳的社保证明材料，以上资料复印件或扫描件并加盖单位公章，未按要求提供不得分。</w:t>
            </w:r>
          </w:p>
        </w:tc>
      </w:tr>
    </w:tbl>
    <w:p w14:paraId="3BA8976F">
      <w:pPr>
        <w:wordWrap w:val="0"/>
        <w:spacing w:line="360" w:lineRule="auto"/>
        <w:jc w:val="center"/>
        <w:rPr>
          <w:rFonts w:ascii="宋体" w:hAnsi="宋体" w:cs="宋体"/>
          <w:sz w:val="24"/>
          <w:lang w:val="zh-CN"/>
        </w:rPr>
      </w:pPr>
    </w:p>
    <w:p w14:paraId="5DD6C6D5">
      <w:pPr>
        <w:spacing w:line="480" w:lineRule="auto"/>
        <w:jc w:val="both"/>
        <w:rPr>
          <w:rFonts w:ascii="宋体" w:hAnsi="宋体" w:cs="宋体"/>
          <w:b/>
          <w:sz w:val="32"/>
          <w:szCs w:val="36"/>
          <w:lang w:val="zh-CN"/>
        </w:rPr>
      </w:pPr>
    </w:p>
    <w:p w14:paraId="0FB5A1B8">
      <w:pPr>
        <w:spacing w:line="480" w:lineRule="auto"/>
        <w:jc w:val="center"/>
        <w:rPr>
          <w:rFonts w:hint="eastAsia" w:ascii="宋体" w:hAnsi="宋体" w:cs="宋体"/>
          <w:b/>
          <w:sz w:val="32"/>
          <w:szCs w:val="36"/>
          <w:lang w:val="zh-CN"/>
        </w:rPr>
      </w:pPr>
    </w:p>
    <w:p w14:paraId="4E14448E">
      <w:pPr>
        <w:spacing w:line="480" w:lineRule="auto"/>
        <w:jc w:val="center"/>
        <w:rPr>
          <w:rFonts w:hint="eastAsia" w:ascii="宋体" w:hAnsi="宋体" w:cs="宋体"/>
          <w:b/>
          <w:sz w:val="32"/>
          <w:szCs w:val="36"/>
          <w:lang w:val="zh-CN"/>
        </w:rPr>
      </w:pPr>
    </w:p>
    <w:p w14:paraId="71C3B0EF">
      <w:pPr>
        <w:spacing w:line="480" w:lineRule="auto"/>
        <w:jc w:val="center"/>
        <w:rPr>
          <w:rFonts w:hint="eastAsia" w:ascii="宋体" w:hAnsi="宋体" w:cs="宋体"/>
          <w:b/>
          <w:sz w:val="32"/>
          <w:szCs w:val="36"/>
          <w:lang w:val="zh-CN"/>
        </w:rPr>
      </w:pPr>
    </w:p>
    <w:p w14:paraId="2B5A3EF8">
      <w:pPr>
        <w:spacing w:line="480" w:lineRule="auto"/>
        <w:jc w:val="center"/>
        <w:rPr>
          <w:rFonts w:hint="eastAsia" w:ascii="宋体" w:hAnsi="宋体" w:cs="宋体"/>
          <w:b/>
          <w:sz w:val="32"/>
          <w:szCs w:val="36"/>
          <w:lang w:val="zh-CN"/>
        </w:rPr>
      </w:pPr>
    </w:p>
    <w:p w14:paraId="5E90BA1F">
      <w:pPr>
        <w:spacing w:line="480" w:lineRule="auto"/>
        <w:jc w:val="center"/>
        <w:rPr>
          <w:rFonts w:ascii="宋体" w:hAnsi="宋体" w:cs="宋体"/>
          <w:b/>
          <w:sz w:val="32"/>
          <w:szCs w:val="36"/>
          <w:lang w:val="zh-CN"/>
        </w:rPr>
      </w:pPr>
      <w:r>
        <w:rPr>
          <w:rFonts w:hint="eastAsia" w:ascii="宋体" w:hAnsi="宋体" w:cs="宋体"/>
          <w:b/>
          <w:sz w:val="32"/>
          <w:szCs w:val="36"/>
          <w:lang w:val="zh-CN"/>
        </w:rPr>
        <w:t>第五章</w:t>
      </w:r>
      <w:r>
        <w:rPr>
          <w:rFonts w:hint="eastAsia" w:ascii="宋体" w:hAnsi="宋体" w:cs="宋体"/>
          <w:b/>
          <w:sz w:val="32"/>
          <w:szCs w:val="36"/>
        </w:rPr>
        <w:t xml:space="preserve">  </w:t>
      </w:r>
      <w:r>
        <w:rPr>
          <w:rFonts w:hint="eastAsia" w:ascii="宋体" w:hAnsi="宋体" w:cs="宋体"/>
          <w:b/>
          <w:sz w:val="32"/>
          <w:szCs w:val="36"/>
          <w:lang w:val="zh-CN"/>
        </w:rPr>
        <w:t>合同条款</w:t>
      </w:r>
      <w:bookmarkEnd w:id="26"/>
      <w:r>
        <w:rPr>
          <w:rFonts w:hint="eastAsia" w:ascii="宋体" w:hAnsi="宋体" w:cs="宋体"/>
          <w:b/>
          <w:sz w:val="32"/>
          <w:szCs w:val="36"/>
          <w:lang w:val="zh-CN"/>
        </w:rPr>
        <w:t>及格式</w:t>
      </w:r>
    </w:p>
    <w:p w14:paraId="0666201D">
      <w:pPr>
        <w:spacing w:line="480" w:lineRule="auto"/>
        <w:rPr>
          <w:rFonts w:ascii="宋体" w:hAnsi="宋体" w:cs="宋体"/>
          <w:b/>
          <w:sz w:val="32"/>
          <w:szCs w:val="36"/>
          <w:lang w:val="zh-CN"/>
        </w:rPr>
      </w:pPr>
    </w:p>
    <w:p w14:paraId="7288192D">
      <w:pPr>
        <w:widowControl/>
        <w:snapToGrid w:val="0"/>
        <w:spacing w:line="480" w:lineRule="exact"/>
        <w:ind w:firstLine="482" w:firstLineChars="200"/>
        <w:jc w:val="center"/>
        <w:rPr>
          <w:rFonts w:ascii="宋体" w:cs="宋体"/>
          <w:sz w:val="24"/>
        </w:rPr>
      </w:pPr>
      <w:bookmarkStart w:id="28" w:name="_Toc5790"/>
      <w:bookmarkStart w:id="29" w:name="_Toc24785"/>
      <w:r>
        <w:rPr>
          <w:rFonts w:hint="eastAsia" w:ascii="宋体" w:hAnsi="宋体" w:cs="宋体"/>
          <w:b/>
          <w:sz w:val="24"/>
          <w:lang w:bidi="ar"/>
        </w:rPr>
        <w:t>（</w:t>
      </w:r>
      <w:r>
        <w:rPr>
          <w:rFonts w:hint="eastAsia" w:ascii="宋体" w:hAnsi="宋体" w:cs="宋体"/>
          <w:sz w:val="24"/>
          <w:lang w:bidi="ar"/>
        </w:rPr>
        <w:t>合同格式仅供参考，采购人可根据采购项目的实际情况增减条款和内容</w:t>
      </w:r>
      <w:r>
        <w:rPr>
          <w:rFonts w:hint="eastAsia" w:ascii="宋体" w:hAnsi="宋体" w:cs="宋体"/>
          <w:b/>
          <w:sz w:val="24"/>
          <w:lang w:bidi="ar"/>
        </w:rPr>
        <w:t>）</w:t>
      </w:r>
    </w:p>
    <w:bookmarkEnd w:id="28"/>
    <w:bookmarkEnd w:id="29"/>
    <w:p w14:paraId="7A649D9C">
      <w:pPr>
        <w:spacing w:line="360" w:lineRule="auto"/>
        <w:ind w:firstLine="480" w:firstLineChars="200"/>
        <w:rPr>
          <w:rFonts w:ascii="宋体" w:hAnsi="宋体"/>
          <w:sz w:val="24"/>
        </w:rPr>
      </w:pPr>
      <w:bookmarkStart w:id="30" w:name="_Toc469928907"/>
      <w:r>
        <w:rPr>
          <w:rFonts w:hint="eastAsia" w:ascii="宋体" w:hAnsi="宋体"/>
          <w:sz w:val="24"/>
        </w:rPr>
        <w:t>需       方：</w:t>
      </w:r>
    </w:p>
    <w:p w14:paraId="37EBC1CD">
      <w:pPr>
        <w:spacing w:line="360" w:lineRule="auto"/>
        <w:ind w:firstLine="480" w:firstLineChars="200"/>
        <w:rPr>
          <w:rFonts w:ascii="宋体" w:hAnsi="宋体"/>
          <w:sz w:val="24"/>
        </w:rPr>
      </w:pPr>
    </w:p>
    <w:p w14:paraId="5E4C15D2">
      <w:pPr>
        <w:spacing w:line="360" w:lineRule="auto"/>
        <w:ind w:firstLine="480" w:firstLineChars="200"/>
        <w:rPr>
          <w:rFonts w:ascii="宋体" w:hAnsi="宋体"/>
          <w:sz w:val="24"/>
        </w:rPr>
      </w:pPr>
      <w:r>
        <w:rPr>
          <w:rFonts w:hint="eastAsia" w:ascii="宋体" w:hAnsi="宋体"/>
          <w:sz w:val="24"/>
        </w:rPr>
        <w:t>供       方：</w:t>
      </w:r>
    </w:p>
    <w:p w14:paraId="130362DA">
      <w:pPr>
        <w:spacing w:line="360" w:lineRule="auto"/>
        <w:ind w:firstLine="480" w:firstLineChars="200"/>
        <w:rPr>
          <w:rFonts w:ascii="宋体" w:hAnsi="宋体"/>
          <w:sz w:val="24"/>
        </w:rPr>
      </w:pPr>
      <w:r>
        <w:rPr>
          <w:rFonts w:hint="eastAsia" w:ascii="宋体" w:hAnsi="宋体"/>
          <w:sz w:val="24"/>
        </w:rPr>
        <w:t>供方在</w:t>
      </w:r>
      <w:r>
        <w:rPr>
          <w:rFonts w:hint="eastAsia" w:ascii="宋体" w:hAnsi="宋体"/>
          <w:sz w:val="24"/>
          <w:lang w:eastAsia="zh-CN"/>
        </w:rPr>
        <w:t>灵宝市林业局</w:t>
      </w:r>
      <w:r>
        <w:rPr>
          <w:rFonts w:hint="eastAsia" w:ascii="宋体" w:hAnsi="宋体"/>
          <w:sz w:val="24"/>
        </w:rPr>
        <w:t>组织的</w:t>
      </w:r>
      <w:r>
        <w:rPr>
          <w:rFonts w:hint="eastAsia" w:ascii="宋体" w:hAnsi="宋体"/>
          <w:sz w:val="24"/>
          <w:lang w:eastAsia="zh-CN"/>
        </w:rPr>
        <w:t>2025年中央财政河南黄河湿地灵宝段国家级自然保护区监测中心智慧化数据建设项目</w:t>
      </w:r>
      <w:r>
        <w:rPr>
          <w:rFonts w:hint="eastAsia" w:ascii="宋体" w:hAnsi="宋体"/>
          <w:sz w:val="24"/>
        </w:rPr>
        <w:t>中中标，经双方协商一致，签订本合同。</w:t>
      </w:r>
    </w:p>
    <w:p w14:paraId="63DE9DBE">
      <w:pPr>
        <w:spacing w:line="360" w:lineRule="auto"/>
        <w:ind w:firstLine="480" w:firstLineChars="200"/>
        <w:rPr>
          <w:rFonts w:ascii="宋体" w:hAnsi="宋体"/>
          <w:sz w:val="24"/>
        </w:rPr>
      </w:pPr>
      <w:r>
        <w:rPr>
          <w:rFonts w:hint="eastAsia" w:ascii="宋体" w:hAnsi="宋体"/>
          <w:sz w:val="24"/>
        </w:rPr>
        <w:t>一、服务条款</w:t>
      </w:r>
    </w:p>
    <w:p w14:paraId="1830C868">
      <w:pPr>
        <w:spacing w:line="360" w:lineRule="auto"/>
        <w:ind w:firstLine="480" w:firstLineChars="200"/>
        <w:rPr>
          <w:rFonts w:ascii="宋体" w:hAnsi="宋体"/>
          <w:sz w:val="24"/>
        </w:rPr>
      </w:pPr>
      <w:r>
        <w:rPr>
          <w:rFonts w:hint="eastAsia" w:ascii="宋体" w:hAnsi="宋体"/>
          <w:sz w:val="24"/>
        </w:rPr>
        <w:t xml:space="preserve">供方向需方提供    </w:t>
      </w:r>
    </w:p>
    <w:p w14:paraId="235D466B">
      <w:pPr>
        <w:spacing w:line="360" w:lineRule="auto"/>
        <w:ind w:firstLine="480" w:firstLineChars="200"/>
        <w:rPr>
          <w:rFonts w:ascii="宋体" w:hAnsi="宋体"/>
          <w:sz w:val="24"/>
        </w:rPr>
      </w:pPr>
      <w:r>
        <w:rPr>
          <w:rFonts w:hint="eastAsia" w:ascii="宋体" w:hAnsi="宋体"/>
          <w:sz w:val="24"/>
        </w:rPr>
        <w:t xml:space="preserve">1、                    </w:t>
      </w:r>
    </w:p>
    <w:p w14:paraId="4B3E6EA0">
      <w:pPr>
        <w:spacing w:line="360" w:lineRule="auto"/>
        <w:ind w:firstLine="480" w:firstLineChars="200"/>
        <w:rPr>
          <w:rFonts w:ascii="宋体" w:hAnsi="宋体"/>
          <w:sz w:val="24"/>
        </w:rPr>
      </w:pPr>
      <w:r>
        <w:rPr>
          <w:rFonts w:hint="eastAsia" w:ascii="宋体" w:hAnsi="宋体"/>
          <w:sz w:val="24"/>
        </w:rPr>
        <w:t xml:space="preserve">2、                    </w:t>
      </w:r>
    </w:p>
    <w:p w14:paraId="26922927">
      <w:pPr>
        <w:spacing w:line="360" w:lineRule="auto"/>
        <w:ind w:firstLine="480" w:firstLineChars="200"/>
        <w:rPr>
          <w:rFonts w:ascii="宋体" w:hAnsi="宋体"/>
          <w:sz w:val="24"/>
        </w:rPr>
      </w:pPr>
      <w:r>
        <w:rPr>
          <w:rFonts w:hint="eastAsia" w:ascii="宋体" w:hAnsi="宋体"/>
          <w:sz w:val="24"/>
        </w:rPr>
        <w:t>……</w:t>
      </w:r>
    </w:p>
    <w:p w14:paraId="7CBD9543">
      <w:pPr>
        <w:spacing w:line="360" w:lineRule="auto"/>
        <w:ind w:firstLine="480" w:firstLineChars="200"/>
        <w:rPr>
          <w:rFonts w:ascii="宋体" w:hAnsi="宋体"/>
          <w:sz w:val="24"/>
        </w:rPr>
      </w:pPr>
      <w:r>
        <w:rPr>
          <w:rFonts w:hint="eastAsia" w:ascii="宋体" w:hAnsi="宋体"/>
          <w:sz w:val="24"/>
        </w:rPr>
        <w:t>二、合同总金额:</w:t>
      </w:r>
    </w:p>
    <w:p w14:paraId="50177ED6">
      <w:pPr>
        <w:spacing w:line="360" w:lineRule="auto"/>
        <w:ind w:firstLine="480" w:firstLineChars="200"/>
        <w:rPr>
          <w:rFonts w:ascii="宋体" w:hAnsi="宋体"/>
          <w:sz w:val="24"/>
        </w:rPr>
      </w:pPr>
      <w:r>
        <w:rPr>
          <w:rFonts w:hint="eastAsia" w:ascii="宋体" w:hAnsi="宋体"/>
          <w:sz w:val="24"/>
        </w:rPr>
        <w:t xml:space="preserve">人民币（大写）： </w:t>
      </w:r>
    </w:p>
    <w:p w14:paraId="7FFF34AC">
      <w:pPr>
        <w:spacing w:line="360" w:lineRule="auto"/>
        <w:ind w:firstLine="480" w:firstLineChars="200"/>
        <w:rPr>
          <w:rFonts w:ascii="宋体" w:hAnsi="宋体"/>
          <w:sz w:val="24"/>
        </w:rPr>
      </w:pPr>
      <w:r>
        <w:rPr>
          <w:rFonts w:hint="eastAsia" w:ascii="宋体" w:hAnsi="宋体"/>
          <w:sz w:val="24"/>
        </w:rPr>
        <w:t xml:space="preserve">      （小写）：￥</w:t>
      </w:r>
    </w:p>
    <w:p w14:paraId="6E8BF65B">
      <w:pPr>
        <w:spacing w:line="360" w:lineRule="auto"/>
        <w:ind w:firstLine="480" w:firstLineChars="200"/>
        <w:rPr>
          <w:rFonts w:ascii="宋体" w:hAnsi="宋体"/>
          <w:sz w:val="24"/>
        </w:rPr>
      </w:pPr>
      <w:r>
        <w:rPr>
          <w:rFonts w:hint="eastAsia" w:ascii="宋体" w:hAnsi="宋体"/>
          <w:sz w:val="24"/>
        </w:rPr>
        <w:t>此合同为固定价款合同，价格不因国家政策变化而变化。</w:t>
      </w:r>
    </w:p>
    <w:p w14:paraId="71FA3A62">
      <w:pPr>
        <w:spacing w:line="360" w:lineRule="auto"/>
        <w:ind w:firstLine="480" w:firstLineChars="200"/>
        <w:rPr>
          <w:rFonts w:ascii="宋体" w:hAnsi="宋体"/>
          <w:sz w:val="24"/>
        </w:rPr>
      </w:pPr>
      <w:r>
        <w:rPr>
          <w:rFonts w:hint="eastAsia" w:ascii="宋体" w:hAnsi="宋体"/>
          <w:sz w:val="24"/>
        </w:rPr>
        <w:t>三、验收及付款</w:t>
      </w:r>
    </w:p>
    <w:p w14:paraId="24E061DA">
      <w:pPr>
        <w:spacing w:line="360" w:lineRule="auto"/>
        <w:ind w:firstLine="480" w:firstLineChars="200"/>
        <w:rPr>
          <w:rFonts w:ascii="宋体" w:hAnsi="宋体"/>
          <w:sz w:val="24"/>
        </w:rPr>
      </w:pPr>
    </w:p>
    <w:p w14:paraId="06A60857">
      <w:pPr>
        <w:spacing w:line="360" w:lineRule="auto"/>
        <w:ind w:firstLine="480" w:firstLineChars="200"/>
        <w:rPr>
          <w:rFonts w:ascii="宋体" w:hAnsi="宋体"/>
          <w:sz w:val="24"/>
        </w:rPr>
      </w:pPr>
      <w:r>
        <w:rPr>
          <w:rFonts w:hint="eastAsia" w:ascii="宋体" w:hAnsi="宋体"/>
          <w:sz w:val="24"/>
        </w:rPr>
        <w:t>四、服务承诺</w:t>
      </w:r>
    </w:p>
    <w:p w14:paraId="2462D529">
      <w:pPr>
        <w:spacing w:line="360" w:lineRule="auto"/>
        <w:ind w:firstLine="480" w:firstLineChars="200"/>
        <w:rPr>
          <w:rFonts w:ascii="宋体" w:hAnsi="宋体"/>
          <w:sz w:val="24"/>
        </w:rPr>
      </w:pPr>
      <w:r>
        <w:rPr>
          <w:rFonts w:hint="eastAsia" w:ascii="宋体" w:hAnsi="宋体"/>
          <w:sz w:val="24"/>
        </w:rPr>
        <w:t xml:space="preserve">1、                    </w:t>
      </w:r>
    </w:p>
    <w:p w14:paraId="71F58AC3">
      <w:pPr>
        <w:spacing w:line="360" w:lineRule="auto"/>
        <w:ind w:firstLine="480" w:firstLineChars="200"/>
        <w:rPr>
          <w:rFonts w:ascii="宋体" w:hAnsi="宋体"/>
          <w:sz w:val="24"/>
        </w:rPr>
      </w:pPr>
      <w:r>
        <w:rPr>
          <w:rFonts w:hint="eastAsia" w:ascii="宋体" w:hAnsi="宋体"/>
          <w:sz w:val="24"/>
        </w:rPr>
        <w:t xml:space="preserve">2、                    </w:t>
      </w:r>
    </w:p>
    <w:p w14:paraId="687AE3C4">
      <w:pPr>
        <w:spacing w:line="360" w:lineRule="auto"/>
        <w:ind w:firstLine="480" w:firstLineChars="200"/>
        <w:rPr>
          <w:rFonts w:ascii="宋体" w:hAnsi="宋体"/>
          <w:sz w:val="24"/>
        </w:rPr>
      </w:pPr>
      <w:r>
        <w:rPr>
          <w:rFonts w:hint="eastAsia" w:ascii="宋体" w:hAnsi="宋体"/>
          <w:sz w:val="24"/>
        </w:rPr>
        <w:t>……</w:t>
      </w:r>
    </w:p>
    <w:p w14:paraId="625F1C43">
      <w:pPr>
        <w:spacing w:line="360" w:lineRule="auto"/>
        <w:ind w:firstLine="480" w:firstLineChars="200"/>
        <w:rPr>
          <w:rFonts w:ascii="宋体" w:hAnsi="宋体"/>
          <w:sz w:val="24"/>
        </w:rPr>
      </w:pPr>
      <w:r>
        <w:rPr>
          <w:rFonts w:hint="eastAsia" w:ascii="宋体" w:hAnsi="宋体"/>
          <w:sz w:val="24"/>
        </w:rPr>
        <w:t>五、需方责任</w:t>
      </w:r>
    </w:p>
    <w:p w14:paraId="5D38B04B">
      <w:pPr>
        <w:spacing w:line="360" w:lineRule="auto"/>
        <w:ind w:firstLine="480" w:firstLineChars="200"/>
        <w:rPr>
          <w:rFonts w:ascii="宋体" w:hAnsi="宋体"/>
          <w:sz w:val="24"/>
        </w:rPr>
      </w:pPr>
      <w:r>
        <w:rPr>
          <w:rFonts w:hint="eastAsia" w:ascii="宋体" w:hAnsi="宋体"/>
          <w:sz w:val="24"/>
        </w:rPr>
        <w:t xml:space="preserve">1、                    </w:t>
      </w:r>
    </w:p>
    <w:p w14:paraId="6E00A7D9">
      <w:pPr>
        <w:spacing w:line="360" w:lineRule="auto"/>
        <w:ind w:firstLine="480" w:firstLineChars="200"/>
        <w:rPr>
          <w:rFonts w:ascii="宋体" w:hAnsi="宋体"/>
          <w:sz w:val="24"/>
        </w:rPr>
      </w:pPr>
      <w:r>
        <w:rPr>
          <w:rFonts w:hint="eastAsia" w:ascii="宋体" w:hAnsi="宋体"/>
          <w:sz w:val="24"/>
        </w:rPr>
        <w:t xml:space="preserve">2、                    </w:t>
      </w:r>
    </w:p>
    <w:p w14:paraId="5E42B3C7">
      <w:pPr>
        <w:spacing w:line="360" w:lineRule="auto"/>
        <w:ind w:firstLine="480" w:firstLineChars="200"/>
        <w:rPr>
          <w:rFonts w:ascii="宋体" w:hAnsi="宋体"/>
          <w:sz w:val="24"/>
        </w:rPr>
      </w:pPr>
      <w:r>
        <w:rPr>
          <w:rFonts w:hint="eastAsia" w:ascii="宋体" w:hAnsi="宋体"/>
          <w:sz w:val="24"/>
        </w:rPr>
        <w:t>……</w:t>
      </w:r>
    </w:p>
    <w:p w14:paraId="20A12262">
      <w:pPr>
        <w:spacing w:line="360" w:lineRule="auto"/>
        <w:ind w:firstLine="480" w:firstLineChars="200"/>
        <w:rPr>
          <w:rFonts w:ascii="宋体" w:hAnsi="宋体"/>
          <w:sz w:val="24"/>
        </w:rPr>
      </w:pPr>
      <w:r>
        <w:rPr>
          <w:rFonts w:hint="eastAsia" w:ascii="宋体" w:hAnsi="宋体"/>
          <w:sz w:val="24"/>
        </w:rPr>
        <w:t>六、供方责任</w:t>
      </w:r>
    </w:p>
    <w:p w14:paraId="24E54B6A">
      <w:pPr>
        <w:spacing w:line="360" w:lineRule="auto"/>
        <w:ind w:firstLine="480" w:firstLineChars="200"/>
        <w:rPr>
          <w:rFonts w:ascii="宋体" w:hAnsi="宋体"/>
          <w:sz w:val="24"/>
        </w:rPr>
      </w:pPr>
      <w:r>
        <w:rPr>
          <w:rFonts w:hint="eastAsia" w:ascii="宋体" w:hAnsi="宋体"/>
          <w:sz w:val="24"/>
        </w:rPr>
        <w:t xml:space="preserve">1、                    </w:t>
      </w:r>
    </w:p>
    <w:p w14:paraId="016FBBA6">
      <w:pPr>
        <w:spacing w:line="360" w:lineRule="auto"/>
        <w:ind w:firstLine="480" w:firstLineChars="200"/>
        <w:rPr>
          <w:rFonts w:ascii="宋体" w:hAnsi="宋体"/>
          <w:sz w:val="24"/>
        </w:rPr>
      </w:pPr>
      <w:r>
        <w:rPr>
          <w:rFonts w:hint="eastAsia" w:ascii="宋体" w:hAnsi="宋体"/>
          <w:sz w:val="24"/>
        </w:rPr>
        <w:t xml:space="preserve">2、                    </w:t>
      </w:r>
    </w:p>
    <w:p w14:paraId="3AE8D2DB">
      <w:pPr>
        <w:spacing w:line="360" w:lineRule="auto"/>
        <w:ind w:firstLine="480" w:firstLineChars="200"/>
        <w:rPr>
          <w:rFonts w:ascii="宋体" w:hAnsi="宋体"/>
          <w:sz w:val="24"/>
        </w:rPr>
      </w:pPr>
      <w:r>
        <w:rPr>
          <w:rFonts w:hint="eastAsia" w:ascii="宋体" w:hAnsi="宋体"/>
          <w:sz w:val="24"/>
        </w:rPr>
        <w:t>……</w:t>
      </w:r>
    </w:p>
    <w:p w14:paraId="0A6DDB60">
      <w:pPr>
        <w:spacing w:line="360" w:lineRule="auto"/>
        <w:ind w:firstLine="480" w:firstLineChars="200"/>
        <w:rPr>
          <w:rFonts w:ascii="宋体" w:hAnsi="宋体"/>
          <w:sz w:val="24"/>
        </w:rPr>
      </w:pPr>
      <w:r>
        <w:rPr>
          <w:rFonts w:hint="eastAsia" w:ascii="宋体" w:hAnsi="宋体"/>
          <w:sz w:val="24"/>
        </w:rPr>
        <w:t>七、违约责任</w:t>
      </w:r>
    </w:p>
    <w:p w14:paraId="00BB0ECC">
      <w:pPr>
        <w:spacing w:line="360" w:lineRule="auto"/>
        <w:ind w:firstLine="480" w:firstLineChars="200"/>
        <w:rPr>
          <w:rFonts w:ascii="宋体" w:hAnsi="宋体"/>
          <w:sz w:val="24"/>
        </w:rPr>
      </w:pPr>
      <w:r>
        <w:rPr>
          <w:rFonts w:hint="eastAsia" w:ascii="宋体" w:hAnsi="宋体"/>
          <w:sz w:val="24"/>
        </w:rPr>
        <w:t xml:space="preserve">1、                    </w:t>
      </w:r>
    </w:p>
    <w:p w14:paraId="74DD80C5">
      <w:pPr>
        <w:spacing w:line="360" w:lineRule="auto"/>
        <w:ind w:firstLine="480" w:firstLineChars="200"/>
        <w:rPr>
          <w:rFonts w:ascii="宋体" w:hAnsi="宋体"/>
          <w:sz w:val="24"/>
        </w:rPr>
      </w:pPr>
      <w:r>
        <w:rPr>
          <w:rFonts w:hint="eastAsia" w:ascii="宋体" w:hAnsi="宋体"/>
          <w:sz w:val="24"/>
        </w:rPr>
        <w:t xml:space="preserve">2、                    </w:t>
      </w:r>
    </w:p>
    <w:p w14:paraId="78F56658">
      <w:pPr>
        <w:spacing w:line="360" w:lineRule="auto"/>
        <w:ind w:firstLine="480" w:firstLineChars="200"/>
        <w:rPr>
          <w:rFonts w:ascii="宋体" w:hAnsi="宋体"/>
          <w:sz w:val="24"/>
        </w:rPr>
      </w:pPr>
      <w:r>
        <w:rPr>
          <w:rFonts w:hint="eastAsia" w:ascii="宋体" w:hAnsi="宋体"/>
          <w:sz w:val="24"/>
        </w:rPr>
        <w:t>……</w:t>
      </w:r>
    </w:p>
    <w:p w14:paraId="0BB63F40">
      <w:pPr>
        <w:spacing w:line="360" w:lineRule="auto"/>
        <w:ind w:firstLine="480" w:firstLineChars="200"/>
        <w:rPr>
          <w:rFonts w:ascii="宋体" w:hAnsi="宋体"/>
          <w:sz w:val="24"/>
        </w:rPr>
      </w:pPr>
      <w:r>
        <w:rPr>
          <w:rFonts w:hint="eastAsia" w:ascii="宋体" w:hAnsi="宋体"/>
          <w:sz w:val="24"/>
        </w:rPr>
        <w:t>八、不可抗力</w:t>
      </w:r>
    </w:p>
    <w:p w14:paraId="36FBFA97">
      <w:pPr>
        <w:spacing w:line="360" w:lineRule="auto"/>
        <w:ind w:firstLine="480" w:firstLineChars="200"/>
        <w:rPr>
          <w:rFonts w:ascii="宋体" w:hAnsi="宋体"/>
          <w:sz w:val="24"/>
        </w:rPr>
      </w:pPr>
      <w:r>
        <w:rPr>
          <w:rFonts w:hint="eastAsia" w:ascii="宋体" w:hAnsi="宋体"/>
          <w:sz w:val="24"/>
        </w:rPr>
        <w:t>供需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14:paraId="525587DB">
      <w:pPr>
        <w:spacing w:line="360" w:lineRule="auto"/>
        <w:ind w:firstLine="480" w:firstLineChars="200"/>
        <w:rPr>
          <w:rFonts w:ascii="宋体" w:hAnsi="宋体"/>
          <w:sz w:val="24"/>
        </w:rPr>
      </w:pPr>
      <w:r>
        <w:rPr>
          <w:rFonts w:hint="eastAsia" w:ascii="宋体" w:hAnsi="宋体"/>
          <w:sz w:val="24"/>
        </w:rPr>
        <w:t>九、争议解决</w:t>
      </w:r>
    </w:p>
    <w:p w14:paraId="5E0D3D62">
      <w:pPr>
        <w:spacing w:line="360" w:lineRule="auto"/>
        <w:ind w:firstLine="480" w:firstLineChars="200"/>
        <w:rPr>
          <w:rFonts w:ascii="宋体" w:hAnsi="宋体"/>
          <w:sz w:val="24"/>
        </w:rPr>
      </w:pPr>
      <w:r>
        <w:rPr>
          <w:rFonts w:hint="eastAsia" w:ascii="宋体" w:hAnsi="宋体"/>
          <w:sz w:val="24"/>
        </w:rPr>
        <w:t>供需双方在执行合同中发生争议，应通过协商解决。如协商不成，可以向合同签署所在地法院提出诉讼。</w:t>
      </w:r>
    </w:p>
    <w:p w14:paraId="39AE7061">
      <w:pPr>
        <w:spacing w:line="360" w:lineRule="auto"/>
        <w:ind w:firstLine="480" w:firstLineChars="200"/>
        <w:rPr>
          <w:rFonts w:ascii="宋体" w:hAnsi="宋体"/>
          <w:sz w:val="24"/>
        </w:rPr>
      </w:pPr>
      <w:r>
        <w:rPr>
          <w:rFonts w:hint="eastAsia" w:ascii="宋体" w:hAnsi="宋体"/>
          <w:sz w:val="24"/>
        </w:rPr>
        <w:t>十、合同生效及其他</w:t>
      </w:r>
    </w:p>
    <w:p w14:paraId="334BAA4C">
      <w:pPr>
        <w:spacing w:line="360" w:lineRule="auto"/>
        <w:ind w:firstLine="480" w:firstLineChars="200"/>
        <w:rPr>
          <w:rFonts w:ascii="宋体" w:hAnsi="宋体"/>
          <w:sz w:val="24"/>
        </w:rPr>
      </w:pPr>
      <w:r>
        <w:rPr>
          <w:rFonts w:hint="eastAsia" w:ascii="宋体" w:hAnsi="宋体"/>
          <w:sz w:val="24"/>
        </w:rPr>
        <w:t>1、合同由供、需双方代表签章，即行生效。</w:t>
      </w:r>
    </w:p>
    <w:p w14:paraId="02EBF7BB">
      <w:pPr>
        <w:spacing w:line="360" w:lineRule="auto"/>
        <w:ind w:firstLine="480" w:firstLineChars="200"/>
        <w:rPr>
          <w:rFonts w:ascii="宋体" w:hAnsi="宋体"/>
          <w:sz w:val="24"/>
        </w:rPr>
      </w:pPr>
      <w:r>
        <w:rPr>
          <w:rFonts w:hint="eastAsia" w:ascii="宋体" w:hAnsi="宋体"/>
          <w:sz w:val="24"/>
        </w:rPr>
        <w:t>2、本合同一式五份。</w:t>
      </w:r>
    </w:p>
    <w:p w14:paraId="6F9EE7E2">
      <w:pPr>
        <w:spacing w:line="360" w:lineRule="auto"/>
        <w:ind w:firstLine="480" w:firstLineChars="200"/>
        <w:rPr>
          <w:rFonts w:ascii="宋体" w:hAnsi="宋体"/>
          <w:sz w:val="24"/>
        </w:rPr>
      </w:pPr>
      <w:r>
        <w:rPr>
          <w:rFonts w:hint="eastAsia" w:ascii="宋体" w:hAnsi="宋体"/>
          <w:sz w:val="24"/>
        </w:rPr>
        <w:t>3、合同执行过程中出现的未尽事宜，双方在不违背合同和招标文件的前提下协商解决。协商结果以“纪要”形式作为合同附件，与合同具有同等效力。</w:t>
      </w:r>
    </w:p>
    <w:p w14:paraId="72F0DDC3">
      <w:pPr>
        <w:spacing w:line="360" w:lineRule="auto"/>
        <w:ind w:firstLine="480" w:firstLineChars="200"/>
        <w:rPr>
          <w:rFonts w:ascii="宋体" w:hAnsi="宋体"/>
          <w:sz w:val="24"/>
        </w:rPr>
      </w:pPr>
      <w:r>
        <w:rPr>
          <w:rFonts w:hint="eastAsia" w:ascii="宋体" w:hAnsi="宋体"/>
          <w:sz w:val="24"/>
        </w:rPr>
        <w:t>十一、下列文件为本合同不可分割部分</w:t>
      </w:r>
    </w:p>
    <w:p w14:paraId="6EE4D97A">
      <w:pPr>
        <w:spacing w:line="360" w:lineRule="auto"/>
        <w:ind w:firstLine="480" w:firstLineChars="200"/>
        <w:rPr>
          <w:rFonts w:ascii="宋体" w:hAnsi="宋体"/>
          <w:sz w:val="24"/>
        </w:rPr>
      </w:pPr>
      <w:r>
        <w:rPr>
          <w:rFonts w:hint="eastAsia" w:ascii="宋体" w:hAnsi="宋体"/>
          <w:sz w:val="24"/>
        </w:rPr>
        <w:t>1、磋商文件及其补充材料</w:t>
      </w:r>
    </w:p>
    <w:p w14:paraId="0E310F78">
      <w:pPr>
        <w:spacing w:line="360" w:lineRule="auto"/>
        <w:ind w:firstLine="480" w:firstLineChars="200"/>
        <w:rPr>
          <w:rFonts w:ascii="宋体" w:hAnsi="宋体"/>
          <w:sz w:val="24"/>
        </w:rPr>
      </w:pPr>
      <w:r>
        <w:rPr>
          <w:rFonts w:hint="eastAsia" w:ascii="宋体" w:hAnsi="宋体"/>
          <w:sz w:val="24"/>
        </w:rPr>
        <w:t>2、响应文件及其补充材料</w:t>
      </w:r>
    </w:p>
    <w:p w14:paraId="2CA54B3B">
      <w:pPr>
        <w:spacing w:line="360" w:lineRule="auto"/>
        <w:ind w:firstLine="480" w:firstLineChars="200"/>
        <w:rPr>
          <w:rFonts w:ascii="宋体" w:hAnsi="宋体"/>
          <w:sz w:val="24"/>
        </w:rPr>
      </w:pPr>
      <w:r>
        <w:rPr>
          <w:rFonts w:hint="eastAsia" w:ascii="宋体" w:hAnsi="宋体"/>
          <w:sz w:val="24"/>
        </w:rPr>
        <w:t>3、投标供应商所做的其他承诺</w:t>
      </w:r>
    </w:p>
    <w:p w14:paraId="3D149AE3">
      <w:pPr>
        <w:spacing w:line="360" w:lineRule="auto"/>
        <w:ind w:firstLine="480" w:firstLineChars="200"/>
        <w:rPr>
          <w:rFonts w:ascii="宋体" w:hAnsi="宋体"/>
          <w:sz w:val="24"/>
        </w:rPr>
      </w:pPr>
      <w:r>
        <w:rPr>
          <w:rFonts w:hint="eastAsia" w:ascii="宋体" w:hAnsi="宋体"/>
          <w:sz w:val="24"/>
        </w:rPr>
        <w:t xml:space="preserve">需方（章）：                   供方（章）：            </w:t>
      </w:r>
    </w:p>
    <w:p w14:paraId="2200690F">
      <w:pPr>
        <w:spacing w:line="360" w:lineRule="auto"/>
        <w:ind w:firstLine="480" w:firstLineChars="200"/>
        <w:rPr>
          <w:rFonts w:ascii="宋体" w:hAnsi="宋体"/>
          <w:sz w:val="24"/>
        </w:rPr>
      </w:pPr>
      <w:r>
        <w:rPr>
          <w:rFonts w:hint="eastAsia" w:ascii="宋体" w:hAnsi="宋体"/>
          <w:sz w:val="24"/>
        </w:rPr>
        <w:t xml:space="preserve">法定代表人：                   法定代表人：                </w:t>
      </w:r>
    </w:p>
    <w:p w14:paraId="3B89271C">
      <w:pPr>
        <w:spacing w:line="360" w:lineRule="auto"/>
        <w:ind w:firstLine="480" w:firstLineChars="200"/>
        <w:rPr>
          <w:rFonts w:ascii="宋体" w:hAnsi="宋体"/>
          <w:sz w:val="24"/>
        </w:rPr>
      </w:pPr>
      <w:r>
        <w:rPr>
          <w:rFonts w:hint="eastAsia" w:ascii="宋体" w:hAnsi="宋体"/>
          <w:sz w:val="24"/>
        </w:rPr>
        <w:t xml:space="preserve">委托代理人：                 委托代理人：               </w:t>
      </w:r>
    </w:p>
    <w:p w14:paraId="6866F409">
      <w:pPr>
        <w:spacing w:line="360" w:lineRule="auto"/>
        <w:ind w:firstLine="480" w:firstLineChars="200"/>
        <w:rPr>
          <w:rFonts w:ascii="宋体" w:hAnsi="宋体"/>
          <w:sz w:val="24"/>
        </w:rPr>
      </w:pPr>
      <w:r>
        <w:rPr>
          <w:rFonts w:hint="eastAsia" w:ascii="宋体" w:hAnsi="宋体"/>
          <w:sz w:val="24"/>
        </w:rPr>
        <w:t xml:space="preserve">地 址：                        地 址：                   </w:t>
      </w:r>
    </w:p>
    <w:p w14:paraId="72371A0E">
      <w:pPr>
        <w:spacing w:line="360" w:lineRule="auto"/>
        <w:ind w:firstLine="480" w:firstLineChars="200"/>
        <w:rPr>
          <w:rFonts w:ascii="宋体" w:hAnsi="宋体"/>
          <w:sz w:val="24"/>
        </w:rPr>
      </w:pPr>
      <w:r>
        <w:rPr>
          <w:rFonts w:hint="eastAsia" w:ascii="宋体" w:hAnsi="宋体"/>
          <w:sz w:val="24"/>
        </w:rPr>
        <w:t xml:space="preserve">电 话：                        电 话：                    </w:t>
      </w:r>
    </w:p>
    <w:p w14:paraId="5EABE7C9">
      <w:pPr>
        <w:spacing w:line="360" w:lineRule="auto"/>
        <w:ind w:firstLine="480" w:firstLineChars="200"/>
        <w:rPr>
          <w:rFonts w:ascii="宋体" w:hAnsi="宋体"/>
          <w:sz w:val="24"/>
        </w:rPr>
      </w:pPr>
      <w:r>
        <w:rPr>
          <w:rFonts w:hint="eastAsia" w:ascii="宋体" w:hAnsi="宋体"/>
          <w:sz w:val="24"/>
        </w:rPr>
        <w:t xml:space="preserve">开户银行：                     开户银行：                </w:t>
      </w:r>
    </w:p>
    <w:p w14:paraId="7E18047F">
      <w:pPr>
        <w:spacing w:line="360" w:lineRule="auto"/>
        <w:ind w:firstLine="480" w:firstLineChars="200"/>
        <w:rPr>
          <w:rFonts w:ascii="宋体" w:hAnsi="宋体"/>
          <w:sz w:val="24"/>
        </w:rPr>
      </w:pPr>
      <w:r>
        <w:rPr>
          <w:rFonts w:hint="eastAsia" w:ascii="宋体" w:hAnsi="宋体"/>
          <w:sz w:val="24"/>
        </w:rPr>
        <w:t xml:space="preserve">账 号：                        账 号:                      </w:t>
      </w:r>
    </w:p>
    <w:p w14:paraId="18548FE9">
      <w:pPr>
        <w:spacing w:line="360" w:lineRule="auto"/>
        <w:ind w:firstLine="480" w:firstLineChars="200"/>
        <w:rPr>
          <w:rFonts w:ascii="宋体" w:hAnsi="宋体" w:cs="宋体"/>
          <w:bCs/>
          <w:sz w:val="22"/>
        </w:rPr>
      </w:pPr>
      <w:r>
        <w:rPr>
          <w:rFonts w:hint="eastAsia" w:ascii="宋体" w:hAnsi="宋体"/>
          <w:sz w:val="24"/>
        </w:rPr>
        <w:t xml:space="preserve">日 期：   年   月   日         日 期：   年   月   日   </w:t>
      </w:r>
      <w:r>
        <w:rPr>
          <w:rFonts w:ascii="宋体" w:hAnsi="宋体"/>
          <w:sz w:val="24"/>
        </w:rPr>
        <w:br w:type="page"/>
      </w:r>
    </w:p>
    <w:bookmarkEnd w:id="30"/>
    <w:p w14:paraId="4B504D7E">
      <w:pPr>
        <w:spacing w:line="480" w:lineRule="auto"/>
        <w:jc w:val="center"/>
        <w:rPr>
          <w:rFonts w:ascii="宋体" w:hAnsi="宋体" w:cs="宋体"/>
          <w:b/>
          <w:sz w:val="32"/>
          <w:szCs w:val="32"/>
        </w:rPr>
      </w:pPr>
      <w:r>
        <w:rPr>
          <w:rFonts w:hint="eastAsia" w:ascii="宋体" w:hAnsi="宋体" w:cs="宋体"/>
          <w:b/>
          <w:sz w:val="32"/>
          <w:szCs w:val="32"/>
        </w:rPr>
        <w:t>第六章  响应文件格式</w:t>
      </w:r>
    </w:p>
    <w:p w14:paraId="37ED1367">
      <w:pPr>
        <w:spacing w:line="480" w:lineRule="auto"/>
        <w:ind w:firstLine="480"/>
        <w:rPr>
          <w:rFonts w:ascii="宋体" w:hAnsi="宋体" w:cs="宋体"/>
          <w:bCs/>
          <w:sz w:val="22"/>
        </w:rPr>
      </w:pPr>
    </w:p>
    <w:p w14:paraId="0D8732AC">
      <w:pPr>
        <w:spacing w:line="480" w:lineRule="auto"/>
        <w:ind w:firstLine="480"/>
        <w:jc w:val="center"/>
        <w:rPr>
          <w:rFonts w:ascii="宋体" w:hAnsi="宋体" w:cs="宋体"/>
          <w:bCs/>
          <w:sz w:val="32"/>
          <w:szCs w:val="36"/>
        </w:rPr>
      </w:pPr>
      <w:r>
        <w:rPr>
          <w:rFonts w:hint="eastAsia" w:ascii="宋体" w:hAnsi="宋体" w:cs="宋体"/>
          <w:bCs/>
          <w:sz w:val="32"/>
          <w:szCs w:val="36"/>
          <w:u w:val="single"/>
        </w:rPr>
        <w:t xml:space="preserve">                </w:t>
      </w:r>
      <w:r>
        <w:rPr>
          <w:rFonts w:hint="eastAsia" w:ascii="宋体" w:hAnsi="宋体" w:cs="宋体"/>
          <w:bCs/>
          <w:sz w:val="32"/>
          <w:szCs w:val="36"/>
        </w:rPr>
        <w:t>（项目名称）</w:t>
      </w:r>
    </w:p>
    <w:p w14:paraId="5284DA57">
      <w:pPr>
        <w:spacing w:line="480" w:lineRule="auto"/>
        <w:ind w:firstLine="480"/>
        <w:rPr>
          <w:rFonts w:ascii="宋体" w:hAnsi="宋体" w:cs="宋体"/>
          <w:bCs/>
          <w:sz w:val="22"/>
        </w:rPr>
      </w:pPr>
    </w:p>
    <w:p w14:paraId="2FB2A5C5">
      <w:pPr>
        <w:spacing w:line="480" w:lineRule="auto"/>
        <w:ind w:firstLine="480"/>
        <w:jc w:val="center"/>
        <w:rPr>
          <w:rFonts w:ascii="宋体" w:hAnsi="宋体" w:cs="宋体"/>
          <w:bCs/>
          <w:sz w:val="24"/>
          <w:szCs w:val="28"/>
        </w:rPr>
      </w:pPr>
      <w:r>
        <w:rPr>
          <w:rFonts w:hint="eastAsia" w:ascii="宋体" w:hAnsi="宋体" w:cs="宋体"/>
          <w:bCs/>
          <w:sz w:val="24"/>
          <w:szCs w:val="28"/>
        </w:rPr>
        <w:t>项目编号：</w:t>
      </w:r>
    </w:p>
    <w:p w14:paraId="08F02574">
      <w:pPr>
        <w:spacing w:line="480" w:lineRule="auto"/>
        <w:rPr>
          <w:rFonts w:ascii="宋体" w:hAnsi="宋体" w:cs="宋体"/>
          <w:bCs/>
          <w:sz w:val="22"/>
        </w:rPr>
      </w:pPr>
    </w:p>
    <w:p w14:paraId="03D478C1">
      <w:pPr>
        <w:spacing w:line="480" w:lineRule="auto"/>
        <w:ind w:firstLine="480"/>
        <w:jc w:val="center"/>
        <w:rPr>
          <w:rFonts w:ascii="宋体" w:hAnsi="宋体" w:cs="宋体"/>
          <w:bCs/>
          <w:sz w:val="22"/>
        </w:rPr>
      </w:pPr>
      <w:r>
        <w:rPr>
          <w:rFonts w:hint="eastAsia" w:ascii="宋体" w:hAnsi="宋体" w:cs="宋体"/>
          <w:b/>
          <w:sz w:val="72"/>
          <w:szCs w:val="96"/>
        </w:rPr>
        <w:t>响应文件</w:t>
      </w:r>
    </w:p>
    <w:p w14:paraId="745DE8DA">
      <w:pPr>
        <w:spacing w:line="480" w:lineRule="auto"/>
        <w:ind w:firstLine="480"/>
        <w:rPr>
          <w:rFonts w:ascii="宋体" w:hAnsi="宋体" w:cs="宋体"/>
          <w:bCs/>
          <w:sz w:val="22"/>
        </w:rPr>
      </w:pPr>
    </w:p>
    <w:p w14:paraId="34583727">
      <w:pPr>
        <w:pStyle w:val="3"/>
        <w:rPr>
          <w:rFonts w:ascii="宋体" w:hAnsi="宋体" w:eastAsia="宋体" w:cs="宋体"/>
          <w:sz w:val="22"/>
        </w:rPr>
      </w:pPr>
    </w:p>
    <w:p w14:paraId="539692CF">
      <w:pPr>
        <w:rPr>
          <w:rFonts w:ascii="宋体" w:hAnsi="宋体" w:cs="宋体"/>
          <w:bCs/>
          <w:sz w:val="22"/>
        </w:rPr>
      </w:pPr>
    </w:p>
    <w:p w14:paraId="23A5F198">
      <w:pPr>
        <w:pStyle w:val="3"/>
        <w:rPr>
          <w:rFonts w:ascii="宋体" w:hAnsi="宋体" w:eastAsia="宋体" w:cs="宋体"/>
          <w:sz w:val="22"/>
        </w:rPr>
      </w:pPr>
    </w:p>
    <w:p w14:paraId="2577B199">
      <w:pPr>
        <w:rPr>
          <w:rFonts w:ascii="宋体" w:hAnsi="宋体" w:cs="宋体"/>
          <w:bCs/>
          <w:sz w:val="22"/>
        </w:rPr>
      </w:pPr>
    </w:p>
    <w:p w14:paraId="4732E9F7">
      <w:pPr>
        <w:pStyle w:val="3"/>
        <w:rPr>
          <w:rFonts w:ascii="宋体" w:hAnsi="宋体" w:eastAsia="宋体" w:cs="宋体"/>
          <w:sz w:val="22"/>
        </w:rPr>
      </w:pPr>
    </w:p>
    <w:p w14:paraId="6EDE9296">
      <w:pPr>
        <w:rPr>
          <w:rFonts w:ascii="宋体" w:hAnsi="宋体" w:cs="宋体"/>
          <w:bCs/>
          <w:sz w:val="22"/>
        </w:rPr>
      </w:pPr>
    </w:p>
    <w:p w14:paraId="212F6C7A">
      <w:pPr>
        <w:pStyle w:val="3"/>
        <w:rPr>
          <w:rFonts w:ascii="宋体" w:hAnsi="宋体" w:eastAsia="宋体" w:cs="宋体"/>
          <w:sz w:val="22"/>
        </w:rPr>
      </w:pPr>
    </w:p>
    <w:p w14:paraId="709BC894">
      <w:pPr>
        <w:pStyle w:val="3"/>
        <w:rPr>
          <w:rFonts w:ascii="宋体" w:hAnsi="宋体" w:eastAsia="宋体" w:cs="宋体"/>
          <w:sz w:val="22"/>
        </w:rPr>
      </w:pPr>
    </w:p>
    <w:p w14:paraId="7A3E774E">
      <w:pPr>
        <w:rPr>
          <w:rFonts w:ascii="宋体" w:hAnsi="宋体" w:cs="宋体"/>
          <w:bCs/>
          <w:sz w:val="22"/>
        </w:rPr>
      </w:pPr>
    </w:p>
    <w:p w14:paraId="1D97F89A">
      <w:pPr>
        <w:pStyle w:val="3"/>
        <w:rPr>
          <w:rFonts w:ascii="宋体" w:hAnsi="宋体" w:eastAsia="宋体" w:cs="宋体"/>
          <w:sz w:val="22"/>
        </w:rPr>
      </w:pPr>
    </w:p>
    <w:p w14:paraId="06862C9F">
      <w:pPr>
        <w:rPr>
          <w:rFonts w:ascii="宋体" w:hAnsi="宋体" w:cs="宋体"/>
          <w:bCs/>
          <w:sz w:val="22"/>
        </w:rPr>
      </w:pPr>
    </w:p>
    <w:p w14:paraId="5B2D2F10">
      <w:pPr>
        <w:pStyle w:val="3"/>
      </w:pPr>
    </w:p>
    <w:p w14:paraId="1FEF8694">
      <w:pPr>
        <w:spacing w:line="480" w:lineRule="auto"/>
        <w:ind w:firstLine="480"/>
        <w:jc w:val="center"/>
        <w:rPr>
          <w:rFonts w:ascii="宋体" w:hAnsi="宋体" w:cs="宋体"/>
          <w:bCs/>
          <w:sz w:val="24"/>
          <w:szCs w:val="28"/>
        </w:rPr>
      </w:pPr>
      <w:r>
        <w:rPr>
          <w:rFonts w:hint="eastAsia" w:ascii="宋体" w:hAnsi="宋体" w:cs="宋体"/>
          <w:bCs/>
          <w:sz w:val="24"/>
          <w:szCs w:val="28"/>
        </w:rPr>
        <w:t>供应商：</w:t>
      </w:r>
      <w:r>
        <w:rPr>
          <w:rFonts w:hint="eastAsia" w:ascii="宋体" w:hAnsi="宋体" w:cs="宋体"/>
          <w:bCs/>
          <w:sz w:val="24"/>
          <w:szCs w:val="28"/>
          <w:u w:val="single"/>
        </w:rPr>
        <w:t xml:space="preserve">                                  </w:t>
      </w:r>
      <w:r>
        <w:rPr>
          <w:rFonts w:hint="eastAsia" w:ascii="宋体" w:hAnsi="宋体" w:cs="宋体"/>
          <w:bCs/>
          <w:sz w:val="24"/>
          <w:szCs w:val="28"/>
        </w:rPr>
        <w:t>（企业电子签章）</w:t>
      </w:r>
    </w:p>
    <w:p w14:paraId="13080962">
      <w:pPr>
        <w:spacing w:line="480" w:lineRule="auto"/>
        <w:ind w:firstLine="480"/>
        <w:jc w:val="center"/>
        <w:rPr>
          <w:rFonts w:ascii="宋体" w:hAnsi="宋体" w:cs="宋体"/>
          <w:bCs/>
          <w:sz w:val="24"/>
          <w:szCs w:val="28"/>
        </w:rPr>
      </w:pPr>
      <w:r>
        <w:rPr>
          <w:rFonts w:hint="eastAsia" w:ascii="宋体" w:hAnsi="宋体" w:cs="宋体"/>
          <w:bCs/>
          <w:sz w:val="24"/>
          <w:szCs w:val="28"/>
        </w:rPr>
        <w:t>法定代表人或其委托代理人：</w:t>
      </w:r>
      <w:r>
        <w:rPr>
          <w:rFonts w:hint="eastAsia" w:ascii="宋体" w:hAnsi="宋体" w:cs="宋体"/>
          <w:bCs/>
          <w:sz w:val="24"/>
          <w:szCs w:val="28"/>
          <w:u w:val="single"/>
        </w:rPr>
        <w:t xml:space="preserve">                </w:t>
      </w:r>
      <w:r>
        <w:rPr>
          <w:rFonts w:hint="eastAsia" w:ascii="宋体" w:hAnsi="宋体" w:cs="宋体"/>
          <w:bCs/>
          <w:sz w:val="24"/>
          <w:szCs w:val="28"/>
        </w:rPr>
        <w:t>（签章）</w:t>
      </w:r>
    </w:p>
    <w:p w14:paraId="59D26CDA">
      <w:pPr>
        <w:spacing w:line="480" w:lineRule="auto"/>
        <w:ind w:firstLine="480"/>
        <w:jc w:val="center"/>
        <w:rPr>
          <w:rFonts w:ascii="宋体" w:hAnsi="宋体" w:cs="宋体"/>
          <w:bCs/>
          <w:sz w:val="24"/>
          <w:szCs w:val="28"/>
        </w:rPr>
      </w:pPr>
      <w:r>
        <w:rPr>
          <w:rFonts w:hint="eastAsia" w:ascii="宋体" w:hAnsi="宋体" w:cs="宋体"/>
          <w:bCs/>
          <w:sz w:val="24"/>
          <w:szCs w:val="28"/>
        </w:rPr>
        <w:t>年        月        日</w:t>
      </w:r>
    </w:p>
    <w:p w14:paraId="64C348A4">
      <w:pPr>
        <w:spacing w:line="480" w:lineRule="auto"/>
        <w:rPr>
          <w:rFonts w:ascii="宋体" w:hAnsi="宋体" w:cs="宋体"/>
          <w:bCs/>
          <w:sz w:val="22"/>
        </w:rPr>
      </w:pPr>
    </w:p>
    <w:p w14:paraId="6211D5C1">
      <w:pPr>
        <w:spacing w:line="480" w:lineRule="auto"/>
        <w:ind w:firstLine="480"/>
        <w:jc w:val="center"/>
        <w:rPr>
          <w:rFonts w:ascii="宋体" w:hAnsi="宋体" w:cs="宋体"/>
          <w:bCs/>
          <w:sz w:val="32"/>
          <w:szCs w:val="36"/>
        </w:rPr>
      </w:pPr>
    </w:p>
    <w:p w14:paraId="71E864D0">
      <w:pPr>
        <w:spacing w:line="480" w:lineRule="auto"/>
        <w:ind w:firstLine="480"/>
        <w:jc w:val="center"/>
        <w:rPr>
          <w:rFonts w:ascii="宋体" w:hAnsi="宋体" w:cs="宋体"/>
          <w:bCs/>
          <w:sz w:val="32"/>
          <w:szCs w:val="36"/>
        </w:rPr>
      </w:pPr>
      <w:r>
        <w:rPr>
          <w:rFonts w:hint="eastAsia" w:ascii="宋体" w:hAnsi="宋体" w:cs="宋体"/>
          <w:bCs/>
          <w:sz w:val="32"/>
          <w:szCs w:val="36"/>
        </w:rPr>
        <w:t>目    录</w:t>
      </w:r>
    </w:p>
    <w:p w14:paraId="79B95FCF">
      <w:pPr>
        <w:spacing w:line="480" w:lineRule="exact"/>
        <w:jc w:val="left"/>
        <w:outlineLvl w:val="0"/>
        <w:rPr>
          <w:rFonts w:ascii="宋体" w:hAnsi="宋体" w:cs="宋体"/>
          <w:sz w:val="24"/>
        </w:rPr>
      </w:pPr>
      <w:bookmarkStart w:id="31" w:name="_Toc148365424"/>
      <w:bookmarkStart w:id="32" w:name="_Toc148365097"/>
      <w:r>
        <w:rPr>
          <w:rFonts w:hint="eastAsia" w:ascii="宋体" w:hAnsi="宋体" w:cs="宋体"/>
          <w:sz w:val="24"/>
        </w:rPr>
        <w:t>一、磋商函及磋商报价表</w:t>
      </w:r>
      <w:bookmarkEnd w:id="31"/>
      <w:bookmarkEnd w:id="32"/>
    </w:p>
    <w:p w14:paraId="33C7B9FD">
      <w:pPr>
        <w:spacing w:line="480" w:lineRule="exact"/>
        <w:jc w:val="left"/>
        <w:outlineLvl w:val="0"/>
        <w:rPr>
          <w:rFonts w:ascii="宋体" w:hAnsi="宋体" w:cs="宋体"/>
          <w:sz w:val="24"/>
        </w:rPr>
      </w:pPr>
      <w:bookmarkStart w:id="33" w:name="_Toc148365098"/>
      <w:bookmarkStart w:id="34" w:name="_Toc148365425"/>
      <w:r>
        <w:rPr>
          <w:rFonts w:hint="eastAsia" w:ascii="宋体" w:hAnsi="宋体" w:cs="宋体"/>
          <w:sz w:val="24"/>
        </w:rPr>
        <w:t>二、法定代表人身份证明</w:t>
      </w:r>
      <w:bookmarkEnd w:id="33"/>
      <w:bookmarkEnd w:id="34"/>
    </w:p>
    <w:p w14:paraId="765AF6D9">
      <w:pPr>
        <w:spacing w:line="480" w:lineRule="exact"/>
        <w:jc w:val="left"/>
        <w:outlineLvl w:val="0"/>
        <w:rPr>
          <w:rFonts w:ascii="宋体" w:hAnsi="宋体" w:cs="宋体"/>
          <w:sz w:val="24"/>
        </w:rPr>
      </w:pPr>
      <w:bookmarkStart w:id="35" w:name="_Toc148365426"/>
      <w:bookmarkStart w:id="36" w:name="_Toc148365099"/>
      <w:r>
        <w:rPr>
          <w:rFonts w:hint="eastAsia" w:ascii="宋体" w:hAnsi="宋体" w:cs="宋体"/>
          <w:sz w:val="24"/>
        </w:rPr>
        <w:t>三、授权委托书</w:t>
      </w:r>
      <w:bookmarkEnd w:id="35"/>
      <w:bookmarkEnd w:id="36"/>
    </w:p>
    <w:p w14:paraId="1698B300">
      <w:pPr>
        <w:spacing w:line="480" w:lineRule="exact"/>
        <w:jc w:val="left"/>
        <w:outlineLvl w:val="0"/>
        <w:rPr>
          <w:rFonts w:ascii="宋体" w:hAnsi="宋体" w:cs="宋体"/>
          <w:sz w:val="24"/>
        </w:rPr>
      </w:pPr>
      <w:bookmarkStart w:id="37" w:name="_Toc148365427"/>
      <w:bookmarkStart w:id="38" w:name="_Toc148365100"/>
      <w:r>
        <w:rPr>
          <w:rFonts w:hint="eastAsia" w:ascii="宋体" w:hAnsi="宋体" w:cs="宋体"/>
          <w:sz w:val="24"/>
        </w:rPr>
        <w:t>四、磋商承诺函</w:t>
      </w:r>
      <w:bookmarkEnd w:id="37"/>
      <w:bookmarkEnd w:id="38"/>
    </w:p>
    <w:p w14:paraId="08BD7AC6">
      <w:pPr>
        <w:spacing w:line="480" w:lineRule="exact"/>
        <w:jc w:val="left"/>
        <w:outlineLvl w:val="0"/>
        <w:rPr>
          <w:rFonts w:ascii="宋体" w:hAnsi="宋体" w:cs="宋体"/>
          <w:sz w:val="24"/>
        </w:rPr>
      </w:pPr>
      <w:bookmarkStart w:id="39" w:name="_Toc148365428"/>
      <w:bookmarkStart w:id="40" w:name="_Toc148365101"/>
      <w:r>
        <w:rPr>
          <w:rFonts w:hint="eastAsia" w:ascii="宋体" w:hAnsi="宋体" w:cs="宋体"/>
          <w:sz w:val="24"/>
        </w:rPr>
        <w:t>五、供应商情况</w:t>
      </w:r>
      <w:bookmarkEnd w:id="39"/>
      <w:bookmarkEnd w:id="40"/>
    </w:p>
    <w:p w14:paraId="02F8EF1D">
      <w:pPr>
        <w:spacing w:line="480" w:lineRule="exact"/>
        <w:jc w:val="left"/>
        <w:outlineLvl w:val="0"/>
        <w:rPr>
          <w:rFonts w:hint="default" w:ascii="宋体" w:hAnsi="宋体" w:eastAsia="宋体" w:cs="宋体"/>
          <w:sz w:val="24"/>
          <w:lang w:val="en-US" w:eastAsia="zh-CN"/>
        </w:rPr>
      </w:pPr>
      <w:bookmarkStart w:id="41" w:name="_Toc148365429"/>
      <w:bookmarkStart w:id="42" w:name="_Toc148365102"/>
      <w:r>
        <w:rPr>
          <w:rFonts w:hint="eastAsia" w:ascii="宋体" w:hAnsi="宋体" w:cs="宋体"/>
          <w:sz w:val="24"/>
          <w:lang w:val="en-US" w:eastAsia="zh-CN"/>
        </w:rPr>
        <w:t>六、报价一览表</w:t>
      </w:r>
    </w:p>
    <w:p w14:paraId="70B939CA">
      <w:pPr>
        <w:spacing w:line="480" w:lineRule="exact"/>
        <w:jc w:val="left"/>
        <w:outlineLvl w:val="0"/>
        <w:rPr>
          <w:rFonts w:ascii="宋体" w:hAnsi="宋体" w:cs="宋体"/>
          <w:sz w:val="24"/>
        </w:rPr>
      </w:pPr>
      <w:r>
        <w:rPr>
          <w:rFonts w:hint="eastAsia" w:ascii="宋体" w:hAnsi="宋体" w:cs="宋体"/>
          <w:sz w:val="24"/>
          <w:lang w:val="en-US" w:eastAsia="zh-CN"/>
        </w:rPr>
        <w:t>七</w:t>
      </w:r>
      <w:r>
        <w:rPr>
          <w:rFonts w:hint="eastAsia" w:ascii="宋体" w:hAnsi="宋体" w:cs="宋体"/>
          <w:sz w:val="24"/>
        </w:rPr>
        <w:t>、</w:t>
      </w:r>
      <w:bookmarkEnd w:id="41"/>
      <w:bookmarkEnd w:id="42"/>
      <w:r>
        <w:rPr>
          <w:rFonts w:hint="eastAsia" w:ascii="宋体" w:hAnsi="宋体" w:cs="宋体"/>
          <w:sz w:val="24"/>
        </w:rPr>
        <w:t>技术标</w:t>
      </w:r>
    </w:p>
    <w:p w14:paraId="3D369ED6">
      <w:pPr>
        <w:spacing w:line="480" w:lineRule="exact"/>
        <w:jc w:val="left"/>
        <w:outlineLvl w:val="0"/>
        <w:rPr>
          <w:rFonts w:ascii="宋体" w:hAnsi="宋体" w:cs="宋体"/>
          <w:sz w:val="24"/>
        </w:rPr>
      </w:pPr>
      <w:bookmarkStart w:id="43" w:name="_Toc148365430"/>
      <w:bookmarkStart w:id="44" w:name="_Toc148365103"/>
      <w:r>
        <w:rPr>
          <w:rFonts w:hint="eastAsia" w:ascii="宋体" w:hAnsi="宋体" w:cs="宋体"/>
          <w:sz w:val="24"/>
          <w:lang w:val="en-US" w:eastAsia="zh-CN"/>
        </w:rPr>
        <w:t>八</w:t>
      </w:r>
      <w:r>
        <w:rPr>
          <w:rFonts w:hint="eastAsia" w:ascii="宋体" w:hAnsi="宋体" w:cs="宋体"/>
          <w:sz w:val="24"/>
        </w:rPr>
        <w:t>、</w:t>
      </w:r>
      <w:bookmarkEnd w:id="43"/>
      <w:bookmarkEnd w:id="44"/>
      <w:r>
        <w:rPr>
          <w:rFonts w:hint="eastAsia" w:ascii="宋体" w:hAnsi="宋体" w:cs="宋体"/>
          <w:sz w:val="24"/>
        </w:rPr>
        <w:t>综合标</w:t>
      </w:r>
    </w:p>
    <w:p w14:paraId="2CF94EDD">
      <w:pPr>
        <w:spacing w:line="480" w:lineRule="exact"/>
        <w:jc w:val="left"/>
        <w:outlineLvl w:val="0"/>
        <w:rPr>
          <w:rFonts w:ascii="宋体" w:hAnsi="宋体" w:cs="宋体"/>
          <w:sz w:val="24"/>
        </w:rPr>
      </w:pPr>
      <w:bookmarkStart w:id="45" w:name="_Toc148365431"/>
      <w:bookmarkStart w:id="46" w:name="_Toc148365104"/>
      <w:r>
        <w:rPr>
          <w:rFonts w:hint="eastAsia" w:ascii="宋体" w:hAnsi="宋体" w:cs="宋体"/>
          <w:sz w:val="24"/>
          <w:lang w:val="en-US" w:eastAsia="zh-CN"/>
        </w:rPr>
        <w:t>九</w:t>
      </w:r>
      <w:r>
        <w:rPr>
          <w:rFonts w:hint="eastAsia" w:ascii="宋体" w:hAnsi="宋体" w:cs="宋体"/>
          <w:sz w:val="24"/>
        </w:rPr>
        <w:t>、其他资料</w:t>
      </w:r>
      <w:bookmarkEnd w:id="45"/>
      <w:bookmarkEnd w:id="46"/>
    </w:p>
    <w:p w14:paraId="68599934">
      <w:pPr>
        <w:spacing w:line="480" w:lineRule="auto"/>
        <w:ind w:firstLine="480"/>
        <w:jc w:val="center"/>
        <w:rPr>
          <w:rFonts w:ascii="宋体" w:hAnsi="宋体" w:cs="宋体"/>
          <w:b/>
          <w:sz w:val="24"/>
        </w:rPr>
      </w:pPr>
      <w:r>
        <w:rPr>
          <w:rFonts w:hint="eastAsia" w:ascii="宋体" w:hAnsi="宋体" w:cs="宋体"/>
          <w:bCs/>
          <w:sz w:val="22"/>
        </w:rPr>
        <w:br w:type="page"/>
      </w:r>
      <w:r>
        <w:rPr>
          <w:rFonts w:hint="eastAsia" w:ascii="宋体" w:hAnsi="宋体" w:cs="宋体"/>
          <w:b/>
          <w:sz w:val="24"/>
        </w:rPr>
        <w:t>一、磋商函及磋商报价表</w:t>
      </w:r>
    </w:p>
    <w:p w14:paraId="5690483E">
      <w:pPr>
        <w:spacing w:line="480" w:lineRule="auto"/>
        <w:ind w:firstLine="480"/>
        <w:jc w:val="center"/>
        <w:rPr>
          <w:rFonts w:ascii="宋体" w:hAnsi="宋体" w:cs="宋体"/>
          <w:b/>
          <w:sz w:val="24"/>
        </w:rPr>
      </w:pPr>
      <w:r>
        <w:rPr>
          <w:rFonts w:hint="eastAsia" w:ascii="宋体" w:hAnsi="宋体" w:cs="宋体"/>
          <w:b/>
          <w:sz w:val="24"/>
        </w:rPr>
        <w:t>（一）磋商函</w:t>
      </w:r>
    </w:p>
    <w:p w14:paraId="39AA5219">
      <w:pPr>
        <w:spacing w:line="480" w:lineRule="auto"/>
        <w:ind w:firstLine="480" w:firstLineChars="200"/>
        <w:rPr>
          <w:rFonts w:ascii="宋体" w:hAnsi="宋体" w:cs="宋体"/>
          <w:bCs/>
          <w:sz w:val="24"/>
        </w:rPr>
      </w:pPr>
      <w:bookmarkStart w:id="47" w:name="OLE_LINK7"/>
      <w:r>
        <w:rPr>
          <w:rFonts w:hint="eastAsia" w:ascii="宋体" w:hAnsi="宋体" w:cs="宋体"/>
          <w:bCs/>
          <w:sz w:val="24"/>
        </w:rPr>
        <w:t>致</w:t>
      </w:r>
      <w:bookmarkEnd w:id="47"/>
      <w:r>
        <w:rPr>
          <w:rFonts w:hint="eastAsia" w:ascii="宋体" w:hAnsi="宋体" w:cs="宋体"/>
          <w:bCs/>
          <w:sz w:val="24"/>
          <w:u w:val="single"/>
        </w:rPr>
        <w:t xml:space="preserve"> （采购人）</w:t>
      </w:r>
      <w:r>
        <w:rPr>
          <w:rFonts w:hint="eastAsia" w:ascii="宋体" w:hAnsi="宋体" w:cs="宋体"/>
          <w:bCs/>
          <w:sz w:val="24"/>
        </w:rPr>
        <w:t xml:space="preserve"> ：</w:t>
      </w:r>
    </w:p>
    <w:p w14:paraId="027A666F">
      <w:pPr>
        <w:spacing w:line="480" w:lineRule="auto"/>
        <w:ind w:firstLine="480" w:firstLineChars="200"/>
        <w:rPr>
          <w:rFonts w:ascii="宋体" w:hAnsi="宋体" w:cs="宋体"/>
          <w:bCs/>
          <w:sz w:val="24"/>
        </w:rPr>
      </w:pPr>
      <w:r>
        <w:rPr>
          <w:rFonts w:hint="eastAsia" w:ascii="宋体" w:hAnsi="宋体" w:cs="宋体"/>
          <w:bCs/>
          <w:sz w:val="24"/>
        </w:rPr>
        <w:t>根据已收到贵方</w:t>
      </w:r>
      <w:r>
        <w:rPr>
          <w:rFonts w:hint="eastAsia" w:ascii="宋体" w:hAnsi="宋体" w:cs="宋体"/>
          <w:bCs/>
          <w:sz w:val="24"/>
          <w:u w:val="single"/>
        </w:rPr>
        <w:t xml:space="preserve">          </w:t>
      </w:r>
      <w:r>
        <w:rPr>
          <w:rFonts w:hint="eastAsia" w:ascii="宋体" w:hAnsi="宋体" w:cs="宋体"/>
          <w:bCs/>
          <w:sz w:val="24"/>
        </w:rPr>
        <w:t>（项目名称）</w:t>
      </w:r>
      <w:r>
        <w:rPr>
          <w:rFonts w:hint="eastAsia" w:ascii="宋体" w:hAnsi="宋体" w:cs="宋体"/>
          <w:bCs/>
          <w:sz w:val="24"/>
          <w:u w:val="single"/>
        </w:rPr>
        <w:t xml:space="preserve">       </w:t>
      </w:r>
      <w:r>
        <w:rPr>
          <w:rFonts w:hint="eastAsia" w:ascii="宋体" w:hAnsi="宋体" w:cs="宋体"/>
          <w:bCs/>
          <w:sz w:val="24"/>
        </w:rPr>
        <w:t>（项目编号）的磋商文件，遵照《中华人民共和国政府采购法》等有关规定，我单位经考察现场和研究上述磋商文件及其它有关文件后，我方愿以人民币（大写）</w:t>
      </w:r>
      <w:r>
        <w:rPr>
          <w:rFonts w:hint="eastAsia" w:ascii="宋体" w:hAnsi="宋体" w:cs="宋体"/>
          <w:bCs/>
          <w:sz w:val="24"/>
          <w:u w:val="single"/>
        </w:rPr>
        <w:t xml:space="preserve">     </w:t>
      </w:r>
      <w:r>
        <w:rPr>
          <w:rFonts w:hint="eastAsia" w:ascii="宋体" w:hAnsi="宋体" w:cs="宋体"/>
          <w:bCs/>
          <w:sz w:val="24"/>
        </w:rPr>
        <w:t>（小写：</w:t>
      </w:r>
      <w:r>
        <w:rPr>
          <w:rFonts w:hint="eastAsia" w:ascii="宋体" w:hAnsi="宋体" w:cs="宋体"/>
          <w:bCs/>
          <w:sz w:val="24"/>
          <w:u w:val="single"/>
        </w:rPr>
        <w:t xml:space="preserve">    </w:t>
      </w:r>
      <w:r>
        <w:rPr>
          <w:rFonts w:hint="eastAsia" w:ascii="宋体" w:hAnsi="宋体" w:cs="宋体"/>
          <w:bCs/>
          <w:sz w:val="24"/>
        </w:rPr>
        <w:t xml:space="preserve"> 元）的投标报价（该投标报价为“报价一览表”中各项目价格的合计），承包上述项目的采购。</w:t>
      </w:r>
    </w:p>
    <w:p w14:paraId="08E3C283">
      <w:pPr>
        <w:spacing w:line="480" w:lineRule="auto"/>
        <w:ind w:firstLine="480" w:firstLineChars="200"/>
        <w:rPr>
          <w:rFonts w:ascii="宋体" w:hAnsi="宋体" w:cs="宋体"/>
          <w:bCs/>
          <w:sz w:val="24"/>
        </w:rPr>
      </w:pPr>
      <w:r>
        <w:rPr>
          <w:rFonts w:hint="eastAsia" w:ascii="宋体" w:hAnsi="宋体" w:cs="宋体"/>
          <w:bCs/>
          <w:sz w:val="24"/>
        </w:rPr>
        <w:t>1、 我方已详细审阅全部磋商文件，包括修改文件（如果有的话），及有关附件，我方完全知道必须放弃提出含糊不清或误解的权力。</w:t>
      </w:r>
    </w:p>
    <w:p w14:paraId="108549FF">
      <w:pPr>
        <w:spacing w:line="480" w:lineRule="auto"/>
        <w:ind w:firstLine="480" w:firstLineChars="200"/>
        <w:rPr>
          <w:rFonts w:ascii="宋体" w:hAnsi="宋体" w:cs="宋体"/>
          <w:bCs/>
          <w:sz w:val="24"/>
        </w:rPr>
      </w:pPr>
      <w:r>
        <w:rPr>
          <w:rFonts w:hint="eastAsia" w:ascii="宋体" w:hAnsi="宋体" w:cs="宋体"/>
          <w:bCs/>
          <w:sz w:val="24"/>
        </w:rPr>
        <w:t>2、 一旦我方中标，我们将按照磋商文件中规定的各项要求和我们的响应文件中的表述和承诺，按期、按质、按量完成中标义务。</w:t>
      </w:r>
    </w:p>
    <w:p w14:paraId="67F960C3">
      <w:pPr>
        <w:spacing w:line="480" w:lineRule="auto"/>
        <w:ind w:firstLine="480" w:firstLineChars="200"/>
        <w:rPr>
          <w:rFonts w:ascii="宋体" w:hAnsi="宋体" w:cs="宋体"/>
          <w:bCs/>
          <w:sz w:val="24"/>
        </w:rPr>
      </w:pPr>
      <w:r>
        <w:rPr>
          <w:rFonts w:hint="eastAsia" w:ascii="宋体" w:hAnsi="宋体" w:cs="宋体"/>
          <w:bCs/>
          <w:sz w:val="24"/>
        </w:rPr>
        <w:t>3、 我方愿在中标后向采购代理机构交纳招标代理费以及相关费用。</w:t>
      </w:r>
    </w:p>
    <w:p w14:paraId="5EB56873">
      <w:pPr>
        <w:spacing w:line="480" w:lineRule="auto"/>
        <w:ind w:firstLine="480" w:firstLineChars="200"/>
        <w:rPr>
          <w:rFonts w:ascii="宋体" w:hAnsi="宋体" w:cs="宋体"/>
          <w:bCs/>
          <w:sz w:val="24"/>
        </w:rPr>
      </w:pPr>
      <w:r>
        <w:rPr>
          <w:rFonts w:hint="eastAsia" w:ascii="宋体" w:hAnsi="宋体" w:cs="宋体"/>
          <w:bCs/>
          <w:sz w:val="24"/>
        </w:rPr>
        <w:t>4、 我方同意所递交的响应文件在规定的投标有效期</w:t>
      </w:r>
      <w:r>
        <w:rPr>
          <w:rFonts w:hint="eastAsia" w:ascii="宋体" w:hAnsi="宋体" w:cs="宋体"/>
          <w:bCs/>
          <w:sz w:val="24"/>
          <w:u w:val="single"/>
        </w:rPr>
        <w:t xml:space="preserve">    </w:t>
      </w:r>
      <w:r>
        <w:rPr>
          <w:rFonts w:hint="eastAsia" w:ascii="宋体" w:hAnsi="宋体" w:cs="宋体"/>
          <w:bCs/>
          <w:sz w:val="24"/>
        </w:rPr>
        <w:t>日历天内有效，在此期间我方投标有可能中标，我方将受此约束。</w:t>
      </w:r>
    </w:p>
    <w:p w14:paraId="4306F1BB">
      <w:pPr>
        <w:spacing w:line="480" w:lineRule="auto"/>
        <w:ind w:firstLine="480" w:firstLineChars="200"/>
        <w:rPr>
          <w:rFonts w:ascii="宋体" w:hAnsi="宋体" w:cs="宋体"/>
          <w:bCs/>
          <w:sz w:val="24"/>
        </w:rPr>
      </w:pPr>
      <w:r>
        <w:rPr>
          <w:rFonts w:hint="eastAsia" w:ascii="宋体" w:hAnsi="宋体" w:cs="宋体"/>
          <w:bCs/>
          <w:sz w:val="24"/>
        </w:rPr>
        <w:t>5、除非另外达成协议并生效，贵方的中标通知书和本响应文件将构成约束我们双方的合同。</w:t>
      </w:r>
    </w:p>
    <w:p w14:paraId="79A10750">
      <w:pPr>
        <w:spacing w:line="480" w:lineRule="auto"/>
        <w:rPr>
          <w:rFonts w:ascii="宋体" w:hAnsi="宋体" w:cs="宋体"/>
          <w:bCs/>
          <w:sz w:val="24"/>
        </w:rPr>
      </w:pPr>
    </w:p>
    <w:p w14:paraId="16C4331A">
      <w:pPr>
        <w:spacing w:line="480" w:lineRule="auto"/>
        <w:ind w:firstLine="5520" w:firstLineChars="2300"/>
        <w:rPr>
          <w:rFonts w:ascii="宋体" w:hAnsi="宋体" w:cs="宋体"/>
          <w:bCs/>
          <w:sz w:val="24"/>
        </w:rPr>
      </w:pPr>
      <w:r>
        <w:rPr>
          <w:rFonts w:hint="eastAsia" w:ascii="宋体" w:hAnsi="宋体" w:cs="宋体"/>
          <w:bCs/>
          <w:sz w:val="24"/>
        </w:rPr>
        <w:t>供应商：（企业电子签章）</w:t>
      </w:r>
    </w:p>
    <w:p w14:paraId="67E1A86E">
      <w:pPr>
        <w:spacing w:line="480" w:lineRule="auto"/>
        <w:ind w:firstLine="5520" w:firstLineChars="2300"/>
        <w:rPr>
          <w:rFonts w:ascii="宋体" w:hAnsi="宋体" w:cs="宋体"/>
          <w:bCs/>
          <w:sz w:val="24"/>
        </w:rPr>
      </w:pPr>
      <w:r>
        <w:rPr>
          <w:rFonts w:hint="eastAsia" w:ascii="宋体" w:hAnsi="宋体" w:cs="宋体"/>
          <w:bCs/>
          <w:sz w:val="24"/>
        </w:rPr>
        <w:t>法定代表人：（签章）</w:t>
      </w:r>
    </w:p>
    <w:p w14:paraId="6FB041A0">
      <w:pPr>
        <w:spacing w:line="480" w:lineRule="auto"/>
        <w:ind w:firstLine="5520" w:firstLineChars="2300"/>
        <w:rPr>
          <w:rFonts w:ascii="宋体" w:hAnsi="宋体" w:cs="宋体"/>
          <w:bCs/>
          <w:sz w:val="24"/>
        </w:rPr>
      </w:pPr>
      <w:r>
        <w:rPr>
          <w:rFonts w:hint="eastAsia" w:ascii="宋体" w:hAnsi="宋体" w:cs="宋体"/>
          <w:bCs/>
          <w:sz w:val="24"/>
        </w:rPr>
        <w:t>时间：    年   月   日</w:t>
      </w:r>
    </w:p>
    <w:p w14:paraId="3A385E82">
      <w:pPr>
        <w:spacing w:line="480" w:lineRule="auto"/>
        <w:rPr>
          <w:rFonts w:ascii="宋体" w:hAnsi="宋体" w:cs="宋体"/>
          <w:bCs/>
          <w:sz w:val="22"/>
        </w:rPr>
      </w:pPr>
    </w:p>
    <w:p w14:paraId="67C910FA">
      <w:pPr>
        <w:spacing w:after="156" w:afterLines="50" w:line="360" w:lineRule="auto"/>
        <w:jc w:val="both"/>
        <w:outlineLvl w:val="1"/>
        <w:rPr>
          <w:rFonts w:ascii="宋体" w:hAnsi="宋体" w:cs="宋体"/>
          <w:spacing w:val="-1"/>
          <w:sz w:val="24"/>
          <w:szCs w:val="22"/>
        </w:rPr>
      </w:pPr>
      <w:bookmarkStart w:id="48" w:name="_Toc25303"/>
    </w:p>
    <w:bookmarkEnd w:id="48"/>
    <w:p w14:paraId="1AE40BC9">
      <w:pPr>
        <w:spacing w:after="156" w:afterLines="50" w:line="360" w:lineRule="auto"/>
        <w:jc w:val="center"/>
        <w:outlineLvl w:val="1"/>
        <w:rPr>
          <w:rFonts w:ascii="宋体" w:hAnsi="宋体" w:cs="宋体"/>
          <w:sz w:val="24"/>
          <w:lang w:val="en-GB"/>
        </w:rPr>
      </w:pPr>
      <w:bookmarkStart w:id="49" w:name="_Toc361651110"/>
      <w:r>
        <w:rPr>
          <w:rFonts w:hint="eastAsia" w:ascii="宋体" w:hAnsi="宋体" w:cs="宋体"/>
          <w:b/>
          <w:bCs/>
          <w:spacing w:val="-1"/>
          <w:sz w:val="24"/>
          <w:szCs w:val="22"/>
        </w:rPr>
        <w:t>（二）磋商报价表（一次报价）</w:t>
      </w:r>
      <w:bookmarkEnd w:id="49"/>
      <w:r>
        <w:rPr>
          <w:rFonts w:hint="eastAsia" w:ascii="宋体" w:hAnsi="宋体" w:cs="宋体"/>
          <w:b/>
          <w:bCs/>
          <w:sz w:val="24"/>
          <w:lang w:val="en-GB"/>
        </w:rPr>
        <w:t xml:space="preserve">    </w:t>
      </w:r>
      <w:r>
        <w:rPr>
          <w:rFonts w:hint="eastAsia" w:ascii="宋体" w:hAnsi="宋体" w:cs="宋体"/>
          <w:sz w:val="24"/>
          <w:lang w:val="en-GB"/>
        </w:rPr>
        <w:t xml:space="preserve">                            </w:t>
      </w:r>
    </w:p>
    <w:p w14:paraId="4F4AE29F">
      <w:pPr>
        <w:autoSpaceDE w:val="0"/>
        <w:autoSpaceDN w:val="0"/>
        <w:adjustRightInd w:val="0"/>
        <w:snapToGrid w:val="0"/>
        <w:spacing w:after="200" w:line="360" w:lineRule="auto"/>
        <w:ind w:left="-178" w:leftChars="-85"/>
        <w:rPr>
          <w:rFonts w:ascii="宋体" w:hAnsi="宋体" w:cs="宋体"/>
          <w:sz w:val="24"/>
        </w:rPr>
      </w:pPr>
      <w:r>
        <w:rPr>
          <w:rFonts w:hint="eastAsia" w:ascii="宋体" w:hAnsi="宋体" w:cs="宋体"/>
          <w:sz w:val="24"/>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933"/>
        <w:gridCol w:w="1425"/>
        <w:gridCol w:w="3231"/>
      </w:tblGrid>
      <w:tr w14:paraId="11FD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351006F5">
            <w:pPr>
              <w:spacing w:line="331" w:lineRule="exact"/>
              <w:ind w:right="-239"/>
              <w:jc w:val="center"/>
              <w:rPr>
                <w:rFonts w:ascii="宋体" w:hAnsi="宋体" w:cs="宋体"/>
                <w:sz w:val="24"/>
                <w:szCs w:val="22"/>
              </w:rPr>
            </w:pPr>
            <w:r>
              <w:rPr>
                <w:rFonts w:hint="eastAsia" w:ascii="宋体" w:hAnsi="宋体" w:cs="宋体"/>
                <w:spacing w:val="-1"/>
                <w:sz w:val="24"/>
                <w:szCs w:val="22"/>
              </w:rPr>
              <w:t>项目名称</w:t>
            </w:r>
          </w:p>
        </w:tc>
        <w:tc>
          <w:tcPr>
            <w:tcW w:w="6589" w:type="dxa"/>
            <w:gridSpan w:val="3"/>
            <w:tcBorders>
              <w:top w:val="single" w:color="auto" w:sz="4" w:space="0"/>
              <w:left w:val="nil"/>
              <w:bottom w:val="single" w:color="auto" w:sz="4" w:space="0"/>
              <w:right w:val="single" w:color="auto" w:sz="4" w:space="0"/>
            </w:tcBorders>
            <w:vAlign w:val="center"/>
          </w:tcPr>
          <w:p w14:paraId="4EEA19E9">
            <w:pPr>
              <w:spacing w:line="331" w:lineRule="exact"/>
              <w:jc w:val="center"/>
              <w:rPr>
                <w:rFonts w:ascii="宋体" w:hAnsi="宋体" w:cs="宋体"/>
                <w:sz w:val="24"/>
                <w:szCs w:val="22"/>
              </w:rPr>
            </w:pPr>
          </w:p>
        </w:tc>
      </w:tr>
      <w:tr w14:paraId="38AB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36512F26">
            <w:pPr>
              <w:spacing w:line="300" w:lineRule="exact"/>
              <w:ind w:right="-239"/>
              <w:jc w:val="center"/>
              <w:rPr>
                <w:rFonts w:ascii="宋体" w:hAnsi="宋体" w:cs="宋体"/>
                <w:sz w:val="24"/>
                <w:szCs w:val="22"/>
              </w:rPr>
            </w:pPr>
            <w:r>
              <w:rPr>
                <w:rFonts w:hint="eastAsia" w:ascii="宋体" w:hAnsi="宋体" w:cs="宋体"/>
                <w:sz w:val="24"/>
                <w:lang w:val="en-GB"/>
              </w:rPr>
              <w:t>供应商</w:t>
            </w:r>
            <w:r>
              <w:rPr>
                <w:rFonts w:hint="eastAsia" w:ascii="宋体" w:hAnsi="宋体" w:cs="宋体"/>
                <w:spacing w:val="-1"/>
                <w:sz w:val="24"/>
                <w:szCs w:val="22"/>
              </w:rPr>
              <w:t>名称</w:t>
            </w:r>
          </w:p>
        </w:tc>
        <w:tc>
          <w:tcPr>
            <w:tcW w:w="6589" w:type="dxa"/>
            <w:gridSpan w:val="3"/>
            <w:tcBorders>
              <w:top w:val="single" w:color="auto" w:sz="4" w:space="0"/>
              <w:left w:val="nil"/>
              <w:bottom w:val="single" w:color="auto" w:sz="4" w:space="0"/>
              <w:right w:val="single" w:color="auto" w:sz="4" w:space="0"/>
            </w:tcBorders>
            <w:vAlign w:val="center"/>
          </w:tcPr>
          <w:p w14:paraId="2FDF7521">
            <w:pPr>
              <w:spacing w:line="300" w:lineRule="exact"/>
              <w:jc w:val="center"/>
              <w:rPr>
                <w:rFonts w:ascii="宋体" w:hAnsi="宋体" w:cs="宋体"/>
                <w:sz w:val="24"/>
                <w:szCs w:val="22"/>
              </w:rPr>
            </w:pPr>
          </w:p>
        </w:tc>
      </w:tr>
      <w:tr w14:paraId="7760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04704E6D">
            <w:pPr>
              <w:spacing w:line="300" w:lineRule="exact"/>
              <w:ind w:right="-239"/>
              <w:jc w:val="center"/>
              <w:rPr>
                <w:rFonts w:ascii="宋体" w:hAnsi="宋体" w:cs="宋体"/>
                <w:spacing w:val="-1"/>
                <w:sz w:val="24"/>
                <w:szCs w:val="22"/>
              </w:rPr>
            </w:pPr>
            <w:r>
              <w:rPr>
                <w:rFonts w:hint="eastAsia" w:ascii="宋体" w:hAnsi="宋体" w:cs="宋体"/>
                <w:sz w:val="24"/>
                <w:lang w:val="en-GB"/>
              </w:rPr>
              <w:t>供应商</w:t>
            </w:r>
            <w:r>
              <w:rPr>
                <w:rFonts w:hint="eastAsia" w:ascii="宋体" w:hAnsi="宋体" w:cs="宋体"/>
                <w:spacing w:val="-1"/>
                <w:sz w:val="24"/>
                <w:szCs w:val="22"/>
              </w:rPr>
              <w:t>地址</w:t>
            </w:r>
          </w:p>
        </w:tc>
        <w:tc>
          <w:tcPr>
            <w:tcW w:w="6589" w:type="dxa"/>
            <w:gridSpan w:val="3"/>
            <w:tcBorders>
              <w:top w:val="single" w:color="auto" w:sz="4" w:space="0"/>
              <w:left w:val="nil"/>
              <w:bottom w:val="single" w:color="auto" w:sz="4" w:space="0"/>
              <w:right w:val="single" w:color="auto" w:sz="4" w:space="0"/>
            </w:tcBorders>
            <w:vAlign w:val="center"/>
          </w:tcPr>
          <w:p w14:paraId="089A5897">
            <w:pPr>
              <w:spacing w:line="300" w:lineRule="exact"/>
              <w:jc w:val="center"/>
              <w:rPr>
                <w:rFonts w:ascii="宋体" w:hAnsi="宋体" w:cs="宋体"/>
                <w:sz w:val="24"/>
                <w:szCs w:val="22"/>
              </w:rPr>
            </w:pPr>
          </w:p>
        </w:tc>
      </w:tr>
      <w:tr w14:paraId="3D2C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25378998">
            <w:pPr>
              <w:spacing w:line="300" w:lineRule="exact"/>
              <w:ind w:right="-239"/>
              <w:jc w:val="center"/>
              <w:rPr>
                <w:rFonts w:ascii="宋体" w:hAnsi="宋体" w:cs="宋体"/>
                <w:spacing w:val="-1"/>
                <w:sz w:val="24"/>
                <w:szCs w:val="22"/>
              </w:rPr>
            </w:pPr>
            <w:r>
              <w:rPr>
                <w:rFonts w:hint="eastAsia" w:ascii="宋体" w:hAnsi="宋体" w:cs="宋体"/>
                <w:spacing w:val="-1"/>
                <w:sz w:val="24"/>
                <w:szCs w:val="22"/>
              </w:rPr>
              <w:t>法定代表人姓名</w:t>
            </w:r>
          </w:p>
        </w:tc>
        <w:tc>
          <w:tcPr>
            <w:tcW w:w="6589" w:type="dxa"/>
            <w:gridSpan w:val="3"/>
            <w:tcBorders>
              <w:top w:val="single" w:color="auto" w:sz="4" w:space="0"/>
              <w:left w:val="nil"/>
              <w:bottom w:val="single" w:color="auto" w:sz="4" w:space="0"/>
              <w:right w:val="single" w:color="auto" w:sz="4" w:space="0"/>
            </w:tcBorders>
            <w:vAlign w:val="center"/>
          </w:tcPr>
          <w:p w14:paraId="50A56CAB">
            <w:pPr>
              <w:spacing w:line="300" w:lineRule="exact"/>
              <w:jc w:val="center"/>
              <w:rPr>
                <w:rFonts w:ascii="宋体" w:hAnsi="宋体" w:cs="宋体"/>
                <w:sz w:val="24"/>
                <w:szCs w:val="22"/>
              </w:rPr>
            </w:pPr>
          </w:p>
        </w:tc>
      </w:tr>
      <w:tr w14:paraId="63B4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66427658">
            <w:pPr>
              <w:spacing w:line="300" w:lineRule="exact"/>
              <w:ind w:right="-239"/>
              <w:jc w:val="center"/>
              <w:rPr>
                <w:rFonts w:ascii="宋体" w:hAnsi="宋体" w:cs="宋体"/>
                <w:spacing w:val="-1"/>
                <w:sz w:val="24"/>
                <w:szCs w:val="22"/>
              </w:rPr>
            </w:pPr>
            <w:r>
              <w:rPr>
                <w:rFonts w:hint="eastAsia" w:ascii="宋体" w:hAnsi="宋体" w:cs="宋体"/>
                <w:spacing w:val="-1"/>
                <w:sz w:val="24"/>
                <w:szCs w:val="22"/>
              </w:rPr>
              <w:t>统一机构代码</w:t>
            </w:r>
          </w:p>
        </w:tc>
        <w:tc>
          <w:tcPr>
            <w:tcW w:w="6589" w:type="dxa"/>
            <w:gridSpan w:val="3"/>
            <w:tcBorders>
              <w:top w:val="single" w:color="auto" w:sz="4" w:space="0"/>
              <w:left w:val="nil"/>
              <w:bottom w:val="single" w:color="auto" w:sz="4" w:space="0"/>
              <w:right w:val="single" w:color="auto" w:sz="4" w:space="0"/>
            </w:tcBorders>
            <w:vAlign w:val="center"/>
          </w:tcPr>
          <w:p w14:paraId="35114AEF">
            <w:pPr>
              <w:spacing w:line="300" w:lineRule="exact"/>
              <w:jc w:val="center"/>
              <w:rPr>
                <w:rFonts w:ascii="宋体" w:hAnsi="宋体" w:cs="宋体"/>
                <w:sz w:val="24"/>
                <w:szCs w:val="22"/>
              </w:rPr>
            </w:pPr>
          </w:p>
        </w:tc>
      </w:tr>
      <w:tr w14:paraId="2572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4776CC13">
            <w:pPr>
              <w:spacing w:line="300" w:lineRule="exact"/>
              <w:ind w:right="-239"/>
              <w:jc w:val="center"/>
              <w:rPr>
                <w:rFonts w:ascii="宋体" w:hAnsi="宋体" w:cs="宋体"/>
                <w:sz w:val="24"/>
                <w:szCs w:val="22"/>
              </w:rPr>
            </w:pPr>
            <w:r>
              <w:rPr>
                <w:rFonts w:hint="eastAsia" w:ascii="宋体" w:hAnsi="宋体" w:cs="宋体"/>
                <w:spacing w:val="-1"/>
                <w:sz w:val="24"/>
                <w:szCs w:val="22"/>
              </w:rPr>
              <w:t>项目负责人</w:t>
            </w:r>
          </w:p>
        </w:tc>
        <w:tc>
          <w:tcPr>
            <w:tcW w:w="1933" w:type="dxa"/>
            <w:tcBorders>
              <w:top w:val="single" w:color="auto" w:sz="4" w:space="0"/>
              <w:left w:val="nil"/>
              <w:bottom w:val="single" w:color="auto" w:sz="4" w:space="0"/>
              <w:right w:val="single" w:color="auto" w:sz="4" w:space="0"/>
            </w:tcBorders>
            <w:vAlign w:val="center"/>
          </w:tcPr>
          <w:p w14:paraId="21B706BA">
            <w:pPr>
              <w:spacing w:line="300" w:lineRule="exact"/>
              <w:jc w:val="center"/>
              <w:rPr>
                <w:rFonts w:ascii="宋体" w:hAnsi="宋体" w:cs="宋体"/>
                <w:sz w:val="24"/>
                <w:szCs w:val="22"/>
              </w:rPr>
            </w:pPr>
          </w:p>
        </w:tc>
        <w:tc>
          <w:tcPr>
            <w:tcW w:w="1425" w:type="dxa"/>
            <w:tcBorders>
              <w:top w:val="single" w:color="auto" w:sz="4" w:space="0"/>
              <w:left w:val="nil"/>
              <w:bottom w:val="single" w:color="auto" w:sz="4" w:space="0"/>
              <w:right w:val="single" w:color="auto" w:sz="4" w:space="0"/>
            </w:tcBorders>
            <w:vAlign w:val="center"/>
          </w:tcPr>
          <w:p w14:paraId="52EFFFA3">
            <w:pPr>
              <w:spacing w:line="300" w:lineRule="exact"/>
              <w:ind w:right="-239"/>
              <w:rPr>
                <w:rFonts w:ascii="宋体" w:hAnsi="宋体" w:cs="宋体"/>
                <w:sz w:val="24"/>
                <w:szCs w:val="22"/>
              </w:rPr>
            </w:pPr>
            <w:r>
              <w:rPr>
                <w:rFonts w:hint="eastAsia" w:ascii="宋体" w:hAnsi="宋体" w:cs="宋体"/>
                <w:sz w:val="24"/>
                <w:szCs w:val="22"/>
              </w:rPr>
              <w:t>联系方式</w:t>
            </w:r>
          </w:p>
        </w:tc>
        <w:tc>
          <w:tcPr>
            <w:tcW w:w="3231" w:type="dxa"/>
            <w:tcBorders>
              <w:top w:val="single" w:color="auto" w:sz="4" w:space="0"/>
              <w:left w:val="nil"/>
              <w:bottom w:val="single" w:color="auto" w:sz="4" w:space="0"/>
              <w:right w:val="single" w:color="auto" w:sz="4" w:space="0"/>
            </w:tcBorders>
            <w:vAlign w:val="center"/>
          </w:tcPr>
          <w:p w14:paraId="5E881AEB">
            <w:pPr>
              <w:spacing w:line="300" w:lineRule="exact"/>
              <w:jc w:val="center"/>
              <w:rPr>
                <w:rFonts w:ascii="宋体" w:hAnsi="宋体" w:cs="宋体"/>
                <w:sz w:val="24"/>
                <w:szCs w:val="22"/>
              </w:rPr>
            </w:pPr>
          </w:p>
        </w:tc>
      </w:tr>
      <w:tr w14:paraId="0697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3FD37737">
            <w:pPr>
              <w:spacing w:line="295" w:lineRule="exact"/>
              <w:ind w:right="-239"/>
              <w:jc w:val="center"/>
              <w:rPr>
                <w:rFonts w:hint="eastAsia" w:ascii="宋体" w:hAnsi="宋体" w:eastAsia="宋体" w:cs="宋体"/>
                <w:color w:val="000000" w:themeColor="text1"/>
                <w:sz w:val="24"/>
                <w:szCs w:val="22"/>
                <w:lang w:val="en-US" w:eastAsia="zh-CN"/>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服务</w:t>
            </w:r>
            <w:r>
              <w:rPr>
                <w:rFonts w:hint="eastAsia" w:ascii="宋体" w:hAnsi="宋体" w:cs="宋体"/>
                <w:color w:val="000000" w:themeColor="text1"/>
                <w:sz w:val="24"/>
                <w:szCs w:val="22"/>
                <w:lang w:val="en-US" w:eastAsia="zh-CN"/>
                <w14:textFill>
                  <w14:solidFill>
                    <w14:schemeClr w14:val="tx1"/>
                  </w14:solidFill>
                </w14:textFill>
              </w:rPr>
              <w:t>期限</w:t>
            </w:r>
          </w:p>
        </w:tc>
        <w:tc>
          <w:tcPr>
            <w:tcW w:w="6589" w:type="dxa"/>
            <w:gridSpan w:val="3"/>
            <w:tcBorders>
              <w:top w:val="single" w:color="auto" w:sz="4" w:space="0"/>
              <w:left w:val="nil"/>
              <w:bottom w:val="single" w:color="auto" w:sz="4" w:space="0"/>
              <w:right w:val="single" w:color="auto" w:sz="4" w:space="0"/>
            </w:tcBorders>
            <w:vAlign w:val="center"/>
          </w:tcPr>
          <w:p w14:paraId="64C0621D">
            <w:pPr>
              <w:spacing w:line="295" w:lineRule="exact"/>
              <w:jc w:val="center"/>
              <w:rPr>
                <w:rFonts w:ascii="宋体" w:hAnsi="宋体" w:cs="宋体"/>
                <w:sz w:val="24"/>
                <w:szCs w:val="22"/>
                <w:u w:val="single"/>
              </w:rPr>
            </w:pPr>
          </w:p>
        </w:tc>
      </w:tr>
      <w:tr w14:paraId="0AD9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1023E070">
            <w:pPr>
              <w:spacing w:line="307" w:lineRule="exact"/>
              <w:ind w:right="-239"/>
              <w:jc w:val="center"/>
              <w:rPr>
                <w:rFonts w:hint="default" w:ascii="宋体" w:hAnsi="宋体" w:eastAsia="宋体" w:cs="宋体"/>
                <w:color w:val="000000" w:themeColor="text1"/>
                <w:spacing w:val="-1"/>
                <w:sz w:val="24"/>
                <w:szCs w:val="22"/>
                <w:lang w:val="en-US" w:eastAsia="zh-CN"/>
                <w14:textFill>
                  <w14:solidFill>
                    <w14:schemeClr w14:val="tx1"/>
                  </w14:solidFill>
                </w14:textFill>
              </w:rPr>
            </w:pPr>
            <w:r>
              <w:rPr>
                <w:rFonts w:hint="eastAsia" w:ascii="宋体" w:hAnsi="宋体" w:cs="宋体"/>
                <w:color w:val="000000" w:themeColor="text1"/>
                <w:spacing w:val="10"/>
                <w:sz w:val="24"/>
                <w:lang w:val="en-US" w:eastAsia="zh-CN"/>
                <w14:textFill>
                  <w14:solidFill>
                    <w14:schemeClr w14:val="tx1"/>
                  </w14:solidFill>
                </w14:textFill>
              </w:rPr>
              <w:t>质量要求</w:t>
            </w:r>
          </w:p>
        </w:tc>
        <w:tc>
          <w:tcPr>
            <w:tcW w:w="6589" w:type="dxa"/>
            <w:gridSpan w:val="3"/>
            <w:tcBorders>
              <w:top w:val="single" w:color="auto" w:sz="4" w:space="0"/>
              <w:left w:val="nil"/>
              <w:bottom w:val="single" w:color="auto" w:sz="4" w:space="0"/>
              <w:right w:val="single" w:color="auto" w:sz="4" w:space="0"/>
            </w:tcBorders>
            <w:vAlign w:val="center"/>
          </w:tcPr>
          <w:p w14:paraId="6B8AD19E">
            <w:pPr>
              <w:spacing w:line="307" w:lineRule="exact"/>
              <w:ind w:left="108" w:right="-239"/>
              <w:rPr>
                <w:rFonts w:ascii="宋体" w:hAnsi="宋体" w:cs="宋体"/>
                <w:spacing w:val="-1"/>
                <w:sz w:val="24"/>
                <w:szCs w:val="22"/>
              </w:rPr>
            </w:pPr>
          </w:p>
        </w:tc>
      </w:tr>
      <w:tr w14:paraId="50ED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49BF283E">
            <w:pPr>
              <w:spacing w:line="240" w:lineRule="exact"/>
              <w:ind w:left="1164" w:right="-239"/>
              <w:jc w:val="center"/>
              <w:rPr>
                <w:rFonts w:ascii="宋体" w:hAnsi="宋体" w:cs="宋体"/>
                <w:sz w:val="24"/>
                <w:szCs w:val="22"/>
              </w:rPr>
            </w:pPr>
          </w:p>
          <w:p w14:paraId="403A48E6">
            <w:pPr>
              <w:spacing w:line="307" w:lineRule="exact"/>
              <w:ind w:right="-239"/>
              <w:jc w:val="center"/>
              <w:rPr>
                <w:rFonts w:ascii="宋体" w:hAnsi="宋体" w:cs="宋体"/>
                <w:sz w:val="24"/>
                <w:szCs w:val="22"/>
              </w:rPr>
            </w:pPr>
            <w:r>
              <w:rPr>
                <w:rFonts w:hint="eastAsia" w:ascii="宋体" w:hAnsi="宋体" w:cs="宋体"/>
                <w:spacing w:val="-1"/>
                <w:sz w:val="24"/>
                <w:szCs w:val="22"/>
              </w:rPr>
              <w:t>磋商总报价</w:t>
            </w:r>
          </w:p>
        </w:tc>
        <w:tc>
          <w:tcPr>
            <w:tcW w:w="6589" w:type="dxa"/>
            <w:gridSpan w:val="3"/>
            <w:tcBorders>
              <w:top w:val="single" w:color="auto" w:sz="4" w:space="0"/>
              <w:left w:val="nil"/>
              <w:bottom w:val="single" w:color="auto" w:sz="4" w:space="0"/>
              <w:right w:val="single" w:color="auto" w:sz="4" w:space="0"/>
            </w:tcBorders>
            <w:vAlign w:val="center"/>
          </w:tcPr>
          <w:p w14:paraId="71D7765B">
            <w:pPr>
              <w:spacing w:line="240" w:lineRule="exact"/>
              <w:ind w:left="108" w:right="-239"/>
              <w:jc w:val="center"/>
              <w:rPr>
                <w:rFonts w:ascii="宋体" w:hAnsi="宋体" w:cs="宋体"/>
                <w:sz w:val="24"/>
                <w:szCs w:val="22"/>
              </w:rPr>
            </w:pPr>
          </w:p>
          <w:p w14:paraId="75036156">
            <w:pPr>
              <w:spacing w:line="307" w:lineRule="exact"/>
              <w:ind w:left="108" w:right="-239"/>
              <w:rPr>
                <w:rFonts w:ascii="宋体" w:hAnsi="宋体" w:cs="宋体"/>
                <w:sz w:val="24"/>
                <w:szCs w:val="22"/>
              </w:rPr>
            </w:pPr>
            <w:r>
              <w:rPr>
                <w:rFonts w:hint="eastAsia" w:ascii="宋体" w:hAnsi="宋体" w:cs="宋体"/>
                <w:spacing w:val="-1"/>
                <w:sz w:val="24"/>
                <w:szCs w:val="22"/>
              </w:rPr>
              <w:t>大写：</w:t>
            </w:r>
            <w:r>
              <w:rPr>
                <w:rFonts w:hint="eastAsia" w:ascii="宋体" w:hAnsi="宋体" w:cs="宋体"/>
                <w:spacing w:val="4"/>
                <w:sz w:val="24"/>
                <w:szCs w:val="22"/>
              </w:rPr>
              <w:t xml:space="preserve">       </w:t>
            </w:r>
          </w:p>
          <w:p w14:paraId="24B336FD">
            <w:pPr>
              <w:spacing w:line="307" w:lineRule="exact"/>
              <w:ind w:left="108" w:right="-239"/>
              <w:rPr>
                <w:rFonts w:ascii="宋体" w:hAnsi="宋体" w:cs="宋体"/>
                <w:sz w:val="24"/>
                <w:szCs w:val="22"/>
              </w:rPr>
            </w:pPr>
            <w:r>
              <w:rPr>
                <w:rFonts w:hint="eastAsia" w:ascii="宋体" w:hAnsi="宋体" w:cs="宋体"/>
                <w:spacing w:val="-1"/>
                <w:sz w:val="24"/>
                <w:szCs w:val="22"/>
              </w:rPr>
              <w:t>小写：</w:t>
            </w:r>
            <w:r>
              <w:rPr>
                <w:rFonts w:hint="eastAsia" w:ascii="宋体" w:hAnsi="宋体" w:cs="宋体"/>
                <w:spacing w:val="4"/>
                <w:sz w:val="24"/>
                <w:szCs w:val="22"/>
              </w:rPr>
              <w:t xml:space="preserve">      </w:t>
            </w:r>
          </w:p>
        </w:tc>
      </w:tr>
      <w:tr w14:paraId="0680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1B7BA282">
            <w:pPr>
              <w:spacing w:line="427" w:lineRule="exact"/>
              <w:ind w:right="-239"/>
              <w:jc w:val="center"/>
              <w:rPr>
                <w:rFonts w:ascii="宋体" w:hAnsi="宋体" w:cs="宋体"/>
                <w:sz w:val="24"/>
                <w:szCs w:val="22"/>
              </w:rPr>
            </w:pPr>
            <w:r>
              <w:rPr>
                <w:rFonts w:hint="eastAsia" w:ascii="宋体" w:hAnsi="宋体" w:cs="宋体"/>
                <w:spacing w:val="-1"/>
                <w:sz w:val="24"/>
                <w:szCs w:val="22"/>
              </w:rPr>
              <w:t>磋商有效期</w:t>
            </w:r>
          </w:p>
        </w:tc>
        <w:tc>
          <w:tcPr>
            <w:tcW w:w="6589" w:type="dxa"/>
            <w:gridSpan w:val="3"/>
            <w:tcBorders>
              <w:top w:val="single" w:color="auto" w:sz="4" w:space="0"/>
              <w:left w:val="nil"/>
              <w:bottom w:val="single" w:color="auto" w:sz="4" w:space="0"/>
              <w:right w:val="single" w:color="auto" w:sz="4" w:space="0"/>
            </w:tcBorders>
            <w:vAlign w:val="center"/>
          </w:tcPr>
          <w:p w14:paraId="3EAFD04B">
            <w:pPr>
              <w:spacing w:line="423" w:lineRule="exact"/>
              <w:ind w:right="-239"/>
              <w:rPr>
                <w:rFonts w:ascii="宋体" w:hAnsi="宋体" w:cs="宋体"/>
                <w:sz w:val="24"/>
                <w:szCs w:val="22"/>
              </w:rPr>
            </w:pPr>
          </w:p>
        </w:tc>
      </w:tr>
      <w:tr w14:paraId="30DD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14D446FE">
            <w:pPr>
              <w:adjustRightInd w:val="0"/>
              <w:snapToGrid w:val="0"/>
              <w:spacing w:line="400" w:lineRule="exact"/>
              <w:jc w:val="center"/>
              <w:rPr>
                <w:rFonts w:ascii="宋体" w:hAnsi="宋体" w:cs="宋体"/>
                <w:b/>
                <w:sz w:val="24"/>
                <w:szCs w:val="22"/>
              </w:rPr>
            </w:pPr>
            <w:r>
              <w:rPr>
                <w:rFonts w:hint="eastAsia" w:ascii="宋体" w:hAnsi="宋体" w:cs="宋体"/>
                <w:bCs/>
                <w:sz w:val="24"/>
                <w:szCs w:val="22"/>
              </w:rPr>
              <w:t>备注</w:t>
            </w:r>
          </w:p>
        </w:tc>
        <w:tc>
          <w:tcPr>
            <w:tcW w:w="6589" w:type="dxa"/>
            <w:gridSpan w:val="3"/>
            <w:tcBorders>
              <w:top w:val="single" w:color="auto" w:sz="4" w:space="0"/>
              <w:left w:val="nil"/>
              <w:bottom w:val="single" w:color="auto" w:sz="4" w:space="0"/>
              <w:right w:val="single" w:color="auto" w:sz="4" w:space="0"/>
            </w:tcBorders>
            <w:vAlign w:val="center"/>
          </w:tcPr>
          <w:p w14:paraId="79C318D3">
            <w:pPr>
              <w:suppressAutoHyphens/>
              <w:snapToGrid w:val="0"/>
              <w:spacing w:line="400" w:lineRule="exact"/>
              <w:rPr>
                <w:rFonts w:ascii="宋体" w:hAnsi="宋体" w:cs="宋体"/>
                <w:b/>
                <w:sz w:val="24"/>
                <w:szCs w:val="22"/>
              </w:rPr>
            </w:pPr>
          </w:p>
        </w:tc>
      </w:tr>
    </w:tbl>
    <w:p w14:paraId="664D2CB7">
      <w:pPr>
        <w:autoSpaceDE w:val="0"/>
        <w:autoSpaceDN w:val="0"/>
        <w:adjustRightInd w:val="0"/>
        <w:spacing w:line="360" w:lineRule="auto"/>
        <w:rPr>
          <w:rFonts w:ascii="宋体" w:hAnsi="宋体" w:cs="宋体"/>
          <w:sz w:val="24"/>
          <w:lang w:val="en-GB"/>
        </w:rPr>
      </w:pPr>
      <w:r>
        <w:rPr>
          <w:rFonts w:hint="eastAsia" w:ascii="宋体" w:hAnsi="宋体" w:cs="宋体"/>
          <w:sz w:val="24"/>
          <w:lang w:val="en-GB"/>
        </w:rPr>
        <w:t xml:space="preserve">              </w:t>
      </w:r>
    </w:p>
    <w:p w14:paraId="05A1243A">
      <w:pPr>
        <w:autoSpaceDE w:val="0"/>
        <w:autoSpaceDN w:val="0"/>
        <w:adjustRightInd w:val="0"/>
        <w:snapToGrid w:val="0"/>
        <w:spacing w:after="200" w:line="360" w:lineRule="auto"/>
        <w:ind w:firstLine="2640" w:firstLineChars="1100"/>
        <w:rPr>
          <w:rFonts w:hint="eastAsia" w:ascii="宋体" w:hAnsi="宋体" w:cs="宋体"/>
          <w:sz w:val="24"/>
          <w:lang w:val="en-GB"/>
        </w:rPr>
      </w:pPr>
    </w:p>
    <w:p w14:paraId="01480502">
      <w:pPr>
        <w:autoSpaceDE w:val="0"/>
        <w:autoSpaceDN w:val="0"/>
        <w:adjustRightInd w:val="0"/>
        <w:snapToGrid w:val="0"/>
        <w:spacing w:after="200" w:line="360" w:lineRule="auto"/>
        <w:ind w:firstLine="2640" w:firstLineChars="1100"/>
        <w:rPr>
          <w:rFonts w:ascii="宋体" w:hAnsi="宋体" w:cs="宋体"/>
          <w:sz w:val="24"/>
          <w:lang w:val="en-GB"/>
        </w:rPr>
      </w:pPr>
      <w:r>
        <w:rPr>
          <w:rFonts w:hint="eastAsia" w:ascii="宋体" w:hAnsi="宋体" w:cs="宋体"/>
          <w:sz w:val="24"/>
          <w:lang w:val="en-GB"/>
        </w:rPr>
        <w:t>供应商：</w:t>
      </w:r>
      <w:r>
        <w:rPr>
          <w:rFonts w:hint="eastAsia" w:ascii="宋体" w:hAnsi="宋体" w:cs="宋体"/>
          <w:sz w:val="24"/>
          <w:u w:val="single"/>
          <w:lang w:val="en-GB"/>
        </w:rPr>
        <w:t xml:space="preserve">                         </w:t>
      </w:r>
      <w:r>
        <w:rPr>
          <w:rFonts w:hint="eastAsia" w:ascii="宋体" w:hAnsi="宋体" w:cs="宋体"/>
          <w:sz w:val="24"/>
          <w:lang w:val="en-GB"/>
        </w:rPr>
        <w:t>（</w:t>
      </w:r>
      <w:r>
        <w:rPr>
          <w:rFonts w:hint="eastAsia" w:ascii="宋体" w:hAnsi="宋体" w:cs="宋体"/>
          <w:bCs/>
          <w:sz w:val="24"/>
        </w:rPr>
        <w:t>企业电子签章</w:t>
      </w:r>
      <w:r>
        <w:rPr>
          <w:rFonts w:hint="eastAsia" w:ascii="宋体" w:hAnsi="宋体" w:cs="宋体"/>
          <w:sz w:val="24"/>
          <w:lang w:val="en-GB"/>
        </w:rPr>
        <w:t>）</w:t>
      </w:r>
    </w:p>
    <w:p w14:paraId="4FFF3B63">
      <w:pPr>
        <w:autoSpaceDE w:val="0"/>
        <w:autoSpaceDN w:val="0"/>
        <w:adjustRightInd w:val="0"/>
        <w:snapToGrid w:val="0"/>
        <w:spacing w:after="200" w:line="360" w:lineRule="auto"/>
        <w:ind w:firstLine="2640" w:firstLineChars="1100"/>
        <w:rPr>
          <w:rFonts w:ascii="宋体" w:hAnsi="宋体" w:cs="宋体"/>
          <w:sz w:val="24"/>
          <w:lang w:val="en-GB"/>
        </w:rPr>
      </w:pPr>
      <w:r>
        <w:rPr>
          <w:rFonts w:hint="eastAsia" w:ascii="宋体" w:hAnsi="宋体" w:cs="宋体"/>
          <w:sz w:val="24"/>
          <w:lang w:val="en-GB"/>
        </w:rPr>
        <w:t>法定代表人或授权委托人：</w:t>
      </w:r>
      <w:r>
        <w:rPr>
          <w:rFonts w:hint="eastAsia" w:ascii="宋体" w:hAnsi="宋体" w:cs="宋体"/>
          <w:sz w:val="24"/>
          <w:u w:val="single"/>
          <w:lang w:val="en-GB"/>
        </w:rPr>
        <w:t xml:space="preserve">           </w:t>
      </w:r>
      <w:r>
        <w:rPr>
          <w:rFonts w:hint="eastAsia" w:ascii="宋体" w:hAnsi="宋体" w:cs="宋体"/>
          <w:sz w:val="24"/>
          <w:lang w:val="en-GB"/>
        </w:rPr>
        <w:t>（签章）</w:t>
      </w:r>
    </w:p>
    <w:p w14:paraId="14F3D810">
      <w:pPr>
        <w:spacing w:line="480" w:lineRule="auto"/>
        <w:ind w:firstLine="2880" w:firstLineChars="1200"/>
        <w:rPr>
          <w:rFonts w:ascii="宋体" w:hAnsi="宋体" w:cs="宋体"/>
          <w:bCs/>
          <w:sz w:val="24"/>
        </w:rPr>
      </w:pPr>
      <w:r>
        <w:rPr>
          <w:rFonts w:hint="eastAsia" w:ascii="宋体" w:hAnsi="宋体" w:cs="宋体"/>
          <w:bCs/>
          <w:sz w:val="24"/>
        </w:rPr>
        <w:t>日期：        年      月      日</w:t>
      </w:r>
    </w:p>
    <w:p w14:paraId="4B5C506F">
      <w:pPr>
        <w:autoSpaceDE w:val="0"/>
        <w:autoSpaceDN w:val="0"/>
        <w:adjustRightInd w:val="0"/>
        <w:snapToGrid w:val="0"/>
        <w:spacing w:after="200" w:line="360" w:lineRule="auto"/>
        <w:rPr>
          <w:rFonts w:ascii="宋体" w:hAnsi="宋体" w:cs="宋体"/>
          <w:sz w:val="24"/>
          <w:lang w:val="en-GB"/>
        </w:rPr>
      </w:pPr>
    </w:p>
    <w:p w14:paraId="6AFED109">
      <w:pPr>
        <w:spacing w:line="480" w:lineRule="exact"/>
        <w:outlineLvl w:val="0"/>
        <w:rPr>
          <w:rFonts w:ascii="宋体" w:hAnsi="宋体" w:cs="宋体"/>
          <w:b/>
          <w:sz w:val="24"/>
        </w:rPr>
      </w:pPr>
      <w:bookmarkStart w:id="50" w:name="_Toc148365111"/>
      <w:bookmarkStart w:id="51" w:name="_Toc148365438"/>
      <w:bookmarkStart w:id="52" w:name="_Toc20257"/>
    </w:p>
    <w:p w14:paraId="18F171D8">
      <w:pPr>
        <w:spacing w:line="480" w:lineRule="exact"/>
        <w:jc w:val="center"/>
        <w:outlineLvl w:val="0"/>
        <w:rPr>
          <w:rFonts w:ascii="宋体" w:hAnsi="宋体" w:cs="宋体"/>
          <w:b/>
          <w:bCs/>
          <w:sz w:val="24"/>
        </w:rPr>
      </w:pPr>
      <w:r>
        <w:rPr>
          <w:rFonts w:hint="eastAsia" w:ascii="宋体" w:hAnsi="宋体" w:cs="宋体"/>
          <w:b/>
          <w:sz w:val="24"/>
        </w:rPr>
        <w:t>二、法定代表人身份证明</w:t>
      </w:r>
      <w:bookmarkEnd w:id="50"/>
      <w:bookmarkEnd w:id="51"/>
      <w:bookmarkEnd w:id="52"/>
    </w:p>
    <w:p w14:paraId="5C0C4745">
      <w:pPr>
        <w:spacing w:line="480" w:lineRule="exact"/>
        <w:ind w:firstLine="480" w:firstLineChars="200"/>
        <w:rPr>
          <w:rFonts w:ascii="宋体" w:hAnsi="宋体" w:cs="宋体"/>
          <w:sz w:val="24"/>
        </w:rPr>
      </w:pPr>
      <w:r>
        <w:rPr>
          <w:rFonts w:hint="eastAsia" w:ascii="宋体" w:hAnsi="宋体" w:cs="宋体"/>
          <w:sz w:val="24"/>
        </w:rPr>
        <w:t>供应商名称：</w:t>
      </w:r>
    </w:p>
    <w:p w14:paraId="2D425643">
      <w:pPr>
        <w:spacing w:line="480" w:lineRule="exact"/>
        <w:ind w:firstLine="480" w:firstLineChars="200"/>
        <w:rPr>
          <w:rFonts w:ascii="宋体" w:hAnsi="宋体" w:cs="宋体"/>
          <w:sz w:val="24"/>
        </w:rPr>
      </w:pPr>
      <w:r>
        <w:rPr>
          <w:rFonts w:hint="eastAsia" w:ascii="宋体" w:hAnsi="宋体" w:cs="宋体"/>
          <w:sz w:val="24"/>
        </w:rPr>
        <w:t>单位性质：</w:t>
      </w:r>
    </w:p>
    <w:p w14:paraId="1805BEA2">
      <w:pPr>
        <w:spacing w:line="480" w:lineRule="exact"/>
        <w:ind w:firstLine="480" w:firstLineChars="200"/>
        <w:rPr>
          <w:rFonts w:ascii="宋体" w:hAnsi="宋体" w:cs="宋体"/>
          <w:sz w:val="24"/>
        </w:rPr>
      </w:pPr>
      <w:r>
        <w:rPr>
          <w:rFonts w:hint="eastAsia" w:ascii="宋体" w:hAnsi="宋体" w:cs="宋体"/>
          <w:sz w:val="24"/>
        </w:rPr>
        <w:t>地址：</w:t>
      </w:r>
    </w:p>
    <w:p w14:paraId="30FDBD53">
      <w:pPr>
        <w:spacing w:line="480" w:lineRule="exact"/>
        <w:ind w:firstLine="480" w:firstLineChars="200"/>
        <w:rPr>
          <w:rFonts w:ascii="宋体" w:hAnsi="宋体" w:cs="宋体"/>
          <w:sz w:val="24"/>
        </w:rPr>
      </w:pPr>
      <w:r>
        <w:rPr>
          <w:rFonts w:hint="eastAsia" w:ascii="宋体" w:hAnsi="宋体" w:cs="宋体"/>
          <w:sz w:val="24"/>
        </w:rPr>
        <w:t>成立时间： 年 月 日</w:t>
      </w:r>
    </w:p>
    <w:p w14:paraId="15EFE695">
      <w:pPr>
        <w:spacing w:line="480" w:lineRule="exact"/>
        <w:ind w:firstLine="480" w:firstLineChars="200"/>
        <w:rPr>
          <w:rFonts w:ascii="宋体" w:hAnsi="宋体" w:cs="宋体"/>
          <w:sz w:val="24"/>
        </w:rPr>
      </w:pPr>
      <w:r>
        <w:rPr>
          <w:rFonts w:hint="eastAsia" w:ascii="宋体" w:hAnsi="宋体" w:cs="宋体"/>
          <w:sz w:val="24"/>
        </w:rPr>
        <w:t>经营期限：</w:t>
      </w:r>
    </w:p>
    <w:p w14:paraId="6E1EC1FB">
      <w:pPr>
        <w:spacing w:line="480" w:lineRule="exact"/>
        <w:ind w:firstLine="480" w:firstLineChars="200"/>
        <w:rPr>
          <w:rFonts w:ascii="宋体" w:hAnsi="宋体" w:cs="宋体"/>
          <w:sz w:val="24"/>
        </w:rPr>
      </w:pPr>
      <w:r>
        <w:rPr>
          <w:rFonts w:hint="eastAsia" w:ascii="宋体" w:hAnsi="宋体" w:cs="宋体"/>
          <w:sz w:val="24"/>
        </w:rPr>
        <w:t>姓名： 性别： 年龄：职务：</w:t>
      </w:r>
    </w:p>
    <w:p w14:paraId="5ADC37B2">
      <w:pPr>
        <w:spacing w:line="480" w:lineRule="exact"/>
        <w:ind w:firstLine="480" w:firstLineChars="200"/>
        <w:rPr>
          <w:rFonts w:ascii="宋体" w:hAnsi="宋体" w:cs="宋体"/>
          <w:sz w:val="24"/>
        </w:rPr>
      </w:pPr>
      <w:r>
        <w:rPr>
          <w:rFonts w:hint="eastAsia" w:ascii="宋体" w:hAnsi="宋体" w:cs="宋体"/>
          <w:sz w:val="24"/>
        </w:rPr>
        <w:t>系（供应商名称）的法定代表人。</w:t>
      </w:r>
    </w:p>
    <w:p w14:paraId="5D596DAC">
      <w:pPr>
        <w:spacing w:line="480" w:lineRule="exact"/>
        <w:ind w:firstLine="480" w:firstLineChars="200"/>
        <w:rPr>
          <w:rFonts w:ascii="宋体" w:hAnsi="宋体" w:cs="宋体"/>
          <w:sz w:val="24"/>
        </w:rPr>
      </w:pPr>
      <w:r>
        <w:rPr>
          <w:rFonts w:hint="eastAsia" w:ascii="宋体" w:hAnsi="宋体" w:cs="宋体"/>
          <w:sz w:val="24"/>
        </w:rPr>
        <w:t>特此证明。</w:t>
      </w:r>
    </w:p>
    <w:p w14:paraId="5EB38963">
      <w:pPr>
        <w:spacing w:line="480" w:lineRule="auto"/>
        <w:ind w:firstLine="2916" w:firstLineChars="1215"/>
        <w:rPr>
          <w:rFonts w:ascii="宋体" w:hAnsi="宋体" w:cs="宋体"/>
          <w:sz w:val="24"/>
        </w:rPr>
      </w:pPr>
    </w:p>
    <w:p w14:paraId="02B0CC6B">
      <w:pPr>
        <w:spacing w:line="480" w:lineRule="exact"/>
        <w:ind w:firstLine="480" w:firstLineChars="200"/>
        <w:jc w:val="center"/>
        <w:rPr>
          <w:rFonts w:ascii="宋体" w:hAnsi="宋体" w:cs="宋体"/>
          <w:sz w:val="24"/>
        </w:rPr>
      </w:pPr>
    </w:p>
    <w:p w14:paraId="06E886FC">
      <w:pPr>
        <w:spacing w:line="600" w:lineRule="auto"/>
        <w:ind w:firstLine="3880" w:firstLineChars="1617"/>
        <w:jc w:val="left"/>
        <w:rPr>
          <w:rFonts w:ascii="宋体" w:hAnsi="宋体" w:cs="宋体"/>
          <w:sz w:val="24"/>
        </w:rPr>
      </w:pPr>
      <w:r>
        <w:rPr>
          <w:rFonts w:hint="eastAsia" w:ascii="宋体" w:hAnsi="宋体" w:cs="宋体"/>
          <w:sz w:val="24"/>
        </w:rPr>
        <w:t>供应商：(企业电子签章)</w:t>
      </w:r>
    </w:p>
    <w:p w14:paraId="61E11571">
      <w:pPr>
        <w:spacing w:line="600" w:lineRule="auto"/>
        <w:ind w:firstLine="3880" w:firstLineChars="1617"/>
        <w:jc w:val="left"/>
        <w:rPr>
          <w:rFonts w:ascii="宋体" w:hAnsi="宋体" w:cs="宋体"/>
          <w:sz w:val="24"/>
        </w:rPr>
      </w:pPr>
      <w:r>
        <w:rPr>
          <w:rFonts w:hint="eastAsia" w:ascii="宋体" w:hAnsi="宋体" w:cs="宋体"/>
          <w:sz w:val="24"/>
        </w:rPr>
        <w:t>日期：    年   月   日</w:t>
      </w:r>
    </w:p>
    <w:p w14:paraId="5D885071">
      <w:pPr>
        <w:spacing w:line="480" w:lineRule="auto"/>
        <w:ind w:firstLine="480"/>
        <w:rPr>
          <w:rFonts w:ascii="宋体" w:hAnsi="宋体" w:cs="宋体"/>
          <w:bCs/>
          <w:sz w:val="22"/>
        </w:rPr>
      </w:pPr>
    </w:p>
    <w:p w14:paraId="3C06460B">
      <w:pPr>
        <w:spacing w:line="480" w:lineRule="auto"/>
        <w:ind w:firstLine="480"/>
        <w:rPr>
          <w:rFonts w:ascii="宋体" w:hAnsi="宋体" w:cs="宋体"/>
          <w:bCs/>
          <w:sz w:val="22"/>
        </w:rPr>
      </w:pPr>
    </w:p>
    <w:p w14:paraId="35EAFCBF">
      <w:pPr>
        <w:spacing w:line="480" w:lineRule="auto"/>
        <w:ind w:firstLine="480"/>
        <w:rPr>
          <w:rFonts w:ascii="宋体" w:hAnsi="宋体" w:cs="宋体"/>
          <w:bCs/>
          <w:sz w:val="22"/>
        </w:rPr>
      </w:pPr>
    </w:p>
    <w:p w14:paraId="6B64F295">
      <w:pPr>
        <w:spacing w:line="480" w:lineRule="auto"/>
        <w:ind w:firstLine="480"/>
        <w:rPr>
          <w:rFonts w:ascii="宋体" w:hAnsi="宋体" w:cs="宋体"/>
          <w:bCs/>
          <w:sz w:val="22"/>
        </w:rPr>
        <w:sectPr>
          <w:headerReference r:id="rId7" w:type="default"/>
          <w:footerReference r:id="rId8" w:type="default"/>
          <w:pgSz w:w="11906" w:h="16838"/>
          <w:pgMar w:top="1418" w:right="1134" w:bottom="1418" w:left="1134" w:header="851" w:footer="992" w:gutter="0"/>
          <w:cols w:space="720" w:num="1"/>
          <w:docGrid w:type="lines" w:linePitch="312" w:charSpace="0"/>
        </w:sectPr>
      </w:pPr>
    </w:p>
    <w:p w14:paraId="1F9E797F"/>
    <w:p w14:paraId="0F98C93A">
      <w:pPr>
        <w:spacing w:line="480" w:lineRule="exact"/>
        <w:jc w:val="center"/>
        <w:outlineLvl w:val="0"/>
        <w:rPr>
          <w:rFonts w:ascii="宋体" w:hAnsi="宋体"/>
          <w:b/>
          <w:bCs/>
          <w:sz w:val="24"/>
        </w:rPr>
      </w:pPr>
      <w:bookmarkStart w:id="53" w:name="_Toc148365439"/>
      <w:bookmarkStart w:id="54" w:name="_Toc5964"/>
      <w:bookmarkStart w:id="55" w:name="_Toc148365112"/>
      <w:r>
        <w:rPr>
          <w:rFonts w:hint="eastAsia" w:ascii="宋体" w:hAnsi="宋体" w:cs="宋体"/>
          <w:b/>
          <w:sz w:val="24"/>
        </w:rPr>
        <w:t>三、授权委托书</w:t>
      </w:r>
      <w:bookmarkEnd w:id="53"/>
      <w:bookmarkEnd w:id="54"/>
      <w:bookmarkEnd w:id="55"/>
    </w:p>
    <w:p w14:paraId="3FA18E60">
      <w:pPr>
        <w:topLinePunct/>
        <w:spacing w:line="480" w:lineRule="exact"/>
        <w:ind w:firstLine="480" w:firstLineChars="200"/>
        <w:rPr>
          <w:rFonts w:ascii="宋体" w:hAnsi="宋体"/>
          <w:sz w:val="24"/>
        </w:rPr>
      </w:pPr>
      <w:r>
        <w:rPr>
          <w:rFonts w:ascii="宋体" w:hAnsi="宋体"/>
          <w:sz w:val="24"/>
        </w:rPr>
        <w:t>本人</w:t>
      </w:r>
      <w:r>
        <w:rPr>
          <w:rFonts w:ascii="宋体" w:hAnsi="宋体"/>
          <w:sz w:val="24"/>
          <w:u w:val="single"/>
        </w:rPr>
        <w:t>（姓名）</w:t>
      </w:r>
      <w:r>
        <w:rPr>
          <w:rFonts w:ascii="宋体" w:hAnsi="宋体"/>
          <w:sz w:val="24"/>
        </w:rPr>
        <w:t>系</w:t>
      </w:r>
      <w:r>
        <w:rPr>
          <w:rFonts w:ascii="宋体" w:hAnsi="宋体"/>
          <w:sz w:val="24"/>
          <w:u w:val="single"/>
        </w:rPr>
        <w:t>（</w:t>
      </w:r>
      <w:r>
        <w:rPr>
          <w:rFonts w:hint="eastAsia" w:ascii="宋体" w:hAnsi="宋体"/>
          <w:sz w:val="24"/>
          <w:u w:val="single"/>
        </w:rPr>
        <w:t>供应商</w:t>
      </w:r>
      <w:r>
        <w:rPr>
          <w:rFonts w:ascii="宋体" w:hAnsi="宋体"/>
          <w:sz w:val="24"/>
          <w:u w:val="single"/>
        </w:rPr>
        <w:t>名称）</w:t>
      </w:r>
      <w:r>
        <w:rPr>
          <w:rFonts w:ascii="宋体" w:hAnsi="宋体"/>
          <w:sz w:val="24"/>
        </w:rPr>
        <w:t>的法定代表人，现委托</w:t>
      </w:r>
      <w:r>
        <w:rPr>
          <w:rFonts w:ascii="宋体" w:hAnsi="宋体"/>
          <w:sz w:val="24"/>
          <w:u w:val="single"/>
        </w:rPr>
        <w:t>（姓名）</w:t>
      </w:r>
      <w:r>
        <w:rPr>
          <w:rFonts w:ascii="宋体" w:hAnsi="宋体"/>
          <w:sz w:val="24"/>
        </w:rPr>
        <w:t>为我方代理人。代理人根据授权，以我方名义签署、澄清</w:t>
      </w:r>
      <w:r>
        <w:rPr>
          <w:rFonts w:hint="eastAsia" w:ascii="宋体" w:hAnsi="宋体"/>
          <w:sz w:val="24"/>
        </w:rPr>
        <w:t>、说明、补正</w:t>
      </w:r>
      <w:r>
        <w:rPr>
          <w:rFonts w:ascii="宋体" w:hAnsi="宋体"/>
          <w:sz w:val="24"/>
        </w:rPr>
        <w:t>、递交、撤回、修改</w:t>
      </w:r>
      <w:r>
        <w:rPr>
          <w:rFonts w:ascii="宋体" w:hAnsi="宋体"/>
          <w:sz w:val="24"/>
          <w:u w:val="single"/>
        </w:rPr>
        <w:t>（项目名称）</w:t>
      </w:r>
      <w:r>
        <w:rPr>
          <w:rFonts w:hint="eastAsia" w:ascii="宋体" w:hAnsi="宋体"/>
          <w:sz w:val="24"/>
        </w:rPr>
        <w:t>磋商响应文件</w:t>
      </w:r>
      <w:r>
        <w:rPr>
          <w:rFonts w:ascii="宋体" w:hAnsi="宋体"/>
          <w:sz w:val="24"/>
        </w:rPr>
        <w:t>、签订合同和处理有关事宜，其法律后果由我方承担。</w:t>
      </w:r>
    </w:p>
    <w:p w14:paraId="426A2A4D">
      <w:pPr>
        <w:spacing w:line="480" w:lineRule="exact"/>
        <w:ind w:firstLine="480" w:firstLineChars="200"/>
        <w:rPr>
          <w:rFonts w:ascii="宋体" w:hAnsi="宋体"/>
          <w:sz w:val="24"/>
        </w:rPr>
      </w:pPr>
      <w:r>
        <w:rPr>
          <w:rFonts w:ascii="宋体" w:hAnsi="宋体"/>
          <w:sz w:val="24"/>
        </w:rPr>
        <w:t>委托期限：</w:t>
      </w:r>
      <w:r>
        <w:rPr>
          <w:rFonts w:hint="eastAsia" w:ascii="宋体" w:hAnsi="宋体"/>
          <w:sz w:val="24"/>
          <w:u w:val="single"/>
        </w:rPr>
        <w:t xml:space="preserve">         </w:t>
      </w:r>
      <w:r>
        <w:rPr>
          <w:rFonts w:hint="eastAsia" w:ascii="宋体" w:hAnsi="宋体"/>
          <w:sz w:val="24"/>
        </w:rPr>
        <w:t>。</w:t>
      </w:r>
    </w:p>
    <w:p w14:paraId="4911FD5E">
      <w:pPr>
        <w:spacing w:line="480" w:lineRule="exact"/>
        <w:ind w:firstLine="480" w:firstLineChars="200"/>
        <w:rPr>
          <w:rFonts w:ascii="宋体" w:hAnsi="宋体"/>
          <w:sz w:val="24"/>
        </w:rPr>
      </w:pPr>
      <w:r>
        <w:rPr>
          <w:rFonts w:ascii="宋体" w:hAnsi="宋体"/>
          <w:sz w:val="24"/>
        </w:rPr>
        <w:t>代理人无转委托权。</w:t>
      </w:r>
    </w:p>
    <w:p w14:paraId="05631113">
      <w:pPr>
        <w:jc w:val="left"/>
        <w:rPr>
          <w:rFonts w:ascii="宋体" w:hAnsi="Calibri"/>
          <w:sz w:val="24"/>
        </w:rPr>
      </w:pPr>
    </w:p>
    <w:p w14:paraId="4D5766B2">
      <w:pPr>
        <w:spacing w:line="480" w:lineRule="exact"/>
        <w:ind w:firstLine="3036" w:firstLineChars="1265"/>
        <w:rPr>
          <w:rFonts w:ascii="宋体" w:hAnsi="宋体"/>
          <w:bCs/>
          <w:sz w:val="24"/>
        </w:rPr>
      </w:pPr>
      <w:r>
        <w:rPr>
          <w:rFonts w:hint="eastAsia" w:ascii="宋体" w:hAnsi="宋体"/>
          <w:bCs/>
          <w:sz w:val="24"/>
        </w:rPr>
        <w:t xml:space="preserve">供应商：（企业电子签章） </w:t>
      </w:r>
    </w:p>
    <w:p w14:paraId="2F0219A0">
      <w:pPr>
        <w:spacing w:line="480" w:lineRule="exact"/>
        <w:ind w:firstLine="3036" w:firstLineChars="1265"/>
        <w:rPr>
          <w:rFonts w:ascii="宋体" w:hAnsi="宋体"/>
          <w:bCs/>
          <w:sz w:val="24"/>
        </w:rPr>
      </w:pPr>
    </w:p>
    <w:p w14:paraId="624F0CB6">
      <w:pPr>
        <w:spacing w:line="480" w:lineRule="exact"/>
        <w:ind w:firstLine="3036" w:firstLineChars="1265"/>
        <w:rPr>
          <w:rFonts w:ascii="宋体" w:hAnsi="宋体"/>
          <w:bCs/>
          <w:sz w:val="24"/>
          <w:u w:val="single"/>
        </w:rPr>
      </w:pPr>
      <w:r>
        <w:rPr>
          <w:rFonts w:hint="eastAsia" w:ascii="宋体" w:hAnsi="宋体"/>
          <w:bCs/>
          <w:sz w:val="24"/>
        </w:rPr>
        <w:t>法定代表人：（签章）</w:t>
      </w:r>
    </w:p>
    <w:p w14:paraId="5A63C57F">
      <w:pPr>
        <w:spacing w:line="480" w:lineRule="exact"/>
        <w:ind w:firstLine="3036" w:firstLineChars="1265"/>
        <w:rPr>
          <w:rFonts w:ascii="宋体" w:hAnsi="宋体"/>
          <w:bCs/>
          <w:sz w:val="24"/>
        </w:rPr>
      </w:pPr>
    </w:p>
    <w:p w14:paraId="46C33F8E">
      <w:pPr>
        <w:spacing w:line="480" w:lineRule="exact"/>
        <w:ind w:firstLine="3036" w:firstLineChars="1265"/>
        <w:rPr>
          <w:rFonts w:ascii="宋体" w:hAnsi="宋体"/>
          <w:bCs/>
          <w:sz w:val="24"/>
        </w:rPr>
      </w:pPr>
      <w:r>
        <w:rPr>
          <w:rFonts w:hint="eastAsia" w:ascii="宋体" w:hAnsi="宋体"/>
          <w:bCs/>
          <w:sz w:val="24"/>
        </w:rPr>
        <w:t>委托代理人姓名：</w:t>
      </w:r>
    </w:p>
    <w:p w14:paraId="693BD4FC">
      <w:pPr>
        <w:spacing w:line="480" w:lineRule="exact"/>
        <w:ind w:firstLine="3036" w:firstLineChars="1265"/>
        <w:rPr>
          <w:rFonts w:ascii="宋体" w:hAnsi="宋体"/>
          <w:bCs/>
          <w:sz w:val="24"/>
        </w:rPr>
      </w:pPr>
    </w:p>
    <w:p w14:paraId="48FD3523">
      <w:pPr>
        <w:spacing w:line="480" w:lineRule="exact"/>
        <w:ind w:firstLine="3036" w:firstLineChars="1265"/>
        <w:rPr>
          <w:rFonts w:ascii="宋体" w:hAnsi="宋体"/>
          <w:bCs/>
          <w:sz w:val="24"/>
          <w:u w:val="single"/>
        </w:rPr>
      </w:pPr>
      <w:r>
        <w:rPr>
          <w:rFonts w:hint="eastAsia" w:ascii="宋体" w:hAnsi="宋体"/>
          <w:bCs/>
          <w:sz w:val="24"/>
        </w:rPr>
        <w:t>委托代理人身份证号：</w:t>
      </w:r>
    </w:p>
    <w:p w14:paraId="3E2DD458">
      <w:pPr>
        <w:spacing w:line="480" w:lineRule="exact"/>
        <w:ind w:firstLine="3036" w:firstLineChars="1265"/>
        <w:rPr>
          <w:rFonts w:ascii="宋体" w:hAnsi="宋体"/>
          <w:bCs/>
          <w:sz w:val="24"/>
        </w:rPr>
      </w:pPr>
    </w:p>
    <w:p w14:paraId="7593AFB3">
      <w:pPr>
        <w:spacing w:line="480" w:lineRule="exact"/>
        <w:ind w:firstLine="3036" w:firstLineChars="1265"/>
        <w:rPr>
          <w:rFonts w:ascii="宋体" w:hAnsi="宋体"/>
          <w:sz w:val="24"/>
        </w:rPr>
      </w:pPr>
      <w:r>
        <w:rPr>
          <w:rFonts w:hint="eastAsia" w:ascii="宋体" w:hAnsi="宋体"/>
          <w:sz w:val="24"/>
        </w:rPr>
        <w:t xml:space="preserve">日期：   </w:t>
      </w: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14:paraId="543A14D8">
      <w:pPr>
        <w:spacing w:line="480" w:lineRule="exact"/>
        <w:ind w:firstLine="480" w:firstLineChars="200"/>
        <w:rPr>
          <w:rFonts w:ascii="宋体" w:hAnsi="宋体"/>
          <w:bCs/>
          <w:sz w:val="24"/>
        </w:rPr>
      </w:pPr>
    </w:p>
    <w:p w14:paraId="602EBA39">
      <w:pPr>
        <w:spacing w:line="480" w:lineRule="exact"/>
        <w:ind w:firstLine="480" w:firstLineChars="200"/>
        <w:rPr>
          <w:rFonts w:ascii="宋体" w:hAnsi="宋体"/>
          <w:sz w:val="24"/>
        </w:rPr>
      </w:pPr>
    </w:p>
    <w:p w14:paraId="5C046816">
      <w:pPr>
        <w:spacing w:line="480" w:lineRule="exact"/>
        <w:jc w:val="left"/>
        <w:rPr>
          <w:rFonts w:ascii="宋体" w:hAnsi="宋体"/>
          <w:sz w:val="24"/>
        </w:rPr>
      </w:pPr>
      <w:r>
        <w:rPr>
          <w:rFonts w:hint="eastAsia" w:ascii="宋体" w:hAnsi="宋体"/>
          <w:sz w:val="24"/>
        </w:rPr>
        <w:t>附法定代表人及委托代理人的身份证正反面原件扫描件加盖</w:t>
      </w:r>
      <w:r>
        <w:rPr>
          <w:rFonts w:hint="eastAsia" w:ascii="宋体" w:hAnsi="宋体"/>
          <w:bCs/>
          <w:sz w:val="24"/>
        </w:rPr>
        <w:t>企业电子签章</w:t>
      </w:r>
      <w:r>
        <w:rPr>
          <w:rFonts w:hint="eastAsia" w:ascii="宋体" w:hAnsi="宋体"/>
          <w:sz w:val="24"/>
        </w:rPr>
        <w:t>；</w:t>
      </w:r>
    </w:p>
    <w:p w14:paraId="17A3CE57">
      <w:pPr>
        <w:spacing w:line="480" w:lineRule="auto"/>
        <w:ind w:firstLine="480"/>
        <w:rPr>
          <w:rFonts w:ascii="宋体" w:hAnsi="宋体" w:cs="宋体"/>
          <w:bCs/>
          <w:sz w:val="22"/>
          <w:lang w:val="zh-CN"/>
        </w:rPr>
      </w:pPr>
    </w:p>
    <w:p w14:paraId="0B18D1C3">
      <w:pPr>
        <w:spacing w:line="480" w:lineRule="auto"/>
        <w:rPr>
          <w:rFonts w:ascii="宋体" w:hAnsi="宋体" w:cs="宋体"/>
          <w:bCs/>
          <w:sz w:val="22"/>
        </w:rPr>
      </w:pPr>
      <w:bookmarkStart w:id="56" w:name="_Toc419273080"/>
    </w:p>
    <w:p w14:paraId="5C5D5DFC">
      <w:pPr>
        <w:spacing w:line="480" w:lineRule="auto"/>
        <w:rPr>
          <w:rFonts w:ascii="宋体" w:hAnsi="宋体" w:cs="宋体"/>
          <w:bCs/>
          <w:sz w:val="22"/>
        </w:rPr>
      </w:pPr>
    </w:p>
    <w:p w14:paraId="00DC881E">
      <w:pPr>
        <w:spacing w:line="480" w:lineRule="auto"/>
        <w:ind w:firstLine="480"/>
        <w:jc w:val="center"/>
        <w:rPr>
          <w:rFonts w:ascii="宋体" w:hAnsi="宋体" w:cs="宋体"/>
          <w:bCs/>
          <w:sz w:val="24"/>
          <w:szCs w:val="28"/>
        </w:rPr>
      </w:pPr>
    </w:p>
    <w:p w14:paraId="2124AB44">
      <w:pPr>
        <w:spacing w:line="480" w:lineRule="auto"/>
        <w:ind w:firstLine="480"/>
        <w:jc w:val="center"/>
        <w:rPr>
          <w:rFonts w:ascii="宋体" w:hAnsi="宋体" w:cs="宋体"/>
          <w:bCs/>
          <w:sz w:val="24"/>
          <w:szCs w:val="28"/>
        </w:rPr>
      </w:pPr>
    </w:p>
    <w:p w14:paraId="3D71EAB6">
      <w:pPr>
        <w:spacing w:line="480" w:lineRule="auto"/>
        <w:ind w:firstLine="480"/>
        <w:jc w:val="center"/>
        <w:rPr>
          <w:rFonts w:ascii="宋体" w:hAnsi="宋体" w:cs="宋体"/>
          <w:bCs/>
          <w:sz w:val="24"/>
          <w:szCs w:val="28"/>
        </w:rPr>
      </w:pPr>
    </w:p>
    <w:p w14:paraId="661A1BF6">
      <w:pPr>
        <w:spacing w:line="480" w:lineRule="exact"/>
        <w:jc w:val="center"/>
        <w:outlineLvl w:val="0"/>
        <w:rPr>
          <w:rFonts w:ascii="宋体" w:hAnsi="宋体" w:cs="宋体"/>
          <w:b/>
          <w:sz w:val="24"/>
        </w:rPr>
      </w:pPr>
      <w:bookmarkStart w:id="57" w:name="_Toc148365440"/>
      <w:bookmarkStart w:id="58" w:name="_Toc148365113"/>
      <w:bookmarkStart w:id="59" w:name="_Toc7425"/>
    </w:p>
    <w:p w14:paraId="1F0EB63A">
      <w:pPr>
        <w:spacing w:line="480" w:lineRule="exact"/>
        <w:jc w:val="center"/>
        <w:outlineLvl w:val="0"/>
        <w:rPr>
          <w:rFonts w:ascii="宋体" w:hAnsi="宋体" w:cs="宋体"/>
          <w:b/>
          <w:bCs/>
          <w:sz w:val="24"/>
        </w:rPr>
      </w:pPr>
      <w:r>
        <w:rPr>
          <w:rFonts w:hint="eastAsia" w:ascii="宋体" w:hAnsi="宋体" w:cs="宋体"/>
          <w:b/>
          <w:sz w:val="24"/>
        </w:rPr>
        <w:t>四、磋商承诺函</w:t>
      </w:r>
      <w:bookmarkEnd w:id="57"/>
      <w:bookmarkEnd w:id="58"/>
      <w:bookmarkEnd w:id="59"/>
    </w:p>
    <w:p w14:paraId="03EA2D5D">
      <w:pPr>
        <w:spacing w:line="360" w:lineRule="auto"/>
        <w:jc w:val="left"/>
        <w:rPr>
          <w:rFonts w:ascii="宋体" w:hAnsi="宋体" w:cs="宋体"/>
          <w:bCs/>
          <w:sz w:val="24"/>
          <w:u w:val="single"/>
        </w:rPr>
      </w:pPr>
      <w:r>
        <w:rPr>
          <w:rFonts w:hint="eastAsia" w:ascii="宋体" w:hAnsi="宋体" w:cs="宋体"/>
          <w:sz w:val="24"/>
        </w:rPr>
        <w:t>致：</w:t>
      </w:r>
      <w:r>
        <w:rPr>
          <w:rFonts w:hint="eastAsia" w:ascii="宋体" w:hAnsi="宋体" w:cs="宋体"/>
          <w:bCs/>
          <w:sz w:val="24"/>
          <w:u w:val="single"/>
        </w:rPr>
        <w:t xml:space="preserve">  （采购人）      </w:t>
      </w:r>
    </w:p>
    <w:p w14:paraId="5AD020D9">
      <w:pPr>
        <w:autoSpaceDE w:val="0"/>
        <w:autoSpaceDN w:val="0"/>
        <w:adjustRightInd w:val="0"/>
        <w:spacing w:line="500" w:lineRule="exact"/>
        <w:ind w:firstLine="559" w:firstLineChars="233"/>
        <w:jc w:val="left"/>
        <w:rPr>
          <w:rFonts w:ascii="宋体" w:hAnsi="宋体" w:cs="宋体"/>
          <w:sz w:val="24"/>
        </w:rPr>
      </w:pPr>
      <w:r>
        <w:rPr>
          <w:rFonts w:hint="eastAsia" w:ascii="宋体" w:hAnsi="宋体" w:cs="宋体"/>
          <w:sz w:val="24"/>
        </w:rPr>
        <w:t>我方已充分了解了（</w:t>
      </w:r>
      <w:r>
        <w:rPr>
          <w:rFonts w:hint="eastAsia" w:ascii="宋体" w:hAnsi="宋体" w:cs="宋体"/>
          <w:sz w:val="24"/>
          <w:u w:val="single"/>
        </w:rPr>
        <w:t xml:space="preserve">   </w:t>
      </w: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项目编号）的竞争性磋商文件，愿意遵照本项目《竞争性磋商文件》、《中华人民共和国政府采购法》等有关规定参与竞标，并承诺如下：</w:t>
      </w:r>
    </w:p>
    <w:p w14:paraId="7DC26D84">
      <w:pPr>
        <w:autoSpaceDE w:val="0"/>
        <w:autoSpaceDN w:val="0"/>
        <w:adjustRightInd w:val="0"/>
        <w:spacing w:line="500" w:lineRule="exact"/>
        <w:ind w:firstLine="559" w:firstLineChars="233"/>
        <w:jc w:val="left"/>
        <w:rPr>
          <w:rFonts w:ascii="宋体" w:hAnsi="宋体" w:cs="宋体"/>
          <w:sz w:val="24"/>
        </w:rPr>
      </w:pPr>
      <w:r>
        <w:rPr>
          <w:rFonts w:hint="eastAsia" w:ascii="宋体" w:hAnsi="宋体" w:cs="宋体"/>
          <w:sz w:val="24"/>
        </w:rPr>
        <w:t>1、我方承诺将严格按照“公开、公平、公正和诚实信用原则”参与本项目竞标活动。</w:t>
      </w:r>
    </w:p>
    <w:p w14:paraId="33E43C77">
      <w:pPr>
        <w:autoSpaceDE w:val="0"/>
        <w:autoSpaceDN w:val="0"/>
        <w:adjustRightInd w:val="0"/>
        <w:spacing w:line="500" w:lineRule="exact"/>
        <w:ind w:firstLine="559" w:firstLineChars="233"/>
        <w:jc w:val="left"/>
        <w:rPr>
          <w:rFonts w:ascii="宋体" w:hAnsi="宋体" w:cs="宋体"/>
          <w:sz w:val="24"/>
        </w:rPr>
      </w:pPr>
      <w:r>
        <w:rPr>
          <w:rFonts w:hint="eastAsia" w:ascii="宋体" w:hAnsi="宋体" w:cs="宋体"/>
          <w:sz w:val="24"/>
        </w:rPr>
        <w:t>2、我方承诺在投标有效期内不撤销响应性文件；</w:t>
      </w:r>
    </w:p>
    <w:p w14:paraId="36D543C2">
      <w:pPr>
        <w:autoSpaceDE w:val="0"/>
        <w:autoSpaceDN w:val="0"/>
        <w:adjustRightInd w:val="0"/>
        <w:spacing w:line="500" w:lineRule="exact"/>
        <w:ind w:firstLine="559" w:firstLineChars="233"/>
        <w:jc w:val="left"/>
        <w:rPr>
          <w:rFonts w:ascii="宋体" w:hAnsi="宋体" w:cs="宋体"/>
          <w:sz w:val="24"/>
        </w:rPr>
      </w:pPr>
      <w:r>
        <w:rPr>
          <w:rFonts w:hint="eastAsia" w:ascii="宋体" w:hAnsi="宋体" w:cs="宋体"/>
          <w:sz w:val="24"/>
        </w:rPr>
        <w:t>3、我方承诺在响应性文件及对三门峡市公共资源交易供应商诚信库中提供的材料真实有效；</w:t>
      </w:r>
    </w:p>
    <w:p w14:paraId="4A35D2CD">
      <w:pPr>
        <w:autoSpaceDE w:val="0"/>
        <w:autoSpaceDN w:val="0"/>
        <w:adjustRightInd w:val="0"/>
        <w:spacing w:line="500" w:lineRule="exact"/>
        <w:ind w:firstLine="559" w:firstLineChars="233"/>
        <w:jc w:val="left"/>
        <w:rPr>
          <w:rFonts w:ascii="宋体" w:hAnsi="宋体" w:cs="宋体"/>
          <w:sz w:val="24"/>
        </w:rPr>
      </w:pPr>
      <w:r>
        <w:rPr>
          <w:rFonts w:hint="eastAsia" w:ascii="宋体" w:hAnsi="宋体" w:cs="宋体"/>
          <w:sz w:val="24"/>
        </w:rPr>
        <w:t>4、我方承诺绝不与采购人、其他投标供应商或者代理机构恶意串通的投标；</w:t>
      </w:r>
    </w:p>
    <w:p w14:paraId="0CFFA21B">
      <w:pPr>
        <w:autoSpaceDE w:val="0"/>
        <w:autoSpaceDN w:val="0"/>
        <w:adjustRightInd w:val="0"/>
        <w:spacing w:line="500" w:lineRule="exact"/>
        <w:ind w:firstLine="559" w:firstLineChars="233"/>
        <w:jc w:val="left"/>
        <w:rPr>
          <w:rFonts w:ascii="宋体" w:hAnsi="宋体" w:cs="宋体"/>
          <w:sz w:val="24"/>
        </w:rPr>
      </w:pPr>
      <w:r>
        <w:rPr>
          <w:rFonts w:hint="eastAsia" w:ascii="宋体" w:hAnsi="宋体" w:cs="宋体"/>
          <w:sz w:val="24"/>
        </w:rPr>
        <w:t>5、我方承诺绝不以他人的名义投标、串通投标、以行贿手段谋取中标或者以其他弄虚作假方式投标；</w:t>
      </w:r>
    </w:p>
    <w:p w14:paraId="401DBC7F">
      <w:pPr>
        <w:autoSpaceDE w:val="0"/>
        <w:autoSpaceDN w:val="0"/>
        <w:adjustRightInd w:val="0"/>
        <w:spacing w:line="500" w:lineRule="exact"/>
        <w:ind w:firstLine="559" w:firstLineChars="233"/>
        <w:jc w:val="left"/>
        <w:rPr>
          <w:rFonts w:ascii="宋体" w:hAnsi="宋体" w:cs="宋体"/>
          <w:sz w:val="24"/>
        </w:rPr>
      </w:pPr>
      <w:r>
        <w:rPr>
          <w:rFonts w:hint="eastAsia" w:ascii="宋体" w:hAnsi="宋体" w:cs="宋体"/>
          <w:sz w:val="24"/>
        </w:rPr>
        <w:t>6、我方承诺绝不采取不正当手段谋取中标；</w:t>
      </w:r>
    </w:p>
    <w:p w14:paraId="4D51441E">
      <w:pPr>
        <w:autoSpaceDE w:val="0"/>
        <w:autoSpaceDN w:val="0"/>
        <w:adjustRightInd w:val="0"/>
        <w:spacing w:line="500" w:lineRule="exact"/>
        <w:ind w:firstLine="559" w:firstLineChars="233"/>
        <w:jc w:val="left"/>
        <w:rPr>
          <w:rFonts w:ascii="宋体" w:hAnsi="宋体" w:cs="宋体"/>
          <w:sz w:val="24"/>
        </w:rPr>
      </w:pPr>
      <w:r>
        <w:rPr>
          <w:rFonts w:hint="eastAsia" w:ascii="宋体" w:hAnsi="宋体" w:cs="宋体"/>
          <w:sz w:val="24"/>
        </w:rPr>
        <w:t>7、如我方中标，我方承诺在收到成交通知书后，在成交通知书规定的期限内，根据磋商文件、我方的磋商响应文件及有关澄清承诺书的要求，与采购人订立书面合同，并按照合同约定承担完成合同的责任和义务.</w:t>
      </w:r>
    </w:p>
    <w:p w14:paraId="22DB7E1C">
      <w:pPr>
        <w:autoSpaceDE w:val="0"/>
        <w:autoSpaceDN w:val="0"/>
        <w:adjustRightInd w:val="0"/>
        <w:spacing w:line="500" w:lineRule="exact"/>
        <w:ind w:firstLine="559" w:firstLineChars="233"/>
        <w:jc w:val="left"/>
        <w:rPr>
          <w:rFonts w:ascii="宋体" w:hAnsi="宋体" w:cs="宋体"/>
          <w:sz w:val="24"/>
        </w:rPr>
      </w:pPr>
      <w:r>
        <w:rPr>
          <w:rFonts w:hint="eastAsia" w:ascii="宋体" w:hAnsi="宋体" w:cs="宋体"/>
          <w:sz w:val="24"/>
        </w:rPr>
        <w:t>8、如我方违反此约定，愿意承担对本项目造成的一切经济损失，并同时依法承担相应法律责任。</w:t>
      </w:r>
    </w:p>
    <w:p w14:paraId="60F7BE04">
      <w:pPr>
        <w:autoSpaceDE w:val="0"/>
        <w:autoSpaceDN w:val="0"/>
        <w:adjustRightInd w:val="0"/>
        <w:spacing w:line="500" w:lineRule="exact"/>
        <w:ind w:firstLine="564" w:firstLineChars="235"/>
        <w:jc w:val="left"/>
        <w:rPr>
          <w:rFonts w:ascii="宋体" w:hAnsi="宋体" w:cs="宋体"/>
          <w:sz w:val="24"/>
        </w:rPr>
      </w:pPr>
    </w:p>
    <w:p w14:paraId="4ECB0DB5">
      <w:pPr>
        <w:spacing w:line="360" w:lineRule="auto"/>
        <w:ind w:firstLine="3280" w:firstLineChars="1367"/>
        <w:jc w:val="left"/>
        <w:rPr>
          <w:rFonts w:ascii="宋体" w:hAnsi="宋体" w:cs="宋体"/>
          <w:sz w:val="24"/>
        </w:rPr>
      </w:pPr>
      <w:r>
        <w:rPr>
          <w:rFonts w:hint="eastAsia" w:ascii="宋体" w:hAnsi="宋体" w:cs="宋体"/>
          <w:sz w:val="24"/>
        </w:rPr>
        <w:t>供应商：（企业电子签章）</w:t>
      </w:r>
    </w:p>
    <w:p w14:paraId="272D22E4">
      <w:pPr>
        <w:spacing w:line="360" w:lineRule="auto"/>
        <w:ind w:firstLine="3280" w:firstLineChars="1367"/>
        <w:jc w:val="left"/>
        <w:rPr>
          <w:rFonts w:ascii="宋体" w:hAnsi="宋体" w:cs="宋体"/>
          <w:sz w:val="24"/>
        </w:rPr>
      </w:pPr>
      <w:r>
        <w:rPr>
          <w:rFonts w:hint="eastAsia" w:ascii="宋体" w:hAnsi="宋体" w:cs="宋体"/>
          <w:sz w:val="24"/>
        </w:rPr>
        <w:t>法定代表人：（签章）</w:t>
      </w:r>
    </w:p>
    <w:p w14:paraId="0D367566">
      <w:pPr>
        <w:spacing w:line="360" w:lineRule="auto"/>
        <w:ind w:firstLine="3280" w:firstLineChars="1367"/>
        <w:jc w:val="left"/>
        <w:rPr>
          <w:rFonts w:ascii="宋体" w:hAnsi="宋体" w:cs="宋体"/>
          <w:sz w:val="24"/>
        </w:rPr>
      </w:pPr>
      <w:r>
        <w:rPr>
          <w:rFonts w:hint="eastAsia" w:ascii="宋体" w:hAnsi="宋体" w:cs="宋体"/>
          <w:sz w:val="24"/>
        </w:rPr>
        <w:t>日期：   年   月   日</w:t>
      </w:r>
    </w:p>
    <w:p w14:paraId="36956005">
      <w:pPr>
        <w:spacing w:line="480" w:lineRule="auto"/>
        <w:ind w:firstLine="480"/>
        <w:rPr>
          <w:rFonts w:ascii="宋体" w:hAnsi="宋体" w:cs="宋体"/>
          <w:bCs/>
          <w:sz w:val="22"/>
          <w:lang w:val="zh-CN"/>
        </w:rPr>
      </w:pPr>
    </w:p>
    <w:p w14:paraId="778D80E8">
      <w:pPr>
        <w:spacing w:line="480" w:lineRule="exact"/>
        <w:jc w:val="center"/>
        <w:outlineLvl w:val="0"/>
        <w:rPr>
          <w:rFonts w:ascii="宋体" w:hAnsi="宋体" w:cs="宋体"/>
          <w:b/>
          <w:sz w:val="24"/>
        </w:rPr>
      </w:pPr>
      <w:r>
        <w:rPr>
          <w:rFonts w:hint="eastAsia" w:ascii="宋体" w:hAnsi="宋体" w:cs="宋体"/>
          <w:bCs/>
          <w:sz w:val="22"/>
        </w:rPr>
        <w:br w:type="page"/>
      </w:r>
      <w:bookmarkStart w:id="60" w:name="_Toc148365114"/>
      <w:bookmarkStart w:id="61" w:name="_Toc148365441"/>
      <w:r>
        <w:rPr>
          <w:rFonts w:hint="eastAsia" w:ascii="宋体" w:hAnsi="宋体" w:cs="宋体"/>
          <w:b/>
          <w:sz w:val="24"/>
        </w:rPr>
        <w:t>五、供应商情况</w:t>
      </w:r>
      <w:bookmarkEnd w:id="60"/>
      <w:bookmarkEnd w:id="61"/>
    </w:p>
    <w:p w14:paraId="6FAD7606">
      <w:pPr>
        <w:widowControl/>
        <w:spacing w:line="520" w:lineRule="atLeast"/>
        <w:jc w:val="center"/>
        <w:rPr>
          <w:rFonts w:ascii="宋体" w:hAnsi="宋体"/>
          <w:b/>
          <w:bCs/>
          <w:sz w:val="24"/>
        </w:rPr>
      </w:pPr>
      <w:r>
        <w:rPr>
          <w:rFonts w:hint="eastAsia" w:ascii="宋体" w:hAnsi="宋体"/>
          <w:b/>
          <w:bCs/>
          <w:sz w:val="24"/>
        </w:rPr>
        <w:t>（一）基本情况表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973"/>
        <w:gridCol w:w="1551"/>
        <w:gridCol w:w="1119"/>
        <w:gridCol w:w="1132"/>
        <w:gridCol w:w="235"/>
        <w:gridCol w:w="1679"/>
      </w:tblGrid>
      <w:tr w14:paraId="6305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1F66E91C">
            <w:pPr>
              <w:wordWrap w:val="0"/>
              <w:spacing w:line="360" w:lineRule="auto"/>
              <w:rPr>
                <w:sz w:val="24"/>
              </w:rPr>
            </w:pPr>
            <w:r>
              <w:rPr>
                <w:rFonts w:hint="eastAsia"/>
                <w:sz w:val="24"/>
              </w:rPr>
              <w:t>供应商名称</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15411FDE">
            <w:pPr>
              <w:wordWrap w:val="0"/>
              <w:spacing w:line="360" w:lineRule="auto"/>
              <w:rPr>
                <w:sz w:val="24"/>
              </w:rPr>
            </w:pPr>
          </w:p>
        </w:tc>
      </w:tr>
      <w:tr w14:paraId="1C42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1DA41029">
            <w:pPr>
              <w:wordWrap w:val="0"/>
              <w:spacing w:line="360" w:lineRule="auto"/>
              <w:rPr>
                <w:sz w:val="24"/>
              </w:rPr>
            </w:pPr>
            <w:r>
              <w:rPr>
                <w:rFonts w:hint="eastAsia"/>
                <w:sz w:val="24"/>
              </w:rPr>
              <w:t>注册地址</w:t>
            </w:r>
          </w:p>
        </w:tc>
        <w:tc>
          <w:tcPr>
            <w:tcW w:w="3643" w:type="dxa"/>
            <w:gridSpan w:val="3"/>
            <w:tcBorders>
              <w:top w:val="single" w:color="auto" w:sz="4" w:space="0"/>
              <w:left w:val="single" w:color="auto" w:sz="4" w:space="0"/>
              <w:bottom w:val="single" w:color="auto" w:sz="4" w:space="0"/>
              <w:right w:val="single" w:color="auto" w:sz="4" w:space="0"/>
            </w:tcBorders>
            <w:noWrap/>
            <w:vAlign w:val="center"/>
          </w:tcPr>
          <w:p w14:paraId="1079D7EF">
            <w:pPr>
              <w:wordWrap w:val="0"/>
              <w:spacing w:line="360" w:lineRule="auto"/>
              <w:rPr>
                <w:sz w:val="24"/>
              </w:rPr>
            </w:pP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62401A78">
            <w:pPr>
              <w:wordWrap w:val="0"/>
              <w:spacing w:line="360" w:lineRule="auto"/>
              <w:rPr>
                <w:sz w:val="24"/>
              </w:rPr>
            </w:pPr>
            <w:r>
              <w:rPr>
                <w:rFonts w:hint="eastAsia"/>
                <w:sz w:val="24"/>
              </w:rPr>
              <w:t>邮政编码</w:t>
            </w:r>
          </w:p>
        </w:tc>
        <w:tc>
          <w:tcPr>
            <w:tcW w:w="1679" w:type="dxa"/>
            <w:tcBorders>
              <w:top w:val="single" w:color="auto" w:sz="4" w:space="0"/>
              <w:left w:val="single" w:color="auto" w:sz="4" w:space="0"/>
              <w:bottom w:val="single" w:color="auto" w:sz="4" w:space="0"/>
              <w:right w:val="single" w:color="auto" w:sz="4" w:space="0"/>
            </w:tcBorders>
            <w:noWrap/>
            <w:vAlign w:val="center"/>
          </w:tcPr>
          <w:p w14:paraId="207F4E9B">
            <w:pPr>
              <w:wordWrap w:val="0"/>
              <w:spacing w:line="360" w:lineRule="auto"/>
              <w:rPr>
                <w:sz w:val="24"/>
              </w:rPr>
            </w:pPr>
          </w:p>
        </w:tc>
      </w:tr>
      <w:tr w14:paraId="76F6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731" w:type="dxa"/>
            <w:vMerge w:val="restart"/>
            <w:tcBorders>
              <w:top w:val="single" w:color="auto" w:sz="4" w:space="0"/>
              <w:left w:val="single" w:color="auto" w:sz="4" w:space="0"/>
              <w:bottom w:val="single" w:color="auto" w:sz="4" w:space="0"/>
              <w:right w:val="single" w:color="auto" w:sz="4" w:space="0"/>
            </w:tcBorders>
            <w:noWrap/>
            <w:vAlign w:val="center"/>
          </w:tcPr>
          <w:p w14:paraId="205608FC">
            <w:pPr>
              <w:wordWrap w:val="0"/>
              <w:spacing w:line="360" w:lineRule="auto"/>
              <w:rPr>
                <w:sz w:val="24"/>
              </w:rPr>
            </w:pPr>
            <w:r>
              <w:rPr>
                <w:rFonts w:hint="eastAsia"/>
                <w:sz w:val="24"/>
              </w:rPr>
              <w:t>联系方式</w:t>
            </w:r>
          </w:p>
        </w:tc>
        <w:tc>
          <w:tcPr>
            <w:tcW w:w="973" w:type="dxa"/>
            <w:tcBorders>
              <w:top w:val="single" w:color="auto" w:sz="4" w:space="0"/>
              <w:left w:val="single" w:color="auto" w:sz="4" w:space="0"/>
              <w:bottom w:val="single" w:color="auto" w:sz="4" w:space="0"/>
              <w:right w:val="single" w:color="auto" w:sz="4" w:space="0"/>
            </w:tcBorders>
            <w:noWrap/>
            <w:vAlign w:val="center"/>
          </w:tcPr>
          <w:p w14:paraId="050E97A8">
            <w:pPr>
              <w:wordWrap w:val="0"/>
              <w:spacing w:line="360" w:lineRule="auto"/>
              <w:rPr>
                <w:sz w:val="24"/>
              </w:rPr>
            </w:pPr>
            <w:r>
              <w:rPr>
                <w:rFonts w:hint="eastAsia"/>
                <w:sz w:val="24"/>
              </w:rPr>
              <w:t>联系人</w:t>
            </w:r>
          </w:p>
        </w:tc>
        <w:tc>
          <w:tcPr>
            <w:tcW w:w="2670" w:type="dxa"/>
            <w:gridSpan w:val="2"/>
            <w:tcBorders>
              <w:top w:val="single" w:color="auto" w:sz="4" w:space="0"/>
              <w:left w:val="single" w:color="auto" w:sz="4" w:space="0"/>
              <w:bottom w:val="single" w:color="auto" w:sz="4" w:space="0"/>
              <w:right w:val="single" w:color="auto" w:sz="4" w:space="0"/>
            </w:tcBorders>
            <w:noWrap/>
            <w:vAlign w:val="center"/>
          </w:tcPr>
          <w:p w14:paraId="02D7ED84">
            <w:pPr>
              <w:wordWrap w:val="0"/>
              <w:spacing w:line="360" w:lineRule="auto"/>
              <w:rPr>
                <w:sz w:val="24"/>
              </w:rPr>
            </w:pP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671831F1">
            <w:pPr>
              <w:wordWrap w:val="0"/>
              <w:spacing w:line="360" w:lineRule="auto"/>
              <w:rPr>
                <w:sz w:val="24"/>
              </w:rPr>
            </w:pPr>
            <w:r>
              <w:rPr>
                <w:rFonts w:hint="eastAsia"/>
                <w:sz w:val="24"/>
              </w:rPr>
              <w:t>电话</w:t>
            </w:r>
          </w:p>
        </w:tc>
        <w:tc>
          <w:tcPr>
            <w:tcW w:w="1679" w:type="dxa"/>
            <w:tcBorders>
              <w:top w:val="single" w:color="auto" w:sz="4" w:space="0"/>
              <w:left w:val="single" w:color="auto" w:sz="4" w:space="0"/>
              <w:bottom w:val="single" w:color="auto" w:sz="4" w:space="0"/>
              <w:right w:val="single" w:color="auto" w:sz="4" w:space="0"/>
            </w:tcBorders>
            <w:noWrap/>
            <w:vAlign w:val="center"/>
          </w:tcPr>
          <w:p w14:paraId="02EA871C">
            <w:pPr>
              <w:wordWrap w:val="0"/>
              <w:spacing w:line="360" w:lineRule="auto"/>
              <w:rPr>
                <w:sz w:val="24"/>
              </w:rPr>
            </w:pPr>
          </w:p>
        </w:tc>
      </w:tr>
      <w:tr w14:paraId="629C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31" w:type="dxa"/>
            <w:vMerge w:val="continue"/>
            <w:tcBorders>
              <w:top w:val="single" w:color="auto" w:sz="4" w:space="0"/>
              <w:left w:val="single" w:color="auto" w:sz="4" w:space="0"/>
              <w:bottom w:val="single" w:color="auto" w:sz="4" w:space="0"/>
              <w:right w:val="single" w:color="auto" w:sz="4" w:space="0"/>
            </w:tcBorders>
            <w:noWrap/>
            <w:vAlign w:val="center"/>
          </w:tcPr>
          <w:p w14:paraId="6F899FCD">
            <w:pPr>
              <w:wordWrap w:val="0"/>
              <w:rPr>
                <w:sz w:val="20"/>
                <w:szCs w:val="20"/>
              </w:rPr>
            </w:pPr>
          </w:p>
        </w:tc>
        <w:tc>
          <w:tcPr>
            <w:tcW w:w="973" w:type="dxa"/>
            <w:tcBorders>
              <w:top w:val="single" w:color="auto" w:sz="4" w:space="0"/>
              <w:left w:val="single" w:color="auto" w:sz="4" w:space="0"/>
              <w:bottom w:val="single" w:color="auto" w:sz="4" w:space="0"/>
              <w:right w:val="single" w:color="auto" w:sz="4" w:space="0"/>
            </w:tcBorders>
            <w:noWrap/>
            <w:vAlign w:val="center"/>
          </w:tcPr>
          <w:p w14:paraId="7BE218EB">
            <w:pPr>
              <w:wordWrap w:val="0"/>
              <w:spacing w:line="360" w:lineRule="auto"/>
              <w:rPr>
                <w:sz w:val="24"/>
              </w:rPr>
            </w:pPr>
            <w:r>
              <w:rPr>
                <w:rFonts w:hint="eastAsia"/>
                <w:sz w:val="24"/>
              </w:rPr>
              <w:t>传真</w:t>
            </w:r>
          </w:p>
        </w:tc>
        <w:tc>
          <w:tcPr>
            <w:tcW w:w="2670" w:type="dxa"/>
            <w:gridSpan w:val="2"/>
            <w:tcBorders>
              <w:top w:val="single" w:color="auto" w:sz="4" w:space="0"/>
              <w:left w:val="single" w:color="auto" w:sz="4" w:space="0"/>
              <w:bottom w:val="single" w:color="auto" w:sz="4" w:space="0"/>
              <w:right w:val="single" w:color="auto" w:sz="4" w:space="0"/>
            </w:tcBorders>
            <w:noWrap/>
            <w:vAlign w:val="center"/>
          </w:tcPr>
          <w:p w14:paraId="285BC846">
            <w:pPr>
              <w:wordWrap w:val="0"/>
              <w:spacing w:line="360" w:lineRule="auto"/>
              <w:rPr>
                <w:sz w:val="24"/>
              </w:rPr>
            </w:pP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26AE72CF">
            <w:pPr>
              <w:wordWrap w:val="0"/>
              <w:spacing w:line="360" w:lineRule="auto"/>
              <w:rPr>
                <w:sz w:val="24"/>
              </w:rPr>
            </w:pPr>
            <w:r>
              <w:rPr>
                <w:rFonts w:hint="eastAsia"/>
                <w:sz w:val="24"/>
              </w:rPr>
              <w:t>网址</w:t>
            </w:r>
          </w:p>
        </w:tc>
        <w:tc>
          <w:tcPr>
            <w:tcW w:w="1679" w:type="dxa"/>
            <w:tcBorders>
              <w:top w:val="single" w:color="auto" w:sz="4" w:space="0"/>
              <w:left w:val="single" w:color="auto" w:sz="4" w:space="0"/>
              <w:bottom w:val="single" w:color="auto" w:sz="4" w:space="0"/>
              <w:right w:val="single" w:color="auto" w:sz="4" w:space="0"/>
            </w:tcBorders>
            <w:noWrap/>
            <w:vAlign w:val="center"/>
          </w:tcPr>
          <w:p w14:paraId="552725F5">
            <w:pPr>
              <w:wordWrap w:val="0"/>
              <w:spacing w:line="360" w:lineRule="auto"/>
              <w:rPr>
                <w:sz w:val="24"/>
              </w:rPr>
            </w:pPr>
          </w:p>
        </w:tc>
      </w:tr>
      <w:tr w14:paraId="3CF0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4F048177">
            <w:pPr>
              <w:wordWrap w:val="0"/>
              <w:spacing w:line="360" w:lineRule="auto"/>
              <w:rPr>
                <w:sz w:val="24"/>
              </w:rPr>
            </w:pPr>
            <w:r>
              <w:rPr>
                <w:rFonts w:hint="eastAsia"/>
                <w:sz w:val="24"/>
              </w:rPr>
              <w:t>组织结构</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4612ADB5">
            <w:pPr>
              <w:tabs>
                <w:tab w:val="left" w:pos="4776"/>
              </w:tabs>
              <w:wordWrap w:val="0"/>
              <w:spacing w:line="360" w:lineRule="auto"/>
              <w:rPr>
                <w:sz w:val="24"/>
              </w:rPr>
            </w:pPr>
          </w:p>
        </w:tc>
      </w:tr>
      <w:tr w14:paraId="5095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11EFC226">
            <w:pPr>
              <w:wordWrap w:val="0"/>
              <w:spacing w:line="360" w:lineRule="auto"/>
              <w:rPr>
                <w:sz w:val="24"/>
              </w:rPr>
            </w:pPr>
            <w:r>
              <w:rPr>
                <w:rFonts w:hint="eastAsia"/>
                <w:sz w:val="24"/>
              </w:rPr>
              <w:t>法定代表人</w:t>
            </w:r>
          </w:p>
        </w:tc>
        <w:tc>
          <w:tcPr>
            <w:tcW w:w="973" w:type="dxa"/>
            <w:tcBorders>
              <w:top w:val="single" w:color="auto" w:sz="4" w:space="0"/>
              <w:left w:val="single" w:color="auto" w:sz="4" w:space="0"/>
              <w:bottom w:val="single" w:color="auto" w:sz="4" w:space="0"/>
              <w:right w:val="single" w:color="auto" w:sz="4" w:space="0"/>
            </w:tcBorders>
            <w:noWrap/>
            <w:vAlign w:val="center"/>
          </w:tcPr>
          <w:p w14:paraId="6625342B">
            <w:pPr>
              <w:wordWrap w:val="0"/>
              <w:spacing w:line="360" w:lineRule="auto"/>
              <w:rPr>
                <w:sz w:val="24"/>
              </w:rPr>
            </w:pPr>
            <w:r>
              <w:rPr>
                <w:rFonts w:hint="eastAsia"/>
                <w:sz w:val="24"/>
              </w:rPr>
              <w:t>姓名</w:t>
            </w:r>
          </w:p>
        </w:tc>
        <w:tc>
          <w:tcPr>
            <w:tcW w:w="2670" w:type="dxa"/>
            <w:gridSpan w:val="2"/>
            <w:tcBorders>
              <w:top w:val="single" w:color="auto" w:sz="4" w:space="0"/>
              <w:left w:val="single" w:color="auto" w:sz="4" w:space="0"/>
              <w:bottom w:val="single" w:color="auto" w:sz="4" w:space="0"/>
              <w:right w:val="single" w:color="auto" w:sz="4" w:space="0"/>
            </w:tcBorders>
            <w:noWrap/>
            <w:vAlign w:val="center"/>
          </w:tcPr>
          <w:p w14:paraId="724C27B7">
            <w:pPr>
              <w:wordWrap w:val="0"/>
              <w:spacing w:line="360" w:lineRule="auto"/>
              <w:rPr>
                <w:sz w:val="24"/>
              </w:rPr>
            </w:pPr>
          </w:p>
        </w:tc>
        <w:tc>
          <w:tcPr>
            <w:tcW w:w="1132" w:type="dxa"/>
            <w:tcBorders>
              <w:top w:val="single" w:color="auto" w:sz="4" w:space="0"/>
              <w:left w:val="single" w:color="auto" w:sz="4" w:space="0"/>
              <w:bottom w:val="single" w:color="auto" w:sz="4" w:space="0"/>
              <w:right w:val="single" w:color="auto" w:sz="4" w:space="0"/>
            </w:tcBorders>
            <w:noWrap/>
            <w:vAlign w:val="center"/>
          </w:tcPr>
          <w:p w14:paraId="5D206F81">
            <w:pPr>
              <w:wordWrap w:val="0"/>
              <w:spacing w:line="360" w:lineRule="auto"/>
              <w:rPr>
                <w:sz w:val="24"/>
              </w:rPr>
            </w:pPr>
            <w:r>
              <w:rPr>
                <w:rFonts w:hint="eastAsia"/>
                <w:sz w:val="24"/>
              </w:rPr>
              <w:t>电话</w:t>
            </w:r>
          </w:p>
        </w:tc>
        <w:tc>
          <w:tcPr>
            <w:tcW w:w="1914" w:type="dxa"/>
            <w:gridSpan w:val="2"/>
            <w:tcBorders>
              <w:top w:val="single" w:color="auto" w:sz="4" w:space="0"/>
              <w:left w:val="single" w:color="auto" w:sz="4" w:space="0"/>
              <w:bottom w:val="single" w:color="auto" w:sz="4" w:space="0"/>
              <w:right w:val="single" w:color="auto" w:sz="4" w:space="0"/>
            </w:tcBorders>
            <w:noWrap/>
            <w:vAlign w:val="center"/>
          </w:tcPr>
          <w:p w14:paraId="2D247044">
            <w:pPr>
              <w:wordWrap w:val="0"/>
              <w:spacing w:line="360" w:lineRule="auto"/>
              <w:rPr>
                <w:sz w:val="24"/>
              </w:rPr>
            </w:pPr>
          </w:p>
        </w:tc>
      </w:tr>
      <w:tr w14:paraId="55E1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748C34DB">
            <w:pPr>
              <w:wordWrap w:val="0"/>
              <w:spacing w:line="360" w:lineRule="auto"/>
              <w:rPr>
                <w:sz w:val="24"/>
              </w:rPr>
            </w:pPr>
            <w:r>
              <w:rPr>
                <w:rFonts w:hint="eastAsia"/>
                <w:sz w:val="24"/>
              </w:rPr>
              <w:t>成立时间</w:t>
            </w:r>
          </w:p>
        </w:tc>
        <w:tc>
          <w:tcPr>
            <w:tcW w:w="2524" w:type="dxa"/>
            <w:gridSpan w:val="2"/>
            <w:tcBorders>
              <w:top w:val="single" w:color="auto" w:sz="4" w:space="0"/>
              <w:left w:val="single" w:color="auto" w:sz="4" w:space="0"/>
              <w:bottom w:val="single" w:color="auto" w:sz="4" w:space="0"/>
              <w:right w:val="single" w:color="auto" w:sz="4" w:space="0"/>
            </w:tcBorders>
            <w:noWrap/>
            <w:vAlign w:val="center"/>
          </w:tcPr>
          <w:p w14:paraId="65B7B668">
            <w:pPr>
              <w:wordWrap w:val="0"/>
              <w:spacing w:line="360" w:lineRule="auto"/>
              <w:rPr>
                <w:sz w:val="24"/>
              </w:rPr>
            </w:pPr>
          </w:p>
        </w:tc>
        <w:tc>
          <w:tcPr>
            <w:tcW w:w="4165" w:type="dxa"/>
            <w:gridSpan w:val="4"/>
            <w:tcBorders>
              <w:top w:val="single" w:color="auto" w:sz="4" w:space="0"/>
              <w:left w:val="single" w:color="auto" w:sz="4" w:space="0"/>
              <w:bottom w:val="single" w:color="auto" w:sz="4" w:space="0"/>
              <w:right w:val="single" w:color="auto" w:sz="4" w:space="0"/>
            </w:tcBorders>
            <w:noWrap/>
            <w:vAlign w:val="center"/>
          </w:tcPr>
          <w:p w14:paraId="6914555B">
            <w:pPr>
              <w:wordWrap w:val="0"/>
              <w:spacing w:line="360" w:lineRule="auto"/>
              <w:rPr>
                <w:sz w:val="24"/>
              </w:rPr>
            </w:pPr>
            <w:r>
              <w:rPr>
                <w:rFonts w:hint="eastAsia"/>
                <w:sz w:val="24"/>
              </w:rPr>
              <w:t>员工总人数：</w:t>
            </w:r>
          </w:p>
        </w:tc>
      </w:tr>
      <w:tr w14:paraId="5E9D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14497251">
            <w:pPr>
              <w:wordWrap w:val="0"/>
              <w:spacing w:line="360" w:lineRule="auto"/>
              <w:rPr>
                <w:sz w:val="24"/>
              </w:rPr>
            </w:pPr>
            <w:r>
              <w:rPr>
                <w:rFonts w:hint="eastAsia"/>
                <w:sz w:val="24"/>
              </w:rPr>
              <w:t>营业执照号</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5A66DF50">
            <w:pPr>
              <w:wordWrap w:val="0"/>
              <w:spacing w:line="360" w:lineRule="auto"/>
              <w:rPr>
                <w:sz w:val="24"/>
              </w:rPr>
            </w:pPr>
          </w:p>
        </w:tc>
      </w:tr>
      <w:tr w14:paraId="1D1E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590B7FE8">
            <w:pPr>
              <w:wordWrap w:val="0"/>
              <w:spacing w:line="360" w:lineRule="auto"/>
              <w:rPr>
                <w:sz w:val="24"/>
              </w:rPr>
            </w:pPr>
            <w:r>
              <w:rPr>
                <w:rFonts w:hint="eastAsia"/>
                <w:sz w:val="24"/>
              </w:rPr>
              <w:t>注册资金</w:t>
            </w:r>
          </w:p>
        </w:tc>
        <w:tc>
          <w:tcPr>
            <w:tcW w:w="2524" w:type="dxa"/>
            <w:gridSpan w:val="2"/>
            <w:tcBorders>
              <w:top w:val="single" w:color="auto" w:sz="4" w:space="0"/>
              <w:left w:val="single" w:color="auto" w:sz="4" w:space="0"/>
              <w:bottom w:val="single" w:color="auto" w:sz="4" w:space="0"/>
              <w:right w:val="single" w:color="auto" w:sz="4" w:space="0"/>
            </w:tcBorders>
            <w:noWrap/>
            <w:vAlign w:val="center"/>
          </w:tcPr>
          <w:p w14:paraId="2687CCD6">
            <w:pPr>
              <w:wordWrap w:val="0"/>
              <w:spacing w:line="360" w:lineRule="auto"/>
              <w:rPr>
                <w:sz w:val="24"/>
              </w:rPr>
            </w:pPr>
          </w:p>
        </w:tc>
        <w:tc>
          <w:tcPr>
            <w:tcW w:w="2251" w:type="dxa"/>
            <w:gridSpan w:val="2"/>
            <w:tcBorders>
              <w:top w:val="single" w:color="auto" w:sz="4" w:space="0"/>
              <w:left w:val="single" w:color="auto" w:sz="4" w:space="0"/>
              <w:bottom w:val="single" w:color="auto" w:sz="4" w:space="0"/>
              <w:right w:val="single" w:color="auto" w:sz="4" w:space="0"/>
            </w:tcBorders>
            <w:noWrap/>
            <w:vAlign w:val="center"/>
          </w:tcPr>
          <w:p w14:paraId="3D44A746">
            <w:pPr>
              <w:wordWrap w:val="0"/>
              <w:spacing w:line="360" w:lineRule="auto"/>
              <w:rPr>
                <w:sz w:val="24"/>
              </w:rPr>
            </w:pPr>
            <w:r>
              <w:rPr>
                <w:rFonts w:hint="eastAsia"/>
                <w:sz w:val="24"/>
              </w:rPr>
              <w:t>开户银行</w:t>
            </w:r>
          </w:p>
        </w:tc>
        <w:tc>
          <w:tcPr>
            <w:tcW w:w="1914" w:type="dxa"/>
            <w:gridSpan w:val="2"/>
            <w:tcBorders>
              <w:top w:val="single" w:color="auto" w:sz="4" w:space="0"/>
              <w:left w:val="single" w:color="auto" w:sz="4" w:space="0"/>
              <w:bottom w:val="single" w:color="auto" w:sz="4" w:space="0"/>
              <w:right w:val="single" w:color="auto" w:sz="4" w:space="0"/>
            </w:tcBorders>
            <w:noWrap/>
            <w:vAlign w:val="center"/>
          </w:tcPr>
          <w:p w14:paraId="340676A3">
            <w:pPr>
              <w:wordWrap w:val="0"/>
              <w:spacing w:line="360" w:lineRule="auto"/>
              <w:rPr>
                <w:sz w:val="24"/>
              </w:rPr>
            </w:pPr>
          </w:p>
        </w:tc>
      </w:tr>
      <w:tr w14:paraId="2AEC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06B8A5DD">
            <w:pPr>
              <w:wordWrap w:val="0"/>
              <w:spacing w:line="360" w:lineRule="auto"/>
              <w:rPr>
                <w:sz w:val="24"/>
              </w:rPr>
            </w:pPr>
            <w:r>
              <w:rPr>
                <w:rFonts w:hint="eastAsia"/>
                <w:sz w:val="24"/>
              </w:rPr>
              <w:t>账号</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796B8912">
            <w:pPr>
              <w:wordWrap w:val="0"/>
              <w:spacing w:line="360" w:lineRule="auto"/>
              <w:rPr>
                <w:sz w:val="24"/>
              </w:rPr>
            </w:pPr>
          </w:p>
        </w:tc>
      </w:tr>
      <w:tr w14:paraId="6C03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4CCCE309">
            <w:pPr>
              <w:wordWrap w:val="0"/>
              <w:spacing w:line="360" w:lineRule="auto"/>
              <w:rPr>
                <w:sz w:val="24"/>
              </w:rPr>
            </w:pPr>
            <w:r>
              <w:rPr>
                <w:rFonts w:hint="eastAsia"/>
                <w:sz w:val="24"/>
              </w:rPr>
              <w:t>经营范围备注</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104A187B">
            <w:pPr>
              <w:wordWrap w:val="0"/>
              <w:spacing w:line="360" w:lineRule="auto"/>
              <w:rPr>
                <w:sz w:val="24"/>
              </w:rPr>
            </w:pPr>
          </w:p>
        </w:tc>
      </w:tr>
    </w:tbl>
    <w:p w14:paraId="4B134D96">
      <w:pPr>
        <w:widowControl/>
        <w:spacing w:line="520" w:lineRule="atLeast"/>
        <w:jc w:val="right"/>
        <w:rPr>
          <w:rFonts w:ascii="宋体" w:hAnsi="宋体"/>
          <w:sz w:val="24"/>
        </w:rPr>
      </w:pPr>
    </w:p>
    <w:p w14:paraId="27D5857A">
      <w:pPr>
        <w:spacing w:line="360" w:lineRule="auto"/>
        <w:ind w:firstLine="3280" w:firstLineChars="1367"/>
        <w:jc w:val="left"/>
        <w:rPr>
          <w:rFonts w:ascii="宋体" w:hAnsi="宋体"/>
          <w:sz w:val="24"/>
        </w:rPr>
      </w:pPr>
      <w:r>
        <w:rPr>
          <w:rFonts w:hint="eastAsia" w:ascii="宋体" w:hAnsi="宋体"/>
          <w:sz w:val="24"/>
        </w:rPr>
        <w:t>供应商：        （企业电子签章）</w:t>
      </w:r>
    </w:p>
    <w:p w14:paraId="481B9EA5">
      <w:pPr>
        <w:spacing w:line="360" w:lineRule="auto"/>
        <w:ind w:firstLine="3280" w:firstLineChars="1367"/>
        <w:jc w:val="left"/>
        <w:rPr>
          <w:rFonts w:ascii="宋体" w:hAnsi="宋体"/>
          <w:sz w:val="24"/>
        </w:rPr>
      </w:pPr>
      <w:r>
        <w:rPr>
          <w:rFonts w:hint="eastAsia" w:ascii="宋体" w:hAnsi="宋体"/>
          <w:sz w:val="24"/>
        </w:rPr>
        <w:t>法定代表人：    （签章）</w:t>
      </w:r>
    </w:p>
    <w:p w14:paraId="4DFFF910">
      <w:pPr>
        <w:spacing w:line="360" w:lineRule="auto"/>
        <w:ind w:firstLine="3280" w:firstLineChars="1367"/>
        <w:jc w:val="left"/>
        <w:rPr>
          <w:rFonts w:ascii="宋体" w:hAnsi="宋体"/>
          <w:sz w:val="24"/>
        </w:rPr>
      </w:pPr>
      <w:r>
        <w:rPr>
          <w:rFonts w:hint="eastAsia" w:ascii="宋体" w:hAnsi="宋体"/>
          <w:sz w:val="24"/>
        </w:rPr>
        <w:t xml:space="preserve">日期：   </w:t>
      </w: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14:paraId="77BF76D2">
      <w:pPr>
        <w:spacing w:line="480" w:lineRule="auto"/>
        <w:ind w:firstLine="480"/>
        <w:rPr>
          <w:rFonts w:ascii="宋体" w:hAnsi="宋体" w:cs="宋体"/>
          <w:bCs/>
          <w:sz w:val="22"/>
        </w:rPr>
      </w:pPr>
    </w:p>
    <w:bookmarkEnd w:id="56"/>
    <w:p w14:paraId="45B46306">
      <w:pPr>
        <w:rPr>
          <w:rFonts w:ascii="宋体" w:hAnsi="宋体" w:cs="宋体"/>
          <w:bCs/>
          <w:sz w:val="28"/>
          <w:szCs w:val="32"/>
        </w:rPr>
      </w:pPr>
      <w:r>
        <w:rPr>
          <w:rFonts w:hint="eastAsia" w:ascii="宋体" w:hAnsi="宋体" w:cs="宋体"/>
          <w:bCs/>
          <w:sz w:val="28"/>
          <w:szCs w:val="32"/>
        </w:rPr>
        <w:br w:type="page"/>
      </w:r>
    </w:p>
    <w:p w14:paraId="15776CD6">
      <w:pPr>
        <w:widowControl/>
        <w:spacing w:line="520" w:lineRule="atLeast"/>
        <w:jc w:val="center"/>
        <w:rPr>
          <w:rFonts w:ascii="宋体" w:hAnsi="宋体"/>
          <w:b/>
          <w:bCs/>
          <w:sz w:val="24"/>
        </w:rPr>
      </w:pPr>
      <w:r>
        <w:rPr>
          <w:rFonts w:hint="eastAsia" w:ascii="宋体" w:hAnsi="宋体"/>
          <w:b/>
          <w:bCs/>
          <w:sz w:val="24"/>
        </w:rPr>
        <w:t>（二）资格证明资料</w:t>
      </w:r>
    </w:p>
    <w:p w14:paraId="2A9C343B">
      <w:pPr>
        <w:spacing w:line="480" w:lineRule="auto"/>
        <w:ind w:firstLine="480"/>
        <w:rPr>
          <w:rFonts w:ascii="宋体" w:hAnsi="宋体" w:cs="宋体"/>
          <w:bCs/>
          <w:sz w:val="22"/>
        </w:rPr>
      </w:pPr>
    </w:p>
    <w:p w14:paraId="2AABFC10">
      <w:pPr>
        <w:rPr>
          <w:rFonts w:ascii="宋体" w:hAnsi="宋体" w:cs="宋体"/>
          <w:bCs/>
          <w:sz w:val="22"/>
        </w:rPr>
      </w:pPr>
      <w:r>
        <w:rPr>
          <w:rFonts w:hint="eastAsia" w:ascii="宋体" w:hAnsi="宋体" w:cs="宋体"/>
          <w:bCs/>
          <w:sz w:val="22"/>
        </w:rPr>
        <w:br w:type="page"/>
      </w:r>
    </w:p>
    <w:p w14:paraId="1B3E62D4">
      <w:pPr>
        <w:spacing w:line="360" w:lineRule="auto"/>
        <w:jc w:val="center"/>
        <w:outlineLvl w:val="1"/>
        <w:rPr>
          <w:rFonts w:ascii="宋体" w:hAnsi="宋体" w:cs="宋体"/>
          <w:b/>
          <w:bCs/>
          <w:color w:val="000000"/>
          <w:kern w:val="10"/>
          <w:sz w:val="28"/>
          <w:szCs w:val="28"/>
        </w:rPr>
      </w:pPr>
      <w:bookmarkStart w:id="62" w:name="_Toc148365442"/>
      <w:bookmarkStart w:id="63" w:name="_Toc148365115"/>
      <w:r>
        <w:rPr>
          <w:rFonts w:hint="eastAsia" w:ascii="宋体" w:hAnsi="宋体" w:cs="宋体"/>
          <w:b/>
          <w:bCs/>
          <w:color w:val="000000"/>
          <w:kern w:val="10"/>
          <w:sz w:val="28"/>
          <w:szCs w:val="28"/>
          <w:lang w:val="en-US" w:eastAsia="zh-CN"/>
        </w:rPr>
        <w:t>六、</w:t>
      </w:r>
      <w:r>
        <w:rPr>
          <w:rFonts w:hint="eastAsia" w:ascii="宋体" w:hAnsi="宋体" w:cs="宋体"/>
          <w:b/>
          <w:bCs/>
          <w:color w:val="000000"/>
          <w:kern w:val="10"/>
          <w:sz w:val="28"/>
          <w:szCs w:val="28"/>
        </w:rPr>
        <w:t xml:space="preserve">报价一览表 </w:t>
      </w:r>
    </w:p>
    <w:p w14:paraId="19101AA7">
      <w:pPr>
        <w:spacing w:line="360" w:lineRule="auto"/>
        <w:rPr>
          <w:rFonts w:ascii="宋体" w:hAnsi="宋体" w:cs="宋体"/>
          <w:b/>
          <w:bCs/>
          <w:color w:val="000000"/>
          <w:kern w:val="10"/>
          <w:sz w:val="24"/>
        </w:rPr>
      </w:pPr>
    </w:p>
    <w:tbl>
      <w:tblPr>
        <w:tblStyle w:val="19"/>
        <w:tblW w:w="50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254"/>
        <w:gridCol w:w="1103"/>
        <w:gridCol w:w="738"/>
        <w:gridCol w:w="728"/>
        <w:gridCol w:w="1133"/>
        <w:gridCol w:w="975"/>
        <w:gridCol w:w="1360"/>
        <w:gridCol w:w="936"/>
      </w:tblGrid>
      <w:tr w14:paraId="3C2A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261" w:type="pct"/>
            <w:vAlign w:val="center"/>
          </w:tcPr>
          <w:p w14:paraId="0A15DC71">
            <w:pPr>
              <w:spacing w:line="240" w:lineRule="exact"/>
              <w:jc w:val="center"/>
              <w:rPr>
                <w:rFonts w:ascii="宋体" w:hAnsi="宋体"/>
                <w:color w:val="000000"/>
                <w:sz w:val="24"/>
              </w:rPr>
            </w:pPr>
            <w:r>
              <w:rPr>
                <w:rFonts w:hint="eastAsia" w:ascii="宋体" w:hAnsi="宋体"/>
                <w:color w:val="000000"/>
                <w:sz w:val="24"/>
              </w:rPr>
              <w:t>序</w:t>
            </w:r>
          </w:p>
          <w:p w14:paraId="5CA82D7F">
            <w:pPr>
              <w:spacing w:line="240" w:lineRule="exact"/>
              <w:jc w:val="center"/>
              <w:rPr>
                <w:rFonts w:ascii="宋体" w:hAnsi="宋体"/>
                <w:color w:val="000000"/>
                <w:sz w:val="24"/>
              </w:rPr>
            </w:pPr>
            <w:r>
              <w:rPr>
                <w:rFonts w:hint="eastAsia" w:ascii="宋体" w:hAnsi="宋体"/>
                <w:color w:val="000000"/>
                <w:sz w:val="24"/>
              </w:rPr>
              <w:t>号</w:t>
            </w:r>
          </w:p>
        </w:tc>
        <w:tc>
          <w:tcPr>
            <w:tcW w:w="722" w:type="pct"/>
            <w:vAlign w:val="center"/>
          </w:tcPr>
          <w:p w14:paraId="7DD7FBF3">
            <w:pPr>
              <w:spacing w:line="240" w:lineRule="exact"/>
              <w:jc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建设内容</w:t>
            </w:r>
          </w:p>
        </w:tc>
        <w:tc>
          <w:tcPr>
            <w:tcW w:w="635" w:type="pct"/>
            <w:vAlign w:val="center"/>
          </w:tcPr>
          <w:p w14:paraId="292C0D95">
            <w:pPr>
              <w:spacing w:line="240" w:lineRule="exact"/>
              <w:jc w:val="center"/>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分项</w:t>
            </w:r>
          </w:p>
        </w:tc>
        <w:tc>
          <w:tcPr>
            <w:tcW w:w="425" w:type="pct"/>
            <w:vAlign w:val="center"/>
          </w:tcPr>
          <w:p w14:paraId="1B65877B">
            <w:pPr>
              <w:spacing w:line="240" w:lineRule="exact"/>
              <w:jc w:val="center"/>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数量</w:t>
            </w:r>
          </w:p>
        </w:tc>
        <w:tc>
          <w:tcPr>
            <w:tcW w:w="419" w:type="pct"/>
            <w:vAlign w:val="center"/>
          </w:tcPr>
          <w:p w14:paraId="7D535EFA">
            <w:pPr>
              <w:spacing w:line="240" w:lineRule="exact"/>
              <w:jc w:val="center"/>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单位</w:t>
            </w:r>
          </w:p>
        </w:tc>
        <w:tc>
          <w:tcPr>
            <w:tcW w:w="652" w:type="pct"/>
            <w:vAlign w:val="center"/>
          </w:tcPr>
          <w:p w14:paraId="531F4692">
            <w:pPr>
              <w:spacing w:line="240" w:lineRule="exact"/>
              <w:jc w:val="center"/>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单价</w:t>
            </w:r>
          </w:p>
          <w:p w14:paraId="432875CB">
            <w:pPr>
              <w:spacing w:line="240" w:lineRule="exact"/>
              <w:jc w:val="center"/>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（元）</w:t>
            </w:r>
          </w:p>
        </w:tc>
        <w:tc>
          <w:tcPr>
            <w:tcW w:w="561" w:type="pct"/>
            <w:vAlign w:val="top"/>
          </w:tcPr>
          <w:p w14:paraId="2B93BB27">
            <w:pPr>
              <w:spacing w:line="240" w:lineRule="exact"/>
              <w:jc w:val="center"/>
              <w:rPr>
                <w:rFonts w:hint="eastAsia" w:ascii="宋体" w:hAnsi="宋体" w:eastAsia="宋体" w:cs="Times New Roman"/>
                <w:color w:val="000000"/>
                <w:sz w:val="24"/>
                <w:lang w:val="en-US" w:eastAsia="zh-CN"/>
              </w:rPr>
            </w:pPr>
          </w:p>
          <w:p w14:paraId="2ECF7BE1">
            <w:pPr>
              <w:spacing w:line="240" w:lineRule="exact"/>
              <w:jc w:val="center"/>
              <w:rPr>
                <w:rFonts w:hint="eastAsia" w:ascii="宋体" w:hAnsi="宋体" w:eastAsia="宋体" w:cs="Times New Roman"/>
                <w:color w:val="000000"/>
                <w:sz w:val="24"/>
                <w:lang w:val="en-US" w:eastAsia="zh-CN"/>
              </w:rPr>
            </w:pPr>
          </w:p>
          <w:p w14:paraId="0DAA29CD">
            <w:pPr>
              <w:spacing w:line="240" w:lineRule="exact"/>
              <w:jc w:val="center"/>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总价</w:t>
            </w:r>
          </w:p>
          <w:p w14:paraId="5D91199D">
            <w:pPr>
              <w:spacing w:line="240" w:lineRule="exact"/>
              <w:jc w:val="center"/>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（元）</w:t>
            </w:r>
          </w:p>
        </w:tc>
        <w:tc>
          <w:tcPr>
            <w:tcW w:w="783" w:type="pct"/>
            <w:vAlign w:val="center"/>
          </w:tcPr>
          <w:p w14:paraId="6F04E43B">
            <w:pPr>
              <w:spacing w:line="240" w:lineRule="exact"/>
              <w:jc w:val="center"/>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技术</w:t>
            </w:r>
            <w:r>
              <w:rPr>
                <w:rFonts w:hint="eastAsia" w:ascii="宋体" w:hAnsi="宋体" w:cs="Times New Roman"/>
                <w:color w:val="000000"/>
                <w:sz w:val="24"/>
                <w:lang w:val="en-US" w:eastAsia="zh-CN"/>
              </w:rPr>
              <w:t>参数</w:t>
            </w:r>
            <w:r>
              <w:rPr>
                <w:rFonts w:hint="eastAsia" w:ascii="宋体" w:hAnsi="宋体" w:eastAsia="宋体" w:cs="Times New Roman"/>
                <w:color w:val="000000"/>
                <w:sz w:val="24"/>
                <w:lang w:val="en-US" w:eastAsia="zh-CN"/>
              </w:rPr>
              <w:t>要求</w:t>
            </w:r>
          </w:p>
        </w:tc>
        <w:tc>
          <w:tcPr>
            <w:tcW w:w="539" w:type="pct"/>
            <w:vAlign w:val="center"/>
          </w:tcPr>
          <w:p w14:paraId="5B428664">
            <w:pPr>
              <w:spacing w:line="240" w:lineRule="exact"/>
              <w:jc w:val="center"/>
              <w:rPr>
                <w:rFonts w:ascii="宋体" w:hAnsi="宋体"/>
                <w:color w:val="000000"/>
                <w:sz w:val="24"/>
              </w:rPr>
            </w:pPr>
            <w:r>
              <w:rPr>
                <w:rFonts w:hint="eastAsia" w:ascii="宋体" w:hAnsi="宋体"/>
                <w:color w:val="000000"/>
                <w:sz w:val="24"/>
              </w:rPr>
              <w:t>备注</w:t>
            </w:r>
          </w:p>
        </w:tc>
      </w:tr>
      <w:tr w14:paraId="7674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1" w:type="pct"/>
          </w:tcPr>
          <w:p w14:paraId="003A7F55">
            <w:pPr>
              <w:spacing w:line="400" w:lineRule="exact"/>
              <w:rPr>
                <w:rFonts w:ascii="宋体" w:hAnsi="宋体"/>
                <w:color w:val="000000"/>
                <w:sz w:val="24"/>
              </w:rPr>
            </w:pPr>
            <w:r>
              <w:rPr>
                <w:rFonts w:hint="eastAsia" w:ascii="宋体" w:hAnsi="宋体"/>
                <w:color w:val="000000"/>
                <w:sz w:val="24"/>
              </w:rPr>
              <w:t>1</w:t>
            </w:r>
          </w:p>
        </w:tc>
        <w:tc>
          <w:tcPr>
            <w:tcW w:w="722" w:type="pct"/>
          </w:tcPr>
          <w:p w14:paraId="4BD62BD4">
            <w:pPr>
              <w:spacing w:line="400" w:lineRule="exact"/>
              <w:rPr>
                <w:rFonts w:ascii="宋体" w:hAnsi="宋体"/>
                <w:color w:val="000000"/>
                <w:sz w:val="24"/>
              </w:rPr>
            </w:pPr>
          </w:p>
        </w:tc>
        <w:tc>
          <w:tcPr>
            <w:tcW w:w="635" w:type="pct"/>
          </w:tcPr>
          <w:p w14:paraId="55D6054C">
            <w:pPr>
              <w:spacing w:line="400" w:lineRule="exact"/>
              <w:rPr>
                <w:rFonts w:ascii="宋体" w:hAnsi="宋体"/>
                <w:color w:val="000000"/>
                <w:sz w:val="24"/>
              </w:rPr>
            </w:pPr>
          </w:p>
        </w:tc>
        <w:tc>
          <w:tcPr>
            <w:tcW w:w="425" w:type="pct"/>
          </w:tcPr>
          <w:p w14:paraId="7631A6C2">
            <w:pPr>
              <w:spacing w:line="400" w:lineRule="exact"/>
              <w:rPr>
                <w:rFonts w:ascii="宋体" w:hAnsi="宋体"/>
                <w:color w:val="000000"/>
                <w:sz w:val="24"/>
              </w:rPr>
            </w:pPr>
          </w:p>
        </w:tc>
        <w:tc>
          <w:tcPr>
            <w:tcW w:w="419" w:type="pct"/>
          </w:tcPr>
          <w:p w14:paraId="3449011B">
            <w:pPr>
              <w:spacing w:line="400" w:lineRule="exact"/>
              <w:rPr>
                <w:rFonts w:ascii="宋体" w:hAnsi="宋体"/>
                <w:color w:val="000000"/>
                <w:sz w:val="24"/>
              </w:rPr>
            </w:pPr>
          </w:p>
        </w:tc>
        <w:tc>
          <w:tcPr>
            <w:tcW w:w="652" w:type="pct"/>
          </w:tcPr>
          <w:p w14:paraId="0E81EBAC">
            <w:pPr>
              <w:spacing w:line="400" w:lineRule="exact"/>
              <w:rPr>
                <w:rFonts w:ascii="宋体" w:hAnsi="宋体"/>
                <w:color w:val="000000"/>
                <w:sz w:val="24"/>
              </w:rPr>
            </w:pPr>
          </w:p>
        </w:tc>
        <w:tc>
          <w:tcPr>
            <w:tcW w:w="561" w:type="pct"/>
          </w:tcPr>
          <w:p w14:paraId="4784660A">
            <w:pPr>
              <w:spacing w:line="400" w:lineRule="exact"/>
              <w:rPr>
                <w:rFonts w:ascii="宋体" w:hAnsi="宋体"/>
                <w:color w:val="000000"/>
                <w:sz w:val="24"/>
              </w:rPr>
            </w:pPr>
          </w:p>
        </w:tc>
        <w:tc>
          <w:tcPr>
            <w:tcW w:w="783" w:type="pct"/>
          </w:tcPr>
          <w:p w14:paraId="4A1199D6">
            <w:pPr>
              <w:spacing w:line="400" w:lineRule="exact"/>
              <w:rPr>
                <w:rFonts w:ascii="宋体" w:hAnsi="宋体"/>
                <w:color w:val="000000"/>
                <w:sz w:val="24"/>
              </w:rPr>
            </w:pPr>
          </w:p>
        </w:tc>
        <w:tc>
          <w:tcPr>
            <w:tcW w:w="539" w:type="pct"/>
          </w:tcPr>
          <w:p w14:paraId="7037D558">
            <w:pPr>
              <w:spacing w:line="400" w:lineRule="exact"/>
              <w:rPr>
                <w:rFonts w:ascii="宋体" w:hAnsi="宋体"/>
                <w:color w:val="000000"/>
                <w:sz w:val="24"/>
              </w:rPr>
            </w:pPr>
          </w:p>
        </w:tc>
      </w:tr>
      <w:tr w14:paraId="25D8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61" w:type="pct"/>
          </w:tcPr>
          <w:p w14:paraId="30AD254A">
            <w:pPr>
              <w:spacing w:line="400" w:lineRule="exact"/>
              <w:rPr>
                <w:rFonts w:ascii="宋体" w:hAnsi="宋体"/>
                <w:color w:val="000000"/>
                <w:sz w:val="24"/>
              </w:rPr>
            </w:pPr>
            <w:r>
              <w:rPr>
                <w:rFonts w:hint="eastAsia" w:ascii="宋体" w:hAnsi="宋体"/>
                <w:color w:val="000000"/>
                <w:sz w:val="24"/>
              </w:rPr>
              <w:t>2</w:t>
            </w:r>
          </w:p>
        </w:tc>
        <w:tc>
          <w:tcPr>
            <w:tcW w:w="722" w:type="pct"/>
          </w:tcPr>
          <w:p w14:paraId="018AA39A">
            <w:pPr>
              <w:spacing w:line="400" w:lineRule="exact"/>
              <w:rPr>
                <w:rFonts w:ascii="宋体" w:hAnsi="宋体"/>
                <w:color w:val="000000"/>
                <w:sz w:val="24"/>
              </w:rPr>
            </w:pPr>
          </w:p>
        </w:tc>
        <w:tc>
          <w:tcPr>
            <w:tcW w:w="635" w:type="pct"/>
          </w:tcPr>
          <w:p w14:paraId="5B60282E">
            <w:pPr>
              <w:spacing w:line="400" w:lineRule="exact"/>
              <w:rPr>
                <w:rFonts w:ascii="宋体" w:hAnsi="宋体"/>
                <w:color w:val="000000"/>
                <w:sz w:val="24"/>
              </w:rPr>
            </w:pPr>
          </w:p>
        </w:tc>
        <w:tc>
          <w:tcPr>
            <w:tcW w:w="425" w:type="pct"/>
          </w:tcPr>
          <w:p w14:paraId="044C6624">
            <w:pPr>
              <w:spacing w:line="400" w:lineRule="exact"/>
              <w:rPr>
                <w:rFonts w:ascii="宋体" w:hAnsi="宋体"/>
                <w:color w:val="000000"/>
                <w:sz w:val="24"/>
              </w:rPr>
            </w:pPr>
          </w:p>
        </w:tc>
        <w:tc>
          <w:tcPr>
            <w:tcW w:w="419" w:type="pct"/>
          </w:tcPr>
          <w:p w14:paraId="5F966CDE">
            <w:pPr>
              <w:spacing w:line="400" w:lineRule="exact"/>
              <w:rPr>
                <w:rFonts w:ascii="宋体" w:hAnsi="宋体"/>
                <w:color w:val="000000"/>
                <w:sz w:val="24"/>
              </w:rPr>
            </w:pPr>
          </w:p>
        </w:tc>
        <w:tc>
          <w:tcPr>
            <w:tcW w:w="652" w:type="pct"/>
          </w:tcPr>
          <w:p w14:paraId="28EC68BB">
            <w:pPr>
              <w:spacing w:line="400" w:lineRule="exact"/>
              <w:rPr>
                <w:rFonts w:ascii="宋体" w:hAnsi="宋体"/>
                <w:color w:val="000000"/>
                <w:sz w:val="24"/>
              </w:rPr>
            </w:pPr>
          </w:p>
        </w:tc>
        <w:tc>
          <w:tcPr>
            <w:tcW w:w="561" w:type="pct"/>
          </w:tcPr>
          <w:p w14:paraId="59CE53EA">
            <w:pPr>
              <w:spacing w:line="400" w:lineRule="exact"/>
              <w:rPr>
                <w:rFonts w:ascii="宋体" w:hAnsi="宋体"/>
                <w:color w:val="000000"/>
                <w:sz w:val="24"/>
              </w:rPr>
            </w:pPr>
          </w:p>
        </w:tc>
        <w:tc>
          <w:tcPr>
            <w:tcW w:w="783" w:type="pct"/>
          </w:tcPr>
          <w:p w14:paraId="3E6EAA68">
            <w:pPr>
              <w:spacing w:line="400" w:lineRule="exact"/>
              <w:rPr>
                <w:rFonts w:ascii="宋体" w:hAnsi="宋体"/>
                <w:color w:val="000000"/>
                <w:sz w:val="24"/>
              </w:rPr>
            </w:pPr>
          </w:p>
        </w:tc>
        <w:tc>
          <w:tcPr>
            <w:tcW w:w="539" w:type="pct"/>
          </w:tcPr>
          <w:p w14:paraId="5EB9AF11">
            <w:pPr>
              <w:spacing w:line="400" w:lineRule="exact"/>
              <w:rPr>
                <w:rFonts w:ascii="宋体" w:hAnsi="宋体"/>
                <w:color w:val="000000"/>
                <w:sz w:val="24"/>
              </w:rPr>
            </w:pPr>
          </w:p>
        </w:tc>
      </w:tr>
      <w:tr w14:paraId="4AA2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61" w:type="pct"/>
          </w:tcPr>
          <w:p w14:paraId="03C19CDB">
            <w:pPr>
              <w:spacing w:line="400" w:lineRule="exact"/>
              <w:rPr>
                <w:rFonts w:ascii="宋体" w:hAnsi="宋体"/>
                <w:color w:val="000000"/>
                <w:sz w:val="24"/>
              </w:rPr>
            </w:pPr>
            <w:r>
              <w:rPr>
                <w:rFonts w:hint="eastAsia" w:ascii="宋体" w:hAnsi="宋体"/>
                <w:color w:val="000000"/>
                <w:sz w:val="24"/>
              </w:rPr>
              <w:t>3</w:t>
            </w:r>
          </w:p>
        </w:tc>
        <w:tc>
          <w:tcPr>
            <w:tcW w:w="722" w:type="pct"/>
          </w:tcPr>
          <w:p w14:paraId="1014A2A7">
            <w:pPr>
              <w:spacing w:line="400" w:lineRule="exact"/>
              <w:rPr>
                <w:rFonts w:ascii="宋体" w:hAnsi="宋体"/>
                <w:color w:val="000000"/>
                <w:sz w:val="24"/>
              </w:rPr>
            </w:pPr>
          </w:p>
        </w:tc>
        <w:tc>
          <w:tcPr>
            <w:tcW w:w="635" w:type="pct"/>
          </w:tcPr>
          <w:p w14:paraId="03B2CD64">
            <w:pPr>
              <w:spacing w:line="400" w:lineRule="exact"/>
              <w:rPr>
                <w:rFonts w:ascii="宋体" w:hAnsi="宋体"/>
                <w:color w:val="000000"/>
                <w:sz w:val="24"/>
              </w:rPr>
            </w:pPr>
          </w:p>
        </w:tc>
        <w:tc>
          <w:tcPr>
            <w:tcW w:w="425" w:type="pct"/>
          </w:tcPr>
          <w:p w14:paraId="0D7250CE">
            <w:pPr>
              <w:spacing w:line="400" w:lineRule="exact"/>
              <w:rPr>
                <w:rFonts w:ascii="宋体" w:hAnsi="宋体"/>
                <w:color w:val="000000"/>
                <w:sz w:val="24"/>
              </w:rPr>
            </w:pPr>
          </w:p>
        </w:tc>
        <w:tc>
          <w:tcPr>
            <w:tcW w:w="419" w:type="pct"/>
          </w:tcPr>
          <w:p w14:paraId="0119F2C6">
            <w:pPr>
              <w:spacing w:line="400" w:lineRule="exact"/>
              <w:rPr>
                <w:rFonts w:ascii="宋体" w:hAnsi="宋体"/>
                <w:color w:val="000000"/>
                <w:sz w:val="24"/>
              </w:rPr>
            </w:pPr>
          </w:p>
        </w:tc>
        <w:tc>
          <w:tcPr>
            <w:tcW w:w="652" w:type="pct"/>
          </w:tcPr>
          <w:p w14:paraId="613C24A7">
            <w:pPr>
              <w:spacing w:line="400" w:lineRule="exact"/>
              <w:rPr>
                <w:rFonts w:ascii="宋体" w:hAnsi="宋体"/>
                <w:color w:val="000000"/>
                <w:sz w:val="24"/>
              </w:rPr>
            </w:pPr>
          </w:p>
        </w:tc>
        <w:tc>
          <w:tcPr>
            <w:tcW w:w="561" w:type="pct"/>
          </w:tcPr>
          <w:p w14:paraId="33AECAAD">
            <w:pPr>
              <w:spacing w:line="400" w:lineRule="exact"/>
              <w:rPr>
                <w:rFonts w:ascii="宋体" w:hAnsi="宋体"/>
                <w:color w:val="000000"/>
                <w:sz w:val="24"/>
              </w:rPr>
            </w:pPr>
          </w:p>
        </w:tc>
        <w:tc>
          <w:tcPr>
            <w:tcW w:w="783" w:type="pct"/>
          </w:tcPr>
          <w:p w14:paraId="260E1B17">
            <w:pPr>
              <w:spacing w:line="400" w:lineRule="exact"/>
              <w:rPr>
                <w:rFonts w:ascii="宋体" w:hAnsi="宋体"/>
                <w:color w:val="000000"/>
                <w:sz w:val="24"/>
              </w:rPr>
            </w:pPr>
          </w:p>
        </w:tc>
        <w:tc>
          <w:tcPr>
            <w:tcW w:w="539" w:type="pct"/>
          </w:tcPr>
          <w:p w14:paraId="42196B99">
            <w:pPr>
              <w:spacing w:line="400" w:lineRule="exact"/>
              <w:rPr>
                <w:rFonts w:ascii="宋体" w:hAnsi="宋体"/>
                <w:color w:val="000000"/>
                <w:sz w:val="24"/>
              </w:rPr>
            </w:pPr>
          </w:p>
        </w:tc>
      </w:tr>
      <w:tr w14:paraId="2BA1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1" w:type="pct"/>
          </w:tcPr>
          <w:p w14:paraId="69D0F9D2">
            <w:pPr>
              <w:spacing w:line="400" w:lineRule="exact"/>
              <w:rPr>
                <w:rFonts w:ascii="宋体" w:hAnsi="宋体"/>
                <w:color w:val="000000"/>
                <w:sz w:val="24"/>
              </w:rPr>
            </w:pPr>
            <w:r>
              <w:rPr>
                <w:rFonts w:hint="eastAsia" w:ascii="宋体" w:hAnsi="宋体"/>
                <w:color w:val="000000"/>
                <w:sz w:val="24"/>
              </w:rPr>
              <w:t>4</w:t>
            </w:r>
          </w:p>
        </w:tc>
        <w:tc>
          <w:tcPr>
            <w:tcW w:w="722" w:type="pct"/>
          </w:tcPr>
          <w:p w14:paraId="3F55EDFC">
            <w:pPr>
              <w:spacing w:line="400" w:lineRule="exact"/>
              <w:rPr>
                <w:rFonts w:ascii="宋体" w:hAnsi="宋体"/>
                <w:color w:val="000000"/>
                <w:sz w:val="24"/>
              </w:rPr>
            </w:pPr>
          </w:p>
        </w:tc>
        <w:tc>
          <w:tcPr>
            <w:tcW w:w="635" w:type="pct"/>
          </w:tcPr>
          <w:p w14:paraId="3C7B53F1">
            <w:pPr>
              <w:spacing w:line="400" w:lineRule="exact"/>
              <w:rPr>
                <w:rFonts w:ascii="宋体" w:hAnsi="宋体"/>
                <w:color w:val="000000"/>
                <w:sz w:val="24"/>
              </w:rPr>
            </w:pPr>
          </w:p>
        </w:tc>
        <w:tc>
          <w:tcPr>
            <w:tcW w:w="425" w:type="pct"/>
          </w:tcPr>
          <w:p w14:paraId="522D7138">
            <w:pPr>
              <w:spacing w:line="400" w:lineRule="exact"/>
              <w:rPr>
                <w:rFonts w:ascii="宋体" w:hAnsi="宋体"/>
                <w:color w:val="000000"/>
                <w:sz w:val="24"/>
              </w:rPr>
            </w:pPr>
          </w:p>
        </w:tc>
        <w:tc>
          <w:tcPr>
            <w:tcW w:w="419" w:type="pct"/>
          </w:tcPr>
          <w:p w14:paraId="2E4F68D6">
            <w:pPr>
              <w:spacing w:line="400" w:lineRule="exact"/>
              <w:rPr>
                <w:rFonts w:ascii="宋体" w:hAnsi="宋体"/>
                <w:color w:val="000000"/>
                <w:sz w:val="24"/>
              </w:rPr>
            </w:pPr>
          </w:p>
        </w:tc>
        <w:tc>
          <w:tcPr>
            <w:tcW w:w="652" w:type="pct"/>
          </w:tcPr>
          <w:p w14:paraId="6402D8AF">
            <w:pPr>
              <w:spacing w:line="400" w:lineRule="exact"/>
              <w:rPr>
                <w:rFonts w:ascii="宋体" w:hAnsi="宋体"/>
                <w:color w:val="000000"/>
                <w:sz w:val="24"/>
              </w:rPr>
            </w:pPr>
          </w:p>
        </w:tc>
        <w:tc>
          <w:tcPr>
            <w:tcW w:w="561" w:type="pct"/>
          </w:tcPr>
          <w:p w14:paraId="7917FB27">
            <w:pPr>
              <w:spacing w:line="400" w:lineRule="exact"/>
              <w:rPr>
                <w:rFonts w:ascii="宋体" w:hAnsi="宋体"/>
                <w:color w:val="000000"/>
                <w:sz w:val="24"/>
              </w:rPr>
            </w:pPr>
          </w:p>
        </w:tc>
        <w:tc>
          <w:tcPr>
            <w:tcW w:w="783" w:type="pct"/>
          </w:tcPr>
          <w:p w14:paraId="64FD7CBC">
            <w:pPr>
              <w:spacing w:line="400" w:lineRule="exact"/>
              <w:rPr>
                <w:rFonts w:ascii="宋体" w:hAnsi="宋体"/>
                <w:color w:val="000000"/>
                <w:sz w:val="24"/>
              </w:rPr>
            </w:pPr>
          </w:p>
        </w:tc>
        <w:tc>
          <w:tcPr>
            <w:tcW w:w="539" w:type="pct"/>
          </w:tcPr>
          <w:p w14:paraId="34C58CD0">
            <w:pPr>
              <w:spacing w:line="400" w:lineRule="exact"/>
              <w:rPr>
                <w:rFonts w:ascii="宋体" w:hAnsi="宋体"/>
                <w:color w:val="000000"/>
                <w:sz w:val="24"/>
              </w:rPr>
            </w:pPr>
          </w:p>
        </w:tc>
      </w:tr>
      <w:tr w14:paraId="274F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83" w:type="pct"/>
            <w:gridSpan w:val="2"/>
          </w:tcPr>
          <w:p w14:paraId="59501578">
            <w:pPr>
              <w:spacing w:line="400" w:lineRule="exact"/>
              <w:rPr>
                <w:rFonts w:ascii="宋体" w:hAnsi="宋体"/>
                <w:color w:val="000000"/>
                <w:sz w:val="24"/>
              </w:rPr>
            </w:pPr>
            <w:r>
              <w:rPr>
                <w:rFonts w:hint="eastAsia" w:ascii="宋体" w:hAnsi="宋体"/>
                <w:color w:val="000000"/>
                <w:sz w:val="24"/>
              </w:rPr>
              <w:t>投标总价</w:t>
            </w:r>
          </w:p>
        </w:tc>
        <w:tc>
          <w:tcPr>
            <w:tcW w:w="4016" w:type="pct"/>
            <w:gridSpan w:val="7"/>
          </w:tcPr>
          <w:p w14:paraId="5103176C">
            <w:pPr>
              <w:spacing w:line="500" w:lineRule="exact"/>
              <w:rPr>
                <w:rFonts w:ascii="宋体" w:hAnsi="宋体"/>
                <w:color w:val="000000"/>
                <w:sz w:val="24"/>
                <w:u w:val="single"/>
              </w:rPr>
            </w:pPr>
            <w:r>
              <w:rPr>
                <w:rFonts w:hint="eastAsia" w:ascii="宋体" w:hAnsi="宋体"/>
                <w:b/>
                <w:color w:val="000000"/>
                <w:sz w:val="24"/>
              </w:rPr>
              <w:t>大写：</w:t>
            </w:r>
            <w:r>
              <w:rPr>
                <w:rFonts w:hint="eastAsia" w:ascii="宋体" w:hAnsi="宋体"/>
                <w:b/>
                <w:color w:val="000000"/>
                <w:sz w:val="24"/>
                <w:u w:val="single"/>
              </w:rPr>
              <w:t xml:space="preserve">                          </w:t>
            </w:r>
            <w:r>
              <w:rPr>
                <w:rFonts w:hint="eastAsia" w:ascii="宋体" w:hAnsi="宋体"/>
                <w:b/>
                <w:color w:val="000000"/>
                <w:sz w:val="24"/>
              </w:rPr>
              <w:t xml:space="preserve">小写： </w:t>
            </w:r>
            <w:r>
              <w:rPr>
                <w:rFonts w:hint="eastAsia" w:ascii="宋体" w:hAnsi="宋体"/>
                <w:b/>
                <w:color w:val="000000"/>
                <w:sz w:val="24"/>
                <w:u w:val="single"/>
              </w:rPr>
              <w:t xml:space="preserve">              </w:t>
            </w:r>
            <w:r>
              <w:rPr>
                <w:rFonts w:hint="eastAsia" w:ascii="宋体" w:hAnsi="宋体"/>
                <w:b/>
                <w:color w:val="000000"/>
                <w:sz w:val="24"/>
              </w:rPr>
              <w:t xml:space="preserve">   </w:t>
            </w:r>
          </w:p>
        </w:tc>
      </w:tr>
    </w:tbl>
    <w:p w14:paraId="02173606">
      <w:pPr>
        <w:spacing w:line="360" w:lineRule="auto"/>
        <w:rPr>
          <w:rFonts w:ascii="宋体" w:hAnsi="宋体" w:cs="宋体"/>
          <w:color w:val="000000"/>
          <w:kern w:val="10"/>
          <w:sz w:val="24"/>
        </w:rPr>
      </w:pPr>
    </w:p>
    <w:p w14:paraId="5EDAC2FC">
      <w:pPr>
        <w:spacing w:line="360" w:lineRule="auto"/>
        <w:rPr>
          <w:rFonts w:ascii="宋体" w:hAnsi="宋体" w:cs="宋体"/>
          <w:color w:val="000000"/>
          <w:kern w:val="10"/>
          <w:sz w:val="24"/>
        </w:rPr>
      </w:pPr>
      <w:r>
        <w:rPr>
          <w:rFonts w:hint="eastAsia" w:ascii="宋体" w:hAnsi="宋体" w:cs="宋体"/>
          <w:color w:val="000000"/>
          <w:kern w:val="10"/>
          <w:sz w:val="24"/>
        </w:rPr>
        <w:t>注：1、投标人所报单价应为包含采购、安装、调试、税金、验收、质保期服务、及其他伴随服务的全费用单价；</w:t>
      </w:r>
    </w:p>
    <w:p w14:paraId="5A395D0C">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2、以上表中各项可进一步细分，栏数不够可自加或附表；</w:t>
      </w:r>
    </w:p>
    <w:p w14:paraId="6CF6A26A">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3、投标人应按磋商文件中技术参数一览表中所列填写本表；</w:t>
      </w:r>
    </w:p>
    <w:p w14:paraId="2CD6C365">
      <w:pPr>
        <w:spacing w:line="360" w:lineRule="auto"/>
        <w:rPr>
          <w:rFonts w:ascii="宋体" w:hAnsi="宋体" w:cs="宋体"/>
          <w:b/>
          <w:color w:val="000000"/>
          <w:kern w:val="10"/>
          <w:sz w:val="24"/>
        </w:rPr>
      </w:pPr>
    </w:p>
    <w:p w14:paraId="5A3DB079">
      <w:pPr>
        <w:spacing w:line="360" w:lineRule="auto"/>
        <w:rPr>
          <w:rFonts w:ascii="宋体" w:hAnsi="宋体"/>
          <w:b/>
          <w:color w:val="000000"/>
          <w:sz w:val="24"/>
        </w:rPr>
      </w:pPr>
    </w:p>
    <w:p w14:paraId="262CC642">
      <w:pPr>
        <w:spacing w:line="360" w:lineRule="auto"/>
        <w:rPr>
          <w:rFonts w:ascii="宋体" w:hAnsi="宋体"/>
          <w:b/>
          <w:color w:val="000000"/>
          <w:sz w:val="24"/>
        </w:rPr>
      </w:pPr>
    </w:p>
    <w:p w14:paraId="484E380D">
      <w:pPr>
        <w:spacing w:line="360" w:lineRule="auto"/>
        <w:rPr>
          <w:rFonts w:ascii="宋体" w:hAnsi="宋体"/>
          <w:b/>
          <w:color w:val="000000"/>
          <w:sz w:val="24"/>
        </w:rPr>
      </w:pPr>
    </w:p>
    <w:p w14:paraId="046CE08B">
      <w:pPr>
        <w:spacing w:line="360" w:lineRule="auto"/>
        <w:ind w:firstLine="3280" w:firstLineChars="1367"/>
        <w:jc w:val="left"/>
        <w:rPr>
          <w:rFonts w:ascii="宋体" w:hAnsi="宋体"/>
          <w:sz w:val="24"/>
        </w:rPr>
      </w:pPr>
      <w:r>
        <w:rPr>
          <w:rFonts w:hint="eastAsia" w:ascii="宋体" w:hAnsi="宋体" w:cs="宋体"/>
          <w:color w:val="000000"/>
          <w:kern w:val="10"/>
          <w:sz w:val="24"/>
        </w:rPr>
        <w:t xml:space="preserve">            </w:t>
      </w:r>
      <w:r>
        <w:rPr>
          <w:rFonts w:hint="eastAsia" w:ascii="宋体" w:hAnsi="宋体"/>
          <w:sz w:val="24"/>
        </w:rPr>
        <w:t>供应商：        （企业电子签章）</w:t>
      </w:r>
    </w:p>
    <w:p w14:paraId="4DED717E">
      <w:pPr>
        <w:spacing w:line="360" w:lineRule="auto"/>
        <w:ind w:firstLine="4720" w:firstLineChars="1967"/>
        <w:jc w:val="left"/>
        <w:rPr>
          <w:rFonts w:ascii="宋体" w:hAnsi="宋体"/>
          <w:sz w:val="24"/>
        </w:rPr>
      </w:pPr>
      <w:r>
        <w:rPr>
          <w:rFonts w:hint="eastAsia" w:ascii="宋体" w:hAnsi="宋体"/>
          <w:sz w:val="24"/>
        </w:rPr>
        <w:t>法定代表人：    （签章）</w:t>
      </w:r>
    </w:p>
    <w:p w14:paraId="5E551517">
      <w:pPr>
        <w:spacing w:line="360" w:lineRule="auto"/>
        <w:ind w:firstLine="4800" w:firstLineChars="2000"/>
        <w:jc w:val="left"/>
        <w:rPr>
          <w:rFonts w:ascii="宋体" w:hAnsi="宋体"/>
          <w:sz w:val="24"/>
        </w:rPr>
      </w:pPr>
      <w:r>
        <w:rPr>
          <w:rFonts w:hint="eastAsia" w:ascii="宋体" w:hAnsi="宋体"/>
          <w:sz w:val="24"/>
        </w:rPr>
        <w:t xml:space="preserve">日期：   </w:t>
      </w: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14:paraId="10B8D905">
      <w:pPr>
        <w:spacing w:line="360" w:lineRule="auto"/>
        <w:rPr>
          <w:rFonts w:ascii="宋体" w:hAnsi="宋体" w:cs="宋体"/>
          <w:color w:val="000000"/>
          <w:kern w:val="10"/>
          <w:sz w:val="24"/>
        </w:rPr>
      </w:pPr>
    </w:p>
    <w:p w14:paraId="426E1ABD">
      <w:pPr>
        <w:spacing w:line="480" w:lineRule="exact"/>
        <w:jc w:val="center"/>
        <w:outlineLvl w:val="0"/>
        <w:rPr>
          <w:rFonts w:hint="eastAsia" w:ascii="宋体" w:hAnsi="宋体"/>
          <w:b/>
          <w:sz w:val="24"/>
        </w:rPr>
      </w:pPr>
    </w:p>
    <w:p w14:paraId="42766422">
      <w:pPr>
        <w:spacing w:line="480" w:lineRule="exact"/>
        <w:jc w:val="center"/>
        <w:outlineLvl w:val="0"/>
        <w:rPr>
          <w:rFonts w:hint="eastAsia" w:ascii="宋体" w:hAnsi="宋体"/>
          <w:b/>
          <w:sz w:val="24"/>
        </w:rPr>
      </w:pPr>
    </w:p>
    <w:p w14:paraId="74137662">
      <w:pPr>
        <w:spacing w:line="480" w:lineRule="exact"/>
        <w:jc w:val="center"/>
        <w:outlineLvl w:val="0"/>
        <w:rPr>
          <w:rFonts w:hint="eastAsia" w:ascii="宋体" w:hAnsi="宋体"/>
          <w:b/>
          <w:sz w:val="24"/>
        </w:rPr>
      </w:pPr>
    </w:p>
    <w:p w14:paraId="4F13A61E">
      <w:pPr>
        <w:spacing w:line="480" w:lineRule="exact"/>
        <w:jc w:val="center"/>
        <w:outlineLvl w:val="0"/>
        <w:rPr>
          <w:rFonts w:hint="eastAsia" w:ascii="宋体" w:hAnsi="宋体"/>
          <w:b/>
          <w:sz w:val="24"/>
        </w:rPr>
      </w:pPr>
    </w:p>
    <w:p w14:paraId="4918FBB7">
      <w:pPr>
        <w:spacing w:line="480" w:lineRule="exact"/>
        <w:jc w:val="center"/>
        <w:outlineLvl w:val="0"/>
        <w:rPr>
          <w:rFonts w:hint="eastAsia" w:ascii="宋体" w:hAnsi="宋体"/>
          <w:b/>
          <w:sz w:val="24"/>
        </w:rPr>
      </w:pPr>
    </w:p>
    <w:p w14:paraId="5BB5B9F7">
      <w:pPr>
        <w:spacing w:line="480" w:lineRule="exact"/>
        <w:jc w:val="center"/>
        <w:outlineLvl w:val="0"/>
        <w:rPr>
          <w:rFonts w:ascii="宋体" w:hAnsi="宋体"/>
          <w:b/>
          <w:bCs/>
          <w:sz w:val="24"/>
        </w:rPr>
      </w:pPr>
      <w:r>
        <w:rPr>
          <w:rFonts w:hint="eastAsia" w:ascii="宋体" w:hAnsi="宋体"/>
          <w:b/>
          <w:sz w:val="24"/>
          <w:lang w:val="en-US" w:eastAsia="zh-CN"/>
        </w:rPr>
        <w:t>七</w:t>
      </w:r>
      <w:r>
        <w:rPr>
          <w:rFonts w:hint="eastAsia" w:ascii="宋体" w:hAnsi="宋体"/>
          <w:b/>
          <w:sz w:val="24"/>
        </w:rPr>
        <w:t>、</w:t>
      </w:r>
      <w:bookmarkEnd w:id="62"/>
      <w:bookmarkEnd w:id="63"/>
      <w:r>
        <w:rPr>
          <w:rFonts w:hint="eastAsia" w:ascii="宋体" w:hAnsi="宋体"/>
          <w:b/>
          <w:bCs/>
          <w:sz w:val="24"/>
        </w:rPr>
        <w:t>技术标</w:t>
      </w:r>
    </w:p>
    <w:p w14:paraId="5EC09264">
      <w:pPr>
        <w:widowControl/>
        <w:spacing w:line="520" w:lineRule="atLeast"/>
        <w:ind w:firstLine="480"/>
        <w:rPr>
          <w:rFonts w:ascii="宋体" w:hAnsi="宋体"/>
          <w:sz w:val="24"/>
        </w:rPr>
      </w:pPr>
      <w:r>
        <w:rPr>
          <w:rFonts w:hint="eastAsia" w:ascii="宋体" w:hAnsi="宋体"/>
          <w:sz w:val="24"/>
        </w:rPr>
        <w:t>此项格式自理，内容应包括但不限制于评分办法提到的内容。</w:t>
      </w:r>
    </w:p>
    <w:p w14:paraId="1E91FE45">
      <w:pPr>
        <w:spacing w:line="480" w:lineRule="auto"/>
        <w:rPr>
          <w:rFonts w:ascii="宋体" w:hAnsi="宋体" w:cs="宋体"/>
          <w:bCs/>
          <w:sz w:val="22"/>
        </w:rPr>
      </w:pPr>
    </w:p>
    <w:p w14:paraId="1815E283">
      <w:pPr>
        <w:spacing w:line="480" w:lineRule="auto"/>
        <w:ind w:firstLine="480"/>
        <w:rPr>
          <w:rFonts w:ascii="宋体" w:hAnsi="宋体" w:cs="宋体"/>
          <w:bCs/>
          <w:sz w:val="22"/>
        </w:rPr>
      </w:pPr>
    </w:p>
    <w:p w14:paraId="7D8F067F">
      <w:pPr>
        <w:spacing w:line="480" w:lineRule="auto"/>
        <w:ind w:firstLine="480"/>
        <w:rPr>
          <w:rFonts w:ascii="宋体" w:hAnsi="宋体" w:cs="宋体"/>
          <w:bCs/>
          <w:sz w:val="24"/>
          <w:szCs w:val="28"/>
        </w:rPr>
      </w:pPr>
    </w:p>
    <w:p w14:paraId="45B74714">
      <w:pPr>
        <w:spacing w:line="480" w:lineRule="auto"/>
        <w:ind w:firstLine="480"/>
        <w:rPr>
          <w:rFonts w:ascii="宋体" w:hAnsi="宋体" w:cs="宋体"/>
          <w:bCs/>
          <w:sz w:val="24"/>
          <w:szCs w:val="28"/>
        </w:rPr>
      </w:pPr>
    </w:p>
    <w:p w14:paraId="07DB92CC">
      <w:pPr>
        <w:spacing w:line="480" w:lineRule="auto"/>
        <w:ind w:firstLine="480"/>
        <w:rPr>
          <w:rFonts w:ascii="宋体" w:hAnsi="宋体" w:cs="宋体"/>
          <w:bCs/>
          <w:sz w:val="24"/>
          <w:szCs w:val="28"/>
        </w:rPr>
      </w:pPr>
    </w:p>
    <w:p w14:paraId="482AC440">
      <w:pPr>
        <w:spacing w:line="480" w:lineRule="auto"/>
        <w:ind w:firstLine="480"/>
        <w:rPr>
          <w:rFonts w:ascii="宋体" w:hAnsi="宋体" w:cs="宋体"/>
          <w:bCs/>
          <w:sz w:val="24"/>
          <w:szCs w:val="28"/>
        </w:rPr>
      </w:pPr>
    </w:p>
    <w:p w14:paraId="4CE88FAA">
      <w:pPr>
        <w:spacing w:line="480" w:lineRule="auto"/>
        <w:ind w:firstLine="480"/>
        <w:rPr>
          <w:rFonts w:ascii="宋体" w:hAnsi="宋体" w:cs="宋体"/>
          <w:bCs/>
          <w:sz w:val="24"/>
          <w:szCs w:val="28"/>
        </w:rPr>
      </w:pPr>
    </w:p>
    <w:p w14:paraId="0B515FD8">
      <w:pPr>
        <w:spacing w:line="480" w:lineRule="auto"/>
        <w:ind w:firstLine="480"/>
        <w:rPr>
          <w:rFonts w:ascii="宋体" w:hAnsi="宋体" w:cs="宋体"/>
          <w:bCs/>
          <w:sz w:val="24"/>
          <w:szCs w:val="28"/>
        </w:rPr>
      </w:pPr>
    </w:p>
    <w:p w14:paraId="7C6F8CB7">
      <w:pPr>
        <w:spacing w:line="480" w:lineRule="auto"/>
        <w:ind w:firstLine="480"/>
        <w:rPr>
          <w:rFonts w:ascii="宋体" w:hAnsi="宋体" w:cs="宋体"/>
          <w:bCs/>
          <w:sz w:val="24"/>
          <w:szCs w:val="28"/>
        </w:rPr>
      </w:pPr>
    </w:p>
    <w:p w14:paraId="168DFF79">
      <w:pPr>
        <w:spacing w:line="480" w:lineRule="auto"/>
        <w:ind w:firstLine="480"/>
        <w:rPr>
          <w:rFonts w:ascii="宋体" w:hAnsi="宋体" w:cs="宋体"/>
          <w:bCs/>
          <w:sz w:val="24"/>
          <w:szCs w:val="28"/>
        </w:rPr>
      </w:pPr>
    </w:p>
    <w:p w14:paraId="769611DC">
      <w:pPr>
        <w:spacing w:line="480" w:lineRule="auto"/>
        <w:ind w:firstLine="480"/>
        <w:rPr>
          <w:rFonts w:ascii="宋体" w:hAnsi="宋体" w:cs="宋体"/>
          <w:bCs/>
          <w:sz w:val="24"/>
          <w:szCs w:val="28"/>
        </w:rPr>
      </w:pPr>
    </w:p>
    <w:p w14:paraId="14F8731B">
      <w:pPr>
        <w:spacing w:line="480" w:lineRule="auto"/>
        <w:ind w:firstLine="480"/>
        <w:rPr>
          <w:rFonts w:ascii="宋体" w:hAnsi="宋体" w:cs="宋体"/>
          <w:bCs/>
          <w:sz w:val="24"/>
          <w:szCs w:val="28"/>
        </w:rPr>
      </w:pPr>
    </w:p>
    <w:p w14:paraId="710ACABC">
      <w:pPr>
        <w:spacing w:line="480" w:lineRule="auto"/>
        <w:ind w:firstLine="480"/>
        <w:rPr>
          <w:rFonts w:ascii="宋体" w:hAnsi="宋体" w:cs="宋体"/>
          <w:bCs/>
          <w:sz w:val="24"/>
          <w:szCs w:val="28"/>
        </w:rPr>
      </w:pPr>
    </w:p>
    <w:p w14:paraId="0B304FBA">
      <w:pPr>
        <w:spacing w:line="480" w:lineRule="auto"/>
        <w:ind w:firstLine="480"/>
        <w:rPr>
          <w:rFonts w:ascii="宋体" w:hAnsi="宋体" w:cs="宋体"/>
          <w:bCs/>
          <w:sz w:val="24"/>
          <w:szCs w:val="28"/>
        </w:rPr>
      </w:pPr>
    </w:p>
    <w:p w14:paraId="0FEDC4E9">
      <w:pPr>
        <w:spacing w:line="480" w:lineRule="auto"/>
        <w:ind w:firstLine="480"/>
        <w:rPr>
          <w:rFonts w:ascii="宋体" w:hAnsi="宋体" w:cs="宋体"/>
          <w:bCs/>
          <w:sz w:val="24"/>
          <w:szCs w:val="28"/>
        </w:rPr>
      </w:pPr>
    </w:p>
    <w:p w14:paraId="778FD142">
      <w:pPr>
        <w:spacing w:line="480" w:lineRule="auto"/>
        <w:ind w:firstLine="480"/>
        <w:rPr>
          <w:rFonts w:ascii="宋体" w:hAnsi="宋体" w:cs="宋体"/>
          <w:bCs/>
          <w:sz w:val="24"/>
          <w:szCs w:val="28"/>
        </w:rPr>
      </w:pPr>
    </w:p>
    <w:p w14:paraId="30FCB9BB">
      <w:pPr>
        <w:spacing w:line="480" w:lineRule="auto"/>
        <w:ind w:firstLine="480"/>
        <w:rPr>
          <w:rFonts w:ascii="宋体" w:hAnsi="宋体" w:cs="宋体"/>
          <w:bCs/>
          <w:sz w:val="24"/>
          <w:szCs w:val="28"/>
        </w:rPr>
      </w:pPr>
    </w:p>
    <w:p w14:paraId="5B0EC5DC">
      <w:pPr>
        <w:spacing w:line="480" w:lineRule="auto"/>
        <w:ind w:firstLine="480"/>
        <w:rPr>
          <w:rFonts w:ascii="宋体" w:hAnsi="宋体" w:cs="宋体"/>
          <w:bCs/>
          <w:sz w:val="24"/>
          <w:szCs w:val="28"/>
        </w:rPr>
      </w:pPr>
    </w:p>
    <w:p w14:paraId="1492334C">
      <w:pPr>
        <w:spacing w:line="480" w:lineRule="auto"/>
        <w:ind w:firstLine="480"/>
        <w:rPr>
          <w:rFonts w:ascii="宋体" w:hAnsi="宋体" w:cs="宋体"/>
          <w:bCs/>
          <w:sz w:val="24"/>
          <w:szCs w:val="28"/>
        </w:rPr>
      </w:pPr>
    </w:p>
    <w:p w14:paraId="33ACAFFF">
      <w:pPr>
        <w:spacing w:line="480" w:lineRule="auto"/>
        <w:ind w:firstLine="480"/>
        <w:rPr>
          <w:rFonts w:ascii="宋体" w:hAnsi="宋体" w:cs="宋体"/>
          <w:bCs/>
          <w:sz w:val="24"/>
          <w:szCs w:val="28"/>
        </w:rPr>
      </w:pPr>
    </w:p>
    <w:p w14:paraId="28D425D6">
      <w:pPr>
        <w:spacing w:line="480" w:lineRule="auto"/>
        <w:ind w:firstLine="480"/>
        <w:rPr>
          <w:rFonts w:ascii="宋体" w:hAnsi="宋体" w:cs="宋体"/>
          <w:bCs/>
          <w:sz w:val="24"/>
          <w:szCs w:val="28"/>
        </w:rPr>
      </w:pPr>
    </w:p>
    <w:p w14:paraId="4F400F30">
      <w:pPr>
        <w:widowControl/>
        <w:jc w:val="center"/>
        <w:rPr>
          <w:rFonts w:ascii="宋体" w:hAnsi="宋体"/>
          <w:b/>
          <w:bCs/>
          <w:sz w:val="24"/>
        </w:rPr>
      </w:pPr>
      <w:r>
        <w:rPr>
          <w:rFonts w:hint="eastAsia" w:ascii="宋体" w:hAnsi="宋体"/>
          <w:b/>
          <w:bCs/>
          <w:sz w:val="24"/>
          <w:lang w:val="en-US" w:eastAsia="zh-CN"/>
        </w:rPr>
        <w:t>八</w:t>
      </w:r>
      <w:r>
        <w:rPr>
          <w:rFonts w:hint="eastAsia" w:ascii="宋体" w:hAnsi="宋体"/>
          <w:b/>
          <w:bCs/>
          <w:sz w:val="24"/>
        </w:rPr>
        <w:t>、综合标</w:t>
      </w:r>
    </w:p>
    <w:p w14:paraId="5EB7C10D">
      <w:pPr>
        <w:widowControl/>
        <w:jc w:val="center"/>
        <w:rPr>
          <w:rFonts w:ascii="宋体" w:hAnsi="宋体"/>
          <w:bCs/>
          <w:sz w:val="24"/>
        </w:rPr>
      </w:pPr>
    </w:p>
    <w:p w14:paraId="1363343C">
      <w:pPr>
        <w:spacing w:line="360" w:lineRule="auto"/>
        <w:jc w:val="center"/>
        <w:rPr>
          <w:rFonts w:ascii="宋体" w:hAnsi="宋体" w:cs="宋体"/>
          <w:bCs/>
          <w:sz w:val="24"/>
        </w:rPr>
      </w:pPr>
      <w:r>
        <w:rPr>
          <w:rFonts w:hint="eastAsia" w:ascii="宋体" w:hAnsi="宋体" w:cs="宋体"/>
          <w:b/>
          <w:sz w:val="24"/>
        </w:rPr>
        <w:t>（一）业绩一览表及证明材料</w:t>
      </w:r>
    </w:p>
    <w:p w14:paraId="3B2B0D17">
      <w:pPr>
        <w:spacing w:line="360" w:lineRule="auto"/>
        <w:ind w:firstLine="141" w:firstLineChars="59"/>
        <w:rPr>
          <w:rFonts w:ascii="宋体" w:hAnsi="宋体" w:cs="宋体"/>
          <w:sz w:val="24"/>
        </w:rPr>
      </w:pPr>
      <w:r>
        <w:rPr>
          <w:rFonts w:hint="eastAsia" w:ascii="宋体" w:hAnsi="宋体" w:cs="宋体"/>
          <w:sz w:val="24"/>
        </w:rPr>
        <w:t>项目名称：</w:t>
      </w:r>
    </w:p>
    <w:p w14:paraId="237ED3EC">
      <w:pPr>
        <w:spacing w:line="360" w:lineRule="auto"/>
        <w:ind w:firstLine="141" w:firstLineChars="59"/>
        <w:rPr>
          <w:rFonts w:ascii="宋体" w:hAnsi="宋体" w:cs="宋体"/>
          <w:sz w:val="24"/>
        </w:rPr>
      </w:pPr>
      <w:r>
        <w:rPr>
          <w:rFonts w:hint="eastAsia" w:ascii="宋体" w:hAnsi="宋体" w:cs="宋体"/>
          <w:sz w:val="24"/>
        </w:rPr>
        <w:t>项目编号：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440"/>
        <w:gridCol w:w="1356"/>
        <w:gridCol w:w="1356"/>
        <w:gridCol w:w="1731"/>
      </w:tblGrid>
      <w:tr w14:paraId="7133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vAlign w:val="center"/>
          </w:tcPr>
          <w:p w14:paraId="721F9EEC">
            <w:pPr>
              <w:jc w:val="center"/>
              <w:rPr>
                <w:rFonts w:ascii="宋体" w:hAnsi="宋体" w:cs="宋体"/>
                <w:sz w:val="24"/>
              </w:rPr>
            </w:pPr>
            <w:r>
              <w:rPr>
                <w:rFonts w:hint="eastAsia" w:ascii="宋体" w:hAnsi="宋体" w:cs="宋体"/>
                <w:sz w:val="24"/>
              </w:rPr>
              <w:t>序号</w:t>
            </w:r>
          </w:p>
        </w:tc>
        <w:tc>
          <w:tcPr>
            <w:tcW w:w="1620" w:type="dxa"/>
            <w:vAlign w:val="center"/>
          </w:tcPr>
          <w:p w14:paraId="0F59ACF2">
            <w:pPr>
              <w:jc w:val="center"/>
              <w:rPr>
                <w:rFonts w:ascii="宋体" w:hAnsi="宋体" w:cs="宋体"/>
                <w:sz w:val="24"/>
              </w:rPr>
            </w:pPr>
            <w:r>
              <w:rPr>
                <w:rFonts w:hint="eastAsia" w:ascii="宋体" w:hAnsi="宋体" w:cs="宋体"/>
                <w:sz w:val="24"/>
              </w:rPr>
              <w:t>项目名称</w:t>
            </w:r>
          </w:p>
        </w:tc>
        <w:tc>
          <w:tcPr>
            <w:tcW w:w="1440" w:type="dxa"/>
            <w:vAlign w:val="center"/>
          </w:tcPr>
          <w:p w14:paraId="2846F017">
            <w:pPr>
              <w:jc w:val="center"/>
              <w:rPr>
                <w:rFonts w:ascii="宋体" w:hAnsi="宋体" w:cs="宋体"/>
                <w:sz w:val="24"/>
              </w:rPr>
            </w:pPr>
            <w:r>
              <w:rPr>
                <w:rFonts w:hint="eastAsia" w:ascii="宋体" w:hAnsi="宋体" w:cs="宋体"/>
                <w:sz w:val="24"/>
              </w:rPr>
              <w:t>中标日期</w:t>
            </w:r>
          </w:p>
        </w:tc>
        <w:tc>
          <w:tcPr>
            <w:tcW w:w="1356" w:type="dxa"/>
            <w:vAlign w:val="center"/>
          </w:tcPr>
          <w:p w14:paraId="6A714A25">
            <w:pPr>
              <w:jc w:val="center"/>
              <w:rPr>
                <w:rFonts w:ascii="宋体" w:hAnsi="宋体" w:cs="宋体"/>
                <w:sz w:val="24"/>
              </w:rPr>
            </w:pPr>
            <w:r>
              <w:rPr>
                <w:rFonts w:hint="eastAsia" w:ascii="宋体" w:hAnsi="宋体" w:cs="宋体"/>
                <w:sz w:val="24"/>
              </w:rPr>
              <w:t>服务单位</w:t>
            </w:r>
          </w:p>
        </w:tc>
        <w:tc>
          <w:tcPr>
            <w:tcW w:w="1356" w:type="dxa"/>
            <w:vAlign w:val="center"/>
          </w:tcPr>
          <w:p w14:paraId="4B37998E">
            <w:pPr>
              <w:jc w:val="center"/>
              <w:rPr>
                <w:rFonts w:ascii="宋体" w:hAnsi="宋体" w:cs="宋体"/>
                <w:sz w:val="24"/>
              </w:rPr>
            </w:pPr>
            <w:r>
              <w:rPr>
                <w:rFonts w:hint="eastAsia" w:ascii="宋体" w:hAnsi="宋体" w:cs="宋体"/>
                <w:sz w:val="24"/>
              </w:rPr>
              <w:t>中标金额</w:t>
            </w:r>
          </w:p>
        </w:tc>
        <w:tc>
          <w:tcPr>
            <w:tcW w:w="1731" w:type="dxa"/>
            <w:vAlign w:val="center"/>
          </w:tcPr>
          <w:p w14:paraId="5B5B0B6C">
            <w:pPr>
              <w:jc w:val="center"/>
              <w:rPr>
                <w:rFonts w:ascii="宋体" w:hAnsi="宋体" w:cs="宋体"/>
                <w:sz w:val="24"/>
              </w:rPr>
            </w:pPr>
            <w:r>
              <w:rPr>
                <w:rFonts w:hint="eastAsia" w:ascii="宋体" w:hAnsi="宋体" w:cs="宋体"/>
                <w:sz w:val="24"/>
              </w:rPr>
              <w:t>合同签订时间</w:t>
            </w:r>
          </w:p>
        </w:tc>
      </w:tr>
      <w:tr w14:paraId="430B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vAlign w:val="center"/>
          </w:tcPr>
          <w:p w14:paraId="4F0BC75C">
            <w:pPr>
              <w:jc w:val="center"/>
              <w:rPr>
                <w:rFonts w:ascii="宋体" w:hAnsi="宋体" w:cs="宋体"/>
                <w:sz w:val="24"/>
              </w:rPr>
            </w:pPr>
          </w:p>
        </w:tc>
        <w:tc>
          <w:tcPr>
            <w:tcW w:w="1620" w:type="dxa"/>
            <w:vAlign w:val="center"/>
          </w:tcPr>
          <w:p w14:paraId="4307D715">
            <w:pPr>
              <w:jc w:val="center"/>
              <w:rPr>
                <w:rFonts w:ascii="宋体" w:hAnsi="宋体" w:cs="宋体"/>
                <w:sz w:val="24"/>
              </w:rPr>
            </w:pPr>
          </w:p>
        </w:tc>
        <w:tc>
          <w:tcPr>
            <w:tcW w:w="1440" w:type="dxa"/>
            <w:vAlign w:val="center"/>
          </w:tcPr>
          <w:p w14:paraId="67D6AEB3">
            <w:pPr>
              <w:jc w:val="center"/>
              <w:rPr>
                <w:rFonts w:ascii="宋体" w:hAnsi="宋体" w:cs="宋体"/>
                <w:sz w:val="24"/>
              </w:rPr>
            </w:pPr>
          </w:p>
        </w:tc>
        <w:tc>
          <w:tcPr>
            <w:tcW w:w="1356" w:type="dxa"/>
            <w:vAlign w:val="center"/>
          </w:tcPr>
          <w:p w14:paraId="2ABDAD7C">
            <w:pPr>
              <w:jc w:val="center"/>
              <w:rPr>
                <w:rFonts w:ascii="宋体" w:hAnsi="宋体" w:cs="宋体"/>
                <w:sz w:val="24"/>
              </w:rPr>
            </w:pPr>
          </w:p>
        </w:tc>
        <w:tc>
          <w:tcPr>
            <w:tcW w:w="1356" w:type="dxa"/>
            <w:vAlign w:val="center"/>
          </w:tcPr>
          <w:p w14:paraId="0589AE8F">
            <w:pPr>
              <w:jc w:val="center"/>
              <w:rPr>
                <w:rFonts w:ascii="宋体" w:hAnsi="宋体" w:cs="宋体"/>
                <w:sz w:val="24"/>
              </w:rPr>
            </w:pPr>
          </w:p>
        </w:tc>
        <w:tc>
          <w:tcPr>
            <w:tcW w:w="1731" w:type="dxa"/>
            <w:vAlign w:val="center"/>
          </w:tcPr>
          <w:p w14:paraId="7B4686AD">
            <w:pPr>
              <w:jc w:val="center"/>
              <w:rPr>
                <w:rFonts w:ascii="宋体" w:hAnsi="宋体" w:cs="宋体"/>
                <w:sz w:val="24"/>
              </w:rPr>
            </w:pPr>
          </w:p>
        </w:tc>
      </w:tr>
      <w:tr w14:paraId="2CEA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vAlign w:val="center"/>
          </w:tcPr>
          <w:p w14:paraId="276B33EE">
            <w:pPr>
              <w:jc w:val="center"/>
              <w:rPr>
                <w:rFonts w:ascii="宋体" w:hAnsi="宋体" w:cs="宋体"/>
                <w:sz w:val="24"/>
              </w:rPr>
            </w:pPr>
          </w:p>
        </w:tc>
        <w:tc>
          <w:tcPr>
            <w:tcW w:w="1620" w:type="dxa"/>
            <w:vAlign w:val="center"/>
          </w:tcPr>
          <w:p w14:paraId="12694864">
            <w:pPr>
              <w:jc w:val="center"/>
              <w:rPr>
                <w:rFonts w:ascii="宋体" w:hAnsi="宋体" w:cs="宋体"/>
                <w:sz w:val="24"/>
              </w:rPr>
            </w:pPr>
          </w:p>
        </w:tc>
        <w:tc>
          <w:tcPr>
            <w:tcW w:w="1440" w:type="dxa"/>
            <w:vAlign w:val="center"/>
          </w:tcPr>
          <w:p w14:paraId="769E4CEC">
            <w:pPr>
              <w:jc w:val="center"/>
              <w:rPr>
                <w:rFonts w:ascii="宋体" w:hAnsi="宋体" w:cs="宋体"/>
                <w:sz w:val="24"/>
              </w:rPr>
            </w:pPr>
          </w:p>
        </w:tc>
        <w:tc>
          <w:tcPr>
            <w:tcW w:w="1356" w:type="dxa"/>
            <w:vAlign w:val="center"/>
          </w:tcPr>
          <w:p w14:paraId="2D854987">
            <w:pPr>
              <w:jc w:val="center"/>
              <w:rPr>
                <w:rFonts w:ascii="宋体" w:hAnsi="宋体" w:cs="宋体"/>
                <w:sz w:val="24"/>
              </w:rPr>
            </w:pPr>
          </w:p>
        </w:tc>
        <w:tc>
          <w:tcPr>
            <w:tcW w:w="1356" w:type="dxa"/>
            <w:vAlign w:val="center"/>
          </w:tcPr>
          <w:p w14:paraId="3D884ABC">
            <w:pPr>
              <w:jc w:val="center"/>
              <w:rPr>
                <w:rFonts w:ascii="宋体" w:hAnsi="宋体" w:cs="宋体"/>
                <w:sz w:val="24"/>
              </w:rPr>
            </w:pPr>
          </w:p>
        </w:tc>
        <w:tc>
          <w:tcPr>
            <w:tcW w:w="1731" w:type="dxa"/>
            <w:vAlign w:val="center"/>
          </w:tcPr>
          <w:p w14:paraId="4C423E4B">
            <w:pPr>
              <w:jc w:val="center"/>
              <w:rPr>
                <w:rFonts w:ascii="宋体" w:hAnsi="宋体" w:cs="宋体"/>
                <w:sz w:val="24"/>
              </w:rPr>
            </w:pPr>
          </w:p>
        </w:tc>
      </w:tr>
      <w:tr w14:paraId="769A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vAlign w:val="center"/>
          </w:tcPr>
          <w:p w14:paraId="5B96B5EB">
            <w:pPr>
              <w:jc w:val="center"/>
              <w:rPr>
                <w:rFonts w:ascii="宋体" w:hAnsi="宋体" w:cs="宋体"/>
                <w:sz w:val="24"/>
              </w:rPr>
            </w:pPr>
          </w:p>
        </w:tc>
        <w:tc>
          <w:tcPr>
            <w:tcW w:w="1620" w:type="dxa"/>
            <w:vAlign w:val="center"/>
          </w:tcPr>
          <w:p w14:paraId="7FA575C3">
            <w:pPr>
              <w:jc w:val="center"/>
              <w:rPr>
                <w:rFonts w:ascii="宋体" w:hAnsi="宋体" w:cs="宋体"/>
                <w:sz w:val="24"/>
              </w:rPr>
            </w:pPr>
          </w:p>
        </w:tc>
        <w:tc>
          <w:tcPr>
            <w:tcW w:w="1440" w:type="dxa"/>
            <w:vAlign w:val="center"/>
          </w:tcPr>
          <w:p w14:paraId="752CA1FB">
            <w:pPr>
              <w:jc w:val="center"/>
              <w:rPr>
                <w:rFonts w:ascii="宋体" w:hAnsi="宋体" w:cs="宋体"/>
                <w:sz w:val="24"/>
              </w:rPr>
            </w:pPr>
          </w:p>
        </w:tc>
        <w:tc>
          <w:tcPr>
            <w:tcW w:w="1356" w:type="dxa"/>
            <w:vAlign w:val="center"/>
          </w:tcPr>
          <w:p w14:paraId="281656B2">
            <w:pPr>
              <w:jc w:val="center"/>
              <w:rPr>
                <w:rFonts w:ascii="宋体" w:hAnsi="宋体" w:cs="宋体"/>
                <w:sz w:val="24"/>
              </w:rPr>
            </w:pPr>
          </w:p>
        </w:tc>
        <w:tc>
          <w:tcPr>
            <w:tcW w:w="1356" w:type="dxa"/>
            <w:vAlign w:val="center"/>
          </w:tcPr>
          <w:p w14:paraId="3F073161">
            <w:pPr>
              <w:jc w:val="center"/>
              <w:rPr>
                <w:rFonts w:ascii="宋体" w:hAnsi="宋体" w:cs="宋体"/>
                <w:sz w:val="24"/>
              </w:rPr>
            </w:pPr>
          </w:p>
        </w:tc>
        <w:tc>
          <w:tcPr>
            <w:tcW w:w="1731" w:type="dxa"/>
            <w:vAlign w:val="center"/>
          </w:tcPr>
          <w:p w14:paraId="602B91AA">
            <w:pPr>
              <w:jc w:val="center"/>
              <w:rPr>
                <w:rFonts w:ascii="宋体" w:hAnsi="宋体" w:cs="宋体"/>
                <w:sz w:val="24"/>
              </w:rPr>
            </w:pPr>
          </w:p>
        </w:tc>
      </w:tr>
      <w:tr w14:paraId="45E0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vAlign w:val="center"/>
          </w:tcPr>
          <w:p w14:paraId="552D4AB7">
            <w:pPr>
              <w:jc w:val="center"/>
              <w:rPr>
                <w:rFonts w:ascii="宋体" w:hAnsi="宋体" w:cs="宋体"/>
                <w:sz w:val="24"/>
              </w:rPr>
            </w:pPr>
          </w:p>
        </w:tc>
        <w:tc>
          <w:tcPr>
            <w:tcW w:w="1620" w:type="dxa"/>
            <w:vAlign w:val="center"/>
          </w:tcPr>
          <w:p w14:paraId="6162C037">
            <w:pPr>
              <w:jc w:val="center"/>
              <w:rPr>
                <w:rFonts w:ascii="宋体" w:hAnsi="宋体" w:cs="宋体"/>
                <w:sz w:val="24"/>
              </w:rPr>
            </w:pPr>
          </w:p>
        </w:tc>
        <w:tc>
          <w:tcPr>
            <w:tcW w:w="1440" w:type="dxa"/>
            <w:vAlign w:val="center"/>
          </w:tcPr>
          <w:p w14:paraId="1ACA2325">
            <w:pPr>
              <w:jc w:val="center"/>
              <w:rPr>
                <w:rFonts w:ascii="宋体" w:hAnsi="宋体" w:cs="宋体"/>
                <w:sz w:val="24"/>
              </w:rPr>
            </w:pPr>
          </w:p>
        </w:tc>
        <w:tc>
          <w:tcPr>
            <w:tcW w:w="1356" w:type="dxa"/>
            <w:vAlign w:val="center"/>
          </w:tcPr>
          <w:p w14:paraId="68310CC3">
            <w:pPr>
              <w:jc w:val="center"/>
              <w:rPr>
                <w:rFonts w:ascii="宋体" w:hAnsi="宋体" w:cs="宋体"/>
                <w:sz w:val="24"/>
              </w:rPr>
            </w:pPr>
          </w:p>
        </w:tc>
        <w:tc>
          <w:tcPr>
            <w:tcW w:w="1356" w:type="dxa"/>
            <w:vAlign w:val="center"/>
          </w:tcPr>
          <w:p w14:paraId="5CBB545A">
            <w:pPr>
              <w:jc w:val="center"/>
              <w:rPr>
                <w:rFonts w:ascii="宋体" w:hAnsi="宋体" w:cs="宋体"/>
                <w:sz w:val="24"/>
              </w:rPr>
            </w:pPr>
          </w:p>
        </w:tc>
        <w:tc>
          <w:tcPr>
            <w:tcW w:w="1731" w:type="dxa"/>
            <w:vAlign w:val="center"/>
          </w:tcPr>
          <w:p w14:paraId="429D9D62">
            <w:pPr>
              <w:jc w:val="center"/>
              <w:rPr>
                <w:rFonts w:ascii="宋体" w:hAnsi="宋体" w:cs="宋体"/>
                <w:sz w:val="24"/>
              </w:rPr>
            </w:pPr>
          </w:p>
        </w:tc>
      </w:tr>
      <w:tr w14:paraId="3F09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vAlign w:val="center"/>
          </w:tcPr>
          <w:p w14:paraId="00A5524F">
            <w:pPr>
              <w:jc w:val="center"/>
              <w:rPr>
                <w:rFonts w:ascii="宋体" w:hAnsi="宋体" w:cs="宋体"/>
                <w:sz w:val="24"/>
              </w:rPr>
            </w:pPr>
          </w:p>
        </w:tc>
        <w:tc>
          <w:tcPr>
            <w:tcW w:w="1620" w:type="dxa"/>
            <w:vAlign w:val="center"/>
          </w:tcPr>
          <w:p w14:paraId="1DA793F7">
            <w:pPr>
              <w:jc w:val="center"/>
              <w:rPr>
                <w:rFonts w:ascii="宋体" w:hAnsi="宋体" w:cs="宋体"/>
                <w:sz w:val="24"/>
              </w:rPr>
            </w:pPr>
          </w:p>
        </w:tc>
        <w:tc>
          <w:tcPr>
            <w:tcW w:w="1440" w:type="dxa"/>
            <w:vAlign w:val="center"/>
          </w:tcPr>
          <w:p w14:paraId="240C83C9">
            <w:pPr>
              <w:jc w:val="center"/>
              <w:rPr>
                <w:rFonts w:ascii="宋体" w:hAnsi="宋体" w:cs="宋体"/>
                <w:sz w:val="24"/>
              </w:rPr>
            </w:pPr>
          </w:p>
        </w:tc>
        <w:tc>
          <w:tcPr>
            <w:tcW w:w="1356" w:type="dxa"/>
            <w:vAlign w:val="center"/>
          </w:tcPr>
          <w:p w14:paraId="6C3E9A6A">
            <w:pPr>
              <w:jc w:val="center"/>
              <w:rPr>
                <w:rFonts w:ascii="宋体" w:hAnsi="宋体" w:cs="宋体"/>
                <w:sz w:val="24"/>
              </w:rPr>
            </w:pPr>
          </w:p>
        </w:tc>
        <w:tc>
          <w:tcPr>
            <w:tcW w:w="1356" w:type="dxa"/>
            <w:vAlign w:val="center"/>
          </w:tcPr>
          <w:p w14:paraId="0AC390EE">
            <w:pPr>
              <w:jc w:val="center"/>
              <w:rPr>
                <w:rFonts w:ascii="宋体" w:hAnsi="宋体" w:cs="宋体"/>
                <w:sz w:val="24"/>
              </w:rPr>
            </w:pPr>
          </w:p>
        </w:tc>
        <w:tc>
          <w:tcPr>
            <w:tcW w:w="1731" w:type="dxa"/>
            <w:vAlign w:val="center"/>
          </w:tcPr>
          <w:p w14:paraId="06333FC9">
            <w:pPr>
              <w:jc w:val="center"/>
              <w:rPr>
                <w:rFonts w:ascii="宋体" w:hAnsi="宋体" w:cs="宋体"/>
                <w:sz w:val="24"/>
              </w:rPr>
            </w:pPr>
          </w:p>
        </w:tc>
      </w:tr>
      <w:tr w14:paraId="392F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vAlign w:val="center"/>
          </w:tcPr>
          <w:p w14:paraId="1260D27A">
            <w:pPr>
              <w:jc w:val="center"/>
              <w:rPr>
                <w:rFonts w:ascii="宋体" w:hAnsi="宋体" w:cs="宋体"/>
                <w:sz w:val="24"/>
              </w:rPr>
            </w:pPr>
          </w:p>
        </w:tc>
        <w:tc>
          <w:tcPr>
            <w:tcW w:w="1620" w:type="dxa"/>
            <w:vAlign w:val="center"/>
          </w:tcPr>
          <w:p w14:paraId="508A1B3D">
            <w:pPr>
              <w:jc w:val="center"/>
              <w:rPr>
                <w:rFonts w:ascii="宋体" w:hAnsi="宋体" w:cs="宋体"/>
                <w:sz w:val="24"/>
              </w:rPr>
            </w:pPr>
          </w:p>
        </w:tc>
        <w:tc>
          <w:tcPr>
            <w:tcW w:w="1440" w:type="dxa"/>
            <w:vAlign w:val="center"/>
          </w:tcPr>
          <w:p w14:paraId="6655E1A2">
            <w:pPr>
              <w:jc w:val="center"/>
              <w:rPr>
                <w:rFonts w:ascii="宋体" w:hAnsi="宋体" w:cs="宋体"/>
                <w:sz w:val="24"/>
              </w:rPr>
            </w:pPr>
          </w:p>
        </w:tc>
        <w:tc>
          <w:tcPr>
            <w:tcW w:w="1356" w:type="dxa"/>
            <w:vAlign w:val="center"/>
          </w:tcPr>
          <w:p w14:paraId="74BEC194">
            <w:pPr>
              <w:jc w:val="center"/>
              <w:rPr>
                <w:rFonts w:ascii="宋体" w:hAnsi="宋体" w:cs="宋体"/>
                <w:sz w:val="24"/>
              </w:rPr>
            </w:pPr>
          </w:p>
        </w:tc>
        <w:tc>
          <w:tcPr>
            <w:tcW w:w="1356" w:type="dxa"/>
            <w:vAlign w:val="center"/>
          </w:tcPr>
          <w:p w14:paraId="07CA9FCA">
            <w:pPr>
              <w:jc w:val="center"/>
              <w:rPr>
                <w:rFonts w:ascii="宋体" w:hAnsi="宋体" w:cs="宋体"/>
                <w:sz w:val="24"/>
              </w:rPr>
            </w:pPr>
          </w:p>
        </w:tc>
        <w:tc>
          <w:tcPr>
            <w:tcW w:w="1731" w:type="dxa"/>
            <w:vAlign w:val="center"/>
          </w:tcPr>
          <w:p w14:paraId="65C8D25F">
            <w:pPr>
              <w:jc w:val="center"/>
              <w:rPr>
                <w:rFonts w:ascii="宋体" w:hAnsi="宋体" w:cs="宋体"/>
                <w:sz w:val="24"/>
              </w:rPr>
            </w:pPr>
          </w:p>
        </w:tc>
      </w:tr>
      <w:tr w14:paraId="2695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vAlign w:val="center"/>
          </w:tcPr>
          <w:p w14:paraId="61E783F8">
            <w:pPr>
              <w:jc w:val="center"/>
              <w:rPr>
                <w:rFonts w:ascii="宋体" w:hAnsi="宋体" w:cs="宋体"/>
                <w:sz w:val="24"/>
              </w:rPr>
            </w:pPr>
          </w:p>
        </w:tc>
        <w:tc>
          <w:tcPr>
            <w:tcW w:w="1620" w:type="dxa"/>
            <w:vAlign w:val="center"/>
          </w:tcPr>
          <w:p w14:paraId="0F2BE656">
            <w:pPr>
              <w:jc w:val="center"/>
              <w:rPr>
                <w:rFonts w:ascii="宋体" w:hAnsi="宋体" w:cs="宋体"/>
                <w:sz w:val="24"/>
              </w:rPr>
            </w:pPr>
          </w:p>
        </w:tc>
        <w:tc>
          <w:tcPr>
            <w:tcW w:w="1440" w:type="dxa"/>
            <w:vAlign w:val="center"/>
          </w:tcPr>
          <w:p w14:paraId="2B4894A6">
            <w:pPr>
              <w:jc w:val="center"/>
              <w:rPr>
                <w:rFonts w:ascii="宋体" w:hAnsi="宋体" w:cs="宋体"/>
                <w:sz w:val="24"/>
              </w:rPr>
            </w:pPr>
          </w:p>
        </w:tc>
        <w:tc>
          <w:tcPr>
            <w:tcW w:w="1356" w:type="dxa"/>
            <w:vAlign w:val="center"/>
          </w:tcPr>
          <w:p w14:paraId="051777B6">
            <w:pPr>
              <w:jc w:val="center"/>
              <w:rPr>
                <w:rFonts w:ascii="宋体" w:hAnsi="宋体" w:cs="宋体"/>
                <w:sz w:val="24"/>
              </w:rPr>
            </w:pPr>
          </w:p>
        </w:tc>
        <w:tc>
          <w:tcPr>
            <w:tcW w:w="1356" w:type="dxa"/>
            <w:vAlign w:val="center"/>
          </w:tcPr>
          <w:p w14:paraId="4F9F13E5">
            <w:pPr>
              <w:jc w:val="center"/>
              <w:rPr>
                <w:rFonts w:ascii="宋体" w:hAnsi="宋体" w:cs="宋体"/>
                <w:sz w:val="24"/>
              </w:rPr>
            </w:pPr>
          </w:p>
        </w:tc>
        <w:tc>
          <w:tcPr>
            <w:tcW w:w="1731" w:type="dxa"/>
            <w:vAlign w:val="center"/>
          </w:tcPr>
          <w:p w14:paraId="761987BC">
            <w:pPr>
              <w:jc w:val="center"/>
              <w:rPr>
                <w:rFonts w:ascii="宋体" w:hAnsi="宋体" w:cs="宋体"/>
                <w:sz w:val="24"/>
              </w:rPr>
            </w:pPr>
          </w:p>
        </w:tc>
      </w:tr>
      <w:tr w14:paraId="1EE5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vAlign w:val="center"/>
          </w:tcPr>
          <w:p w14:paraId="63C0EF2B">
            <w:pPr>
              <w:jc w:val="center"/>
              <w:rPr>
                <w:rFonts w:ascii="宋体" w:hAnsi="宋体" w:cs="宋体"/>
                <w:sz w:val="24"/>
              </w:rPr>
            </w:pPr>
          </w:p>
        </w:tc>
        <w:tc>
          <w:tcPr>
            <w:tcW w:w="1620" w:type="dxa"/>
            <w:vAlign w:val="center"/>
          </w:tcPr>
          <w:p w14:paraId="7B6555B1">
            <w:pPr>
              <w:jc w:val="center"/>
              <w:rPr>
                <w:rFonts w:ascii="宋体" w:hAnsi="宋体" w:cs="宋体"/>
                <w:sz w:val="24"/>
              </w:rPr>
            </w:pPr>
          </w:p>
        </w:tc>
        <w:tc>
          <w:tcPr>
            <w:tcW w:w="1440" w:type="dxa"/>
            <w:vAlign w:val="center"/>
          </w:tcPr>
          <w:p w14:paraId="0CC85DEA">
            <w:pPr>
              <w:jc w:val="center"/>
              <w:rPr>
                <w:rFonts w:ascii="宋体" w:hAnsi="宋体" w:cs="宋体"/>
                <w:sz w:val="24"/>
              </w:rPr>
            </w:pPr>
          </w:p>
        </w:tc>
        <w:tc>
          <w:tcPr>
            <w:tcW w:w="1356" w:type="dxa"/>
            <w:vAlign w:val="center"/>
          </w:tcPr>
          <w:p w14:paraId="66303151">
            <w:pPr>
              <w:jc w:val="center"/>
              <w:rPr>
                <w:rFonts w:ascii="宋体" w:hAnsi="宋体" w:cs="宋体"/>
                <w:sz w:val="24"/>
              </w:rPr>
            </w:pPr>
          </w:p>
        </w:tc>
        <w:tc>
          <w:tcPr>
            <w:tcW w:w="1356" w:type="dxa"/>
            <w:vAlign w:val="center"/>
          </w:tcPr>
          <w:p w14:paraId="107F2686">
            <w:pPr>
              <w:jc w:val="center"/>
              <w:rPr>
                <w:rFonts w:ascii="宋体" w:hAnsi="宋体" w:cs="宋体"/>
                <w:sz w:val="24"/>
              </w:rPr>
            </w:pPr>
          </w:p>
        </w:tc>
        <w:tc>
          <w:tcPr>
            <w:tcW w:w="1731" w:type="dxa"/>
            <w:vAlign w:val="center"/>
          </w:tcPr>
          <w:p w14:paraId="7416EDA9">
            <w:pPr>
              <w:jc w:val="center"/>
              <w:rPr>
                <w:rFonts w:ascii="宋体" w:hAnsi="宋体" w:cs="宋体"/>
                <w:sz w:val="24"/>
              </w:rPr>
            </w:pPr>
          </w:p>
        </w:tc>
      </w:tr>
      <w:tr w14:paraId="5C7C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vAlign w:val="center"/>
          </w:tcPr>
          <w:p w14:paraId="0D78E5A7">
            <w:pPr>
              <w:jc w:val="center"/>
              <w:rPr>
                <w:rFonts w:ascii="宋体" w:hAnsi="宋体" w:cs="宋体"/>
                <w:sz w:val="24"/>
              </w:rPr>
            </w:pPr>
          </w:p>
        </w:tc>
        <w:tc>
          <w:tcPr>
            <w:tcW w:w="1620" w:type="dxa"/>
            <w:vAlign w:val="center"/>
          </w:tcPr>
          <w:p w14:paraId="2DD5F6EC">
            <w:pPr>
              <w:jc w:val="center"/>
              <w:rPr>
                <w:rFonts w:ascii="宋体" w:hAnsi="宋体" w:cs="宋体"/>
                <w:sz w:val="24"/>
              </w:rPr>
            </w:pPr>
          </w:p>
        </w:tc>
        <w:tc>
          <w:tcPr>
            <w:tcW w:w="1440" w:type="dxa"/>
            <w:vAlign w:val="center"/>
          </w:tcPr>
          <w:p w14:paraId="0CF23139">
            <w:pPr>
              <w:jc w:val="center"/>
              <w:rPr>
                <w:rFonts w:ascii="宋体" w:hAnsi="宋体" w:cs="宋体"/>
                <w:sz w:val="24"/>
              </w:rPr>
            </w:pPr>
          </w:p>
        </w:tc>
        <w:tc>
          <w:tcPr>
            <w:tcW w:w="1356" w:type="dxa"/>
            <w:vAlign w:val="center"/>
          </w:tcPr>
          <w:p w14:paraId="1F0F7CB6">
            <w:pPr>
              <w:jc w:val="center"/>
              <w:rPr>
                <w:rFonts w:ascii="宋体" w:hAnsi="宋体" w:cs="宋体"/>
                <w:sz w:val="24"/>
              </w:rPr>
            </w:pPr>
          </w:p>
        </w:tc>
        <w:tc>
          <w:tcPr>
            <w:tcW w:w="1356" w:type="dxa"/>
            <w:vAlign w:val="center"/>
          </w:tcPr>
          <w:p w14:paraId="784CD498">
            <w:pPr>
              <w:jc w:val="center"/>
              <w:rPr>
                <w:rFonts w:ascii="宋体" w:hAnsi="宋体" w:cs="宋体"/>
                <w:sz w:val="24"/>
              </w:rPr>
            </w:pPr>
          </w:p>
        </w:tc>
        <w:tc>
          <w:tcPr>
            <w:tcW w:w="1731" w:type="dxa"/>
            <w:vAlign w:val="center"/>
          </w:tcPr>
          <w:p w14:paraId="048CE89D">
            <w:pPr>
              <w:jc w:val="center"/>
              <w:rPr>
                <w:rFonts w:ascii="宋体" w:hAnsi="宋体" w:cs="宋体"/>
                <w:sz w:val="24"/>
              </w:rPr>
            </w:pPr>
          </w:p>
        </w:tc>
      </w:tr>
      <w:tr w14:paraId="7339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vAlign w:val="center"/>
          </w:tcPr>
          <w:p w14:paraId="7595A535">
            <w:pPr>
              <w:jc w:val="center"/>
              <w:rPr>
                <w:rFonts w:ascii="宋体" w:hAnsi="宋体" w:cs="宋体"/>
                <w:sz w:val="24"/>
              </w:rPr>
            </w:pPr>
          </w:p>
        </w:tc>
        <w:tc>
          <w:tcPr>
            <w:tcW w:w="1620" w:type="dxa"/>
            <w:vAlign w:val="center"/>
          </w:tcPr>
          <w:p w14:paraId="0880AC71">
            <w:pPr>
              <w:jc w:val="center"/>
              <w:rPr>
                <w:rFonts w:ascii="宋体" w:hAnsi="宋体" w:cs="宋体"/>
                <w:sz w:val="24"/>
              </w:rPr>
            </w:pPr>
          </w:p>
        </w:tc>
        <w:tc>
          <w:tcPr>
            <w:tcW w:w="1440" w:type="dxa"/>
            <w:vAlign w:val="center"/>
          </w:tcPr>
          <w:p w14:paraId="69D82DE1">
            <w:pPr>
              <w:jc w:val="center"/>
              <w:rPr>
                <w:rFonts w:ascii="宋体" w:hAnsi="宋体" w:cs="宋体"/>
                <w:sz w:val="24"/>
              </w:rPr>
            </w:pPr>
          </w:p>
        </w:tc>
        <w:tc>
          <w:tcPr>
            <w:tcW w:w="1356" w:type="dxa"/>
            <w:vAlign w:val="center"/>
          </w:tcPr>
          <w:p w14:paraId="3307C748">
            <w:pPr>
              <w:jc w:val="center"/>
              <w:rPr>
                <w:rFonts w:ascii="宋体" w:hAnsi="宋体" w:cs="宋体"/>
                <w:sz w:val="24"/>
              </w:rPr>
            </w:pPr>
          </w:p>
        </w:tc>
        <w:tc>
          <w:tcPr>
            <w:tcW w:w="1356" w:type="dxa"/>
            <w:vAlign w:val="center"/>
          </w:tcPr>
          <w:p w14:paraId="202D8372">
            <w:pPr>
              <w:jc w:val="center"/>
              <w:rPr>
                <w:rFonts w:ascii="宋体" w:hAnsi="宋体" w:cs="宋体"/>
                <w:sz w:val="24"/>
              </w:rPr>
            </w:pPr>
          </w:p>
        </w:tc>
        <w:tc>
          <w:tcPr>
            <w:tcW w:w="1731" w:type="dxa"/>
            <w:vAlign w:val="center"/>
          </w:tcPr>
          <w:p w14:paraId="4AB99C19">
            <w:pPr>
              <w:jc w:val="center"/>
              <w:rPr>
                <w:rFonts w:ascii="宋体" w:hAnsi="宋体" w:cs="宋体"/>
                <w:sz w:val="24"/>
              </w:rPr>
            </w:pPr>
          </w:p>
        </w:tc>
      </w:tr>
      <w:tr w14:paraId="6B32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vAlign w:val="center"/>
          </w:tcPr>
          <w:p w14:paraId="55F4EACE">
            <w:pPr>
              <w:jc w:val="center"/>
              <w:rPr>
                <w:rFonts w:ascii="宋体" w:hAnsi="宋体" w:cs="宋体"/>
                <w:sz w:val="24"/>
              </w:rPr>
            </w:pPr>
          </w:p>
        </w:tc>
        <w:tc>
          <w:tcPr>
            <w:tcW w:w="1620" w:type="dxa"/>
            <w:vAlign w:val="center"/>
          </w:tcPr>
          <w:p w14:paraId="1CC7DFCC">
            <w:pPr>
              <w:jc w:val="center"/>
              <w:rPr>
                <w:rFonts w:ascii="宋体" w:hAnsi="宋体" w:cs="宋体"/>
                <w:sz w:val="24"/>
              </w:rPr>
            </w:pPr>
          </w:p>
        </w:tc>
        <w:tc>
          <w:tcPr>
            <w:tcW w:w="1440" w:type="dxa"/>
            <w:vAlign w:val="center"/>
          </w:tcPr>
          <w:p w14:paraId="00E967A4">
            <w:pPr>
              <w:jc w:val="center"/>
              <w:rPr>
                <w:rFonts w:ascii="宋体" w:hAnsi="宋体" w:cs="宋体"/>
                <w:sz w:val="24"/>
              </w:rPr>
            </w:pPr>
          </w:p>
        </w:tc>
        <w:tc>
          <w:tcPr>
            <w:tcW w:w="1356" w:type="dxa"/>
            <w:vAlign w:val="center"/>
          </w:tcPr>
          <w:p w14:paraId="5A4C18E9">
            <w:pPr>
              <w:jc w:val="center"/>
              <w:rPr>
                <w:rFonts w:ascii="宋体" w:hAnsi="宋体" w:cs="宋体"/>
                <w:sz w:val="24"/>
              </w:rPr>
            </w:pPr>
          </w:p>
        </w:tc>
        <w:tc>
          <w:tcPr>
            <w:tcW w:w="1356" w:type="dxa"/>
            <w:vAlign w:val="center"/>
          </w:tcPr>
          <w:p w14:paraId="57B209C4">
            <w:pPr>
              <w:jc w:val="center"/>
              <w:rPr>
                <w:rFonts w:ascii="宋体" w:hAnsi="宋体" w:cs="宋体"/>
                <w:sz w:val="24"/>
              </w:rPr>
            </w:pPr>
          </w:p>
        </w:tc>
        <w:tc>
          <w:tcPr>
            <w:tcW w:w="1731" w:type="dxa"/>
            <w:vAlign w:val="center"/>
          </w:tcPr>
          <w:p w14:paraId="28FF7AA9">
            <w:pPr>
              <w:jc w:val="center"/>
              <w:rPr>
                <w:rFonts w:ascii="宋体" w:hAnsi="宋体" w:cs="宋体"/>
                <w:sz w:val="24"/>
              </w:rPr>
            </w:pPr>
          </w:p>
        </w:tc>
      </w:tr>
      <w:tr w14:paraId="535F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vAlign w:val="center"/>
          </w:tcPr>
          <w:p w14:paraId="0F6658D1">
            <w:pPr>
              <w:jc w:val="center"/>
              <w:rPr>
                <w:rFonts w:ascii="宋体" w:hAnsi="宋体" w:cs="宋体"/>
                <w:sz w:val="24"/>
              </w:rPr>
            </w:pPr>
          </w:p>
        </w:tc>
        <w:tc>
          <w:tcPr>
            <w:tcW w:w="1620" w:type="dxa"/>
            <w:vAlign w:val="center"/>
          </w:tcPr>
          <w:p w14:paraId="2AEF5E4D">
            <w:pPr>
              <w:jc w:val="center"/>
              <w:rPr>
                <w:rFonts w:ascii="宋体" w:hAnsi="宋体" w:cs="宋体"/>
                <w:sz w:val="24"/>
              </w:rPr>
            </w:pPr>
          </w:p>
        </w:tc>
        <w:tc>
          <w:tcPr>
            <w:tcW w:w="1440" w:type="dxa"/>
            <w:vAlign w:val="center"/>
          </w:tcPr>
          <w:p w14:paraId="4441B090">
            <w:pPr>
              <w:jc w:val="center"/>
              <w:rPr>
                <w:rFonts w:ascii="宋体" w:hAnsi="宋体" w:cs="宋体"/>
                <w:sz w:val="24"/>
              </w:rPr>
            </w:pPr>
          </w:p>
        </w:tc>
        <w:tc>
          <w:tcPr>
            <w:tcW w:w="1356" w:type="dxa"/>
            <w:vAlign w:val="center"/>
          </w:tcPr>
          <w:p w14:paraId="12BC5AB2">
            <w:pPr>
              <w:jc w:val="center"/>
              <w:rPr>
                <w:rFonts w:ascii="宋体" w:hAnsi="宋体" w:cs="宋体"/>
                <w:sz w:val="24"/>
              </w:rPr>
            </w:pPr>
          </w:p>
        </w:tc>
        <w:tc>
          <w:tcPr>
            <w:tcW w:w="1356" w:type="dxa"/>
            <w:vAlign w:val="center"/>
          </w:tcPr>
          <w:p w14:paraId="20D2D87C">
            <w:pPr>
              <w:jc w:val="center"/>
              <w:rPr>
                <w:rFonts w:ascii="宋体" w:hAnsi="宋体" w:cs="宋体"/>
                <w:sz w:val="24"/>
              </w:rPr>
            </w:pPr>
          </w:p>
        </w:tc>
        <w:tc>
          <w:tcPr>
            <w:tcW w:w="1731" w:type="dxa"/>
            <w:vAlign w:val="center"/>
          </w:tcPr>
          <w:p w14:paraId="3016B178">
            <w:pPr>
              <w:jc w:val="center"/>
              <w:rPr>
                <w:rFonts w:ascii="宋体" w:hAnsi="宋体" w:cs="宋体"/>
                <w:sz w:val="24"/>
              </w:rPr>
            </w:pPr>
          </w:p>
        </w:tc>
      </w:tr>
    </w:tbl>
    <w:p w14:paraId="51442CBC">
      <w:pPr>
        <w:spacing w:line="360" w:lineRule="auto"/>
        <w:rPr>
          <w:rFonts w:ascii="宋体" w:hAnsi="宋体" w:cs="宋体"/>
          <w:sz w:val="24"/>
        </w:rPr>
      </w:pPr>
    </w:p>
    <w:p w14:paraId="31EA8A8D">
      <w:pPr>
        <w:spacing w:line="360" w:lineRule="auto"/>
        <w:rPr>
          <w:rFonts w:ascii="宋体" w:hAnsi="宋体" w:cs="宋体"/>
          <w:sz w:val="24"/>
        </w:rPr>
      </w:pPr>
      <w:r>
        <w:rPr>
          <w:rFonts w:hint="eastAsia" w:ascii="宋体" w:hAnsi="宋体" w:cs="宋体"/>
          <w:sz w:val="24"/>
        </w:rPr>
        <w:t>供应商：（</w:t>
      </w:r>
      <w:r>
        <w:rPr>
          <w:rFonts w:hint="eastAsia" w:ascii="宋体" w:hAnsi="宋体"/>
          <w:sz w:val="24"/>
        </w:rPr>
        <w:t>企业电子签章</w:t>
      </w:r>
      <w:r>
        <w:rPr>
          <w:rFonts w:hint="eastAsia" w:ascii="宋体" w:hAnsi="宋体" w:cs="宋体"/>
          <w:sz w:val="24"/>
        </w:rPr>
        <w:t>）</w:t>
      </w:r>
    </w:p>
    <w:p w14:paraId="3BD07289">
      <w:pPr>
        <w:spacing w:after="120" w:line="600" w:lineRule="exact"/>
        <w:rPr>
          <w:rFonts w:ascii="宋体" w:hAnsi="宋体" w:cs="宋体"/>
          <w:sz w:val="24"/>
        </w:rPr>
      </w:pPr>
      <w:r>
        <w:rPr>
          <w:rFonts w:hint="eastAsia" w:ascii="宋体" w:hAnsi="宋体" w:cs="宋体"/>
          <w:sz w:val="24"/>
        </w:rPr>
        <w:t>法定代表人（签章）：</w:t>
      </w:r>
      <w:r>
        <w:rPr>
          <w:rFonts w:hint="eastAsia" w:ascii="宋体" w:hAnsi="宋体" w:cs="宋体"/>
          <w:sz w:val="24"/>
          <w:u w:val="single"/>
        </w:rPr>
        <w:t xml:space="preserve">                    </w:t>
      </w:r>
    </w:p>
    <w:p w14:paraId="77489753">
      <w:pPr>
        <w:spacing w:line="600" w:lineRule="exact"/>
        <w:rPr>
          <w:rFonts w:ascii="宋体" w:hAnsi="宋体" w:cs="宋体"/>
          <w:sz w:val="24"/>
        </w:rPr>
      </w:pPr>
      <w:r>
        <w:rPr>
          <w:rFonts w:hint="eastAsia" w:ascii="宋体" w:hAnsi="宋体" w:cs="宋体"/>
          <w:sz w:val="24"/>
        </w:rPr>
        <w:t>日期：</w:t>
      </w:r>
    </w:p>
    <w:p w14:paraId="3D406D49">
      <w:pPr>
        <w:spacing w:line="360" w:lineRule="auto"/>
        <w:rPr>
          <w:rFonts w:ascii="宋体" w:hAnsi="宋体" w:cs="宋体"/>
          <w:sz w:val="24"/>
        </w:rPr>
      </w:pPr>
    </w:p>
    <w:p w14:paraId="0CC8A37F">
      <w:pPr>
        <w:spacing w:line="360" w:lineRule="auto"/>
        <w:rPr>
          <w:rFonts w:ascii="宋体" w:hAnsi="宋体" w:cs="宋体"/>
          <w:sz w:val="24"/>
        </w:rPr>
      </w:pPr>
      <w:r>
        <w:rPr>
          <w:rFonts w:hint="eastAsia" w:ascii="宋体" w:hAnsi="宋体" w:cs="宋体"/>
          <w:sz w:val="24"/>
        </w:rPr>
        <w:t>注：供应商所列项目清单须附合同和中标通知书原件扫描件，时间要求为2022年1月1日以来。</w:t>
      </w:r>
    </w:p>
    <w:p w14:paraId="6D0F2176">
      <w:pPr>
        <w:widowControl/>
        <w:jc w:val="center"/>
        <w:rPr>
          <w:rFonts w:ascii="宋体" w:hAnsi="宋体"/>
          <w:bCs/>
          <w:sz w:val="24"/>
        </w:rPr>
      </w:pPr>
      <w:r>
        <w:rPr>
          <w:rFonts w:hint="eastAsia" w:ascii="宋体" w:hAnsi="宋体"/>
          <w:bCs/>
          <w:sz w:val="24"/>
        </w:rPr>
        <w:t>。</w:t>
      </w:r>
    </w:p>
    <w:p w14:paraId="788F031C">
      <w:pPr>
        <w:spacing w:line="480" w:lineRule="auto"/>
        <w:ind w:firstLine="480"/>
        <w:rPr>
          <w:rFonts w:ascii="宋体" w:hAnsi="宋体" w:cs="宋体"/>
          <w:bCs/>
          <w:sz w:val="22"/>
        </w:rPr>
      </w:pPr>
    </w:p>
    <w:p w14:paraId="7881196B">
      <w:pPr>
        <w:spacing w:line="480" w:lineRule="auto"/>
        <w:ind w:firstLine="480"/>
        <w:rPr>
          <w:rFonts w:ascii="宋体" w:hAnsi="宋体" w:cs="宋体"/>
          <w:bCs/>
          <w:sz w:val="22"/>
        </w:rPr>
      </w:pPr>
    </w:p>
    <w:p w14:paraId="7CF56279">
      <w:pPr>
        <w:spacing w:line="360" w:lineRule="auto"/>
        <w:jc w:val="center"/>
        <w:rPr>
          <w:rFonts w:ascii="宋体" w:hAnsi="宋体" w:cs="宋体"/>
          <w:bCs/>
          <w:sz w:val="24"/>
        </w:rPr>
      </w:pPr>
      <w:r>
        <w:rPr>
          <w:rFonts w:hint="eastAsia" w:ascii="宋体" w:hAnsi="宋体" w:cs="宋体"/>
          <w:b/>
          <w:sz w:val="24"/>
        </w:rPr>
        <w:t>（二）其他材料</w:t>
      </w:r>
    </w:p>
    <w:p w14:paraId="57FC55C5">
      <w:pPr>
        <w:spacing w:line="480" w:lineRule="auto"/>
        <w:ind w:firstLine="480"/>
        <w:rPr>
          <w:rFonts w:ascii="宋体" w:hAnsi="宋体" w:cs="宋体"/>
          <w:bCs/>
          <w:sz w:val="22"/>
        </w:rPr>
      </w:pPr>
    </w:p>
    <w:p w14:paraId="72114009">
      <w:pPr>
        <w:spacing w:line="480" w:lineRule="auto"/>
        <w:ind w:firstLine="480"/>
        <w:rPr>
          <w:rFonts w:ascii="宋体" w:hAnsi="宋体" w:cs="宋体"/>
          <w:bCs/>
          <w:sz w:val="22"/>
        </w:rPr>
      </w:pPr>
    </w:p>
    <w:p w14:paraId="726E12A2">
      <w:pPr>
        <w:spacing w:line="480" w:lineRule="auto"/>
        <w:ind w:firstLine="480"/>
        <w:rPr>
          <w:rFonts w:ascii="宋体" w:hAnsi="宋体" w:cs="宋体"/>
          <w:bCs/>
          <w:sz w:val="22"/>
        </w:rPr>
      </w:pPr>
    </w:p>
    <w:p w14:paraId="7269F95A">
      <w:pPr>
        <w:spacing w:line="480" w:lineRule="auto"/>
        <w:ind w:firstLine="480"/>
        <w:rPr>
          <w:rFonts w:ascii="宋体" w:hAnsi="宋体" w:cs="宋体"/>
          <w:bCs/>
          <w:sz w:val="22"/>
        </w:rPr>
      </w:pPr>
    </w:p>
    <w:p w14:paraId="167CDCD0">
      <w:pPr>
        <w:spacing w:line="480" w:lineRule="auto"/>
        <w:ind w:firstLine="480"/>
        <w:rPr>
          <w:rFonts w:ascii="宋体" w:hAnsi="宋体" w:cs="宋体"/>
          <w:bCs/>
          <w:sz w:val="22"/>
        </w:rPr>
      </w:pPr>
    </w:p>
    <w:p w14:paraId="2C5B4D6D">
      <w:pPr>
        <w:spacing w:line="480" w:lineRule="auto"/>
        <w:ind w:firstLine="480"/>
        <w:rPr>
          <w:rFonts w:ascii="宋体" w:hAnsi="宋体" w:cs="宋体"/>
          <w:bCs/>
          <w:sz w:val="22"/>
        </w:rPr>
      </w:pPr>
    </w:p>
    <w:p w14:paraId="70CF99E4">
      <w:pPr>
        <w:spacing w:line="480" w:lineRule="auto"/>
        <w:ind w:firstLine="480"/>
        <w:rPr>
          <w:rFonts w:ascii="宋体" w:hAnsi="宋体" w:cs="宋体"/>
          <w:bCs/>
          <w:sz w:val="22"/>
        </w:rPr>
      </w:pPr>
    </w:p>
    <w:p w14:paraId="2E9D76B2">
      <w:pPr>
        <w:spacing w:line="480" w:lineRule="auto"/>
        <w:ind w:firstLine="480"/>
        <w:rPr>
          <w:rFonts w:ascii="宋体" w:hAnsi="宋体" w:cs="宋体"/>
          <w:bCs/>
          <w:sz w:val="22"/>
        </w:rPr>
      </w:pPr>
    </w:p>
    <w:p w14:paraId="7532D1E7">
      <w:pPr>
        <w:spacing w:line="480" w:lineRule="auto"/>
        <w:ind w:firstLine="480"/>
        <w:rPr>
          <w:rFonts w:ascii="宋体" w:hAnsi="宋体" w:cs="宋体"/>
          <w:bCs/>
          <w:sz w:val="22"/>
        </w:rPr>
      </w:pPr>
    </w:p>
    <w:p w14:paraId="04B5B3B9">
      <w:pPr>
        <w:spacing w:line="480" w:lineRule="auto"/>
        <w:ind w:firstLine="480"/>
        <w:rPr>
          <w:rFonts w:ascii="宋体" w:hAnsi="宋体" w:cs="宋体"/>
          <w:bCs/>
          <w:sz w:val="22"/>
        </w:rPr>
      </w:pPr>
    </w:p>
    <w:p w14:paraId="654F8128">
      <w:pPr>
        <w:spacing w:line="480" w:lineRule="auto"/>
        <w:ind w:firstLine="480"/>
        <w:rPr>
          <w:rFonts w:ascii="宋体" w:hAnsi="宋体" w:cs="宋体"/>
          <w:bCs/>
          <w:sz w:val="22"/>
        </w:rPr>
      </w:pPr>
    </w:p>
    <w:p w14:paraId="43D3A1B4">
      <w:pPr>
        <w:spacing w:line="480" w:lineRule="auto"/>
        <w:ind w:firstLine="480"/>
        <w:rPr>
          <w:rFonts w:ascii="宋体" w:hAnsi="宋体" w:cs="宋体"/>
          <w:bCs/>
          <w:sz w:val="22"/>
        </w:rPr>
      </w:pPr>
    </w:p>
    <w:p w14:paraId="7435E1F5">
      <w:pPr>
        <w:spacing w:line="480" w:lineRule="auto"/>
        <w:ind w:firstLine="480"/>
        <w:rPr>
          <w:rFonts w:ascii="宋体" w:hAnsi="宋体" w:cs="宋体"/>
          <w:bCs/>
          <w:sz w:val="22"/>
        </w:rPr>
      </w:pPr>
    </w:p>
    <w:p w14:paraId="1E0C0995">
      <w:pPr>
        <w:spacing w:line="480" w:lineRule="auto"/>
        <w:ind w:firstLine="480"/>
        <w:rPr>
          <w:rFonts w:ascii="宋体" w:hAnsi="宋体" w:cs="宋体"/>
          <w:bCs/>
          <w:sz w:val="22"/>
        </w:rPr>
      </w:pPr>
    </w:p>
    <w:p w14:paraId="3C9CFD0B">
      <w:pPr>
        <w:spacing w:line="480" w:lineRule="auto"/>
        <w:ind w:firstLine="480"/>
        <w:rPr>
          <w:rFonts w:ascii="宋体" w:hAnsi="宋体" w:cs="宋体"/>
          <w:bCs/>
          <w:sz w:val="22"/>
        </w:rPr>
      </w:pPr>
    </w:p>
    <w:p w14:paraId="42232894">
      <w:pPr>
        <w:spacing w:line="480" w:lineRule="auto"/>
        <w:ind w:firstLine="480"/>
        <w:rPr>
          <w:rFonts w:ascii="宋体" w:hAnsi="宋体" w:cs="宋体"/>
          <w:bCs/>
          <w:sz w:val="22"/>
        </w:rPr>
      </w:pPr>
    </w:p>
    <w:p w14:paraId="23126A81">
      <w:pPr>
        <w:spacing w:line="480" w:lineRule="auto"/>
        <w:ind w:firstLine="480"/>
        <w:rPr>
          <w:rFonts w:ascii="宋体" w:hAnsi="宋体" w:cs="宋体"/>
          <w:bCs/>
          <w:sz w:val="22"/>
        </w:rPr>
      </w:pPr>
    </w:p>
    <w:p w14:paraId="2115CCBC">
      <w:pPr>
        <w:widowControl/>
        <w:jc w:val="center"/>
        <w:outlineLvl w:val="0"/>
        <w:rPr>
          <w:rFonts w:ascii="宋体" w:hAnsi="宋体" w:cs="宋体"/>
          <w:b/>
          <w:bCs/>
          <w:sz w:val="24"/>
        </w:rPr>
      </w:pPr>
      <w:r>
        <w:rPr>
          <w:rFonts w:hint="eastAsia" w:ascii="宋体" w:hAnsi="宋体" w:cs="宋体"/>
          <w:bCs/>
          <w:sz w:val="22"/>
        </w:rPr>
        <w:br w:type="page"/>
      </w:r>
      <w:r>
        <w:rPr>
          <w:rFonts w:hint="eastAsia" w:ascii="宋体" w:hAnsi="宋体" w:cs="宋体"/>
          <w:b/>
          <w:bCs/>
          <w:sz w:val="24"/>
          <w:lang w:val="en-US" w:eastAsia="zh-CN"/>
        </w:rPr>
        <w:t>九</w:t>
      </w:r>
      <w:r>
        <w:rPr>
          <w:rFonts w:hint="eastAsia" w:ascii="宋体" w:hAnsi="宋体" w:cs="宋体"/>
          <w:b/>
          <w:bCs/>
          <w:sz w:val="24"/>
        </w:rPr>
        <w:t>、竞争性磋商文件规定的其他资料</w:t>
      </w:r>
    </w:p>
    <w:p w14:paraId="70C3D011">
      <w:pPr>
        <w:widowControl/>
        <w:jc w:val="center"/>
        <w:rPr>
          <w:rFonts w:ascii="宋体" w:hAnsi="宋体" w:cs="宋体"/>
          <w:b/>
          <w:sz w:val="24"/>
        </w:rPr>
      </w:pPr>
    </w:p>
    <w:p w14:paraId="53501F1C">
      <w:pPr>
        <w:spacing w:line="440" w:lineRule="exact"/>
        <w:jc w:val="center"/>
        <w:rPr>
          <w:rFonts w:ascii="宋体" w:hAnsi="宋体"/>
          <w:b/>
          <w:bCs/>
          <w:sz w:val="24"/>
        </w:rPr>
      </w:pPr>
      <w:r>
        <w:rPr>
          <w:rFonts w:hint="eastAsia" w:ascii="宋体" w:hAnsi="宋体"/>
          <w:sz w:val="24"/>
        </w:rPr>
        <w:t>（格式自拟，应逐页加盖企业及法人电子签章；）</w:t>
      </w:r>
    </w:p>
    <w:p w14:paraId="26938FED">
      <w:pPr>
        <w:spacing w:line="440" w:lineRule="exact"/>
        <w:ind w:firstLine="482" w:firstLineChars="200"/>
        <w:jc w:val="center"/>
        <w:rPr>
          <w:rFonts w:ascii="宋体" w:hAnsi="宋体"/>
          <w:b/>
          <w:bCs/>
          <w:sz w:val="24"/>
        </w:rPr>
      </w:pPr>
    </w:p>
    <w:p w14:paraId="1772E450">
      <w:pPr>
        <w:spacing w:line="480" w:lineRule="auto"/>
        <w:ind w:firstLine="480"/>
        <w:rPr>
          <w:rFonts w:ascii="宋体" w:hAnsi="宋体" w:cs="宋体"/>
          <w:bCs/>
          <w:sz w:val="22"/>
        </w:rPr>
      </w:pPr>
    </w:p>
    <w:p w14:paraId="7084FB1B">
      <w:pPr>
        <w:spacing w:line="480" w:lineRule="auto"/>
        <w:ind w:firstLine="480"/>
        <w:rPr>
          <w:rFonts w:ascii="宋体" w:hAnsi="宋体" w:cs="宋体"/>
          <w:bCs/>
          <w:sz w:val="22"/>
        </w:rPr>
      </w:pPr>
    </w:p>
    <w:p w14:paraId="546D539D">
      <w:pPr>
        <w:spacing w:line="480" w:lineRule="auto"/>
        <w:ind w:firstLine="480"/>
        <w:rPr>
          <w:rFonts w:ascii="宋体" w:hAnsi="宋体" w:cs="宋体"/>
          <w:bCs/>
          <w:sz w:val="22"/>
        </w:rPr>
      </w:pPr>
    </w:p>
    <w:p w14:paraId="0E8CB5FA">
      <w:pPr>
        <w:spacing w:line="480" w:lineRule="auto"/>
        <w:ind w:firstLine="480"/>
        <w:rPr>
          <w:rFonts w:ascii="宋体" w:hAnsi="宋体" w:cs="宋体"/>
          <w:bCs/>
          <w:sz w:val="22"/>
        </w:rPr>
      </w:pPr>
    </w:p>
    <w:p w14:paraId="40310CD8">
      <w:pPr>
        <w:spacing w:line="480" w:lineRule="auto"/>
        <w:ind w:firstLine="480"/>
        <w:rPr>
          <w:rFonts w:ascii="宋体" w:hAnsi="宋体" w:cs="宋体"/>
          <w:bCs/>
          <w:sz w:val="22"/>
        </w:rPr>
      </w:pPr>
    </w:p>
    <w:p w14:paraId="46788880">
      <w:pPr>
        <w:spacing w:line="480" w:lineRule="auto"/>
        <w:ind w:firstLine="480"/>
        <w:rPr>
          <w:rFonts w:ascii="宋体" w:hAnsi="宋体" w:cs="宋体"/>
          <w:bCs/>
          <w:sz w:val="22"/>
        </w:rPr>
      </w:pPr>
    </w:p>
    <w:p w14:paraId="05D5A295">
      <w:pPr>
        <w:spacing w:line="480" w:lineRule="auto"/>
        <w:ind w:firstLine="480"/>
        <w:rPr>
          <w:rFonts w:ascii="宋体" w:hAnsi="宋体" w:cs="宋体"/>
          <w:bCs/>
          <w:sz w:val="22"/>
        </w:rPr>
      </w:pPr>
    </w:p>
    <w:p w14:paraId="3174F430">
      <w:pPr>
        <w:spacing w:line="480" w:lineRule="auto"/>
        <w:ind w:firstLine="480"/>
        <w:rPr>
          <w:rFonts w:ascii="宋体" w:hAnsi="宋体" w:cs="宋体"/>
          <w:bCs/>
          <w:sz w:val="22"/>
        </w:rPr>
      </w:pPr>
    </w:p>
    <w:p w14:paraId="1BDB3C5D">
      <w:pPr>
        <w:spacing w:line="480" w:lineRule="auto"/>
        <w:ind w:firstLine="480"/>
        <w:rPr>
          <w:rFonts w:ascii="宋体" w:hAnsi="宋体" w:cs="宋体"/>
          <w:bCs/>
          <w:sz w:val="22"/>
        </w:rPr>
      </w:pPr>
    </w:p>
    <w:p w14:paraId="069C30B8">
      <w:pPr>
        <w:spacing w:line="480" w:lineRule="auto"/>
        <w:ind w:firstLine="480"/>
        <w:rPr>
          <w:rFonts w:ascii="宋体" w:hAnsi="宋体" w:cs="宋体"/>
          <w:bCs/>
          <w:sz w:val="22"/>
        </w:rPr>
      </w:pPr>
    </w:p>
    <w:p w14:paraId="504F1AEA">
      <w:pPr>
        <w:spacing w:line="480" w:lineRule="auto"/>
        <w:ind w:firstLine="480"/>
        <w:rPr>
          <w:rFonts w:ascii="宋体" w:hAnsi="宋体" w:cs="宋体"/>
          <w:bCs/>
          <w:sz w:val="22"/>
        </w:rPr>
      </w:pPr>
    </w:p>
    <w:p w14:paraId="11C05E73">
      <w:pPr>
        <w:spacing w:line="480" w:lineRule="auto"/>
        <w:ind w:firstLine="480"/>
        <w:rPr>
          <w:rFonts w:ascii="宋体" w:hAnsi="宋体" w:cs="宋体"/>
          <w:bCs/>
          <w:sz w:val="22"/>
        </w:rPr>
      </w:pPr>
    </w:p>
    <w:p w14:paraId="4D0E448B">
      <w:pPr>
        <w:spacing w:line="480" w:lineRule="auto"/>
        <w:ind w:firstLine="480"/>
        <w:rPr>
          <w:rFonts w:ascii="宋体" w:hAnsi="宋体" w:cs="宋体"/>
          <w:bCs/>
          <w:sz w:val="22"/>
        </w:rPr>
      </w:pPr>
    </w:p>
    <w:p w14:paraId="65CE78EB">
      <w:pPr>
        <w:spacing w:line="480" w:lineRule="auto"/>
        <w:ind w:firstLine="480"/>
        <w:rPr>
          <w:rFonts w:ascii="宋体" w:hAnsi="宋体" w:cs="宋体"/>
          <w:bCs/>
          <w:sz w:val="22"/>
        </w:rPr>
      </w:pPr>
    </w:p>
    <w:p w14:paraId="4586B1EF">
      <w:pPr>
        <w:spacing w:line="480" w:lineRule="auto"/>
        <w:ind w:firstLine="480"/>
        <w:rPr>
          <w:rFonts w:ascii="宋体" w:hAnsi="宋体" w:cs="宋体"/>
          <w:bCs/>
          <w:sz w:val="22"/>
        </w:rPr>
      </w:pPr>
    </w:p>
    <w:p w14:paraId="355166B4">
      <w:pPr>
        <w:spacing w:line="480" w:lineRule="auto"/>
        <w:ind w:firstLine="480"/>
        <w:rPr>
          <w:rFonts w:ascii="宋体" w:hAnsi="宋体" w:cs="宋体"/>
          <w:bCs/>
          <w:sz w:val="22"/>
        </w:rPr>
      </w:pPr>
    </w:p>
    <w:p w14:paraId="735D6388">
      <w:pPr>
        <w:spacing w:line="480" w:lineRule="auto"/>
        <w:ind w:firstLine="480"/>
        <w:rPr>
          <w:rFonts w:ascii="宋体" w:hAnsi="宋体" w:cs="宋体"/>
          <w:bCs/>
          <w:sz w:val="22"/>
        </w:rPr>
      </w:pPr>
    </w:p>
    <w:p w14:paraId="5D6801F4">
      <w:pPr>
        <w:pStyle w:val="36"/>
        <w:numPr>
          <w:ilvl w:val="0"/>
          <w:numId w:val="0"/>
        </w:numPr>
      </w:pPr>
    </w:p>
    <w:p w14:paraId="1273B34A">
      <w:pPr>
        <w:spacing w:line="480" w:lineRule="auto"/>
        <w:ind w:firstLine="480"/>
        <w:rPr>
          <w:rFonts w:ascii="宋体" w:hAnsi="宋体" w:cs="宋体"/>
          <w:bCs/>
          <w:sz w:val="22"/>
        </w:rPr>
      </w:pPr>
    </w:p>
    <w:p w14:paraId="57CB9C6E"/>
    <w:p w14:paraId="05A73C6D">
      <w:pPr>
        <w:pStyle w:val="37"/>
        <w:outlineLvl w:val="2"/>
        <w:rPr>
          <w:rFonts w:ascii="宋体" w:hAnsi="宋体" w:eastAsia="宋体" w:cs="宋体"/>
          <w:sz w:val="24"/>
          <w:szCs w:val="21"/>
        </w:rPr>
      </w:pPr>
      <w:r>
        <w:rPr>
          <w:rFonts w:hint="eastAsia" w:ascii="宋体" w:hAnsi="宋体" w:eastAsia="宋体" w:cs="宋体"/>
          <w:sz w:val="24"/>
          <w:szCs w:val="21"/>
        </w:rPr>
        <w:t>附件1、中小微企业声明函（投标人）</w:t>
      </w:r>
    </w:p>
    <w:p w14:paraId="5CC9A4AC">
      <w:pPr>
        <w:pStyle w:val="37"/>
        <w:outlineLvl w:val="2"/>
        <w:rPr>
          <w:rFonts w:ascii="宋体" w:hAnsi="宋体" w:eastAsia="宋体" w:cs="宋体"/>
          <w:sz w:val="24"/>
          <w:szCs w:val="21"/>
        </w:rPr>
      </w:pPr>
    </w:p>
    <w:p w14:paraId="22BAAF62">
      <w:pPr>
        <w:pStyle w:val="38"/>
        <w:spacing w:line="276" w:lineRule="auto"/>
        <w:jc w:val="center"/>
        <w:rPr>
          <w:rFonts w:ascii="宋体" w:hAnsi="宋体" w:eastAsia="宋体" w:cs="宋体"/>
          <w:b/>
          <w:spacing w:val="14"/>
          <w:sz w:val="24"/>
          <w:szCs w:val="24"/>
        </w:rPr>
      </w:pPr>
      <w:r>
        <w:rPr>
          <w:rFonts w:hint="eastAsia" w:ascii="宋体" w:hAnsi="宋体" w:eastAsia="宋体" w:cs="宋体"/>
          <w:bCs/>
          <w:spacing w:val="14"/>
          <w:sz w:val="24"/>
          <w:szCs w:val="24"/>
        </w:rPr>
        <w:t>中小企业声明函（服务）</w:t>
      </w:r>
    </w:p>
    <w:p w14:paraId="7FE89234">
      <w:pPr>
        <w:pStyle w:val="38"/>
        <w:spacing w:line="500" w:lineRule="exact"/>
        <w:jc w:val="left"/>
        <w:rPr>
          <w:rFonts w:ascii="宋体" w:hAnsi="宋体" w:eastAsia="宋体" w:cs="宋体"/>
          <w:spacing w:val="14"/>
          <w:sz w:val="24"/>
          <w:szCs w:val="24"/>
        </w:rPr>
      </w:pPr>
      <w:r>
        <w:rPr>
          <w:rFonts w:hint="eastAsia" w:ascii="宋体" w:hAnsi="宋体" w:eastAsia="宋体" w:cs="宋体"/>
          <w:spacing w:val="14"/>
          <w:sz w:val="24"/>
          <w:szCs w:val="24"/>
        </w:rPr>
        <w:t>本公司（联合体）郑重声明，根据《政府采购促进中小企业发展管理办法》（财库〔2020〕46 号）的规定，本公司（联合体）参加</w:t>
      </w:r>
      <w:r>
        <w:rPr>
          <w:rFonts w:hint="eastAsia" w:ascii="宋体" w:hAnsi="宋体" w:eastAsia="宋体" w:cs="宋体"/>
          <w:spacing w:val="14"/>
          <w:sz w:val="24"/>
          <w:szCs w:val="24"/>
          <w:u w:val="single"/>
        </w:rPr>
        <w:t>（单位名称）</w:t>
      </w:r>
      <w:r>
        <w:rPr>
          <w:rFonts w:hint="eastAsia" w:ascii="宋体" w:hAnsi="宋体" w:eastAsia="宋体" w:cs="宋体"/>
          <w:spacing w:val="14"/>
          <w:sz w:val="24"/>
          <w:szCs w:val="24"/>
        </w:rPr>
        <w:t>的</w:t>
      </w:r>
      <w:r>
        <w:rPr>
          <w:rFonts w:hint="eastAsia" w:ascii="宋体" w:hAnsi="宋体" w:eastAsia="宋体" w:cs="宋体"/>
          <w:spacing w:val="14"/>
          <w:sz w:val="24"/>
          <w:szCs w:val="24"/>
          <w:u w:val="single"/>
        </w:rPr>
        <w:t>（项目名称）</w:t>
      </w:r>
      <w:r>
        <w:rPr>
          <w:rFonts w:hint="eastAsia" w:ascii="宋体" w:hAnsi="宋体" w:eastAsia="宋体" w:cs="宋体"/>
          <w:spacing w:val="14"/>
          <w:sz w:val="24"/>
          <w:szCs w:val="24"/>
        </w:rPr>
        <w:t>采购活动。服务全部由符合正常要求的中小企业承接。相关企业（含联合体中的中小企业、签订分包意向协议的中小企业）的具体情况如下：</w:t>
      </w:r>
    </w:p>
    <w:p w14:paraId="2BFEEF1C">
      <w:pPr>
        <w:pStyle w:val="38"/>
        <w:spacing w:line="500" w:lineRule="exact"/>
        <w:jc w:val="left"/>
        <w:rPr>
          <w:rFonts w:ascii="宋体" w:hAnsi="宋体" w:eastAsia="宋体" w:cs="宋体"/>
          <w:spacing w:val="14"/>
          <w:sz w:val="24"/>
          <w:szCs w:val="24"/>
        </w:rPr>
      </w:pPr>
      <w:r>
        <w:rPr>
          <w:rFonts w:hint="eastAsia" w:ascii="宋体" w:hAnsi="宋体" w:eastAsia="宋体" w:cs="宋体"/>
          <w:spacing w:val="14"/>
          <w:sz w:val="24"/>
          <w:szCs w:val="24"/>
        </w:rPr>
        <w:t>1、</w:t>
      </w:r>
      <w:r>
        <w:rPr>
          <w:rFonts w:hint="eastAsia" w:ascii="宋体" w:hAnsi="宋体" w:eastAsia="宋体" w:cs="宋体"/>
          <w:spacing w:val="14"/>
          <w:sz w:val="24"/>
          <w:szCs w:val="24"/>
          <w:u w:val="single"/>
        </w:rPr>
        <w:t>（标的名称）</w:t>
      </w:r>
      <w:r>
        <w:rPr>
          <w:rFonts w:hint="eastAsia" w:ascii="宋体" w:hAnsi="宋体" w:eastAsia="宋体" w:cs="宋体"/>
          <w:spacing w:val="14"/>
          <w:sz w:val="24"/>
          <w:szCs w:val="24"/>
        </w:rPr>
        <w:t>，属于</w:t>
      </w:r>
      <w:r>
        <w:rPr>
          <w:rFonts w:hint="eastAsia" w:ascii="宋体" w:hAnsi="宋体" w:eastAsia="宋体" w:cs="宋体"/>
          <w:spacing w:val="14"/>
          <w:sz w:val="24"/>
          <w:szCs w:val="24"/>
          <w:u w:val="single"/>
        </w:rPr>
        <w:t>（服务业）</w:t>
      </w:r>
      <w:r>
        <w:rPr>
          <w:rFonts w:hint="eastAsia" w:ascii="宋体" w:hAnsi="宋体" w:eastAsia="宋体" w:cs="宋体"/>
          <w:spacing w:val="14"/>
          <w:sz w:val="24"/>
          <w:szCs w:val="24"/>
        </w:rPr>
        <w:t>行业：承接企业为</w:t>
      </w:r>
      <w:r>
        <w:rPr>
          <w:rFonts w:hint="eastAsia" w:ascii="宋体" w:hAnsi="宋体" w:eastAsia="宋体" w:cs="宋体"/>
          <w:spacing w:val="14"/>
          <w:sz w:val="24"/>
          <w:szCs w:val="24"/>
          <w:u w:val="single"/>
        </w:rPr>
        <w:t>（企业名称）</w:t>
      </w:r>
      <w:r>
        <w:rPr>
          <w:rFonts w:hint="eastAsia" w:ascii="宋体" w:hAnsi="宋体" w:eastAsia="宋体" w:cs="宋体"/>
          <w:spacing w:val="14"/>
          <w:sz w:val="24"/>
          <w:szCs w:val="24"/>
        </w:rPr>
        <w:t>，从业人员</w:t>
      </w:r>
      <w:r>
        <w:rPr>
          <w:rFonts w:hint="eastAsia" w:ascii="宋体" w:hAnsi="宋体" w:eastAsia="宋体" w:cs="宋体"/>
          <w:spacing w:val="14"/>
          <w:sz w:val="24"/>
          <w:szCs w:val="24"/>
          <w:u w:val="single"/>
        </w:rPr>
        <w:t xml:space="preserve">  人</w:t>
      </w:r>
      <w:r>
        <w:rPr>
          <w:rFonts w:hint="eastAsia" w:ascii="宋体" w:hAnsi="宋体" w:eastAsia="宋体" w:cs="宋体"/>
          <w:spacing w:val="14"/>
          <w:sz w:val="24"/>
          <w:szCs w:val="24"/>
        </w:rPr>
        <w:t>，营业收入为</w:t>
      </w:r>
      <w:r>
        <w:rPr>
          <w:rFonts w:hint="eastAsia" w:ascii="宋体" w:hAnsi="宋体" w:eastAsia="宋体" w:cs="宋体"/>
          <w:spacing w:val="14"/>
          <w:sz w:val="24"/>
          <w:szCs w:val="24"/>
          <w:u w:val="single"/>
        </w:rPr>
        <w:t xml:space="preserve">    万元</w:t>
      </w:r>
      <w:r>
        <w:rPr>
          <w:rFonts w:hint="eastAsia" w:ascii="宋体" w:hAnsi="宋体" w:eastAsia="宋体" w:cs="宋体"/>
          <w:spacing w:val="14"/>
          <w:sz w:val="24"/>
          <w:szCs w:val="24"/>
        </w:rPr>
        <w:t>，资产总额为</w:t>
      </w:r>
      <w:r>
        <w:rPr>
          <w:rFonts w:hint="eastAsia" w:ascii="宋体" w:hAnsi="宋体" w:eastAsia="宋体" w:cs="宋体"/>
          <w:spacing w:val="14"/>
          <w:sz w:val="24"/>
          <w:szCs w:val="24"/>
          <w:u w:val="single"/>
        </w:rPr>
        <w:t xml:space="preserve">     万元</w:t>
      </w:r>
      <w:r>
        <w:rPr>
          <w:rFonts w:hint="eastAsia" w:ascii="宋体" w:hAnsi="宋体" w:eastAsia="宋体" w:cs="宋体"/>
          <w:spacing w:val="14"/>
          <w:sz w:val="24"/>
          <w:szCs w:val="24"/>
        </w:rPr>
        <w:t>，属于</w:t>
      </w:r>
      <w:r>
        <w:rPr>
          <w:rFonts w:hint="eastAsia" w:ascii="宋体" w:hAnsi="宋体" w:eastAsia="宋体" w:cs="宋体"/>
          <w:spacing w:val="14"/>
          <w:sz w:val="24"/>
          <w:szCs w:val="24"/>
          <w:u w:val="single"/>
        </w:rPr>
        <w:t>（中型企业、小型企业、微型企业）</w:t>
      </w:r>
      <w:r>
        <w:rPr>
          <w:rFonts w:hint="eastAsia" w:ascii="宋体" w:hAnsi="宋体" w:eastAsia="宋体" w:cs="宋体"/>
          <w:spacing w:val="14"/>
          <w:sz w:val="24"/>
          <w:szCs w:val="24"/>
        </w:rPr>
        <w:t>；</w:t>
      </w:r>
    </w:p>
    <w:p w14:paraId="7F9A9A99">
      <w:pPr>
        <w:pStyle w:val="38"/>
        <w:spacing w:line="500" w:lineRule="exact"/>
        <w:jc w:val="left"/>
        <w:rPr>
          <w:rFonts w:ascii="宋体" w:hAnsi="宋体" w:eastAsia="宋体" w:cs="宋体"/>
          <w:spacing w:val="14"/>
          <w:sz w:val="24"/>
          <w:szCs w:val="24"/>
        </w:rPr>
      </w:pPr>
      <w:r>
        <w:rPr>
          <w:rFonts w:hint="eastAsia" w:ascii="宋体" w:hAnsi="宋体" w:eastAsia="宋体" w:cs="宋体"/>
          <w:spacing w:val="14"/>
          <w:sz w:val="24"/>
          <w:szCs w:val="24"/>
        </w:rPr>
        <w:t>2、</w:t>
      </w:r>
      <w:r>
        <w:rPr>
          <w:rFonts w:hint="eastAsia" w:ascii="宋体" w:hAnsi="宋体" w:eastAsia="宋体" w:cs="宋体"/>
          <w:spacing w:val="14"/>
          <w:sz w:val="24"/>
          <w:szCs w:val="24"/>
          <w:u w:val="single"/>
        </w:rPr>
        <w:t>（标的名称）</w:t>
      </w:r>
      <w:r>
        <w:rPr>
          <w:rFonts w:hint="eastAsia" w:ascii="宋体" w:hAnsi="宋体" w:eastAsia="宋体" w:cs="宋体"/>
          <w:spacing w:val="14"/>
          <w:sz w:val="24"/>
          <w:szCs w:val="24"/>
        </w:rPr>
        <w:t>，属于</w:t>
      </w:r>
      <w:r>
        <w:rPr>
          <w:rFonts w:hint="eastAsia" w:ascii="宋体" w:hAnsi="宋体" w:eastAsia="宋体" w:cs="宋体"/>
          <w:spacing w:val="14"/>
          <w:sz w:val="24"/>
          <w:szCs w:val="24"/>
          <w:u w:val="single"/>
        </w:rPr>
        <w:t>（服务业）</w:t>
      </w:r>
      <w:r>
        <w:rPr>
          <w:rFonts w:hint="eastAsia" w:ascii="宋体" w:hAnsi="宋体" w:eastAsia="宋体" w:cs="宋体"/>
          <w:spacing w:val="14"/>
          <w:sz w:val="24"/>
          <w:szCs w:val="24"/>
        </w:rPr>
        <w:t>行业：承接企业为</w:t>
      </w:r>
      <w:r>
        <w:rPr>
          <w:rFonts w:hint="eastAsia" w:ascii="宋体" w:hAnsi="宋体" w:eastAsia="宋体" w:cs="宋体"/>
          <w:spacing w:val="14"/>
          <w:sz w:val="24"/>
          <w:szCs w:val="24"/>
          <w:u w:val="single"/>
        </w:rPr>
        <w:t>（企业名称）</w:t>
      </w:r>
      <w:r>
        <w:rPr>
          <w:rFonts w:hint="eastAsia" w:ascii="宋体" w:hAnsi="宋体" w:eastAsia="宋体" w:cs="宋体"/>
          <w:spacing w:val="14"/>
          <w:sz w:val="24"/>
          <w:szCs w:val="24"/>
        </w:rPr>
        <w:t>，从业人员</w:t>
      </w:r>
      <w:r>
        <w:rPr>
          <w:rFonts w:hint="eastAsia" w:ascii="宋体" w:hAnsi="宋体" w:eastAsia="宋体" w:cs="宋体"/>
          <w:spacing w:val="14"/>
          <w:sz w:val="24"/>
          <w:szCs w:val="24"/>
          <w:u w:val="single"/>
        </w:rPr>
        <w:t xml:space="preserve">  人</w:t>
      </w:r>
      <w:r>
        <w:rPr>
          <w:rFonts w:hint="eastAsia" w:ascii="宋体" w:hAnsi="宋体" w:eastAsia="宋体" w:cs="宋体"/>
          <w:spacing w:val="14"/>
          <w:sz w:val="24"/>
          <w:szCs w:val="24"/>
        </w:rPr>
        <w:t>，营业收入为</w:t>
      </w:r>
      <w:r>
        <w:rPr>
          <w:rFonts w:hint="eastAsia" w:ascii="宋体" w:hAnsi="宋体" w:eastAsia="宋体" w:cs="宋体"/>
          <w:spacing w:val="14"/>
          <w:sz w:val="24"/>
          <w:szCs w:val="24"/>
          <w:u w:val="single"/>
        </w:rPr>
        <w:t xml:space="preserve">    万元</w:t>
      </w:r>
      <w:r>
        <w:rPr>
          <w:rFonts w:hint="eastAsia" w:ascii="宋体" w:hAnsi="宋体" w:eastAsia="宋体" w:cs="宋体"/>
          <w:spacing w:val="14"/>
          <w:sz w:val="24"/>
          <w:szCs w:val="24"/>
        </w:rPr>
        <w:t>，资产总额为</w:t>
      </w:r>
      <w:r>
        <w:rPr>
          <w:rFonts w:hint="eastAsia" w:ascii="宋体" w:hAnsi="宋体" w:eastAsia="宋体" w:cs="宋体"/>
          <w:spacing w:val="14"/>
          <w:sz w:val="24"/>
          <w:szCs w:val="24"/>
          <w:u w:val="single"/>
        </w:rPr>
        <w:t xml:space="preserve">     万元</w:t>
      </w:r>
      <w:r>
        <w:rPr>
          <w:rFonts w:hint="eastAsia" w:ascii="宋体" w:hAnsi="宋体" w:eastAsia="宋体" w:cs="宋体"/>
          <w:spacing w:val="14"/>
          <w:sz w:val="24"/>
          <w:szCs w:val="24"/>
        </w:rPr>
        <w:t>，属于</w:t>
      </w:r>
      <w:r>
        <w:rPr>
          <w:rFonts w:hint="eastAsia" w:ascii="宋体" w:hAnsi="宋体" w:eastAsia="宋体" w:cs="宋体"/>
          <w:spacing w:val="14"/>
          <w:sz w:val="24"/>
          <w:szCs w:val="24"/>
          <w:u w:val="single"/>
        </w:rPr>
        <w:t>（中型企业、小型企业、微型企业）</w:t>
      </w:r>
      <w:r>
        <w:rPr>
          <w:rFonts w:hint="eastAsia" w:ascii="宋体" w:hAnsi="宋体" w:eastAsia="宋体" w:cs="宋体"/>
          <w:spacing w:val="14"/>
          <w:sz w:val="24"/>
          <w:szCs w:val="24"/>
        </w:rPr>
        <w:t>；</w:t>
      </w:r>
    </w:p>
    <w:p w14:paraId="75D79FF3">
      <w:pPr>
        <w:pStyle w:val="38"/>
        <w:spacing w:line="500" w:lineRule="exact"/>
        <w:jc w:val="left"/>
        <w:rPr>
          <w:rFonts w:ascii="宋体" w:hAnsi="宋体" w:eastAsia="宋体" w:cs="宋体"/>
          <w:spacing w:val="14"/>
          <w:sz w:val="24"/>
          <w:szCs w:val="24"/>
        </w:rPr>
      </w:pPr>
      <w:r>
        <w:rPr>
          <w:rFonts w:hint="eastAsia" w:ascii="宋体" w:hAnsi="宋体" w:eastAsia="宋体" w:cs="宋体"/>
          <w:spacing w:val="14"/>
          <w:sz w:val="24"/>
          <w:szCs w:val="24"/>
        </w:rPr>
        <w:t>……</w:t>
      </w:r>
    </w:p>
    <w:p w14:paraId="1653911D">
      <w:pPr>
        <w:pStyle w:val="38"/>
        <w:spacing w:line="500" w:lineRule="exact"/>
        <w:jc w:val="left"/>
        <w:rPr>
          <w:rFonts w:ascii="宋体" w:hAnsi="宋体" w:eastAsia="宋体" w:cs="宋体"/>
          <w:spacing w:val="14"/>
          <w:sz w:val="24"/>
          <w:szCs w:val="24"/>
        </w:rPr>
      </w:pPr>
      <w:r>
        <w:rPr>
          <w:rFonts w:hint="eastAsia" w:ascii="宋体" w:hAnsi="宋体" w:eastAsia="宋体" w:cs="宋体"/>
          <w:spacing w:val="14"/>
          <w:sz w:val="24"/>
          <w:szCs w:val="24"/>
        </w:rPr>
        <w:t>以上企业，不属于大企业的分支机构，不存在控股股东为大企业的情形，也不存在与大企业的负责人为同一人的情形。</w:t>
      </w:r>
    </w:p>
    <w:p w14:paraId="71F4ACC6">
      <w:pPr>
        <w:pStyle w:val="38"/>
        <w:spacing w:line="500" w:lineRule="exact"/>
        <w:jc w:val="left"/>
        <w:rPr>
          <w:rFonts w:ascii="宋体" w:hAnsi="宋体" w:eastAsia="宋体" w:cs="宋体"/>
          <w:spacing w:val="14"/>
          <w:sz w:val="24"/>
          <w:szCs w:val="24"/>
        </w:rPr>
      </w:pPr>
      <w:r>
        <w:rPr>
          <w:rFonts w:hint="eastAsia" w:ascii="宋体" w:hAnsi="宋体" w:eastAsia="宋体" w:cs="宋体"/>
          <w:spacing w:val="14"/>
          <w:sz w:val="24"/>
          <w:szCs w:val="24"/>
        </w:rPr>
        <w:t>本企业对上述声明内容的真实性负责。如有虚假，将依法承担相应责任。</w:t>
      </w:r>
    </w:p>
    <w:p w14:paraId="6651B0CE">
      <w:pPr>
        <w:pStyle w:val="38"/>
        <w:spacing w:line="500" w:lineRule="exact"/>
        <w:jc w:val="left"/>
        <w:rPr>
          <w:rFonts w:ascii="宋体" w:hAnsi="宋体" w:eastAsia="宋体" w:cs="宋体"/>
          <w:spacing w:val="14"/>
          <w:sz w:val="24"/>
          <w:szCs w:val="24"/>
        </w:rPr>
      </w:pPr>
      <w:r>
        <w:rPr>
          <w:rFonts w:hint="eastAsia" w:ascii="宋体" w:hAnsi="宋体" w:eastAsia="宋体" w:cs="宋体"/>
          <w:spacing w:val="14"/>
          <w:sz w:val="24"/>
          <w:szCs w:val="24"/>
        </w:rPr>
        <w:t>供应商（企业公章）：</w:t>
      </w:r>
    </w:p>
    <w:p w14:paraId="33DD4673">
      <w:pPr>
        <w:pStyle w:val="38"/>
        <w:spacing w:line="500" w:lineRule="exact"/>
        <w:jc w:val="left"/>
        <w:rPr>
          <w:rFonts w:ascii="宋体" w:hAnsi="宋体" w:eastAsia="宋体" w:cs="宋体"/>
          <w:spacing w:val="14"/>
          <w:sz w:val="24"/>
          <w:szCs w:val="24"/>
        </w:rPr>
      </w:pPr>
      <w:r>
        <w:rPr>
          <w:rFonts w:hint="eastAsia" w:ascii="宋体" w:hAnsi="宋体" w:eastAsia="宋体" w:cs="宋体"/>
          <w:spacing w:val="14"/>
          <w:sz w:val="24"/>
          <w:szCs w:val="24"/>
        </w:rPr>
        <w:t>日期：</w:t>
      </w:r>
    </w:p>
    <w:p w14:paraId="6CD123CA">
      <w:pPr>
        <w:pStyle w:val="38"/>
        <w:spacing w:line="500" w:lineRule="exact"/>
        <w:jc w:val="left"/>
        <w:rPr>
          <w:rFonts w:ascii="宋体" w:hAnsi="宋体" w:eastAsia="宋体" w:cs="宋体"/>
          <w:spacing w:val="14"/>
          <w:sz w:val="24"/>
          <w:szCs w:val="24"/>
        </w:rPr>
      </w:pPr>
      <w:r>
        <w:rPr>
          <w:rFonts w:hint="eastAsia" w:ascii="宋体" w:hAnsi="宋体" w:eastAsia="宋体" w:cs="宋体"/>
          <w:spacing w:val="14"/>
          <w:sz w:val="24"/>
          <w:szCs w:val="24"/>
        </w:rPr>
        <w:t>注：1、从业人员、营业收入、资产总额填报上一年度数据，无上一年度数据的新成立企业可不填报。</w:t>
      </w:r>
    </w:p>
    <w:p w14:paraId="08A1DEE3">
      <w:pPr>
        <w:pStyle w:val="38"/>
        <w:numPr>
          <w:ilvl w:val="0"/>
          <w:numId w:val="11"/>
        </w:numPr>
        <w:spacing w:line="500" w:lineRule="exact"/>
        <w:jc w:val="left"/>
        <w:rPr>
          <w:rFonts w:ascii="宋体" w:hAnsi="宋体" w:eastAsia="宋体" w:cs="宋体"/>
          <w:spacing w:val="14"/>
          <w:sz w:val="24"/>
          <w:szCs w:val="24"/>
        </w:rPr>
      </w:pPr>
      <w:r>
        <w:rPr>
          <w:rFonts w:hint="eastAsia" w:ascii="宋体" w:hAnsi="宋体" w:eastAsia="宋体" w:cs="宋体"/>
          <w:spacing w:val="14"/>
          <w:sz w:val="24"/>
          <w:szCs w:val="24"/>
        </w:rPr>
        <w:t>中小企业划分标准见工业和信息化部国家统计局国家发展和改革委员财政部《关于印发中小企业划型标准规定的通知》（工信部联企业〔2011〕300 号)。</w:t>
      </w:r>
    </w:p>
    <w:p w14:paraId="7B6BE89E">
      <w:pPr>
        <w:pStyle w:val="38"/>
        <w:spacing w:line="500" w:lineRule="exact"/>
        <w:ind w:firstLine="538" w:firstLineChars="200"/>
        <w:jc w:val="left"/>
        <w:rPr>
          <w:rFonts w:ascii="宋体" w:hAnsi="宋体" w:eastAsia="宋体" w:cs="宋体"/>
          <w:b/>
          <w:bCs/>
          <w:spacing w:val="14"/>
          <w:sz w:val="24"/>
          <w:szCs w:val="24"/>
        </w:rPr>
      </w:pPr>
    </w:p>
    <w:p w14:paraId="706DC58F">
      <w:pPr>
        <w:pStyle w:val="37"/>
        <w:outlineLvl w:val="2"/>
        <w:rPr>
          <w:rFonts w:ascii="仿宋" w:hAnsi="仿宋" w:eastAsia="宋体" w:cs="仿宋"/>
        </w:rPr>
      </w:pPr>
      <w:r>
        <w:rPr>
          <w:rFonts w:hint="eastAsia" w:ascii="宋体" w:hAnsi="宋体" w:eastAsia="宋体" w:cs="宋体"/>
          <w:sz w:val="24"/>
        </w:rPr>
        <w:br w:type="page"/>
      </w:r>
      <w:r>
        <w:rPr>
          <w:rFonts w:hint="eastAsia" w:ascii="宋体" w:hAnsi="宋体" w:eastAsia="宋体" w:cs="宋体"/>
          <w:sz w:val="24"/>
          <w:szCs w:val="21"/>
        </w:rPr>
        <w:t>附件2、残疾人福利性单位声明函（不适用可不填写）</w:t>
      </w:r>
    </w:p>
    <w:p w14:paraId="5CCB8C8E">
      <w:pPr>
        <w:pStyle w:val="39"/>
        <w:rPr>
          <w:rFonts w:ascii="仿宋" w:hAnsi="仿宋" w:eastAsia="仿宋" w:cs="仿宋"/>
        </w:rPr>
      </w:pPr>
    </w:p>
    <w:p w14:paraId="1726D056">
      <w:pPr>
        <w:pStyle w:val="38"/>
        <w:spacing w:line="276" w:lineRule="auto"/>
        <w:jc w:val="center"/>
        <w:rPr>
          <w:rFonts w:ascii="宋体" w:hAnsi="宋体" w:eastAsia="宋体" w:cs="宋体"/>
          <w:bCs/>
          <w:spacing w:val="14"/>
          <w:sz w:val="24"/>
          <w:szCs w:val="24"/>
        </w:rPr>
      </w:pPr>
      <w:r>
        <w:rPr>
          <w:rFonts w:hint="eastAsia" w:ascii="宋体" w:hAnsi="宋体" w:eastAsia="宋体" w:cs="宋体"/>
          <w:bCs/>
          <w:spacing w:val="14"/>
          <w:sz w:val="24"/>
          <w:szCs w:val="24"/>
        </w:rPr>
        <w:t>残疾人福利性单位声明函</w:t>
      </w:r>
    </w:p>
    <w:p w14:paraId="1543D758">
      <w:pPr>
        <w:pStyle w:val="41"/>
        <w:spacing w:line="276" w:lineRule="auto"/>
        <w:jc w:val="center"/>
        <w:rPr>
          <w:rFonts w:ascii="宋体" w:hAnsi="宋体" w:cs="宋体"/>
          <w:spacing w:val="14"/>
          <w:sz w:val="24"/>
          <w:szCs w:val="24"/>
        </w:rPr>
      </w:pPr>
    </w:p>
    <w:p w14:paraId="7BC85F81">
      <w:pPr>
        <w:pStyle w:val="41"/>
        <w:spacing w:line="276" w:lineRule="auto"/>
        <w:ind w:firstLine="420"/>
        <w:rPr>
          <w:rFonts w:ascii="宋体" w:hAnsi="宋体" w:cs="宋体"/>
          <w:spacing w:val="14"/>
          <w:sz w:val="24"/>
          <w:szCs w:val="24"/>
        </w:rPr>
      </w:pPr>
      <w:r>
        <w:rPr>
          <w:rFonts w:hint="eastAsia" w:ascii="宋体" w:hAnsi="宋体" w:cs="宋体"/>
          <w:spacing w:val="14"/>
          <w:sz w:val="24"/>
          <w:szCs w:val="24"/>
        </w:rPr>
        <w:t>本单位郑重声明，根据《财政部 民政部 中国残疾人联合会关于促进残疾人就业政府采购政策的通知》（财库〔2017〕 141号）的规定，本单位为符合条件的残疾人福利性单位，且本单位参加__________________单位的________________________项目采购活动提供本单位制造的货物（由本单位承担工程/提供服务），或者提供其他残疾人福利性单位制造的货物（不包括使用非残疾人福利性单位注册商标的货物）。</w:t>
      </w:r>
    </w:p>
    <w:p w14:paraId="0769D4F8">
      <w:pPr>
        <w:pStyle w:val="41"/>
        <w:spacing w:line="276" w:lineRule="auto"/>
        <w:ind w:firstLine="420"/>
        <w:rPr>
          <w:rFonts w:ascii="宋体" w:hAnsi="宋体" w:cs="宋体"/>
          <w:spacing w:val="14"/>
          <w:sz w:val="24"/>
          <w:szCs w:val="24"/>
        </w:rPr>
      </w:pPr>
      <w:r>
        <w:rPr>
          <w:rFonts w:hint="eastAsia" w:ascii="宋体" w:hAnsi="宋体" w:cs="宋体"/>
          <w:spacing w:val="14"/>
          <w:sz w:val="24"/>
          <w:szCs w:val="24"/>
        </w:rPr>
        <w:t>本单位对上述声明的真实性负责。如有虚假，将依法承担相应责任。</w:t>
      </w:r>
    </w:p>
    <w:p w14:paraId="46EF5497">
      <w:pPr>
        <w:pStyle w:val="41"/>
        <w:spacing w:line="276" w:lineRule="auto"/>
        <w:rPr>
          <w:rFonts w:ascii="宋体" w:hAnsi="宋体" w:cs="宋体"/>
          <w:spacing w:val="14"/>
          <w:sz w:val="24"/>
          <w:szCs w:val="24"/>
        </w:rPr>
      </w:pPr>
    </w:p>
    <w:p w14:paraId="40B02AB9">
      <w:pPr>
        <w:pStyle w:val="41"/>
        <w:spacing w:line="276" w:lineRule="auto"/>
        <w:rPr>
          <w:rFonts w:ascii="宋体" w:hAnsi="宋体" w:cs="宋体"/>
          <w:spacing w:val="14"/>
          <w:sz w:val="24"/>
          <w:szCs w:val="24"/>
        </w:rPr>
      </w:pPr>
    </w:p>
    <w:p w14:paraId="7A0C83A7">
      <w:pPr>
        <w:pStyle w:val="41"/>
        <w:spacing w:line="276" w:lineRule="auto"/>
        <w:rPr>
          <w:rFonts w:ascii="宋体" w:hAnsi="宋体" w:cs="宋体"/>
          <w:spacing w:val="14"/>
          <w:sz w:val="24"/>
          <w:szCs w:val="24"/>
        </w:rPr>
      </w:pPr>
      <w:r>
        <w:rPr>
          <w:rFonts w:hint="eastAsia" w:ascii="宋体" w:hAnsi="宋体" w:cs="宋体"/>
          <w:spacing w:val="14"/>
          <w:sz w:val="24"/>
          <w:szCs w:val="24"/>
        </w:rPr>
        <w:t xml:space="preserve">                                     投标人（企业电子章）：</w:t>
      </w:r>
    </w:p>
    <w:p w14:paraId="0F3D11C0">
      <w:pPr>
        <w:pStyle w:val="37"/>
        <w:outlineLvl w:val="2"/>
        <w:rPr>
          <w:rFonts w:ascii="仿宋" w:hAnsi="仿宋" w:eastAsia="宋体" w:cs="仿宋"/>
        </w:rPr>
      </w:pPr>
      <w:r>
        <w:rPr>
          <w:rFonts w:hint="eastAsia" w:ascii="宋体" w:hAnsi="宋体" w:eastAsia="宋体" w:cs="宋体"/>
          <w:sz w:val="24"/>
        </w:rPr>
        <w:br w:type="page"/>
      </w:r>
      <w:bookmarkStart w:id="64" w:name="_Toc26775"/>
      <w:r>
        <w:rPr>
          <w:rFonts w:hint="eastAsia" w:ascii="宋体" w:hAnsi="宋体" w:eastAsia="宋体" w:cs="宋体"/>
          <w:sz w:val="24"/>
          <w:szCs w:val="21"/>
        </w:rPr>
        <w:t>附件3、监狱企业证明文件</w:t>
      </w:r>
      <w:bookmarkEnd w:id="64"/>
      <w:r>
        <w:rPr>
          <w:rFonts w:hint="eastAsia" w:ascii="宋体" w:hAnsi="宋体" w:eastAsia="宋体" w:cs="宋体"/>
          <w:sz w:val="24"/>
          <w:szCs w:val="21"/>
        </w:rPr>
        <w:t>（不适用可不提供）</w:t>
      </w:r>
    </w:p>
    <w:p w14:paraId="72911296">
      <w:pPr>
        <w:pStyle w:val="37"/>
        <w:outlineLvl w:val="2"/>
        <w:rPr>
          <w:rFonts w:ascii="仿宋" w:hAnsi="仿宋" w:eastAsia="仿宋" w:cs="仿宋"/>
        </w:rPr>
      </w:pPr>
    </w:p>
    <w:p w14:paraId="4A0A2CC3">
      <w:pPr>
        <w:pStyle w:val="43"/>
        <w:spacing w:line="276" w:lineRule="auto"/>
        <w:jc w:val="center"/>
        <w:rPr>
          <w:rFonts w:ascii="宋体" w:hAnsi="宋体" w:cs="宋体"/>
          <w:spacing w:val="14"/>
          <w:sz w:val="24"/>
          <w:szCs w:val="24"/>
        </w:rPr>
      </w:pPr>
    </w:p>
    <w:p w14:paraId="3F1FAAD8">
      <w:pPr>
        <w:pStyle w:val="43"/>
        <w:spacing w:line="276" w:lineRule="auto"/>
        <w:jc w:val="center"/>
        <w:rPr>
          <w:rFonts w:ascii="宋体" w:hAnsi="宋体" w:cs="宋体"/>
          <w:spacing w:val="14"/>
          <w:sz w:val="24"/>
          <w:szCs w:val="24"/>
        </w:rPr>
      </w:pPr>
      <w:r>
        <w:rPr>
          <w:rFonts w:hint="eastAsia" w:ascii="宋体" w:hAnsi="宋体" w:cs="宋体"/>
          <w:spacing w:val="14"/>
          <w:sz w:val="24"/>
          <w:szCs w:val="24"/>
        </w:rPr>
        <w:t>监狱企业证明文件</w:t>
      </w:r>
    </w:p>
    <w:p w14:paraId="2F028661">
      <w:pPr>
        <w:pStyle w:val="43"/>
        <w:spacing w:line="276" w:lineRule="auto"/>
        <w:jc w:val="center"/>
        <w:rPr>
          <w:rFonts w:ascii="宋体" w:hAnsi="宋体" w:cs="宋体"/>
          <w:spacing w:val="14"/>
          <w:sz w:val="24"/>
          <w:szCs w:val="24"/>
        </w:rPr>
      </w:pPr>
    </w:p>
    <w:p w14:paraId="0163C1A9">
      <w:pPr>
        <w:pStyle w:val="43"/>
        <w:spacing w:line="276" w:lineRule="auto"/>
        <w:ind w:firstLine="420"/>
        <w:rPr>
          <w:rFonts w:ascii="宋体" w:hAnsi="宋体" w:cs="宋体"/>
          <w:spacing w:val="14"/>
          <w:sz w:val="24"/>
          <w:szCs w:val="24"/>
        </w:rPr>
      </w:pPr>
      <w:r>
        <w:rPr>
          <w:rFonts w:hint="eastAsia" w:ascii="宋体" w:hAnsi="宋体" w:cs="宋体"/>
          <w:spacing w:val="14"/>
          <w:sz w:val="24"/>
          <w:szCs w:val="24"/>
        </w:rPr>
        <w:t>（监狱企业参加政府采购活动时，应当提供由省级以上监狱管理局、戒毒管理局(含新疆生产建设兵团)出具的属于监狱企业的证明文件。</w:t>
      </w:r>
    </w:p>
    <w:p w14:paraId="178B8AE3">
      <w:pPr>
        <w:pStyle w:val="43"/>
        <w:spacing w:line="276" w:lineRule="auto"/>
        <w:rPr>
          <w:rFonts w:ascii="宋体" w:hAnsi="宋体" w:cs="宋体"/>
          <w:spacing w:val="14"/>
          <w:sz w:val="24"/>
          <w:szCs w:val="24"/>
        </w:rPr>
      </w:pPr>
    </w:p>
    <w:p w14:paraId="3DC30C9A">
      <w:pPr>
        <w:pStyle w:val="43"/>
        <w:spacing w:line="276" w:lineRule="auto"/>
        <w:rPr>
          <w:rFonts w:ascii="宋体" w:hAnsi="宋体" w:cs="宋体"/>
          <w:spacing w:val="14"/>
          <w:sz w:val="24"/>
          <w:szCs w:val="24"/>
        </w:rPr>
      </w:pPr>
    </w:p>
    <w:p w14:paraId="585E722A">
      <w:pPr>
        <w:pStyle w:val="43"/>
        <w:spacing w:line="276" w:lineRule="auto"/>
        <w:rPr>
          <w:rFonts w:ascii="宋体" w:hAnsi="宋体" w:cs="宋体"/>
          <w:spacing w:val="14"/>
          <w:sz w:val="24"/>
          <w:szCs w:val="24"/>
        </w:rPr>
      </w:pPr>
      <w:r>
        <w:rPr>
          <w:rFonts w:hint="eastAsia" w:ascii="宋体" w:hAnsi="宋体" w:cs="宋体"/>
          <w:spacing w:val="14"/>
          <w:sz w:val="24"/>
          <w:szCs w:val="24"/>
        </w:rPr>
        <w:t>注：在投标文件中附扫描件</w:t>
      </w:r>
    </w:p>
    <w:p w14:paraId="082814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7B5C49-8240-4250-9483-5A90A20028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08CDAD8-E45C-4CD3-831E-942C338D19CB}"/>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3" w:fontKey="{43440382-2D16-4A24-B6FE-F3C361260413}"/>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大标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_5b8b_4f53">
    <w:altName w:val="Times New Roman"/>
    <w:panose1 w:val="00000000000000000000"/>
    <w:charset w:val="00"/>
    <w:family w:val="auto"/>
    <w:pitch w:val="default"/>
    <w:sig w:usb0="00000000" w:usb1="00000000" w:usb2="00000000" w:usb3="00000000" w:csb0="00000001" w:csb1="00000000"/>
  </w:font>
  <w:font w:name="方正楷体_GBK">
    <w:altName w:val="微软雅黑"/>
    <w:panose1 w:val="00000000000000000000"/>
    <w:charset w:val="86"/>
    <w:family w:val="script"/>
    <w:pitch w:val="default"/>
    <w:sig w:usb0="00000000" w:usb1="00000000" w:usb2="00000016" w:usb3="00000000" w:csb0="00040000" w:csb1="00000000"/>
    <w:embedRegular r:id="rId4" w:fontKey="{A8A5E2BD-CF2D-43B0-9547-24842190A23B}"/>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1CFA4">
    <w:pPr>
      <w:pStyle w:val="1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96B5B">
    <w:pPr>
      <w:pStyle w:val="11"/>
      <w:jc w:val="center"/>
    </w:pPr>
  </w:p>
  <w:p w14:paraId="76C11054">
    <w:pPr>
      <w:pStyle w:val="11"/>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DCACC">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4D5E7">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3B4D5E7">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75DF0">
    <w:pPr>
      <w:pStyle w:val="13"/>
      <w:pBdr>
        <w:bottom w:val="none" w:color="auto" w:sz="0" w:space="1"/>
      </w:pBdr>
      <w:jc w:val="both"/>
    </w:pPr>
  </w:p>
  <w:p w14:paraId="1BAA7507">
    <w:pPr>
      <w:pStyle w:val="13"/>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2F191">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FD635">
    <w:pPr>
      <w:tabs>
        <w:tab w:val="left" w:pos="2377"/>
      </w:tabs>
      <w:spacing w:line="480" w:lineRule="exact"/>
      <w:jc w:val="left"/>
      <w:rPr>
        <w:rFonts w:ascii="宋体" w:hAnsi="宋体"/>
        <w:sz w:val="18"/>
        <w:szCs w:val="18"/>
      </w:rPr>
    </w:pPr>
    <w:r>
      <w:rPr>
        <w:rFonts w:hint="eastAsia" w:ascii="宋体" w:hAnsi="宋体"/>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5997D"/>
    <w:multiLevelType w:val="singleLevel"/>
    <w:tmpl w:val="8B15997D"/>
    <w:lvl w:ilvl="0" w:tentative="0">
      <w:start w:val="1"/>
      <w:numFmt w:val="chineseCounting"/>
      <w:suff w:val="nothing"/>
      <w:lvlText w:val="%1、"/>
      <w:lvlJc w:val="left"/>
      <w:rPr>
        <w:rFonts w:hint="eastAsia"/>
      </w:rPr>
    </w:lvl>
  </w:abstractNum>
  <w:abstractNum w:abstractNumId="1">
    <w:nsid w:val="A265B0A9"/>
    <w:multiLevelType w:val="singleLevel"/>
    <w:tmpl w:val="A265B0A9"/>
    <w:lvl w:ilvl="0" w:tentative="0">
      <w:start w:val="1"/>
      <w:numFmt w:val="decimal"/>
      <w:suff w:val="nothing"/>
      <w:lvlText w:val="%1、"/>
      <w:lvlJc w:val="left"/>
    </w:lvl>
  </w:abstractNum>
  <w:abstractNum w:abstractNumId="2">
    <w:nsid w:val="A6814C64"/>
    <w:multiLevelType w:val="singleLevel"/>
    <w:tmpl w:val="A6814C64"/>
    <w:lvl w:ilvl="0" w:tentative="0">
      <w:start w:val="1"/>
      <w:numFmt w:val="decimal"/>
      <w:suff w:val="nothing"/>
      <w:lvlText w:val="%1、"/>
      <w:lvlJc w:val="left"/>
    </w:lvl>
  </w:abstractNum>
  <w:abstractNum w:abstractNumId="3">
    <w:nsid w:val="D3966A4E"/>
    <w:multiLevelType w:val="singleLevel"/>
    <w:tmpl w:val="D3966A4E"/>
    <w:lvl w:ilvl="0" w:tentative="0">
      <w:start w:val="5"/>
      <w:numFmt w:val="chineseCounting"/>
      <w:suff w:val="nothing"/>
      <w:lvlText w:val="%1、"/>
      <w:lvlJc w:val="left"/>
      <w:pPr>
        <w:ind w:left="150"/>
      </w:pPr>
      <w:rPr>
        <w:rFonts w:hint="eastAsia"/>
      </w:rPr>
    </w:lvl>
  </w:abstractNum>
  <w:abstractNum w:abstractNumId="4">
    <w:nsid w:val="E8246DD0"/>
    <w:multiLevelType w:val="singleLevel"/>
    <w:tmpl w:val="E8246DD0"/>
    <w:lvl w:ilvl="0" w:tentative="0">
      <w:start w:val="1"/>
      <w:numFmt w:val="decimal"/>
      <w:suff w:val="nothing"/>
      <w:lvlText w:val="%1、"/>
      <w:lvlJc w:val="left"/>
    </w:lvl>
  </w:abstractNum>
  <w:abstractNum w:abstractNumId="5">
    <w:nsid w:val="F58E3334"/>
    <w:multiLevelType w:val="singleLevel"/>
    <w:tmpl w:val="F58E3334"/>
    <w:lvl w:ilvl="0" w:tentative="0">
      <w:start w:val="1"/>
      <w:numFmt w:val="decimal"/>
      <w:lvlText w:val="%1."/>
      <w:lvlJc w:val="left"/>
      <w:pPr>
        <w:tabs>
          <w:tab w:val="left" w:pos="312"/>
        </w:tabs>
      </w:pPr>
    </w:lvl>
  </w:abstractNum>
  <w:abstractNum w:abstractNumId="6">
    <w:nsid w:val="39CB68A3"/>
    <w:multiLevelType w:val="multilevel"/>
    <w:tmpl w:val="39CB68A3"/>
    <w:lvl w:ilvl="0" w:tentative="0">
      <w:start w:val="1"/>
      <w:numFmt w:val="decimal"/>
      <w:suff w:val="nothing"/>
      <w:lvlText w:val="第%1章 "/>
      <w:lvlJc w:val="left"/>
      <w:pPr>
        <w:ind w:left="0" w:firstLine="0"/>
      </w:pPr>
      <w:rPr>
        <w:rFonts w:ascii="方正大标宋简体" w:eastAsia="方正大标宋简体"/>
        <w:b w:val="0"/>
        <w:i w:val="0"/>
        <w:sz w:val="36"/>
        <w:szCs w:val="36"/>
      </w:rPr>
    </w:lvl>
    <w:lvl w:ilvl="1" w:tentative="0">
      <w:start w:val="1"/>
      <w:numFmt w:val="decimal"/>
      <w:pStyle w:val="36"/>
      <w:suff w:val="nothing"/>
      <w:lvlText w:val="    %1、"/>
      <w:lvlJc w:val="left"/>
      <w:pPr>
        <w:ind w:left="0" w:firstLine="0"/>
      </w:pPr>
      <w:rPr>
        <w:rFonts w:ascii="黑体" w:eastAsia="黑体"/>
        <w:b/>
        <w:i w:val="0"/>
        <w:sz w:val="30"/>
        <w:szCs w:val="30"/>
      </w:rPr>
    </w:lvl>
    <w:lvl w:ilvl="2" w:tentative="0">
      <w:start w:val="1"/>
      <w:numFmt w:val="decimal"/>
      <w:suff w:val="nothing"/>
      <w:lvlText w:val="    %1.%2 "/>
      <w:lvlJc w:val="left"/>
      <w:pPr>
        <w:ind w:left="459" w:firstLine="0"/>
      </w:pPr>
      <w:rPr>
        <w:b w:val="0"/>
        <w:bCs w:val="0"/>
        <w:i w:val="0"/>
        <w:iCs w:val="0"/>
        <w:caps w:val="0"/>
        <w:smallCaps w:val="0"/>
        <w:vanish w:val="0"/>
        <w:color w:val="000000"/>
        <w:position w:val="0"/>
      </w:rPr>
    </w:lvl>
    <w:lvl w:ilvl="3" w:tentative="0">
      <w:start w:val="1"/>
      <w:numFmt w:val="decimal"/>
      <w:suff w:val="nothing"/>
      <w:lvlText w:val="    %1.%2.%3  "/>
      <w:lvlJc w:val="left"/>
      <w:pPr>
        <w:ind w:left="0" w:firstLine="0"/>
      </w:pPr>
      <w:rPr>
        <w:rFonts w:ascii="仿宋_GB2312" w:eastAsia="仿宋_GB2312"/>
        <w:b/>
        <w:i w:val="0"/>
        <w:sz w:val="28"/>
        <w:szCs w:val="28"/>
      </w:rPr>
    </w:lvl>
    <w:lvl w:ilvl="4" w:tentative="0">
      <w:start w:val="1"/>
      <w:numFmt w:val="decimal"/>
      <w:suff w:val="nothing"/>
      <w:lvlText w:val=""/>
      <w:lvlJc w:val="left"/>
      <w:pPr>
        <w:ind w:left="0" w:firstLine="0"/>
      </w:pPr>
    </w:lvl>
    <w:lvl w:ilvl="5" w:tentative="0">
      <w:start w:val="1"/>
      <w:numFmt w:val="decimal"/>
      <w:suff w:val="nothing"/>
      <w:lvlText w:val=""/>
      <w:lvlJc w:val="left"/>
      <w:pPr>
        <w:ind w:left="0" w:firstLine="0"/>
      </w:pPr>
    </w:lvl>
    <w:lvl w:ilvl="6" w:tentative="0">
      <w:start w:val="1"/>
      <w:numFmt w:val="decimal"/>
      <w:suff w:val="nothing"/>
      <w:lvlText w:val=""/>
      <w:lvlJc w:val="left"/>
      <w:pPr>
        <w:ind w:left="0" w:firstLine="0"/>
      </w:pPr>
    </w:lvl>
    <w:lvl w:ilvl="7" w:tentative="0">
      <w:start w:val="1"/>
      <w:numFmt w:val="decimal"/>
      <w:suff w:val="nothing"/>
      <w:lvlText w:val=""/>
      <w:lvlJc w:val="left"/>
      <w:pPr>
        <w:ind w:left="0" w:firstLine="0"/>
      </w:pPr>
    </w:lvl>
    <w:lvl w:ilvl="8" w:tentative="0">
      <w:start w:val="1"/>
      <w:numFmt w:val="decimal"/>
      <w:suff w:val="nothing"/>
      <w:lvlText w:val=""/>
      <w:lvlJc w:val="left"/>
      <w:pPr>
        <w:ind w:left="0" w:firstLine="0"/>
      </w:pPr>
    </w:lvl>
  </w:abstractNum>
  <w:abstractNum w:abstractNumId="7">
    <w:nsid w:val="3AB12A52"/>
    <w:multiLevelType w:val="singleLevel"/>
    <w:tmpl w:val="3AB12A52"/>
    <w:lvl w:ilvl="0" w:tentative="0">
      <w:start w:val="1"/>
      <w:numFmt w:val="decimal"/>
      <w:suff w:val="nothing"/>
      <w:lvlText w:val="%1、"/>
      <w:lvlJc w:val="left"/>
    </w:lvl>
  </w:abstractNum>
  <w:abstractNum w:abstractNumId="8">
    <w:nsid w:val="5CAA32CF"/>
    <w:multiLevelType w:val="singleLevel"/>
    <w:tmpl w:val="5CAA32CF"/>
    <w:lvl w:ilvl="0" w:tentative="0">
      <w:start w:val="2"/>
      <w:numFmt w:val="decimal"/>
      <w:suff w:val="nothing"/>
      <w:lvlText w:val="%1、"/>
      <w:lvlJc w:val="left"/>
    </w:lvl>
  </w:abstractNum>
  <w:abstractNum w:abstractNumId="9">
    <w:nsid w:val="63B6DE34"/>
    <w:multiLevelType w:val="singleLevel"/>
    <w:tmpl w:val="63B6DE34"/>
    <w:lvl w:ilvl="0" w:tentative="0">
      <w:start w:val="1"/>
      <w:numFmt w:val="decimal"/>
      <w:suff w:val="nothing"/>
      <w:lvlText w:val="%1、"/>
      <w:lvlJc w:val="left"/>
    </w:lvl>
  </w:abstractNum>
  <w:abstractNum w:abstractNumId="10">
    <w:nsid w:val="6C5AE483"/>
    <w:multiLevelType w:val="singleLevel"/>
    <w:tmpl w:val="6C5AE483"/>
    <w:lvl w:ilvl="0" w:tentative="0">
      <w:start w:val="1"/>
      <w:numFmt w:val="decimal"/>
      <w:suff w:val="nothing"/>
      <w:lvlText w:val="%1、"/>
      <w:lvlJc w:val="left"/>
    </w:lvl>
  </w:abstractNum>
  <w:num w:numId="1">
    <w:abstractNumId w:val="6"/>
  </w:num>
  <w:num w:numId="2">
    <w:abstractNumId w:val="3"/>
  </w:num>
  <w:num w:numId="3">
    <w:abstractNumId w:val="0"/>
  </w:num>
  <w:num w:numId="4">
    <w:abstractNumId w:val="9"/>
  </w:num>
  <w:num w:numId="5">
    <w:abstractNumId w:val="10"/>
  </w:num>
  <w:num w:numId="6">
    <w:abstractNumId w:val="2"/>
  </w:num>
  <w:num w:numId="7">
    <w:abstractNumId w:val="1"/>
  </w:num>
  <w:num w:numId="8">
    <w:abstractNumId w:val="4"/>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trackRevisions w:val="1"/>
  <w:documentProtection w:edit="trackedChanges" w:enforcement="1" w:cryptProviderType="rsaFull" w:cryptAlgorithmClass="hash" w:cryptAlgorithmType="typeAny" w:cryptAlgorithmSid="4" w:cryptSpinCount="0" w:hash="B4BeT6RALbMUuRn9lUt8lRd+qE4=" w:salt="PLEF+lP89f18uK8KLpuS2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1AF"/>
    <w:rsid w:val="00052479"/>
    <w:rsid w:val="000E01AF"/>
    <w:rsid w:val="00195DCC"/>
    <w:rsid w:val="00285E7C"/>
    <w:rsid w:val="00376909"/>
    <w:rsid w:val="00392DC8"/>
    <w:rsid w:val="003A6AE5"/>
    <w:rsid w:val="005664C8"/>
    <w:rsid w:val="007F6703"/>
    <w:rsid w:val="00B64471"/>
    <w:rsid w:val="00BE4FD1"/>
    <w:rsid w:val="00E55188"/>
    <w:rsid w:val="00E65F53"/>
    <w:rsid w:val="00E75DC5"/>
    <w:rsid w:val="01DD1E9F"/>
    <w:rsid w:val="024656F8"/>
    <w:rsid w:val="04F543C1"/>
    <w:rsid w:val="05373674"/>
    <w:rsid w:val="06C06FAC"/>
    <w:rsid w:val="07D21D7A"/>
    <w:rsid w:val="07EA0E72"/>
    <w:rsid w:val="07F615C4"/>
    <w:rsid w:val="08AE1E9F"/>
    <w:rsid w:val="0A2B2319"/>
    <w:rsid w:val="0A8E1F88"/>
    <w:rsid w:val="0AAE6186"/>
    <w:rsid w:val="0B45008E"/>
    <w:rsid w:val="0D110C4F"/>
    <w:rsid w:val="0D7C07BE"/>
    <w:rsid w:val="0F9718DF"/>
    <w:rsid w:val="0FC65D20"/>
    <w:rsid w:val="1173012A"/>
    <w:rsid w:val="117C2E73"/>
    <w:rsid w:val="1182036D"/>
    <w:rsid w:val="11D77330"/>
    <w:rsid w:val="143811B7"/>
    <w:rsid w:val="15EC4007"/>
    <w:rsid w:val="164E6A70"/>
    <w:rsid w:val="167E096F"/>
    <w:rsid w:val="17371DE5"/>
    <w:rsid w:val="18512BAD"/>
    <w:rsid w:val="186F1B1E"/>
    <w:rsid w:val="1972610D"/>
    <w:rsid w:val="197D7D98"/>
    <w:rsid w:val="19A96B9D"/>
    <w:rsid w:val="19C342C2"/>
    <w:rsid w:val="19FD4A34"/>
    <w:rsid w:val="1B2F50C2"/>
    <w:rsid w:val="1B87559D"/>
    <w:rsid w:val="1C24274C"/>
    <w:rsid w:val="1C6074FD"/>
    <w:rsid w:val="1D39297A"/>
    <w:rsid w:val="1D526E45"/>
    <w:rsid w:val="1D5B1958"/>
    <w:rsid w:val="1DA63635"/>
    <w:rsid w:val="1DF24184"/>
    <w:rsid w:val="1E303662"/>
    <w:rsid w:val="1E7B2347"/>
    <w:rsid w:val="1EF81C6E"/>
    <w:rsid w:val="20CC5161"/>
    <w:rsid w:val="217C0935"/>
    <w:rsid w:val="22BE6D2B"/>
    <w:rsid w:val="22DD18A7"/>
    <w:rsid w:val="239C52BE"/>
    <w:rsid w:val="23FF22F1"/>
    <w:rsid w:val="240F3CE2"/>
    <w:rsid w:val="2423126E"/>
    <w:rsid w:val="242F7EE0"/>
    <w:rsid w:val="24D43B95"/>
    <w:rsid w:val="25034EC9"/>
    <w:rsid w:val="258D4FA6"/>
    <w:rsid w:val="25AF7A72"/>
    <w:rsid w:val="26296BB1"/>
    <w:rsid w:val="266D2F42"/>
    <w:rsid w:val="276D7AF2"/>
    <w:rsid w:val="28235FAE"/>
    <w:rsid w:val="28F25980"/>
    <w:rsid w:val="294F3A85"/>
    <w:rsid w:val="299B2824"/>
    <w:rsid w:val="2A3447DC"/>
    <w:rsid w:val="2AF6688D"/>
    <w:rsid w:val="2B86139F"/>
    <w:rsid w:val="2C251BC9"/>
    <w:rsid w:val="2C4B5AD3"/>
    <w:rsid w:val="2CFE66A2"/>
    <w:rsid w:val="2F302D5E"/>
    <w:rsid w:val="2F68699C"/>
    <w:rsid w:val="30C220DC"/>
    <w:rsid w:val="32096681"/>
    <w:rsid w:val="331704BD"/>
    <w:rsid w:val="33370B5F"/>
    <w:rsid w:val="34161C7F"/>
    <w:rsid w:val="348576A9"/>
    <w:rsid w:val="378E37F0"/>
    <w:rsid w:val="383C09C6"/>
    <w:rsid w:val="388B0A6E"/>
    <w:rsid w:val="3A6B53FF"/>
    <w:rsid w:val="3B800BCA"/>
    <w:rsid w:val="3BA96372"/>
    <w:rsid w:val="3BE42C73"/>
    <w:rsid w:val="3CA56B3A"/>
    <w:rsid w:val="3D627E02"/>
    <w:rsid w:val="3DC6320C"/>
    <w:rsid w:val="3EB968CD"/>
    <w:rsid w:val="3F5D058A"/>
    <w:rsid w:val="40183AC7"/>
    <w:rsid w:val="4057639D"/>
    <w:rsid w:val="40E439A9"/>
    <w:rsid w:val="42350960"/>
    <w:rsid w:val="429C453B"/>
    <w:rsid w:val="42F40E99"/>
    <w:rsid w:val="43CA52A7"/>
    <w:rsid w:val="43D877F5"/>
    <w:rsid w:val="45A20B66"/>
    <w:rsid w:val="47C123AA"/>
    <w:rsid w:val="47D4158E"/>
    <w:rsid w:val="49AA262E"/>
    <w:rsid w:val="4AA76173"/>
    <w:rsid w:val="4AB80EF1"/>
    <w:rsid w:val="4AC817E4"/>
    <w:rsid w:val="4BB26B7D"/>
    <w:rsid w:val="4BE56F53"/>
    <w:rsid w:val="4C0A0767"/>
    <w:rsid w:val="4C481290"/>
    <w:rsid w:val="4C716A38"/>
    <w:rsid w:val="4C7C718B"/>
    <w:rsid w:val="4DC73975"/>
    <w:rsid w:val="4DFF1E22"/>
    <w:rsid w:val="4FD856E5"/>
    <w:rsid w:val="505B3C87"/>
    <w:rsid w:val="507A1C34"/>
    <w:rsid w:val="50A02E6C"/>
    <w:rsid w:val="50EA13B1"/>
    <w:rsid w:val="51524269"/>
    <w:rsid w:val="51FA302C"/>
    <w:rsid w:val="531E63D6"/>
    <w:rsid w:val="532779F0"/>
    <w:rsid w:val="545A4605"/>
    <w:rsid w:val="55054CF5"/>
    <w:rsid w:val="55AA6B17"/>
    <w:rsid w:val="55C616FD"/>
    <w:rsid w:val="56262642"/>
    <w:rsid w:val="565E5839"/>
    <w:rsid w:val="56772E9D"/>
    <w:rsid w:val="57062473"/>
    <w:rsid w:val="58A75590"/>
    <w:rsid w:val="58CB5722"/>
    <w:rsid w:val="5996188C"/>
    <w:rsid w:val="59F64A21"/>
    <w:rsid w:val="5A032C9A"/>
    <w:rsid w:val="5A1629CD"/>
    <w:rsid w:val="5A673229"/>
    <w:rsid w:val="5BC326E1"/>
    <w:rsid w:val="5C166CB5"/>
    <w:rsid w:val="5DDE3802"/>
    <w:rsid w:val="5E3D2C1E"/>
    <w:rsid w:val="5E59557E"/>
    <w:rsid w:val="5E700509"/>
    <w:rsid w:val="5EC724E8"/>
    <w:rsid w:val="5F48187B"/>
    <w:rsid w:val="60B71D43"/>
    <w:rsid w:val="60F95222"/>
    <w:rsid w:val="61112140"/>
    <w:rsid w:val="612D68E5"/>
    <w:rsid w:val="61EA4E6B"/>
    <w:rsid w:val="622D4D58"/>
    <w:rsid w:val="64063AB3"/>
    <w:rsid w:val="655F4AD1"/>
    <w:rsid w:val="66CF1A3F"/>
    <w:rsid w:val="6784541A"/>
    <w:rsid w:val="6787315C"/>
    <w:rsid w:val="67BA708E"/>
    <w:rsid w:val="687E0B9C"/>
    <w:rsid w:val="69BB0F6D"/>
    <w:rsid w:val="6B6C069F"/>
    <w:rsid w:val="6BF012D0"/>
    <w:rsid w:val="6C8639E2"/>
    <w:rsid w:val="6CD13207"/>
    <w:rsid w:val="6D353AF7"/>
    <w:rsid w:val="6F1928EC"/>
    <w:rsid w:val="709A5CAE"/>
    <w:rsid w:val="7141612A"/>
    <w:rsid w:val="722E4900"/>
    <w:rsid w:val="72457E9C"/>
    <w:rsid w:val="727662A7"/>
    <w:rsid w:val="72EC6569"/>
    <w:rsid w:val="749173C8"/>
    <w:rsid w:val="7548217D"/>
    <w:rsid w:val="7557416E"/>
    <w:rsid w:val="75DE663D"/>
    <w:rsid w:val="75EA488D"/>
    <w:rsid w:val="762E0205"/>
    <w:rsid w:val="76B33626"/>
    <w:rsid w:val="76C577FD"/>
    <w:rsid w:val="77C828A5"/>
    <w:rsid w:val="791505C8"/>
    <w:rsid w:val="79555AEE"/>
    <w:rsid w:val="79D81522"/>
    <w:rsid w:val="7A340F15"/>
    <w:rsid w:val="7AE617A5"/>
    <w:rsid w:val="7B022DCE"/>
    <w:rsid w:val="7B766ACA"/>
    <w:rsid w:val="7B7E4198"/>
    <w:rsid w:val="7C460A98"/>
    <w:rsid w:val="7C4B60AF"/>
    <w:rsid w:val="7D9624F1"/>
    <w:rsid w:val="7DA10F30"/>
    <w:rsid w:val="7DC16679"/>
    <w:rsid w:val="7F361298"/>
    <w:rsid w:val="7F511C2E"/>
    <w:rsid w:val="7F6E0A32"/>
    <w:rsid w:val="7FAE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qFormat="1"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jc w:val="left"/>
      <w:outlineLvl w:val="0"/>
    </w:pPr>
    <w:rPr>
      <w:rFonts w:hint="eastAsia" w:ascii="宋体" w:hAnsi="宋体" w:cs="宋体"/>
      <w:b/>
      <w:kern w:val="44"/>
      <w:sz w:val="24"/>
    </w:rPr>
  </w:style>
  <w:style w:type="paragraph" w:styleId="3">
    <w:name w:val="heading 2"/>
    <w:basedOn w:val="1"/>
    <w:next w:val="1"/>
    <w:qFormat/>
    <w:uiPriority w:val="0"/>
    <w:pPr>
      <w:keepNext/>
      <w:keepLines/>
      <w:spacing w:line="412" w:lineRule="auto"/>
      <w:outlineLvl w:val="1"/>
    </w:pPr>
    <w:rPr>
      <w:rFonts w:ascii="Arial" w:hAnsi="Arial" w:eastAsia="黑体" w:cs="Arial"/>
      <w:b/>
      <w:bCs/>
      <w:sz w:val="32"/>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Calibri" w:hAnsi="Calibri"/>
      <w:sz w:val="28"/>
      <w:szCs w:val="28"/>
    </w:rPr>
  </w:style>
  <w:style w:type="paragraph" w:styleId="6">
    <w:name w:val="toa heading"/>
    <w:basedOn w:val="1"/>
    <w:next w:val="1"/>
    <w:unhideWhenUsed/>
    <w:qFormat/>
    <w:uiPriority w:val="99"/>
    <w:pPr>
      <w:spacing w:before="120"/>
    </w:pPr>
    <w:rPr>
      <w:rFonts w:ascii="Arial" w:hAnsi="Arial" w:cs="Arial"/>
      <w:sz w:val="24"/>
    </w:rPr>
  </w:style>
  <w:style w:type="paragraph" w:styleId="7">
    <w:name w:val="Body Text"/>
    <w:basedOn w:val="1"/>
    <w:next w:val="1"/>
    <w:qFormat/>
    <w:uiPriority w:val="0"/>
    <w:pPr>
      <w:spacing w:after="120"/>
    </w:pPr>
    <w:rPr>
      <w:kern w:val="0"/>
      <w:sz w:val="20"/>
    </w:rPr>
  </w:style>
  <w:style w:type="paragraph" w:styleId="8">
    <w:name w:val="Body Text Indent"/>
    <w:basedOn w:val="1"/>
    <w:qFormat/>
    <w:uiPriority w:val="0"/>
    <w:pPr>
      <w:ind w:firstLine="640" w:firstLineChars="200"/>
    </w:pPr>
    <w:rPr>
      <w:rFonts w:ascii="仿宋_GB2312" w:eastAsia="仿宋_GB2312"/>
      <w:sz w:val="32"/>
    </w:rPr>
  </w:style>
  <w:style w:type="paragraph" w:styleId="9">
    <w:name w:val="Plain Text"/>
    <w:basedOn w:val="1"/>
    <w:next w:val="10"/>
    <w:qFormat/>
    <w:uiPriority w:val="0"/>
    <w:rPr>
      <w:rFonts w:ascii="Courier New" w:hAnsi="Courier New"/>
      <w:szCs w:val="22"/>
    </w:rPr>
  </w:style>
  <w:style w:type="paragraph" w:styleId="10">
    <w:name w:val="index 7"/>
    <w:basedOn w:val="1"/>
    <w:next w:val="1"/>
    <w:unhideWhenUsed/>
    <w:qFormat/>
    <w:uiPriority w:val="99"/>
    <w:pPr>
      <w:ind w:left="1200" w:leftChars="1200"/>
    </w:p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envelope return"/>
    <w:basedOn w:val="1"/>
    <w:qFormat/>
    <w:uiPriority w:val="99"/>
    <w:rPr>
      <w:rFonts w:ascii="Arial" w:hAnsi="Arial"/>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unhideWhenUsed/>
    <w:qFormat/>
    <w:uiPriority w:val="99"/>
    <w:pPr>
      <w:widowControl/>
      <w:spacing w:line="360" w:lineRule="auto"/>
    </w:pPr>
    <w:rPr>
      <w:rFonts w:ascii="Calibri" w:hAnsi="Calibri" w:cs="黑体"/>
      <w:szCs w:val="21"/>
    </w:rPr>
  </w:style>
  <w:style w:type="paragraph" w:styleId="15">
    <w:name w:val="Body Text 2"/>
    <w:basedOn w:val="1"/>
    <w:qFormat/>
    <w:uiPriority w:val="0"/>
    <w:pPr>
      <w:spacing w:after="120" w:line="480" w:lineRule="auto"/>
      <w:ind w:firstLine="560" w:firstLineChars="200"/>
    </w:pPr>
    <w:rPr>
      <w:rFonts w:ascii="Calibri" w:hAnsi="Calibri" w:eastAsia="仿宋_GB2312"/>
      <w:sz w:val="2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w:basedOn w:val="1"/>
    <w:next w:val="18"/>
    <w:qFormat/>
    <w:uiPriority w:val="0"/>
    <w:pPr>
      <w:ind w:firstLine="420" w:firstLineChars="100"/>
    </w:pPr>
  </w:style>
  <w:style w:type="paragraph" w:styleId="18">
    <w:name w:val="Body Text First Indent 2"/>
    <w:basedOn w:val="1"/>
    <w:next w:val="1"/>
    <w:unhideWhenUsed/>
    <w:qFormat/>
    <w:uiPriority w:val="99"/>
    <w:pPr>
      <w:ind w:firstLine="420"/>
    </w:p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FollowedHyperlink"/>
    <w:basedOn w:val="21"/>
    <w:qFormat/>
    <w:uiPriority w:val="0"/>
    <w:rPr>
      <w:color w:val="800080"/>
      <w:u w:val="none"/>
    </w:rPr>
  </w:style>
  <w:style w:type="character" w:styleId="24">
    <w:name w:val="Emphasis"/>
    <w:basedOn w:val="21"/>
    <w:qFormat/>
    <w:uiPriority w:val="0"/>
    <w:rPr>
      <w:b/>
      <w:bCs/>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rPr>
      <w:bdr w:val="single" w:color="E3E3E3" w:sz="2" w:space="0"/>
    </w:rPr>
  </w:style>
  <w:style w:type="character" w:styleId="28">
    <w:name w:val="HTML Variable"/>
    <w:basedOn w:val="21"/>
    <w:qFormat/>
    <w:uiPriority w:val="0"/>
  </w:style>
  <w:style w:type="character" w:styleId="29">
    <w:name w:val="Hyperlink"/>
    <w:basedOn w:val="21"/>
    <w:qFormat/>
    <w:uiPriority w:val="0"/>
    <w:rPr>
      <w:color w:val="0000FF"/>
      <w:u w:val="none"/>
    </w:rPr>
  </w:style>
  <w:style w:type="character" w:styleId="30">
    <w:name w:val="HTML Code"/>
    <w:basedOn w:val="21"/>
    <w:qFormat/>
    <w:uiPriority w:val="0"/>
    <w:rPr>
      <w:rFonts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hint="default"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character" w:customStyle="1" w:styleId="34">
    <w:name w:val="NormalCharacter"/>
    <w:qFormat/>
    <w:uiPriority w:val="0"/>
    <w:rPr>
      <w:rFonts w:ascii="Times New Roman" w:hAnsi="Times New Roman" w:eastAsia="宋体"/>
    </w:rPr>
  </w:style>
  <w:style w:type="paragraph" w:styleId="35">
    <w:name w:val="List Paragraph"/>
    <w:basedOn w:val="1"/>
    <w:qFormat/>
    <w:uiPriority w:val="34"/>
    <w:pPr>
      <w:ind w:firstLine="420" w:firstLineChars="200"/>
    </w:pPr>
  </w:style>
  <w:style w:type="paragraph" w:customStyle="1" w:styleId="36">
    <w:name w:val="Heading2"/>
    <w:basedOn w:val="1"/>
    <w:next w:val="1"/>
    <w:qFormat/>
    <w:uiPriority w:val="0"/>
    <w:pPr>
      <w:keepNext/>
      <w:keepLines/>
      <w:numPr>
        <w:ilvl w:val="1"/>
        <w:numId w:val="1"/>
      </w:numPr>
      <w:spacing w:before="260" w:after="260" w:line="415" w:lineRule="auto"/>
    </w:pPr>
    <w:rPr>
      <w:rFonts w:ascii="Arial" w:hAnsi="Arial" w:eastAsia="黑体"/>
      <w:b/>
      <w:bCs/>
      <w:sz w:val="32"/>
      <w:szCs w:val="32"/>
    </w:rPr>
  </w:style>
  <w:style w:type="paragraph" w:customStyle="1" w:styleId="37">
    <w:name w:val="Normal_8"/>
    <w:qFormat/>
    <w:uiPriority w:val="0"/>
    <w:rPr>
      <w:rFonts w:ascii="黑体" w:hAnsi="黑体" w:eastAsia="黑体" w:cs="Times New Roman"/>
      <w:b/>
      <w:sz w:val="32"/>
      <w:szCs w:val="24"/>
      <w:lang w:val="en-US" w:eastAsia="zh-CN" w:bidi="ar-SA"/>
    </w:rPr>
  </w:style>
  <w:style w:type="paragraph" w:customStyle="1" w:styleId="38">
    <w:name w:val="*正文_4_0_0"/>
    <w:basedOn w:val="39"/>
    <w:next w:val="39"/>
    <w:qFormat/>
    <w:uiPriority w:val="0"/>
    <w:pPr>
      <w:widowControl/>
      <w:ind w:firstLine="482"/>
    </w:pPr>
    <w:rPr>
      <w:rFonts w:ascii="微软雅黑" w:hAnsi="微软雅黑" w:eastAsia="微软雅黑"/>
      <w:kern w:val="0"/>
      <w:szCs w:val="20"/>
    </w:rPr>
  </w:style>
  <w:style w:type="paragraph" w:customStyle="1" w:styleId="39">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Normal_9"/>
    <w:qFormat/>
    <w:uiPriority w:val="0"/>
    <w:rPr>
      <w:rFonts w:ascii="黑体" w:hAnsi="黑体" w:eastAsia="黑体" w:cs="Times New Roman"/>
      <w:b/>
      <w:sz w:val="32"/>
      <w:szCs w:val="24"/>
      <w:lang w:val="en-US" w:eastAsia="zh-CN" w:bidi="ar-SA"/>
    </w:rPr>
  </w:style>
  <w:style w:type="paragraph" w:customStyle="1" w:styleId="41">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Normal_10"/>
    <w:qFormat/>
    <w:uiPriority w:val="0"/>
    <w:rPr>
      <w:rFonts w:ascii="黑体" w:hAnsi="黑体" w:eastAsia="黑体" w:cs="Times New Roman"/>
      <w:b/>
      <w:sz w:val="32"/>
      <w:szCs w:val="24"/>
      <w:lang w:val="en-US" w:eastAsia="zh-CN" w:bidi="ar-SA"/>
    </w:rPr>
  </w:style>
  <w:style w:type="paragraph" w:customStyle="1" w:styleId="43">
    <w:name w:val="正文_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WPSOffice手动目录 1"/>
    <w:basedOn w:val="1"/>
    <w:qFormat/>
    <w:uiPriority w:val="0"/>
    <w:pPr>
      <w:widowControl/>
      <w:jc w:val="left"/>
    </w:pPr>
    <w:rPr>
      <w:kern w:val="0"/>
      <w:sz w:val="20"/>
      <w:szCs w:val="20"/>
    </w:rPr>
  </w:style>
  <w:style w:type="paragraph" w:customStyle="1" w:styleId="45">
    <w:name w:val="Default"/>
    <w:basedOn w:val="1"/>
    <w:qFormat/>
    <w:uiPriority w:val="0"/>
    <w:pPr>
      <w:autoSpaceDE w:val="0"/>
      <w:autoSpaceDN w:val="0"/>
      <w:adjustRightInd w:val="0"/>
      <w:jc w:val="left"/>
    </w:pPr>
    <w:rPr>
      <w:rFonts w:ascii="宋体" w:cs="宋体"/>
      <w:color w:val="000000"/>
      <w:kern w:val="0"/>
      <w:sz w:val="24"/>
    </w:rPr>
  </w:style>
  <w:style w:type="character" w:customStyle="1" w:styleId="46">
    <w:name w:val="hover1"/>
    <w:basedOn w:val="21"/>
    <w:qFormat/>
    <w:uiPriority w:val="0"/>
  </w:style>
  <w:style w:type="character" w:customStyle="1" w:styleId="47">
    <w:name w:val="hover2"/>
    <w:basedOn w:val="21"/>
    <w:qFormat/>
    <w:uiPriority w:val="0"/>
    <w:rPr>
      <w:color w:val="2590EB"/>
    </w:rPr>
  </w:style>
  <w:style w:type="character" w:customStyle="1" w:styleId="48">
    <w:name w:val="hover3"/>
    <w:basedOn w:val="21"/>
    <w:qFormat/>
    <w:uiPriority w:val="0"/>
    <w:rPr>
      <w:color w:val="2590EB"/>
    </w:rPr>
  </w:style>
  <w:style w:type="character" w:customStyle="1" w:styleId="49">
    <w:name w:val="mini-outputtext1"/>
    <w:basedOn w:val="21"/>
    <w:qFormat/>
    <w:uiPriority w:val="0"/>
  </w:style>
  <w:style w:type="character" w:customStyle="1" w:styleId="50">
    <w:name w:val="hover"/>
    <w:basedOn w:val="21"/>
    <w:qFormat/>
    <w:uiPriority w:val="0"/>
  </w:style>
  <w:style w:type="character" w:customStyle="1" w:styleId="51">
    <w:name w:val="fontstyle01"/>
    <w:basedOn w:val="21"/>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58</Pages>
  <Words>19477</Words>
  <Characters>21598</Characters>
  <Lines>185</Lines>
  <Paragraphs>52</Paragraphs>
  <TotalTime>5</TotalTime>
  <ScaleCrop>false</ScaleCrop>
  <LinksUpToDate>false</LinksUpToDate>
  <CharactersWithSpaces>21759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2025-06-30T10:09:00Z</dcterms:created>
  <dc:creator>Administrator</dc:creator>
  <cp:lastModifiedBy>HM</cp:lastModifiedBy>
  <cp:lastPrinted>2025-07-11T11:14:00Z</cp:lastPrinted>
  <dcterms:modified xsi:type="dcterms:W3CDTF">2025-08-25T08:28:20Z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eyJoZGlkIjoiY2YyNDI4YTVhNDY1MWIwN2U4ZmFhNmU1Yzc4ODNkZjAiLCJ1c2VySWQiOiIyNDQ3MTg0MjMifQ==</vt:lpwstr>
  </property>
  <property fmtid="{D5CDD505-2E9C-101B-9397-08002B2CF9AE}" pid="4" name="ICV">
    <vt:lpwstr>27AEE06622CF414FB410EF456FDFA12D_13</vt:lpwstr>
  </property>
</Properties>
</file>