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F61828">
      <w:pPr>
        <w:jc w:val="center"/>
        <w:rPr>
          <w:rFonts w:hint="eastAsia" w:ascii="宋体" w:hAnsi="宋体"/>
          <w:b/>
          <w:bCs/>
          <w:color w:val="auto"/>
          <w:sz w:val="28"/>
          <w:szCs w:val="32"/>
          <w:lang w:eastAsia="zh-CN"/>
        </w:rPr>
      </w:pPr>
    </w:p>
    <w:p w14:paraId="5A16EDD5">
      <w:pPr>
        <w:jc w:val="center"/>
        <w:rPr>
          <w:rFonts w:hint="eastAsia" w:ascii="宋体" w:hAnsi="宋体"/>
          <w:b/>
          <w:bCs/>
          <w:color w:val="auto"/>
          <w:sz w:val="36"/>
          <w:szCs w:val="36"/>
        </w:rPr>
      </w:pPr>
      <w:r>
        <w:rPr>
          <w:rFonts w:hint="eastAsia" w:ascii="宋体" w:hAnsi="宋体"/>
          <w:b/>
          <w:bCs/>
          <w:color w:val="auto"/>
          <w:sz w:val="36"/>
          <w:szCs w:val="36"/>
          <w:lang w:eastAsia="zh-CN"/>
        </w:rPr>
        <w:t>2025年陕州区农村道路巩固提升项目</w:t>
      </w:r>
      <w:r>
        <w:rPr>
          <w:rFonts w:hint="eastAsia" w:ascii="宋体" w:hAnsi="宋体"/>
          <w:b/>
          <w:bCs/>
          <w:color w:val="auto"/>
          <w:sz w:val="36"/>
          <w:szCs w:val="36"/>
          <w:lang w:val="en-US" w:eastAsia="zh-CN"/>
        </w:rPr>
        <w:t>（第三批）</w:t>
      </w:r>
    </w:p>
    <w:p w14:paraId="56658400">
      <w:pPr>
        <w:jc w:val="both"/>
        <w:rPr>
          <w:rFonts w:hint="eastAsia" w:ascii="宋体" w:hAnsi="宋体"/>
          <w:b/>
          <w:bCs/>
          <w:color w:val="auto"/>
          <w:sz w:val="28"/>
          <w:szCs w:val="32"/>
          <w:highlight w:val="red"/>
        </w:rPr>
      </w:pPr>
    </w:p>
    <w:p w14:paraId="38A4A2DA"/>
    <w:p w14:paraId="03AE5DBE">
      <w:pPr>
        <w:jc w:val="center"/>
        <w:rPr>
          <w:b/>
          <w:bCs/>
          <w:sz w:val="84"/>
          <w:szCs w:val="84"/>
        </w:rPr>
      </w:pPr>
      <w:r>
        <w:rPr>
          <w:rFonts w:hint="eastAsia"/>
          <w:b/>
          <w:bCs/>
          <w:sz w:val="84"/>
          <w:szCs w:val="84"/>
        </w:rPr>
        <w:t>竞争性磋商文件</w:t>
      </w:r>
    </w:p>
    <w:p w14:paraId="0A7C7B0F">
      <w:pPr>
        <w:jc w:val="center"/>
      </w:pPr>
    </w:p>
    <w:p w14:paraId="1F1B58A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843" w:firstLineChars="300"/>
        <w:jc w:val="left"/>
        <w:rPr>
          <w:rFonts w:hint="default" w:ascii="宋体" w:hAnsi="宋体"/>
          <w:b/>
          <w:bCs/>
          <w:color w:val="auto"/>
          <w:sz w:val="28"/>
          <w:szCs w:val="32"/>
          <w:lang w:val="en-US" w:eastAsia="zh-CN"/>
        </w:rPr>
      </w:pPr>
      <w:r>
        <w:rPr>
          <w:rFonts w:hint="eastAsia" w:ascii="宋体" w:hAnsi="宋体"/>
          <w:b/>
          <w:bCs/>
          <w:color w:val="auto"/>
          <w:sz w:val="28"/>
          <w:szCs w:val="32"/>
          <w:lang w:val="en-US" w:eastAsia="zh-CN"/>
        </w:rPr>
        <w:t>项目编号：SZGZ[2025]187-ZC126、 陕州竞磋采购-2025-109</w:t>
      </w:r>
    </w:p>
    <w:p w14:paraId="4E39800A">
      <w:pPr>
        <w:jc w:val="center"/>
        <w:rPr>
          <w:rFonts w:hint="default" w:ascii="宋体" w:hAnsi="宋体"/>
          <w:b/>
          <w:bCs/>
          <w:color w:val="auto"/>
          <w:sz w:val="28"/>
          <w:szCs w:val="32"/>
          <w:lang w:val="en-US" w:eastAsia="zh-CN"/>
        </w:rPr>
      </w:pPr>
    </w:p>
    <w:p w14:paraId="7F3EDBB6">
      <w:pPr>
        <w:jc w:val="center"/>
      </w:pPr>
    </w:p>
    <w:p w14:paraId="21058BA1">
      <w:pPr>
        <w:jc w:val="center"/>
      </w:pPr>
    </w:p>
    <w:p w14:paraId="725413E3">
      <w:pPr>
        <w:adjustRightInd w:val="0"/>
        <w:snapToGrid w:val="0"/>
        <w:spacing w:line="360" w:lineRule="auto"/>
        <w:jc w:val="center"/>
        <w:rPr>
          <w:rFonts w:ascii="宋体" w:hAnsi="宋体" w:cs="宋体"/>
          <w:b/>
          <w:bCs/>
          <w:sz w:val="32"/>
          <w:szCs w:val="32"/>
        </w:rPr>
      </w:pPr>
    </w:p>
    <w:p w14:paraId="5B9DBC95">
      <w:pPr>
        <w:adjustRightInd w:val="0"/>
        <w:snapToGrid w:val="0"/>
        <w:spacing w:line="360" w:lineRule="auto"/>
        <w:jc w:val="center"/>
        <w:rPr>
          <w:rFonts w:ascii="宋体" w:hAnsi="宋体" w:cs="宋体"/>
          <w:b/>
          <w:bCs/>
          <w:sz w:val="32"/>
          <w:szCs w:val="32"/>
        </w:rPr>
      </w:pPr>
    </w:p>
    <w:p w14:paraId="00EE5AE7">
      <w:pPr>
        <w:adjustRightInd w:val="0"/>
        <w:snapToGrid w:val="0"/>
        <w:spacing w:line="360" w:lineRule="auto"/>
        <w:jc w:val="center"/>
        <w:rPr>
          <w:rFonts w:ascii="宋体" w:hAnsi="宋体" w:cs="宋体"/>
          <w:b/>
          <w:bCs/>
          <w:sz w:val="32"/>
          <w:szCs w:val="32"/>
        </w:rPr>
      </w:pPr>
    </w:p>
    <w:p w14:paraId="1B171A1D">
      <w:pPr>
        <w:adjustRightInd w:val="0"/>
        <w:snapToGrid w:val="0"/>
        <w:spacing w:line="360" w:lineRule="auto"/>
        <w:jc w:val="center"/>
        <w:rPr>
          <w:rFonts w:ascii="宋体" w:hAnsi="宋体" w:cs="宋体"/>
          <w:b/>
          <w:bCs/>
          <w:sz w:val="32"/>
          <w:szCs w:val="32"/>
        </w:rPr>
      </w:pPr>
    </w:p>
    <w:p w14:paraId="1788ECD1">
      <w:pPr>
        <w:pStyle w:val="3"/>
        <w:rPr>
          <w:rFonts w:ascii="宋体" w:hAnsi="宋体" w:cs="宋体"/>
          <w:b/>
          <w:bCs/>
          <w:sz w:val="32"/>
          <w:szCs w:val="32"/>
        </w:rPr>
      </w:pPr>
    </w:p>
    <w:p w14:paraId="00FC100C">
      <w:pPr>
        <w:rPr>
          <w:rFonts w:ascii="宋体" w:hAnsi="宋体" w:cs="宋体"/>
          <w:b/>
          <w:bCs/>
          <w:sz w:val="32"/>
          <w:szCs w:val="32"/>
        </w:rPr>
      </w:pPr>
    </w:p>
    <w:p w14:paraId="5FC555B1">
      <w:pPr>
        <w:pStyle w:val="3"/>
        <w:rPr>
          <w:rFonts w:ascii="宋体" w:hAnsi="宋体" w:cs="宋体"/>
          <w:b/>
          <w:bCs/>
          <w:sz w:val="32"/>
          <w:szCs w:val="32"/>
        </w:rPr>
      </w:pPr>
    </w:p>
    <w:p w14:paraId="24680E4D">
      <w:pPr>
        <w:rPr>
          <w:rFonts w:ascii="宋体" w:hAnsi="宋体" w:cs="宋体"/>
          <w:b/>
          <w:bCs/>
          <w:sz w:val="32"/>
          <w:szCs w:val="32"/>
        </w:rPr>
      </w:pPr>
    </w:p>
    <w:p w14:paraId="02897185">
      <w:pPr>
        <w:adjustRightInd w:val="0"/>
        <w:snapToGrid w:val="0"/>
        <w:spacing w:line="360" w:lineRule="auto"/>
        <w:jc w:val="center"/>
        <w:rPr>
          <w:rFonts w:hint="eastAsia" w:ascii="宋体" w:hAnsi="宋体" w:cs="宋体" w:eastAsiaTheme="minorEastAsia"/>
          <w:b/>
          <w:bCs/>
          <w:sz w:val="32"/>
          <w:szCs w:val="32"/>
          <w:lang w:eastAsia="zh-CN"/>
        </w:rPr>
      </w:pPr>
      <w:r>
        <w:rPr>
          <w:rFonts w:hint="eastAsia" w:ascii="宋体" w:hAnsi="宋体" w:cs="宋体"/>
          <w:b/>
          <w:bCs/>
          <w:sz w:val="32"/>
          <w:szCs w:val="32"/>
        </w:rPr>
        <w:t>采购人：</w:t>
      </w:r>
      <w:r>
        <w:rPr>
          <w:rFonts w:hint="eastAsia" w:ascii="宋体" w:hAnsi="宋体" w:cs="宋体"/>
          <w:b/>
          <w:bCs/>
          <w:sz w:val="32"/>
          <w:szCs w:val="32"/>
          <w:lang w:eastAsia="zh-CN"/>
        </w:rPr>
        <w:t>三门峡市陕州区交通运输局</w:t>
      </w:r>
    </w:p>
    <w:p w14:paraId="7A3ED705"/>
    <w:p w14:paraId="6F2EB823">
      <w:pPr>
        <w:jc w:val="center"/>
        <w:rPr>
          <w:rFonts w:hint="eastAsia" w:hAnsi="宋体" w:cs="宋体" w:eastAsiaTheme="minorEastAsia"/>
          <w:b/>
          <w:bCs/>
          <w:sz w:val="32"/>
          <w:szCs w:val="32"/>
          <w:lang w:eastAsia="zh-CN"/>
        </w:rPr>
      </w:pPr>
      <w:r>
        <w:rPr>
          <w:rFonts w:hint="eastAsia" w:hAnsi="宋体" w:cs="宋体"/>
          <w:b/>
          <w:bCs/>
          <w:sz w:val="32"/>
          <w:szCs w:val="32"/>
          <w:lang w:val="en-US" w:eastAsia="zh-CN"/>
        </w:rPr>
        <w:t>采购</w:t>
      </w:r>
      <w:r>
        <w:rPr>
          <w:rFonts w:hint="eastAsia" w:hAnsi="宋体" w:cs="宋体"/>
          <w:b/>
          <w:bCs/>
          <w:sz w:val="32"/>
          <w:szCs w:val="32"/>
        </w:rPr>
        <w:t>代理机构：中建华阳建设项目管理有限责任公司</w:t>
      </w:r>
    </w:p>
    <w:p w14:paraId="4EDDC56B">
      <w:pPr>
        <w:adjustRightInd w:val="0"/>
        <w:snapToGrid w:val="0"/>
        <w:spacing w:line="360" w:lineRule="auto"/>
        <w:jc w:val="center"/>
        <w:rPr>
          <w:rFonts w:ascii="宋体" w:hAnsi="宋体" w:cs="宋体"/>
          <w:b/>
          <w:bCs/>
          <w:sz w:val="32"/>
          <w:szCs w:val="32"/>
        </w:rPr>
      </w:pPr>
    </w:p>
    <w:p w14:paraId="2020E80C">
      <w:pPr>
        <w:jc w:val="center"/>
        <w:rPr>
          <w:rFonts w:hAnsi="宋体" w:cs="宋体"/>
          <w:b/>
          <w:bCs/>
          <w:sz w:val="32"/>
          <w:szCs w:val="32"/>
        </w:rPr>
      </w:pPr>
      <w:r>
        <w:rPr>
          <w:rFonts w:hint="eastAsia" w:hAnsi="宋体" w:cs="宋体"/>
          <w:b/>
          <w:bCs/>
          <w:sz w:val="32"/>
          <w:szCs w:val="32"/>
          <w:lang w:val="en-US" w:eastAsia="zh-CN"/>
        </w:rPr>
        <w:t>日期：</w:t>
      </w:r>
      <w:r>
        <w:rPr>
          <w:rFonts w:hint="eastAsia" w:hAnsi="宋体" w:cs="宋体"/>
          <w:b/>
          <w:bCs/>
          <w:sz w:val="32"/>
          <w:szCs w:val="32"/>
        </w:rPr>
        <w:t>二〇二</w:t>
      </w:r>
      <w:r>
        <w:rPr>
          <w:rFonts w:hint="eastAsia" w:hAnsi="宋体" w:cs="宋体"/>
          <w:b/>
          <w:bCs/>
          <w:sz w:val="32"/>
          <w:szCs w:val="32"/>
          <w:lang w:val="en-US" w:eastAsia="zh-CN"/>
        </w:rPr>
        <w:t>五</w:t>
      </w:r>
      <w:r>
        <w:rPr>
          <w:rFonts w:hint="eastAsia" w:hAnsi="宋体" w:cs="宋体"/>
          <w:b/>
          <w:bCs/>
          <w:sz w:val="32"/>
          <w:szCs w:val="32"/>
        </w:rPr>
        <w:t>年</w:t>
      </w:r>
      <w:r>
        <w:rPr>
          <w:rFonts w:hint="eastAsia" w:hAnsi="宋体" w:cs="宋体"/>
          <w:b/>
          <w:bCs/>
          <w:sz w:val="32"/>
          <w:szCs w:val="32"/>
          <w:lang w:val="en-US" w:eastAsia="zh-CN"/>
        </w:rPr>
        <w:t>九</w:t>
      </w:r>
      <w:r>
        <w:rPr>
          <w:rFonts w:hint="eastAsia" w:hAnsi="宋体" w:cs="宋体"/>
          <w:b/>
          <w:bCs/>
          <w:sz w:val="32"/>
          <w:szCs w:val="32"/>
        </w:rPr>
        <w:t>月</w:t>
      </w:r>
    </w:p>
    <w:p w14:paraId="2EC13128">
      <w:pPr>
        <w:jc w:val="center"/>
        <w:rPr>
          <w:rFonts w:ascii="宋体" w:hAnsi="宋体" w:cs="宋体"/>
          <w:b/>
          <w:bCs/>
          <w:sz w:val="28"/>
          <w:szCs w:val="28"/>
        </w:rPr>
        <w:sectPr>
          <w:headerReference r:id="rId3" w:type="default"/>
          <w:footerReference r:id="rId4" w:type="default"/>
          <w:pgSz w:w="11915" w:h="16840"/>
          <w:pgMar w:top="1134" w:right="1134" w:bottom="1134" w:left="1134" w:header="720" w:footer="720" w:gutter="0"/>
          <w:pgNumType w:start="1"/>
          <w:cols w:space="720" w:num="1"/>
          <w:docGrid w:type="lines" w:linePitch="312" w:charSpace="0"/>
        </w:sectPr>
      </w:pPr>
    </w:p>
    <w:p w14:paraId="54563D82">
      <w:pPr>
        <w:jc w:val="center"/>
        <w:rPr>
          <w:rFonts w:ascii="宋体" w:hAnsi="宋体" w:cs="宋体"/>
          <w:b/>
          <w:bCs/>
          <w:sz w:val="28"/>
          <w:szCs w:val="28"/>
        </w:rPr>
      </w:pPr>
      <w:r>
        <w:rPr>
          <w:rFonts w:hint="eastAsia" w:ascii="宋体" w:hAnsi="宋体" w:cs="宋体"/>
          <w:b/>
          <w:bCs/>
          <w:sz w:val="28"/>
          <w:szCs w:val="28"/>
        </w:rPr>
        <w:t>目  录</w:t>
      </w:r>
    </w:p>
    <w:p w14:paraId="4F12FCD5">
      <w:pPr>
        <w:tabs>
          <w:tab w:val="right" w:leader="dot" w:pos="9645"/>
        </w:tabs>
        <w:rPr>
          <w:rFonts w:ascii="宋体" w:hAnsi="宋体" w:cs="宋体"/>
          <w:b/>
          <w:bCs/>
          <w:color w:val="000000"/>
          <w:kern w:val="0"/>
          <w:sz w:val="24"/>
          <w:szCs w:val="24"/>
        </w:rPr>
      </w:pPr>
    </w:p>
    <w:p w14:paraId="05EC69BE">
      <w:pPr>
        <w:tabs>
          <w:tab w:val="right" w:leader="dot" w:pos="9647"/>
        </w:tabs>
        <w:spacing w:line="360" w:lineRule="auto"/>
        <w:rPr>
          <w:sz w:val="24"/>
          <w:szCs w:val="24"/>
        </w:rPr>
      </w:pPr>
      <w:r>
        <w:rPr>
          <w:rFonts w:hint="eastAsia" w:ascii="宋体" w:hAnsi="宋体" w:cs="宋体"/>
          <w:color w:val="000000"/>
          <w:kern w:val="0"/>
          <w:sz w:val="24"/>
          <w:szCs w:val="24"/>
        </w:rPr>
        <w:fldChar w:fldCharType="begin"/>
      </w:r>
      <w:r>
        <w:rPr>
          <w:rFonts w:hint="eastAsia" w:ascii="宋体" w:hAnsi="宋体" w:cs="宋体"/>
          <w:color w:val="000000"/>
          <w:kern w:val="0"/>
          <w:sz w:val="24"/>
          <w:szCs w:val="24"/>
        </w:rPr>
        <w:instrText xml:space="preserve">TOC \o "1-3" \h \u </w:instrText>
      </w:r>
      <w:r>
        <w:rPr>
          <w:rFonts w:hint="eastAsia" w:ascii="宋体" w:hAnsi="宋体" w:cs="宋体"/>
          <w:color w:val="000000"/>
          <w:kern w:val="0"/>
          <w:sz w:val="24"/>
          <w:szCs w:val="24"/>
        </w:rPr>
        <w:fldChar w:fldCharType="separate"/>
      </w:r>
      <w:r>
        <w:fldChar w:fldCharType="begin"/>
      </w:r>
      <w:r>
        <w:instrText xml:space="preserve"> HYPERLINK \l "_Toc31887" </w:instrText>
      </w:r>
      <w:r>
        <w:fldChar w:fldCharType="separate"/>
      </w:r>
      <w:r>
        <w:rPr>
          <w:rFonts w:hint="eastAsia" w:ascii="宋体" w:hAnsi="宋体" w:cs="宋体"/>
          <w:sz w:val="24"/>
          <w:szCs w:val="24"/>
        </w:rPr>
        <w:t>第一章  竞争性磋商公告</w:t>
      </w:r>
      <w:r>
        <w:rPr>
          <w:sz w:val="24"/>
          <w:szCs w:val="24"/>
        </w:rPr>
        <w:tab/>
      </w:r>
      <w:r>
        <w:rPr>
          <w:sz w:val="24"/>
          <w:szCs w:val="24"/>
        </w:rPr>
        <w:fldChar w:fldCharType="begin"/>
      </w:r>
      <w:r>
        <w:rPr>
          <w:sz w:val="24"/>
          <w:szCs w:val="24"/>
        </w:rPr>
        <w:instrText xml:space="preserve"> PAGEREF _Toc31887 \h </w:instrText>
      </w:r>
      <w:r>
        <w:rPr>
          <w:sz w:val="24"/>
          <w:szCs w:val="24"/>
        </w:rPr>
        <w:fldChar w:fldCharType="separate"/>
      </w:r>
      <w:r>
        <w:rPr>
          <w:sz w:val="24"/>
          <w:szCs w:val="24"/>
        </w:rPr>
        <w:t>2</w:t>
      </w:r>
      <w:r>
        <w:rPr>
          <w:sz w:val="24"/>
          <w:szCs w:val="24"/>
        </w:rPr>
        <w:fldChar w:fldCharType="end"/>
      </w:r>
      <w:r>
        <w:rPr>
          <w:sz w:val="24"/>
          <w:szCs w:val="24"/>
        </w:rPr>
        <w:fldChar w:fldCharType="end"/>
      </w:r>
    </w:p>
    <w:p w14:paraId="179497BE">
      <w:pPr>
        <w:tabs>
          <w:tab w:val="right" w:leader="dot" w:pos="9647"/>
        </w:tabs>
        <w:spacing w:line="360" w:lineRule="auto"/>
        <w:rPr>
          <w:sz w:val="24"/>
          <w:szCs w:val="24"/>
        </w:rPr>
      </w:pPr>
      <w:r>
        <w:fldChar w:fldCharType="begin"/>
      </w:r>
      <w:r>
        <w:instrText xml:space="preserve"> HYPERLINK \l "_Toc14693" </w:instrText>
      </w:r>
      <w:r>
        <w:fldChar w:fldCharType="separate"/>
      </w:r>
      <w:r>
        <w:rPr>
          <w:rFonts w:hint="eastAsia" w:ascii="宋体" w:hAnsi="宋体" w:cs="宋体"/>
          <w:sz w:val="24"/>
          <w:szCs w:val="24"/>
        </w:rPr>
        <w:t>第二章  供应商须知</w:t>
      </w:r>
      <w:r>
        <w:rPr>
          <w:sz w:val="24"/>
          <w:szCs w:val="24"/>
        </w:rPr>
        <w:tab/>
      </w:r>
      <w:r>
        <w:rPr>
          <w:sz w:val="24"/>
          <w:szCs w:val="24"/>
        </w:rPr>
        <w:fldChar w:fldCharType="begin"/>
      </w:r>
      <w:r>
        <w:rPr>
          <w:sz w:val="24"/>
          <w:szCs w:val="24"/>
        </w:rPr>
        <w:instrText xml:space="preserve"> PAGEREF _Toc14693 \h </w:instrText>
      </w:r>
      <w:r>
        <w:rPr>
          <w:sz w:val="24"/>
          <w:szCs w:val="24"/>
        </w:rPr>
        <w:fldChar w:fldCharType="separate"/>
      </w:r>
      <w:r>
        <w:rPr>
          <w:sz w:val="24"/>
          <w:szCs w:val="24"/>
        </w:rPr>
        <w:t>6</w:t>
      </w:r>
      <w:r>
        <w:rPr>
          <w:sz w:val="24"/>
          <w:szCs w:val="24"/>
        </w:rPr>
        <w:fldChar w:fldCharType="end"/>
      </w:r>
      <w:r>
        <w:rPr>
          <w:sz w:val="24"/>
          <w:szCs w:val="24"/>
        </w:rPr>
        <w:fldChar w:fldCharType="end"/>
      </w:r>
    </w:p>
    <w:p w14:paraId="519A504B">
      <w:pPr>
        <w:tabs>
          <w:tab w:val="right" w:leader="dot" w:pos="9647"/>
        </w:tabs>
        <w:spacing w:line="360" w:lineRule="auto"/>
        <w:rPr>
          <w:sz w:val="24"/>
          <w:szCs w:val="24"/>
        </w:rPr>
      </w:pPr>
      <w:r>
        <w:fldChar w:fldCharType="begin"/>
      </w:r>
      <w:r>
        <w:instrText xml:space="preserve"> HYPERLINK \l "_Toc10506" </w:instrText>
      </w:r>
      <w:r>
        <w:fldChar w:fldCharType="separate"/>
      </w:r>
      <w:r>
        <w:rPr>
          <w:rFonts w:hint="eastAsia" w:ascii="宋体" w:hAnsi="宋体" w:cs="宋体"/>
          <w:sz w:val="24"/>
          <w:szCs w:val="24"/>
        </w:rPr>
        <w:t>第三章  工程量清单</w:t>
      </w:r>
      <w:r>
        <w:rPr>
          <w:sz w:val="24"/>
          <w:szCs w:val="24"/>
        </w:rPr>
        <w:tab/>
      </w:r>
      <w:r>
        <w:rPr>
          <w:sz w:val="24"/>
          <w:szCs w:val="24"/>
        </w:rPr>
        <w:fldChar w:fldCharType="begin"/>
      </w:r>
      <w:r>
        <w:rPr>
          <w:sz w:val="24"/>
          <w:szCs w:val="24"/>
        </w:rPr>
        <w:instrText xml:space="preserve"> PAGEREF _Toc10506 \h </w:instrText>
      </w:r>
      <w:r>
        <w:rPr>
          <w:sz w:val="24"/>
          <w:szCs w:val="24"/>
        </w:rPr>
        <w:fldChar w:fldCharType="separate"/>
      </w:r>
      <w:r>
        <w:rPr>
          <w:sz w:val="24"/>
          <w:szCs w:val="24"/>
        </w:rPr>
        <w:t>21</w:t>
      </w:r>
      <w:r>
        <w:rPr>
          <w:sz w:val="24"/>
          <w:szCs w:val="24"/>
        </w:rPr>
        <w:fldChar w:fldCharType="end"/>
      </w:r>
      <w:r>
        <w:rPr>
          <w:sz w:val="24"/>
          <w:szCs w:val="24"/>
        </w:rPr>
        <w:fldChar w:fldCharType="end"/>
      </w:r>
    </w:p>
    <w:p w14:paraId="0D88C70A">
      <w:pPr>
        <w:tabs>
          <w:tab w:val="right" w:leader="dot" w:pos="9647"/>
        </w:tabs>
        <w:spacing w:line="360" w:lineRule="auto"/>
        <w:rPr>
          <w:sz w:val="24"/>
          <w:szCs w:val="24"/>
        </w:rPr>
      </w:pPr>
      <w:r>
        <w:fldChar w:fldCharType="begin"/>
      </w:r>
      <w:r>
        <w:instrText xml:space="preserve"> HYPERLINK \l "_Toc25128" </w:instrText>
      </w:r>
      <w:r>
        <w:fldChar w:fldCharType="separate"/>
      </w:r>
      <w:r>
        <w:rPr>
          <w:rFonts w:hint="eastAsia" w:ascii="宋体" w:hAnsi="宋体" w:cs="宋体"/>
          <w:sz w:val="24"/>
          <w:szCs w:val="24"/>
        </w:rPr>
        <w:t>第四章  磋商办法</w:t>
      </w:r>
      <w:r>
        <w:rPr>
          <w:sz w:val="24"/>
          <w:szCs w:val="24"/>
        </w:rPr>
        <w:tab/>
      </w:r>
      <w:r>
        <w:rPr>
          <w:sz w:val="24"/>
          <w:szCs w:val="24"/>
        </w:rPr>
        <w:fldChar w:fldCharType="begin"/>
      </w:r>
      <w:r>
        <w:rPr>
          <w:sz w:val="24"/>
          <w:szCs w:val="24"/>
        </w:rPr>
        <w:instrText xml:space="preserve"> PAGEREF _Toc25128 \h </w:instrText>
      </w:r>
      <w:r>
        <w:rPr>
          <w:sz w:val="24"/>
          <w:szCs w:val="24"/>
        </w:rPr>
        <w:fldChar w:fldCharType="separate"/>
      </w:r>
      <w:r>
        <w:rPr>
          <w:sz w:val="24"/>
          <w:szCs w:val="24"/>
        </w:rPr>
        <w:t>22</w:t>
      </w:r>
      <w:r>
        <w:rPr>
          <w:sz w:val="24"/>
          <w:szCs w:val="24"/>
        </w:rPr>
        <w:fldChar w:fldCharType="end"/>
      </w:r>
      <w:r>
        <w:rPr>
          <w:sz w:val="24"/>
          <w:szCs w:val="24"/>
        </w:rPr>
        <w:fldChar w:fldCharType="end"/>
      </w:r>
    </w:p>
    <w:p w14:paraId="45D13AD7">
      <w:pPr>
        <w:tabs>
          <w:tab w:val="right" w:leader="dot" w:pos="9647"/>
        </w:tabs>
        <w:spacing w:line="360" w:lineRule="auto"/>
        <w:rPr>
          <w:sz w:val="24"/>
          <w:szCs w:val="24"/>
        </w:rPr>
      </w:pPr>
      <w:r>
        <w:fldChar w:fldCharType="begin"/>
      </w:r>
      <w:r>
        <w:instrText xml:space="preserve"> HYPERLINK \l "_Toc6248" </w:instrText>
      </w:r>
      <w:r>
        <w:fldChar w:fldCharType="separate"/>
      </w:r>
      <w:r>
        <w:rPr>
          <w:rFonts w:hint="eastAsia" w:ascii="宋体" w:hAnsi="宋体" w:cs="宋体"/>
          <w:sz w:val="24"/>
          <w:szCs w:val="24"/>
        </w:rPr>
        <w:t>第五章  合同条款及格式</w:t>
      </w:r>
      <w:r>
        <w:rPr>
          <w:sz w:val="24"/>
          <w:szCs w:val="24"/>
        </w:rPr>
        <w:tab/>
      </w:r>
      <w:r>
        <w:rPr>
          <w:sz w:val="24"/>
          <w:szCs w:val="24"/>
        </w:rPr>
        <w:fldChar w:fldCharType="begin"/>
      </w:r>
      <w:r>
        <w:rPr>
          <w:sz w:val="24"/>
          <w:szCs w:val="24"/>
        </w:rPr>
        <w:instrText xml:space="preserve"> PAGEREF _Toc6248 \h </w:instrText>
      </w:r>
      <w:r>
        <w:rPr>
          <w:sz w:val="24"/>
          <w:szCs w:val="24"/>
        </w:rPr>
        <w:fldChar w:fldCharType="separate"/>
      </w:r>
      <w:r>
        <w:rPr>
          <w:sz w:val="24"/>
          <w:szCs w:val="24"/>
        </w:rPr>
        <w:t>28</w:t>
      </w:r>
      <w:r>
        <w:rPr>
          <w:sz w:val="24"/>
          <w:szCs w:val="24"/>
        </w:rPr>
        <w:fldChar w:fldCharType="end"/>
      </w:r>
      <w:r>
        <w:rPr>
          <w:sz w:val="24"/>
          <w:szCs w:val="24"/>
        </w:rPr>
        <w:fldChar w:fldCharType="end"/>
      </w:r>
    </w:p>
    <w:p w14:paraId="03B2A043">
      <w:pPr>
        <w:tabs>
          <w:tab w:val="right" w:leader="dot" w:pos="9647"/>
        </w:tabs>
        <w:spacing w:line="360" w:lineRule="auto"/>
        <w:rPr>
          <w:sz w:val="24"/>
          <w:szCs w:val="24"/>
        </w:rPr>
      </w:pPr>
      <w:r>
        <w:fldChar w:fldCharType="begin"/>
      </w:r>
      <w:r>
        <w:instrText xml:space="preserve"> HYPERLINK \l "_Toc8491" </w:instrText>
      </w:r>
      <w:r>
        <w:fldChar w:fldCharType="separate"/>
      </w:r>
      <w:r>
        <w:rPr>
          <w:rFonts w:hint="eastAsia" w:ascii="宋体" w:hAnsi="宋体" w:cs="宋体"/>
          <w:sz w:val="24"/>
          <w:szCs w:val="24"/>
        </w:rPr>
        <w:t>第六章  磋商响应文件格式</w:t>
      </w:r>
      <w:r>
        <w:rPr>
          <w:sz w:val="24"/>
          <w:szCs w:val="24"/>
        </w:rPr>
        <w:tab/>
      </w:r>
      <w:r>
        <w:rPr>
          <w:sz w:val="24"/>
          <w:szCs w:val="24"/>
        </w:rPr>
        <w:fldChar w:fldCharType="begin"/>
      </w:r>
      <w:r>
        <w:rPr>
          <w:sz w:val="24"/>
          <w:szCs w:val="24"/>
        </w:rPr>
        <w:instrText xml:space="preserve"> PAGEREF _Toc8491 \h </w:instrText>
      </w:r>
      <w:r>
        <w:rPr>
          <w:sz w:val="24"/>
          <w:szCs w:val="24"/>
        </w:rPr>
        <w:fldChar w:fldCharType="separate"/>
      </w:r>
      <w:r>
        <w:rPr>
          <w:sz w:val="24"/>
          <w:szCs w:val="24"/>
        </w:rPr>
        <w:t>34</w:t>
      </w:r>
      <w:r>
        <w:rPr>
          <w:sz w:val="24"/>
          <w:szCs w:val="24"/>
        </w:rPr>
        <w:fldChar w:fldCharType="end"/>
      </w:r>
      <w:r>
        <w:rPr>
          <w:sz w:val="24"/>
          <w:szCs w:val="24"/>
        </w:rPr>
        <w:fldChar w:fldCharType="end"/>
      </w:r>
    </w:p>
    <w:p w14:paraId="16ED11D7">
      <w:pPr>
        <w:tabs>
          <w:tab w:val="right" w:leader="dot" w:pos="9647"/>
        </w:tabs>
        <w:spacing w:line="360" w:lineRule="auto"/>
        <w:rPr>
          <w:sz w:val="24"/>
          <w:szCs w:val="24"/>
        </w:rPr>
      </w:pPr>
    </w:p>
    <w:p w14:paraId="1D307283">
      <w:pPr>
        <w:tabs>
          <w:tab w:val="right" w:leader="dot" w:pos="9647"/>
        </w:tabs>
        <w:spacing w:line="360" w:lineRule="auto"/>
        <w:rPr>
          <w:sz w:val="24"/>
          <w:szCs w:val="24"/>
        </w:rPr>
      </w:pPr>
    </w:p>
    <w:p w14:paraId="76E5A8CB">
      <w:pPr>
        <w:tabs>
          <w:tab w:val="right" w:leader="dot" w:pos="9647"/>
        </w:tabs>
        <w:spacing w:line="360" w:lineRule="auto"/>
        <w:rPr>
          <w:sz w:val="24"/>
          <w:szCs w:val="24"/>
        </w:rPr>
      </w:pPr>
    </w:p>
    <w:p w14:paraId="070A7800">
      <w:pPr>
        <w:tabs>
          <w:tab w:val="right" w:leader="dot" w:pos="9647"/>
        </w:tabs>
        <w:spacing w:line="360" w:lineRule="auto"/>
        <w:rPr>
          <w:sz w:val="24"/>
          <w:szCs w:val="24"/>
        </w:rPr>
      </w:pPr>
    </w:p>
    <w:p w14:paraId="2805B4CB">
      <w:pPr>
        <w:tabs>
          <w:tab w:val="right" w:leader="dot" w:pos="9647"/>
        </w:tabs>
        <w:spacing w:line="360" w:lineRule="auto"/>
        <w:rPr>
          <w:sz w:val="24"/>
          <w:szCs w:val="24"/>
        </w:rPr>
      </w:pPr>
    </w:p>
    <w:p w14:paraId="61F245F0">
      <w:pPr>
        <w:tabs>
          <w:tab w:val="right" w:leader="dot" w:pos="9647"/>
        </w:tabs>
        <w:spacing w:line="360" w:lineRule="auto"/>
        <w:rPr>
          <w:sz w:val="24"/>
          <w:szCs w:val="24"/>
        </w:rPr>
      </w:pPr>
    </w:p>
    <w:p w14:paraId="333E1DA7">
      <w:pPr>
        <w:tabs>
          <w:tab w:val="right" w:leader="dot" w:pos="9647"/>
        </w:tabs>
        <w:spacing w:line="360" w:lineRule="auto"/>
        <w:rPr>
          <w:sz w:val="24"/>
          <w:szCs w:val="24"/>
        </w:rPr>
      </w:pPr>
    </w:p>
    <w:p w14:paraId="6900FDD1">
      <w:pPr>
        <w:tabs>
          <w:tab w:val="right" w:leader="dot" w:pos="9647"/>
        </w:tabs>
        <w:spacing w:line="360" w:lineRule="auto"/>
      </w:pPr>
    </w:p>
    <w:p w14:paraId="7291103B">
      <w:pPr>
        <w:widowControl/>
        <w:tabs>
          <w:tab w:val="right" w:leader="dot" w:pos="9645"/>
        </w:tabs>
        <w:adjustRightInd w:val="0"/>
        <w:snapToGrid w:val="0"/>
        <w:spacing w:before="100" w:beforeAutospacing="1" w:after="100" w:afterAutospacing="1" w:line="360" w:lineRule="auto"/>
        <w:jc w:val="center"/>
        <w:outlineLvl w:val="0"/>
        <w:rPr>
          <w:rFonts w:ascii="宋体" w:hAnsi="宋体" w:cs="宋体"/>
          <w:color w:val="000000"/>
          <w:kern w:val="0"/>
          <w:sz w:val="24"/>
          <w:szCs w:val="24"/>
        </w:rPr>
      </w:pPr>
      <w:r>
        <w:rPr>
          <w:rFonts w:hint="eastAsia" w:ascii="宋体" w:hAnsi="宋体" w:cs="宋体"/>
          <w:color w:val="000000"/>
          <w:kern w:val="0"/>
          <w:szCs w:val="24"/>
        </w:rPr>
        <w:fldChar w:fldCharType="end"/>
      </w:r>
    </w:p>
    <w:p w14:paraId="29C22B36">
      <w:pPr>
        <w:widowControl/>
        <w:tabs>
          <w:tab w:val="right" w:leader="dot" w:pos="9645"/>
        </w:tabs>
        <w:adjustRightInd w:val="0"/>
        <w:snapToGrid w:val="0"/>
        <w:spacing w:before="100" w:beforeAutospacing="1" w:after="100" w:afterAutospacing="1" w:line="360" w:lineRule="auto"/>
        <w:jc w:val="center"/>
        <w:outlineLvl w:val="0"/>
        <w:rPr>
          <w:rFonts w:ascii="宋体" w:hAnsi="宋体" w:cs="宋体"/>
          <w:bCs/>
          <w:color w:val="000000"/>
          <w:kern w:val="0"/>
          <w:szCs w:val="32"/>
        </w:rPr>
      </w:pPr>
    </w:p>
    <w:p w14:paraId="24867C4D">
      <w:pPr>
        <w:jc w:val="center"/>
        <w:outlineLvl w:val="0"/>
        <w:rPr>
          <w:rFonts w:ascii="宋体" w:hAnsi="宋体" w:cs="宋体"/>
          <w:b/>
          <w:sz w:val="24"/>
          <w:szCs w:val="24"/>
        </w:rPr>
      </w:pPr>
      <w:bookmarkStart w:id="0" w:name="_Toc31887"/>
    </w:p>
    <w:p w14:paraId="0219FB68">
      <w:pPr>
        <w:jc w:val="center"/>
        <w:outlineLvl w:val="0"/>
        <w:rPr>
          <w:rFonts w:ascii="宋体" w:hAnsi="宋体" w:cs="宋体"/>
          <w:b/>
          <w:sz w:val="24"/>
          <w:szCs w:val="24"/>
        </w:rPr>
      </w:pPr>
    </w:p>
    <w:p w14:paraId="5478063B">
      <w:pPr>
        <w:jc w:val="center"/>
        <w:outlineLvl w:val="0"/>
        <w:rPr>
          <w:rFonts w:ascii="宋体" w:hAnsi="宋体" w:cs="宋体"/>
          <w:b/>
          <w:sz w:val="24"/>
          <w:szCs w:val="24"/>
        </w:rPr>
      </w:pPr>
    </w:p>
    <w:p w14:paraId="0EB82921">
      <w:pPr>
        <w:jc w:val="center"/>
        <w:outlineLvl w:val="0"/>
        <w:rPr>
          <w:rFonts w:ascii="宋体" w:hAnsi="宋体" w:cs="宋体"/>
          <w:b/>
          <w:sz w:val="24"/>
          <w:szCs w:val="24"/>
        </w:rPr>
      </w:pPr>
    </w:p>
    <w:p w14:paraId="3687D887">
      <w:pPr>
        <w:jc w:val="center"/>
        <w:outlineLvl w:val="0"/>
        <w:rPr>
          <w:rFonts w:ascii="宋体" w:hAnsi="宋体" w:cs="宋体"/>
          <w:b/>
          <w:sz w:val="24"/>
          <w:szCs w:val="24"/>
        </w:rPr>
      </w:pPr>
    </w:p>
    <w:p w14:paraId="5E996BB1">
      <w:pPr>
        <w:jc w:val="center"/>
        <w:outlineLvl w:val="0"/>
        <w:rPr>
          <w:rFonts w:ascii="宋体" w:hAnsi="宋体" w:cs="宋体"/>
          <w:b/>
          <w:sz w:val="24"/>
          <w:szCs w:val="24"/>
        </w:rPr>
      </w:pPr>
    </w:p>
    <w:p w14:paraId="72038B3C">
      <w:pPr>
        <w:jc w:val="center"/>
        <w:outlineLvl w:val="0"/>
        <w:rPr>
          <w:rFonts w:ascii="宋体" w:hAnsi="宋体" w:cs="宋体"/>
          <w:b/>
          <w:sz w:val="24"/>
          <w:szCs w:val="24"/>
        </w:rPr>
      </w:pPr>
    </w:p>
    <w:p w14:paraId="40E229F9">
      <w:pPr>
        <w:jc w:val="center"/>
        <w:outlineLvl w:val="0"/>
        <w:rPr>
          <w:rFonts w:ascii="宋体" w:hAnsi="宋体" w:cs="宋体"/>
          <w:b/>
          <w:sz w:val="24"/>
          <w:szCs w:val="24"/>
        </w:rPr>
      </w:pPr>
    </w:p>
    <w:p w14:paraId="2144AD24">
      <w:pPr>
        <w:jc w:val="center"/>
        <w:outlineLvl w:val="0"/>
        <w:rPr>
          <w:rFonts w:ascii="宋体" w:hAnsi="宋体" w:cs="宋体"/>
          <w:b/>
          <w:sz w:val="24"/>
          <w:szCs w:val="24"/>
        </w:rPr>
      </w:pPr>
    </w:p>
    <w:p w14:paraId="62A617F8">
      <w:pPr>
        <w:jc w:val="center"/>
        <w:outlineLvl w:val="0"/>
        <w:rPr>
          <w:rFonts w:ascii="宋体" w:hAnsi="宋体" w:cs="宋体"/>
          <w:b/>
          <w:sz w:val="24"/>
          <w:szCs w:val="24"/>
        </w:rPr>
      </w:pPr>
    </w:p>
    <w:p w14:paraId="567FA7B7">
      <w:pPr>
        <w:jc w:val="center"/>
        <w:outlineLvl w:val="0"/>
        <w:rPr>
          <w:rFonts w:ascii="宋体" w:hAnsi="宋体" w:cs="宋体"/>
          <w:b/>
          <w:sz w:val="24"/>
          <w:szCs w:val="24"/>
        </w:rPr>
      </w:pPr>
    </w:p>
    <w:p w14:paraId="69D842BC">
      <w:pPr>
        <w:jc w:val="center"/>
        <w:outlineLvl w:val="0"/>
        <w:rPr>
          <w:rFonts w:ascii="宋体" w:hAnsi="宋体" w:cs="宋体"/>
          <w:b/>
          <w:sz w:val="24"/>
          <w:szCs w:val="24"/>
        </w:rPr>
      </w:pPr>
    </w:p>
    <w:p w14:paraId="5E64EC73">
      <w:pPr>
        <w:jc w:val="center"/>
        <w:outlineLvl w:val="0"/>
        <w:rPr>
          <w:rFonts w:ascii="宋体" w:hAnsi="宋体" w:cs="宋体"/>
          <w:b/>
          <w:sz w:val="24"/>
          <w:szCs w:val="24"/>
        </w:rPr>
      </w:pPr>
    </w:p>
    <w:p w14:paraId="1394A0E3">
      <w:pPr>
        <w:jc w:val="center"/>
        <w:outlineLvl w:val="0"/>
        <w:rPr>
          <w:rFonts w:ascii="宋体" w:hAnsi="宋体" w:cs="宋体"/>
          <w:b/>
          <w:sz w:val="24"/>
          <w:szCs w:val="24"/>
        </w:rPr>
      </w:pPr>
    </w:p>
    <w:p w14:paraId="29947D6B">
      <w:pPr>
        <w:jc w:val="center"/>
        <w:outlineLvl w:val="0"/>
        <w:rPr>
          <w:rFonts w:ascii="宋体" w:hAnsi="宋体" w:cs="宋体"/>
          <w:b/>
          <w:sz w:val="24"/>
          <w:szCs w:val="24"/>
        </w:rPr>
      </w:pPr>
    </w:p>
    <w:p w14:paraId="417BD5A6">
      <w:pPr>
        <w:jc w:val="center"/>
        <w:outlineLvl w:val="0"/>
        <w:rPr>
          <w:rFonts w:ascii="宋体" w:hAnsi="宋体" w:cs="宋体"/>
          <w:b/>
          <w:sz w:val="24"/>
          <w:szCs w:val="24"/>
        </w:rPr>
      </w:pPr>
    </w:p>
    <w:p w14:paraId="6953210F">
      <w:pPr>
        <w:jc w:val="center"/>
        <w:outlineLvl w:val="0"/>
        <w:rPr>
          <w:rFonts w:ascii="宋体" w:hAnsi="宋体" w:cs="宋体"/>
          <w:b/>
          <w:color w:val="000000"/>
          <w:kern w:val="0"/>
          <w:sz w:val="24"/>
          <w:szCs w:val="24"/>
        </w:rPr>
      </w:pPr>
      <w:r>
        <w:rPr>
          <w:rFonts w:hint="eastAsia" w:ascii="宋体" w:hAnsi="宋体" w:cs="宋体"/>
          <w:b/>
          <w:sz w:val="24"/>
          <w:szCs w:val="24"/>
        </w:rPr>
        <w:t>第一章  竞争性磋商公告</w:t>
      </w:r>
      <w:bookmarkEnd w:id="0"/>
    </w:p>
    <w:p w14:paraId="55505AA8">
      <w:pPr>
        <w:spacing w:line="360" w:lineRule="auto"/>
        <w:ind w:firstLine="420" w:firstLineChars="175"/>
        <w:rPr>
          <w:rFonts w:ascii="宋体" w:hAnsi="宋体" w:cs="宋体"/>
          <w:sz w:val="24"/>
          <w:szCs w:val="24"/>
        </w:rPr>
      </w:pPr>
      <w:r>
        <w:rPr>
          <w:rFonts w:hint="eastAsia" w:ascii="宋体" w:hAnsi="宋体" w:cs="宋体"/>
          <w:sz w:val="24"/>
          <w:szCs w:val="24"/>
        </w:rPr>
        <w:t>项目概况</w:t>
      </w:r>
    </w:p>
    <w:p w14:paraId="70D4A31D">
      <w:pPr>
        <w:spacing w:line="360" w:lineRule="auto"/>
        <w:ind w:firstLine="420" w:firstLineChars="175"/>
        <w:rPr>
          <w:rFonts w:ascii="宋体" w:hAnsi="宋体" w:cs="宋体"/>
          <w:color w:val="auto"/>
          <w:sz w:val="24"/>
          <w:szCs w:val="24"/>
        </w:rPr>
      </w:pPr>
      <w:r>
        <w:rPr>
          <w:rFonts w:hint="eastAsia" w:ascii="宋体" w:hAnsi="宋体" w:cs="宋体"/>
          <w:sz w:val="24"/>
          <w:szCs w:val="24"/>
          <w:lang w:eastAsia="zh-CN"/>
        </w:rPr>
        <w:t>2025年陕州区农村道路巩固提升项目</w:t>
      </w:r>
      <w:r>
        <w:rPr>
          <w:rFonts w:hint="eastAsia" w:ascii="宋体" w:hAnsi="宋体" w:cs="宋体"/>
          <w:sz w:val="24"/>
          <w:szCs w:val="24"/>
          <w:lang w:val="en-US" w:eastAsia="zh-CN"/>
        </w:rPr>
        <w:t>（第三批）</w:t>
      </w:r>
      <w:r>
        <w:rPr>
          <w:rFonts w:hint="eastAsia" w:ascii="宋体" w:hAnsi="宋体" w:cs="宋体"/>
          <w:sz w:val="24"/>
          <w:szCs w:val="24"/>
        </w:rPr>
        <w:t>的潜在供应商凭CA登录三门峡市公共资源交易</w:t>
      </w:r>
      <w:r>
        <w:rPr>
          <w:rFonts w:hint="eastAsia" w:ascii="宋体" w:hAnsi="宋体" w:cs="宋体"/>
          <w:color w:val="auto"/>
          <w:sz w:val="24"/>
          <w:szCs w:val="24"/>
        </w:rPr>
        <w:t>中心网（网址：</w:t>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"http://gzjy.smx.gov.cn）获取采购文件，并于2024年" </w:instrText>
      </w:r>
      <w:r>
        <w:rPr>
          <w:rFonts w:hint="eastAsia" w:ascii="宋体" w:hAnsi="宋体" w:cs="宋体"/>
          <w:color w:val="auto"/>
          <w:sz w:val="24"/>
          <w:szCs w:val="24"/>
          <w:highlight w:val="none"/>
        </w:rPr>
        <w:fldChar w:fldCharType="separate"/>
      </w:r>
      <w:r>
        <w:rPr>
          <w:rStyle w:val="9"/>
          <w:rFonts w:hint="eastAsia" w:ascii="宋体" w:hAnsi="宋体" w:cs="宋体"/>
          <w:color w:val="auto"/>
          <w:sz w:val="24"/>
          <w:szCs w:val="24"/>
          <w:highlight w:val="none"/>
        </w:rPr>
        <w:t>http://gzjy.smx.gov.cn）获取采购文件，并于</w:t>
      </w:r>
      <w:r>
        <w:rPr>
          <w:rStyle w:val="9"/>
          <w:rFonts w:hint="eastAsia" w:ascii="宋体" w:hAnsi="宋体" w:cs="宋体"/>
          <w:color w:val="auto"/>
          <w:sz w:val="24"/>
          <w:szCs w:val="24"/>
          <w:highlight w:val="none"/>
          <w:u w:val="none"/>
          <w:lang w:val="en-US" w:eastAsia="zh-CN"/>
        </w:rPr>
        <w:t>2025</w:t>
      </w:r>
      <w:r>
        <w:rPr>
          <w:rStyle w:val="9"/>
          <w:rFonts w:hint="eastAsia" w:ascii="宋体" w:hAnsi="宋体" w:cs="宋体"/>
          <w:color w:val="auto"/>
          <w:sz w:val="24"/>
          <w:szCs w:val="24"/>
          <w:highlight w:val="none"/>
          <w:u w:val="none"/>
        </w:rPr>
        <w:t>年</w:t>
      </w:r>
      <w:r>
        <w:rPr>
          <w:rFonts w:hint="eastAsia" w:ascii="宋体" w:hAnsi="宋体" w:cs="宋体"/>
          <w:color w:val="auto"/>
          <w:sz w:val="24"/>
          <w:szCs w:val="24"/>
          <w:highlight w:val="none"/>
        </w:rPr>
        <w:fldChar w:fldCharType="end"/>
      </w:r>
      <w:r>
        <w:rPr>
          <w:rFonts w:hint="eastAsia" w:ascii="宋体" w:hAnsi="宋体" w:cs="宋体"/>
          <w:color w:val="auto"/>
          <w:sz w:val="24"/>
          <w:szCs w:val="24"/>
          <w:lang w:val="en-US" w:eastAsia="zh-CN"/>
        </w:rPr>
        <w:t>10</w:t>
      </w:r>
      <w:r>
        <w:rPr>
          <w:rFonts w:hint="eastAsia" w:ascii="宋体" w:hAnsi="宋体" w:cs="宋体"/>
          <w:color w:val="auto"/>
          <w:sz w:val="24"/>
          <w:szCs w:val="24"/>
        </w:rPr>
        <w:t>月</w:t>
      </w:r>
      <w:r>
        <w:rPr>
          <w:rFonts w:hint="eastAsia" w:ascii="宋体" w:hAnsi="宋体" w:cs="宋体"/>
          <w:color w:val="auto"/>
          <w:sz w:val="24"/>
          <w:szCs w:val="24"/>
          <w:lang w:val="en-US" w:eastAsia="zh-CN"/>
        </w:rPr>
        <w:t>15</w:t>
      </w:r>
      <w:r>
        <w:rPr>
          <w:rFonts w:hint="eastAsia" w:ascii="宋体" w:hAnsi="宋体" w:cs="宋体"/>
          <w:color w:val="auto"/>
          <w:sz w:val="24"/>
          <w:szCs w:val="24"/>
        </w:rPr>
        <w:t>日</w:t>
      </w:r>
      <w:r>
        <w:rPr>
          <w:rFonts w:hint="eastAsia" w:ascii="宋体" w:hAnsi="宋体" w:cs="宋体"/>
          <w:color w:val="auto"/>
          <w:sz w:val="24"/>
          <w:szCs w:val="24"/>
          <w:lang w:val="en-US" w:eastAsia="zh-CN"/>
        </w:rPr>
        <w:t>9</w:t>
      </w:r>
      <w:r>
        <w:rPr>
          <w:rFonts w:hint="eastAsia" w:ascii="宋体" w:hAnsi="宋体" w:cs="宋体"/>
          <w:color w:val="auto"/>
          <w:sz w:val="24"/>
          <w:szCs w:val="24"/>
        </w:rPr>
        <w:t>时</w:t>
      </w:r>
      <w:r>
        <w:rPr>
          <w:rFonts w:hint="eastAsia" w:ascii="宋体" w:hAnsi="宋体" w:cs="宋体"/>
          <w:color w:val="auto"/>
          <w:sz w:val="24"/>
          <w:szCs w:val="24"/>
          <w:lang w:val="en-US" w:eastAsia="zh-CN"/>
        </w:rPr>
        <w:t>0</w:t>
      </w:r>
      <w:r>
        <w:rPr>
          <w:rFonts w:hint="eastAsia" w:ascii="宋体" w:hAnsi="宋体" w:cs="宋体"/>
          <w:color w:val="auto"/>
          <w:sz w:val="24"/>
          <w:szCs w:val="24"/>
        </w:rPr>
        <w:t>0分（北京时间，下同）前递交响应文件。</w:t>
      </w:r>
    </w:p>
    <w:p w14:paraId="5E9440D9">
      <w:pPr>
        <w:spacing w:line="360" w:lineRule="auto"/>
        <w:ind w:firstLine="420" w:firstLineChars="175"/>
        <w:rPr>
          <w:rFonts w:hint="eastAsia" w:ascii="宋体" w:hAnsi="宋体" w:cs="宋体" w:eastAsiaTheme="minorEastAsia"/>
          <w:color w:val="auto"/>
          <w:sz w:val="24"/>
          <w:szCs w:val="24"/>
          <w:lang w:val="en-US" w:eastAsia="zh-CN"/>
        </w:rPr>
      </w:pPr>
      <w:r>
        <w:rPr>
          <w:rFonts w:hint="eastAsia" w:ascii="宋体" w:hAnsi="宋体" w:cs="宋体"/>
          <w:color w:val="auto"/>
          <w:sz w:val="24"/>
          <w:szCs w:val="24"/>
        </w:rPr>
        <w:t>一、项目基本情况：</w:t>
      </w:r>
      <w:r>
        <w:rPr>
          <w:rFonts w:hint="eastAsia" w:ascii="宋体" w:hAnsi="宋体" w:cs="宋体"/>
          <w:color w:val="auto"/>
          <w:sz w:val="24"/>
          <w:szCs w:val="24"/>
          <w:lang w:val="en-US" w:eastAsia="zh-CN"/>
        </w:rPr>
        <w:t xml:space="preserve"> </w:t>
      </w:r>
    </w:p>
    <w:p w14:paraId="49E99FF1">
      <w:pPr>
        <w:spacing w:line="360" w:lineRule="auto"/>
        <w:ind w:firstLine="420" w:firstLineChars="175"/>
        <w:rPr>
          <w:rFonts w:hint="eastAsia" w:ascii="宋体" w:hAnsi="宋体" w:cs="宋体"/>
          <w:color w:val="auto"/>
          <w:sz w:val="24"/>
          <w:szCs w:val="24"/>
          <w:highlight w:val="none"/>
          <w:lang w:val="en-US" w:eastAsia="zh-CN"/>
        </w:rPr>
      </w:pPr>
      <w:r>
        <w:rPr>
          <w:rFonts w:hint="eastAsia" w:ascii="宋体" w:hAnsi="宋体" w:cs="宋体"/>
          <w:color w:val="auto"/>
          <w:sz w:val="24"/>
          <w:szCs w:val="24"/>
        </w:rPr>
        <w:t>1、</w:t>
      </w:r>
      <w:r>
        <w:rPr>
          <w:rFonts w:hint="eastAsia" w:ascii="宋体" w:hAnsi="宋体" w:cs="宋体"/>
          <w:sz w:val="24"/>
          <w:szCs w:val="24"/>
        </w:rPr>
        <w:t>项目名称：</w:t>
      </w:r>
      <w:r>
        <w:rPr>
          <w:rFonts w:hint="eastAsia" w:ascii="宋体" w:hAnsi="宋体" w:cs="宋体"/>
          <w:sz w:val="24"/>
          <w:szCs w:val="24"/>
          <w:lang w:eastAsia="zh-CN"/>
        </w:rPr>
        <w:t>2025年陕州区农村道路巩固提升项目</w:t>
      </w:r>
      <w:r>
        <w:rPr>
          <w:rFonts w:hint="eastAsia" w:ascii="宋体" w:hAnsi="宋体" w:cs="宋体"/>
          <w:sz w:val="24"/>
          <w:szCs w:val="24"/>
          <w:lang w:val="en-US" w:eastAsia="zh-CN"/>
        </w:rPr>
        <w:t>（第三批）</w:t>
      </w:r>
    </w:p>
    <w:p w14:paraId="752E44AA">
      <w:pPr>
        <w:spacing w:line="360" w:lineRule="auto"/>
        <w:ind w:firstLine="420" w:firstLineChars="175"/>
        <w:rPr>
          <w:rFonts w:hint="eastAsia" w:ascii="宋体" w:hAnsi="宋体" w:cs="宋体"/>
          <w:sz w:val="24"/>
          <w:szCs w:val="24"/>
          <w:lang w:eastAsia="zh-CN"/>
        </w:rPr>
      </w:pPr>
      <w:r>
        <w:rPr>
          <w:rFonts w:hint="eastAsia" w:ascii="宋体" w:hAnsi="宋体" w:cs="宋体"/>
          <w:sz w:val="24"/>
          <w:szCs w:val="24"/>
          <w:lang w:eastAsia="zh-CN"/>
        </w:rPr>
        <w:t>2、项目编号：</w:t>
      </w:r>
      <w:r>
        <w:rPr>
          <w:rFonts w:hint="eastAsia" w:ascii="宋体" w:hAnsi="宋体" w:cs="宋体"/>
          <w:sz w:val="24"/>
          <w:szCs w:val="24"/>
          <w:lang w:val="en-US" w:eastAsia="zh-CN"/>
        </w:rPr>
        <w:t>SZGZ[2025]187-ZC126 、陕州竞磋采购-2025-109</w:t>
      </w:r>
    </w:p>
    <w:p w14:paraId="130D9794">
      <w:pPr>
        <w:spacing w:line="360" w:lineRule="auto"/>
        <w:ind w:firstLine="420" w:firstLineChars="175"/>
        <w:rPr>
          <w:rFonts w:ascii="宋体" w:hAnsi="宋体" w:cs="宋体"/>
          <w:sz w:val="24"/>
          <w:szCs w:val="24"/>
        </w:rPr>
      </w:pPr>
      <w:r>
        <w:rPr>
          <w:rFonts w:hint="eastAsia" w:ascii="宋体" w:hAnsi="宋体" w:cs="宋体"/>
          <w:sz w:val="24"/>
          <w:szCs w:val="24"/>
        </w:rPr>
        <w:t>3、采购方式：竞争性磋商</w:t>
      </w:r>
    </w:p>
    <w:p w14:paraId="20B2EFF1">
      <w:pPr>
        <w:spacing w:line="360" w:lineRule="auto"/>
        <w:ind w:firstLine="420" w:firstLineChars="175"/>
        <w:rPr>
          <w:rFonts w:hint="eastAsia" w:ascii="宋体" w:hAnsi="宋体" w:cs="宋体"/>
          <w:sz w:val="24"/>
          <w:szCs w:val="24"/>
        </w:rPr>
      </w:pPr>
      <w:r>
        <w:rPr>
          <w:rFonts w:hint="eastAsia" w:ascii="宋体" w:hAnsi="宋体" w:cs="宋体"/>
          <w:sz w:val="24"/>
          <w:szCs w:val="24"/>
          <w:lang w:val="en-US" w:eastAsia="zh-CN"/>
        </w:rPr>
        <w:t>4、预算金额：¥3968926.58 元；</w:t>
      </w:r>
    </w:p>
    <w:p w14:paraId="1071B770">
      <w:pPr>
        <w:spacing w:line="360" w:lineRule="auto"/>
        <w:ind w:firstLine="420" w:firstLineChars="175"/>
        <w:rPr>
          <w:rFonts w:hint="eastAsia" w:ascii="宋体" w:hAnsi="宋体" w:cs="宋体"/>
          <w:sz w:val="24"/>
          <w:szCs w:val="24"/>
          <w:vertAlign w:val="baseline"/>
        </w:rPr>
      </w:pPr>
      <w:r>
        <w:rPr>
          <w:rFonts w:hint="eastAsia" w:ascii="宋体" w:hAnsi="宋体" w:cs="宋体"/>
          <w:sz w:val="24"/>
          <w:szCs w:val="24"/>
          <w:lang w:val="en-US" w:eastAsia="zh-CN"/>
        </w:rPr>
        <w:t>最高限价：¥3968926.58 元</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2107"/>
        <w:gridCol w:w="1718"/>
        <w:gridCol w:w="1358"/>
        <w:gridCol w:w="1358"/>
        <w:gridCol w:w="982"/>
        <w:gridCol w:w="1359"/>
      </w:tblGrid>
      <w:tr w14:paraId="019B2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14:paraId="42179350">
            <w:pPr>
              <w:keepNext w:val="0"/>
              <w:keepLines w:val="0"/>
              <w:suppressLineNumbers w:val="0"/>
              <w:spacing w:before="0" w:beforeAutospacing="0" w:after="0" w:afterAutospacing="0" w:line="360" w:lineRule="auto"/>
              <w:ind w:left="0" w:right="0"/>
              <w:rPr>
                <w:rFonts w:hint="eastAsia" w:ascii="宋体" w:hAnsi="宋体" w:cs="宋体" w:eastAsiaTheme="minorEastAsia"/>
                <w:sz w:val="24"/>
                <w:szCs w:val="24"/>
                <w:vertAlign w:val="baseline"/>
                <w:lang w:val="en-US" w:eastAsia="zh-CN"/>
              </w:rPr>
            </w:pPr>
            <w:r>
              <w:rPr>
                <w:rFonts w:hint="eastAsia" w:ascii="宋体" w:hAnsi="宋体" w:cs="宋体"/>
                <w:sz w:val="24"/>
                <w:szCs w:val="24"/>
                <w:vertAlign w:val="baseline"/>
                <w:lang w:val="en-US" w:eastAsia="zh-CN"/>
              </w:rPr>
              <w:t>序号</w:t>
            </w:r>
          </w:p>
        </w:tc>
        <w:tc>
          <w:tcPr>
            <w:tcW w:w="2107" w:type="dxa"/>
          </w:tcPr>
          <w:p w14:paraId="637260AC">
            <w:pPr>
              <w:keepNext w:val="0"/>
              <w:keepLines w:val="0"/>
              <w:suppressLineNumbers w:val="0"/>
              <w:spacing w:before="0" w:beforeAutospacing="0" w:after="0" w:afterAutospacing="0" w:line="360" w:lineRule="auto"/>
              <w:ind w:left="0" w:right="0"/>
              <w:rPr>
                <w:rFonts w:hint="eastAsia" w:ascii="宋体" w:hAnsi="宋体" w:cs="宋体" w:eastAsiaTheme="minorEastAsia"/>
                <w:sz w:val="24"/>
                <w:szCs w:val="24"/>
                <w:vertAlign w:val="baseline"/>
                <w:lang w:val="en-US" w:eastAsia="zh-CN"/>
              </w:rPr>
            </w:pPr>
            <w:r>
              <w:rPr>
                <w:rFonts w:hint="eastAsia" w:ascii="宋体" w:hAnsi="宋体" w:cs="宋体"/>
                <w:sz w:val="24"/>
                <w:szCs w:val="24"/>
                <w:vertAlign w:val="baseline"/>
                <w:lang w:val="en-US" w:eastAsia="zh-CN"/>
              </w:rPr>
              <w:t>包号</w:t>
            </w:r>
          </w:p>
        </w:tc>
        <w:tc>
          <w:tcPr>
            <w:tcW w:w="1718" w:type="dxa"/>
          </w:tcPr>
          <w:p w14:paraId="756C8978">
            <w:pPr>
              <w:keepNext w:val="0"/>
              <w:keepLines w:val="0"/>
              <w:suppressLineNumbers w:val="0"/>
              <w:spacing w:before="0" w:beforeAutospacing="0" w:after="0" w:afterAutospacing="0" w:line="360" w:lineRule="auto"/>
              <w:ind w:left="0" w:right="0"/>
              <w:rPr>
                <w:rFonts w:hint="default" w:ascii="宋体" w:hAnsi="宋体" w:cs="宋体" w:eastAsiaTheme="minorEastAsia"/>
                <w:sz w:val="24"/>
                <w:szCs w:val="24"/>
                <w:vertAlign w:val="baseline"/>
                <w:lang w:val="en-US" w:eastAsia="zh-CN"/>
              </w:rPr>
            </w:pPr>
            <w:r>
              <w:rPr>
                <w:rFonts w:hint="eastAsia" w:ascii="宋体" w:hAnsi="宋体" w:cs="宋体"/>
                <w:sz w:val="24"/>
                <w:szCs w:val="24"/>
                <w:vertAlign w:val="baseline"/>
                <w:lang w:val="en-US" w:eastAsia="zh-CN"/>
              </w:rPr>
              <w:t>包名称</w:t>
            </w:r>
          </w:p>
        </w:tc>
        <w:tc>
          <w:tcPr>
            <w:tcW w:w="1358" w:type="dxa"/>
          </w:tcPr>
          <w:p w14:paraId="7C203F2D">
            <w:pPr>
              <w:keepNext w:val="0"/>
              <w:keepLines w:val="0"/>
              <w:suppressLineNumbers w:val="0"/>
              <w:spacing w:before="0" w:beforeAutospacing="0" w:after="0" w:afterAutospacing="0" w:line="360" w:lineRule="auto"/>
              <w:ind w:left="0" w:right="0"/>
              <w:rPr>
                <w:rFonts w:hint="eastAsia" w:ascii="宋体" w:hAnsi="宋体" w:cs="宋体"/>
                <w:sz w:val="24"/>
                <w:szCs w:val="24"/>
                <w:vertAlign w:val="baseline"/>
              </w:rPr>
            </w:pPr>
            <w:r>
              <w:rPr>
                <w:rFonts w:hint="eastAsia" w:ascii="宋体" w:hAnsi="宋体" w:eastAsia="宋体" w:cs="宋体"/>
                <w:color w:val="333333"/>
                <w:kern w:val="0"/>
                <w:sz w:val="24"/>
                <w:szCs w:val="24"/>
              </w:rPr>
              <w:t>包预算（元）</w:t>
            </w:r>
          </w:p>
        </w:tc>
        <w:tc>
          <w:tcPr>
            <w:tcW w:w="1358" w:type="dxa"/>
          </w:tcPr>
          <w:p w14:paraId="7826B5F6">
            <w:pPr>
              <w:keepNext w:val="0"/>
              <w:keepLines w:val="0"/>
              <w:suppressLineNumbers w:val="0"/>
              <w:spacing w:before="0" w:beforeAutospacing="0" w:after="0" w:afterAutospacing="0" w:line="360" w:lineRule="auto"/>
              <w:ind w:left="0" w:right="0"/>
              <w:rPr>
                <w:rFonts w:hint="eastAsia" w:ascii="宋体" w:hAnsi="宋体" w:cs="宋体"/>
                <w:sz w:val="24"/>
                <w:szCs w:val="24"/>
                <w:vertAlign w:val="baseline"/>
              </w:rPr>
            </w:pPr>
            <w:r>
              <w:rPr>
                <w:rFonts w:hint="eastAsia" w:ascii="宋体" w:hAnsi="宋体" w:eastAsia="宋体" w:cs="宋体"/>
                <w:color w:val="333333"/>
                <w:kern w:val="0"/>
                <w:sz w:val="24"/>
                <w:szCs w:val="24"/>
              </w:rPr>
              <w:t>包最高限价（元）</w:t>
            </w:r>
          </w:p>
        </w:tc>
        <w:tc>
          <w:tcPr>
            <w:tcW w:w="982" w:type="dxa"/>
          </w:tcPr>
          <w:p w14:paraId="4C093394">
            <w:pPr>
              <w:keepNext w:val="0"/>
              <w:keepLines w:val="0"/>
              <w:suppressLineNumbers w:val="0"/>
              <w:spacing w:before="0" w:beforeAutospacing="0" w:after="0" w:afterAutospacing="0" w:line="360" w:lineRule="auto"/>
              <w:ind w:left="0" w:right="0"/>
              <w:rPr>
                <w:rFonts w:hint="eastAsia" w:ascii="宋体" w:hAnsi="宋体" w:cs="宋体"/>
                <w:sz w:val="24"/>
                <w:szCs w:val="24"/>
                <w:vertAlign w:val="baseline"/>
              </w:rPr>
            </w:pPr>
            <w:r>
              <w:rPr>
                <w:rFonts w:hint="eastAsia" w:ascii="宋体" w:hAnsi="宋体" w:eastAsia="宋体" w:cs="宋体"/>
                <w:color w:val="333333"/>
                <w:kern w:val="0"/>
                <w:sz w:val="24"/>
                <w:szCs w:val="24"/>
              </w:rPr>
              <w:t>是否专门面向中小企业</w:t>
            </w:r>
          </w:p>
        </w:tc>
        <w:tc>
          <w:tcPr>
            <w:tcW w:w="1359" w:type="dxa"/>
          </w:tcPr>
          <w:p w14:paraId="4DC56CD2">
            <w:pPr>
              <w:keepNext w:val="0"/>
              <w:keepLines w:val="0"/>
              <w:suppressLineNumbers w:val="0"/>
              <w:spacing w:before="0" w:beforeAutospacing="0" w:after="0" w:afterAutospacing="0" w:line="360" w:lineRule="auto"/>
              <w:ind w:left="0" w:right="0"/>
              <w:rPr>
                <w:rFonts w:hint="eastAsia" w:ascii="宋体" w:hAnsi="宋体" w:cs="宋体"/>
                <w:sz w:val="24"/>
                <w:szCs w:val="24"/>
                <w:vertAlign w:val="baseline"/>
              </w:rPr>
            </w:pPr>
            <w:r>
              <w:rPr>
                <w:rFonts w:hint="eastAsia" w:ascii="宋体" w:hAnsi="宋体" w:eastAsia="宋体" w:cs="宋体"/>
                <w:color w:val="333333"/>
                <w:kern w:val="0"/>
                <w:sz w:val="24"/>
                <w:szCs w:val="24"/>
              </w:rPr>
              <w:t>采购预留金额（元）</w:t>
            </w:r>
          </w:p>
        </w:tc>
      </w:tr>
      <w:tr w14:paraId="2DFA4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14:paraId="649E994C">
            <w:pPr>
              <w:keepNext w:val="0"/>
              <w:keepLines w:val="0"/>
              <w:suppressLineNumbers w:val="0"/>
              <w:spacing w:before="0" w:beforeAutospacing="0" w:after="0" w:afterAutospacing="0" w:line="360" w:lineRule="auto"/>
              <w:ind w:left="0" w:right="0"/>
              <w:rPr>
                <w:rFonts w:hint="eastAsia" w:ascii="宋体" w:hAnsi="宋体" w:cs="宋体" w:eastAsiaTheme="minorEastAsia"/>
                <w:sz w:val="24"/>
                <w:szCs w:val="24"/>
                <w:vertAlign w:val="baseline"/>
                <w:lang w:val="en-US" w:eastAsia="zh-CN"/>
              </w:rPr>
            </w:pPr>
            <w:r>
              <w:rPr>
                <w:rFonts w:hint="eastAsia" w:ascii="宋体" w:hAnsi="宋体" w:cs="宋体"/>
                <w:sz w:val="24"/>
                <w:szCs w:val="24"/>
                <w:vertAlign w:val="baseline"/>
                <w:lang w:val="en-US" w:eastAsia="zh-CN"/>
              </w:rPr>
              <w:t>1</w:t>
            </w:r>
          </w:p>
        </w:tc>
        <w:tc>
          <w:tcPr>
            <w:tcW w:w="2107" w:type="dxa"/>
          </w:tcPr>
          <w:p w14:paraId="61F9B6AE">
            <w:pPr>
              <w:keepNext w:val="0"/>
              <w:keepLines w:val="0"/>
              <w:suppressLineNumbers w:val="0"/>
              <w:spacing w:before="0" w:beforeAutospacing="0" w:after="0" w:afterAutospacing="0" w:line="360" w:lineRule="auto"/>
              <w:ind w:left="0" w:right="0"/>
              <w:rPr>
                <w:rFonts w:hint="default" w:ascii="宋体" w:hAnsi="宋体" w:cs="宋体"/>
                <w:sz w:val="24"/>
                <w:szCs w:val="24"/>
                <w:vertAlign w:val="baseline"/>
                <w:lang w:val="en-US"/>
              </w:rPr>
            </w:pPr>
            <w:r>
              <w:rPr>
                <w:rFonts w:hint="default" w:ascii="宋体" w:hAnsi="宋体" w:cs="宋体"/>
                <w:sz w:val="24"/>
                <w:szCs w:val="24"/>
                <w:vertAlign w:val="baseline"/>
                <w:lang w:val="en-US"/>
              </w:rPr>
              <w:t>SZGZ[2025]187-ZC126-1</w:t>
            </w:r>
          </w:p>
        </w:tc>
        <w:tc>
          <w:tcPr>
            <w:tcW w:w="1718" w:type="dxa"/>
          </w:tcPr>
          <w:p w14:paraId="675D9B78">
            <w:pPr>
              <w:keepNext w:val="0"/>
              <w:keepLines w:val="0"/>
              <w:suppressLineNumbers w:val="0"/>
              <w:spacing w:before="0" w:beforeAutospacing="0" w:after="0" w:afterAutospacing="0" w:line="360" w:lineRule="auto"/>
              <w:ind w:left="0" w:right="0"/>
              <w:rPr>
                <w:rFonts w:hint="eastAsia" w:ascii="宋体" w:hAnsi="宋体" w:cs="宋体"/>
                <w:sz w:val="24"/>
                <w:szCs w:val="24"/>
                <w:vertAlign w:val="baseline"/>
              </w:rPr>
            </w:pPr>
            <w:r>
              <w:rPr>
                <w:rFonts w:hint="eastAsia" w:ascii="宋体" w:hAnsi="宋体" w:cs="宋体"/>
                <w:sz w:val="24"/>
                <w:szCs w:val="24"/>
                <w:vertAlign w:val="baseline"/>
                <w:lang w:eastAsia="zh-CN"/>
              </w:rPr>
              <w:t>2025年陕州区农村道路巩固提升项目</w:t>
            </w:r>
            <w:r>
              <w:rPr>
                <w:rFonts w:hint="eastAsia" w:ascii="宋体" w:hAnsi="宋体" w:cs="宋体"/>
                <w:sz w:val="24"/>
                <w:szCs w:val="24"/>
                <w:vertAlign w:val="baseline"/>
                <w:lang w:val="en-US" w:eastAsia="zh-CN"/>
              </w:rPr>
              <w:t>（第三批）</w:t>
            </w:r>
          </w:p>
        </w:tc>
        <w:tc>
          <w:tcPr>
            <w:tcW w:w="1358" w:type="dxa"/>
          </w:tcPr>
          <w:p w14:paraId="19FC9544">
            <w:pPr>
              <w:keepNext w:val="0"/>
              <w:keepLines w:val="0"/>
              <w:suppressLineNumbers w:val="0"/>
              <w:spacing w:before="0" w:beforeAutospacing="0" w:after="0" w:afterAutospacing="0" w:line="360" w:lineRule="auto"/>
              <w:ind w:left="0" w:right="0"/>
              <w:rPr>
                <w:rFonts w:hint="eastAsia" w:ascii="宋体" w:hAnsi="宋体" w:cs="宋体"/>
                <w:sz w:val="24"/>
                <w:szCs w:val="24"/>
                <w:vertAlign w:val="baseline"/>
              </w:rPr>
            </w:pPr>
            <w:r>
              <w:rPr>
                <w:rFonts w:hint="eastAsia" w:ascii="宋体" w:hAnsi="宋体" w:cs="宋体"/>
                <w:sz w:val="24"/>
                <w:szCs w:val="24"/>
                <w:lang w:val="en-US" w:eastAsia="zh-CN"/>
              </w:rPr>
              <w:t xml:space="preserve">3968926.58 </w:t>
            </w:r>
            <w:bookmarkStart w:id="424" w:name="_GoBack"/>
            <w:bookmarkEnd w:id="424"/>
          </w:p>
        </w:tc>
        <w:tc>
          <w:tcPr>
            <w:tcW w:w="1358" w:type="dxa"/>
          </w:tcPr>
          <w:p w14:paraId="2C92D877">
            <w:pPr>
              <w:keepNext w:val="0"/>
              <w:keepLines w:val="0"/>
              <w:suppressLineNumbers w:val="0"/>
              <w:spacing w:before="0" w:beforeAutospacing="0" w:after="0" w:afterAutospacing="0" w:line="360" w:lineRule="auto"/>
              <w:ind w:left="0" w:right="0"/>
              <w:rPr>
                <w:rFonts w:hint="eastAsia" w:ascii="宋体" w:hAnsi="宋体" w:cs="宋体"/>
                <w:sz w:val="24"/>
                <w:szCs w:val="24"/>
                <w:vertAlign w:val="baseline"/>
              </w:rPr>
            </w:pPr>
            <w:r>
              <w:rPr>
                <w:rFonts w:hint="eastAsia" w:ascii="宋体" w:hAnsi="宋体" w:cs="宋体"/>
                <w:sz w:val="24"/>
                <w:szCs w:val="24"/>
                <w:lang w:val="en-US" w:eastAsia="zh-CN"/>
              </w:rPr>
              <w:t xml:space="preserve">3968926.58 </w:t>
            </w:r>
          </w:p>
        </w:tc>
        <w:tc>
          <w:tcPr>
            <w:tcW w:w="982" w:type="dxa"/>
          </w:tcPr>
          <w:p w14:paraId="348C8898">
            <w:pPr>
              <w:keepNext w:val="0"/>
              <w:keepLines w:val="0"/>
              <w:suppressLineNumbers w:val="0"/>
              <w:spacing w:before="0" w:beforeAutospacing="0" w:after="0" w:afterAutospacing="0" w:line="360" w:lineRule="auto"/>
              <w:ind w:left="0" w:right="0"/>
              <w:rPr>
                <w:rFonts w:hint="eastAsia" w:ascii="宋体" w:hAnsi="宋体" w:cs="宋体" w:eastAsiaTheme="minorEastAsia"/>
                <w:sz w:val="24"/>
                <w:szCs w:val="24"/>
                <w:vertAlign w:val="baseline"/>
                <w:lang w:val="en-US" w:eastAsia="zh-CN"/>
              </w:rPr>
            </w:pPr>
            <w:r>
              <w:rPr>
                <w:rFonts w:hint="eastAsia" w:ascii="宋体" w:hAnsi="宋体" w:cs="宋体"/>
                <w:sz w:val="24"/>
                <w:szCs w:val="24"/>
                <w:vertAlign w:val="baseline"/>
                <w:lang w:val="en-US" w:eastAsia="zh-CN"/>
              </w:rPr>
              <w:t>是</w:t>
            </w:r>
          </w:p>
        </w:tc>
        <w:tc>
          <w:tcPr>
            <w:tcW w:w="1359" w:type="dxa"/>
          </w:tcPr>
          <w:p w14:paraId="5F90E6F9">
            <w:pPr>
              <w:keepNext w:val="0"/>
              <w:keepLines w:val="0"/>
              <w:suppressLineNumbers w:val="0"/>
              <w:spacing w:before="0" w:beforeAutospacing="0" w:after="0" w:afterAutospacing="0" w:line="360" w:lineRule="auto"/>
              <w:ind w:left="0" w:right="0"/>
              <w:rPr>
                <w:rFonts w:hint="eastAsia" w:ascii="宋体" w:hAnsi="宋体" w:cs="宋体"/>
                <w:sz w:val="24"/>
                <w:szCs w:val="24"/>
                <w:vertAlign w:val="baseline"/>
              </w:rPr>
            </w:pPr>
            <w:r>
              <w:rPr>
                <w:rFonts w:hint="eastAsia" w:ascii="宋体" w:hAnsi="宋体" w:cs="宋体"/>
                <w:sz w:val="24"/>
                <w:szCs w:val="24"/>
                <w:lang w:val="en-US" w:eastAsia="zh-CN"/>
              </w:rPr>
              <w:t xml:space="preserve">3968926.58 </w:t>
            </w:r>
          </w:p>
        </w:tc>
      </w:tr>
    </w:tbl>
    <w:p w14:paraId="76095280">
      <w:pPr>
        <w:spacing w:line="360" w:lineRule="auto"/>
        <w:rPr>
          <w:rFonts w:hint="eastAsia" w:ascii="宋体" w:hAnsi="宋体" w:cs="宋体"/>
          <w:sz w:val="24"/>
          <w:szCs w:val="24"/>
        </w:rPr>
      </w:pPr>
    </w:p>
    <w:p w14:paraId="560C0653">
      <w:pPr>
        <w:spacing w:line="360" w:lineRule="auto"/>
        <w:ind w:firstLine="420" w:firstLineChars="175"/>
        <w:rPr>
          <w:rFonts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采购需求（包括但不限于标的的名称、数量、简要技术需求或服务要求等）</w:t>
      </w:r>
    </w:p>
    <w:p w14:paraId="5C9ED78D">
      <w:pPr>
        <w:spacing w:line="360" w:lineRule="auto"/>
        <w:ind w:firstLine="420" w:firstLineChars="175"/>
        <w:rPr>
          <w:rFonts w:hint="eastAsia" w:ascii="宋体" w:hAnsi="宋体" w:cs="宋体" w:eastAsiaTheme="minorEastAsia"/>
          <w:sz w:val="24"/>
          <w:szCs w:val="24"/>
          <w:lang w:eastAsia="zh-CN"/>
        </w:rPr>
      </w:pPr>
      <w:r>
        <w:rPr>
          <w:rFonts w:hint="eastAsia" w:ascii="宋体" w:hAnsi="宋体" w:cs="宋体"/>
          <w:sz w:val="24"/>
          <w:szCs w:val="24"/>
        </w:rPr>
        <w:t>（1）采购范围：</w:t>
      </w:r>
      <w:r>
        <w:rPr>
          <w:rFonts w:hint="eastAsia" w:ascii="宋体" w:hAnsi="宋体" w:cs="宋体"/>
          <w:sz w:val="24"/>
          <w:szCs w:val="24"/>
          <w:lang w:eastAsia="zh-CN"/>
        </w:rPr>
        <w:t>本项目磋商文件、补充文件、工程量清单、图纸及答疑纪要等列明的所有内容；</w:t>
      </w:r>
    </w:p>
    <w:p w14:paraId="024899C5">
      <w:pPr>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ind w:left="0" w:leftChars="0" w:right="0" w:rightChars="0" w:firstLine="494" w:firstLineChars="206"/>
        <w:jc w:val="both"/>
        <w:textAlignment w:val="auto"/>
        <w:rPr>
          <w:rFonts w:hint="eastAsia" w:ascii="宋体" w:hAnsi="宋体" w:cs="宋体"/>
          <w:sz w:val="24"/>
          <w:szCs w:val="24"/>
        </w:rPr>
      </w:pPr>
      <w:r>
        <w:rPr>
          <w:rFonts w:hint="eastAsia" w:ascii="宋体" w:hAnsi="宋体" w:cs="宋体"/>
          <w:sz w:val="24"/>
          <w:szCs w:val="24"/>
        </w:rPr>
        <w:t>（2）工程概况：</w:t>
      </w:r>
      <w:r>
        <w:rPr>
          <w:rFonts w:hint="eastAsia" w:ascii="宋体" w:hAnsi="宋体" w:cs="宋体"/>
          <w:sz w:val="24"/>
          <w:szCs w:val="24"/>
          <w:lang w:val="en-US" w:eastAsia="zh-CN"/>
        </w:rPr>
        <w:t>本项目为</w:t>
      </w:r>
      <w:r>
        <w:rPr>
          <w:rFonts w:hint="eastAsia" w:ascii="宋体" w:hAnsi="宋体" w:cs="宋体"/>
          <w:sz w:val="24"/>
          <w:szCs w:val="24"/>
          <w:lang w:eastAsia="zh-CN"/>
        </w:rPr>
        <w:t>2025年陕州区农村道路巩固提升项目</w:t>
      </w:r>
      <w:r>
        <w:rPr>
          <w:rFonts w:hint="eastAsia" w:ascii="宋体" w:hAnsi="宋体" w:cs="宋体"/>
          <w:sz w:val="24"/>
          <w:szCs w:val="24"/>
          <w:lang w:val="en-US" w:eastAsia="zh-CN"/>
        </w:rPr>
        <w:t>（第三批）共5条路，总长7.462公里，其中1、西张村镇人马寨至窑头长2.972公里;2、、宫前乡宫前村道路长0.31公里;3、菜园乡崔家村道路长1.4公里;4、观音堂镇石壕村前门组道路长0.601公里;5、菜园乡东凡村道路长2.179公里 。</w:t>
      </w:r>
    </w:p>
    <w:p w14:paraId="58A35541">
      <w:pPr>
        <w:spacing w:line="360" w:lineRule="auto"/>
        <w:ind w:firstLine="420" w:firstLineChars="175"/>
        <w:rPr>
          <w:rFonts w:ascii="宋体" w:hAnsi="宋体" w:cs="宋体"/>
          <w:sz w:val="24"/>
          <w:szCs w:val="24"/>
        </w:rPr>
      </w:pPr>
      <w:r>
        <w:rPr>
          <w:rFonts w:hint="eastAsia" w:ascii="宋体" w:hAnsi="宋体" w:cs="宋体"/>
          <w:sz w:val="24"/>
          <w:szCs w:val="24"/>
        </w:rPr>
        <w:t>（3）资金来源：财政资金，已落实。</w:t>
      </w:r>
    </w:p>
    <w:p w14:paraId="2EB4F2B1">
      <w:pPr>
        <w:spacing w:line="360" w:lineRule="auto"/>
        <w:ind w:firstLine="420" w:firstLineChars="175"/>
        <w:rPr>
          <w:rFonts w:hint="eastAsia" w:ascii="宋体" w:hAnsi="宋体" w:cs="宋体" w:eastAsiaTheme="minorEastAsia"/>
          <w:sz w:val="24"/>
          <w:szCs w:val="24"/>
          <w:lang w:eastAsia="zh-CN"/>
        </w:rPr>
      </w:pPr>
      <w:r>
        <w:rPr>
          <w:rFonts w:hint="eastAsia" w:ascii="宋体" w:hAnsi="宋体" w:cs="宋体"/>
          <w:sz w:val="24"/>
          <w:szCs w:val="24"/>
        </w:rPr>
        <w:t>（4）质量要求：</w:t>
      </w:r>
      <w:r>
        <w:rPr>
          <w:rFonts w:hint="eastAsia" w:ascii="宋体" w:hAnsi="宋体" w:cs="宋体"/>
          <w:sz w:val="24"/>
          <w:szCs w:val="24"/>
          <w:lang w:eastAsia="zh-CN"/>
        </w:rPr>
        <w:t>达到国家现行工程施工质量验收规范合格标准</w:t>
      </w:r>
    </w:p>
    <w:p w14:paraId="2A2BEA3B">
      <w:pPr>
        <w:spacing w:line="360" w:lineRule="auto"/>
        <w:ind w:firstLine="420" w:firstLineChars="175"/>
        <w:rPr>
          <w:rFonts w:hint="eastAsia" w:ascii="宋体" w:hAnsi="宋体" w:cs="宋体"/>
          <w:sz w:val="24"/>
          <w:szCs w:val="24"/>
        </w:rPr>
      </w:pPr>
      <w:r>
        <w:rPr>
          <w:rFonts w:hint="eastAsia" w:ascii="宋体" w:hAnsi="宋体" w:cs="宋体"/>
          <w:sz w:val="24"/>
          <w:szCs w:val="24"/>
        </w:rPr>
        <w:t>（5）质保期：按国家规定</w:t>
      </w:r>
    </w:p>
    <w:p w14:paraId="27C56FAD">
      <w:pPr>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ind w:left="0" w:leftChars="0" w:right="0" w:rightChars="0" w:firstLine="494" w:firstLineChars="206"/>
        <w:jc w:val="both"/>
        <w:textAlignment w:val="auto"/>
        <w:rPr>
          <w:rFonts w:hint="default" w:ascii="宋体" w:hAnsi="宋体" w:cs="宋体"/>
          <w:sz w:val="24"/>
          <w:szCs w:val="24"/>
          <w:lang w:val="en-US" w:eastAsia="zh-CN"/>
        </w:rPr>
      </w:pPr>
      <w:r>
        <w:rPr>
          <w:rFonts w:hint="eastAsia" w:ascii="宋体" w:hAnsi="宋体" w:cs="宋体"/>
          <w:sz w:val="24"/>
          <w:szCs w:val="24"/>
          <w:lang w:val="en-US" w:eastAsia="zh-CN"/>
        </w:rPr>
        <w:t>（6）计划工期：</w:t>
      </w:r>
      <w:r>
        <w:rPr>
          <w:rFonts w:hint="eastAsia" w:ascii="宋体" w:hAnsi="宋体" w:cs="宋体"/>
          <w:color w:val="auto"/>
          <w:kern w:val="0"/>
          <w:sz w:val="24"/>
          <w:szCs w:val="24"/>
          <w:highlight w:val="none"/>
          <w:lang w:val="en-US" w:eastAsia="zh-CN"/>
        </w:rPr>
        <w:t>30日历天</w:t>
      </w:r>
    </w:p>
    <w:p w14:paraId="01A06EB7">
      <w:pPr>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ind w:left="0" w:leftChars="0" w:right="0" w:rightChars="0" w:firstLine="494" w:firstLineChars="206"/>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6、合同履约期限：以签订合同为准</w:t>
      </w:r>
    </w:p>
    <w:p w14:paraId="1746BBFE">
      <w:pPr>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ind w:left="0" w:leftChars="0" w:right="0" w:rightChars="0" w:firstLine="494" w:firstLineChars="206"/>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7、本项目是否接受联合体投标：否</w:t>
      </w:r>
    </w:p>
    <w:p w14:paraId="00396C21">
      <w:pPr>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ind w:left="0" w:leftChars="0" w:right="0" w:rightChars="0" w:firstLine="494" w:firstLineChars="206"/>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8、是否接受进口产品：否</w:t>
      </w:r>
    </w:p>
    <w:p w14:paraId="12ABD238">
      <w:pPr>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ind w:left="0" w:leftChars="0" w:right="0" w:rightChars="0" w:firstLine="494" w:firstLineChars="206"/>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9、是否专门面向中小企业：是</w:t>
      </w:r>
    </w:p>
    <w:p w14:paraId="4FC4E36A">
      <w:pPr>
        <w:spacing w:line="360" w:lineRule="auto"/>
        <w:ind w:firstLine="420" w:firstLineChars="175"/>
        <w:rPr>
          <w:rFonts w:ascii="宋体" w:hAnsi="宋体" w:cs="宋体"/>
          <w:sz w:val="24"/>
          <w:szCs w:val="24"/>
        </w:rPr>
      </w:pPr>
      <w:r>
        <w:rPr>
          <w:rFonts w:hint="eastAsia" w:ascii="宋体" w:hAnsi="宋体" w:cs="宋体"/>
          <w:sz w:val="24"/>
          <w:szCs w:val="24"/>
        </w:rPr>
        <w:t>二、供应商资格要求：</w:t>
      </w:r>
    </w:p>
    <w:p w14:paraId="2E84E8DD">
      <w:pPr>
        <w:spacing w:line="360" w:lineRule="auto"/>
        <w:ind w:firstLine="420" w:firstLineChars="175"/>
        <w:rPr>
          <w:rFonts w:hint="eastAsia" w:ascii="宋体" w:hAnsi="宋体" w:cs="宋体"/>
          <w:sz w:val="24"/>
          <w:szCs w:val="24"/>
          <w:lang w:val="en-US" w:eastAsia="zh-CN"/>
        </w:rPr>
      </w:pPr>
      <w:r>
        <w:rPr>
          <w:rFonts w:hint="eastAsia" w:ascii="宋体" w:hAnsi="宋体" w:cs="宋体"/>
          <w:sz w:val="24"/>
          <w:szCs w:val="24"/>
          <w:lang w:val="en-US" w:eastAsia="zh-CN"/>
        </w:rPr>
        <w:t>1、满足《中华人民共和国政府采购法》第二十二条规定；</w:t>
      </w:r>
    </w:p>
    <w:p w14:paraId="3B14FD64">
      <w:pPr>
        <w:spacing w:line="360" w:lineRule="auto"/>
        <w:ind w:firstLine="420" w:firstLineChars="175"/>
        <w:rPr>
          <w:rFonts w:hint="eastAsia" w:ascii="宋体" w:hAnsi="宋体" w:cs="宋体"/>
          <w:sz w:val="24"/>
          <w:szCs w:val="24"/>
          <w:lang w:val="en-US" w:eastAsia="zh-CN"/>
        </w:rPr>
      </w:pPr>
      <w:r>
        <w:rPr>
          <w:rFonts w:hint="eastAsia" w:ascii="宋体" w:hAnsi="宋体" w:cs="宋体"/>
          <w:sz w:val="24"/>
          <w:szCs w:val="24"/>
          <w:lang w:val="en-US" w:eastAsia="zh-CN"/>
        </w:rPr>
        <w:t>2、落实政府采购政策满足的资格要求：本项目专门面向中小企业采购，供应商必须是中小企业，并出具《中小企业声明函》；</w:t>
      </w:r>
    </w:p>
    <w:p w14:paraId="27592E66">
      <w:pPr>
        <w:spacing w:line="360" w:lineRule="auto"/>
        <w:ind w:firstLine="420" w:firstLineChars="175"/>
        <w:rPr>
          <w:rFonts w:hint="eastAsia" w:ascii="宋体" w:hAnsi="宋体" w:cs="宋体"/>
          <w:sz w:val="24"/>
          <w:szCs w:val="24"/>
          <w:lang w:val="en-US" w:eastAsia="zh-CN"/>
        </w:rPr>
      </w:pPr>
      <w:r>
        <w:rPr>
          <w:rFonts w:hint="eastAsia" w:ascii="宋体" w:hAnsi="宋体" w:cs="宋体"/>
          <w:sz w:val="24"/>
          <w:szCs w:val="24"/>
          <w:lang w:val="en-US" w:eastAsia="zh-CN"/>
        </w:rPr>
        <w:t>3、本项目的特定资格要求：</w:t>
      </w:r>
    </w:p>
    <w:p w14:paraId="508A0FED">
      <w:pPr>
        <w:spacing w:line="360" w:lineRule="auto"/>
        <w:ind w:firstLine="420" w:firstLineChars="175"/>
        <w:rPr>
          <w:rFonts w:hint="eastAsia" w:ascii="宋体" w:hAnsi="宋体" w:cs="宋体"/>
          <w:sz w:val="24"/>
          <w:szCs w:val="24"/>
          <w:lang w:val="en-US" w:eastAsia="en-US"/>
        </w:rPr>
      </w:pPr>
      <w:r>
        <w:rPr>
          <w:rFonts w:hint="eastAsia" w:ascii="宋体" w:hAnsi="宋体" w:cs="宋体"/>
          <w:sz w:val="24"/>
          <w:szCs w:val="24"/>
          <w:lang w:val="en-US" w:eastAsia="zh-CN"/>
        </w:rPr>
        <w:t>3.1供应商须具有独立的法人资格或其他组织</w:t>
      </w:r>
      <w:r>
        <w:rPr>
          <w:rFonts w:hint="eastAsia" w:ascii="宋体" w:hAnsi="宋体" w:cs="宋体"/>
          <w:sz w:val="24"/>
          <w:szCs w:val="24"/>
          <w:lang w:val="en-US" w:eastAsia="en-US"/>
        </w:rPr>
        <w:t>；</w:t>
      </w:r>
    </w:p>
    <w:p w14:paraId="6C05B209">
      <w:pPr>
        <w:spacing w:line="360" w:lineRule="auto"/>
        <w:ind w:firstLine="420" w:firstLineChars="175"/>
        <w:rPr>
          <w:rFonts w:hint="eastAsia" w:ascii="宋体" w:hAnsi="宋体" w:cs="宋体" w:eastAsiaTheme="minorEastAsia"/>
          <w:sz w:val="24"/>
          <w:szCs w:val="24"/>
          <w:lang w:val="en-US" w:eastAsia="zh-CN"/>
        </w:rPr>
      </w:pPr>
      <w:r>
        <w:rPr>
          <w:rFonts w:hint="eastAsia" w:ascii="宋体" w:hAnsi="宋体" w:cs="宋体"/>
          <w:sz w:val="24"/>
          <w:szCs w:val="24"/>
          <w:lang w:val="en-US" w:eastAsia="zh-CN"/>
        </w:rPr>
        <w:t>3.2供应商须具有公路工程施工总承包叁级及以上资质，具有有效的安全生产许可证；并在人员、设备、资金等方面具有相应的施工能力。</w:t>
      </w:r>
    </w:p>
    <w:p w14:paraId="50D8DF33">
      <w:pPr>
        <w:spacing w:line="360" w:lineRule="auto"/>
        <w:ind w:firstLine="420" w:firstLineChars="175"/>
        <w:rPr>
          <w:rFonts w:hint="default" w:ascii="宋体" w:hAnsi="宋体" w:cs="宋体"/>
          <w:sz w:val="24"/>
          <w:szCs w:val="24"/>
          <w:lang w:val="en-US" w:eastAsia="en-US"/>
        </w:rPr>
      </w:pPr>
      <w:r>
        <w:rPr>
          <w:rFonts w:hint="eastAsia" w:ascii="宋体" w:hAnsi="宋体" w:cs="宋体"/>
          <w:sz w:val="24"/>
          <w:szCs w:val="24"/>
          <w:lang w:val="en-US" w:eastAsia="zh-CN"/>
        </w:rPr>
        <w:t>3.3</w:t>
      </w:r>
      <w:r>
        <w:rPr>
          <w:rFonts w:hint="eastAsia" w:ascii="宋体" w:hAnsi="宋体" w:cs="宋体"/>
          <w:sz w:val="24"/>
          <w:szCs w:val="24"/>
          <w:lang w:val="en-US" w:eastAsia="en-US"/>
        </w:rPr>
        <w:t>拟派项目经理须具备相关专业贰级及以上注册建造师资格，具备有效的安全生产考核合格证书，参加继续教育的应具有建造师继续教育证，已参加养老保险缴纳证明</w:t>
      </w:r>
      <w:r>
        <w:rPr>
          <w:rFonts w:hint="eastAsia" w:ascii="宋体" w:hAnsi="宋体" w:cs="宋体"/>
          <w:sz w:val="24"/>
          <w:szCs w:val="24"/>
          <w:lang w:val="en-US" w:eastAsia="zh-CN"/>
        </w:rPr>
        <w:t>，</w:t>
      </w:r>
      <w:r>
        <w:rPr>
          <w:rFonts w:hint="eastAsia" w:ascii="宋体" w:hAnsi="宋体" w:cs="宋体"/>
          <w:sz w:val="24"/>
          <w:szCs w:val="24"/>
          <w:lang w:val="en-US" w:eastAsia="en-US"/>
        </w:rPr>
        <w:t>且未在其他在建工程项目中担任项目经理；</w:t>
      </w:r>
    </w:p>
    <w:p w14:paraId="726B3950">
      <w:pPr>
        <w:spacing w:line="360" w:lineRule="auto"/>
        <w:ind w:firstLine="420" w:firstLineChars="175"/>
        <w:rPr>
          <w:rFonts w:hint="default" w:ascii="宋体" w:hAnsi="宋体" w:cs="宋体"/>
          <w:sz w:val="24"/>
          <w:szCs w:val="24"/>
          <w:lang w:val="en-US" w:eastAsia="en-US"/>
        </w:rPr>
      </w:pPr>
      <w:r>
        <w:rPr>
          <w:rFonts w:hint="eastAsia" w:ascii="宋体" w:hAnsi="宋体" w:cs="宋体"/>
          <w:sz w:val="24"/>
          <w:szCs w:val="24"/>
          <w:lang w:val="en-US" w:eastAsia="zh-CN"/>
        </w:rPr>
        <w:t>3.4</w:t>
      </w:r>
      <w:r>
        <w:rPr>
          <w:rFonts w:hint="eastAsia" w:ascii="宋体" w:hAnsi="宋体" w:cs="宋体"/>
          <w:sz w:val="24"/>
          <w:szCs w:val="24"/>
          <w:lang w:val="en-US" w:eastAsia="en-US"/>
        </w:rPr>
        <w:t>供应商出具无商业贿赂及无不正当竞争行为的承诺书；</w:t>
      </w:r>
    </w:p>
    <w:p w14:paraId="3FEE1A54">
      <w:pPr>
        <w:spacing w:line="360" w:lineRule="auto"/>
        <w:ind w:firstLine="420" w:firstLineChars="175"/>
        <w:rPr>
          <w:rFonts w:hint="default" w:ascii="宋体" w:hAnsi="宋体" w:cs="宋体"/>
          <w:sz w:val="24"/>
          <w:szCs w:val="24"/>
          <w:lang w:val="en-US" w:eastAsia="en-US"/>
        </w:rPr>
      </w:pPr>
      <w:r>
        <w:rPr>
          <w:rFonts w:hint="eastAsia" w:ascii="宋体" w:hAnsi="宋体" w:cs="宋体"/>
          <w:sz w:val="24"/>
          <w:szCs w:val="24"/>
          <w:lang w:val="en-US" w:eastAsia="zh-CN"/>
        </w:rPr>
        <w:t>3.5</w:t>
      </w:r>
      <w:r>
        <w:rPr>
          <w:rFonts w:hint="eastAsia" w:ascii="宋体" w:hAnsi="宋体" w:cs="宋体"/>
          <w:sz w:val="24"/>
          <w:szCs w:val="24"/>
          <w:lang w:val="en-US" w:eastAsia="en-US"/>
        </w:rPr>
        <w:t>提供供应商企业、法定代表人无行贿犯罪记录，在中国裁判文书网查询（提供网页查询截图）或供应商自行承诺，（查询日期必须在公告发布之日之后）；</w:t>
      </w:r>
    </w:p>
    <w:p w14:paraId="3CFBBFD5">
      <w:pPr>
        <w:spacing w:line="360" w:lineRule="auto"/>
        <w:ind w:firstLine="420" w:firstLineChars="175"/>
        <w:rPr>
          <w:rFonts w:hint="default" w:ascii="宋体" w:hAnsi="宋体" w:cs="宋体"/>
          <w:sz w:val="24"/>
          <w:szCs w:val="24"/>
          <w:lang w:val="en-US" w:eastAsia="en-US"/>
        </w:rPr>
      </w:pPr>
      <w:r>
        <w:rPr>
          <w:rFonts w:hint="eastAsia" w:ascii="宋体" w:hAnsi="宋体" w:cs="宋体"/>
          <w:sz w:val="24"/>
          <w:szCs w:val="24"/>
          <w:lang w:val="en-US" w:eastAsia="zh-CN"/>
        </w:rPr>
        <w:t>3.6</w:t>
      </w:r>
      <w:r>
        <w:rPr>
          <w:rFonts w:hint="eastAsia" w:ascii="宋体" w:hAnsi="宋体" w:cs="宋体"/>
          <w:sz w:val="24"/>
          <w:szCs w:val="24"/>
          <w:lang w:val="en-US" w:eastAsia="en-US"/>
        </w:rPr>
        <w:t>根据《关于在政府采购活动中查询及使用信用记录有关问题的通知》(财库[2016]125号)和豫财购【2016】15号的规定，企业没有被列入“信用中国”网站的“失信被执行人（跳转中国执行信息公开网）”和“重大税收违法失信主体”及“中国政府采购网”网站的“政府采购严重违法失信行为记录名单”，查询渠道： “中国执行信息公开网”网站（http://zxgk.court.gov.cn/shixin/）“信用中国”网站（www.creditchina.gov.cn）、中国政府采购网（www.ccgp.gov.cn），提供网站的查询结果截图，截图要显示查询时间，查询时间自本公告发布之日起；</w:t>
      </w:r>
    </w:p>
    <w:p w14:paraId="42C29416">
      <w:pPr>
        <w:spacing w:line="360" w:lineRule="auto"/>
        <w:ind w:firstLine="420" w:firstLineChars="175"/>
        <w:rPr>
          <w:rFonts w:hint="eastAsia" w:ascii="宋体" w:hAnsi="宋体" w:cs="宋体"/>
          <w:sz w:val="24"/>
          <w:szCs w:val="24"/>
          <w:lang w:val="en-US" w:eastAsia="en-US"/>
        </w:rPr>
      </w:pPr>
      <w:r>
        <w:rPr>
          <w:rFonts w:hint="eastAsia" w:ascii="宋体" w:hAnsi="宋体" w:cs="宋体"/>
          <w:sz w:val="24"/>
          <w:szCs w:val="24"/>
          <w:lang w:val="en-US" w:eastAsia="zh-CN"/>
        </w:rPr>
        <w:t>3.7</w:t>
      </w:r>
      <w:r>
        <w:rPr>
          <w:rFonts w:hint="eastAsia" w:ascii="宋体" w:hAnsi="宋体" w:cs="宋体"/>
          <w:sz w:val="24"/>
          <w:szCs w:val="24"/>
          <w:lang w:val="en-US" w:eastAsia="en-US"/>
        </w:rPr>
        <w:t>本项目不接受联合体投标。</w:t>
      </w:r>
    </w:p>
    <w:p w14:paraId="4554C382">
      <w:pPr>
        <w:spacing w:line="360" w:lineRule="auto"/>
        <w:ind w:firstLine="420" w:firstLineChars="175"/>
        <w:rPr>
          <w:rFonts w:ascii="宋体" w:hAnsi="宋体" w:cs="宋体"/>
          <w:sz w:val="24"/>
          <w:szCs w:val="24"/>
        </w:rPr>
      </w:pPr>
      <w:r>
        <w:rPr>
          <w:rFonts w:hint="eastAsia" w:ascii="宋体" w:hAnsi="宋体" w:cs="宋体"/>
          <w:sz w:val="24"/>
          <w:szCs w:val="24"/>
        </w:rPr>
        <w:t>温馨提醒：本项目为资格后审，资格审查由采购人依法组建的磋商小组负责。各供应商应认真阅读本项目供应商资格要求，避免无资格投标而造成不必要的损失。</w:t>
      </w:r>
    </w:p>
    <w:p w14:paraId="0C0C9E7E">
      <w:pPr>
        <w:spacing w:line="360" w:lineRule="auto"/>
        <w:ind w:firstLine="420" w:firstLineChars="175"/>
        <w:rPr>
          <w:rFonts w:ascii="宋体" w:hAnsi="宋体" w:cs="宋体"/>
          <w:sz w:val="24"/>
          <w:szCs w:val="24"/>
        </w:rPr>
      </w:pPr>
      <w:r>
        <w:rPr>
          <w:rFonts w:hint="eastAsia" w:ascii="宋体" w:hAnsi="宋体" w:cs="宋体"/>
          <w:sz w:val="24"/>
          <w:szCs w:val="24"/>
        </w:rPr>
        <w:t>三、获取采购文件：</w:t>
      </w:r>
    </w:p>
    <w:p w14:paraId="64B17D3E">
      <w:pPr>
        <w:spacing w:line="360" w:lineRule="auto"/>
        <w:ind w:firstLine="420" w:firstLineChars="175"/>
        <w:rPr>
          <w:rFonts w:ascii="宋体" w:hAnsi="宋体" w:cs="宋体"/>
          <w:sz w:val="24"/>
          <w:szCs w:val="24"/>
        </w:rPr>
      </w:pPr>
      <w:r>
        <w:rPr>
          <w:rFonts w:hint="eastAsia" w:ascii="宋体" w:hAnsi="宋体" w:cs="宋体"/>
          <w:sz w:val="24"/>
          <w:szCs w:val="24"/>
        </w:rPr>
        <w:t>1、时间</w:t>
      </w:r>
      <w:r>
        <w:rPr>
          <w:rFonts w:hint="eastAsia" w:ascii="宋体" w:hAnsi="宋体" w:cs="宋体"/>
          <w:color w:val="auto"/>
          <w:sz w:val="24"/>
          <w:szCs w:val="24"/>
        </w:rPr>
        <w:t>：</w:t>
      </w:r>
      <w:r>
        <w:rPr>
          <w:rFonts w:hint="eastAsia" w:ascii="宋体" w:hAnsi="宋体" w:cs="宋体"/>
          <w:color w:val="auto"/>
          <w:sz w:val="24"/>
          <w:szCs w:val="24"/>
          <w:lang w:val="en-US" w:eastAsia="zh-CN"/>
        </w:rPr>
        <w:t>2025</w:t>
      </w:r>
      <w:r>
        <w:rPr>
          <w:rFonts w:hint="eastAsia" w:ascii="宋体" w:hAnsi="宋体" w:cs="宋体"/>
          <w:color w:val="auto"/>
          <w:sz w:val="24"/>
          <w:szCs w:val="24"/>
        </w:rPr>
        <w:t>年</w:t>
      </w:r>
      <w:r>
        <w:rPr>
          <w:rFonts w:hint="eastAsia" w:ascii="宋体" w:hAnsi="宋体" w:cs="宋体"/>
          <w:color w:val="auto"/>
          <w:sz w:val="24"/>
          <w:szCs w:val="24"/>
          <w:lang w:val="en-US" w:eastAsia="zh-CN"/>
        </w:rPr>
        <w:t>9</w:t>
      </w:r>
      <w:r>
        <w:rPr>
          <w:rFonts w:hint="eastAsia" w:ascii="宋体" w:hAnsi="宋体" w:cs="宋体"/>
          <w:color w:val="auto"/>
          <w:sz w:val="24"/>
          <w:szCs w:val="24"/>
        </w:rPr>
        <w:t>月</w:t>
      </w:r>
      <w:r>
        <w:rPr>
          <w:rFonts w:hint="eastAsia" w:ascii="宋体" w:hAnsi="宋体" w:cs="宋体"/>
          <w:color w:val="auto"/>
          <w:sz w:val="24"/>
          <w:szCs w:val="24"/>
          <w:lang w:val="en-US" w:eastAsia="zh-CN"/>
        </w:rPr>
        <w:t>22</w:t>
      </w:r>
      <w:r>
        <w:rPr>
          <w:rFonts w:hint="eastAsia" w:ascii="宋体" w:hAnsi="宋体" w:cs="宋体"/>
          <w:color w:val="auto"/>
          <w:sz w:val="24"/>
          <w:szCs w:val="24"/>
        </w:rPr>
        <w:t>日至</w:t>
      </w:r>
      <w:r>
        <w:rPr>
          <w:rFonts w:hint="eastAsia" w:ascii="宋体" w:hAnsi="宋体" w:cs="宋体"/>
          <w:color w:val="auto"/>
          <w:sz w:val="24"/>
          <w:szCs w:val="24"/>
          <w:highlight w:val="none"/>
          <w:lang w:val="en-US" w:eastAsia="zh-CN"/>
        </w:rPr>
        <w:t>2025</w:t>
      </w:r>
      <w:r>
        <w:rPr>
          <w:rFonts w:hint="eastAsia" w:ascii="宋体" w:hAnsi="宋体" w:cs="宋体"/>
          <w:color w:val="auto"/>
          <w:sz w:val="24"/>
          <w:szCs w:val="24"/>
          <w:highlight w:val="none"/>
          <w:lang w:eastAsia="zh-CN"/>
        </w:rPr>
        <w:t>年</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lang w:eastAsia="zh-CN"/>
        </w:rPr>
        <w:t>日</w:t>
      </w:r>
      <w:r>
        <w:rPr>
          <w:rFonts w:hint="eastAsia" w:ascii="宋体" w:hAnsi="宋体" w:cs="宋体"/>
          <w:sz w:val="24"/>
          <w:szCs w:val="24"/>
          <w:lang w:eastAsia="zh-CN"/>
        </w:rPr>
        <w:t>，</w:t>
      </w:r>
      <w:r>
        <w:rPr>
          <w:rFonts w:hint="eastAsia" w:ascii="宋体" w:hAnsi="宋体" w:cs="宋体"/>
          <w:sz w:val="24"/>
          <w:szCs w:val="24"/>
        </w:rPr>
        <w:t>每天上午00:00至12:00，下午12:00至23:59（北京时间，法定节假日除外。）；</w:t>
      </w:r>
    </w:p>
    <w:p w14:paraId="44B55C2D">
      <w:pPr>
        <w:spacing w:line="360" w:lineRule="auto"/>
        <w:ind w:firstLine="420" w:firstLineChars="175"/>
        <w:rPr>
          <w:rFonts w:ascii="宋体" w:hAnsi="宋体" w:cs="宋体"/>
          <w:sz w:val="24"/>
          <w:szCs w:val="24"/>
        </w:rPr>
      </w:pPr>
      <w:r>
        <w:rPr>
          <w:rFonts w:hint="eastAsia" w:ascii="宋体" w:hAnsi="宋体" w:cs="宋体"/>
          <w:sz w:val="24"/>
          <w:szCs w:val="24"/>
        </w:rPr>
        <w:t>2、地点：三门峡市公共资源交易中心网（网址：http://gzjy.smx.gov.cn）；</w:t>
      </w:r>
    </w:p>
    <w:p w14:paraId="08C2099C">
      <w:pPr>
        <w:spacing w:line="360" w:lineRule="auto"/>
        <w:ind w:firstLine="420" w:firstLineChars="175"/>
        <w:rPr>
          <w:rFonts w:ascii="宋体" w:hAnsi="宋体" w:cs="宋体"/>
          <w:sz w:val="24"/>
          <w:szCs w:val="24"/>
        </w:rPr>
      </w:pPr>
      <w:r>
        <w:rPr>
          <w:rFonts w:hint="eastAsia" w:ascii="宋体" w:hAnsi="宋体" w:cs="宋体"/>
          <w:sz w:val="24"/>
          <w:szCs w:val="24"/>
        </w:rPr>
        <w:t>3、方式：供应商凭CA数字证书通过三门峡市公共资源交易中心网（网址：http://gzjy.smx.gov.cn），点击交易平台选择“市场主体登录”，在所参与项目右侧点击参与投标，即可直接下载本项目磋商文件。</w:t>
      </w:r>
    </w:p>
    <w:p w14:paraId="721C014F">
      <w:pPr>
        <w:spacing w:line="360" w:lineRule="auto"/>
        <w:ind w:firstLine="420" w:firstLineChars="175"/>
        <w:rPr>
          <w:rFonts w:ascii="宋体" w:hAnsi="宋体" w:cs="宋体"/>
          <w:sz w:val="24"/>
          <w:szCs w:val="24"/>
        </w:rPr>
      </w:pPr>
      <w:r>
        <w:rPr>
          <w:rFonts w:hint="eastAsia" w:ascii="宋体" w:hAnsi="宋体" w:cs="宋体"/>
          <w:sz w:val="24"/>
          <w:szCs w:val="24"/>
        </w:rPr>
        <w:t>三门峡市公共资源交易平台使用CA证书操作手册：</w:t>
      </w:r>
    </w:p>
    <w:p w14:paraId="4ED3ECCD">
      <w:pPr>
        <w:spacing w:line="360" w:lineRule="auto"/>
        <w:ind w:firstLine="367" w:firstLineChars="175"/>
        <w:rPr>
          <w:rFonts w:ascii="宋体" w:hAnsi="宋体" w:cs="宋体"/>
          <w:sz w:val="24"/>
          <w:szCs w:val="24"/>
        </w:rPr>
      </w:pPr>
      <w:r>
        <w:fldChar w:fldCharType="begin"/>
      </w:r>
      <w:r>
        <w:instrText xml:space="preserve"> HYPERLINK "http://gzjy.smx.gov.cn/fwzn/004003/20210114/62052444-fa5b-47bb-8c75-c669600e56a8.html" </w:instrText>
      </w:r>
      <w:r>
        <w:fldChar w:fldCharType="separate"/>
      </w:r>
      <w:r>
        <w:rPr>
          <w:rFonts w:hint="eastAsia" w:ascii="宋体" w:hAnsi="宋体" w:cs="宋体"/>
          <w:sz w:val="24"/>
          <w:szCs w:val="24"/>
        </w:rPr>
        <w:t>http://gzjy.smx.gov.cn/fwzn/004003/20210114/62052444-fa5b-47bb-8c75-c669600e56a8.html</w:t>
      </w:r>
      <w:r>
        <w:rPr>
          <w:rFonts w:hint="eastAsia" w:ascii="宋体" w:hAnsi="宋体" w:cs="宋体"/>
          <w:sz w:val="24"/>
          <w:szCs w:val="24"/>
        </w:rPr>
        <w:fldChar w:fldCharType="end"/>
      </w:r>
    </w:p>
    <w:p w14:paraId="5BE33838">
      <w:pPr>
        <w:spacing w:line="360" w:lineRule="auto"/>
        <w:ind w:firstLine="420" w:firstLineChars="175"/>
        <w:rPr>
          <w:rFonts w:ascii="宋体" w:hAnsi="宋体" w:cs="宋体"/>
          <w:sz w:val="24"/>
          <w:szCs w:val="24"/>
        </w:rPr>
      </w:pPr>
      <w:r>
        <w:rPr>
          <w:rFonts w:hint="eastAsia" w:ascii="宋体" w:hAnsi="宋体" w:cs="宋体"/>
          <w:sz w:val="24"/>
          <w:szCs w:val="24"/>
        </w:rPr>
        <w:t>根据《关于进一步加强公共资源交易管理持续优化营商环境的通知》（三公管办【2020】2号）文件的要求，磋商文件费用不再收取。</w:t>
      </w:r>
    </w:p>
    <w:p w14:paraId="308EA68C">
      <w:pPr>
        <w:spacing w:line="360" w:lineRule="auto"/>
        <w:ind w:firstLine="420" w:firstLineChars="175"/>
        <w:rPr>
          <w:rFonts w:ascii="宋体" w:hAnsi="宋体" w:cs="宋体"/>
          <w:sz w:val="24"/>
          <w:szCs w:val="24"/>
        </w:rPr>
      </w:pPr>
      <w:r>
        <w:rPr>
          <w:rFonts w:hint="eastAsia" w:ascii="宋体" w:hAnsi="宋体" w:cs="宋体"/>
          <w:sz w:val="24"/>
          <w:szCs w:val="24"/>
        </w:rPr>
        <w:t>四、响应文件的提交：</w:t>
      </w:r>
    </w:p>
    <w:p w14:paraId="797CEC1E">
      <w:pPr>
        <w:spacing w:line="360" w:lineRule="auto"/>
        <w:ind w:firstLine="420" w:firstLineChars="175"/>
        <w:rPr>
          <w:rFonts w:ascii="宋体" w:hAnsi="宋体" w:cs="宋体"/>
          <w:color w:val="auto"/>
          <w:sz w:val="24"/>
          <w:szCs w:val="24"/>
        </w:rPr>
      </w:pPr>
      <w:r>
        <w:rPr>
          <w:rFonts w:hint="eastAsia" w:ascii="宋体" w:hAnsi="宋体" w:cs="宋体"/>
          <w:sz w:val="24"/>
          <w:szCs w:val="24"/>
        </w:rPr>
        <w:t>1、响应文件提交的截止时</w:t>
      </w:r>
      <w:r>
        <w:rPr>
          <w:rFonts w:hint="eastAsia" w:ascii="宋体" w:hAnsi="宋体" w:cs="宋体"/>
          <w:color w:val="auto"/>
          <w:sz w:val="24"/>
          <w:szCs w:val="24"/>
        </w:rPr>
        <w:t>间</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2025</w:t>
      </w:r>
      <w:r>
        <w:rPr>
          <w:rFonts w:hint="eastAsia" w:ascii="宋体" w:hAnsi="宋体" w:cs="宋体"/>
          <w:color w:val="auto"/>
          <w:sz w:val="24"/>
          <w:szCs w:val="24"/>
          <w:highlight w:val="none"/>
          <w:lang w:eastAsia="zh-CN"/>
        </w:rPr>
        <w:t>年</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lang w:eastAsia="zh-CN"/>
        </w:rPr>
        <w:t>日</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lang w:eastAsia="zh-CN"/>
        </w:rPr>
        <w:t>时</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lang w:eastAsia="zh-CN"/>
        </w:rPr>
        <w:t>0分</w:t>
      </w:r>
      <w:r>
        <w:rPr>
          <w:rFonts w:hint="eastAsia" w:ascii="宋体" w:hAnsi="宋体" w:cs="宋体"/>
          <w:color w:val="auto"/>
          <w:sz w:val="24"/>
          <w:szCs w:val="24"/>
          <w:highlight w:val="none"/>
        </w:rPr>
        <w:t>；</w:t>
      </w:r>
    </w:p>
    <w:p w14:paraId="089CDF11">
      <w:pPr>
        <w:spacing w:line="360" w:lineRule="auto"/>
        <w:ind w:firstLine="420" w:firstLineChars="175"/>
        <w:rPr>
          <w:rFonts w:ascii="宋体" w:hAnsi="宋体" w:cs="宋体"/>
          <w:color w:val="auto"/>
          <w:sz w:val="24"/>
          <w:szCs w:val="24"/>
        </w:rPr>
      </w:pPr>
      <w:r>
        <w:rPr>
          <w:rFonts w:hint="eastAsia" w:ascii="宋体" w:hAnsi="宋体" w:cs="宋体"/>
          <w:color w:val="auto"/>
          <w:sz w:val="24"/>
          <w:szCs w:val="24"/>
        </w:rPr>
        <w:t>2、地点：在三门峡市公共资源交易中心网站上传加密响应文件；</w:t>
      </w:r>
    </w:p>
    <w:p w14:paraId="31261B3B">
      <w:pPr>
        <w:spacing w:line="360" w:lineRule="auto"/>
        <w:ind w:firstLine="420" w:firstLineChars="175"/>
        <w:rPr>
          <w:rFonts w:ascii="宋体" w:hAnsi="宋体" w:cs="宋体"/>
          <w:color w:val="auto"/>
          <w:sz w:val="24"/>
          <w:szCs w:val="24"/>
        </w:rPr>
      </w:pPr>
      <w:r>
        <w:rPr>
          <w:rFonts w:hint="eastAsia" w:ascii="宋体" w:hAnsi="宋体" w:cs="宋体"/>
          <w:color w:val="auto"/>
          <w:sz w:val="24"/>
          <w:szCs w:val="24"/>
        </w:rPr>
        <w:t>注：本项目为不见面开标项目。开标当日供应商不得到开标现场参加开标会议。供应商应当在响应文件提交截止时间前，登陆不见面开标大厅（网址为</w:t>
      </w:r>
      <w:r>
        <w:rPr>
          <w:rFonts w:hint="eastAsia" w:ascii="宋体" w:hAnsi="宋体" w:cs="宋体"/>
          <w:color w:val="auto"/>
          <w:sz w:val="24"/>
        </w:rPr>
        <w:t>http://120.194.249.36:10094/BidOpening/bidopeninghallaction/hall/login</w:t>
      </w:r>
      <w:r>
        <w:rPr>
          <w:rFonts w:hint="eastAsia" w:ascii="宋体" w:hAnsi="宋体" w:cs="宋体"/>
          <w:color w:val="auto"/>
          <w:sz w:val="24"/>
          <w:szCs w:val="24"/>
        </w:rPr>
        <w:t>），选择登陆三门峡市公共资源电子招投标系统进行登陆,在线准时参加开标活动，并进行响应性文件解密等。每位供应商的解密时间为开标时间起30分钟内完成。因供应商原因未能解密、解密失败或解密超时的，其投标将被拒绝。</w:t>
      </w:r>
    </w:p>
    <w:p w14:paraId="7D88DE04">
      <w:pPr>
        <w:spacing w:line="360" w:lineRule="auto"/>
        <w:ind w:firstLine="420" w:firstLineChars="175"/>
        <w:rPr>
          <w:rFonts w:ascii="宋体" w:hAnsi="宋体" w:cs="宋体"/>
          <w:color w:val="auto"/>
          <w:sz w:val="24"/>
          <w:szCs w:val="24"/>
        </w:rPr>
      </w:pPr>
      <w:r>
        <w:rPr>
          <w:rFonts w:hint="eastAsia" w:ascii="宋体" w:hAnsi="宋体" w:cs="宋体"/>
          <w:color w:val="auto"/>
          <w:sz w:val="24"/>
          <w:szCs w:val="24"/>
        </w:rPr>
        <w:t>五、响应文件的开启：</w:t>
      </w:r>
    </w:p>
    <w:p w14:paraId="57DF86F2">
      <w:pPr>
        <w:spacing w:line="360" w:lineRule="auto"/>
        <w:ind w:firstLine="420" w:firstLineChars="175"/>
        <w:rPr>
          <w:rFonts w:ascii="宋体" w:hAnsi="宋体" w:cs="宋体"/>
          <w:color w:val="auto"/>
          <w:sz w:val="24"/>
          <w:szCs w:val="24"/>
          <w:highlight w:val="none"/>
        </w:rPr>
      </w:pPr>
      <w:r>
        <w:rPr>
          <w:rFonts w:hint="eastAsia" w:ascii="宋体" w:hAnsi="宋体" w:cs="宋体"/>
          <w:color w:val="auto"/>
          <w:sz w:val="24"/>
          <w:szCs w:val="24"/>
        </w:rPr>
        <w:t>1、供应商提交的磋商响应文件将于</w:t>
      </w:r>
      <w:r>
        <w:rPr>
          <w:rFonts w:hint="eastAsia" w:ascii="宋体" w:hAnsi="宋体" w:cs="宋体"/>
          <w:color w:val="auto"/>
          <w:sz w:val="24"/>
          <w:szCs w:val="24"/>
          <w:highlight w:val="none"/>
          <w:lang w:val="en-US" w:eastAsia="zh-CN"/>
        </w:rPr>
        <w:t>2025</w:t>
      </w:r>
      <w:r>
        <w:rPr>
          <w:rFonts w:hint="eastAsia" w:ascii="宋体" w:hAnsi="宋体" w:cs="宋体"/>
          <w:color w:val="auto"/>
          <w:sz w:val="24"/>
          <w:szCs w:val="24"/>
          <w:highlight w:val="none"/>
          <w:lang w:eastAsia="zh-CN"/>
        </w:rPr>
        <w:t>年</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lang w:eastAsia="zh-CN"/>
        </w:rPr>
        <w:t>日</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lang w:eastAsia="zh-CN"/>
        </w:rPr>
        <w:t>时</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lang w:eastAsia="zh-CN"/>
        </w:rPr>
        <w:t>0分</w:t>
      </w:r>
      <w:r>
        <w:rPr>
          <w:rFonts w:hint="eastAsia" w:ascii="宋体" w:hAnsi="宋体" w:cs="宋体"/>
          <w:color w:val="auto"/>
          <w:sz w:val="24"/>
          <w:szCs w:val="24"/>
          <w:highlight w:val="none"/>
        </w:rPr>
        <w:t>在线准时开启；</w:t>
      </w:r>
    </w:p>
    <w:p w14:paraId="4B5A162A">
      <w:pPr>
        <w:spacing w:line="360" w:lineRule="auto"/>
        <w:ind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2、开标地点：</w:t>
      </w:r>
      <w:r>
        <w:rPr>
          <w:rFonts w:hint="eastAsia" w:ascii="宋体" w:hAnsi="宋体" w:cs="宋体"/>
          <w:color w:val="auto"/>
          <w:sz w:val="24"/>
          <w:szCs w:val="24"/>
          <w:highlight w:val="none"/>
          <w:lang w:eastAsia="zh-CN"/>
        </w:rPr>
        <w:t>三门峡市陕州区公共资源交易中心开标</w:t>
      </w:r>
      <w:r>
        <w:rPr>
          <w:rFonts w:hint="eastAsia" w:ascii="宋体" w:hAnsi="宋体" w:cs="宋体"/>
          <w:color w:val="auto"/>
          <w:sz w:val="24"/>
          <w:szCs w:val="24"/>
          <w:highlight w:val="none"/>
          <w:lang w:val="en-US" w:eastAsia="zh-CN"/>
        </w:rPr>
        <w:t>一</w:t>
      </w:r>
      <w:r>
        <w:rPr>
          <w:rFonts w:hint="eastAsia" w:ascii="宋体" w:hAnsi="宋体" w:cs="宋体"/>
          <w:color w:val="auto"/>
          <w:sz w:val="24"/>
          <w:szCs w:val="24"/>
          <w:highlight w:val="none"/>
          <w:lang w:eastAsia="zh-CN"/>
        </w:rPr>
        <w:t>室</w:t>
      </w:r>
      <w:r>
        <w:rPr>
          <w:rFonts w:hint="eastAsia" w:ascii="宋体" w:hAnsi="宋体" w:cs="宋体"/>
          <w:color w:val="auto"/>
          <w:sz w:val="24"/>
          <w:szCs w:val="24"/>
          <w:highlight w:val="none"/>
        </w:rPr>
        <w:t>。</w:t>
      </w:r>
    </w:p>
    <w:p w14:paraId="4FD3F2FF">
      <w:pPr>
        <w:spacing w:line="360" w:lineRule="auto"/>
        <w:ind w:firstLine="420" w:firstLineChars="175"/>
        <w:rPr>
          <w:rFonts w:ascii="宋体" w:hAnsi="宋体" w:cs="宋体"/>
          <w:sz w:val="24"/>
          <w:szCs w:val="24"/>
        </w:rPr>
      </w:pPr>
      <w:r>
        <w:rPr>
          <w:rFonts w:hint="eastAsia" w:ascii="宋体" w:hAnsi="宋体" w:cs="宋体"/>
          <w:sz w:val="24"/>
          <w:szCs w:val="24"/>
        </w:rPr>
        <w:t>六、发布公告的媒介及期限</w:t>
      </w:r>
    </w:p>
    <w:p w14:paraId="5A5CCF39">
      <w:pPr>
        <w:spacing w:line="360" w:lineRule="auto"/>
        <w:ind w:firstLine="420" w:firstLineChars="175"/>
        <w:rPr>
          <w:rFonts w:ascii="宋体" w:hAnsi="宋体" w:cs="宋体"/>
          <w:sz w:val="24"/>
          <w:szCs w:val="24"/>
        </w:rPr>
      </w:pPr>
      <w:r>
        <w:rPr>
          <w:rFonts w:hint="eastAsia" w:ascii="宋体" w:hAnsi="宋体" w:cs="宋体"/>
          <w:sz w:val="24"/>
          <w:szCs w:val="24"/>
        </w:rPr>
        <w:t>本次竞争性磋商公告在</w:t>
      </w:r>
      <w:r>
        <w:rPr>
          <w:rFonts w:hint="eastAsia" w:ascii="宋体" w:hAnsi="宋体" w:cs="宋体"/>
          <w:sz w:val="24"/>
          <w:szCs w:val="24"/>
          <w:highlight w:val="none"/>
          <w:lang w:eastAsia="zh-CN"/>
        </w:rPr>
        <w:t>《河南省政府采购网》、《中国采购与招标网》、《三门峡市公共资源交易中心网》、《</w:t>
      </w:r>
      <w:r>
        <w:rPr>
          <w:rFonts w:hint="eastAsia" w:ascii="宋体" w:hAnsi="宋体" w:cs="宋体"/>
          <w:sz w:val="24"/>
          <w:szCs w:val="24"/>
          <w:highlight w:val="none"/>
          <w:lang w:val="en-US" w:eastAsia="zh-CN"/>
        </w:rPr>
        <w:t>陕州区交通运输局网</w:t>
      </w:r>
      <w:r>
        <w:rPr>
          <w:rFonts w:hint="eastAsia" w:ascii="宋体" w:hAnsi="宋体" w:cs="宋体"/>
          <w:sz w:val="24"/>
          <w:szCs w:val="24"/>
          <w:highlight w:val="none"/>
          <w:lang w:eastAsia="zh-CN"/>
        </w:rPr>
        <w:t>》</w:t>
      </w:r>
      <w:r>
        <w:rPr>
          <w:rFonts w:hint="eastAsia" w:ascii="宋体" w:hAnsi="宋体" w:cs="宋体"/>
          <w:sz w:val="24"/>
          <w:szCs w:val="24"/>
        </w:rPr>
        <w:t>上发布，公告期限为公告发布后</w:t>
      </w:r>
      <w:r>
        <w:rPr>
          <w:rFonts w:hint="eastAsia" w:ascii="宋体" w:hAnsi="宋体" w:cs="宋体"/>
          <w:sz w:val="24"/>
          <w:szCs w:val="24"/>
          <w:lang w:val="en-US" w:eastAsia="zh-CN"/>
        </w:rPr>
        <w:t>五</w:t>
      </w:r>
      <w:r>
        <w:rPr>
          <w:rFonts w:hint="eastAsia" w:ascii="宋体" w:hAnsi="宋体" w:cs="宋体"/>
          <w:sz w:val="24"/>
          <w:szCs w:val="24"/>
        </w:rPr>
        <w:t>个工作日。</w:t>
      </w:r>
    </w:p>
    <w:p w14:paraId="4B053A30">
      <w:pPr>
        <w:spacing w:line="360" w:lineRule="auto"/>
        <w:ind w:firstLine="420" w:firstLineChars="175"/>
        <w:rPr>
          <w:rFonts w:ascii="宋体" w:hAnsi="宋体" w:cs="宋体"/>
          <w:sz w:val="24"/>
          <w:szCs w:val="24"/>
        </w:rPr>
      </w:pPr>
      <w:r>
        <w:rPr>
          <w:rFonts w:hint="eastAsia" w:ascii="宋体" w:hAnsi="宋体" w:cs="宋体"/>
          <w:sz w:val="24"/>
          <w:szCs w:val="24"/>
        </w:rPr>
        <w:t>七、其他补充事宜</w:t>
      </w:r>
    </w:p>
    <w:p w14:paraId="17FC4D01">
      <w:pPr>
        <w:pStyle w:val="5"/>
        <w:keepNext w:val="0"/>
        <w:keepLines w:val="0"/>
        <w:widowControl/>
        <w:suppressLineNumbers w:val="0"/>
        <w:wordWrap w:val="0"/>
        <w:spacing w:before="0" w:beforeAutospacing="0" w:after="0" w:afterAutospacing="0" w:line="420" w:lineRule="atLeast"/>
        <w:ind w:left="0" w:right="0" w:firstLine="485"/>
        <w:jc w:val="both"/>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本项目实行资格后审，根据优化营商环境的要求，评标时审查内容以响应文件为准：</w:t>
      </w:r>
    </w:p>
    <w:p w14:paraId="6ACD60AA">
      <w:pPr>
        <w:pStyle w:val="5"/>
        <w:keepNext w:val="0"/>
        <w:keepLines w:val="0"/>
        <w:widowControl/>
        <w:suppressLineNumbers w:val="0"/>
        <w:wordWrap w:val="0"/>
        <w:spacing w:before="0" w:beforeAutospacing="0" w:after="0" w:afterAutospacing="0" w:line="420" w:lineRule="atLeast"/>
        <w:ind w:left="0" w:right="0" w:firstLine="485"/>
        <w:jc w:val="both"/>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1、资格评（预）审部分：资格评（预）审以响应文件为准，其上传资料真实性由供应商自行承担，同时，供应商要完善主体库。</w:t>
      </w:r>
    </w:p>
    <w:p w14:paraId="1CBB2851">
      <w:pPr>
        <w:pStyle w:val="5"/>
        <w:keepNext w:val="0"/>
        <w:keepLines w:val="0"/>
        <w:widowControl/>
        <w:suppressLineNumbers w:val="0"/>
        <w:wordWrap w:val="0"/>
        <w:spacing w:before="0" w:beforeAutospacing="0" w:after="0" w:afterAutospacing="0" w:line="420" w:lineRule="atLeast"/>
        <w:ind w:left="0" w:right="0" w:firstLine="485"/>
        <w:jc w:val="both"/>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2、评标打分部分：评标打分部分仍按照100分制原则进行，涉及到资格审查、企业荣誉、人员业绩、企业业绩等计分部分时，以供应商自行上传到响应文件中的相应内容为准。</w:t>
      </w:r>
    </w:p>
    <w:p w14:paraId="298230E3">
      <w:pPr>
        <w:pStyle w:val="5"/>
        <w:keepNext w:val="0"/>
        <w:keepLines w:val="0"/>
        <w:widowControl/>
        <w:suppressLineNumbers w:val="0"/>
        <w:wordWrap w:val="0"/>
        <w:spacing w:before="0" w:beforeAutospacing="0" w:after="0" w:afterAutospacing="0" w:line="420" w:lineRule="atLeast"/>
        <w:ind w:left="0" w:right="0" w:firstLine="485"/>
        <w:jc w:val="both"/>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3、响应文件编制部分：在磋商文件中要求供应商按照响应文件格式进行响应文件编制，在响应文件编制时，应明确将投标单位企业基本情况、资质情况、人员情况、财务情况、业绩情况编入响应文件，便于进行资格审查及评标打分。</w:t>
      </w:r>
    </w:p>
    <w:p w14:paraId="32A688AC">
      <w:pPr>
        <w:pStyle w:val="5"/>
        <w:keepNext w:val="0"/>
        <w:keepLines w:val="0"/>
        <w:widowControl/>
        <w:suppressLineNumbers w:val="0"/>
        <w:wordWrap w:val="0"/>
        <w:spacing w:before="0" w:beforeAutospacing="0" w:after="0" w:afterAutospacing="0" w:line="420" w:lineRule="atLeast"/>
        <w:ind w:left="0" w:right="0" w:firstLine="485"/>
        <w:jc w:val="both"/>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4、我单位（采购人）严格按三财购【2021】9号文要求的时限发布中标结果公告，发出中标通知书，签订采购合同，上传采购合同。</w:t>
      </w:r>
    </w:p>
    <w:p w14:paraId="77E80D91">
      <w:pPr>
        <w:spacing w:line="360" w:lineRule="auto"/>
        <w:ind w:firstLine="420" w:firstLineChars="175"/>
        <w:rPr>
          <w:rFonts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、磋商保证金：</w:t>
      </w:r>
    </w:p>
    <w:p w14:paraId="6A25F899">
      <w:pPr>
        <w:spacing w:line="360" w:lineRule="auto"/>
        <w:ind w:firstLine="420" w:firstLineChars="175"/>
        <w:rPr>
          <w:rFonts w:ascii="宋体" w:hAnsi="宋体" w:cs="宋体"/>
          <w:sz w:val="24"/>
          <w:szCs w:val="24"/>
        </w:rPr>
      </w:pPr>
      <w:r>
        <w:rPr>
          <w:rFonts w:hint="eastAsia" w:ascii="宋体" w:hAnsi="宋体" w:cs="宋体"/>
          <w:sz w:val="24"/>
          <w:szCs w:val="24"/>
        </w:rPr>
        <w:t>根据《河南省财政厅关于优化政府采购营商环境有关问题的通知》（豫财购【2019】4号）第6条的规定，磋商保证金不再收取。</w:t>
      </w:r>
      <w:r>
        <w:rPr>
          <w:rFonts w:hint="eastAsia" w:ascii="宋体" w:hAnsi="宋体" w:cs="宋体"/>
          <w:sz w:val="24"/>
        </w:rPr>
        <w:t>供应商以磋商承诺函的形式替代保证金，磋商承诺函应明确承诺事项及违背承诺的责任</w:t>
      </w:r>
      <w:r>
        <w:rPr>
          <w:rFonts w:hint="eastAsia" w:ascii="宋体" w:hAnsi="宋体" w:cs="宋体"/>
          <w:sz w:val="24"/>
          <w:szCs w:val="24"/>
        </w:rPr>
        <w:t>。</w:t>
      </w:r>
    </w:p>
    <w:p w14:paraId="5731656C">
      <w:pPr>
        <w:spacing w:line="360" w:lineRule="auto"/>
        <w:ind w:firstLine="420" w:firstLineChars="175"/>
        <w:rPr>
          <w:rFonts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、其他事项：</w:t>
      </w:r>
    </w:p>
    <w:p w14:paraId="030432E4">
      <w:pPr>
        <w:spacing w:line="360" w:lineRule="auto"/>
        <w:ind w:firstLine="420" w:firstLineChars="175"/>
        <w:rPr>
          <w:rFonts w:ascii="宋体" w:hAnsi="宋体" w:cs="宋体"/>
          <w:sz w:val="24"/>
          <w:szCs w:val="24"/>
        </w:rPr>
      </w:pPr>
      <w:r>
        <w:rPr>
          <w:rFonts w:hint="eastAsia" w:ascii="宋体" w:hAnsi="宋体" w:cs="宋体"/>
          <w:sz w:val="24"/>
          <w:szCs w:val="24"/>
        </w:rPr>
        <w:t>（1）磋商所发生一切费用由各供应商自行承担，并承担相应的风险和责任。</w:t>
      </w:r>
    </w:p>
    <w:p w14:paraId="3B10D85E">
      <w:pPr>
        <w:spacing w:line="360" w:lineRule="auto"/>
        <w:ind w:firstLine="420" w:firstLineChars="175"/>
        <w:rPr>
          <w:rFonts w:ascii="宋体" w:hAnsi="宋体" w:cs="宋体"/>
          <w:sz w:val="24"/>
          <w:szCs w:val="24"/>
        </w:rPr>
      </w:pPr>
      <w:r>
        <w:rPr>
          <w:rFonts w:hint="eastAsia" w:ascii="宋体" w:hAnsi="宋体" w:cs="宋体"/>
          <w:sz w:val="24"/>
          <w:szCs w:val="24"/>
        </w:rPr>
        <w:t>（2）供应商递交的磋商文件不论中标与否均不予退还。</w:t>
      </w:r>
    </w:p>
    <w:p w14:paraId="6510F114">
      <w:pPr>
        <w:spacing w:line="360" w:lineRule="auto"/>
        <w:ind w:firstLine="420" w:firstLineChars="175"/>
        <w:rPr>
          <w:rFonts w:ascii="宋体" w:hAnsi="宋体" w:cs="宋体"/>
          <w:sz w:val="24"/>
          <w:szCs w:val="24"/>
        </w:rPr>
      </w:pPr>
      <w:r>
        <w:rPr>
          <w:rFonts w:hint="eastAsia" w:ascii="宋体" w:hAnsi="宋体" w:cs="宋体"/>
          <w:sz w:val="24"/>
          <w:szCs w:val="24"/>
        </w:rPr>
        <w:t>（3）逾期上传或未按规定上传的电子磋商响应文件，采购人不予受理。</w:t>
      </w:r>
    </w:p>
    <w:p w14:paraId="395D3AF1">
      <w:pPr>
        <w:spacing w:line="360" w:lineRule="auto"/>
        <w:ind w:firstLine="420" w:firstLineChars="175"/>
        <w:rPr>
          <w:rFonts w:ascii="宋体" w:hAnsi="宋体" w:cs="宋体"/>
          <w:sz w:val="24"/>
          <w:szCs w:val="24"/>
        </w:rPr>
      </w:pPr>
      <w:r>
        <w:rPr>
          <w:rFonts w:hint="eastAsia" w:ascii="宋体" w:hAnsi="宋体" w:cs="宋体"/>
          <w:sz w:val="24"/>
          <w:szCs w:val="24"/>
        </w:rPr>
        <w:t>八、凡对本次招标提出询问，请按照以下方式联系</w:t>
      </w:r>
    </w:p>
    <w:p w14:paraId="12274A1F">
      <w:pPr>
        <w:spacing w:line="360" w:lineRule="auto"/>
        <w:ind w:firstLine="420" w:firstLineChars="175"/>
        <w:rPr>
          <w:rFonts w:ascii="宋体" w:hAnsi="宋体" w:cs="宋体"/>
          <w:sz w:val="24"/>
          <w:szCs w:val="24"/>
        </w:rPr>
      </w:pPr>
      <w:r>
        <w:rPr>
          <w:rFonts w:hint="eastAsia" w:ascii="宋体" w:hAnsi="宋体" w:cs="宋体"/>
          <w:sz w:val="24"/>
          <w:szCs w:val="24"/>
        </w:rPr>
        <w:t>1.采购人信息</w:t>
      </w:r>
    </w:p>
    <w:p w14:paraId="418E7DCB">
      <w:pPr>
        <w:spacing w:line="360" w:lineRule="auto"/>
        <w:ind w:firstLine="420" w:firstLineChars="175"/>
        <w:rPr>
          <w:rFonts w:ascii="宋体" w:hAnsi="宋体" w:cs="宋体"/>
          <w:sz w:val="24"/>
          <w:szCs w:val="24"/>
        </w:rPr>
      </w:pPr>
      <w:r>
        <w:rPr>
          <w:rFonts w:hint="eastAsia" w:ascii="宋体" w:hAnsi="宋体" w:cs="宋体"/>
          <w:sz w:val="24"/>
          <w:szCs w:val="24"/>
        </w:rPr>
        <w:t>名称：</w:t>
      </w:r>
      <w:r>
        <w:rPr>
          <w:rFonts w:hint="eastAsia" w:ascii="宋体" w:hAnsi="宋体" w:cs="宋体"/>
          <w:sz w:val="24"/>
          <w:szCs w:val="24"/>
          <w:lang w:eastAsia="zh-CN"/>
        </w:rPr>
        <w:t>三门峡市陕州区交通运输局</w:t>
      </w:r>
      <w:r>
        <w:rPr>
          <w:rFonts w:hint="eastAsia" w:ascii="宋体" w:hAnsi="宋体" w:cs="宋体"/>
          <w:sz w:val="24"/>
          <w:szCs w:val="24"/>
        </w:rPr>
        <w:t xml:space="preserve"> </w:t>
      </w:r>
    </w:p>
    <w:p w14:paraId="4CD681DE">
      <w:pPr>
        <w:spacing w:line="360" w:lineRule="auto"/>
        <w:ind w:firstLine="420" w:firstLineChars="175"/>
        <w:rPr>
          <w:rFonts w:hint="eastAsia" w:ascii="宋体" w:hAnsi="宋体" w:cs="宋体" w:eastAsiaTheme="minorEastAsia"/>
          <w:sz w:val="24"/>
          <w:szCs w:val="24"/>
          <w:highlight w:val="none"/>
          <w:lang w:eastAsia="zh-CN"/>
        </w:rPr>
      </w:pPr>
      <w:r>
        <w:rPr>
          <w:rFonts w:hint="eastAsia" w:ascii="宋体" w:hAnsi="宋体" w:cs="宋体"/>
          <w:sz w:val="24"/>
          <w:szCs w:val="24"/>
          <w:highlight w:val="none"/>
        </w:rPr>
        <w:t>地址：</w:t>
      </w:r>
      <w:r>
        <w:rPr>
          <w:rFonts w:hint="eastAsia" w:ascii="宋体" w:hAnsi="宋体" w:cs="宋体"/>
          <w:sz w:val="24"/>
          <w:szCs w:val="24"/>
          <w:highlight w:val="none"/>
          <w:lang w:eastAsia="zh-CN"/>
        </w:rPr>
        <w:t>三门峡市陕州区陕州大道东段</w:t>
      </w:r>
    </w:p>
    <w:p w14:paraId="03C2DC07">
      <w:pPr>
        <w:spacing w:line="360" w:lineRule="auto"/>
        <w:ind w:firstLine="420" w:firstLineChars="175"/>
        <w:rPr>
          <w:rFonts w:hint="default" w:ascii="宋体" w:hAnsi="宋体" w:cs="宋体" w:eastAsiaTheme="minorEastAsia"/>
          <w:sz w:val="24"/>
          <w:szCs w:val="24"/>
          <w:highlight w:val="none"/>
          <w:lang w:val="en-US" w:eastAsia="zh-CN"/>
        </w:rPr>
      </w:pPr>
      <w:r>
        <w:rPr>
          <w:rFonts w:hint="eastAsia" w:ascii="宋体" w:hAnsi="宋体" w:cs="宋体"/>
          <w:sz w:val="24"/>
          <w:szCs w:val="24"/>
          <w:highlight w:val="none"/>
        </w:rPr>
        <w:t>联系人：</w:t>
      </w:r>
      <w:r>
        <w:rPr>
          <w:rFonts w:hint="eastAsia" w:ascii="宋体" w:hAnsi="宋体" w:cs="宋体"/>
          <w:sz w:val="24"/>
          <w:szCs w:val="24"/>
          <w:highlight w:val="none"/>
          <w:lang w:val="en-US" w:eastAsia="zh-CN"/>
        </w:rPr>
        <w:t>崔先生</w:t>
      </w:r>
    </w:p>
    <w:p w14:paraId="0698F303">
      <w:pPr>
        <w:spacing w:line="360" w:lineRule="auto"/>
        <w:ind w:firstLine="420" w:firstLineChars="175"/>
        <w:rPr>
          <w:rFonts w:hint="default" w:ascii="宋体" w:hAnsi="宋体" w:cs="宋体" w:eastAsiaTheme="minorEastAsia"/>
          <w:sz w:val="24"/>
          <w:szCs w:val="24"/>
          <w:highlight w:val="none"/>
          <w:lang w:val="en-US" w:eastAsia="zh-CN"/>
        </w:rPr>
      </w:pPr>
      <w:r>
        <w:rPr>
          <w:rFonts w:hint="eastAsia" w:ascii="宋体" w:hAnsi="宋体" w:cs="宋体"/>
          <w:sz w:val="24"/>
          <w:szCs w:val="24"/>
          <w:highlight w:val="none"/>
        </w:rPr>
        <w:t>联系方式：</w:t>
      </w:r>
      <w:r>
        <w:rPr>
          <w:rFonts w:hint="eastAsia" w:ascii="宋体" w:hAnsi="宋体" w:cs="宋体"/>
          <w:sz w:val="24"/>
          <w:szCs w:val="24"/>
          <w:highlight w:val="none"/>
          <w:lang w:val="en-US" w:eastAsia="zh-CN"/>
        </w:rPr>
        <w:t>13949789938</w:t>
      </w:r>
    </w:p>
    <w:p w14:paraId="41841123">
      <w:pPr>
        <w:spacing w:line="360" w:lineRule="auto"/>
        <w:ind w:firstLine="420" w:firstLineChars="175"/>
        <w:rPr>
          <w:rFonts w:ascii="宋体" w:hAnsi="宋体" w:cs="宋体"/>
          <w:sz w:val="24"/>
          <w:szCs w:val="24"/>
        </w:rPr>
      </w:pPr>
      <w:r>
        <w:rPr>
          <w:rFonts w:hint="eastAsia" w:ascii="宋体" w:hAnsi="宋体" w:cs="宋体"/>
          <w:sz w:val="24"/>
          <w:szCs w:val="24"/>
        </w:rPr>
        <w:t>2.采购代理机构信息</w:t>
      </w:r>
    </w:p>
    <w:p w14:paraId="76B09667">
      <w:pPr>
        <w:spacing w:line="360" w:lineRule="auto"/>
        <w:ind w:firstLine="420" w:firstLineChars="175"/>
        <w:rPr>
          <w:rFonts w:hint="eastAsia" w:ascii="宋体" w:hAnsi="宋体" w:cs="宋体" w:eastAsiaTheme="minorEastAsia"/>
          <w:color w:val="auto"/>
          <w:sz w:val="24"/>
          <w:szCs w:val="24"/>
          <w:lang w:eastAsia="zh-CN"/>
        </w:rPr>
      </w:pPr>
      <w:r>
        <w:rPr>
          <w:rFonts w:hint="eastAsia" w:ascii="宋体" w:hAnsi="宋体" w:cs="宋体"/>
          <w:color w:val="auto"/>
          <w:sz w:val="24"/>
          <w:szCs w:val="24"/>
        </w:rPr>
        <w:t xml:space="preserve">名称：中建华阳建设项目管理有限责任公司 </w:t>
      </w:r>
    </w:p>
    <w:p w14:paraId="0CFABFB2">
      <w:pPr>
        <w:spacing w:line="360" w:lineRule="auto"/>
        <w:ind w:firstLine="420" w:firstLineChars="175"/>
        <w:jc w:val="left"/>
        <w:rPr>
          <w:rFonts w:hint="eastAsia" w:ascii="宋体" w:hAnsi="宋体" w:cs="宋体" w:eastAsiaTheme="minorEastAsia"/>
          <w:bCs/>
          <w:color w:val="auto"/>
          <w:sz w:val="24"/>
          <w:szCs w:val="24"/>
          <w:highlight w:val="none"/>
          <w:lang w:eastAsia="zh-CN"/>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lang w:val="en-US" w:eastAsia="zh-CN"/>
        </w:rPr>
        <w:t>陕西省西安市新城区长乐中路 242 号金花新都汇 A座写字楼 24 层 06 室</w:t>
      </w:r>
    </w:p>
    <w:p w14:paraId="3C011DF6">
      <w:pPr>
        <w:spacing w:line="360" w:lineRule="auto"/>
        <w:ind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val="en-US" w:eastAsia="zh-CN"/>
        </w:rPr>
        <w:t>胡先生</w:t>
      </w:r>
    </w:p>
    <w:p w14:paraId="4DFFF4A7">
      <w:pPr>
        <w:spacing w:line="360" w:lineRule="auto"/>
        <w:ind w:firstLine="420" w:firstLineChars="175"/>
        <w:rPr>
          <w:rFonts w:hint="default" w:ascii="宋体" w:hAnsi="宋体" w:cs="宋体" w:eastAsiaTheme="minorEastAsia"/>
          <w:color w:val="0000FF"/>
          <w:sz w:val="24"/>
          <w:szCs w:val="24"/>
          <w:highlight w:val="none"/>
          <w:lang w:val="en-US" w:eastAsia="zh-CN"/>
        </w:rPr>
      </w:pPr>
      <w:r>
        <w:rPr>
          <w:rFonts w:hint="eastAsia" w:ascii="宋体" w:hAnsi="宋体" w:cs="宋体"/>
          <w:color w:val="auto"/>
          <w:sz w:val="24"/>
          <w:szCs w:val="24"/>
          <w:highlight w:val="none"/>
        </w:rPr>
        <w:t>联系方式：</w:t>
      </w:r>
      <w:r>
        <w:rPr>
          <w:rFonts w:hint="eastAsia" w:ascii="宋体" w:hAnsi="宋体" w:cs="宋体"/>
          <w:color w:val="auto"/>
          <w:sz w:val="24"/>
          <w:szCs w:val="24"/>
          <w:highlight w:val="none"/>
          <w:lang w:val="en-US" w:eastAsia="zh-CN"/>
        </w:rPr>
        <w:t>18239858155</w:t>
      </w:r>
    </w:p>
    <w:p w14:paraId="43349D63">
      <w:pPr>
        <w:spacing w:line="360" w:lineRule="auto"/>
        <w:ind w:firstLine="420" w:firstLineChars="175"/>
        <w:rPr>
          <w:rFonts w:ascii="宋体" w:hAnsi="宋体" w:cs="宋体"/>
          <w:sz w:val="24"/>
          <w:szCs w:val="24"/>
        </w:rPr>
      </w:pPr>
      <w:r>
        <w:rPr>
          <w:rFonts w:hint="eastAsia" w:ascii="宋体" w:hAnsi="宋体" w:cs="宋体"/>
          <w:sz w:val="24"/>
          <w:szCs w:val="24"/>
        </w:rPr>
        <w:t>3.监督单位信息</w:t>
      </w:r>
    </w:p>
    <w:p w14:paraId="44FD7A5D">
      <w:pPr>
        <w:spacing w:line="360" w:lineRule="auto"/>
        <w:ind w:firstLine="420" w:firstLineChars="175"/>
        <w:rPr>
          <w:rFonts w:hint="eastAsia" w:ascii="宋体" w:hAnsi="宋体" w:cs="宋体"/>
          <w:sz w:val="24"/>
          <w:szCs w:val="24"/>
          <w:lang w:eastAsia="zh-CN"/>
        </w:rPr>
      </w:pPr>
      <w:r>
        <w:rPr>
          <w:rFonts w:hint="eastAsia" w:ascii="宋体" w:hAnsi="宋体" w:cs="宋体"/>
          <w:sz w:val="24"/>
          <w:szCs w:val="24"/>
        </w:rPr>
        <w:t>名称：</w:t>
      </w:r>
      <w:r>
        <w:rPr>
          <w:rFonts w:hint="eastAsia" w:ascii="宋体" w:hAnsi="宋体" w:eastAsia="宋体" w:cs="宋体"/>
          <w:i w:val="0"/>
          <w:iCs w:val="0"/>
          <w:caps w:val="0"/>
          <w:color w:val="333333"/>
          <w:spacing w:val="0"/>
          <w:sz w:val="24"/>
          <w:szCs w:val="24"/>
          <w:shd w:val="clear" w:fill="FFFFFF"/>
        </w:rPr>
        <w:t>三门峡市陕州区财政局政府采购监督管理科</w:t>
      </w:r>
    </w:p>
    <w:p w14:paraId="23939DC2">
      <w:pPr>
        <w:spacing w:line="360" w:lineRule="auto"/>
        <w:ind w:firstLine="420" w:firstLineChars="175"/>
        <w:rPr>
          <w:rFonts w:hint="eastAsia" w:ascii="宋体" w:hAnsi="宋体" w:cs="宋体"/>
          <w:sz w:val="24"/>
          <w:szCs w:val="24"/>
          <w:lang w:eastAsia="zh-CN"/>
        </w:rPr>
      </w:pPr>
      <w:r>
        <w:rPr>
          <w:rFonts w:hint="eastAsia" w:ascii="宋体" w:hAnsi="宋体" w:cs="宋体"/>
          <w:sz w:val="24"/>
          <w:szCs w:val="24"/>
        </w:rPr>
        <w:t>联系方式：0398-3839210</w:t>
      </w:r>
    </w:p>
    <w:p w14:paraId="7802A0CF">
      <w:pPr>
        <w:spacing w:line="360" w:lineRule="auto"/>
        <w:ind w:firstLine="420" w:firstLineChars="175"/>
        <w:rPr>
          <w:rFonts w:ascii="宋体" w:hAnsi="宋体" w:cs="宋体"/>
          <w:sz w:val="24"/>
          <w:szCs w:val="24"/>
        </w:rPr>
      </w:pPr>
      <w:r>
        <w:rPr>
          <w:rFonts w:hint="eastAsia" w:ascii="宋体" w:hAnsi="宋体" w:cs="宋体"/>
          <w:sz w:val="24"/>
          <w:szCs w:val="24"/>
        </w:rPr>
        <w:t>4.项目联系方式</w:t>
      </w:r>
    </w:p>
    <w:p w14:paraId="2CAB4103">
      <w:pPr>
        <w:spacing w:line="360" w:lineRule="auto"/>
        <w:ind w:firstLine="420" w:firstLineChars="175"/>
        <w:rPr>
          <w:rFonts w:hint="eastAsia" w:ascii="宋体" w:hAnsi="宋体" w:cs="宋体"/>
          <w:color w:val="auto"/>
          <w:sz w:val="24"/>
          <w:szCs w:val="24"/>
          <w:highlight w:val="none"/>
          <w:lang w:val="en-US" w:eastAsia="zh-CN"/>
        </w:rPr>
      </w:pPr>
      <w:r>
        <w:rPr>
          <w:rFonts w:hint="eastAsia" w:ascii="宋体" w:hAnsi="宋体" w:cs="宋体"/>
          <w:sz w:val="24"/>
          <w:szCs w:val="24"/>
          <w:highlight w:val="none"/>
        </w:rPr>
        <w:t>项目联系人：</w:t>
      </w:r>
      <w:r>
        <w:rPr>
          <w:rFonts w:hint="eastAsia" w:ascii="宋体" w:hAnsi="宋体" w:cs="宋体"/>
          <w:color w:val="auto"/>
          <w:sz w:val="24"/>
          <w:szCs w:val="24"/>
          <w:highlight w:val="none"/>
          <w:lang w:val="en-US" w:eastAsia="zh-CN"/>
        </w:rPr>
        <w:t>胡先生</w:t>
      </w:r>
    </w:p>
    <w:p w14:paraId="17697F37">
      <w:pPr>
        <w:spacing w:line="360" w:lineRule="auto"/>
        <w:ind w:firstLine="420" w:firstLineChars="175"/>
        <w:rPr>
          <w:rFonts w:hint="eastAsia" w:ascii="宋体" w:hAnsi="宋体" w:cs="宋体" w:eastAsiaTheme="minorEastAsia"/>
          <w:sz w:val="24"/>
          <w:szCs w:val="24"/>
          <w:highlight w:val="none"/>
          <w:lang w:eastAsia="zh-CN"/>
        </w:rPr>
      </w:pPr>
      <w:r>
        <w:rPr>
          <w:rFonts w:hint="eastAsia" w:ascii="宋体" w:hAnsi="宋体" w:cs="宋体"/>
          <w:sz w:val="24"/>
          <w:szCs w:val="24"/>
          <w:highlight w:val="none"/>
        </w:rPr>
        <w:t>联系方式：</w:t>
      </w:r>
      <w:r>
        <w:rPr>
          <w:rFonts w:hint="eastAsia" w:ascii="宋体" w:hAnsi="宋体" w:cs="宋体"/>
          <w:color w:val="auto"/>
          <w:sz w:val="24"/>
          <w:szCs w:val="24"/>
          <w:highlight w:val="none"/>
          <w:lang w:val="en-US" w:eastAsia="zh-CN"/>
        </w:rPr>
        <w:t>18239858155</w:t>
      </w:r>
    </w:p>
    <w:p w14:paraId="5838FDA1">
      <w:pPr>
        <w:pStyle w:val="4"/>
        <w:ind w:left="63" w:right="63" w:firstLine="211"/>
      </w:pPr>
    </w:p>
    <w:p w14:paraId="68D7E014">
      <w:pPr>
        <w:widowControl/>
        <w:spacing w:after="312" w:afterLines="100" w:line="220" w:lineRule="atLeast"/>
        <w:jc w:val="both"/>
        <w:rPr>
          <w:rFonts w:hint="eastAsia" w:ascii="宋体" w:hAnsi="宋体" w:cs="宋体"/>
          <w:sz w:val="24"/>
          <w:szCs w:val="24"/>
          <w:lang w:val="en-US" w:eastAsia="zh-CN"/>
        </w:rPr>
      </w:pPr>
    </w:p>
    <w:p w14:paraId="1F8CC813">
      <w:pPr>
        <w:widowControl/>
        <w:spacing w:after="312" w:afterLines="100" w:line="220" w:lineRule="atLeast"/>
        <w:jc w:val="center"/>
        <w:rPr>
          <w:rFonts w:hint="eastAsia" w:ascii="宋体" w:hAnsi="宋体" w:cs="宋体"/>
          <w:b/>
          <w:sz w:val="24"/>
          <w:szCs w:val="24"/>
        </w:rPr>
      </w:pPr>
      <w:r>
        <w:rPr>
          <w:rFonts w:hint="eastAsia" w:ascii="宋体" w:hAnsi="宋体" w:cs="宋体"/>
          <w:sz w:val="24"/>
          <w:szCs w:val="24"/>
          <w:lang w:val="en-US" w:eastAsia="zh-CN"/>
        </w:rPr>
        <w:t xml:space="preserve">                                       </w:t>
      </w:r>
      <w:bookmarkStart w:id="1" w:name="_Toc14693"/>
    </w:p>
    <w:p w14:paraId="318B98D3">
      <w:pPr>
        <w:widowControl/>
        <w:spacing w:after="312" w:afterLines="100" w:line="220" w:lineRule="atLeast"/>
        <w:jc w:val="center"/>
        <w:rPr>
          <w:rFonts w:ascii="宋体" w:hAnsi="宋体" w:cs="宋体"/>
          <w:b/>
          <w:sz w:val="24"/>
          <w:szCs w:val="24"/>
        </w:rPr>
      </w:pPr>
      <w:r>
        <w:rPr>
          <w:rFonts w:hint="eastAsia" w:ascii="宋体" w:hAnsi="宋体" w:cs="宋体"/>
          <w:b/>
          <w:sz w:val="24"/>
          <w:szCs w:val="24"/>
        </w:rPr>
        <w:t>第二章  供应商须知</w:t>
      </w:r>
    </w:p>
    <w:bookmarkEnd w:id="1"/>
    <w:p w14:paraId="6A4576A7">
      <w:pPr>
        <w:pStyle w:val="4"/>
        <w:ind w:left="63" w:right="63" w:firstLine="241"/>
      </w:pPr>
      <w:r>
        <w:rPr>
          <w:rFonts w:hint="eastAsia" w:hAnsi="宋体" w:cs="宋体"/>
          <w:color w:val="000000"/>
          <w:kern w:val="0"/>
          <w:sz w:val="24"/>
          <w:szCs w:val="24"/>
        </w:rPr>
        <w:t>供应商须知前附表</w:t>
      </w:r>
    </w:p>
    <w:tbl>
      <w:tblPr>
        <w:tblStyle w:val="6"/>
        <w:tblW w:w="10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64"/>
        <w:gridCol w:w="6125"/>
      </w:tblGrid>
      <w:tr w14:paraId="7E7A8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5FA42DB8">
            <w:pPr>
              <w:keepNext w:val="0"/>
              <w:keepLines w:val="0"/>
              <w:suppressLineNumbers w:val="0"/>
              <w:autoSpaceDE w:val="0"/>
              <w:autoSpaceDN w:val="0"/>
              <w:adjustRightInd w:val="0"/>
              <w:spacing w:before="0" w:beforeAutospacing="0" w:after="0" w:afterAutospacing="0" w:line="320" w:lineRule="exact"/>
              <w:ind w:left="0" w:right="0"/>
              <w:jc w:val="center"/>
              <w:rPr>
                <w:rFonts w:hint="default" w:ascii="宋体" w:hAnsi="宋体" w:cs="宋体"/>
                <w:kern w:val="0"/>
                <w:sz w:val="24"/>
              </w:rPr>
            </w:pPr>
            <w:r>
              <w:rPr>
                <w:rFonts w:hint="eastAsia" w:ascii="宋体" w:hAnsi="宋体" w:cs="宋体"/>
                <w:kern w:val="0"/>
                <w:sz w:val="24"/>
              </w:rPr>
              <w:t>序号</w:t>
            </w:r>
          </w:p>
        </w:tc>
        <w:tc>
          <w:tcPr>
            <w:tcW w:w="3164" w:type="dxa"/>
            <w:vAlign w:val="center"/>
          </w:tcPr>
          <w:p w14:paraId="4DF27D8B">
            <w:pPr>
              <w:keepNext w:val="0"/>
              <w:keepLines w:val="0"/>
              <w:suppressLineNumbers w:val="0"/>
              <w:autoSpaceDE w:val="0"/>
              <w:autoSpaceDN w:val="0"/>
              <w:adjustRightInd w:val="0"/>
              <w:spacing w:before="0" w:beforeAutospacing="0" w:after="0" w:afterAutospacing="0" w:line="320" w:lineRule="exact"/>
              <w:ind w:left="0" w:right="0"/>
              <w:jc w:val="center"/>
              <w:rPr>
                <w:rFonts w:hint="default" w:ascii="宋体" w:hAnsi="宋体" w:cs="宋体"/>
                <w:kern w:val="0"/>
                <w:sz w:val="24"/>
              </w:rPr>
            </w:pPr>
            <w:r>
              <w:rPr>
                <w:rFonts w:hint="eastAsia" w:ascii="宋体" w:hAnsi="宋体" w:cs="宋体"/>
                <w:kern w:val="0"/>
                <w:sz w:val="24"/>
              </w:rPr>
              <w:t>条 款 名 称</w:t>
            </w:r>
          </w:p>
        </w:tc>
        <w:tc>
          <w:tcPr>
            <w:tcW w:w="6125" w:type="dxa"/>
            <w:vAlign w:val="center"/>
          </w:tcPr>
          <w:p w14:paraId="29D41FB4">
            <w:pPr>
              <w:keepNext w:val="0"/>
              <w:keepLines w:val="0"/>
              <w:suppressLineNumbers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编 列 内 容</w:t>
            </w:r>
          </w:p>
        </w:tc>
      </w:tr>
      <w:tr w14:paraId="7AEDB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42AA264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1.1.1</w:t>
            </w:r>
          </w:p>
        </w:tc>
        <w:tc>
          <w:tcPr>
            <w:tcW w:w="3164" w:type="dxa"/>
            <w:vAlign w:val="center"/>
          </w:tcPr>
          <w:p w14:paraId="1389E2C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采购人</w:t>
            </w:r>
          </w:p>
        </w:tc>
        <w:tc>
          <w:tcPr>
            <w:tcW w:w="6125" w:type="dxa"/>
          </w:tcPr>
          <w:p w14:paraId="3B2DA092">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名称：</w:t>
            </w:r>
            <w:r>
              <w:rPr>
                <w:rFonts w:hint="eastAsia" w:ascii="宋体" w:hAnsi="宋体" w:cs="宋体"/>
                <w:sz w:val="24"/>
                <w:szCs w:val="24"/>
                <w:lang w:eastAsia="zh-CN"/>
              </w:rPr>
              <w:t>三门峡市陕州区交通运输局</w:t>
            </w:r>
            <w:r>
              <w:rPr>
                <w:rFonts w:hint="eastAsia" w:ascii="宋体" w:hAnsi="宋体" w:cs="宋体"/>
                <w:sz w:val="24"/>
                <w:szCs w:val="24"/>
              </w:rPr>
              <w:t xml:space="preserve"> </w:t>
            </w:r>
          </w:p>
          <w:p w14:paraId="1E656082">
            <w:pPr>
              <w:keepNext w:val="0"/>
              <w:keepLines w:val="0"/>
              <w:suppressLineNumbers w:val="0"/>
              <w:spacing w:before="0" w:beforeAutospacing="0" w:after="0" w:afterAutospacing="0" w:line="360" w:lineRule="auto"/>
              <w:ind w:left="0" w:right="0"/>
              <w:rPr>
                <w:rFonts w:hint="eastAsia" w:ascii="宋体" w:hAnsi="宋体" w:cs="宋体" w:eastAsiaTheme="minorEastAsia"/>
                <w:sz w:val="24"/>
                <w:szCs w:val="24"/>
                <w:highlight w:val="none"/>
                <w:lang w:eastAsia="zh-CN"/>
              </w:rPr>
            </w:pPr>
            <w:r>
              <w:rPr>
                <w:rFonts w:hint="eastAsia" w:ascii="宋体" w:hAnsi="宋体" w:cs="宋体"/>
                <w:sz w:val="24"/>
                <w:szCs w:val="24"/>
                <w:highlight w:val="none"/>
              </w:rPr>
              <w:t>地址：</w:t>
            </w:r>
            <w:r>
              <w:rPr>
                <w:rFonts w:hint="eastAsia" w:ascii="宋体" w:hAnsi="宋体" w:cs="宋体"/>
                <w:sz w:val="24"/>
                <w:szCs w:val="24"/>
                <w:highlight w:val="none"/>
                <w:lang w:eastAsia="zh-CN"/>
              </w:rPr>
              <w:t>三门峡市陕州区陕州大道东段</w:t>
            </w:r>
          </w:p>
          <w:p w14:paraId="0F703FF8">
            <w:pPr>
              <w:keepNext w:val="0"/>
              <w:keepLines w:val="0"/>
              <w:suppressLineNumbers w:val="0"/>
              <w:spacing w:before="0" w:beforeAutospacing="0" w:after="0" w:afterAutospacing="0" w:line="360" w:lineRule="auto"/>
              <w:ind w:left="0" w:right="0"/>
              <w:rPr>
                <w:rFonts w:hint="default" w:ascii="宋体" w:hAnsi="宋体" w:cs="宋体" w:eastAsiaTheme="minorEastAsia"/>
                <w:sz w:val="24"/>
                <w:szCs w:val="24"/>
                <w:highlight w:val="none"/>
                <w:lang w:val="en-US" w:eastAsia="zh-CN"/>
              </w:rPr>
            </w:pPr>
            <w:r>
              <w:rPr>
                <w:rFonts w:hint="eastAsia" w:ascii="宋体" w:hAnsi="宋体" w:cs="宋体"/>
                <w:sz w:val="24"/>
                <w:szCs w:val="24"/>
                <w:highlight w:val="none"/>
              </w:rPr>
              <w:t>联系人：</w:t>
            </w:r>
            <w:r>
              <w:rPr>
                <w:rFonts w:hint="eastAsia" w:ascii="宋体" w:hAnsi="宋体" w:cs="宋体"/>
                <w:sz w:val="24"/>
                <w:szCs w:val="24"/>
                <w:highlight w:val="none"/>
                <w:lang w:val="en-US" w:eastAsia="zh-CN"/>
              </w:rPr>
              <w:t>崔先生</w:t>
            </w:r>
          </w:p>
          <w:p w14:paraId="18B04178">
            <w:pPr>
              <w:keepNext w:val="0"/>
              <w:keepLines w:val="0"/>
              <w:suppressLineNumbers w:val="0"/>
              <w:spacing w:before="0" w:beforeAutospacing="0" w:after="0" w:afterAutospacing="0" w:line="360" w:lineRule="auto"/>
              <w:ind w:left="0" w:right="0"/>
              <w:rPr>
                <w:rFonts w:hint="default" w:ascii="宋体" w:hAnsi="宋体" w:cs="宋体" w:eastAsiaTheme="minorEastAsia"/>
                <w:sz w:val="24"/>
                <w:lang w:val="en-US" w:eastAsia="zh-CN"/>
              </w:rPr>
            </w:pPr>
            <w:r>
              <w:rPr>
                <w:rFonts w:hint="eastAsia" w:ascii="宋体" w:hAnsi="宋体" w:cs="宋体"/>
                <w:sz w:val="24"/>
                <w:szCs w:val="24"/>
                <w:highlight w:val="none"/>
              </w:rPr>
              <w:t>联系方式：</w:t>
            </w:r>
            <w:r>
              <w:rPr>
                <w:rFonts w:hint="eastAsia" w:ascii="宋体" w:hAnsi="宋体" w:cs="宋体"/>
                <w:sz w:val="24"/>
                <w:szCs w:val="24"/>
                <w:highlight w:val="none"/>
                <w:lang w:val="en-US" w:eastAsia="zh-CN"/>
              </w:rPr>
              <w:t>13949789938</w:t>
            </w:r>
          </w:p>
        </w:tc>
      </w:tr>
      <w:tr w14:paraId="68626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26A0520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1.1.2</w:t>
            </w:r>
          </w:p>
        </w:tc>
        <w:tc>
          <w:tcPr>
            <w:tcW w:w="3164" w:type="dxa"/>
            <w:vAlign w:val="center"/>
          </w:tcPr>
          <w:p w14:paraId="73E8300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代理机构</w:t>
            </w:r>
          </w:p>
        </w:tc>
        <w:tc>
          <w:tcPr>
            <w:tcW w:w="6125" w:type="dxa"/>
          </w:tcPr>
          <w:p w14:paraId="58CC6201">
            <w:pPr>
              <w:keepNext w:val="0"/>
              <w:keepLines w:val="0"/>
              <w:suppressLineNumbers w:val="0"/>
              <w:spacing w:before="0" w:beforeAutospacing="0" w:after="0" w:afterAutospacing="0" w:line="360" w:lineRule="auto"/>
              <w:ind w:left="0" w:right="0"/>
              <w:rPr>
                <w:rFonts w:hint="eastAsia" w:ascii="宋体" w:hAnsi="宋体" w:cs="宋体" w:eastAsiaTheme="minorEastAsia"/>
                <w:color w:val="auto"/>
                <w:sz w:val="24"/>
                <w:szCs w:val="24"/>
                <w:lang w:eastAsia="zh-CN"/>
              </w:rPr>
            </w:pPr>
            <w:r>
              <w:rPr>
                <w:rFonts w:hint="eastAsia" w:ascii="宋体" w:hAnsi="宋体" w:cs="宋体"/>
                <w:color w:val="auto"/>
                <w:sz w:val="24"/>
                <w:szCs w:val="24"/>
              </w:rPr>
              <w:t>名称：</w:t>
            </w:r>
            <w:r>
              <w:rPr>
                <w:rFonts w:hint="eastAsia" w:ascii="宋体" w:hAnsi="宋体" w:cs="宋体"/>
                <w:color w:val="auto"/>
                <w:sz w:val="24"/>
                <w:szCs w:val="24"/>
                <w:lang w:eastAsia="zh-CN"/>
              </w:rPr>
              <w:t>中建华阳建设项目管理有限责任公司</w:t>
            </w:r>
          </w:p>
          <w:p w14:paraId="7A8EFFD2">
            <w:pPr>
              <w:keepNext w:val="0"/>
              <w:keepLines w:val="0"/>
              <w:suppressLineNumbers w:val="0"/>
              <w:spacing w:before="0" w:beforeAutospacing="0" w:after="0" w:afterAutospacing="0" w:line="360" w:lineRule="auto"/>
              <w:ind w:left="0" w:right="0"/>
              <w:jc w:val="left"/>
              <w:rPr>
                <w:rFonts w:hint="eastAsia" w:ascii="宋体" w:hAnsi="宋体" w:cs="宋体" w:eastAsiaTheme="minorEastAsia"/>
                <w:bCs/>
                <w:color w:val="auto"/>
                <w:sz w:val="24"/>
                <w:szCs w:val="24"/>
                <w:highlight w:val="none"/>
                <w:lang w:eastAsia="zh-CN"/>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lang w:val="en-US" w:eastAsia="zh-CN"/>
              </w:rPr>
              <w:t>陕西省西安市新城区长乐中路 242 号金花新都汇 A座写字楼 24 层 06 室</w:t>
            </w:r>
          </w:p>
          <w:p w14:paraId="289A6AC9">
            <w:pPr>
              <w:keepNext w:val="0"/>
              <w:keepLines w:val="0"/>
              <w:suppressLineNumbers w:val="0"/>
              <w:spacing w:before="0" w:beforeAutospacing="0" w:after="0" w:afterAutospacing="0" w:line="360"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val="en-US" w:eastAsia="zh-CN"/>
              </w:rPr>
              <w:t>胡先生</w:t>
            </w:r>
          </w:p>
          <w:p w14:paraId="571A2EEB">
            <w:pPr>
              <w:keepNext w:val="0"/>
              <w:keepLines w:val="0"/>
              <w:suppressLineNumbers w:val="0"/>
              <w:autoSpaceDE w:val="0"/>
              <w:autoSpaceDN w:val="0"/>
              <w:adjustRightInd w:val="0"/>
              <w:spacing w:before="0" w:beforeAutospacing="0" w:after="0" w:afterAutospacing="0" w:line="360" w:lineRule="auto"/>
              <w:ind w:left="0" w:right="0"/>
              <w:jc w:val="left"/>
              <w:rPr>
                <w:rFonts w:hint="default" w:eastAsiaTheme="minorEastAsia"/>
                <w:lang w:val="en-US" w:eastAsia="zh-CN"/>
              </w:rPr>
            </w:pPr>
            <w:r>
              <w:rPr>
                <w:rFonts w:hint="eastAsia" w:ascii="宋体" w:hAnsi="宋体" w:cs="宋体"/>
                <w:color w:val="auto"/>
                <w:sz w:val="24"/>
                <w:szCs w:val="24"/>
                <w:highlight w:val="none"/>
              </w:rPr>
              <w:t>联系方式：</w:t>
            </w:r>
            <w:r>
              <w:rPr>
                <w:rFonts w:hint="eastAsia" w:ascii="宋体" w:hAnsi="宋体" w:cs="宋体"/>
                <w:color w:val="auto"/>
                <w:sz w:val="24"/>
                <w:szCs w:val="24"/>
                <w:highlight w:val="none"/>
                <w:lang w:val="en-US" w:eastAsia="zh-CN"/>
              </w:rPr>
              <w:t>18239858155</w:t>
            </w:r>
          </w:p>
        </w:tc>
      </w:tr>
      <w:tr w14:paraId="76A03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4B67753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1.1.3</w:t>
            </w:r>
          </w:p>
        </w:tc>
        <w:tc>
          <w:tcPr>
            <w:tcW w:w="3164" w:type="dxa"/>
            <w:vAlign w:val="center"/>
          </w:tcPr>
          <w:p w14:paraId="3531989D">
            <w:pPr>
              <w:keepNext w:val="0"/>
              <w:keepLines w:val="0"/>
              <w:suppressLineNumbers w:val="0"/>
              <w:spacing w:before="0" w:beforeAutospacing="0" w:after="0" w:afterAutospacing="0" w:line="340" w:lineRule="exact"/>
              <w:ind w:left="0" w:right="0"/>
              <w:jc w:val="center"/>
              <w:rPr>
                <w:rFonts w:hint="default" w:ascii="宋体" w:hAnsi="宋体" w:cs="宋体"/>
                <w:sz w:val="24"/>
              </w:rPr>
            </w:pPr>
            <w:r>
              <w:rPr>
                <w:rFonts w:hint="eastAsia" w:ascii="宋体" w:hAnsi="宋体" w:cs="宋体"/>
                <w:sz w:val="24"/>
              </w:rPr>
              <w:t>项目名称</w:t>
            </w:r>
          </w:p>
        </w:tc>
        <w:tc>
          <w:tcPr>
            <w:tcW w:w="6125" w:type="dxa"/>
            <w:vAlign w:val="center"/>
          </w:tcPr>
          <w:p w14:paraId="3F7858DA">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eastAsiaTheme="minorEastAsia"/>
                <w:sz w:val="24"/>
                <w:lang w:eastAsia="zh-CN"/>
              </w:rPr>
            </w:pPr>
            <w:r>
              <w:rPr>
                <w:rFonts w:hint="eastAsia" w:ascii="宋体" w:hAnsi="宋体" w:cs="宋体"/>
                <w:sz w:val="24"/>
                <w:szCs w:val="24"/>
                <w:lang w:eastAsia="zh-CN"/>
              </w:rPr>
              <w:t>2025年陕州区农村道路巩固提升项目</w:t>
            </w:r>
            <w:r>
              <w:rPr>
                <w:rFonts w:hint="eastAsia" w:ascii="宋体" w:hAnsi="宋体" w:cs="宋体"/>
                <w:sz w:val="24"/>
                <w:szCs w:val="24"/>
                <w:lang w:val="en-US" w:eastAsia="zh-CN"/>
              </w:rPr>
              <w:t>（第三批）</w:t>
            </w:r>
          </w:p>
        </w:tc>
      </w:tr>
      <w:tr w14:paraId="592B2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3CE09EC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1.1.4</w:t>
            </w:r>
          </w:p>
        </w:tc>
        <w:tc>
          <w:tcPr>
            <w:tcW w:w="3164" w:type="dxa"/>
            <w:vAlign w:val="center"/>
          </w:tcPr>
          <w:p w14:paraId="47B21C2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项目地点</w:t>
            </w:r>
          </w:p>
        </w:tc>
        <w:tc>
          <w:tcPr>
            <w:tcW w:w="6125" w:type="dxa"/>
            <w:vAlign w:val="center"/>
          </w:tcPr>
          <w:p w14:paraId="49EC2B5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eastAsiaTheme="minorEastAsia"/>
                <w:kern w:val="0"/>
                <w:sz w:val="24"/>
                <w:lang w:val="en-US" w:eastAsia="zh-CN"/>
              </w:rPr>
            </w:pPr>
            <w:r>
              <w:rPr>
                <w:rFonts w:hint="eastAsia" w:ascii="宋体" w:hAnsi="宋体" w:cs="宋体"/>
                <w:kern w:val="0"/>
                <w:sz w:val="24"/>
                <w:lang w:val="en-US" w:eastAsia="zh-CN"/>
              </w:rPr>
              <w:t>陕州区</w:t>
            </w:r>
          </w:p>
        </w:tc>
      </w:tr>
      <w:tr w14:paraId="1903A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78BBCC0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1.1.5</w:t>
            </w:r>
          </w:p>
        </w:tc>
        <w:tc>
          <w:tcPr>
            <w:tcW w:w="3164" w:type="dxa"/>
            <w:vAlign w:val="center"/>
          </w:tcPr>
          <w:p w14:paraId="0121623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项目概况</w:t>
            </w:r>
          </w:p>
        </w:tc>
        <w:tc>
          <w:tcPr>
            <w:tcW w:w="6125" w:type="dxa"/>
            <w:vAlign w:val="center"/>
          </w:tcPr>
          <w:p w14:paraId="1DD76FE3">
            <w:pPr>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ind w:left="0" w:leftChars="0" w:right="0" w:rightChars="0" w:firstLine="494" w:firstLineChars="206"/>
              <w:jc w:val="both"/>
              <w:textAlignment w:val="auto"/>
              <w:rPr>
                <w:rFonts w:hint="default" w:ascii="宋体" w:hAnsi="宋体" w:cs="宋体"/>
                <w:sz w:val="24"/>
              </w:rPr>
            </w:pPr>
            <w:r>
              <w:rPr>
                <w:rFonts w:hint="eastAsia" w:ascii="宋体" w:hAnsi="宋体" w:cs="宋体"/>
                <w:sz w:val="24"/>
                <w:szCs w:val="24"/>
              </w:rPr>
              <w:t>工程概况：</w:t>
            </w:r>
            <w:r>
              <w:rPr>
                <w:rFonts w:hint="eastAsia" w:ascii="宋体" w:hAnsi="宋体" w:cs="宋体"/>
                <w:sz w:val="24"/>
                <w:szCs w:val="24"/>
                <w:lang w:val="en-US" w:eastAsia="zh-CN"/>
              </w:rPr>
              <w:t>本项目为</w:t>
            </w:r>
            <w:r>
              <w:rPr>
                <w:rFonts w:hint="eastAsia" w:ascii="宋体" w:hAnsi="宋体" w:cs="宋体"/>
                <w:sz w:val="24"/>
                <w:szCs w:val="24"/>
                <w:lang w:eastAsia="zh-CN"/>
              </w:rPr>
              <w:t>2025年陕州区农村道路巩固提升项目</w:t>
            </w:r>
            <w:r>
              <w:rPr>
                <w:rFonts w:hint="eastAsia" w:ascii="宋体" w:hAnsi="宋体" w:cs="宋体"/>
                <w:sz w:val="24"/>
                <w:szCs w:val="24"/>
                <w:lang w:val="en-US" w:eastAsia="zh-CN"/>
              </w:rPr>
              <w:t>（第三批）共5条路，总长7.462公里，其中1、西张村镇人马寨至窑头长2.972公里;2、、宫前乡宫前村道路长0.31公里;3、菜园乡崔家村道路长1.4公里;4、观音堂镇石壕村前门组道路长0.601公里;5、菜园乡东凡村道路长2.179公里 。</w:t>
            </w:r>
          </w:p>
        </w:tc>
      </w:tr>
      <w:tr w14:paraId="78205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4E73EEA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1.2.1</w:t>
            </w:r>
          </w:p>
        </w:tc>
        <w:tc>
          <w:tcPr>
            <w:tcW w:w="3164" w:type="dxa"/>
            <w:vAlign w:val="center"/>
          </w:tcPr>
          <w:p w14:paraId="53FFA0A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资金来源</w:t>
            </w:r>
          </w:p>
        </w:tc>
        <w:tc>
          <w:tcPr>
            <w:tcW w:w="6125" w:type="dxa"/>
            <w:vAlign w:val="center"/>
          </w:tcPr>
          <w:p w14:paraId="2B45C14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kern w:val="0"/>
                <w:sz w:val="24"/>
              </w:rPr>
            </w:pPr>
            <w:r>
              <w:rPr>
                <w:rFonts w:hint="default" w:ascii="宋体" w:hAnsi="宋体" w:cs="宋体"/>
                <w:kern w:val="0"/>
                <w:sz w:val="24"/>
              </w:rPr>
              <w:t>财政资金</w:t>
            </w:r>
          </w:p>
        </w:tc>
      </w:tr>
      <w:tr w14:paraId="622DF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250992C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1.2.2</w:t>
            </w:r>
          </w:p>
        </w:tc>
        <w:tc>
          <w:tcPr>
            <w:tcW w:w="3164" w:type="dxa"/>
            <w:vAlign w:val="center"/>
          </w:tcPr>
          <w:p w14:paraId="2CF6AC7E">
            <w:pPr>
              <w:keepNext w:val="0"/>
              <w:keepLines w:val="0"/>
              <w:suppressLineNumbers w:val="0"/>
              <w:autoSpaceDE w:val="0"/>
              <w:autoSpaceDN w:val="0"/>
              <w:adjustRightInd w:val="0"/>
              <w:spacing w:before="0" w:beforeAutospacing="0" w:after="0" w:afterAutospacing="0" w:line="360" w:lineRule="auto"/>
              <w:ind w:left="0" w:right="0" w:firstLine="720" w:firstLineChars="300"/>
              <w:rPr>
                <w:rFonts w:hint="default" w:ascii="宋体" w:hAnsi="宋体" w:cs="宋体"/>
                <w:kern w:val="0"/>
                <w:sz w:val="24"/>
              </w:rPr>
            </w:pPr>
            <w:r>
              <w:rPr>
                <w:rFonts w:hint="eastAsia" w:ascii="宋体" w:hAnsi="宋体" w:cs="宋体"/>
                <w:kern w:val="0"/>
                <w:sz w:val="24"/>
              </w:rPr>
              <w:t>资金落实情况</w:t>
            </w:r>
          </w:p>
        </w:tc>
        <w:tc>
          <w:tcPr>
            <w:tcW w:w="6125" w:type="dxa"/>
            <w:vAlign w:val="center"/>
          </w:tcPr>
          <w:p w14:paraId="7C3FEF6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kern w:val="0"/>
                <w:sz w:val="24"/>
              </w:rPr>
            </w:pPr>
            <w:r>
              <w:rPr>
                <w:rFonts w:hint="eastAsia" w:ascii="宋体" w:hAnsi="宋体" w:cs="宋体"/>
                <w:kern w:val="0"/>
                <w:sz w:val="24"/>
              </w:rPr>
              <w:t>已落实</w:t>
            </w:r>
          </w:p>
        </w:tc>
      </w:tr>
      <w:tr w14:paraId="3F151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0473B10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1.3.1</w:t>
            </w:r>
          </w:p>
        </w:tc>
        <w:tc>
          <w:tcPr>
            <w:tcW w:w="3164" w:type="dxa"/>
            <w:vAlign w:val="center"/>
          </w:tcPr>
          <w:p w14:paraId="6E26524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采购范围</w:t>
            </w:r>
          </w:p>
        </w:tc>
        <w:tc>
          <w:tcPr>
            <w:tcW w:w="6125" w:type="dxa"/>
            <w:vAlign w:val="center"/>
          </w:tcPr>
          <w:p w14:paraId="74A39C88">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eastAsiaTheme="minorEastAsia"/>
                <w:kern w:val="0"/>
                <w:sz w:val="24"/>
                <w:lang w:eastAsia="zh-CN"/>
              </w:rPr>
            </w:pPr>
            <w:r>
              <w:rPr>
                <w:rFonts w:hint="eastAsia" w:ascii="宋体" w:hAnsi="宋体" w:cs="宋体"/>
                <w:kern w:val="0"/>
                <w:sz w:val="24"/>
                <w:szCs w:val="24"/>
                <w:lang w:eastAsia="zh-CN"/>
              </w:rPr>
              <w:t>本项目磋商文件、补充文件、工程量清单、图纸及答疑纪要等列明的所有内容；</w:t>
            </w:r>
          </w:p>
        </w:tc>
      </w:tr>
      <w:tr w14:paraId="20DED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36E28F4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1.3.2</w:t>
            </w:r>
          </w:p>
        </w:tc>
        <w:tc>
          <w:tcPr>
            <w:tcW w:w="3164" w:type="dxa"/>
            <w:vAlign w:val="center"/>
          </w:tcPr>
          <w:p w14:paraId="4056662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计划工期</w:t>
            </w:r>
          </w:p>
        </w:tc>
        <w:tc>
          <w:tcPr>
            <w:tcW w:w="6125" w:type="dxa"/>
            <w:vAlign w:val="center"/>
          </w:tcPr>
          <w:p w14:paraId="1999671E">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eastAsiaTheme="minorEastAsia"/>
                <w:color w:val="auto"/>
                <w:kern w:val="0"/>
                <w:sz w:val="24"/>
                <w:highlight w:val="none"/>
                <w:lang w:eastAsia="zh-CN"/>
              </w:rPr>
            </w:pPr>
            <w:r>
              <w:rPr>
                <w:rFonts w:hint="eastAsia" w:ascii="宋体" w:hAnsi="宋体" w:cs="宋体"/>
                <w:color w:val="auto"/>
                <w:kern w:val="0"/>
                <w:sz w:val="24"/>
                <w:szCs w:val="24"/>
                <w:highlight w:val="none"/>
                <w:lang w:val="en-US" w:eastAsia="zh-CN"/>
              </w:rPr>
              <w:t>30日历天</w:t>
            </w:r>
          </w:p>
        </w:tc>
      </w:tr>
      <w:tr w14:paraId="579A5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0C1F833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1.3.3</w:t>
            </w:r>
          </w:p>
        </w:tc>
        <w:tc>
          <w:tcPr>
            <w:tcW w:w="3164" w:type="dxa"/>
            <w:vAlign w:val="center"/>
          </w:tcPr>
          <w:p w14:paraId="2CA82AE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质量要求</w:t>
            </w:r>
          </w:p>
        </w:tc>
        <w:tc>
          <w:tcPr>
            <w:tcW w:w="6125" w:type="dxa"/>
            <w:vAlign w:val="center"/>
          </w:tcPr>
          <w:p w14:paraId="1336631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eastAsiaTheme="minorEastAsia"/>
                <w:kern w:val="0"/>
                <w:sz w:val="24"/>
                <w:lang w:eastAsia="zh-CN"/>
              </w:rPr>
            </w:pPr>
            <w:r>
              <w:rPr>
                <w:rFonts w:hint="eastAsia" w:ascii="宋体" w:hAnsi="宋体" w:cs="宋体"/>
                <w:sz w:val="24"/>
                <w:szCs w:val="24"/>
                <w:lang w:eastAsia="zh-CN"/>
              </w:rPr>
              <w:t>达到国家现行工程施工质量验收规范合格标准</w:t>
            </w:r>
          </w:p>
        </w:tc>
      </w:tr>
      <w:tr w14:paraId="1FEC0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50A34B1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1.3.4</w:t>
            </w:r>
          </w:p>
        </w:tc>
        <w:tc>
          <w:tcPr>
            <w:tcW w:w="3164" w:type="dxa"/>
            <w:vAlign w:val="center"/>
          </w:tcPr>
          <w:p w14:paraId="56D7B22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质保期</w:t>
            </w:r>
          </w:p>
        </w:tc>
        <w:tc>
          <w:tcPr>
            <w:tcW w:w="6125" w:type="dxa"/>
            <w:vAlign w:val="center"/>
          </w:tcPr>
          <w:p w14:paraId="39AD9031">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按国家规定</w:t>
            </w:r>
          </w:p>
        </w:tc>
      </w:tr>
      <w:tr w14:paraId="656BF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19D1327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1.4</w:t>
            </w:r>
          </w:p>
        </w:tc>
        <w:tc>
          <w:tcPr>
            <w:tcW w:w="3164" w:type="dxa"/>
            <w:vAlign w:val="center"/>
          </w:tcPr>
          <w:p w14:paraId="1B1BD200">
            <w:pPr>
              <w:keepNext w:val="0"/>
              <w:keepLines w:val="0"/>
              <w:suppressLineNumbers w:val="0"/>
              <w:snapToGrid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rPr>
              <w:t>供应商资格要求</w:t>
            </w:r>
          </w:p>
        </w:tc>
        <w:tc>
          <w:tcPr>
            <w:tcW w:w="6125" w:type="dxa"/>
          </w:tcPr>
          <w:p w14:paraId="115C225B">
            <w:pPr>
              <w:keepNext w:val="0"/>
              <w:keepLines w:val="0"/>
              <w:suppressLineNumbers w:val="0"/>
              <w:spacing w:before="0" w:beforeAutospacing="0" w:after="0" w:afterAutospacing="0" w:line="360" w:lineRule="auto"/>
              <w:ind w:left="0" w:right="0" w:firstLine="420" w:firstLineChars="175"/>
              <w:rPr>
                <w:rFonts w:hint="eastAsia" w:ascii="宋体" w:hAnsi="宋体" w:cs="宋体"/>
                <w:sz w:val="24"/>
                <w:szCs w:val="24"/>
                <w:lang w:val="en-US" w:eastAsia="zh-CN"/>
              </w:rPr>
            </w:pPr>
            <w:r>
              <w:rPr>
                <w:rFonts w:hint="eastAsia" w:ascii="宋体" w:hAnsi="宋体" w:cs="宋体"/>
                <w:sz w:val="24"/>
                <w:szCs w:val="24"/>
                <w:lang w:val="en-US" w:eastAsia="zh-CN"/>
              </w:rPr>
              <w:t>1、满足《中华人民共和国政府采购法》第二十二条规定；</w:t>
            </w:r>
          </w:p>
          <w:p w14:paraId="01B6021E">
            <w:pPr>
              <w:keepNext w:val="0"/>
              <w:keepLines w:val="0"/>
              <w:suppressLineNumbers w:val="0"/>
              <w:spacing w:before="0" w:beforeAutospacing="0" w:after="0" w:afterAutospacing="0" w:line="360" w:lineRule="auto"/>
              <w:ind w:left="0" w:right="0" w:firstLine="420" w:firstLineChars="175"/>
              <w:rPr>
                <w:rFonts w:hint="eastAsia" w:ascii="宋体" w:hAnsi="宋体" w:cs="宋体"/>
                <w:sz w:val="24"/>
                <w:szCs w:val="24"/>
                <w:lang w:val="en-US" w:eastAsia="zh-CN"/>
              </w:rPr>
            </w:pPr>
            <w:r>
              <w:rPr>
                <w:rFonts w:hint="eastAsia" w:ascii="宋体" w:hAnsi="宋体" w:cs="宋体"/>
                <w:sz w:val="24"/>
                <w:szCs w:val="24"/>
                <w:lang w:val="en-US" w:eastAsia="zh-CN"/>
              </w:rPr>
              <w:t>2、落实政府采购政策满足的资格要求：本项目专门面向中小企业采购，供应商必须是中小企业，并出具《中小企业声明函》；</w:t>
            </w:r>
          </w:p>
          <w:p w14:paraId="0DD10F21">
            <w:pPr>
              <w:keepNext w:val="0"/>
              <w:keepLines w:val="0"/>
              <w:suppressLineNumbers w:val="0"/>
              <w:spacing w:before="0" w:beforeAutospacing="0" w:after="0" w:afterAutospacing="0" w:line="360" w:lineRule="auto"/>
              <w:ind w:left="0" w:right="0" w:firstLine="420" w:firstLineChars="175"/>
              <w:rPr>
                <w:rFonts w:hint="eastAsia" w:ascii="宋体" w:hAnsi="宋体" w:cs="宋体"/>
                <w:sz w:val="24"/>
                <w:szCs w:val="24"/>
                <w:lang w:val="en-US" w:eastAsia="zh-CN"/>
              </w:rPr>
            </w:pPr>
            <w:r>
              <w:rPr>
                <w:rFonts w:hint="eastAsia" w:ascii="宋体" w:hAnsi="宋体" w:cs="宋体"/>
                <w:sz w:val="24"/>
                <w:szCs w:val="24"/>
                <w:lang w:val="en-US" w:eastAsia="zh-CN"/>
              </w:rPr>
              <w:t>3、本项目的特定资格要求：</w:t>
            </w:r>
          </w:p>
          <w:p w14:paraId="61BD3F51">
            <w:pPr>
              <w:keepNext w:val="0"/>
              <w:keepLines w:val="0"/>
              <w:suppressLineNumbers w:val="0"/>
              <w:spacing w:before="0" w:beforeAutospacing="0" w:after="0" w:afterAutospacing="0" w:line="360" w:lineRule="auto"/>
              <w:ind w:left="0" w:right="0" w:firstLine="420" w:firstLineChars="175"/>
              <w:rPr>
                <w:rFonts w:hint="eastAsia" w:ascii="宋体" w:hAnsi="宋体" w:cs="宋体"/>
                <w:sz w:val="24"/>
                <w:szCs w:val="24"/>
                <w:lang w:val="en-US" w:eastAsia="zh-CN"/>
              </w:rPr>
            </w:pPr>
            <w:r>
              <w:rPr>
                <w:rFonts w:hint="eastAsia" w:ascii="宋体" w:hAnsi="宋体" w:cs="宋体"/>
                <w:sz w:val="24"/>
                <w:szCs w:val="24"/>
                <w:lang w:val="en-US" w:eastAsia="zh-CN"/>
              </w:rPr>
              <w:t>3.1供应商须具有独立的法人资格或其他组织；</w:t>
            </w:r>
          </w:p>
          <w:p w14:paraId="3E80891A">
            <w:pPr>
              <w:keepNext w:val="0"/>
              <w:keepLines w:val="0"/>
              <w:suppressLineNumbers w:val="0"/>
              <w:spacing w:before="0" w:beforeAutospacing="0" w:after="0" w:afterAutospacing="0" w:line="360" w:lineRule="auto"/>
              <w:ind w:left="0" w:right="0" w:firstLine="420" w:firstLineChars="175"/>
              <w:rPr>
                <w:rFonts w:hint="eastAsia" w:ascii="宋体" w:hAnsi="宋体" w:cs="宋体" w:eastAsiaTheme="minorEastAsia"/>
                <w:sz w:val="24"/>
                <w:szCs w:val="24"/>
                <w:lang w:val="en-US" w:eastAsia="zh-CN"/>
              </w:rPr>
            </w:pPr>
            <w:r>
              <w:rPr>
                <w:rFonts w:hint="eastAsia" w:ascii="宋体" w:hAnsi="宋体" w:cs="宋体"/>
                <w:sz w:val="24"/>
                <w:szCs w:val="24"/>
                <w:lang w:val="en-US" w:eastAsia="zh-CN"/>
              </w:rPr>
              <w:t>3.2供应商须具有公路工程施工总承包叁级及以上资质，具有有效的安全生产许可证；并在人员、设备、资金等方面具有相应的施工能力。</w:t>
            </w:r>
          </w:p>
          <w:p w14:paraId="7A9410BD">
            <w:pPr>
              <w:keepNext w:val="0"/>
              <w:keepLines w:val="0"/>
              <w:suppressLineNumbers w:val="0"/>
              <w:spacing w:before="0" w:beforeAutospacing="0" w:after="0" w:afterAutospacing="0" w:line="360" w:lineRule="auto"/>
              <w:ind w:left="0" w:right="0" w:firstLine="420" w:firstLineChars="175"/>
              <w:rPr>
                <w:rFonts w:hint="default" w:ascii="宋体" w:hAnsi="宋体" w:cs="宋体"/>
                <w:sz w:val="24"/>
                <w:szCs w:val="24"/>
                <w:lang w:val="en-US" w:eastAsia="en-US"/>
              </w:rPr>
            </w:pPr>
            <w:r>
              <w:rPr>
                <w:rFonts w:hint="eastAsia" w:ascii="宋体" w:hAnsi="宋体" w:cs="宋体"/>
                <w:sz w:val="24"/>
                <w:szCs w:val="24"/>
                <w:lang w:val="en-US" w:eastAsia="zh-CN"/>
              </w:rPr>
              <w:t>3.3</w:t>
            </w:r>
            <w:r>
              <w:rPr>
                <w:rFonts w:hint="eastAsia" w:ascii="宋体" w:hAnsi="宋体" w:cs="宋体"/>
                <w:sz w:val="24"/>
                <w:szCs w:val="24"/>
                <w:lang w:val="en-US" w:eastAsia="en-US"/>
              </w:rPr>
              <w:t>拟派项目经理须具备相关专业贰级及以上注册建造师资格，具备有效的安全生产考核合格证书，参加继续教育的应具有建造师继续教育证，已参加养老保险缴纳证明</w:t>
            </w:r>
            <w:r>
              <w:rPr>
                <w:rFonts w:hint="eastAsia" w:ascii="宋体" w:hAnsi="宋体" w:cs="宋体"/>
                <w:sz w:val="24"/>
                <w:szCs w:val="24"/>
                <w:lang w:val="en-US" w:eastAsia="zh-CN"/>
              </w:rPr>
              <w:t>，</w:t>
            </w:r>
            <w:r>
              <w:rPr>
                <w:rFonts w:hint="eastAsia" w:ascii="宋体" w:hAnsi="宋体" w:cs="宋体"/>
                <w:sz w:val="24"/>
                <w:szCs w:val="24"/>
                <w:lang w:val="en-US" w:eastAsia="en-US"/>
              </w:rPr>
              <w:t>且未在其他在建工程项目中担任项目经理；</w:t>
            </w:r>
          </w:p>
          <w:p w14:paraId="565F60D6">
            <w:pPr>
              <w:keepNext w:val="0"/>
              <w:keepLines w:val="0"/>
              <w:suppressLineNumbers w:val="0"/>
              <w:spacing w:before="0" w:beforeAutospacing="0" w:after="0" w:afterAutospacing="0" w:line="360" w:lineRule="auto"/>
              <w:ind w:left="0" w:right="0" w:firstLine="420" w:firstLineChars="175"/>
              <w:rPr>
                <w:rFonts w:hint="default" w:ascii="宋体" w:hAnsi="宋体" w:cs="宋体"/>
                <w:sz w:val="24"/>
                <w:szCs w:val="24"/>
                <w:lang w:val="en-US" w:eastAsia="en-US"/>
              </w:rPr>
            </w:pPr>
            <w:r>
              <w:rPr>
                <w:rFonts w:hint="eastAsia" w:ascii="宋体" w:hAnsi="宋体" w:cs="宋体"/>
                <w:sz w:val="24"/>
                <w:szCs w:val="24"/>
                <w:lang w:val="en-US" w:eastAsia="zh-CN"/>
              </w:rPr>
              <w:t>3.4</w:t>
            </w:r>
            <w:r>
              <w:rPr>
                <w:rFonts w:hint="eastAsia" w:ascii="宋体" w:hAnsi="宋体" w:cs="宋体"/>
                <w:sz w:val="24"/>
                <w:szCs w:val="24"/>
                <w:lang w:val="en-US" w:eastAsia="en-US"/>
              </w:rPr>
              <w:t>供应商出具无商业贿赂及无不正当竞争行为的承诺书；</w:t>
            </w:r>
          </w:p>
          <w:p w14:paraId="04EF3A41">
            <w:pPr>
              <w:keepNext w:val="0"/>
              <w:keepLines w:val="0"/>
              <w:suppressLineNumbers w:val="0"/>
              <w:spacing w:before="0" w:beforeAutospacing="0" w:after="0" w:afterAutospacing="0" w:line="360" w:lineRule="auto"/>
              <w:ind w:left="0" w:right="0" w:firstLine="420" w:firstLineChars="175"/>
              <w:rPr>
                <w:rFonts w:hint="default" w:ascii="宋体" w:hAnsi="宋体" w:cs="宋体"/>
                <w:sz w:val="24"/>
                <w:szCs w:val="24"/>
                <w:lang w:val="en-US" w:eastAsia="en-US"/>
              </w:rPr>
            </w:pPr>
            <w:r>
              <w:rPr>
                <w:rFonts w:hint="eastAsia" w:ascii="宋体" w:hAnsi="宋体" w:cs="宋体"/>
                <w:sz w:val="24"/>
                <w:szCs w:val="24"/>
                <w:lang w:val="en-US" w:eastAsia="zh-CN"/>
              </w:rPr>
              <w:t>3.5</w:t>
            </w:r>
            <w:r>
              <w:rPr>
                <w:rFonts w:hint="eastAsia" w:ascii="宋体" w:hAnsi="宋体" w:cs="宋体"/>
                <w:sz w:val="24"/>
                <w:szCs w:val="24"/>
                <w:lang w:val="en-US" w:eastAsia="en-US"/>
              </w:rPr>
              <w:t>提供供应商企业、法定代表人无行贿犯罪记录，在中国裁判文书网查询（提供网页查询截图）或供应商自行承诺，（查询日期必须在公告发布之日之后）；</w:t>
            </w:r>
          </w:p>
          <w:p w14:paraId="304ED5D1">
            <w:pPr>
              <w:keepNext w:val="0"/>
              <w:keepLines w:val="0"/>
              <w:suppressLineNumbers w:val="0"/>
              <w:spacing w:before="0" w:beforeAutospacing="0" w:after="0" w:afterAutospacing="0" w:line="360" w:lineRule="auto"/>
              <w:ind w:left="0" w:right="0" w:firstLine="420" w:firstLineChars="175"/>
              <w:rPr>
                <w:rFonts w:hint="default" w:ascii="宋体" w:hAnsi="宋体" w:cs="宋体"/>
                <w:sz w:val="24"/>
                <w:szCs w:val="24"/>
                <w:lang w:val="en-US" w:eastAsia="en-US"/>
              </w:rPr>
            </w:pPr>
            <w:r>
              <w:rPr>
                <w:rFonts w:hint="eastAsia" w:ascii="宋体" w:hAnsi="宋体" w:cs="宋体"/>
                <w:sz w:val="24"/>
                <w:szCs w:val="24"/>
                <w:lang w:val="en-US" w:eastAsia="zh-CN"/>
              </w:rPr>
              <w:t>3.6</w:t>
            </w:r>
            <w:r>
              <w:rPr>
                <w:rFonts w:hint="eastAsia" w:ascii="宋体" w:hAnsi="宋体" w:cs="宋体"/>
                <w:sz w:val="24"/>
                <w:szCs w:val="24"/>
                <w:lang w:val="en-US" w:eastAsia="en-US"/>
              </w:rPr>
              <w:t>根据《关于在政府采购活动中查询及使用信用记录有关问题的通知》(财库[2016]125号)和豫财购【2016】15号的规定，企业没有被列入“信用中国”网站的“失信被执行人（跳转中国执行信息公开网）”和“重大税收违法失信主体”及“中国政府采购网”网站的“政府采购严重违法失信行为记录名单”，查询渠道： “中国执行信息公开网”网站（http://zxgk.court.gov.cn/shixin/）“信用中国”网站（www.creditchina.gov.cn）、中国政府采购网（www.ccgp.gov.cn），提供网站的查询结果截图，截图要显示查询时间，查询时间自本公告发布之日起；</w:t>
            </w:r>
          </w:p>
          <w:p w14:paraId="0D379F74">
            <w:pPr>
              <w:keepNext w:val="0"/>
              <w:keepLines w:val="0"/>
              <w:suppressLineNumbers w:val="0"/>
              <w:spacing w:before="0" w:beforeAutospacing="0" w:after="0" w:afterAutospacing="0" w:line="360" w:lineRule="auto"/>
              <w:ind w:left="0" w:right="0" w:firstLine="420" w:firstLineChars="175"/>
              <w:rPr>
                <w:rFonts w:hint="eastAsia" w:ascii="宋体" w:hAnsi="宋体" w:cs="宋体"/>
                <w:sz w:val="24"/>
                <w:szCs w:val="24"/>
                <w:lang w:val="en-US" w:eastAsia="en-US"/>
              </w:rPr>
            </w:pPr>
            <w:r>
              <w:rPr>
                <w:rFonts w:hint="eastAsia" w:ascii="宋体" w:hAnsi="宋体" w:cs="宋体"/>
                <w:sz w:val="24"/>
                <w:szCs w:val="24"/>
                <w:lang w:val="en-US" w:eastAsia="zh-CN"/>
              </w:rPr>
              <w:t>3.7</w:t>
            </w:r>
            <w:r>
              <w:rPr>
                <w:rFonts w:hint="eastAsia" w:ascii="宋体" w:hAnsi="宋体" w:cs="宋体"/>
                <w:sz w:val="24"/>
                <w:szCs w:val="24"/>
                <w:lang w:val="en-US" w:eastAsia="en-US"/>
              </w:rPr>
              <w:t>本项目不接受联合体投标。</w:t>
            </w:r>
          </w:p>
          <w:p w14:paraId="068E5F32">
            <w:pPr>
              <w:keepNext w:val="0"/>
              <w:keepLines w:val="0"/>
              <w:suppressLineNumbers w:val="0"/>
              <w:spacing w:before="0" w:beforeAutospacing="0" w:after="0" w:afterAutospacing="0" w:line="360" w:lineRule="auto"/>
              <w:ind w:left="0" w:right="0" w:firstLine="420" w:firstLineChars="175"/>
              <w:rPr>
                <w:rFonts w:hint="default" w:ascii="宋体" w:hAnsi="宋体" w:cs="宋体"/>
                <w:kern w:val="0"/>
                <w:sz w:val="24"/>
                <w:szCs w:val="28"/>
              </w:rPr>
            </w:pPr>
            <w:r>
              <w:rPr>
                <w:rFonts w:hint="eastAsia" w:ascii="宋体" w:hAnsi="宋体" w:cs="宋体"/>
                <w:sz w:val="24"/>
                <w:szCs w:val="24"/>
              </w:rPr>
              <w:t>温馨提醒：本项目为资格后审，资格审查由采购人依法组建的磋商小组负责。各供应商应认真阅读本项目供应商资格要求，避免无资格投标而造成不必要的损失。</w:t>
            </w:r>
          </w:p>
        </w:tc>
      </w:tr>
      <w:tr w14:paraId="35674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1FEA396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1.6.5</w:t>
            </w:r>
          </w:p>
        </w:tc>
        <w:tc>
          <w:tcPr>
            <w:tcW w:w="3164" w:type="dxa"/>
            <w:vAlign w:val="center"/>
          </w:tcPr>
          <w:p w14:paraId="6CD0D3C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是否退还磋商响应文件</w:t>
            </w:r>
          </w:p>
        </w:tc>
        <w:tc>
          <w:tcPr>
            <w:tcW w:w="6125" w:type="dxa"/>
            <w:vAlign w:val="center"/>
          </w:tcPr>
          <w:p w14:paraId="6F273668">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 xml:space="preserve">否 </w:t>
            </w:r>
          </w:p>
        </w:tc>
      </w:tr>
      <w:tr w14:paraId="6E51A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142C261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eastAsiaTheme="minorEastAsia"/>
                <w:kern w:val="0"/>
                <w:sz w:val="24"/>
                <w:lang w:val="en-US" w:eastAsia="zh-CN"/>
              </w:rPr>
            </w:pPr>
            <w:r>
              <w:rPr>
                <w:rFonts w:hint="eastAsia" w:ascii="宋体" w:hAnsi="宋体" w:cs="宋体"/>
                <w:kern w:val="0"/>
                <w:sz w:val="24"/>
                <w:lang w:val="en-US" w:eastAsia="zh-CN"/>
              </w:rPr>
              <w:t>1.7</w:t>
            </w:r>
          </w:p>
        </w:tc>
        <w:tc>
          <w:tcPr>
            <w:tcW w:w="3164" w:type="dxa"/>
            <w:vAlign w:val="center"/>
          </w:tcPr>
          <w:p w14:paraId="680E2CB2">
            <w:pPr>
              <w:keepNext w:val="0"/>
              <w:keepLines w:val="0"/>
              <w:widowControl/>
              <w:suppressLineNumbers w:val="0"/>
              <w:adjustRightInd w:val="0"/>
              <w:snapToGrid w:val="0"/>
              <w:spacing w:before="0" w:beforeAutospacing="0" w:after="0" w:afterAutospacing="0"/>
              <w:ind w:left="0" w:leftChars="0" w:right="0" w:rightChars="0"/>
              <w:jc w:val="center"/>
              <w:rPr>
                <w:rFonts w:hint="eastAsia" w:ascii="宋体" w:hAnsi="宋体" w:cs="宋体"/>
                <w:kern w:val="0"/>
                <w:sz w:val="24"/>
              </w:rPr>
            </w:pPr>
            <w:r>
              <w:rPr>
                <w:rFonts w:hint="eastAsia" w:ascii="宋体" w:hAnsi="宋体"/>
                <w:b/>
                <w:bCs/>
                <w:color w:val="000000"/>
                <w:kern w:val="0"/>
                <w:sz w:val="24"/>
                <w:szCs w:val="24"/>
              </w:rPr>
              <w:t>本项目对应的中小企业划分标准所属行业</w:t>
            </w:r>
          </w:p>
        </w:tc>
        <w:tc>
          <w:tcPr>
            <w:tcW w:w="6125" w:type="dxa"/>
            <w:vAlign w:val="center"/>
          </w:tcPr>
          <w:p w14:paraId="16E69047">
            <w:pPr>
              <w:keepNext w:val="0"/>
              <w:keepLines w:val="0"/>
              <w:widowControl/>
              <w:suppressLineNumbers w:val="0"/>
              <w:adjustRightInd w:val="0"/>
              <w:snapToGrid w:val="0"/>
              <w:spacing w:before="0" w:beforeAutospacing="0" w:after="0" w:afterAutospacing="0"/>
              <w:ind w:left="0" w:leftChars="0" w:right="0" w:rightChars="0"/>
              <w:jc w:val="left"/>
              <w:rPr>
                <w:rFonts w:hint="eastAsia" w:ascii="宋体" w:hAnsi="宋体" w:cs="宋体"/>
                <w:sz w:val="24"/>
              </w:rPr>
            </w:pPr>
            <w:r>
              <w:rPr>
                <w:rFonts w:hint="eastAsia" w:ascii="宋体" w:hAnsi="宋体"/>
                <w:b/>
                <w:bCs/>
                <w:color w:val="000000"/>
                <w:kern w:val="0"/>
                <w:sz w:val="24"/>
                <w:szCs w:val="24"/>
                <w:lang w:val="en-US" w:eastAsia="zh-CN"/>
              </w:rPr>
              <w:t>建筑业</w:t>
            </w:r>
          </w:p>
        </w:tc>
      </w:tr>
      <w:tr w14:paraId="72067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4DFF481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eastAsiaTheme="minorEastAsia"/>
                <w:kern w:val="0"/>
                <w:sz w:val="24"/>
                <w:lang w:val="en-US" w:eastAsia="zh-CN"/>
              </w:rPr>
            </w:pPr>
            <w:r>
              <w:rPr>
                <w:rFonts w:hint="eastAsia" w:ascii="宋体" w:hAnsi="宋体" w:cs="宋体"/>
                <w:kern w:val="0"/>
                <w:sz w:val="24"/>
                <w:lang w:val="en-US" w:eastAsia="zh-CN"/>
              </w:rPr>
              <w:t>2.1</w:t>
            </w:r>
          </w:p>
        </w:tc>
        <w:tc>
          <w:tcPr>
            <w:tcW w:w="3164" w:type="dxa"/>
            <w:vAlign w:val="center"/>
          </w:tcPr>
          <w:p w14:paraId="1D3A71B0">
            <w:pPr>
              <w:keepNext w:val="0"/>
              <w:keepLines w:val="0"/>
              <w:widowControl/>
              <w:suppressLineNumbers w:val="0"/>
              <w:spacing w:before="0" w:beforeAutospacing="0" w:after="0" w:afterAutospacing="0" w:line="460" w:lineRule="exact"/>
              <w:ind w:left="0" w:right="0"/>
              <w:jc w:val="center"/>
              <w:rPr>
                <w:rFonts w:hint="eastAsia" w:ascii="宋体" w:hAnsi="宋体" w:cs="宋体"/>
                <w:kern w:val="0"/>
                <w:sz w:val="24"/>
              </w:rPr>
            </w:pPr>
            <w:r>
              <w:rPr>
                <w:rFonts w:hint="eastAsia" w:ascii="宋体" w:hAnsi="宋体" w:cs="宋体"/>
                <w:color w:val="auto"/>
                <w:sz w:val="24"/>
                <w:szCs w:val="24"/>
                <w:highlight w:val="none"/>
              </w:rPr>
              <w:t>踏勘现场</w:t>
            </w:r>
          </w:p>
        </w:tc>
        <w:tc>
          <w:tcPr>
            <w:tcW w:w="6125" w:type="dxa"/>
            <w:vAlign w:val="center"/>
          </w:tcPr>
          <w:p w14:paraId="6A5B4751">
            <w:pPr>
              <w:keepNext w:val="0"/>
              <w:keepLines w:val="0"/>
              <w:widowControl/>
              <w:suppressLineNumbers w:val="0"/>
              <w:spacing w:before="0" w:beforeAutospacing="0" w:after="0" w:afterAutospacing="0" w:line="460" w:lineRule="exact"/>
              <w:ind w:left="0" w:right="0"/>
              <w:jc w:val="left"/>
              <w:rPr>
                <w:rFonts w:hint="eastAsia" w:ascii="宋体" w:hAnsi="宋体" w:cs="宋体"/>
                <w:sz w:val="24"/>
              </w:rPr>
            </w:pPr>
            <w:r>
              <w:rPr>
                <w:rFonts w:hint="eastAsia" w:ascii="宋体" w:hAnsi="宋体" w:cs="宋体"/>
                <w:color w:val="auto"/>
                <w:sz w:val="24"/>
                <w:szCs w:val="24"/>
                <w:highlight w:val="none"/>
              </w:rPr>
              <w:t xml:space="preserve">  不组织，</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自行踏勘。</w:t>
            </w:r>
          </w:p>
        </w:tc>
      </w:tr>
      <w:tr w14:paraId="6DDF1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76D17E7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lang w:val="en-US" w:eastAsia="zh-CN"/>
              </w:rPr>
            </w:pPr>
            <w:r>
              <w:rPr>
                <w:rFonts w:hint="eastAsia" w:ascii="宋体" w:hAnsi="宋体" w:cs="宋体"/>
                <w:kern w:val="0"/>
                <w:sz w:val="24"/>
                <w:lang w:val="en-US" w:eastAsia="zh-CN"/>
              </w:rPr>
              <w:t>2.2</w:t>
            </w:r>
          </w:p>
        </w:tc>
        <w:tc>
          <w:tcPr>
            <w:tcW w:w="3164" w:type="dxa"/>
            <w:vAlign w:val="center"/>
          </w:tcPr>
          <w:p w14:paraId="27C041FD">
            <w:pPr>
              <w:keepNext w:val="0"/>
              <w:keepLines w:val="0"/>
              <w:widowControl/>
              <w:suppressLineNumbers w:val="0"/>
              <w:spacing w:before="0" w:beforeAutospacing="0" w:after="0" w:afterAutospacing="0" w:line="460" w:lineRule="exact"/>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磋商预备会</w:t>
            </w:r>
          </w:p>
        </w:tc>
        <w:tc>
          <w:tcPr>
            <w:tcW w:w="6125" w:type="dxa"/>
            <w:vAlign w:val="center"/>
          </w:tcPr>
          <w:p w14:paraId="0A9540A7">
            <w:pPr>
              <w:keepNext w:val="0"/>
              <w:keepLines w:val="0"/>
              <w:widowControl/>
              <w:suppressLineNumbers w:val="0"/>
              <w:spacing w:before="0" w:beforeAutospacing="0" w:after="0" w:afterAutospacing="0" w:line="460" w:lineRule="exact"/>
              <w:ind w:left="0" w:right="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不召开</w:t>
            </w:r>
          </w:p>
        </w:tc>
      </w:tr>
      <w:tr w14:paraId="50DA4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0B12972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lang w:val="en-US" w:eastAsia="zh-CN"/>
              </w:rPr>
            </w:pPr>
            <w:r>
              <w:rPr>
                <w:rFonts w:hint="eastAsia" w:ascii="宋体" w:hAnsi="宋体" w:cs="宋体"/>
                <w:kern w:val="0"/>
                <w:sz w:val="24"/>
                <w:lang w:val="en-US" w:eastAsia="zh-CN"/>
              </w:rPr>
              <w:t>2.3</w:t>
            </w:r>
          </w:p>
        </w:tc>
        <w:tc>
          <w:tcPr>
            <w:tcW w:w="3164" w:type="dxa"/>
            <w:vAlign w:val="center"/>
          </w:tcPr>
          <w:p w14:paraId="06CDD7B0">
            <w:pPr>
              <w:keepNext w:val="0"/>
              <w:keepLines w:val="0"/>
              <w:widowControl/>
              <w:suppressLineNumbers w:val="0"/>
              <w:spacing w:before="0" w:beforeAutospacing="0" w:after="0" w:afterAutospacing="0" w:line="460" w:lineRule="exact"/>
              <w:ind w:left="0" w:right="0"/>
              <w:jc w:val="center"/>
              <w:rPr>
                <w:rFonts w:hint="eastAsia" w:ascii="宋体" w:hAnsi="宋体" w:cs="宋体"/>
                <w:color w:val="auto"/>
                <w:sz w:val="24"/>
                <w:szCs w:val="24"/>
                <w:highlight w:val="none"/>
              </w:rPr>
            </w:pPr>
            <w:r>
              <w:rPr>
                <w:rFonts w:hint="eastAsia" w:ascii="宋体" w:hAnsi="宋体"/>
                <w:sz w:val="24"/>
                <w:szCs w:val="24"/>
                <w:lang w:eastAsia="zh-CN"/>
              </w:rPr>
              <w:t>供应商</w:t>
            </w:r>
            <w:r>
              <w:rPr>
                <w:rFonts w:hint="eastAsia" w:ascii="宋体" w:hAnsi="宋体"/>
                <w:sz w:val="24"/>
                <w:szCs w:val="24"/>
              </w:rPr>
              <w:t>提出问题的截止时间</w:t>
            </w:r>
          </w:p>
        </w:tc>
        <w:tc>
          <w:tcPr>
            <w:tcW w:w="6125" w:type="dxa"/>
            <w:vAlign w:val="center"/>
          </w:tcPr>
          <w:p w14:paraId="547431BC">
            <w:pPr>
              <w:keepNext w:val="0"/>
              <w:keepLines w:val="0"/>
              <w:widowControl/>
              <w:suppressLineNumbers w:val="0"/>
              <w:spacing w:before="0" w:beforeAutospacing="0" w:after="0" w:afterAutospacing="0" w:line="460" w:lineRule="exact"/>
              <w:ind w:left="0" w:right="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sz w:val="24"/>
                <w:szCs w:val="24"/>
              </w:rPr>
              <w:t>响应性文件递交截止时间5天前</w:t>
            </w:r>
          </w:p>
        </w:tc>
      </w:tr>
      <w:tr w14:paraId="2DA07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170FFEA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lang w:val="en-US" w:eastAsia="zh-CN"/>
              </w:rPr>
            </w:pPr>
            <w:r>
              <w:rPr>
                <w:rFonts w:hint="eastAsia" w:ascii="宋体" w:hAnsi="宋体" w:cs="宋体"/>
                <w:kern w:val="0"/>
                <w:sz w:val="24"/>
                <w:lang w:val="en-US" w:eastAsia="zh-CN"/>
              </w:rPr>
              <w:t>2.4</w:t>
            </w:r>
          </w:p>
        </w:tc>
        <w:tc>
          <w:tcPr>
            <w:tcW w:w="3164" w:type="dxa"/>
            <w:vAlign w:val="center"/>
          </w:tcPr>
          <w:p w14:paraId="19D24006">
            <w:pPr>
              <w:keepNext w:val="0"/>
              <w:keepLines w:val="0"/>
              <w:widowControl/>
              <w:suppressLineNumbers w:val="0"/>
              <w:spacing w:before="0" w:beforeAutospacing="0" w:after="0" w:afterAutospacing="0" w:line="460" w:lineRule="exact"/>
              <w:ind w:left="0" w:right="0"/>
              <w:jc w:val="center"/>
              <w:rPr>
                <w:rFonts w:hint="eastAsia" w:ascii="宋体" w:hAnsi="宋体"/>
                <w:sz w:val="24"/>
                <w:szCs w:val="24"/>
                <w:lang w:eastAsia="zh-CN"/>
              </w:rPr>
            </w:pPr>
            <w:r>
              <w:rPr>
                <w:rFonts w:hint="eastAsia" w:ascii="宋体" w:hAnsi="宋体"/>
                <w:sz w:val="24"/>
                <w:szCs w:val="24"/>
              </w:rPr>
              <w:t>招标人书面澄清的时间</w:t>
            </w:r>
          </w:p>
        </w:tc>
        <w:tc>
          <w:tcPr>
            <w:tcW w:w="6125" w:type="dxa"/>
            <w:vAlign w:val="center"/>
          </w:tcPr>
          <w:p w14:paraId="46D2BC5C">
            <w:pPr>
              <w:keepNext w:val="0"/>
              <w:keepLines w:val="0"/>
              <w:widowControl/>
              <w:suppressLineNumbers w:val="0"/>
              <w:spacing w:before="0" w:beforeAutospacing="0" w:after="0" w:afterAutospacing="0" w:line="460" w:lineRule="exact"/>
              <w:ind w:left="0" w:right="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sz w:val="24"/>
                <w:szCs w:val="24"/>
              </w:rPr>
              <w:t>响应性文件递交截止时间5天前</w:t>
            </w:r>
          </w:p>
        </w:tc>
      </w:tr>
      <w:tr w14:paraId="47710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5F2D3A4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2.5</w:t>
            </w:r>
          </w:p>
        </w:tc>
        <w:tc>
          <w:tcPr>
            <w:tcW w:w="3164" w:type="dxa"/>
            <w:vAlign w:val="center"/>
          </w:tcPr>
          <w:p w14:paraId="5D46136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磋商有效期</w:t>
            </w:r>
          </w:p>
        </w:tc>
        <w:tc>
          <w:tcPr>
            <w:tcW w:w="6125" w:type="dxa"/>
            <w:vAlign w:val="center"/>
          </w:tcPr>
          <w:p w14:paraId="416ABA77">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磋商响应文件递交截止日后60日历天</w:t>
            </w:r>
          </w:p>
        </w:tc>
      </w:tr>
      <w:tr w14:paraId="296C5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424DFF4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2.6</w:t>
            </w:r>
          </w:p>
        </w:tc>
        <w:tc>
          <w:tcPr>
            <w:tcW w:w="3164" w:type="dxa"/>
            <w:vAlign w:val="center"/>
          </w:tcPr>
          <w:p w14:paraId="0068348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kern w:val="0"/>
                <w:sz w:val="24"/>
              </w:rPr>
            </w:pPr>
            <w:r>
              <w:rPr>
                <w:rFonts w:hint="eastAsia" w:ascii="宋体" w:hAnsi="宋体" w:cs="宋体"/>
                <w:sz w:val="24"/>
              </w:rPr>
              <w:t>电子化磋商响应文件的编制和签署</w:t>
            </w:r>
          </w:p>
        </w:tc>
        <w:tc>
          <w:tcPr>
            <w:tcW w:w="6125" w:type="dxa"/>
          </w:tcPr>
          <w:p w14:paraId="0DE37B5F">
            <w:pPr>
              <w:keepNext w:val="0"/>
              <w:keepLines w:val="0"/>
              <w:suppressLineNumbers w:val="0"/>
              <w:spacing w:before="0" w:beforeAutospacing="0" w:after="0" w:afterAutospacing="0" w:line="360" w:lineRule="auto"/>
              <w:ind w:left="0" w:right="0"/>
              <w:rPr>
                <w:rFonts w:hint="default" w:ascii="宋体" w:hAnsi="宋体" w:cs="宋体"/>
                <w:color w:val="000000"/>
                <w:kern w:val="0"/>
                <w:sz w:val="24"/>
                <w:szCs w:val="24"/>
              </w:rPr>
            </w:pPr>
            <w:r>
              <w:rPr>
                <w:rFonts w:hint="eastAsia" w:ascii="宋体" w:hAnsi="宋体" w:cs="宋体"/>
                <w:color w:val="000000"/>
                <w:kern w:val="0"/>
                <w:sz w:val="24"/>
                <w:szCs w:val="24"/>
              </w:rPr>
              <w:t>1、磋商响应文件应按第六章“磋商响应文件格式”进行编写，如有必要，可以增加附页，作为磋商响应文件的组成部分。</w:t>
            </w:r>
          </w:p>
          <w:p w14:paraId="5CC32042">
            <w:pPr>
              <w:keepNext w:val="0"/>
              <w:keepLines w:val="0"/>
              <w:suppressLineNumbers w:val="0"/>
              <w:spacing w:before="0" w:beforeAutospacing="0" w:after="0" w:afterAutospacing="0" w:line="360" w:lineRule="auto"/>
              <w:ind w:left="0" w:right="0"/>
              <w:rPr>
                <w:rFonts w:hint="default" w:ascii="宋体" w:hAnsi="宋体" w:cs="宋体"/>
                <w:color w:val="000000"/>
                <w:kern w:val="0"/>
                <w:sz w:val="24"/>
                <w:szCs w:val="24"/>
              </w:rPr>
            </w:pPr>
            <w:r>
              <w:rPr>
                <w:rFonts w:hint="eastAsia" w:ascii="宋体" w:hAnsi="宋体" w:cs="宋体"/>
                <w:color w:val="000000"/>
                <w:kern w:val="0"/>
                <w:sz w:val="24"/>
                <w:szCs w:val="24"/>
              </w:rPr>
              <w:t>2、磋商响应文件应当对竞争性磋商文件有关工期、磋商有效期、质量要求、技术标准和要求、采购范围等实质性内容作出响应。其中，磋商函附录在满足竞争性磋商文件实质性要求的基础上，可以提出比竞争性磋商文件要求更有利于采购人的承诺。</w:t>
            </w:r>
          </w:p>
          <w:p w14:paraId="08B6BC97">
            <w:pPr>
              <w:keepNext w:val="0"/>
              <w:keepLines w:val="0"/>
              <w:suppressLineNumbers w:val="0"/>
              <w:spacing w:before="0" w:beforeAutospacing="0" w:after="0" w:afterAutospacing="0" w:line="360" w:lineRule="auto"/>
              <w:ind w:left="0" w:right="0"/>
              <w:rPr>
                <w:rFonts w:hint="default" w:ascii="宋体" w:hAnsi="宋体" w:cs="宋体"/>
                <w:color w:val="000000"/>
                <w:kern w:val="0"/>
                <w:sz w:val="24"/>
                <w:szCs w:val="24"/>
              </w:rPr>
            </w:pPr>
            <w:r>
              <w:rPr>
                <w:rFonts w:hint="eastAsia" w:ascii="宋体" w:hAnsi="宋体" w:cs="宋体"/>
                <w:color w:val="000000"/>
                <w:kern w:val="0"/>
                <w:sz w:val="24"/>
                <w:szCs w:val="24"/>
              </w:rPr>
              <w:t>3、供应商在生成电子化磋商响应文件后，必须对电子化磋商响应文件进行电子签章，未进行签章的视为无效文件。</w:t>
            </w:r>
          </w:p>
          <w:p w14:paraId="414EF87A">
            <w:pPr>
              <w:keepNext w:val="0"/>
              <w:keepLines w:val="0"/>
              <w:suppressLineNumbers w:val="0"/>
              <w:spacing w:before="0" w:beforeAutospacing="0" w:after="0" w:afterAutospacing="0" w:line="360" w:lineRule="auto"/>
              <w:ind w:left="0" w:right="0"/>
              <w:rPr>
                <w:rFonts w:hint="default" w:ascii="宋体" w:hAnsi="宋体" w:cs="宋体"/>
                <w:color w:val="000000"/>
                <w:kern w:val="0"/>
                <w:sz w:val="24"/>
                <w:szCs w:val="24"/>
              </w:rPr>
            </w:pPr>
            <w:r>
              <w:rPr>
                <w:rFonts w:hint="eastAsia" w:ascii="宋体" w:hAnsi="宋体" w:cs="宋体"/>
                <w:color w:val="000000"/>
                <w:kern w:val="0"/>
                <w:sz w:val="24"/>
                <w:szCs w:val="24"/>
              </w:rPr>
              <w:t>4、磋商文件中要求法定代表人或委托代理人签字或盖章的，供应商在进行电子化磋商响应文件签章时，以法定代表人签章为准。电子化磋商响应文件具体制作教材请供应商通过CA证书登录三门峡市公共资源电子化交易系统“交易智库-使用指南”中查看。</w:t>
            </w:r>
          </w:p>
          <w:p w14:paraId="127845F5">
            <w:pPr>
              <w:keepNext w:val="0"/>
              <w:keepLines w:val="0"/>
              <w:suppressLineNumbers w:val="0"/>
              <w:spacing w:before="0" w:beforeAutospacing="0" w:after="0" w:afterAutospacing="0" w:line="360" w:lineRule="auto"/>
              <w:ind w:left="0" w:right="0"/>
              <w:jc w:val="left"/>
              <w:rPr>
                <w:rFonts w:hint="default" w:ascii="宋体" w:hAnsi="宋体" w:cs="宋体"/>
                <w:color w:val="000000"/>
                <w:kern w:val="0"/>
                <w:sz w:val="24"/>
                <w:szCs w:val="24"/>
              </w:rPr>
            </w:pPr>
            <w:r>
              <w:rPr>
                <w:rFonts w:hint="eastAsia" w:ascii="宋体" w:hAnsi="宋体" w:cs="宋体"/>
                <w:color w:val="000000"/>
                <w:kern w:val="0"/>
                <w:sz w:val="24"/>
                <w:szCs w:val="24"/>
              </w:rPr>
              <w:t>电子化响应文件制作软件请点击https://download.bqpoint.com/download/downloaddetail.html?SourceFrom=Ztb&amp;ZtbSoftXiaQuCode=1506&amp;ZtbSoftType=tballinclusive进行下载。</w:t>
            </w:r>
          </w:p>
        </w:tc>
      </w:tr>
      <w:tr w14:paraId="1C86B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7A7F89C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2.7</w:t>
            </w:r>
          </w:p>
        </w:tc>
        <w:tc>
          <w:tcPr>
            <w:tcW w:w="3164" w:type="dxa"/>
            <w:vAlign w:val="center"/>
          </w:tcPr>
          <w:p w14:paraId="1631CC5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kern w:val="0"/>
                <w:sz w:val="24"/>
              </w:rPr>
            </w:pPr>
            <w:r>
              <w:rPr>
                <w:rFonts w:hint="eastAsia" w:ascii="宋体" w:hAnsi="宋体" w:cs="宋体"/>
                <w:sz w:val="24"/>
              </w:rPr>
              <w:t>电子化磋商响应文件的格式</w:t>
            </w:r>
          </w:p>
        </w:tc>
        <w:tc>
          <w:tcPr>
            <w:tcW w:w="6125" w:type="dxa"/>
          </w:tcPr>
          <w:p w14:paraId="76883631">
            <w:pPr>
              <w:keepNext w:val="0"/>
              <w:keepLines w:val="0"/>
              <w:suppressLineNumbers w:val="0"/>
              <w:tabs>
                <w:tab w:val="left" w:pos="0"/>
              </w:tabs>
              <w:spacing w:before="0" w:beforeAutospacing="0" w:after="0" w:afterAutospacing="0" w:line="360" w:lineRule="auto"/>
              <w:ind w:left="0" w:right="0"/>
              <w:rPr>
                <w:rFonts w:hint="default" w:ascii="宋体" w:hAnsi="宋体" w:cs="宋体"/>
                <w:color w:val="000000"/>
                <w:kern w:val="0"/>
                <w:sz w:val="24"/>
                <w:szCs w:val="24"/>
              </w:rPr>
            </w:pPr>
            <w:r>
              <w:rPr>
                <w:rFonts w:hint="eastAsia" w:ascii="宋体" w:hAnsi="宋体" w:cs="宋体"/>
                <w:color w:val="000000"/>
                <w:kern w:val="0"/>
                <w:sz w:val="24"/>
                <w:szCs w:val="24"/>
              </w:rPr>
              <w:t>供应商所上传的电子化磋商响应文件，应是通过三门峡市公共资源电子化交易系统磋商响应文件制作系统制作、经过签章和加密后生成的电子版响应文件。生成的电子版响应文件包含用于响应文件上传的主文件（格式后缀为.smxtf）和用于应急补救的响应文件备份文件（格式后缀为.nsmxtf）。备份文件主要用于电子化开标出现技术问题后的补救。</w:t>
            </w:r>
          </w:p>
          <w:p w14:paraId="7721B48F">
            <w:pPr>
              <w:keepNext w:val="0"/>
              <w:keepLines w:val="0"/>
              <w:suppressLineNumbers w:val="0"/>
              <w:tabs>
                <w:tab w:val="left" w:pos="0"/>
              </w:tabs>
              <w:spacing w:before="0" w:beforeAutospacing="0" w:after="0" w:afterAutospacing="0" w:line="360" w:lineRule="auto"/>
              <w:ind w:left="0" w:right="0"/>
              <w:rPr>
                <w:rFonts w:hint="default" w:hAnsi="宋体" w:cs="宋体"/>
              </w:rPr>
            </w:pPr>
            <w:r>
              <w:rPr>
                <w:rFonts w:hint="eastAsia" w:ascii="宋体" w:hAnsi="宋体" w:cs="宋体"/>
                <w:color w:val="000000"/>
                <w:kern w:val="0"/>
                <w:sz w:val="24"/>
                <w:szCs w:val="24"/>
              </w:rPr>
              <w:t>注：供应商投报多个标段的，每个标段需要单独制作电子响应文件。</w:t>
            </w:r>
          </w:p>
        </w:tc>
      </w:tr>
      <w:tr w14:paraId="19539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4F47FA3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2.8</w:t>
            </w:r>
          </w:p>
        </w:tc>
        <w:tc>
          <w:tcPr>
            <w:tcW w:w="3164" w:type="dxa"/>
            <w:vAlign w:val="center"/>
          </w:tcPr>
          <w:p w14:paraId="3943EB8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电子化磋商响应文件的上传</w:t>
            </w:r>
          </w:p>
        </w:tc>
        <w:tc>
          <w:tcPr>
            <w:tcW w:w="6125" w:type="dxa"/>
          </w:tcPr>
          <w:p w14:paraId="6A31180B">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电子化磋商响应文件应在磋商响应文件递交截止时间前成功上传至三门峡市公共资源电子化交易系统。逾期上传的磋商响应文件将不予接收。电子交易系统将拒绝在磋商响应文件递交截止时间后送交的磋商响应文件。</w:t>
            </w:r>
          </w:p>
          <w:p w14:paraId="6F9298EC">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注：按照电子化投标操作教材制作完成的电子化磋商响应文件无法上传的，供应商应在磋商响应文件递交截止时间前尽早的联系中心技术人员，以便有充分的时间进行处理。</w:t>
            </w:r>
          </w:p>
          <w:p w14:paraId="6E68F4F9">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技术联系电话：0398-3117871；</w:t>
            </w:r>
          </w:p>
          <w:p w14:paraId="729E2815">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主体库咨询电话:0398-3117815；</w:t>
            </w:r>
          </w:p>
          <w:p w14:paraId="4E25E5A8">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CA证书制发:0398-2181635；</w:t>
            </w:r>
          </w:p>
          <w:p w14:paraId="13FF7E4B">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科技信息科:0398-3117095。</w:t>
            </w:r>
          </w:p>
          <w:p w14:paraId="252F1404">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供应商应充分考虑到处理技术问题和上传数据等工作所需的时间问题。未在磋商响应文件递交截止时间前成功上传的磋商响应文件，不予接收。</w:t>
            </w:r>
          </w:p>
        </w:tc>
      </w:tr>
      <w:tr w14:paraId="1A1FA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7703A82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2.9</w:t>
            </w:r>
          </w:p>
        </w:tc>
        <w:tc>
          <w:tcPr>
            <w:tcW w:w="3164" w:type="dxa"/>
            <w:vAlign w:val="center"/>
          </w:tcPr>
          <w:p w14:paraId="50E4EC1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color w:val="auto"/>
                <w:sz w:val="24"/>
              </w:rPr>
            </w:pPr>
            <w:r>
              <w:rPr>
                <w:rFonts w:hint="eastAsia" w:ascii="宋体" w:hAnsi="宋体" w:cs="宋体"/>
                <w:color w:val="auto"/>
                <w:kern w:val="0"/>
                <w:sz w:val="24"/>
              </w:rPr>
              <w:t>磋商响应文件递交截止时间</w:t>
            </w:r>
          </w:p>
        </w:tc>
        <w:tc>
          <w:tcPr>
            <w:tcW w:w="6125" w:type="dxa"/>
            <w:vAlign w:val="center"/>
          </w:tcPr>
          <w:p w14:paraId="56C5E9F0">
            <w:pPr>
              <w:keepNext w:val="0"/>
              <w:keepLines w:val="0"/>
              <w:suppressLineNumbers w:val="0"/>
              <w:spacing w:before="0" w:beforeAutospacing="0" w:after="0" w:afterAutospacing="0" w:line="360" w:lineRule="auto"/>
              <w:ind w:left="0" w:right="0"/>
              <w:jc w:val="left"/>
              <w:rPr>
                <w:rFonts w:hint="eastAsia" w:ascii="宋体" w:hAnsi="宋体" w:cs="宋体" w:eastAsiaTheme="minorEastAsia"/>
                <w:color w:val="auto"/>
                <w:sz w:val="24"/>
                <w:lang w:eastAsia="zh-CN"/>
              </w:rPr>
            </w:pPr>
            <w:r>
              <w:rPr>
                <w:rFonts w:hint="eastAsia" w:ascii="宋体" w:hAnsi="宋体" w:cs="宋体"/>
                <w:color w:val="0000FF"/>
                <w:sz w:val="24"/>
                <w:highlight w:val="none"/>
                <w:lang w:val="en-US" w:eastAsia="zh-CN"/>
              </w:rPr>
              <w:t xml:space="preserve"> </w:t>
            </w:r>
            <w:r>
              <w:rPr>
                <w:rFonts w:hint="eastAsia" w:ascii="宋体" w:hAnsi="宋体" w:cs="宋体"/>
                <w:color w:val="auto"/>
                <w:sz w:val="24"/>
                <w:szCs w:val="24"/>
                <w:highlight w:val="none"/>
                <w:lang w:val="en-US" w:eastAsia="zh-CN"/>
              </w:rPr>
              <w:t>2025</w:t>
            </w:r>
            <w:r>
              <w:rPr>
                <w:rFonts w:hint="eastAsia" w:ascii="宋体" w:hAnsi="宋体" w:cs="宋体"/>
                <w:color w:val="auto"/>
                <w:sz w:val="24"/>
                <w:szCs w:val="24"/>
                <w:highlight w:val="none"/>
                <w:lang w:eastAsia="zh-CN"/>
              </w:rPr>
              <w:t>年</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lang w:eastAsia="zh-CN"/>
              </w:rPr>
              <w:t>日</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lang w:eastAsia="zh-CN"/>
              </w:rPr>
              <w:t>时</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lang w:eastAsia="zh-CN"/>
              </w:rPr>
              <w:t>0分</w:t>
            </w:r>
          </w:p>
        </w:tc>
      </w:tr>
      <w:tr w14:paraId="2B2F6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04743B4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2.10</w:t>
            </w:r>
          </w:p>
        </w:tc>
        <w:tc>
          <w:tcPr>
            <w:tcW w:w="3164" w:type="dxa"/>
            <w:vAlign w:val="center"/>
          </w:tcPr>
          <w:p w14:paraId="70D05C7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kern w:val="0"/>
                <w:sz w:val="24"/>
              </w:rPr>
            </w:pPr>
            <w:r>
              <w:rPr>
                <w:rFonts w:hint="eastAsia" w:ascii="宋体" w:hAnsi="宋体" w:cs="宋体"/>
                <w:sz w:val="24"/>
              </w:rPr>
              <w:t>电子化项目开标、解密、唱标</w:t>
            </w:r>
          </w:p>
        </w:tc>
        <w:tc>
          <w:tcPr>
            <w:tcW w:w="6125" w:type="dxa"/>
          </w:tcPr>
          <w:p w14:paraId="00A4E0CB">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1、本项目为不见面开标项目。开标当日供应商不得到开标现场参加开标。供应商应当在投标截止时间前登陆不见面开标大厅，</w:t>
            </w:r>
            <w:r>
              <w:rPr>
                <w:rFonts w:hint="eastAsia" w:ascii="宋体" w:hAnsi="宋体"/>
                <w:sz w:val="24"/>
              </w:rPr>
              <w:t>（网址为http://120.194.249.36:10094/BidOpening/bidopeninghallaction/hall/login）选择登陆三门峡市公共资源电子交易系统,在线准时参加开标活动并进行响应文件解密等</w:t>
            </w:r>
            <w:r>
              <w:rPr>
                <w:rFonts w:hint="eastAsia" w:ascii="宋体" w:hAnsi="宋体" w:cs="宋体"/>
                <w:sz w:val="24"/>
              </w:rPr>
              <w:t>。各供应商的解密时间均为开标时间起30分钟内完成。因供应商原因未能解密、解密失败或解密超时的响应文件将被拒绝。</w:t>
            </w:r>
          </w:p>
          <w:p w14:paraId="2CEAAAF7">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2、电子化磋商响应文件解密异常的处理</w:t>
            </w:r>
          </w:p>
          <w:p w14:paraId="686158DE">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如出现供应商的电子磋商响应文件无法解密等异常情况，供应商应及时致电代理机构说明。磋商响应文件异常，按以下步骤进行处理：</w:t>
            </w:r>
          </w:p>
          <w:p w14:paraId="2F466EA8">
            <w:pPr>
              <w:keepNext w:val="0"/>
              <w:keepLines w:val="0"/>
              <w:numPr>
                <w:ilvl w:val="0"/>
                <w:numId w:val="1"/>
              </w:numPr>
              <w:suppressLineNumbers w:val="0"/>
              <w:spacing w:before="0" w:beforeAutospacing="0" w:after="0" w:afterAutospacing="0" w:line="360" w:lineRule="auto"/>
              <w:ind w:right="0"/>
              <w:rPr>
                <w:rFonts w:hint="default" w:ascii="宋体" w:hAnsi="宋体" w:cs="宋体"/>
                <w:sz w:val="24"/>
              </w:rPr>
            </w:pPr>
            <w:r>
              <w:rPr>
                <w:rFonts w:hint="eastAsia" w:ascii="宋体" w:hAnsi="宋体" w:cs="宋体"/>
                <w:sz w:val="24"/>
              </w:rPr>
              <w:t>首先由技术人员进行问题排查。</w:t>
            </w:r>
          </w:p>
          <w:p w14:paraId="2AA56F0C">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2）经技术人员排查后，是供应商自身问题导致磋商响应文件无法解密的，该磋商响应文件将不予接收、解密和唱标；如果是电子化交易系统问题造成磋商响应文件无法解密的，将由技术人员对问题进行处理。如短时间内问题无法解决的，将由代理机构向监督部门申请，经监督部门同意后，暂停开标会议，待问题解决后继续开标。</w:t>
            </w:r>
          </w:p>
          <w:p w14:paraId="120A5761">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3、待所有供应商磋商响应文件解密完成后，由代理机构操作，对所有已解密磋商响应文件进行电子唱标。</w:t>
            </w:r>
          </w:p>
          <w:p w14:paraId="73027433">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供应商应保证在开标期间电话、电脑、网络能够正常工作。供应商因停电、电脑病毒、网络堵塞等原因，未在规定的解密时间内对磋商响应文件进行解密的，其磋商响应文件不予接收、唱标。</w:t>
            </w:r>
          </w:p>
          <w:p w14:paraId="30169BE1">
            <w:pPr>
              <w:keepNext w:val="0"/>
              <w:keepLines w:val="0"/>
              <w:numPr>
                <w:ilvl w:val="0"/>
                <w:numId w:val="2"/>
              </w:numPr>
              <w:suppressLineNumbers w:val="0"/>
              <w:spacing w:before="0" w:beforeAutospacing="0" w:after="0" w:afterAutospacing="0" w:line="360" w:lineRule="auto"/>
              <w:ind w:left="0" w:right="0"/>
              <w:rPr>
                <w:rFonts w:hint="eastAsia" w:ascii="宋体" w:hAnsi="宋体" w:cs="宋体"/>
                <w:sz w:val="24"/>
              </w:rPr>
            </w:pPr>
            <w:r>
              <w:rPr>
                <w:rFonts w:hint="eastAsia" w:ascii="宋体" w:hAnsi="宋体" w:cs="宋体"/>
                <w:sz w:val="24"/>
              </w:rPr>
              <w:t>开标时供应商可登录到交易系统中在开标解密栏中点击“开标一览表”查看各自的报价信息。如对报价信息有异议，应在唱标结束后10分钟内向代理机构提出质疑。代理机构应在监督人员的监督下接受供应商的质疑，并做好书面记录。供应商未在规定时间内提出质疑的，视为认可唱标内容。</w:t>
            </w:r>
          </w:p>
          <w:p w14:paraId="2AD0396C">
            <w:pPr>
              <w:keepNext w:val="0"/>
              <w:keepLines w:val="0"/>
              <w:numPr>
                <w:ilvl w:val="0"/>
                <w:numId w:val="0"/>
              </w:numPr>
              <w:suppressLineNumbers w:val="0"/>
              <w:spacing w:before="0" w:beforeAutospacing="0" w:after="0" w:afterAutospacing="0" w:line="360" w:lineRule="auto"/>
              <w:ind w:left="0" w:right="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评标时，评标委员会对电子化响应文件有质疑的，将通过电子化交易系统对响应人发起质疑，并在监督人员的监督下，用免提模式致电需要答复的响应人对质疑进行回复。响应人的回复文件必须以经过响应人和其法定代表人签章的PDF格式文件为准，并通过电子化交易系统提交至评标委员会。</w:t>
            </w:r>
          </w:p>
          <w:p w14:paraId="0FE47F52">
            <w:pPr>
              <w:keepNext w:val="0"/>
              <w:keepLines w:val="0"/>
              <w:numPr>
                <w:ilvl w:val="0"/>
                <w:numId w:val="0"/>
              </w:numPr>
              <w:suppressLineNumbers w:val="0"/>
              <w:spacing w:before="0" w:beforeAutospacing="0" w:after="0" w:afterAutospacing="0" w:line="360" w:lineRule="auto"/>
              <w:ind w:left="0" w:right="0"/>
              <w:rPr>
                <w:rFonts w:hint="eastAsia" w:ascii="宋体" w:hAnsi="宋体" w:cs="宋体"/>
                <w:sz w:val="24"/>
              </w:rPr>
            </w:pPr>
            <w:r>
              <w:rPr>
                <w:rFonts w:hint="eastAsia" w:ascii="宋体" w:hAnsi="宋体" w:cs="宋体"/>
                <w:sz w:val="24"/>
                <w:lang w:val="en-US" w:eastAsia="zh-CN"/>
              </w:rPr>
              <w:t>6</w:t>
            </w:r>
            <w:r>
              <w:rPr>
                <w:rFonts w:hint="eastAsia" w:ascii="宋体" w:hAnsi="宋体" w:cs="宋体"/>
                <w:sz w:val="24"/>
              </w:rPr>
              <w:t>、如评标委员会对需要回复的响应人连续三次致电未接通的，视为响应人放弃回复，评标委员会将自行对需要回复的内容进行认定。</w:t>
            </w:r>
          </w:p>
        </w:tc>
      </w:tr>
      <w:tr w14:paraId="52E10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3F76D890">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eastAsiaTheme="minorEastAsia"/>
                <w:kern w:val="0"/>
                <w:sz w:val="24"/>
                <w:lang w:val="en-US" w:eastAsia="zh-CN"/>
              </w:rPr>
            </w:pPr>
            <w:r>
              <w:rPr>
                <w:rFonts w:hint="eastAsia" w:ascii="宋体" w:hAnsi="宋体" w:cs="宋体"/>
                <w:kern w:val="0"/>
                <w:sz w:val="24"/>
                <w:lang w:val="en-US" w:eastAsia="zh-CN"/>
              </w:rPr>
              <w:t>3</w:t>
            </w:r>
          </w:p>
        </w:tc>
        <w:tc>
          <w:tcPr>
            <w:tcW w:w="3164" w:type="dxa"/>
            <w:vAlign w:val="center"/>
          </w:tcPr>
          <w:p w14:paraId="46EB99B8">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b/>
                <w:bCs/>
                <w:sz w:val="24"/>
              </w:rPr>
            </w:pPr>
            <w:r>
              <w:rPr>
                <w:rFonts w:hint="eastAsia" w:ascii="宋体" w:hAnsi="宋体"/>
                <w:b/>
                <w:bCs/>
                <w:color w:val="000000"/>
                <w:kern w:val="0"/>
                <w:sz w:val="24"/>
                <w:szCs w:val="24"/>
              </w:rPr>
              <w:t>本项目对应的中小企业划分标准所属行业</w:t>
            </w:r>
          </w:p>
        </w:tc>
        <w:tc>
          <w:tcPr>
            <w:tcW w:w="6125" w:type="dxa"/>
            <w:vAlign w:val="center"/>
          </w:tcPr>
          <w:p w14:paraId="7100CAE5">
            <w:pPr>
              <w:keepNext w:val="0"/>
              <w:keepLines w:val="0"/>
              <w:widowControl/>
              <w:suppressLineNumbers w:val="0"/>
              <w:adjustRightInd w:val="0"/>
              <w:snapToGrid w:val="0"/>
              <w:spacing w:before="0" w:beforeAutospacing="0" w:after="0" w:afterAutospacing="0"/>
              <w:ind w:left="0" w:right="0"/>
              <w:jc w:val="left"/>
              <w:rPr>
                <w:rFonts w:hint="default" w:ascii="宋体" w:hAnsi="宋体" w:cs="宋体" w:eastAsiaTheme="minorEastAsia"/>
                <w:b/>
                <w:bCs/>
                <w:sz w:val="24"/>
                <w:lang w:val="en-US" w:eastAsia="zh-CN"/>
              </w:rPr>
            </w:pPr>
            <w:r>
              <w:rPr>
                <w:rFonts w:hint="eastAsia" w:ascii="宋体" w:hAnsi="宋体"/>
                <w:b/>
                <w:bCs/>
                <w:color w:val="000000"/>
                <w:kern w:val="0"/>
                <w:sz w:val="24"/>
                <w:szCs w:val="24"/>
                <w:lang w:val="en-US" w:eastAsia="zh-CN"/>
              </w:rPr>
              <w:t>建筑业</w:t>
            </w:r>
          </w:p>
        </w:tc>
      </w:tr>
      <w:tr w14:paraId="7E7F1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Merge w:val="restart"/>
            <w:vAlign w:val="center"/>
          </w:tcPr>
          <w:p w14:paraId="7E77246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3.1</w:t>
            </w:r>
          </w:p>
        </w:tc>
        <w:tc>
          <w:tcPr>
            <w:tcW w:w="3164" w:type="dxa"/>
            <w:vMerge w:val="restart"/>
            <w:vAlign w:val="center"/>
          </w:tcPr>
          <w:p w14:paraId="1788E7D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开标时间及地点</w:t>
            </w:r>
          </w:p>
        </w:tc>
        <w:tc>
          <w:tcPr>
            <w:tcW w:w="6125" w:type="dxa"/>
          </w:tcPr>
          <w:p w14:paraId="045FB5CD">
            <w:pPr>
              <w:keepNext w:val="0"/>
              <w:keepLines w:val="0"/>
              <w:suppressLineNumbers w:val="0"/>
              <w:spacing w:before="0" w:beforeAutospacing="0" w:after="0" w:afterAutospacing="0" w:line="360" w:lineRule="auto"/>
              <w:ind w:left="0" w:right="0"/>
              <w:rPr>
                <w:rFonts w:hint="eastAsia" w:ascii="宋体" w:hAnsi="宋体" w:cs="宋体" w:eastAsiaTheme="minorEastAsia"/>
                <w:color w:val="auto"/>
                <w:sz w:val="24"/>
                <w:highlight w:val="none"/>
                <w:lang w:eastAsia="zh-CN"/>
              </w:rPr>
            </w:pPr>
            <w:r>
              <w:rPr>
                <w:rFonts w:hint="eastAsia" w:ascii="宋体" w:hAnsi="宋体" w:cs="宋体"/>
                <w:color w:val="auto"/>
                <w:sz w:val="24"/>
                <w:highlight w:val="none"/>
              </w:rPr>
              <w:t>开标时间：</w:t>
            </w:r>
            <w:r>
              <w:rPr>
                <w:rFonts w:hint="eastAsia" w:ascii="宋体" w:hAnsi="宋体" w:cs="宋体"/>
                <w:color w:val="auto"/>
                <w:sz w:val="24"/>
                <w:szCs w:val="24"/>
                <w:highlight w:val="none"/>
                <w:lang w:val="en-US" w:eastAsia="zh-CN"/>
              </w:rPr>
              <w:t>2025</w:t>
            </w:r>
            <w:r>
              <w:rPr>
                <w:rFonts w:hint="eastAsia" w:ascii="宋体" w:hAnsi="宋体" w:cs="宋体"/>
                <w:color w:val="auto"/>
                <w:sz w:val="24"/>
                <w:szCs w:val="24"/>
                <w:highlight w:val="none"/>
                <w:lang w:eastAsia="zh-CN"/>
              </w:rPr>
              <w:t>年</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lang w:eastAsia="zh-CN"/>
              </w:rPr>
              <w:t>日</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lang w:eastAsia="zh-CN"/>
              </w:rPr>
              <w:t>时</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lang w:eastAsia="zh-CN"/>
              </w:rPr>
              <w:t>0分</w:t>
            </w:r>
          </w:p>
        </w:tc>
      </w:tr>
      <w:tr w14:paraId="4B29B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Merge w:val="continue"/>
            <w:vAlign w:val="center"/>
          </w:tcPr>
          <w:p w14:paraId="7798866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p>
        </w:tc>
        <w:tc>
          <w:tcPr>
            <w:tcW w:w="3164" w:type="dxa"/>
            <w:vMerge w:val="continue"/>
            <w:vAlign w:val="center"/>
          </w:tcPr>
          <w:p w14:paraId="55FF2D1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 w:val="24"/>
              </w:rPr>
            </w:pPr>
          </w:p>
        </w:tc>
        <w:tc>
          <w:tcPr>
            <w:tcW w:w="6125" w:type="dxa"/>
          </w:tcPr>
          <w:p w14:paraId="286ECD76">
            <w:pPr>
              <w:keepNext w:val="0"/>
              <w:keepLines w:val="0"/>
              <w:suppressLineNumbers w:val="0"/>
              <w:spacing w:before="0" w:beforeAutospacing="0" w:after="0" w:afterAutospacing="0" w:line="360" w:lineRule="auto"/>
              <w:ind w:left="0" w:right="0"/>
              <w:rPr>
                <w:rFonts w:hint="eastAsia" w:ascii="宋体" w:hAnsi="宋体" w:cs="宋体" w:eastAsiaTheme="minorEastAsia"/>
                <w:color w:val="auto"/>
                <w:sz w:val="24"/>
                <w:highlight w:val="none"/>
                <w:lang w:eastAsia="zh-CN"/>
              </w:rPr>
            </w:pPr>
            <w:r>
              <w:rPr>
                <w:rFonts w:hint="eastAsia" w:ascii="宋体" w:hAnsi="宋体" w:cs="宋体"/>
                <w:color w:val="auto"/>
                <w:sz w:val="24"/>
                <w:highlight w:val="none"/>
              </w:rPr>
              <w:t>开标地点：</w:t>
            </w:r>
            <w:r>
              <w:rPr>
                <w:rFonts w:hint="eastAsia" w:ascii="宋体" w:hAnsi="宋体" w:cs="宋体"/>
                <w:color w:val="auto"/>
                <w:sz w:val="24"/>
                <w:highlight w:val="none"/>
                <w:lang w:eastAsia="zh-CN"/>
              </w:rPr>
              <w:t>三门峡市陕州区公共资源交易中心开标</w:t>
            </w:r>
            <w:r>
              <w:rPr>
                <w:rFonts w:hint="eastAsia" w:ascii="宋体" w:hAnsi="宋体" w:cs="宋体"/>
                <w:color w:val="auto"/>
                <w:sz w:val="24"/>
                <w:highlight w:val="none"/>
                <w:lang w:val="en-US" w:eastAsia="zh-CN"/>
              </w:rPr>
              <w:t xml:space="preserve">一 </w:t>
            </w:r>
            <w:r>
              <w:rPr>
                <w:rFonts w:hint="eastAsia" w:ascii="宋体" w:hAnsi="宋体" w:cs="宋体"/>
                <w:color w:val="auto"/>
                <w:sz w:val="24"/>
                <w:highlight w:val="none"/>
                <w:lang w:eastAsia="zh-CN"/>
              </w:rPr>
              <w:t>室</w:t>
            </w:r>
          </w:p>
        </w:tc>
      </w:tr>
      <w:tr w14:paraId="73200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000D8DD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eastAsiaTheme="minorEastAsia"/>
                <w:kern w:val="0"/>
                <w:sz w:val="24"/>
                <w:lang w:val="en-US" w:eastAsia="zh-CN"/>
              </w:rPr>
            </w:pPr>
            <w:r>
              <w:rPr>
                <w:rFonts w:hint="eastAsia" w:ascii="宋体" w:hAnsi="宋体" w:cs="宋体"/>
                <w:kern w:val="0"/>
                <w:sz w:val="24"/>
                <w:lang w:val="en-US" w:eastAsia="zh-CN"/>
              </w:rPr>
              <w:t>3.2</w:t>
            </w:r>
          </w:p>
        </w:tc>
        <w:tc>
          <w:tcPr>
            <w:tcW w:w="3164" w:type="dxa"/>
            <w:vAlign w:val="center"/>
          </w:tcPr>
          <w:p w14:paraId="23B9D738">
            <w:pPr>
              <w:keepNext w:val="0"/>
              <w:keepLines w:val="0"/>
              <w:widowControl/>
              <w:suppressLineNumbers w:val="0"/>
              <w:spacing w:before="0" w:beforeAutospacing="0" w:after="0" w:afterAutospacing="0" w:line="460" w:lineRule="exact"/>
              <w:ind w:left="0" w:right="0"/>
              <w:jc w:val="center"/>
              <w:rPr>
                <w:rFonts w:hint="default" w:ascii="宋体" w:hAnsi="宋体" w:cs="宋体"/>
                <w:sz w:val="24"/>
              </w:rPr>
            </w:pPr>
            <w:r>
              <w:rPr>
                <w:rFonts w:hint="eastAsia" w:ascii="宋体" w:hAnsi="宋体" w:cs="宋体"/>
                <w:color w:val="auto"/>
                <w:kern w:val="44"/>
                <w:sz w:val="24"/>
                <w:szCs w:val="24"/>
                <w:highlight w:val="none"/>
              </w:rPr>
              <w:t>近年完成的类似项目的年份要求</w:t>
            </w:r>
          </w:p>
        </w:tc>
        <w:tc>
          <w:tcPr>
            <w:tcW w:w="6125" w:type="dxa"/>
            <w:vAlign w:val="center"/>
          </w:tcPr>
          <w:p w14:paraId="0C5E812E">
            <w:pPr>
              <w:keepNext w:val="0"/>
              <w:keepLines w:val="0"/>
              <w:widowControl/>
              <w:suppressLineNumbers w:val="0"/>
              <w:spacing w:before="0" w:beforeAutospacing="0" w:after="0" w:afterAutospacing="0" w:line="460" w:lineRule="exact"/>
              <w:ind w:left="0" w:right="0"/>
              <w:jc w:val="left"/>
              <w:rPr>
                <w:rFonts w:hint="eastAsia" w:ascii="宋体" w:hAnsi="宋体" w:cs="宋体"/>
                <w:sz w:val="24"/>
                <w:highlight w:val="none"/>
              </w:rPr>
            </w:pPr>
            <w:r>
              <w:rPr>
                <w:rFonts w:hint="eastAsia" w:ascii="宋体" w:hAnsi="宋体" w:cs="宋体"/>
                <w:color w:val="auto"/>
                <w:kern w:val="44"/>
                <w:sz w:val="24"/>
                <w:szCs w:val="24"/>
                <w:highlight w:val="none"/>
              </w:rPr>
              <w:t xml:space="preserve">  20</w:t>
            </w:r>
            <w:r>
              <w:rPr>
                <w:rFonts w:hint="eastAsia" w:ascii="宋体" w:hAnsi="宋体" w:cs="宋体"/>
                <w:color w:val="auto"/>
                <w:kern w:val="44"/>
                <w:sz w:val="24"/>
                <w:szCs w:val="24"/>
                <w:highlight w:val="none"/>
                <w:lang w:val="en-US" w:eastAsia="zh-CN"/>
              </w:rPr>
              <w:t>22</w:t>
            </w:r>
            <w:r>
              <w:rPr>
                <w:rFonts w:hint="eastAsia" w:ascii="宋体" w:hAnsi="宋体" w:cs="宋体"/>
                <w:color w:val="auto"/>
                <w:kern w:val="44"/>
                <w:sz w:val="24"/>
                <w:szCs w:val="24"/>
                <w:highlight w:val="none"/>
              </w:rPr>
              <w:t>年</w:t>
            </w:r>
            <w:r>
              <w:rPr>
                <w:rFonts w:hint="eastAsia" w:ascii="宋体" w:hAnsi="宋体" w:cs="宋体"/>
                <w:color w:val="auto"/>
                <w:kern w:val="44"/>
                <w:sz w:val="24"/>
                <w:szCs w:val="24"/>
                <w:highlight w:val="none"/>
                <w:lang w:val="en-US" w:eastAsia="zh-CN"/>
              </w:rPr>
              <w:t>1</w:t>
            </w:r>
            <w:r>
              <w:rPr>
                <w:rFonts w:hint="eastAsia" w:ascii="宋体" w:hAnsi="宋体" w:cs="宋体"/>
                <w:color w:val="auto"/>
                <w:kern w:val="44"/>
                <w:sz w:val="24"/>
                <w:szCs w:val="24"/>
                <w:highlight w:val="none"/>
              </w:rPr>
              <w:t>月1日以来</w:t>
            </w:r>
          </w:p>
        </w:tc>
      </w:tr>
      <w:tr w14:paraId="3EDDC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27EBE6A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4</w:t>
            </w:r>
          </w:p>
        </w:tc>
        <w:tc>
          <w:tcPr>
            <w:tcW w:w="3164" w:type="dxa"/>
            <w:vAlign w:val="center"/>
          </w:tcPr>
          <w:p w14:paraId="11ED5D8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磋商小组的组建</w:t>
            </w:r>
          </w:p>
        </w:tc>
        <w:tc>
          <w:tcPr>
            <w:tcW w:w="6125" w:type="dxa"/>
          </w:tcPr>
          <w:p w14:paraId="07E352E1">
            <w:pPr>
              <w:keepNext w:val="0"/>
              <w:keepLines w:val="0"/>
              <w:suppressLineNumbers w:val="0"/>
              <w:spacing w:before="0" w:beforeAutospacing="0" w:after="0" w:afterAutospacing="0" w:line="360" w:lineRule="auto"/>
              <w:ind w:left="0" w:right="0"/>
              <w:rPr>
                <w:rFonts w:hint="eastAsia" w:ascii="宋体" w:hAnsi="宋体" w:cs="宋体"/>
                <w:sz w:val="24"/>
              </w:rPr>
            </w:pPr>
            <w:r>
              <w:rPr>
                <w:rFonts w:hint="eastAsia" w:ascii="宋体" w:hAnsi="宋体" w:cs="宋体"/>
                <w:sz w:val="24"/>
              </w:rPr>
              <w:t>磋商小组共3人组成，其中采购人代表1人；在相关评标专家库中随机抽取有关技术、经济等方面专家2人。</w:t>
            </w:r>
          </w:p>
          <w:p w14:paraId="1B944190">
            <w:pPr>
              <w:keepNext w:val="0"/>
              <w:keepLines w:val="0"/>
              <w:suppressLineNumbers w:val="0"/>
              <w:spacing w:before="0" w:beforeAutospacing="0" w:after="0" w:afterAutospacing="0" w:line="360" w:lineRule="auto"/>
              <w:ind w:left="0" w:right="0"/>
              <w:rPr>
                <w:rFonts w:hint="eastAsia" w:ascii="宋体" w:hAnsi="宋体" w:cs="宋体"/>
                <w:sz w:val="24"/>
              </w:rPr>
            </w:pPr>
            <w:r>
              <w:rPr>
                <w:rFonts w:hint="eastAsia" w:ascii="宋体" w:hAnsi="宋体" w:cs="_5b8b_4f53"/>
                <w:color w:val="000000"/>
                <w:kern w:val="0"/>
                <w:sz w:val="24"/>
                <w:szCs w:val="24"/>
              </w:rPr>
              <w:t>根据省政府关于评标专家的有关管理规定，招标人代表（业主代表）无评标劳务费。</w:t>
            </w:r>
          </w:p>
        </w:tc>
      </w:tr>
      <w:tr w14:paraId="7D5C7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0113629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eastAsiaTheme="minorEastAsia"/>
                <w:kern w:val="0"/>
                <w:sz w:val="24"/>
                <w:lang w:val="en-US" w:eastAsia="zh-CN"/>
              </w:rPr>
            </w:pPr>
            <w:r>
              <w:rPr>
                <w:rFonts w:hint="eastAsia" w:ascii="宋体" w:hAnsi="宋体" w:cs="宋体"/>
                <w:kern w:val="0"/>
                <w:sz w:val="24"/>
                <w:lang w:val="en-US" w:eastAsia="zh-CN"/>
              </w:rPr>
              <w:t>4.1</w:t>
            </w:r>
          </w:p>
        </w:tc>
        <w:tc>
          <w:tcPr>
            <w:tcW w:w="3164" w:type="dxa"/>
            <w:vAlign w:val="center"/>
          </w:tcPr>
          <w:p w14:paraId="606CFE87">
            <w:pPr>
              <w:keepNext w:val="0"/>
              <w:keepLines w:val="0"/>
              <w:widowControl/>
              <w:suppressLineNumbers w:val="0"/>
              <w:spacing w:before="0" w:beforeAutospacing="0" w:after="0" w:afterAutospacing="0" w:line="460" w:lineRule="exact"/>
              <w:ind w:left="0" w:right="0"/>
              <w:jc w:val="center"/>
              <w:rPr>
                <w:rFonts w:hint="eastAsia" w:ascii="宋体" w:hAnsi="宋体" w:cs="宋体"/>
                <w:kern w:val="0"/>
                <w:sz w:val="24"/>
              </w:rPr>
            </w:pPr>
            <w:r>
              <w:rPr>
                <w:rFonts w:hint="eastAsia" w:ascii="宋体" w:hAnsi="宋体"/>
                <w:spacing w:val="6"/>
                <w:sz w:val="24"/>
                <w:szCs w:val="24"/>
              </w:rPr>
              <w:t>磋商标准及方法</w:t>
            </w:r>
          </w:p>
        </w:tc>
        <w:tc>
          <w:tcPr>
            <w:tcW w:w="6125" w:type="dxa"/>
            <w:vAlign w:val="center"/>
          </w:tcPr>
          <w:p w14:paraId="3E41A4B0">
            <w:pPr>
              <w:keepNext w:val="0"/>
              <w:keepLines w:val="0"/>
              <w:widowControl/>
              <w:suppressLineNumbers w:val="0"/>
              <w:spacing w:before="0" w:beforeAutospacing="0" w:after="0" w:afterAutospacing="0" w:line="460" w:lineRule="exact"/>
              <w:ind w:left="0" w:right="0"/>
              <w:jc w:val="left"/>
              <w:rPr>
                <w:rFonts w:hint="eastAsia" w:ascii="宋体" w:hAnsi="宋体" w:cs="_5b8b_4f53"/>
                <w:color w:val="000000"/>
                <w:kern w:val="0"/>
                <w:sz w:val="24"/>
                <w:szCs w:val="24"/>
              </w:rPr>
            </w:pPr>
            <w:r>
              <w:rPr>
                <w:rFonts w:hint="eastAsia" w:ascii="宋体" w:hAnsi="宋体"/>
                <w:spacing w:val="6"/>
                <w:sz w:val="24"/>
                <w:szCs w:val="24"/>
              </w:rPr>
              <w:t>由磋商小组采用综合评估法对提交最后报价的</w:t>
            </w:r>
            <w:r>
              <w:rPr>
                <w:rFonts w:hint="eastAsia" w:ascii="宋体" w:hAnsi="宋体"/>
                <w:spacing w:val="6"/>
                <w:sz w:val="24"/>
                <w:szCs w:val="24"/>
                <w:lang w:eastAsia="zh-CN"/>
              </w:rPr>
              <w:t>供应商</w:t>
            </w:r>
            <w:r>
              <w:rPr>
                <w:rFonts w:hint="eastAsia" w:ascii="宋体" w:hAnsi="宋体"/>
                <w:spacing w:val="6"/>
                <w:sz w:val="24"/>
                <w:szCs w:val="24"/>
              </w:rPr>
              <w:t>的响应文件和最后报价进行综合评分。综合评估法，是指响应文件满足竞争性磋商文件全部实质性要求且按评审因素的量化指标评审得分最高的</w:t>
            </w:r>
            <w:r>
              <w:rPr>
                <w:rFonts w:hint="eastAsia" w:ascii="宋体" w:hAnsi="宋体"/>
                <w:spacing w:val="6"/>
                <w:sz w:val="24"/>
                <w:szCs w:val="24"/>
                <w:lang w:eastAsia="zh-CN"/>
              </w:rPr>
              <w:t>供应商</w:t>
            </w:r>
            <w:r>
              <w:rPr>
                <w:rFonts w:hint="eastAsia" w:ascii="宋体" w:hAnsi="宋体"/>
                <w:spacing w:val="6"/>
                <w:sz w:val="24"/>
                <w:szCs w:val="24"/>
              </w:rPr>
              <w:t>为中标单位的磋商方法。</w:t>
            </w:r>
          </w:p>
        </w:tc>
      </w:tr>
      <w:tr w14:paraId="13D71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3733CE9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5</w:t>
            </w:r>
          </w:p>
        </w:tc>
        <w:tc>
          <w:tcPr>
            <w:tcW w:w="3164" w:type="dxa"/>
            <w:vAlign w:val="center"/>
          </w:tcPr>
          <w:p w14:paraId="7F9DC8D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竞争性磋商</w:t>
            </w:r>
          </w:p>
        </w:tc>
        <w:tc>
          <w:tcPr>
            <w:tcW w:w="6125" w:type="dxa"/>
          </w:tcPr>
          <w:p w14:paraId="4B242958">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1、磋商时，供应商通过交易系统的磋商大厅与磋商小组进行磋商。</w:t>
            </w:r>
          </w:p>
          <w:p w14:paraId="7DF086A2">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2、磋商小组对电子化磋商响应文件有质疑的，将通过电子化交易系统对供应商发起质疑，并在监督人员的监督下，使用免提电话致电供应商要求其对质疑问题进行答复。供应商应及时对质疑进行在线回复，回复文件以经过供应商和其法定代表人签章的PDF格式文件为准，并通过电子化交易系统提交至磋商小组。</w:t>
            </w:r>
          </w:p>
          <w:p w14:paraId="2CE60780">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3、磋商小组对需要答复的供应商连续三次致电未接通的，视为供应商放弃答复，磋商小组将自行对该质疑内容进行认定。</w:t>
            </w:r>
          </w:p>
        </w:tc>
      </w:tr>
      <w:tr w14:paraId="6ADB9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0496087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5.2.1</w:t>
            </w:r>
          </w:p>
        </w:tc>
        <w:tc>
          <w:tcPr>
            <w:tcW w:w="3164" w:type="dxa"/>
            <w:vAlign w:val="center"/>
          </w:tcPr>
          <w:p w14:paraId="120EE71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资格审查</w:t>
            </w:r>
          </w:p>
        </w:tc>
        <w:tc>
          <w:tcPr>
            <w:tcW w:w="6125" w:type="dxa"/>
          </w:tcPr>
          <w:p w14:paraId="55F0D571">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本项目为资格后审，资格审查由采购人依法组建的磋商小组负责。</w:t>
            </w:r>
          </w:p>
          <w:p w14:paraId="4BB0AFF5">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szCs w:val="24"/>
              </w:rPr>
              <w:t>供应商资格审查内容以</w:t>
            </w:r>
            <w:r>
              <w:rPr>
                <w:rFonts w:hint="eastAsia" w:ascii="宋体" w:hAnsi="宋体" w:cs="宋体"/>
                <w:bCs/>
                <w:sz w:val="24"/>
                <w:szCs w:val="24"/>
              </w:rPr>
              <w:t>供应商在其响应文件“资格审查资料”中上传的信息为准</w:t>
            </w:r>
            <w:r>
              <w:rPr>
                <w:rFonts w:hint="eastAsia" w:ascii="宋体" w:hAnsi="宋体" w:cs="宋体"/>
                <w:sz w:val="24"/>
                <w:szCs w:val="24"/>
              </w:rPr>
              <w:t>。供应商上传的信息资料扫描件必须清晰可辨、真实有效（供应商对其真实性负责）。否则，由此造成的资格审查不合格或应得分而未得分等情况的，由供应商承担责任。</w:t>
            </w:r>
          </w:p>
          <w:p w14:paraId="39AEF987">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注：1、</w:t>
            </w:r>
            <w:r>
              <w:rPr>
                <w:rFonts w:hint="eastAsia" w:ascii="宋体" w:hAnsi="宋体" w:cs="宋体"/>
                <w:sz w:val="24"/>
                <w:szCs w:val="24"/>
              </w:rPr>
              <w:t>供应商应及时维护、完善主体信息库信息</w:t>
            </w:r>
            <w:r>
              <w:rPr>
                <w:rFonts w:hint="eastAsia" w:ascii="宋体" w:hAnsi="宋体" w:cs="宋体"/>
                <w:sz w:val="24"/>
              </w:rPr>
              <w:t>。项目开标时间起，至评审结束，信息库将处于锁定状态。如连续投报多个项目，信息库锁定时间也将延长。请供应商合理安排资料上传时间，尽可能早地将所有项目资料上传至三门峡市公共资源交易市场主体（供应商）信息库。</w:t>
            </w:r>
          </w:p>
          <w:p w14:paraId="346D0956">
            <w:pPr>
              <w:keepNext w:val="0"/>
              <w:keepLines w:val="0"/>
              <w:suppressLineNumbers w:val="0"/>
              <w:spacing w:before="0" w:beforeAutospacing="0" w:after="0" w:afterAutospacing="0" w:line="360" w:lineRule="auto"/>
              <w:ind w:left="0" w:right="0"/>
              <w:jc w:val="left"/>
              <w:rPr>
                <w:rFonts w:hint="default" w:ascii="宋体" w:hAnsi="宋体" w:cs="宋体"/>
                <w:sz w:val="24"/>
              </w:rPr>
            </w:pPr>
            <w:r>
              <w:rPr>
                <w:rFonts w:hint="eastAsia" w:ascii="宋体" w:hAnsi="宋体" w:cs="宋体"/>
                <w:sz w:val="24"/>
              </w:rPr>
              <w:t>具体操作详见《三门峡市公共资源交易市场主体（供应商）信息库操作手册》。链接地址：http://gzjy.smx.gov.cn/fwzn/004003/20200325/b13aa3fa-a543-403f-b537-82cb417132bd.html</w:t>
            </w:r>
          </w:p>
        </w:tc>
      </w:tr>
      <w:tr w14:paraId="70B8D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7F8F6BA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5.6</w:t>
            </w:r>
          </w:p>
        </w:tc>
        <w:tc>
          <w:tcPr>
            <w:tcW w:w="3164" w:type="dxa"/>
            <w:vAlign w:val="center"/>
          </w:tcPr>
          <w:p w14:paraId="34DBA94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是否授权磋商小组确定成交供应商</w:t>
            </w:r>
          </w:p>
        </w:tc>
        <w:tc>
          <w:tcPr>
            <w:tcW w:w="6125" w:type="dxa"/>
            <w:vAlign w:val="center"/>
          </w:tcPr>
          <w:p w14:paraId="29EDFF53">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否，推荐的成交候选人数：三名</w:t>
            </w:r>
          </w:p>
        </w:tc>
      </w:tr>
      <w:tr w14:paraId="6E721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76620E9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9</w:t>
            </w:r>
          </w:p>
        </w:tc>
        <w:tc>
          <w:tcPr>
            <w:tcW w:w="9289" w:type="dxa"/>
            <w:gridSpan w:val="2"/>
            <w:vAlign w:val="center"/>
          </w:tcPr>
          <w:p w14:paraId="7FACDA3D">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kern w:val="0"/>
                <w:sz w:val="24"/>
              </w:rPr>
              <w:t>需要补充的其他内容</w:t>
            </w:r>
          </w:p>
        </w:tc>
      </w:tr>
      <w:tr w14:paraId="555F7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1D47B88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9.1</w:t>
            </w:r>
          </w:p>
        </w:tc>
        <w:tc>
          <w:tcPr>
            <w:tcW w:w="3164" w:type="dxa"/>
            <w:vAlign w:val="center"/>
          </w:tcPr>
          <w:p w14:paraId="1B7D6734">
            <w:pPr>
              <w:keepNext w:val="0"/>
              <w:keepLines w:val="0"/>
              <w:suppressLineNumbers w:val="0"/>
              <w:spacing w:before="0" w:beforeAutospacing="0" w:after="0" w:afterAutospacing="0" w:line="400" w:lineRule="exact"/>
              <w:ind w:left="0" w:right="0"/>
              <w:jc w:val="center"/>
              <w:rPr>
                <w:rFonts w:hint="default" w:hAnsi="宋体" w:cs="宋体"/>
                <w:sz w:val="24"/>
                <w:szCs w:val="24"/>
              </w:rPr>
            </w:pPr>
            <w:r>
              <w:rPr>
                <w:rFonts w:hint="eastAsia" w:hAnsi="宋体" w:cs="宋体"/>
                <w:sz w:val="24"/>
                <w:szCs w:val="24"/>
              </w:rPr>
              <w:t>磋商保证金</w:t>
            </w:r>
          </w:p>
        </w:tc>
        <w:tc>
          <w:tcPr>
            <w:tcW w:w="6125" w:type="dxa"/>
            <w:vAlign w:val="center"/>
          </w:tcPr>
          <w:p w14:paraId="3F27A204">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szCs w:val="24"/>
              </w:rPr>
              <w:t>根据《河南省财政厅关于优化政府采购营商环境有关问题的通知》（豫财购【2019】4号）第6条的规定，磋商保证金不再收取。</w:t>
            </w:r>
            <w:r>
              <w:rPr>
                <w:rFonts w:hint="eastAsia" w:ascii="宋体" w:hAnsi="宋体" w:cs="宋体"/>
                <w:sz w:val="24"/>
              </w:rPr>
              <w:t>供应商以磋商承诺函的形式替代保证金，磋商承诺函应明确承诺事项及违背承诺的责任</w:t>
            </w:r>
            <w:r>
              <w:rPr>
                <w:rFonts w:hint="eastAsia" w:ascii="宋体" w:hAnsi="宋体" w:cs="宋体"/>
                <w:sz w:val="24"/>
                <w:szCs w:val="24"/>
              </w:rPr>
              <w:t>。</w:t>
            </w:r>
          </w:p>
        </w:tc>
      </w:tr>
      <w:tr w14:paraId="30FC9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6921E29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9.2</w:t>
            </w:r>
          </w:p>
        </w:tc>
        <w:tc>
          <w:tcPr>
            <w:tcW w:w="3164" w:type="dxa"/>
            <w:vAlign w:val="center"/>
          </w:tcPr>
          <w:p w14:paraId="60CF998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sz w:val="24"/>
              </w:rPr>
              <w:t>履约保证金</w:t>
            </w:r>
          </w:p>
        </w:tc>
        <w:tc>
          <w:tcPr>
            <w:tcW w:w="6125" w:type="dxa"/>
            <w:vAlign w:val="center"/>
          </w:tcPr>
          <w:p w14:paraId="71DF8868">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_5b8b_4f53"/>
                <w:color w:val="000000"/>
                <w:kern w:val="0"/>
                <w:sz w:val="24"/>
                <w:szCs w:val="24"/>
              </w:rPr>
              <w:t>采购人与中标单位自行协商</w:t>
            </w:r>
          </w:p>
        </w:tc>
      </w:tr>
      <w:tr w14:paraId="0D2AA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61650DA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9.3</w:t>
            </w:r>
          </w:p>
        </w:tc>
        <w:tc>
          <w:tcPr>
            <w:tcW w:w="3164" w:type="dxa"/>
            <w:vAlign w:val="center"/>
          </w:tcPr>
          <w:p w14:paraId="6828003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付款方式</w:t>
            </w:r>
          </w:p>
        </w:tc>
        <w:tc>
          <w:tcPr>
            <w:tcW w:w="6125" w:type="dxa"/>
            <w:vAlign w:val="center"/>
          </w:tcPr>
          <w:p w14:paraId="20FDF3F0">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双方在合同中协商约定,但不得违反国家、省、市相关规定。</w:t>
            </w:r>
          </w:p>
        </w:tc>
      </w:tr>
      <w:tr w14:paraId="5BBC5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27417C3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9.4</w:t>
            </w:r>
          </w:p>
        </w:tc>
        <w:tc>
          <w:tcPr>
            <w:tcW w:w="3164" w:type="dxa"/>
            <w:vAlign w:val="center"/>
          </w:tcPr>
          <w:p w14:paraId="17DA8FA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bCs/>
                <w:kern w:val="0"/>
                <w:sz w:val="24"/>
              </w:rPr>
            </w:pPr>
            <w:r>
              <w:rPr>
                <w:rFonts w:hint="eastAsia" w:ascii="宋体" w:hAnsi="宋体" w:cs="宋体"/>
                <w:bCs/>
                <w:kern w:val="0"/>
                <w:sz w:val="24"/>
              </w:rPr>
              <w:t>采购控制价</w:t>
            </w:r>
          </w:p>
        </w:tc>
        <w:tc>
          <w:tcPr>
            <w:tcW w:w="6125" w:type="dxa"/>
            <w:vAlign w:val="center"/>
          </w:tcPr>
          <w:p w14:paraId="64D8A33D">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招标控制</w:t>
            </w:r>
            <w:r>
              <w:rPr>
                <w:rFonts w:hint="eastAsia" w:ascii="宋体" w:hAnsi="宋体" w:cs="宋体"/>
                <w:color w:val="auto"/>
                <w:sz w:val="24"/>
                <w:szCs w:val="24"/>
              </w:rPr>
              <w:t>价：</w:t>
            </w:r>
            <w:r>
              <w:rPr>
                <w:rFonts w:hint="eastAsia" w:ascii="宋体" w:hAnsi="宋体" w:cs="宋体"/>
                <w:color w:val="auto"/>
                <w:sz w:val="24"/>
                <w:szCs w:val="24"/>
                <w:lang w:val="en-US" w:eastAsia="zh-CN"/>
              </w:rPr>
              <w:t>3968926.58</w:t>
            </w:r>
            <w:r>
              <w:rPr>
                <w:rFonts w:hint="eastAsia" w:ascii="宋体" w:hAnsi="宋体" w:cs="宋体"/>
                <w:color w:val="auto"/>
                <w:sz w:val="24"/>
                <w:szCs w:val="24"/>
              </w:rPr>
              <w:t xml:space="preserve"> 元；</w:t>
            </w:r>
          </w:p>
          <w:p w14:paraId="0650248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bCs/>
                <w:kern w:val="0"/>
                <w:sz w:val="24"/>
              </w:rPr>
            </w:pPr>
            <w:r>
              <w:rPr>
                <w:rFonts w:hint="eastAsia" w:ascii="宋体" w:hAnsi="宋体" w:cs="宋体"/>
                <w:bCs/>
                <w:kern w:val="0"/>
                <w:sz w:val="24"/>
              </w:rPr>
              <w:t xml:space="preserve">招标控制价是招标人控制招标工程造价的最高限价，大于招标控制价的报价视为无效报价其商务标不再进行评审。有效报价是指不超过招标控制价的报价。 </w:t>
            </w:r>
          </w:p>
          <w:p w14:paraId="1322564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bCs/>
                <w:kern w:val="0"/>
                <w:sz w:val="24"/>
              </w:rPr>
            </w:pPr>
            <w:r>
              <w:rPr>
                <w:rFonts w:hint="eastAsia" w:ascii="宋体" w:hAnsi="宋体" w:cs="宋体"/>
                <w:bCs/>
                <w:kern w:val="0"/>
                <w:sz w:val="24"/>
              </w:rPr>
              <w:t>详见招标控制价汇总表（后附）</w:t>
            </w:r>
          </w:p>
        </w:tc>
      </w:tr>
      <w:tr w14:paraId="12696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0522369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9.5</w:t>
            </w:r>
          </w:p>
        </w:tc>
        <w:tc>
          <w:tcPr>
            <w:tcW w:w="3164" w:type="dxa"/>
            <w:vAlign w:val="center"/>
          </w:tcPr>
          <w:p w14:paraId="0892DDBF">
            <w:pPr>
              <w:keepNext w:val="0"/>
              <w:keepLines w:val="0"/>
              <w:suppressLineNumbers w:val="0"/>
              <w:spacing w:before="0" w:beforeAutospacing="0" w:after="0" w:afterAutospacing="0" w:line="360" w:lineRule="auto"/>
              <w:ind w:left="0" w:right="0" w:firstLine="720" w:firstLineChars="300"/>
              <w:rPr>
                <w:rFonts w:hint="default" w:ascii="宋体" w:hAnsi="宋体" w:cs="宋体"/>
                <w:sz w:val="24"/>
              </w:rPr>
            </w:pPr>
            <w:r>
              <w:rPr>
                <w:rFonts w:hint="eastAsia" w:ascii="宋体" w:hAnsi="宋体" w:cs="宋体"/>
                <w:sz w:val="24"/>
              </w:rPr>
              <w:t>招标代理服务费</w:t>
            </w:r>
          </w:p>
        </w:tc>
        <w:tc>
          <w:tcPr>
            <w:tcW w:w="6125" w:type="dxa"/>
            <w:vAlign w:val="center"/>
          </w:tcPr>
          <w:p w14:paraId="2D5EA3A6">
            <w:pPr>
              <w:keepNext w:val="0"/>
              <w:keepLines w:val="0"/>
              <w:suppressLineNumbers w:val="0"/>
              <w:spacing w:before="0" w:beforeAutospacing="0" w:after="0" w:afterAutospacing="0" w:line="360" w:lineRule="auto"/>
              <w:ind w:left="0" w:right="0"/>
              <w:rPr>
                <w:rFonts w:hint="eastAsia" w:ascii="宋体" w:hAnsi="宋体" w:cs="宋体"/>
                <w:sz w:val="24"/>
                <w:lang w:eastAsia="zh-CN"/>
              </w:rPr>
            </w:pPr>
            <w:r>
              <w:rPr>
                <w:rFonts w:hint="eastAsia" w:ascii="宋体" w:hAnsi="宋体" w:cs="宋体"/>
                <w:sz w:val="24"/>
              </w:rPr>
              <w:t>代理费用收取方式：转账</w:t>
            </w:r>
            <w:r>
              <w:rPr>
                <w:rFonts w:hint="eastAsia" w:ascii="宋体" w:hAnsi="宋体" w:cs="宋体"/>
                <w:sz w:val="24"/>
                <w:lang w:eastAsia="zh-CN"/>
              </w:rPr>
              <w:t>或现金</w:t>
            </w:r>
          </w:p>
          <w:p w14:paraId="0749E529">
            <w:pPr>
              <w:keepNext w:val="0"/>
              <w:keepLines w:val="0"/>
              <w:suppressLineNumbers w:val="0"/>
              <w:spacing w:before="0" w:beforeAutospacing="0" w:after="0" w:afterAutospacing="0" w:line="360" w:lineRule="auto"/>
              <w:ind w:left="0" w:right="0"/>
              <w:rPr>
                <w:rFonts w:hint="default" w:ascii="宋体" w:hAnsi="宋体" w:cs="宋体"/>
                <w:sz w:val="24"/>
                <w:lang w:val="en-US" w:eastAsia="zh-CN"/>
              </w:rPr>
            </w:pPr>
            <w:r>
              <w:rPr>
                <w:rFonts w:hint="eastAsia" w:ascii="宋体" w:hAnsi="宋体" w:cs="宋体"/>
                <w:sz w:val="24"/>
              </w:rPr>
              <w:t>代理费用收取标准：本项目招标代理费用</w:t>
            </w:r>
            <w:r>
              <w:rPr>
                <w:rFonts w:hint="eastAsia" w:ascii="宋体" w:hAnsi="宋体" w:cs="宋体"/>
                <w:sz w:val="24"/>
                <w:lang w:eastAsia="zh-CN"/>
              </w:rPr>
              <w:t>，</w:t>
            </w:r>
            <w:r>
              <w:rPr>
                <w:rFonts w:hint="eastAsia" w:ascii="宋体" w:hAnsi="宋体" w:cs="宋体"/>
                <w:sz w:val="24"/>
                <w:lang w:val="en-US" w:eastAsia="zh-CN"/>
              </w:rPr>
              <w:t>按中标价的千分之六(6‰)收取。</w:t>
            </w:r>
          </w:p>
        </w:tc>
      </w:tr>
      <w:tr w14:paraId="50BB7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7CBCAD9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bookmarkStart w:id="2" w:name="_Toc466284452"/>
            <w:bookmarkStart w:id="3" w:name="_Toc14871"/>
            <w:r>
              <w:rPr>
                <w:rFonts w:hint="eastAsia" w:ascii="宋体" w:hAnsi="宋体" w:cs="宋体"/>
                <w:kern w:val="0"/>
                <w:sz w:val="24"/>
              </w:rPr>
              <w:t>9.6</w:t>
            </w:r>
          </w:p>
        </w:tc>
        <w:tc>
          <w:tcPr>
            <w:tcW w:w="3164" w:type="dxa"/>
            <w:vAlign w:val="center"/>
          </w:tcPr>
          <w:p w14:paraId="200046A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其他声明</w:t>
            </w:r>
          </w:p>
        </w:tc>
        <w:tc>
          <w:tcPr>
            <w:tcW w:w="6125" w:type="dxa"/>
            <w:vAlign w:val="center"/>
          </w:tcPr>
          <w:p w14:paraId="654CB2C2">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1、本项目为电子化、无纸化交易项目，磋商时不再接受任何纸质资料，供应商按要求在三门峡市公共资源电子化交易系统中提交电子化磋商响应文件即可。为保证您能成功参加竞标，请需仔细阅读磋商文件和三门峡市公共资源交易中心官网业务办理指南；</w:t>
            </w:r>
          </w:p>
          <w:p w14:paraId="3721FCDE">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2、在符合相关法律法规的前提下，磋商文件的解释权归采购人所有。本磋商文件中其他部分内容与供应商须知前附表不一致的，以供应商须知前附表为准。</w:t>
            </w:r>
          </w:p>
          <w:p w14:paraId="1D8508FD">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3、本竞争性磋商文件未尽事宜，执行国家、省、市相关规定。</w:t>
            </w:r>
          </w:p>
        </w:tc>
      </w:tr>
    </w:tbl>
    <w:p w14:paraId="31A04B14">
      <w:pPr>
        <w:tabs>
          <w:tab w:val="left" w:pos="360"/>
        </w:tabs>
        <w:spacing w:line="440" w:lineRule="exact"/>
        <w:outlineLvl w:val="1"/>
        <w:rPr>
          <w:rFonts w:hAnsi="宋体" w:cs="宋体"/>
          <w:b/>
        </w:rPr>
      </w:pPr>
    </w:p>
    <w:p w14:paraId="17689356">
      <w:pPr>
        <w:numPr>
          <w:ilvl w:val="0"/>
          <w:numId w:val="3"/>
        </w:numPr>
        <w:tabs>
          <w:tab w:val="left" w:pos="0"/>
          <w:tab w:val="left" w:pos="720"/>
        </w:tabs>
        <w:spacing w:line="360" w:lineRule="auto"/>
        <w:ind w:left="-5" w:firstLine="425"/>
        <w:outlineLvl w:val="1"/>
        <w:rPr>
          <w:rFonts w:cs="宋体" w:asciiTheme="minorEastAsia" w:hAnsiTheme="minorEastAsia"/>
          <w:b/>
          <w:sz w:val="24"/>
          <w:szCs w:val="24"/>
        </w:rPr>
      </w:pPr>
      <w:bookmarkStart w:id="4" w:name="_Toc20260"/>
      <w:r>
        <w:rPr>
          <w:rFonts w:hint="eastAsia" w:cs="宋体" w:asciiTheme="minorEastAsia" w:hAnsiTheme="minorEastAsia"/>
          <w:b/>
          <w:sz w:val="24"/>
          <w:szCs w:val="24"/>
        </w:rPr>
        <w:t>总则</w:t>
      </w:r>
      <w:bookmarkEnd w:id="2"/>
      <w:bookmarkEnd w:id="3"/>
      <w:bookmarkEnd w:id="4"/>
    </w:p>
    <w:p w14:paraId="2FE267F7">
      <w:pPr>
        <w:tabs>
          <w:tab w:val="left" w:pos="540"/>
        </w:tabs>
        <w:spacing w:line="360" w:lineRule="auto"/>
        <w:outlineLvl w:val="1"/>
        <w:rPr>
          <w:rFonts w:cs="宋体" w:asciiTheme="minorEastAsia" w:hAnsiTheme="minorEastAsia"/>
          <w:sz w:val="24"/>
          <w:szCs w:val="24"/>
        </w:rPr>
      </w:pPr>
      <w:bookmarkStart w:id="5" w:name="_Toc20729"/>
      <w:bookmarkStart w:id="6" w:name="_Toc278155328"/>
      <w:bookmarkStart w:id="7" w:name="_Toc380394466"/>
      <w:bookmarkStart w:id="8" w:name="_Toc6286"/>
      <w:bookmarkStart w:id="9" w:name="_Toc27981"/>
      <w:bookmarkStart w:id="10" w:name="_Toc62"/>
      <w:bookmarkStart w:id="11" w:name="_Toc277149365"/>
      <w:bookmarkStart w:id="12" w:name="_Toc466284453"/>
      <w:r>
        <w:rPr>
          <w:rFonts w:hint="eastAsia" w:cs="宋体" w:asciiTheme="minorEastAsia" w:hAnsiTheme="minorEastAsia"/>
          <w:sz w:val="24"/>
          <w:szCs w:val="24"/>
        </w:rPr>
        <w:t>1.1项目概况</w:t>
      </w:r>
      <w:bookmarkEnd w:id="5"/>
      <w:bookmarkEnd w:id="6"/>
      <w:bookmarkEnd w:id="7"/>
      <w:bookmarkEnd w:id="8"/>
      <w:bookmarkEnd w:id="9"/>
      <w:bookmarkEnd w:id="10"/>
      <w:bookmarkEnd w:id="11"/>
      <w:bookmarkEnd w:id="12"/>
    </w:p>
    <w:p w14:paraId="2AA3F7F7">
      <w:pPr>
        <w:spacing w:line="360" w:lineRule="auto"/>
        <w:ind w:left="-5" w:firstLine="425"/>
        <w:rPr>
          <w:rFonts w:cs="宋体" w:asciiTheme="minorEastAsia" w:hAnsiTheme="minorEastAsia"/>
          <w:sz w:val="24"/>
          <w:szCs w:val="24"/>
        </w:rPr>
      </w:pPr>
      <w:r>
        <w:rPr>
          <w:rFonts w:hint="eastAsia" w:cs="宋体" w:asciiTheme="minorEastAsia" w:hAnsiTheme="minorEastAsia"/>
          <w:sz w:val="24"/>
          <w:szCs w:val="24"/>
        </w:rPr>
        <w:t>1.1.1根据《中华人民共和国政府采购法》等有关法律、法规和规章的规定，本磋商项目已具备竞争性磋商条件，现对本项目进行采购。</w:t>
      </w:r>
    </w:p>
    <w:p w14:paraId="5E56B080">
      <w:pPr>
        <w:tabs>
          <w:tab w:val="left" w:pos="0"/>
        </w:tabs>
        <w:spacing w:line="360" w:lineRule="auto"/>
        <w:ind w:left="420"/>
        <w:rPr>
          <w:rFonts w:cs="宋体" w:asciiTheme="minorEastAsia" w:hAnsiTheme="minorEastAsia"/>
          <w:sz w:val="24"/>
          <w:szCs w:val="24"/>
        </w:rPr>
      </w:pPr>
      <w:bookmarkStart w:id="13" w:name="_Toc269470299"/>
      <w:bookmarkStart w:id="14" w:name="_Toc278155332"/>
      <w:bookmarkStart w:id="15" w:name="_Toc270604580"/>
      <w:bookmarkStart w:id="16" w:name="_Toc270604807"/>
      <w:bookmarkStart w:id="17" w:name="_Toc466284457"/>
      <w:bookmarkStart w:id="18" w:name="_Toc277149369"/>
      <w:bookmarkStart w:id="19" w:name="_Toc380394470"/>
      <w:r>
        <w:rPr>
          <w:rFonts w:hint="eastAsia" w:cs="宋体" w:asciiTheme="minorEastAsia" w:hAnsiTheme="minorEastAsia"/>
          <w:sz w:val="24"/>
          <w:szCs w:val="24"/>
        </w:rPr>
        <w:t>1.1.2本次磋商项目采购人：见供应商须知前附表。</w:t>
      </w:r>
    </w:p>
    <w:p w14:paraId="4E8FFF42">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1.1.3本次磋商项目代理机构：见供应商须知前附表。</w:t>
      </w:r>
    </w:p>
    <w:p w14:paraId="21A35C50">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1.1.4本次磋商项目名称：见供应商须知前附表。</w:t>
      </w:r>
    </w:p>
    <w:p w14:paraId="7F8B2892">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1.1.5本项目实施地点：见供应商须知前附表。</w:t>
      </w:r>
    </w:p>
    <w:p w14:paraId="137E0AEE">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1.1.6本项目工程概况：见供应商须知前附表。</w:t>
      </w:r>
    </w:p>
    <w:p w14:paraId="7EE100ED">
      <w:pPr>
        <w:tabs>
          <w:tab w:val="left" w:pos="540"/>
        </w:tabs>
        <w:spacing w:line="360" w:lineRule="auto"/>
        <w:outlineLvl w:val="1"/>
        <w:rPr>
          <w:rFonts w:cs="宋体" w:asciiTheme="minorEastAsia" w:hAnsiTheme="minorEastAsia"/>
          <w:sz w:val="24"/>
          <w:szCs w:val="24"/>
        </w:rPr>
      </w:pPr>
      <w:bookmarkStart w:id="20" w:name="_Toc277149366"/>
      <w:bookmarkStart w:id="21" w:name="_Toc380394467"/>
      <w:bookmarkStart w:id="22" w:name="_Toc425761630"/>
      <w:bookmarkStart w:id="23" w:name="_Toc269470296"/>
      <w:bookmarkStart w:id="24" w:name="_Toc270604577"/>
      <w:bookmarkStart w:id="25" w:name="_Toc26640"/>
      <w:bookmarkStart w:id="26" w:name="_Toc15779"/>
      <w:bookmarkStart w:id="27" w:name="_Toc19001"/>
      <w:bookmarkStart w:id="28" w:name="_Toc278155329"/>
      <w:bookmarkStart w:id="29" w:name="_Toc21477"/>
      <w:bookmarkStart w:id="30" w:name="_Toc270604804"/>
      <w:r>
        <w:rPr>
          <w:rFonts w:hint="eastAsia" w:cs="宋体" w:asciiTheme="minorEastAsia" w:hAnsiTheme="minorEastAsia"/>
          <w:sz w:val="24"/>
          <w:szCs w:val="24"/>
        </w:rPr>
        <w:t>1.2资金来源和落实情况</w:t>
      </w:r>
      <w:bookmarkEnd w:id="20"/>
      <w:bookmarkEnd w:id="21"/>
      <w:bookmarkEnd w:id="22"/>
      <w:bookmarkEnd w:id="23"/>
      <w:bookmarkEnd w:id="24"/>
      <w:bookmarkEnd w:id="25"/>
      <w:bookmarkEnd w:id="26"/>
      <w:bookmarkEnd w:id="27"/>
      <w:bookmarkEnd w:id="28"/>
      <w:bookmarkEnd w:id="29"/>
      <w:bookmarkEnd w:id="30"/>
    </w:p>
    <w:p w14:paraId="4F3B4077">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1.2.1本采购项目的资金来源：见供应商须知前附表。</w:t>
      </w:r>
    </w:p>
    <w:p w14:paraId="4A33E0E1">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1.2.2本采购项目的资金落实情况：见供应商须知前附表。</w:t>
      </w:r>
    </w:p>
    <w:p w14:paraId="1FB8AF14">
      <w:pPr>
        <w:tabs>
          <w:tab w:val="left" w:pos="540"/>
        </w:tabs>
        <w:spacing w:line="360" w:lineRule="auto"/>
        <w:outlineLvl w:val="1"/>
        <w:rPr>
          <w:rFonts w:cs="宋体" w:asciiTheme="minorEastAsia" w:hAnsiTheme="minorEastAsia"/>
          <w:sz w:val="24"/>
          <w:szCs w:val="24"/>
        </w:rPr>
      </w:pPr>
      <w:bookmarkStart w:id="31" w:name="_Toc285"/>
      <w:bookmarkStart w:id="32" w:name="_Toc380394468"/>
      <w:bookmarkStart w:id="33" w:name="_Toc278155330"/>
      <w:bookmarkStart w:id="34" w:name="_Toc270604805"/>
      <w:bookmarkStart w:id="35" w:name="_Toc270604578"/>
      <w:bookmarkStart w:id="36" w:name="_Toc19528"/>
      <w:bookmarkStart w:id="37" w:name="_Toc277149367"/>
      <w:bookmarkStart w:id="38" w:name="_Toc22027"/>
      <w:bookmarkStart w:id="39" w:name="_Toc425761631"/>
      <w:bookmarkStart w:id="40" w:name="_Toc269470297"/>
      <w:bookmarkStart w:id="41" w:name="_Toc23999"/>
      <w:r>
        <w:rPr>
          <w:rFonts w:hint="eastAsia" w:cs="宋体" w:asciiTheme="minorEastAsia" w:hAnsiTheme="minorEastAsia"/>
          <w:sz w:val="24"/>
          <w:szCs w:val="24"/>
        </w:rPr>
        <w:t>1.3采购范围、工期和质量要求</w:t>
      </w:r>
      <w:bookmarkEnd w:id="31"/>
      <w:bookmarkEnd w:id="32"/>
      <w:bookmarkEnd w:id="33"/>
      <w:bookmarkEnd w:id="34"/>
      <w:bookmarkEnd w:id="35"/>
      <w:bookmarkEnd w:id="36"/>
      <w:bookmarkEnd w:id="37"/>
      <w:bookmarkEnd w:id="38"/>
      <w:bookmarkEnd w:id="39"/>
      <w:bookmarkEnd w:id="40"/>
      <w:bookmarkEnd w:id="41"/>
    </w:p>
    <w:p w14:paraId="6BA67691">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1.3.1本次采购范围：见供应商须知前附表。</w:t>
      </w:r>
    </w:p>
    <w:p w14:paraId="7F877925">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1.3.2本项目的工期要求：见供应商须知前附表。</w:t>
      </w:r>
    </w:p>
    <w:p w14:paraId="4DAC93A2">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1.3.3本项目的质量要求：见供应商须知前附表。</w:t>
      </w:r>
    </w:p>
    <w:p w14:paraId="721F0A4B">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1.3.4本项目的质保期要求：见供应商须知前附表。</w:t>
      </w:r>
    </w:p>
    <w:p w14:paraId="55081CE5">
      <w:pPr>
        <w:tabs>
          <w:tab w:val="left" w:pos="540"/>
        </w:tabs>
        <w:spacing w:line="360" w:lineRule="auto"/>
        <w:outlineLvl w:val="1"/>
        <w:rPr>
          <w:rFonts w:cs="宋体" w:asciiTheme="minorEastAsia" w:hAnsiTheme="minorEastAsia"/>
          <w:sz w:val="24"/>
          <w:szCs w:val="24"/>
        </w:rPr>
      </w:pPr>
      <w:bookmarkStart w:id="42" w:name="_Toc269470298"/>
      <w:bookmarkStart w:id="43" w:name="_Toc380394469"/>
      <w:bookmarkStart w:id="44" w:name="_Toc22973"/>
      <w:bookmarkStart w:id="45" w:name="_Toc15861"/>
      <w:bookmarkStart w:id="46" w:name="_Toc270604806"/>
      <w:bookmarkStart w:id="47" w:name="_Toc6153"/>
      <w:bookmarkStart w:id="48" w:name="_Toc278155331"/>
      <w:bookmarkStart w:id="49" w:name="_Toc277149368"/>
      <w:bookmarkStart w:id="50" w:name="_Toc425761632"/>
      <w:bookmarkStart w:id="51" w:name="_Toc2252"/>
      <w:bookmarkStart w:id="52" w:name="_Toc270604579"/>
      <w:r>
        <w:rPr>
          <w:rFonts w:hint="eastAsia" w:cs="宋体" w:asciiTheme="minorEastAsia" w:hAnsiTheme="minorEastAsia"/>
          <w:sz w:val="24"/>
          <w:szCs w:val="24"/>
        </w:rPr>
        <w:t>1.4供应商资格要求</w:t>
      </w:r>
      <w:bookmarkEnd w:id="42"/>
      <w:r>
        <w:rPr>
          <w:rFonts w:hint="eastAsia" w:cs="宋体" w:asciiTheme="minorEastAsia" w:hAnsiTheme="minorEastAsia"/>
          <w:sz w:val="24"/>
          <w:szCs w:val="24"/>
        </w:rPr>
        <w:t>：见供应商须知前附表。</w:t>
      </w:r>
      <w:bookmarkEnd w:id="43"/>
      <w:bookmarkEnd w:id="44"/>
      <w:bookmarkEnd w:id="45"/>
      <w:bookmarkEnd w:id="46"/>
      <w:bookmarkEnd w:id="47"/>
      <w:bookmarkEnd w:id="48"/>
      <w:bookmarkEnd w:id="49"/>
      <w:bookmarkEnd w:id="50"/>
      <w:bookmarkEnd w:id="51"/>
      <w:bookmarkEnd w:id="52"/>
    </w:p>
    <w:p w14:paraId="0D5AC87B">
      <w:pPr>
        <w:tabs>
          <w:tab w:val="left" w:pos="540"/>
        </w:tabs>
        <w:spacing w:line="360" w:lineRule="auto"/>
        <w:ind w:firstLine="480" w:firstLineChars="200"/>
        <w:outlineLvl w:val="1"/>
        <w:rPr>
          <w:rFonts w:cs="宋体" w:asciiTheme="minorEastAsia" w:hAnsiTheme="minorEastAsia"/>
          <w:sz w:val="24"/>
          <w:szCs w:val="24"/>
        </w:rPr>
      </w:pPr>
      <w:r>
        <w:rPr>
          <w:rFonts w:cs="宋体" w:asciiTheme="minorEastAsia" w:hAnsiTheme="minorEastAsia"/>
          <w:sz w:val="24"/>
          <w:szCs w:val="24"/>
        </w:rPr>
        <w:t xml:space="preserve">1.4.1 </w:t>
      </w:r>
      <w:r>
        <w:rPr>
          <w:rFonts w:hint="eastAsia" w:cs="宋体" w:asciiTheme="minorEastAsia" w:hAnsiTheme="minorEastAsia"/>
          <w:sz w:val="24"/>
          <w:szCs w:val="24"/>
          <w:lang w:eastAsia="zh-CN"/>
        </w:rPr>
        <w:t>供应商</w:t>
      </w:r>
      <w:r>
        <w:rPr>
          <w:rFonts w:cs="宋体" w:asciiTheme="minorEastAsia" w:hAnsiTheme="minorEastAsia"/>
          <w:sz w:val="24"/>
          <w:szCs w:val="24"/>
        </w:rPr>
        <w:t>应具备承担本</w:t>
      </w:r>
      <w:r>
        <w:rPr>
          <w:rFonts w:hint="eastAsia" w:cs="宋体" w:asciiTheme="minorEastAsia" w:hAnsiTheme="minorEastAsia"/>
          <w:sz w:val="24"/>
          <w:szCs w:val="24"/>
        </w:rPr>
        <w:t>项目</w:t>
      </w:r>
      <w:r>
        <w:rPr>
          <w:rFonts w:cs="宋体" w:asciiTheme="minorEastAsia" w:hAnsiTheme="minorEastAsia"/>
          <w:sz w:val="24"/>
          <w:szCs w:val="24"/>
        </w:rPr>
        <w:t>的资质条件、能力和信誉。</w:t>
      </w:r>
    </w:p>
    <w:p w14:paraId="2E7416A3">
      <w:pPr>
        <w:tabs>
          <w:tab w:val="left" w:pos="540"/>
        </w:tabs>
        <w:spacing w:line="360" w:lineRule="auto"/>
        <w:ind w:firstLine="480" w:firstLineChars="200"/>
        <w:outlineLvl w:val="1"/>
        <w:rPr>
          <w:rFonts w:cs="宋体" w:asciiTheme="minorEastAsia" w:hAnsiTheme="minorEastAsia"/>
          <w:sz w:val="24"/>
          <w:szCs w:val="24"/>
        </w:rPr>
      </w:pPr>
      <w:r>
        <w:rPr>
          <w:rFonts w:cs="宋体" w:asciiTheme="minorEastAsia" w:hAnsiTheme="minorEastAsia"/>
          <w:sz w:val="24"/>
          <w:szCs w:val="24"/>
        </w:rPr>
        <w:t>（1）资质条件：见</w:t>
      </w:r>
      <w:r>
        <w:rPr>
          <w:rFonts w:hint="eastAsia" w:cs="宋体" w:asciiTheme="minorEastAsia" w:hAnsiTheme="minorEastAsia"/>
          <w:sz w:val="24"/>
          <w:szCs w:val="24"/>
          <w:lang w:eastAsia="zh-CN"/>
        </w:rPr>
        <w:t>供应商</w:t>
      </w:r>
      <w:r>
        <w:rPr>
          <w:rFonts w:cs="宋体" w:asciiTheme="minorEastAsia" w:hAnsiTheme="minorEastAsia"/>
          <w:sz w:val="24"/>
          <w:szCs w:val="24"/>
        </w:rPr>
        <w:t>须知前附表；</w:t>
      </w:r>
    </w:p>
    <w:p w14:paraId="72328E42">
      <w:pPr>
        <w:tabs>
          <w:tab w:val="left" w:pos="540"/>
        </w:tabs>
        <w:spacing w:line="360" w:lineRule="auto"/>
        <w:ind w:firstLine="480" w:firstLineChars="200"/>
        <w:outlineLvl w:val="1"/>
        <w:rPr>
          <w:rFonts w:cs="宋体" w:asciiTheme="minorEastAsia" w:hAnsiTheme="minorEastAsia"/>
          <w:sz w:val="24"/>
          <w:szCs w:val="24"/>
        </w:rPr>
      </w:pPr>
      <w:r>
        <w:rPr>
          <w:rFonts w:cs="宋体" w:asciiTheme="minorEastAsia" w:hAnsiTheme="minorEastAsia"/>
          <w:sz w:val="24"/>
          <w:szCs w:val="24"/>
        </w:rPr>
        <w:t>（</w:t>
      </w:r>
      <w:r>
        <w:rPr>
          <w:rFonts w:hint="eastAsia" w:cs="宋体" w:asciiTheme="minorEastAsia" w:hAnsiTheme="minorEastAsia"/>
          <w:sz w:val="24"/>
          <w:szCs w:val="24"/>
        </w:rPr>
        <w:t>2</w:t>
      </w:r>
      <w:r>
        <w:rPr>
          <w:rFonts w:cs="宋体" w:asciiTheme="minorEastAsia" w:hAnsiTheme="minorEastAsia"/>
          <w:sz w:val="24"/>
          <w:szCs w:val="24"/>
        </w:rPr>
        <w:t>）项目</w:t>
      </w:r>
      <w:r>
        <w:rPr>
          <w:rFonts w:hint="eastAsia" w:cs="宋体" w:asciiTheme="minorEastAsia" w:hAnsiTheme="minorEastAsia"/>
          <w:sz w:val="24"/>
          <w:szCs w:val="24"/>
        </w:rPr>
        <w:t>经理</w:t>
      </w:r>
      <w:r>
        <w:rPr>
          <w:rFonts w:cs="宋体" w:asciiTheme="minorEastAsia" w:hAnsiTheme="minorEastAsia"/>
          <w:sz w:val="24"/>
          <w:szCs w:val="24"/>
        </w:rPr>
        <w:t>资格：见</w:t>
      </w:r>
      <w:r>
        <w:rPr>
          <w:rFonts w:hint="eastAsia" w:cs="宋体" w:asciiTheme="minorEastAsia" w:hAnsiTheme="minorEastAsia"/>
          <w:sz w:val="24"/>
          <w:szCs w:val="24"/>
          <w:lang w:eastAsia="zh-CN"/>
        </w:rPr>
        <w:t>供应商</w:t>
      </w:r>
      <w:r>
        <w:rPr>
          <w:rFonts w:cs="宋体" w:asciiTheme="minorEastAsia" w:hAnsiTheme="minorEastAsia"/>
          <w:sz w:val="24"/>
          <w:szCs w:val="24"/>
        </w:rPr>
        <w:t>须知前附表；</w:t>
      </w:r>
    </w:p>
    <w:p w14:paraId="0188B09E">
      <w:pPr>
        <w:tabs>
          <w:tab w:val="left" w:pos="540"/>
        </w:tabs>
        <w:spacing w:line="360" w:lineRule="auto"/>
        <w:ind w:firstLine="480" w:firstLineChars="200"/>
        <w:outlineLvl w:val="1"/>
        <w:rPr>
          <w:rFonts w:cs="宋体" w:asciiTheme="minorEastAsia" w:hAnsiTheme="minorEastAsia"/>
          <w:sz w:val="24"/>
          <w:szCs w:val="24"/>
        </w:rPr>
      </w:pPr>
      <w:r>
        <w:rPr>
          <w:rFonts w:hint="eastAsia" w:cs="宋体" w:asciiTheme="minorEastAsia" w:hAnsiTheme="minorEastAsia"/>
          <w:sz w:val="24"/>
          <w:szCs w:val="24"/>
        </w:rPr>
        <w:t>（</w:t>
      </w:r>
      <w:r>
        <w:rPr>
          <w:rFonts w:cs="宋体" w:asciiTheme="minorEastAsia" w:hAnsiTheme="minorEastAsia"/>
          <w:sz w:val="24"/>
          <w:szCs w:val="24"/>
        </w:rPr>
        <w:t>3</w:t>
      </w:r>
      <w:r>
        <w:rPr>
          <w:rFonts w:hint="eastAsia" w:cs="宋体" w:asciiTheme="minorEastAsia" w:hAnsiTheme="minorEastAsia"/>
          <w:sz w:val="24"/>
          <w:szCs w:val="24"/>
        </w:rPr>
        <w:t>）</w:t>
      </w:r>
      <w:r>
        <w:rPr>
          <w:rFonts w:cs="宋体" w:asciiTheme="minorEastAsia" w:hAnsiTheme="minorEastAsia"/>
          <w:sz w:val="24"/>
          <w:szCs w:val="24"/>
        </w:rPr>
        <w:t>信誉要求：见</w:t>
      </w:r>
      <w:r>
        <w:rPr>
          <w:rFonts w:hint="eastAsia" w:cs="宋体" w:asciiTheme="minorEastAsia" w:hAnsiTheme="minorEastAsia"/>
          <w:sz w:val="24"/>
          <w:szCs w:val="24"/>
          <w:lang w:eastAsia="zh-CN"/>
        </w:rPr>
        <w:t>供应商</w:t>
      </w:r>
      <w:r>
        <w:rPr>
          <w:rFonts w:cs="宋体" w:asciiTheme="minorEastAsia" w:hAnsiTheme="minorEastAsia"/>
          <w:sz w:val="24"/>
          <w:szCs w:val="24"/>
        </w:rPr>
        <w:t>须知前附表</w:t>
      </w:r>
      <w:r>
        <w:rPr>
          <w:rFonts w:hint="eastAsia" w:cs="宋体" w:asciiTheme="minorEastAsia" w:hAnsiTheme="minorEastAsia"/>
          <w:sz w:val="24"/>
          <w:szCs w:val="24"/>
        </w:rPr>
        <w:t>；</w:t>
      </w:r>
    </w:p>
    <w:p w14:paraId="73AF1B9E">
      <w:pPr>
        <w:tabs>
          <w:tab w:val="left" w:pos="540"/>
        </w:tabs>
        <w:spacing w:line="360" w:lineRule="auto"/>
        <w:ind w:firstLine="480" w:firstLineChars="200"/>
        <w:outlineLvl w:val="1"/>
        <w:rPr>
          <w:rFonts w:cs="宋体" w:asciiTheme="minorEastAsia" w:hAnsiTheme="minorEastAsia"/>
          <w:sz w:val="24"/>
          <w:szCs w:val="24"/>
        </w:rPr>
      </w:pPr>
      <w:r>
        <w:rPr>
          <w:rFonts w:cs="宋体" w:asciiTheme="minorEastAsia" w:hAnsiTheme="minorEastAsia"/>
          <w:sz w:val="24"/>
          <w:szCs w:val="24"/>
        </w:rPr>
        <w:t>（4）其他要求：见</w:t>
      </w:r>
      <w:r>
        <w:rPr>
          <w:rFonts w:hint="eastAsia" w:cs="宋体" w:asciiTheme="minorEastAsia" w:hAnsiTheme="minorEastAsia"/>
          <w:sz w:val="24"/>
          <w:szCs w:val="24"/>
          <w:lang w:eastAsia="zh-CN"/>
        </w:rPr>
        <w:t>供应商</w:t>
      </w:r>
      <w:r>
        <w:rPr>
          <w:rFonts w:cs="宋体" w:asciiTheme="minorEastAsia" w:hAnsiTheme="minorEastAsia"/>
          <w:sz w:val="24"/>
          <w:szCs w:val="24"/>
        </w:rPr>
        <w:t>须知前附表。</w:t>
      </w:r>
    </w:p>
    <w:p w14:paraId="721A3335">
      <w:pPr>
        <w:tabs>
          <w:tab w:val="left" w:pos="540"/>
        </w:tabs>
        <w:spacing w:line="360" w:lineRule="auto"/>
        <w:ind w:firstLine="480" w:firstLineChars="200"/>
        <w:outlineLvl w:val="1"/>
        <w:rPr>
          <w:rFonts w:cs="宋体" w:asciiTheme="minorEastAsia" w:hAnsiTheme="minorEastAsia"/>
          <w:sz w:val="24"/>
          <w:szCs w:val="24"/>
        </w:rPr>
      </w:pPr>
      <w:r>
        <w:rPr>
          <w:rFonts w:cs="宋体" w:asciiTheme="minorEastAsia" w:hAnsiTheme="minorEastAsia"/>
          <w:sz w:val="24"/>
          <w:szCs w:val="24"/>
        </w:rPr>
        <w:t xml:space="preserve">1.4.2 </w:t>
      </w:r>
      <w:r>
        <w:rPr>
          <w:rFonts w:hint="eastAsia" w:cs="宋体" w:asciiTheme="minorEastAsia" w:hAnsiTheme="minorEastAsia"/>
          <w:sz w:val="24"/>
          <w:szCs w:val="24"/>
        </w:rPr>
        <w:t>本项目不接受联合体投标。</w:t>
      </w:r>
    </w:p>
    <w:p w14:paraId="1DF36CD7">
      <w:pPr>
        <w:tabs>
          <w:tab w:val="left" w:pos="540"/>
        </w:tabs>
        <w:spacing w:line="360" w:lineRule="auto"/>
        <w:ind w:firstLine="480" w:firstLineChars="200"/>
        <w:outlineLvl w:val="1"/>
        <w:rPr>
          <w:rFonts w:cs="宋体" w:asciiTheme="minorEastAsia" w:hAnsiTheme="minorEastAsia"/>
          <w:sz w:val="24"/>
          <w:szCs w:val="24"/>
        </w:rPr>
      </w:pPr>
      <w:r>
        <w:rPr>
          <w:rFonts w:cs="宋体" w:asciiTheme="minorEastAsia" w:hAnsiTheme="minorEastAsia"/>
          <w:sz w:val="24"/>
          <w:szCs w:val="24"/>
        </w:rPr>
        <w:t xml:space="preserve">1.4.3 </w:t>
      </w:r>
      <w:r>
        <w:rPr>
          <w:rFonts w:hint="eastAsia" w:cs="宋体" w:asciiTheme="minorEastAsia" w:hAnsiTheme="minorEastAsia"/>
          <w:sz w:val="24"/>
          <w:szCs w:val="24"/>
          <w:lang w:eastAsia="zh-CN"/>
        </w:rPr>
        <w:t>供应商</w:t>
      </w:r>
      <w:r>
        <w:rPr>
          <w:rFonts w:cs="宋体" w:asciiTheme="minorEastAsia" w:hAnsiTheme="minorEastAsia"/>
          <w:sz w:val="24"/>
          <w:szCs w:val="24"/>
        </w:rPr>
        <w:t>不得存在下列情形之一：</w:t>
      </w:r>
    </w:p>
    <w:p w14:paraId="38217596">
      <w:pPr>
        <w:tabs>
          <w:tab w:val="left" w:pos="540"/>
        </w:tabs>
        <w:spacing w:line="360" w:lineRule="auto"/>
        <w:ind w:firstLine="480" w:firstLineChars="200"/>
        <w:outlineLvl w:val="1"/>
        <w:rPr>
          <w:rFonts w:cs="宋体" w:asciiTheme="minorEastAsia" w:hAnsiTheme="minorEastAsia"/>
          <w:sz w:val="24"/>
          <w:szCs w:val="24"/>
        </w:rPr>
      </w:pPr>
      <w:r>
        <w:rPr>
          <w:rFonts w:cs="宋体" w:asciiTheme="minorEastAsia" w:hAnsiTheme="minorEastAsia"/>
          <w:sz w:val="24"/>
          <w:szCs w:val="24"/>
        </w:rPr>
        <w:t xml:space="preserve">（1）为招标人不具有独立法人资格的附属机构（单位）； </w:t>
      </w:r>
    </w:p>
    <w:p w14:paraId="1D78E6D0">
      <w:pPr>
        <w:tabs>
          <w:tab w:val="left" w:pos="540"/>
        </w:tabs>
        <w:spacing w:line="360" w:lineRule="auto"/>
        <w:ind w:firstLine="480" w:firstLineChars="200"/>
        <w:outlineLvl w:val="1"/>
        <w:rPr>
          <w:rFonts w:cs="宋体" w:asciiTheme="minorEastAsia" w:hAnsiTheme="minorEastAsia"/>
          <w:sz w:val="24"/>
          <w:szCs w:val="24"/>
        </w:rPr>
      </w:pPr>
      <w:r>
        <w:rPr>
          <w:rFonts w:cs="宋体" w:asciiTheme="minorEastAsia" w:hAnsiTheme="minorEastAsia"/>
          <w:sz w:val="24"/>
          <w:szCs w:val="24"/>
        </w:rPr>
        <w:t>（2）为本标段前期准备提供设计或咨询服务的，但设计施工总承包的除外；</w:t>
      </w:r>
    </w:p>
    <w:p w14:paraId="76875711">
      <w:pPr>
        <w:tabs>
          <w:tab w:val="left" w:pos="540"/>
        </w:tabs>
        <w:spacing w:line="360" w:lineRule="auto"/>
        <w:ind w:firstLine="480" w:firstLineChars="200"/>
        <w:outlineLvl w:val="1"/>
        <w:rPr>
          <w:rFonts w:cs="宋体" w:asciiTheme="minorEastAsia" w:hAnsiTheme="minorEastAsia"/>
          <w:sz w:val="24"/>
          <w:szCs w:val="24"/>
        </w:rPr>
      </w:pPr>
      <w:r>
        <w:rPr>
          <w:rFonts w:cs="宋体" w:asciiTheme="minorEastAsia" w:hAnsiTheme="minorEastAsia"/>
          <w:sz w:val="24"/>
          <w:szCs w:val="24"/>
        </w:rPr>
        <w:t>（3）为本标段的监理人；</w:t>
      </w:r>
    </w:p>
    <w:p w14:paraId="33BE74DA">
      <w:pPr>
        <w:tabs>
          <w:tab w:val="left" w:pos="540"/>
        </w:tabs>
        <w:spacing w:line="360" w:lineRule="auto"/>
        <w:ind w:firstLine="480" w:firstLineChars="200"/>
        <w:outlineLvl w:val="1"/>
        <w:rPr>
          <w:rFonts w:cs="宋体" w:asciiTheme="minorEastAsia" w:hAnsiTheme="minorEastAsia"/>
          <w:sz w:val="24"/>
          <w:szCs w:val="24"/>
        </w:rPr>
      </w:pPr>
      <w:r>
        <w:rPr>
          <w:rFonts w:cs="宋体" w:asciiTheme="minorEastAsia" w:hAnsiTheme="minorEastAsia"/>
          <w:sz w:val="24"/>
          <w:szCs w:val="24"/>
        </w:rPr>
        <w:t>（4）为本标段的代建人；</w:t>
      </w:r>
    </w:p>
    <w:p w14:paraId="0B690B70">
      <w:pPr>
        <w:tabs>
          <w:tab w:val="left" w:pos="540"/>
        </w:tabs>
        <w:spacing w:line="360" w:lineRule="auto"/>
        <w:ind w:firstLine="480" w:firstLineChars="200"/>
        <w:outlineLvl w:val="1"/>
        <w:rPr>
          <w:rFonts w:cs="宋体" w:asciiTheme="minorEastAsia" w:hAnsiTheme="minorEastAsia"/>
          <w:sz w:val="24"/>
          <w:szCs w:val="24"/>
        </w:rPr>
      </w:pPr>
      <w:r>
        <w:rPr>
          <w:rFonts w:cs="宋体" w:asciiTheme="minorEastAsia" w:hAnsiTheme="minorEastAsia"/>
          <w:sz w:val="24"/>
          <w:szCs w:val="24"/>
        </w:rPr>
        <w:t>（5）为本标段提供招标代理服务的；</w:t>
      </w:r>
    </w:p>
    <w:p w14:paraId="5B4DBC9C">
      <w:pPr>
        <w:tabs>
          <w:tab w:val="left" w:pos="540"/>
        </w:tabs>
        <w:spacing w:line="360" w:lineRule="auto"/>
        <w:ind w:firstLine="480" w:firstLineChars="200"/>
        <w:outlineLvl w:val="1"/>
        <w:rPr>
          <w:rFonts w:cs="宋体" w:asciiTheme="minorEastAsia" w:hAnsiTheme="minorEastAsia"/>
          <w:sz w:val="24"/>
          <w:szCs w:val="24"/>
        </w:rPr>
      </w:pPr>
      <w:r>
        <w:rPr>
          <w:rFonts w:cs="宋体" w:asciiTheme="minorEastAsia" w:hAnsiTheme="minorEastAsia"/>
          <w:sz w:val="24"/>
          <w:szCs w:val="24"/>
        </w:rPr>
        <w:t>（6）与本标段的监理人或代建人或招标代理机构同为一个法定代表人的；</w:t>
      </w:r>
    </w:p>
    <w:p w14:paraId="3DA0DB32">
      <w:pPr>
        <w:tabs>
          <w:tab w:val="left" w:pos="540"/>
        </w:tabs>
        <w:spacing w:line="360" w:lineRule="auto"/>
        <w:ind w:firstLine="480" w:firstLineChars="200"/>
        <w:outlineLvl w:val="1"/>
        <w:rPr>
          <w:rFonts w:cs="宋体" w:asciiTheme="minorEastAsia" w:hAnsiTheme="minorEastAsia"/>
          <w:sz w:val="24"/>
          <w:szCs w:val="24"/>
        </w:rPr>
      </w:pPr>
      <w:r>
        <w:rPr>
          <w:rFonts w:cs="宋体" w:asciiTheme="minorEastAsia" w:hAnsiTheme="minorEastAsia"/>
          <w:sz w:val="24"/>
          <w:szCs w:val="24"/>
        </w:rPr>
        <w:t>（7）与本标段的监理人或代建人或招标代理机构相互控股或参股的；</w:t>
      </w:r>
    </w:p>
    <w:p w14:paraId="72421D67">
      <w:pPr>
        <w:tabs>
          <w:tab w:val="left" w:pos="540"/>
        </w:tabs>
        <w:spacing w:line="360" w:lineRule="auto"/>
        <w:ind w:firstLine="480" w:firstLineChars="200"/>
        <w:outlineLvl w:val="1"/>
        <w:rPr>
          <w:rFonts w:cs="宋体" w:asciiTheme="minorEastAsia" w:hAnsiTheme="minorEastAsia"/>
          <w:sz w:val="24"/>
          <w:szCs w:val="24"/>
        </w:rPr>
      </w:pPr>
      <w:r>
        <w:rPr>
          <w:rFonts w:cs="宋体" w:asciiTheme="minorEastAsia" w:hAnsiTheme="minorEastAsia"/>
          <w:sz w:val="24"/>
          <w:szCs w:val="24"/>
        </w:rPr>
        <w:t>（8）与本标段的监理人或代建人或招标代理机构相互任职或工作的；</w:t>
      </w:r>
    </w:p>
    <w:p w14:paraId="2192AACD">
      <w:pPr>
        <w:tabs>
          <w:tab w:val="left" w:pos="540"/>
        </w:tabs>
        <w:spacing w:line="360" w:lineRule="auto"/>
        <w:ind w:firstLine="480" w:firstLineChars="200"/>
        <w:outlineLvl w:val="1"/>
        <w:rPr>
          <w:rFonts w:cs="宋体" w:asciiTheme="minorEastAsia" w:hAnsiTheme="minorEastAsia"/>
          <w:sz w:val="24"/>
          <w:szCs w:val="24"/>
        </w:rPr>
      </w:pPr>
      <w:r>
        <w:rPr>
          <w:rFonts w:cs="宋体" w:asciiTheme="minorEastAsia" w:hAnsiTheme="minorEastAsia"/>
          <w:sz w:val="24"/>
          <w:szCs w:val="24"/>
        </w:rPr>
        <w:t>（9）被责令停业的；</w:t>
      </w:r>
    </w:p>
    <w:p w14:paraId="5D83ABDE">
      <w:pPr>
        <w:tabs>
          <w:tab w:val="left" w:pos="540"/>
        </w:tabs>
        <w:spacing w:line="360" w:lineRule="auto"/>
        <w:ind w:firstLine="480" w:firstLineChars="200"/>
        <w:outlineLvl w:val="1"/>
        <w:rPr>
          <w:rFonts w:cs="宋体" w:asciiTheme="minorEastAsia" w:hAnsiTheme="minorEastAsia"/>
          <w:sz w:val="24"/>
          <w:szCs w:val="24"/>
        </w:rPr>
      </w:pPr>
      <w:r>
        <w:rPr>
          <w:rFonts w:cs="宋体" w:asciiTheme="minorEastAsia" w:hAnsiTheme="minorEastAsia"/>
          <w:sz w:val="24"/>
          <w:szCs w:val="24"/>
        </w:rPr>
        <w:t>（10）被暂停或取消投标资格的；</w:t>
      </w:r>
    </w:p>
    <w:p w14:paraId="35765803">
      <w:pPr>
        <w:tabs>
          <w:tab w:val="left" w:pos="540"/>
        </w:tabs>
        <w:spacing w:line="360" w:lineRule="auto"/>
        <w:ind w:firstLine="480" w:firstLineChars="200"/>
        <w:outlineLvl w:val="1"/>
        <w:rPr>
          <w:rFonts w:cs="宋体" w:asciiTheme="minorEastAsia" w:hAnsiTheme="minorEastAsia"/>
          <w:sz w:val="24"/>
          <w:szCs w:val="24"/>
        </w:rPr>
      </w:pPr>
      <w:r>
        <w:rPr>
          <w:rFonts w:cs="宋体" w:asciiTheme="minorEastAsia" w:hAnsiTheme="minorEastAsia"/>
          <w:sz w:val="24"/>
          <w:szCs w:val="24"/>
        </w:rPr>
        <w:t>（11）财产被接管或冻结的；</w:t>
      </w:r>
    </w:p>
    <w:p w14:paraId="743C748C">
      <w:pPr>
        <w:tabs>
          <w:tab w:val="left" w:pos="540"/>
        </w:tabs>
        <w:spacing w:line="360" w:lineRule="auto"/>
        <w:ind w:firstLine="480" w:firstLineChars="200"/>
        <w:outlineLvl w:val="1"/>
        <w:rPr>
          <w:rFonts w:cs="宋体" w:asciiTheme="minorEastAsia" w:hAnsiTheme="minorEastAsia"/>
          <w:sz w:val="24"/>
          <w:szCs w:val="24"/>
        </w:rPr>
      </w:pPr>
      <w:r>
        <w:rPr>
          <w:rFonts w:cs="宋体" w:asciiTheme="minorEastAsia" w:hAnsiTheme="minorEastAsia"/>
          <w:sz w:val="24"/>
          <w:szCs w:val="24"/>
        </w:rPr>
        <w:t>（12）在最近三年内有骗取中标或严重违约或重大工程质量问题的。</w:t>
      </w:r>
    </w:p>
    <w:p w14:paraId="3A783C87">
      <w:pPr>
        <w:tabs>
          <w:tab w:val="left" w:pos="540"/>
        </w:tabs>
        <w:spacing w:line="360" w:lineRule="auto"/>
        <w:outlineLvl w:val="1"/>
        <w:rPr>
          <w:rFonts w:cs="宋体" w:asciiTheme="minorEastAsia" w:hAnsiTheme="minorEastAsia"/>
          <w:sz w:val="24"/>
          <w:szCs w:val="24"/>
        </w:rPr>
      </w:pPr>
      <w:bookmarkStart w:id="53" w:name="_Toc976"/>
      <w:bookmarkStart w:id="54" w:name="_Toc10549"/>
      <w:bookmarkStart w:id="55" w:name="_Toc25040"/>
      <w:bookmarkStart w:id="56" w:name="_Toc18062"/>
      <w:r>
        <w:rPr>
          <w:rFonts w:hint="eastAsia" w:cs="宋体" w:asciiTheme="minorEastAsia" w:hAnsiTheme="minorEastAsia"/>
          <w:sz w:val="24"/>
          <w:szCs w:val="24"/>
        </w:rPr>
        <w:t>1.5费用承担</w:t>
      </w:r>
      <w:bookmarkEnd w:id="13"/>
      <w:bookmarkEnd w:id="14"/>
      <w:bookmarkEnd w:id="15"/>
      <w:bookmarkEnd w:id="16"/>
      <w:bookmarkEnd w:id="17"/>
      <w:bookmarkEnd w:id="18"/>
      <w:bookmarkEnd w:id="19"/>
      <w:bookmarkEnd w:id="53"/>
      <w:bookmarkEnd w:id="54"/>
      <w:bookmarkEnd w:id="55"/>
      <w:bookmarkEnd w:id="56"/>
    </w:p>
    <w:p w14:paraId="1487845E">
      <w:pPr>
        <w:autoSpaceDE w:val="0"/>
        <w:autoSpaceDN w:val="0"/>
        <w:adjustRightInd w:val="0"/>
        <w:spacing w:line="360" w:lineRule="auto"/>
        <w:ind w:left="-5" w:firstLine="425"/>
        <w:jc w:val="left"/>
        <w:rPr>
          <w:rFonts w:cs="宋体" w:asciiTheme="minorEastAsia" w:hAnsiTheme="minorEastAsia"/>
          <w:sz w:val="24"/>
          <w:szCs w:val="24"/>
        </w:rPr>
      </w:pPr>
      <w:r>
        <w:rPr>
          <w:rFonts w:hint="eastAsia" w:cs="宋体" w:asciiTheme="minorEastAsia" w:hAnsiTheme="minorEastAsia"/>
          <w:sz w:val="24"/>
          <w:szCs w:val="24"/>
        </w:rPr>
        <w:t>1.5.1供应商准备和参加磋商活动发生的一切费用自理。</w:t>
      </w:r>
    </w:p>
    <w:p w14:paraId="2FDEE216">
      <w:pPr>
        <w:tabs>
          <w:tab w:val="left" w:pos="540"/>
        </w:tabs>
        <w:spacing w:line="360" w:lineRule="auto"/>
        <w:outlineLvl w:val="1"/>
        <w:rPr>
          <w:rFonts w:cs="宋体" w:asciiTheme="minorEastAsia" w:hAnsiTheme="minorEastAsia"/>
          <w:sz w:val="24"/>
          <w:szCs w:val="24"/>
        </w:rPr>
      </w:pPr>
      <w:bookmarkStart w:id="57" w:name="_Toc380394471"/>
      <w:bookmarkStart w:id="58" w:name="_Toc23515"/>
      <w:bookmarkStart w:id="59" w:name="_Toc1107"/>
      <w:bookmarkStart w:id="60" w:name="_Toc270604581"/>
      <w:bookmarkStart w:id="61" w:name="_Toc277149370"/>
      <w:bookmarkStart w:id="62" w:name="_Toc7894"/>
      <w:bookmarkStart w:id="63" w:name="_Toc278155333"/>
      <w:bookmarkStart w:id="64" w:name="_Toc269470300"/>
      <w:bookmarkStart w:id="65" w:name="_Toc270604808"/>
      <w:bookmarkStart w:id="66" w:name="_Toc859"/>
      <w:bookmarkStart w:id="67" w:name="_Toc466284458"/>
      <w:r>
        <w:rPr>
          <w:rFonts w:hint="eastAsia" w:cs="宋体" w:asciiTheme="minorEastAsia" w:hAnsiTheme="minorEastAsia"/>
          <w:sz w:val="24"/>
          <w:szCs w:val="24"/>
        </w:rPr>
        <w:t>1.6保密</w:t>
      </w:r>
      <w:bookmarkEnd w:id="57"/>
      <w:bookmarkEnd w:id="58"/>
      <w:bookmarkEnd w:id="59"/>
      <w:bookmarkEnd w:id="60"/>
      <w:bookmarkEnd w:id="61"/>
      <w:bookmarkEnd w:id="62"/>
      <w:bookmarkEnd w:id="63"/>
      <w:bookmarkEnd w:id="64"/>
      <w:bookmarkEnd w:id="65"/>
      <w:bookmarkEnd w:id="66"/>
      <w:bookmarkEnd w:id="67"/>
    </w:p>
    <w:p w14:paraId="772A7BAB">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1.6.1磋商期间，直到授予成交的供应商合同止，凡是与磋商响应文件审查、澄清、评价、比较以及推荐成交候选人等方面的情况，均不得向供应商或其他无关的人员透露。</w:t>
      </w:r>
    </w:p>
    <w:p w14:paraId="1529041D">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1.6.2在磋商过程中，供应商如向磋商小组成员施加任何影响，都将会导致其磋商被拒绝。</w:t>
      </w:r>
    </w:p>
    <w:p w14:paraId="79F431F5">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1.6.3为保证成交结果的公正性，磋商期间直至授予成交供应商合同时，磋商小组成员不得与供应商私1.6.4下交换意见。在磋商结束后，凡与磋商情况有接触的任何人不得也不应将磋商情况扩散出磋商小组成员之外。</w:t>
      </w:r>
    </w:p>
    <w:p w14:paraId="7F5A18AA">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1.6.5参加本项目采购的供应商如对本次评审推荐的拟成交供应商有异议或发现违规违纪行为，请以书面形式向采购人、采购代理机构递交质疑函原件（不接受邮寄、电报、电传、传真、电子数据交换和电子邮件），超过法律规定时间将不再受理。</w:t>
      </w:r>
    </w:p>
    <w:p w14:paraId="4F6221D1">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1.6.6供应商递交的磋商文件不论中标与否均不予退还。</w:t>
      </w:r>
    </w:p>
    <w:p w14:paraId="2C949818">
      <w:pPr>
        <w:tabs>
          <w:tab w:val="left" w:pos="540"/>
        </w:tabs>
        <w:spacing w:line="360" w:lineRule="auto"/>
        <w:outlineLvl w:val="1"/>
        <w:rPr>
          <w:rFonts w:cs="宋体" w:asciiTheme="minorEastAsia" w:hAnsiTheme="minorEastAsia"/>
          <w:sz w:val="24"/>
          <w:szCs w:val="24"/>
        </w:rPr>
      </w:pPr>
      <w:bookmarkStart w:id="68" w:name="_Toc270604809"/>
      <w:bookmarkStart w:id="69" w:name="_Toc29602"/>
      <w:bookmarkStart w:id="70" w:name="_Toc269470301"/>
      <w:bookmarkStart w:id="71" w:name="_Toc270604582"/>
      <w:bookmarkStart w:id="72" w:name="_Toc380394472"/>
      <w:bookmarkStart w:id="73" w:name="_Toc28471"/>
      <w:bookmarkStart w:id="74" w:name="_Toc277149371"/>
      <w:bookmarkStart w:id="75" w:name="_Toc25505"/>
      <w:bookmarkStart w:id="76" w:name="_Toc278155334"/>
      <w:bookmarkStart w:id="77" w:name="_Toc466284459"/>
      <w:bookmarkStart w:id="78" w:name="_Toc17801"/>
      <w:r>
        <w:rPr>
          <w:rFonts w:hint="eastAsia" w:cs="宋体" w:asciiTheme="minorEastAsia" w:hAnsiTheme="minorEastAsia"/>
          <w:sz w:val="24"/>
          <w:szCs w:val="24"/>
        </w:rPr>
        <w:t>1.7语言文字</w:t>
      </w:r>
      <w:bookmarkEnd w:id="68"/>
      <w:bookmarkEnd w:id="69"/>
      <w:bookmarkEnd w:id="70"/>
      <w:bookmarkEnd w:id="71"/>
      <w:bookmarkEnd w:id="72"/>
      <w:bookmarkEnd w:id="73"/>
      <w:bookmarkEnd w:id="74"/>
      <w:bookmarkEnd w:id="75"/>
      <w:bookmarkEnd w:id="76"/>
      <w:bookmarkEnd w:id="77"/>
      <w:bookmarkEnd w:id="78"/>
    </w:p>
    <w:p w14:paraId="714D2338">
      <w:pPr>
        <w:autoSpaceDE w:val="0"/>
        <w:autoSpaceDN w:val="0"/>
        <w:adjustRightInd w:val="0"/>
        <w:spacing w:line="360" w:lineRule="auto"/>
        <w:ind w:left="-5" w:firstLine="425"/>
        <w:jc w:val="left"/>
        <w:rPr>
          <w:rFonts w:cs="宋体" w:asciiTheme="minorEastAsia" w:hAnsiTheme="minorEastAsia"/>
          <w:sz w:val="24"/>
          <w:szCs w:val="24"/>
        </w:rPr>
      </w:pPr>
      <w:r>
        <w:rPr>
          <w:rFonts w:hint="eastAsia" w:cs="宋体" w:asciiTheme="minorEastAsia" w:hAnsiTheme="minorEastAsia"/>
          <w:sz w:val="24"/>
          <w:szCs w:val="24"/>
        </w:rPr>
        <w:t>1.7.1除专用术语外，与采购有关的语言均使用中文。必要时专用术语应附有中文注释。</w:t>
      </w:r>
    </w:p>
    <w:p w14:paraId="4DE78D5F">
      <w:pPr>
        <w:tabs>
          <w:tab w:val="left" w:pos="540"/>
        </w:tabs>
        <w:spacing w:line="360" w:lineRule="auto"/>
        <w:outlineLvl w:val="1"/>
        <w:rPr>
          <w:rFonts w:cs="宋体" w:asciiTheme="minorEastAsia" w:hAnsiTheme="minorEastAsia"/>
          <w:sz w:val="24"/>
          <w:szCs w:val="24"/>
        </w:rPr>
      </w:pPr>
      <w:bookmarkStart w:id="79" w:name="_Toc466284460"/>
      <w:bookmarkStart w:id="80" w:name="_Toc380394473"/>
      <w:bookmarkStart w:id="81" w:name="_Toc20169"/>
      <w:bookmarkStart w:id="82" w:name="_Toc9357"/>
      <w:bookmarkStart w:id="83" w:name="_Toc9268"/>
      <w:bookmarkStart w:id="84" w:name="_Toc278155335"/>
      <w:bookmarkStart w:id="85" w:name="_Toc269470302"/>
      <w:bookmarkStart w:id="86" w:name="_Toc277149372"/>
      <w:bookmarkStart w:id="87" w:name="_Toc270604583"/>
      <w:bookmarkStart w:id="88" w:name="_Toc21514"/>
      <w:bookmarkStart w:id="89" w:name="_Toc270604810"/>
      <w:r>
        <w:rPr>
          <w:rFonts w:hint="eastAsia" w:cs="宋体" w:asciiTheme="minorEastAsia" w:hAnsiTheme="minorEastAsia"/>
          <w:sz w:val="24"/>
          <w:szCs w:val="24"/>
        </w:rPr>
        <w:t>1.8计量单位</w:t>
      </w:r>
      <w:bookmarkEnd w:id="79"/>
      <w:bookmarkEnd w:id="80"/>
      <w:bookmarkEnd w:id="81"/>
      <w:bookmarkEnd w:id="82"/>
      <w:bookmarkEnd w:id="83"/>
      <w:bookmarkEnd w:id="84"/>
      <w:bookmarkEnd w:id="85"/>
      <w:bookmarkEnd w:id="86"/>
      <w:bookmarkEnd w:id="87"/>
      <w:bookmarkEnd w:id="88"/>
      <w:bookmarkEnd w:id="89"/>
    </w:p>
    <w:p w14:paraId="6CF48E4F">
      <w:pPr>
        <w:autoSpaceDE w:val="0"/>
        <w:autoSpaceDN w:val="0"/>
        <w:adjustRightInd w:val="0"/>
        <w:spacing w:line="360" w:lineRule="auto"/>
        <w:ind w:left="-5" w:firstLine="425"/>
        <w:jc w:val="left"/>
        <w:rPr>
          <w:rFonts w:cs="宋体" w:asciiTheme="minorEastAsia" w:hAnsiTheme="minorEastAsia"/>
          <w:sz w:val="24"/>
          <w:szCs w:val="24"/>
        </w:rPr>
      </w:pPr>
      <w:r>
        <w:rPr>
          <w:rFonts w:hint="eastAsia" w:cs="宋体" w:asciiTheme="minorEastAsia" w:hAnsiTheme="minorEastAsia"/>
          <w:sz w:val="24"/>
          <w:szCs w:val="24"/>
        </w:rPr>
        <w:t>1.8.1所有计量均采用中华人民共和国法定计量单位。</w:t>
      </w:r>
    </w:p>
    <w:p w14:paraId="6D5F4D22">
      <w:pPr>
        <w:tabs>
          <w:tab w:val="left" w:pos="540"/>
        </w:tabs>
        <w:spacing w:line="360" w:lineRule="auto"/>
        <w:outlineLvl w:val="1"/>
        <w:rPr>
          <w:rFonts w:cs="宋体" w:asciiTheme="minorEastAsia" w:hAnsiTheme="minorEastAsia"/>
          <w:sz w:val="24"/>
          <w:szCs w:val="24"/>
        </w:rPr>
      </w:pPr>
      <w:bookmarkStart w:id="90" w:name="_Toc466284461"/>
      <w:bookmarkStart w:id="91" w:name="_Toc380394474"/>
      <w:bookmarkStart w:id="92" w:name="_Toc27455"/>
      <w:bookmarkStart w:id="93" w:name="_Toc25935"/>
      <w:bookmarkStart w:id="94" w:name="_Toc22287"/>
      <w:bookmarkStart w:id="95" w:name="_Toc9488"/>
      <w:bookmarkStart w:id="96" w:name="_Toc269470303"/>
      <w:bookmarkStart w:id="97" w:name="_Toc278155336"/>
      <w:bookmarkStart w:id="98" w:name="_Toc270604811"/>
      <w:bookmarkStart w:id="99" w:name="_Toc270604584"/>
      <w:bookmarkStart w:id="100" w:name="_Toc277149373"/>
      <w:r>
        <w:rPr>
          <w:rFonts w:hint="eastAsia" w:cs="宋体" w:asciiTheme="minorEastAsia" w:hAnsiTheme="minorEastAsia"/>
          <w:sz w:val="24"/>
          <w:szCs w:val="24"/>
        </w:rPr>
        <w:t>1.9踏勘现场</w:t>
      </w:r>
      <w:bookmarkEnd w:id="90"/>
      <w:bookmarkEnd w:id="91"/>
      <w:bookmarkEnd w:id="92"/>
      <w:bookmarkEnd w:id="93"/>
      <w:bookmarkEnd w:id="94"/>
      <w:bookmarkEnd w:id="95"/>
      <w:bookmarkEnd w:id="96"/>
      <w:bookmarkEnd w:id="97"/>
      <w:bookmarkEnd w:id="98"/>
      <w:bookmarkEnd w:id="99"/>
      <w:bookmarkEnd w:id="100"/>
    </w:p>
    <w:p w14:paraId="2A377B70">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1.9.1供应商踏勘现场，所发生的费用自理。</w:t>
      </w:r>
    </w:p>
    <w:p w14:paraId="3B756307">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1.9.2除采购人的原因外，供应商自行承担在踏勘现场中所发生的人员伤亡和财产损失。</w:t>
      </w:r>
    </w:p>
    <w:p w14:paraId="34F54A6F">
      <w:pPr>
        <w:tabs>
          <w:tab w:val="left" w:pos="0"/>
        </w:tabs>
        <w:spacing w:line="360" w:lineRule="auto"/>
        <w:ind w:left="420"/>
        <w:rPr>
          <w:rFonts w:hint="eastAsia" w:cs="宋体" w:asciiTheme="minorEastAsia" w:hAnsiTheme="minorEastAsia"/>
          <w:sz w:val="24"/>
          <w:szCs w:val="24"/>
          <w:lang w:eastAsia="zh-CN"/>
        </w:rPr>
      </w:pPr>
      <w:r>
        <w:rPr>
          <w:rFonts w:hint="eastAsia" w:cs="宋体" w:asciiTheme="minorEastAsia" w:hAnsiTheme="minorEastAsia"/>
          <w:sz w:val="24"/>
          <w:szCs w:val="24"/>
        </w:rPr>
        <w:t>1.9.3采购人在踏勘现场中介绍的项目场地和相关的周边环境情况，供应商在编制磋商响应文件时参考</w:t>
      </w:r>
      <w:r>
        <w:rPr>
          <w:rFonts w:hint="eastAsia" w:cs="宋体" w:asciiTheme="minorEastAsia" w:hAnsiTheme="minorEastAsia"/>
          <w:sz w:val="24"/>
          <w:szCs w:val="24"/>
          <w:lang w:eastAsia="zh-CN"/>
        </w:rPr>
        <w:t>。</w:t>
      </w:r>
    </w:p>
    <w:p w14:paraId="6933C8F6">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1.9.4采购人不对供应商据此作出的判断和决策负责。</w:t>
      </w:r>
    </w:p>
    <w:p w14:paraId="525E497B">
      <w:pPr>
        <w:tabs>
          <w:tab w:val="left" w:pos="540"/>
        </w:tabs>
        <w:spacing w:line="360" w:lineRule="auto"/>
        <w:outlineLvl w:val="1"/>
        <w:rPr>
          <w:rFonts w:cs="宋体" w:asciiTheme="minorEastAsia" w:hAnsiTheme="minorEastAsia"/>
          <w:sz w:val="24"/>
          <w:szCs w:val="24"/>
        </w:rPr>
      </w:pPr>
      <w:bookmarkStart w:id="101" w:name="_Toc278155337"/>
      <w:bookmarkStart w:id="102" w:name="_Toc466284462"/>
      <w:bookmarkStart w:id="103" w:name="_Toc270604585"/>
      <w:bookmarkStart w:id="104" w:name="_Toc1086"/>
      <w:bookmarkStart w:id="105" w:name="_Toc270604812"/>
      <w:bookmarkStart w:id="106" w:name="_Toc277149374"/>
      <w:bookmarkStart w:id="107" w:name="_Toc1914"/>
      <w:bookmarkStart w:id="108" w:name="_Toc269470304"/>
      <w:bookmarkStart w:id="109" w:name="_Toc380394475"/>
      <w:bookmarkStart w:id="110" w:name="_Toc19570"/>
      <w:bookmarkStart w:id="111" w:name="_Toc29208"/>
      <w:r>
        <w:rPr>
          <w:rFonts w:hint="eastAsia" w:cs="宋体" w:asciiTheme="minorEastAsia" w:hAnsiTheme="minorEastAsia"/>
          <w:sz w:val="24"/>
          <w:szCs w:val="24"/>
        </w:rPr>
        <w:t>1.10磋商预备会</w:t>
      </w:r>
      <w:bookmarkEnd w:id="101"/>
      <w:bookmarkEnd w:id="102"/>
      <w:bookmarkEnd w:id="103"/>
      <w:bookmarkEnd w:id="104"/>
      <w:bookmarkEnd w:id="105"/>
      <w:bookmarkEnd w:id="106"/>
      <w:bookmarkEnd w:id="107"/>
      <w:bookmarkEnd w:id="108"/>
      <w:bookmarkEnd w:id="109"/>
      <w:bookmarkEnd w:id="110"/>
      <w:bookmarkEnd w:id="111"/>
    </w:p>
    <w:p w14:paraId="6E45E424">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1.10.1本次竞争性磋商不召开磋商预备会，供应商如有疑问，应通过交易系统提出问题，采购人通过发布公告的形式通知所有参加磋商的供应商。该部分内容为竞争性磋商文件的组成部分。</w:t>
      </w:r>
    </w:p>
    <w:p w14:paraId="757FC306">
      <w:pPr>
        <w:tabs>
          <w:tab w:val="left" w:pos="540"/>
        </w:tabs>
        <w:spacing w:line="360" w:lineRule="auto"/>
        <w:outlineLvl w:val="1"/>
        <w:rPr>
          <w:rFonts w:cs="宋体" w:asciiTheme="minorEastAsia" w:hAnsiTheme="minorEastAsia"/>
          <w:sz w:val="24"/>
          <w:szCs w:val="24"/>
        </w:rPr>
      </w:pPr>
      <w:bookmarkStart w:id="112" w:name="_Toc277149375"/>
      <w:bookmarkStart w:id="113" w:name="_Toc270604813"/>
      <w:bookmarkStart w:id="114" w:name="_Toc466284463"/>
      <w:bookmarkStart w:id="115" w:name="_Toc5818"/>
      <w:bookmarkStart w:id="116" w:name="_Toc269470305"/>
      <w:bookmarkStart w:id="117" w:name="_Toc270604586"/>
      <w:bookmarkStart w:id="118" w:name="_Toc278155338"/>
      <w:bookmarkStart w:id="119" w:name="_Toc31773"/>
      <w:bookmarkStart w:id="120" w:name="_Toc5553"/>
      <w:bookmarkStart w:id="121" w:name="_Toc26014"/>
      <w:bookmarkStart w:id="122" w:name="_Toc380394476"/>
      <w:r>
        <w:rPr>
          <w:rFonts w:hint="eastAsia" w:cs="宋体" w:asciiTheme="minorEastAsia" w:hAnsiTheme="minorEastAsia"/>
          <w:sz w:val="24"/>
          <w:szCs w:val="24"/>
        </w:rPr>
        <w:t>1.11分包</w:t>
      </w:r>
      <w:bookmarkEnd w:id="112"/>
      <w:bookmarkEnd w:id="113"/>
      <w:bookmarkEnd w:id="114"/>
      <w:bookmarkEnd w:id="115"/>
      <w:bookmarkEnd w:id="116"/>
      <w:bookmarkEnd w:id="117"/>
      <w:bookmarkEnd w:id="118"/>
      <w:bookmarkEnd w:id="119"/>
      <w:bookmarkEnd w:id="120"/>
      <w:bookmarkEnd w:id="121"/>
      <w:bookmarkEnd w:id="122"/>
    </w:p>
    <w:p w14:paraId="2C5B4CAE">
      <w:pPr>
        <w:autoSpaceDE w:val="0"/>
        <w:autoSpaceDN w:val="0"/>
        <w:adjustRightInd w:val="0"/>
        <w:spacing w:line="360" w:lineRule="auto"/>
        <w:ind w:left="-5" w:firstLine="425"/>
        <w:jc w:val="left"/>
        <w:rPr>
          <w:rFonts w:cs="宋体" w:asciiTheme="minorEastAsia" w:hAnsiTheme="minorEastAsia"/>
          <w:sz w:val="24"/>
          <w:szCs w:val="24"/>
        </w:rPr>
      </w:pPr>
      <w:r>
        <w:rPr>
          <w:rFonts w:hint="eastAsia" w:cs="宋体" w:asciiTheme="minorEastAsia" w:hAnsiTheme="minorEastAsia"/>
          <w:sz w:val="24"/>
          <w:szCs w:val="24"/>
        </w:rPr>
        <w:t>1.11.1本项目不允许分包。</w:t>
      </w:r>
    </w:p>
    <w:p w14:paraId="0E24594A">
      <w:pPr>
        <w:tabs>
          <w:tab w:val="left" w:pos="540"/>
          <w:tab w:val="left" w:pos="1287"/>
        </w:tabs>
        <w:spacing w:line="360" w:lineRule="auto"/>
        <w:outlineLvl w:val="1"/>
        <w:rPr>
          <w:rFonts w:cs="宋体" w:asciiTheme="minorEastAsia" w:hAnsiTheme="minorEastAsia"/>
          <w:sz w:val="24"/>
          <w:szCs w:val="24"/>
        </w:rPr>
      </w:pPr>
      <w:bookmarkStart w:id="123" w:name="_Toc278155339"/>
      <w:bookmarkStart w:id="124" w:name="_Toc24741"/>
      <w:bookmarkStart w:id="125" w:name="_Toc380394477"/>
      <w:bookmarkStart w:id="126" w:name="_Toc270604814"/>
      <w:bookmarkStart w:id="127" w:name="_Toc466284464"/>
      <w:bookmarkStart w:id="128" w:name="_Toc20635"/>
      <w:bookmarkStart w:id="129" w:name="_Toc270604587"/>
      <w:bookmarkStart w:id="130" w:name="_Toc308441225"/>
      <w:bookmarkStart w:id="131" w:name="_Toc277149376"/>
      <w:bookmarkStart w:id="132" w:name="_Toc23705"/>
      <w:bookmarkStart w:id="133" w:name="_Toc269470306"/>
      <w:bookmarkStart w:id="134" w:name="_Toc8438"/>
      <w:bookmarkStart w:id="135" w:name="_Toc270604588"/>
      <w:r>
        <w:rPr>
          <w:rFonts w:hint="eastAsia" w:cs="宋体" w:asciiTheme="minorEastAsia" w:hAnsiTheme="minorEastAsia"/>
          <w:sz w:val="24"/>
          <w:szCs w:val="24"/>
        </w:rPr>
        <w:t>1.12偏离</w:t>
      </w:r>
      <w:bookmarkEnd w:id="123"/>
      <w:bookmarkEnd w:id="124"/>
      <w:bookmarkEnd w:id="125"/>
      <w:bookmarkEnd w:id="126"/>
      <w:bookmarkEnd w:id="127"/>
      <w:bookmarkEnd w:id="128"/>
      <w:bookmarkEnd w:id="129"/>
      <w:bookmarkEnd w:id="130"/>
      <w:bookmarkEnd w:id="131"/>
      <w:bookmarkEnd w:id="132"/>
      <w:bookmarkEnd w:id="133"/>
      <w:bookmarkEnd w:id="134"/>
    </w:p>
    <w:p w14:paraId="05B41C0E">
      <w:pPr>
        <w:autoSpaceDE w:val="0"/>
        <w:autoSpaceDN w:val="0"/>
        <w:adjustRightInd w:val="0"/>
        <w:spacing w:line="360" w:lineRule="auto"/>
        <w:ind w:left="-5" w:firstLine="425"/>
        <w:jc w:val="left"/>
        <w:rPr>
          <w:rFonts w:cs="宋体" w:asciiTheme="minorEastAsia" w:hAnsiTheme="minorEastAsia"/>
          <w:sz w:val="24"/>
          <w:szCs w:val="24"/>
        </w:rPr>
      </w:pPr>
      <w:r>
        <w:rPr>
          <w:rFonts w:hint="eastAsia" w:cs="宋体" w:asciiTheme="minorEastAsia" w:hAnsiTheme="minorEastAsia"/>
          <w:sz w:val="24"/>
          <w:szCs w:val="24"/>
        </w:rPr>
        <w:t>1.12.1本项目不允许偏离。</w:t>
      </w:r>
    </w:p>
    <w:bookmarkEnd w:id="135"/>
    <w:p w14:paraId="29BD5BAF">
      <w:pPr>
        <w:numPr>
          <w:ilvl w:val="0"/>
          <w:numId w:val="3"/>
        </w:numPr>
        <w:tabs>
          <w:tab w:val="left" w:pos="0"/>
          <w:tab w:val="left" w:pos="720"/>
        </w:tabs>
        <w:spacing w:line="360" w:lineRule="auto"/>
        <w:ind w:left="-5" w:firstLine="425"/>
        <w:outlineLvl w:val="1"/>
        <w:rPr>
          <w:rFonts w:cs="宋体" w:asciiTheme="minorEastAsia" w:hAnsiTheme="minorEastAsia"/>
          <w:b/>
          <w:sz w:val="24"/>
          <w:szCs w:val="24"/>
        </w:rPr>
      </w:pPr>
      <w:bookmarkStart w:id="136" w:name="_Toc438797185"/>
      <w:bookmarkStart w:id="137" w:name="_Toc27093"/>
      <w:bookmarkStart w:id="138" w:name="_Toc16608"/>
      <w:bookmarkStart w:id="139" w:name="_Toc438797950"/>
      <w:bookmarkStart w:id="140" w:name="_Toc381"/>
      <w:bookmarkStart w:id="141" w:name="_Toc391284747"/>
      <w:bookmarkStart w:id="142" w:name="_Toc278155346"/>
      <w:bookmarkStart w:id="143" w:name="_Toc270604821"/>
      <w:bookmarkStart w:id="144" w:name="_Toc269470313"/>
      <w:bookmarkStart w:id="145" w:name="_Toc270604594"/>
      <w:bookmarkStart w:id="146" w:name="_Toc277149383"/>
      <w:bookmarkStart w:id="147" w:name="_Toc380394484"/>
      <w:bookmarkStart w:id="148" w:name="_Toc466284471"/>
      <w:r>
        <w:rPr>
          <w:rFonts w:hint="eastAsia" w:cs="宋体" w:asciiTheme="minorEastAsia" w:hAnsiTheme="minorEastAsia"/>
          <w:b/>
          <w:sz w:val="24"/>
          <w:szCs w:val="24"/>
        </w:rPr>
        <w:t>竞争性磋商文件</w:t>
      </w:r>
      <w:bookmarkEnd w:id="136"/>
      <w:bookmarkEnd w:id="137"/>
      <w:bookmarkEnd w:id="138"/>
      <w:bookmarkEnd w:id="139"/>
      <w:bookmarkEnd w:id="140"/>
      <w:bookmarkEnd w:id="141"/>
    </w:p>
    <w:p w14:paraId="5354A434">
      <w:pPr>
        <w:spacing w:line="360" w:lineRule="auto"/>
        <w:ind w:left="-5" w:firstLine="425"/>
        <w:rPr>
          <w:rFonts w:cs="宋体" w:asciiTheme="minorEastAsia" w:hAnsiTheme="minorEastAsia"/>
          <w:kern w:val="0"/>
          <w:sz w:val="24"/>
          <w:szCs w:val="24"/>
        </w:rPr>
      </w:pPr>
      <w:bookmarkStart w:id="149" w:name="_Toc438797951"/>
      <w:bookmarkStart w:id="150" w:name="_Toc391284748"/>
      <w:bookmarkStart w:id="151" w:name="_Toc438797186"/>
      <w:r>
        <w:rPr>
          <w:rFonts w:hint="eastAsia" w:cs="宋体" w:asciiTheme="minorEastAsia" w:hAnsiTheme="minorEastAsia"/>
          <w:kern w:val="0"/>
          <w:sz w:val="24"/>
          <w:szCs w:val="24"/>
        </w:rPr>
        <w:t>2.1 竞争性磋商文件的组成</w:t>
      </w:r>
      <w:bookmarkEnd w:id="149"/>
      <w:bookmarkEnd w:id="150"/>
      <w:bookmarkEnd w:id="151"/>
    </w:p>
    <w:p w14:paraId="12165E2F">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本竞争性磋商文件包括：</w:t>
      </w:r>
    </w:p>
    <w:p w14:paraId="58D92FF3">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第一章  竞争性磋商公告</w:t>
      </w:r>
      <w:r>
        <w:rPr>
          <w:rFonts w:hint="eastAsia" w:cs="宋体" w:asciiTheme="minorEastAsia" w:hAnsiTheme="minorEastAsia"/>
          <w:bCs/>
          <w:sz w:val="24"/>
          <w:szCs w:val="24"/>
        </w:rPr>
        <w:t>；</w:t>
      </w:r>
    </w:p>
    <w:p w14:paraId="0C6FEBC9">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第二章  供应商须知；</w:t>
      </w:r>
    </w:p>
    <w:p w14:paraId="6FB89C47">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第三章  评分办法；</w:t>
      </w:r>
    </w:p>
    <w:p w14:paraId="24858147">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第四章  </w:t>
      </w:r>
      <w:r>
        <w:rPr>
          <w:rFonts w:hint="eastAsia" w:cs="宋体" w:asciiTheme="minorEastAsia" w:hAnsiTheme="minorEastAsia"/>
          <w:bCs/>
          <w:kern w:val="0"/>
          <w:sz w:val="24"/>
          <w:szCs w:val="24"/>
        </w:rPr>
        <w:t>技术标准和要求</w:t>
      </w:r>
      <w:r>
        <w:rPr>
          <w:rFonts w:hint="eastAsia" w:cs="宋体" w:asciiTheme="minorEastAsia" w:hAnsiTheme="minorEastAsia"/>
          <w:kern w:val="0"/>
          <w:sz w:val="24"/>
          <w:szCs w:val="24"/>
        </w:rPr>
        <w:t>；</w:t>
      </w:r>
    </w:p>
    <w:p w14:paraId="6E55B51B">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第五章  合同条款及格式；</w:t>
      </w:r>
    </w:p>
    <w:p w14:paraId="15ACCE25">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第六章  磋商响应文件格式；</w:t>
      </w:r>
    </w:p>
    <w:p w14:paraId="568FEF4C">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根据本章第1.10 款、第2.2 款和第2.3 款对竞争性磋商文件所作的澄清、修改，构成竞争性磋商文件的组成部分。</w:t>
      </w:r>
    </w:p>
    <w:p w14:paraId="0893AC38">
      <w:pPr>
        <w:spacing w:line="360" w:lineRule="auto"/>
        <w:ind w:left="-5" w:firstLine="425"/>
        <w:rPr>
          <w:rFonts w:cs="宋体" w:asciiTheme="minorEastAsia" w:hAnsiTheme="minorEastAsia"/>
          <w:b/>
          <w:kern w:val="0"/>
          <w:sz w:val="24"/>
          <w:szCs w:val="24"/>
        </w:rPr>
      </w:pPr>
      <w:bookmarkStart w:id="152" w:name="_Toc391284749"/>
      <w:bookmarkStart w:id="153" w:name="_Toc438797952"/>
      <w:bookmarkStart w:id="154" w:name="_Toc438797187"/>
      <w:r>
        <w:rPr>
          <w:rFonts w:hint="eastAsia" w:cs="宋体" w:asciiTheme="minorEastAsia" w:hAnsiTheme="minorEastAsia"/>
          <w:b/>
          <w:kern w:val="0"/>
          <w:sz w:val="24"/>
          <w:szCs w:val="24"/>
        </w:rPr>
        <w:t>2.2 竞争性磋商文件的澄清</w:t>
      </w:r>
      <w:bookmarkEnd w:id="152"/>
      <w:bookmarkEnd w:id="153"/>
      <w:bookmarkEnd w:id="154"/>
    </w:p>
    <w:p w14:paraId="2974E59F">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2.2.1 供应商应仔细阅读和检查竞争性磋商文件的全部内容。如发现缺页或附件不全，应及时向采购人提出，以便补齐。如有疑问，应在提交磋商响应文件截止时间五日前在电子交易系统中提出，要求采购人对竞争性磋商文件予以澄清，否则，将视为对本竞争性磋商文件要求无任何异议。</w:t>
      </w:r>
    </w:p>
    <w:p w14:paraId="29999210">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2.2.2 竞争性磋商文件的澄清将在供应商须知前附表规定的时间在电子交易系统中以澄清公告的形式告知所有潜在供应商，但不指明澄清问题的来源。</w:t>
      </w:r>
    </w:p>
    <w:p w14:paraId="6DA898A8">
      <w:pPr>
        <w:spacing w:line="360" w:lineRule="auto"/>
        <w:ind w:left="-5" w:firstLine="425"/>
        <w:rPr>
          <w:rFonts w:cs="宋体" w:asciiTheme="minorEastAsia" w:hAnsiTheme="minorEastAsia"/>
          <w:b/>
          <w:kern w:val="0"/>
          <w:sz w:val="24"/>
          <w:szCs w:val="24"/>
        </w:rPr>
      </w:pPr>
      <w:bookmarkStart w:id="155" w:name="_Toc438797953"/>
      <w:bookmarkStart w:id="156" w:name="_Toc391284750"/>
      <w:bookmarkStart w:id="157" w:name="_Toc438797188"/>
      <w:r>
        <w:rPr>
          <w:rFonts w:hint="eastAsia" w:cs="宋体" w:asciiTheme="minorEastAsia" w:hAnsiTheme="minorEastAsia"/>
          <w:b/>
          <w:kern w:val="0"/>
          <w:sz w:val="24"/>
          <w:szCs w:val="24"/>
        </w:rPr>
        <w:t>2.3 竞争性磋商文件的修改</w:t>
      </w:r>
      <w:bookmarkEnd w:id="155"/>
      <w:bookmarkEnd w:id="156"/>
      <w:bookmarkEnd w:id="157"/>
    </w:p>
    <w:p w14:paraId="34D87EC5">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2.3.1 在竞标截止时间5天前，采购人可以在电子交易系统中修改竞争性磋商文件，并以公告的形式告知所有潜在供应商。如果修改竞争性磋商文件的时间距竞标截止时间不足5天，相应延长竞标截止时间。</w:t>
      </w:r>
    </w:p>
    <w:p w14:paraId="3AFE2B60">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2.3.2 采购人一旦对竞争性磋商文件作出了澄清、修改，即刻发生效力，采购人有关的补充文件，将作为竞争性磋商文件的组成部分。无论潜在的竞（投）标人是否实际收到该澄清和修改文件，磋商文件澄清、修改均对其具有约束力。同时，采购人和供应商的权利及义务将受到新的截止期的约束。</w:t>
      </w:r>
    </w:p>
    <w:p w14:paraId="1A6DD19C">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2.3.4 修改（更正）或补充文件将作为竞争性磋商文件的组成部分，对所有供应商具有约束力。当竞争性磋商文件与修改（更正）或补充文件相矛盾时，以最后发出的修改（更正）或补充文件为准。</w:t>
      </w:r>
    </w:p>
    <w:p w14:paraId="7E5AFA5C">
      <w:pPr>
        <w:spacing w:line="360" w:lineRule="auto"/>
        <w:ind w:left="-5" w:firstLine="425"/>
        <w:rPr>
          <w:rFonts w:cs="宋体" w:asciiTheme="minorEastAsia" w:hAnsiTheme="minorEastAsia"/>
          <w:b/>
          <w:kern w:val="0"/>
          <w:sz w:val="24"/>
          <w:szCs w:val="24"/>
        </w:rPr>
      </w:pPr>
      <w:r>
        <w:rPr>
          <w:rFonts w:hint="eastAsia" w:cs="宋体" w:asciiTheme="minorEastAsia" w:hAnsiTheme="minorEastAsia"/>
          <w:b/>
          <w:kern w:val="0"/>
          <w:sz w:val="24"/>
          <w:szCs w:val="24"/>
        </w:rPr>
        <w:t>2.4磋商报价</w:t>
      </w:r>
      <w:bookmarkEnd w:id="142"/>
      <w:bookmarkEnd w:id="143"/>
      <w:bookmarkEnd w:id="144"/>
      <w:bookmarkEnd w:id="145"/>
      <w:bookmarkEnd w:id="146"/>
      <w:bookmarkEnd w:id="147"/>
      <w:bookmarkEnd w:id="148"/>
    </w:p>
    <w:p w14:paraId="76BC2057">
      <w:pPr>
        <w:autoSpaceDE w:val="0"/>
        <w:autoSpaceDN w:val="0"/>
        <w:adjustRightInd w:val="0"/>
        <w:spacing w:line="360" w:lineRule="auto"/>
        <w:ind w:left="-5" w:firstLine="425"/>
        <w:jc w:val="left"/>
        <w:rPr>
          <w:rFonts w:cs="宋体" w:asciiTheme="minorEastAsia" w:hAnsiTheme="minorEastAsia"/>
          <w:kern w:val="0"/>
          <w:sz w:val="24"/>
          <w:szCs w:val="24"/>
        </w:rPr>
      </w:pPr>
      <w:bookmarkStart w:id="158" w:name="_Toc373158159"/>
      <w:bookmarkStart w:id="159" w:name="_Toc269470314"/>
      <w:bookmarkStart w:id="160" w:name="_Toc399229080"/>
      <w:bookmarkStart w:id="161" w:name="_Toc380394485"/>
      <w:bookmarkStart w:id="162" w:name="_Toc425761648"/>
      <w:bookmarkStart w:id="163" w:name="_Toc466284472"/>
      <w:bookmarkStart w:id="164" w:name="_Toc380394486"/>
      <w:r>
        <w:rPr>
          <w:rFonts w:hint="eastAsia" w:cs="宋体" w:asciiTheme="minorEastAsia" w:hAnsiTheme="minorEastAsia"/>
          <w:kern w:val="0"/>
          <w:sz w:val="24"/>
          <w:szCs w:val="24"/>
        </w:rPr>
        <w:t>本项目磋商报价根据市场环境和生产要素价格变化情况及企业自身情况自主报价，但总价不得低于本项目实际成本。</w:t>
      </w:r>
    </w:p>
    <w:p w14:paraId="79C4B02A">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报价编制依据参本工程招标控制价编制依据。</w:t>
      </w:r>
    </w:p>
    <w:bookmarkEnd w:id="158"/>
    <w:bookmarkEnd w:id="159"/>
    <w:bookmarkEnd w:id="160"/>
    <w:bookmarkEnd w:id="161"/>
    <w:bookmarkEnd w:id="162"/>
    <w:p w14:paraId="09F2B5E1">
      <w:pPr>
        <w:spacing w:line="360" w:lineRule="auto"/>
        <w:ind w:left="-5" w:firstLine="425"/>
        <w:rPr>
          <w:rFonts w:cs="宋体" w:asciiTheme="minorEastAsia" w:hAnsiTheme="minorEastAsia"/>
          <w:b/>
          <w:kern w:val="0"/>
          <w:sz w:val="24"/>
          <w:szCs w:val="24"/>
        </w:rPr>
      </w:pPr>
      <w:r>
        <w:rPr>
          <w:rFonts w:hint="eastAsia" w:cs="宋体" w:asciiTheme="minorEastAsia" w:hAnsiTheme="minorEastAsia"/>
          <w:b/>
          <w:kern w:val="0"/>
          <w:sz w:val="24"/>
          <w:szCs w:val="24"/>
        </w:rPr>
        <w:t>2.5磋商有效期</w:t>
      </w:r>
      <w:bookmarkEnd w:id="163"/>
      <w:bookmarkEnd w:id="164"/>
    </w:p>
    <w:p w14:paraId="01E7E76C">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在供应商须知前附表规定的磋商有效期内，供应商不得要求撤销或修改其磋商响应文件。</w:t>
      </w:r>
    </w:p>
    <w:p w14:paraId="59E76D26">
      <w:pPr>
        <w:spacing w:line="360" w:lineRule="auto"/>
        <w:ind w:left="-5" w:firstLine="425"/>
        <w:rPr>
          <w:rFonts w:cs="宋体" w:asciiTheme="minorEastAsia" w:hAnsiTheme="minorEastAsia"/>
          <w:b/>
          <w:kern w:val="0"/>
          <w:sz w:val="24"/>
          <w:szCs w:val="24"/>
        </w:rPr>
      </w:pPr>
      <w:bookmarkStart w:id="165" w:name="_Toc269470318"/>
      <w:bookmarkStart w:id="166" w:name="_Toc270604823"/>
      <w:bookmarkStart w:id="167" w:name="_Toc380394487"/>
      <w:bookmarkStart w:id="168" w:name="_Toc277149385"/>
      <w:bookmarkStart w:id="169" w:name="_Toc466284473"/>
      <w:bookmarkStart w:id="170" w:name="_Toc270604596"/>
      <w:bookmarkStart w:id="171" w:name="_Toc278155348"/>
      <w:r>
        <w:rPr>
          <w:rFonts w:hint="eastAsia" w:cs="宋体" w:asciiTheme="minorEastAsia" w:hAnsiTheme="minorEastAsia"/>
          <w:b/>
          <w:kern w:val="0"/>
          <w:sz w:val="24"/>
          <w:szCs w:val="24"/>
        </w:rPr>
        <w:t>2.6磋商响应文件的编制</w:t>
      </w:r>
      <w:bookmarkEnd w:id="165"/>
      <w:bookmarkEnd w:id="166"/>
      <w:bookmarkEnd w:id="167"/>
      <w:bookmarkEnd w:id="168"/>
      <w:bookmarkEnd w:id="169"/>
      <w:bookmarkEnd w:id="170"/>
      <w:bookmarkEnd w:id="171"/>
      <w:r>
        <w:rPr>
          <w:rFonts w:hint="eastAsia" w:cs="宋体" w:asciiTheme="minorEastAsia" w:hAnsiTheme="minorEastAsia"/>
          <w:b/>
          <w:kern w:val="0"/>
          <w:sz w:val="24"/>
          <w:szCs w:val="24"/>
        </w:rPr>
        <w:t>和签署</w:t>
      </w:r>
    </w:p>
    <w:p w14:paraId="47FF1C8F">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2.6.1磋商响应文件应按第六章“磋商响应文件格式”进行编写，如有必要，可以增加附页，作为磋商响应文件的组成部分。</w:t>
      </w:r>
    </w:p>
    <w:p w14:paraId="226CE543">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2.6.2磋商响应文件应当对竞争性磋商文件有关工期、磋商有效期、质量要求、技术标准和要求、采购范围等实质性内容作出响应。其中，磋商函附录在满足竞争性磋商文件实质性要求的基础上，可以提出比竞争性磋商文件要求更有利于采购人的承诺。</w:t>
      </w:r>
    </w:p>
    <w:p w14:paraId="66FFA5CE">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2.6.3供应商在生成电子化磋商响应文件后，必须对电子化磋商响应文件进行电子签章，未进行签章的视为无效文件。</w:t>
      </w:r>
    </w:p>
    <w:p w14:paraId="46CFABFF">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2.6.4磋商文件中要求法定代表人或委托代理人签字或盖章的，供应商在进行电子化磋商响应文件签章时，以法定代表人签章为准。电子化磋商响应文件具体制作教材请供应商通过CA证书登录三门峡市公共资源电子化交易系统“交易智库-使用指南”中认真查看。</w:t>
      </w:r>
    </w:p>
    <w:p w14:paraId="0444A497">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电子化响应文件制作软件请点击https://download.bqpoint.com/download/downloaddetail.html?SourceFrom=Ztb&amp;ZtbSoftXiaQuCode=1506&amp;ZtbSoftType=tballinclusive进行下载。</w:t>
      </w:r>
    </w:p>
    <w:p w14:paraId="277B7A3D">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b/>
          <w:kern w:val="0"/>
          <w:sz w:val="24"/>
          <w:szCs w:val="24"/>
        </w:rPr>
        <w:t>2.7电子化磋商响应文件的格式</w:t>
      </w:r>
    </w:p>
    <w:p w14:paraId="1B8BC9A4">
      <w:pPr>
        <w:autoSpaceDE w:val="0"/>
        <w:autoSpaceDN w:val="0"/>
        <w:adjustRightInd w:val="0"/>
        <w:spacing w:line="360" w:lineRule="auto"/>
        <w:ind w:left="-5" w:firstLine="425"/>
        <w:jc w:val="left"/>
        <w:rPr>
          <w:rFonts w:cs="宋体" w:asciiTheme="minorEastAsia" w:hAnsiTheme="minorEastAsia"/>
          <w:kern w:val="0"/>
          <w:sz w:val="24"/>
          <w:szCs w:val="24"/>
        </w:rPr>
      </w:pPr>
      <w:bookmarkStart w:id="172" w:name="_Toc503112358"/>
      <w:bookmarkStart w:id="173" w:name="_Toc503885615"/>
      <w:bookmarkStart w:id="174" w:name="_Toc503886951"/>
      <w:bookmarkStart w:id="175" w:name="_Toc428276593"/>
      <w:r>
        <w:rPr>
          <w:rFonts w:hint="eastAsia" w:cs="宋体" w:asciiTheme="minorEastAsia" w:hAnsiTheme="minorEastAsia"/>
          <w:kern w:val="0"/>
          <w:sz w:val="24"/>
          <w:szCs w:val="24"/>
        </w:rPr>
        <w:t>2.7.1供应商所上传的电子化磋商响应文件，应是通过三门峡市公共资源电子化交易系统磋商响应文件制作系统制作、经过签章和加密后生成的电子版响应文件。生成的电子版响应文件包含用于响应文件上传的主文件（格式后缀为.smxtf）和用于应急补救的响应文件备份文件（格式后缀为.nsmxtf）。备份文件主要用于电子化开标出现技术问题后的补救。</w:t>
      </w:r>
    </w:p>
    <w:p w14:paraId="06FD85B3">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注：供应商投报多个标段的，每个标段需要单独制作电子响应文件。</w:t>
      </w:r>
    </w:p>
    <w:p w14:paraId="08025DE4">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b/>
          <w:kern w:val="0"/>
          <w:sz w:val="24"/>
          <w:szCs w:val="24"/>
        </w:rPr>
        <w:t>2.8电子化磋商响应文件的上传</w:t>
      </w:r>
    </w:p>
    <w:p w14:paraId="06D73284">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2.8.1电子化磋商响应文件应在磋商响应文件递交截止时间前成功上传至三门峡市公共资源电子化交易系统。逾期上传的磋商响应文件将不予接收。电子交易系统将拒绝在磋商响应文件递交截止时间后送交的磋商响应文件。</w:t>
      </w:r>
    </w:p>
    <w:p w14:paraId="539C1FC2">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2.8.2按照电子化投标操作教材制作完成的电子化磋商响应文件无法上传的，供应商应在磋商响应文件递交截止时间前尽早的联系中心技术人员，以便有充分的时间进行处理。</w:t>
      </w:r>
    </w:p>
    <w:p w14:paraId="5F133C00">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技术联系电话：0398-3117871；主体库咨询电话:0398-3117815；CA证书制发:0398-2181635；科技信息科:0398-3117095。</w:t>
      </w:r>
    </w:p>
    <w:p w14:paraId="27FF467A">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供应商应充分考虑到处理技术问题和上传数据等工作所需的时间问题，未在磋商响应文件递交截止时间前成功上传的磋商响应文件，不予接收。</w:t>
      </w:r>
    </w:p>
    <w:p w14:paraId="1B16EB4A">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b/>
          <w:kern w:val="0"/>
          <w:sz w:val="24"/>
          <w:szCs w:val="24"/>
        </w:rPr>
        <w:t>2.9磋商响应文件的修改或撤回</w:t>
      </w:r>
    </w:p>
    <w:bookmarkEnd w:id="172"/>
    <w:bookmarkEnd w:id="173"/>
    <w:bookmarkEnd w:id="174"/>
    <w:bookmarkEnd w:id="175"/>
    <w:p w14:paraId="71FA21A8">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2.9.1在本章前附表规定的磋商响应文件递交截止时间前，供应商可以修改或撤回已递交的磋商响应文件。</w:t>
      </w:r>
    </w:p>
    <w:p w14:paraId="223B7070">
      <w:pPr>
        <w:autoSpaceDE w:val="0"/>
        <w:autoSpaceDN w:val="0"/>
        <w:adjustRightInd w:val="0"/>
        <w:spacing w:line="360" w:lineRule="auto"/>
        <w:ind w:left="-5" w:firstLine="425"/>
        <w:jc w:val="left"/>
        <w:rPr>
          <w:rFonts w:cs="宋体" w:asciiTheme="minorEastAsia" w:hAnsiTheme="minorEastAsia"/>
          <w:kern w:val="0"/>
          <w:sz w:val="24"/>
          <w:szCs w:val="24"/>
        </w:rPr>
      </w:pPr>
      <w:bookmarkStart w:id="176" w:name="_Toc380394492"/>
      <w:bookmarkStart w:id="177" w:name="_Toc466284478"/>
      <w:bookmarkStart w:id="178" w:name="_Toc270604601"/>
      <w:r>
        <w:rPr>
          <w:rFonts w:hint="eastAsia" w:cs="宋体" w:asciiTheme="minorEastAsia" w:hAnsiTheme="minorEastAsia"/>
          <w:b/>
          <w:kern w:val="0"/>
          <w:sz w:val="24"/>
          <w:szCs w:val="24"/>
        </w:rPr>
        <w:t>2.10电子化项目开标、解密、唱标</w:t>
      </w:r>
    </w:p>
    <w:p w14:paraId="0A962EB5">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2.10.1本项目为不见面开标项目，开标当日供应商不得到开标现场参加开标会议。供应商应当在响应文件提交截止时间前，登陆不见面开标大厅（网址为http://120.194.249.36:10094/BidOpening/bidopeninghallaction/hall/login），选择登陆三门峡市公共资源电子招投标系统进行登陆,在线准时参加开标活动，并进行响应性文件解密等。每位供应商的解密时间为开标时间起30分钟内完成。因供应商原因未能解密、解密失败或解密超时的，其投标将被拒绝。</w:t>
      </w:r>
    </w:p>
    <w:p w14:paraId="3DC9A68E">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2.10.2电子化磋商响应文件解密异常的处理</w:t>
      </w:r>
    </w:p>
    <w:p w14:paraId="0C363437">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如出现供应商的电子磋商响应文件无法解密等异常情况，供应商应及时致电代理机构说明。磋商响应文件异常，按以下步骤进行处理：</w:t>
      </w:r>
    </w:p>
    <w:p w14:paraId="2FA176AE">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（1）首先由技术人员进行问题排查。</w:t>
      </w:r>
    </w:p>
    <w:p w14:paraId="7AC72867">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2）经技术人员排查后，是供应商自身问题导致磋商响应文件无法解密的，该磋商响应文件将不予接收、解密和唱标；如果是电子化交易系统问题造成磋商响应文件无法解密的，将由技术人员对问题进行处理。如短时间内问题无法解决的，将由代理机构向监督部门申请，经监督部门同意后，暂停开标会议，待问题解决后继续开标。</w:t>
      </w:r>
    </w:p>
    <w:p w14:paraId="166777D1">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2.10.3待所有供应商磋商响应文件解密完成后，由代理机构操作，对所有已解密磋商响应文件进行电子唱标。</w:t>
      </w:r>
    </w:p>
    <w:p w14:paraId="46A568C7">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供应商应保证在开标期间电话、电脑、网络能够正常工作，供应商因停电、电脑病毒、网络堵塞等原因，未在规定的解密时间内对磋商响应文件进行解密的，其磋商响应文件不予接收、唱标。</w:t>
      </w:r>
    </w:p>
    <w:p w14:paraId="427389B4">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2.10.4开标时供应商可登录到交易系统中在开标解密栏中点击“开标一览表”查看各自的报价信息。如对报价信息有异议，应在唱标结束后10分钟内向代理机构提出质疑。代理机构应在监督人员的监督下接受供应商的质疑，并做好书面记录。供应商未在规定时间内提出质疑的，视为认可唱标内容。</w:t>
      </w:r>
    </w:p>
    <w:bookmarkEnd w:id="176"/>
    <w:bookmarkEnd w:id="177"/>
    <w:bookmarkEnd w:id="178"/>
    <w:p w14:paraId="61ABB5FA">
      <w:pPr>
        <w:numPr>
          <w:ilvl w:val="0"/>
          <w:numId w:val="3"/>
        </w:numPr>
        <w:tabs>
          <w:tab w:val="left" w:pos="0"/>
          <w:tab w:val="left" w:pos="720"/>
        </w:tabs>
        <w:spacing w:line="360" w:lineRule="auto"/>
        <w:ind w:left="-5" w:firstLine="425"/>
        <w:outlineLvl w:val="1"/>
        <w:rPr>
          <w:rFonts w:cs="宋体" w:asciiTheme="minorEastAsia" w:hAnsiTheme="minorEastAsia"/>
          <w:b/>
          <w:sz w:val="24"/>
          <w:szCs w:val="24"/>
        </w:rPr>
      </w:pPr>
      <w:bookmarkStart w:id="179" w:name="_Toc21850"/>
      <w:r>
        <w:rPr>
          <w:rFonts w:hint="eastAsia" w:cs="宋体" w:asciiTheme="minorEastAsia" w:hAnsiTheme="minorEastAsia"/>
          <w:b/>
          <w:sz w:val="24"/>
          <w:szCs w:val="24"/>
        </w:rPr>
        <w:t>开标时间和地点</w:t>
      </w:r>
      <w:bookmarkEnd w:id="179"/>
    </w:p>
    <w:p w14:paraId="3D8FA7C9">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采购人在本章前附表规定的开标时间和开标地点举行开标会议。</w:t>
      </w:r>
    </w:p>
    <w:p w14:paraId="5EDF3DB7">
      <w:pPr>
        <w:numPr>
          <w:ilvl w:val="0"/>
          <w:numId w:val="3"/>
        </w:numPr>
        <w:tabs>
          <w:tab w:val="left" w:pos="0"/>
          <w:tab w:val="left" w:pos="720"/>
        </w:tabs>
        <w:spacing w:line="360" w:lineRule="auto"/>
        <w:ind w:left="-5" w:firstLine="425"/>
        <w:outlineLvl w:val="1"/>
        <w:rPr>
          <w:rFonts w:cs="宋体" w:asciiTheme="minorEastAsia" w:hAnsiTheme="minorEastAsia"/>
          <w:b/>
          <w:sz w:val="24"/>
          <w:szCs w:val="24"/>
        </w:rPr>
      </w:pPr>
      <w:bookmarkStart w:id="180" w:name="_Toc17432"/>
      <w:r>
        <w:rPr>
          <w:rFonts w:hint="eastAsia" w:cs="宋体" w:asciiTheme="minorEastAsia" w:hAnsiTheme="minorEastAsia"/>
          <w:b/>
          <w:sz w:val="24"/>
          <w:szCs w:val="24"/>
        </w:rPr>
        <w:t>磋商小组的组建</w:t>
      </w:r>
      <w:bookmarkEnd w:id="180"/>
    </w:p>
    <w:p w14:paraId="13CE564B">
      <w:pPr>
        <w:spacing w:line="360" w:lineRule="auto"/>
        <w:ind w:firstLine="480" w:firstLineChars="200"/>
        <w:rPr>
          <w:rFonts w:hint="eastAsia" w:ascii="宋体" w:hAnsi="宋体" w:cs="宋体"/>
          <w:sz w:val="24"/>
        </w:rPr>
      </w:pPr>
      <w:r>
        <w:rPr>
          <w:rFonts w:hint="eastAsia" w:cs="宋体" w:asciiTheme="minorEastAsia" w:hAnsiTheme="minorEastAsia"/>
          <w:kern w:val="0"/>
          <w:sz w:val="24"/>
          <w:szCs w:val="24"/>
        </w:rPr>
        <w:t>本项目磋商由采购人依法组建的磋商小组负责。</w:t>
      </w:r>
      <w:r>
        <w:rPr>
          <w:rFonts w:hint="eastAsia" w:ascii="宋体" w:hAnsi="宋体" w:cs="宋体"/>
          <w:sz w:val="24"/>
        </w:rPr>
        <w:t>磋商小组共3人组成，其中采购人代表1人；在相关评标专家库中随机抽取有关技术、经济等方面专家2人。</w:t>
      </w:r>
    </w:p>
    <w:p w14:paraId="3616A2AB">
      <w:pPr>
        <w:widowControl/>
        <w:snapToGrid w:val="0"/>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磋商专家由采购人代表于项目开标后，在相关监督部门的现场监督下，从相应评标专家库中随机抽取。</w:t>
      </w:r>
    </w:p>
    <w:p w14:paraId="3936B8FD">
      <w:pPr>
        <w:widowControl/>
        <w:snapToGrid w:val="0"/>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磋商小组成员有下列情形之一的，应当回避：</w:t>
      </w:r>
    </w:p>
    <w:p w14:paraId="0CAF9BD3">
      <w:pPr>
        <w:widowControl/>
        <w:snapToGrid w:val="0"/>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(1)采购人或供应商的主要负责人的近亲属；</w:t>
      </w:r>
    </w:p>
    <w:p w14:paraId="0A21A97B">
      <w:pPr>
        <w:widowControl/>
        <w:snapToGrid w:val="0"/>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(2)项目主管部门或者行政监督部门的人员：</w:t>
      </w:r>
    </w:p>
    <w:p w14:paraId="3BE6030C">
      <w:pPr>
        <w:widowControl/>
        <w:snapToGrid w:val="0"/>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(3)与供应商有经济利益关系，可能影响对竞标公正评审的；</w:t>
      </w:r>
    </w:p>
    <w:p w14:paraId="44276A0B">
      <w:pPr>
        <w:widowControl/>
        <w:snapToGrid w:val="0"/>
        <w:spacing w:line="480" w:lineRule="exact"/>
        <w:ind w:firstLine="465"/>
        <w:jc w:val="left"/>
        <w:outlineLvl w:val="3"/>
        <w:rPr>
          <w:rFonts w:cs="宋体" w:asciiTheme="minorEastAsia" w:hAnsiTheme="minorEastAsia"/>
          <w:kern w:val="0"/>
          <w:sz w:val="24"/>
          <w:szCs w:val="24"/>
        </w:rPr>
      </w:pPr>
      <w:r>
        <w:rPr>
          <w:rFonts w:hint="eastAsia" w:cs="宋体" w:asciiTheme="minorEastAsia" w:hAnsiTheme="minorEastAsia"/>
          <w:kern w:val="0"/>
          <w:sz w:val="24"/>
          <w:szCs w:val="24"/>
        </w:rPr>
        <w:t>(4)曾因在招标、评标以及其他与招投标有关活动中从事违法行为而受过行政处罚或刑事处罚的。</w:t>
      </w:r>
    </w:p>
    <w:p w14:paraId="61E4C161">
      <w:pPr>
        <w:numPr>
          <w:ilvl w:val="0"/>
          <w:numId w:val="3"/>
        </w:numPr>
        <w:tabs>
          <w:tab w:val="left" w:pos="0"/>
          <w:tab w:val="left" w:pos="720"/>
        </w:tabs>
        <w:spacing w:line="360" w:lineRule="auto"/>
        <w:ind w:left="-5" w:firstLine="425"/>
        <w:outlineLvl w:val="1"/>
        <w:rPr>
          <w:rFonts w:cs="宋体" w:asciiTheme="minorEastAsia" w:hAnsiTheme="minorEastAsia"/>
          <w:b/>
          <w:sz w:val="24"/>
          <w:szCs w:val="24"/>
        </w:rPr>
      </w:pPr>
      <w:bookmarkStart w:id="181" w:name="_Toc6345"/>
      <w:r>
        <w:rPr>
          <w:rFonts w:hint="eastAsia" w:cs="宋体" w:asciiTheme="minorEastAsia" w:hAnsiTheme="minorEastAsia"/>
          <w:b/>
          <w:sz w:val="24"/>
          <w:szCs w:val="24"/>
        </w:rPr>
        <w:t>竞争性磋商</w:t>
      </w:r>
      <w:bookmarkEnd w:id="181"/>
    </w:p>
    <w:p w14:paraId="1C0C5FB2">
      <w:pPr>
        <w:widowControl/>
        <w:snapToGrid w:val="0"/>
        <w:spacing w:line="480" w:lineRule="exact"/>
        <w:ind w:firstLine="465"/>
        <w:jc w:val="left"/>
        <w:outlineLvl w:val="3"/>
        <w:rPr>
          <w:rFonts w:cs="宋体" w:asciiTheme="minorEastAsia" w:hAnsiTheme="minorEastAsia"/>
          <w:kern w:val="0"/>
          <w:sz w:val="24"/>
          <w:szCs w:val="24"/>
        </w:rPr>
      </w:pPr>
      <w:bookmarkStart w:id="182" w:name="_Toc269470330"/>
      <w:r>
        <w:rPr>
          <w:rFonts w:hint="eastAsia" w:cs="宋体" w:asciiTheme="minorEastAsia" w:hAnsiTheme="minorEastAsia"/>
          <w:b/>
          <w:kern w:val="0"/>
          <w:sz w:val="24"/>
          <w:szCs w:val="24"/>
        </w:rPr>
        <w:t>5.1磋商程序及原则</w:t>
      </w:r>
    </w:p>
    <w:p w14:paraId="0C7756FC">
      <w:pPr>
        <w:widowControl/>
        <w:snapToGrid w:val="0"/>
        <w:spacing w:line="480" w:lineRule="exact"/>
        <w:ind w:firstLine="465"/>
        <w:jc w:val="left"/>
        <w:outlineLvl w:val="3"/>
        <w:rPr>
          <w:rFonts w:cs="宋体" w:asciiTheme="minorEastAsia" w:hAnsiTheme="minorEastAsia"/>
          <w:kern w:val="0"/>
          <w:sz w:val="24"/>
          <w:szCs w:val="24"/>
        </w:rPr>
      </w:pPr>
      <w:r>
        <w:rPr>
          <w:rFonts w:hint="eastAsia" w:cs="宋体" w:asciiTheme="minorEastAsia" w:hAnsiTheme="minorEastAsia"/>
          <w:kern w:val="0"/>
          <w:sz w:val="24"/>
          <w:szCs w:val="24"/>
        </w:rPr>
        <w:t>5.1.1磋商时，磋商小组按顺序依次与供应商通过交易系统的磋商大厅进行磋商。</w:t>
      </w:r>
    </w:p>
    <w:p w14:paraId="494852CC">
      <w:pPr>
        <w:widowControl/>
        <w:snapToGrid w:val="0"/>
        <w:spacing w:line="480" w:lineRule="exact"/>
        <w:ind w:firstLine="465"/>
        <w:jc w:val="left"/>
        <w:outlineLvl w:val="3"/>
        <w:rPr>
          <w:rFonts w:cs="宋体" w:asciiTheme="minorEastAsia" w:hAnsiTheme="minorEastAsia"/>
          <w:kern w:val="0"/>
          <w:sz w:val="24"/>
          <w:szCs w:val="24"/>
        </w:rPr>
      </w:pPr>
      <w:r>
        <w:rPr>
          <w:rFonts w:hint="eastAsia" w:cs="宋体" w:asciiTheme="minorEastAsia" w:hAnsiTheme="minorEastAsia"/>
          <w:kern w:val="0"/>
          <w:sz w:val="24"/>
          <w:szCs w:val="24"/>
        </w:rPr>
        <w:t>5.1.2磋商小组对电子化磋商响应文件有质疑的，将通过电子化交易系统对供应商发起质疑，并在监督人员的监督下，使用免提电话致电供应商要求其对质疑问题进行答复。供应商应及时对质疑进行在线回复，回复文件以经过供应商和其法定代表人签章的PDF格式文件为准，并通过电子化交易系统提交至磋商小组。</w:t>
      </w:r>
    </w:p>
    <w:p w14:paraId="669C1564">
      <w:pPr>
        <w:widowControl/>
        <w:snapToGrid w:val="0"/>
        <w:spacing w:line="480" w:lineRule="exact"/>
        <w:ind w:firstLine="465"/>
        <w:jc w:val="left"/>
        <w:outlineLvl w:val="3"/>
        <w:rPr>
          <w:rFonts w:cs="宋体" w:asciiTheme="minorEastAsia" w:hAnsiTheme="minorEastAsia"/>
          <w:kern w:val="0"/>
          <w:sz w:val="24"/>
          <w:szCs w:val="24"/>
        </w:rPr>
      </w:pPr>
      <w:r>
        <w:rPr>
          <w:rFonts w:hint="eastAsia" w:cs="宋体" w:asciiTheme="minorEastAsia" w:hAnsiTheme="minorEastAsia"/>
          <w:kern w:val="0"/>
          <w:sz w:val="24"/>
          <w:szCs w:val="24"/>
        </w:rPr>
        <w:t>5.1.3磋商小组对需要答复的供应商连续三次致电未接通的，视为供应商放弃答复，磋商小组将自行对该质疑内容进行认定。</w:t>
      </w:r>
    </w:p>
    <w:p w14:paraId="313E7861">
      <w:pPr>
        <w:widowControl/>
        <w:snapToGrid w:val="0"/>
        <w:spacing w:line="480" w:lineRule="exact"/>
        <w:ind w:firstLine="465"/>
        <w:jc w:val="left"/>
        <w:outlineLvl w:val="3"/>
        <w:rPr>
          <w:rFonts w:cs="宋体" w:asciiTheme="minorEastAsia" w:hAnsiTheme="minorEastAsia"/>
          <w:kern w:val="0"/>
          <w:sz w:val="24"/>
          <w:szCs w:val="24"/>
        </w:rPr>
      </w:pPr>
      <w:r>
        <w:rPr>
          <w:rFonts w:hint="eastAsia" w:cs="宋体" w:asciiTheme="minorEastAsia" w:hAnsiTheme="minorEastAsia"/>
          <w:kern w:val="0"/>
          <w:sz w:val="24"/>
          <w:szCs w:val="24"/>
        </w:rPr>
        <w:t>5.1.4本次竞争性磋商，采用初步评审后的多轮磋商最后报价制。</w:t>
      </w:r>
    </w:p>
    <w:p w14:paraId="487D44D6">
      <w:pPr>
        <w:tabs>
          <w:tab w:val="left" w:pos="0"/>
        </w:tabs>
        <w:spacing w:line="360" w:lineRule="auto"/>
        <w:ind w:left="420"/>
        <w:rPr>
          <w:rFonts w:cs="宋体" w:asciiTheme="minorEastAsia" w:hAnsiTheme="minorEastAsia"/>
          <w:bCs/>
          <w:sz w:val="24"/>
          <w:szCs w:val="24"/>
        </w:rPr>
      </w:pPr>
      <w:r>
        <w:rPr>
          <w:rFonts w:hint="eastAsia" w:cs="宋体" w:asciiTheme="minorEastAsia" w:hAnsiTheme="minorEastAsia"/>
          <w:b/>
          <w:kern w:val="0"/>
          <w:sz w:val="24"/>
          <w:szCs w:val="24"/>
        </w:rPr>
        <w:t>5.2 初步评审</w:t>
      </w:r>
    </w:p>
    <w:p w14:paraId="2AB43D53">
      <w:pPr>
        <w:widowControl/>
        <w:snapToGrid w:val="0"/>
        <w:spacing w:line="480" w:lineRule="exact"/>
        <w:ind w:firstLine="465"/>
        <w:jc w:val="left"/>
        <w:outlineLvl w:val="3"/>
        <w:rPr>
          <w:rFonts w:cs="宋体" w:asciiTheme="minorEastAsia" w:hAnsiTheme="minorEastAsia"/>
          <w:kern w:val="0"/>
          <w:sz w:val="24"/>
          <w:szCs w:val="24"/>
        </w:rPr>
      </w:pPr>
      <w:r>
        <w:rPr>
          <w:rFonts w:hint="eastAsia" w:cs="宋体" w:asciiTheme="minorEastAsia" w:hAnsiTheme="minorEastAsia"/>
          <w:kern w:val="0"/>
          <w:sz w:val="24"/>
          <w:szCs w:val="24"/>
        </w:rPr>
        <w:t>5.2.1在初步评审阶段，磋商小组将审查以下各项是否响应磋商文件要求，不符合磋商文件要求的响应文件将不得进入磋商阶段，其响应文件按废标处理：</w:t>
      </w:r>
    </w:p>
    <w:p w14:paraId="78C516A2">
      <w:pPr>
        <w:widowControl/>
        <w:snapToGrid w:val="0"/>
        <w:spacing w:line="480" w:lineRule="exact"/>
        <w:ind w:firstLine="465"/>
        <w:jc w:val="left"/>
        <w:outlineLvl w:val="3"/>
        <w:rPr>
          <w:rFonts w:cs="宋体" w:asciiTheme="minorEastAsia" w:hAnsiTheme="minorEastAsia"/>
          <w:kern w:val="0"/>
          <w:sz w:val="24"/>
          <w:szCs w:val="24"/>
        </w:rPr>
      </w:pPr>
      <w:r>
        <w:rPr>
          <w:rFonts w:hint="eastAsia" w:cs="宋体" w:asciiTheme="minorEastAsia" w:hAnsiTheme="minorEastAsia"/>
          <w:kern w:val="0"/>
          <w:sz w:val="24"/>
          <w:szCs w:val="24"/>
        </w:rPr>
        <w:t>（1）供应商资格审查不合格的（本项目实行资格后审，各供应商在磋商响应文件“供应商的资格证明文件”中提供的所有证件、证明作为供应商资格审查的依据，供应商对其真实性负责。提供不全或不符合磋商文件要求的，视为资格审查不合格，其磋商响应文件作废）。</w:t>
      </w:r>
    </w:p>
    <w:p w14:paraId="181E0DB0">
      <w:pPr>
        <w:widowControl/>
        <w:snapToGrid w:val="0"/>
        <w:spacing w:line="480" w:lineRule="exact"/>
        <w:ind w:firstLine="465"/>
        <w:jc w:val="left"/>
        <w:outlineLvl w:val="3"/>
        <w:rPr>
          <w:rFonts w:cs="宋体" w:asciiTheme="minorEastAsia" w:hAnsiTheme="minorEastAsia"/>
          <w:kern w:val="0"/>
          <w:sz w:val="24"/>
          <w:szCs w:val="24"/>
        </w:rPr>
      </w:pPr>
      <w:r>
        <w:rPr>
          <w:rFonts w:hint="eastAsia" w:cs="宋体" w:asciiTheme="minorEastAsia" w:hAnsiTheme="minorEastAsia"/>
          <w:kern w:val="0"/>
          <w:sz w:val="24"/>
          <w:szCs w:val="24"/>
        </w:rPr>
        <w:t>（2）磋商响应文件未按磋商文件要求签字、盖章的；</w:t>
      </w:r>
    </w:p>
    <w:p w14:paraId="31C31F6D">
      <w:pPr>
        <w:widowControl/>
        <w:snapToGrid w:val="0"/>
        <w:spacing w:line="480" w:lineRule="exact"/>
        <w:ind w:firstLine="465"/>
        <w:jc w:val="left"/>
        <w:outlineLvl w:val="3"/>
        <w:rPr>
          <w:rFonts w:cs="宋体" w:asciiTheme="minorEastAsia" w:hAnsiTheme="minorEastAsia"/>
          <w:kern w:val="0"/>
          <w:sz w:val="24"/>
          <w:szCs w:val="24"/>
        </w:rPr>
      </w:pPr>
      <w:r>
        <w:rPr>
          <w:rFonts w:hint="eastAsia" w:cs="宋体" w:asciiTheme="minorEastAsia" w:hAnsiTheme="minorEastAsia"/>
          <w:kern w:val="0"/>
          <w:sz w:val="24"/>
          <w:szCs w:val="24"/>
        </w:rPr>
        <w:t>（3）磋商响应文件没有实质性响应本项目磋商文件要求的；</w:t>
      </w:r>
    </w:p>
    <w:p w14:paraId="4EE81CBC">
      <w:pPr>
        <w:widowControl/>
        <w:snapToGrid w:val="0"/>
        <w:spacing w:line="480" w:lineRule="exact"/>
        <w:ind w:firstLine="465"/>
        <w:jc w:val="left"/>
        <w:outlineLvl w:val="3"/>
        <w:rPr>
          <w:rFonts w:cs="宋体" w:asciiTheme="minorEastAsia" w:hAnsiTheme="minorEastAsia"/>
          <w:kern w:val="0"/>
          <w:sz w:val="24"/>
          <w:szCs w:val="24"/>
        </w:rPr>
      </w:pPr>
      <w:r>
        <w:rPr>
          <w:rFonts w:hint="eastAsia" w:cs="宋体" w:asciiTheme="minorEastAsia" w:hAnsiTheme="minorEastAsia"/>
          <w:kern w:val="0"/>
          <w:sz w:val="24"/>
          <w:szCs w:val="24"/>
        </w:rPr>
        <w:t>（4）磋商响应文件中有采购人不能接受的其它条件的；</w:t>
      </w:r>
    </w:p>
    <w:p w14:paraId="16AB8ABD">
      <w:pPr>
        <w:widowControl/>
        <w:snapToGrid w:val="0"/>
        <w:spacing w:line="480" w:lineRule="exact"/>
        <w:ind w:firstLine="465"/>
        <w:jc w:val="left"/>
        <w:outlineLvl w:val="3"/>
        <w:rPr>
          <w:rFonts w:cs="宋体" w:asciiTheme="minorEastAsia" w:hAnsiTheme="minorEastAsia"/>
          <w:kern w:val="0"/>
          <w:sz w:val="24"/>
          <w:szCs w:val="24"/>
        </w:rPr>
      </w:pPr>
      <w:r>
        <w:rPr>
          <w:rFonts w:hint="eastAsia" w:cs="宋体" w:asciiTheme="minorEastAsia" w:hAnsiTheme="minorEastAsia"/>
          <w:kern w:val="0"/>
          <w:sz w:val="24"/>
          <w:szCs w:val="24"/>
        </w:rPr>
        <w:t>（5）法律、法规规定为废标的其他情形；</w:t>
      </w:r>
    </w:p>
    <w:p w14:paraId="45E7463D">
      <w:pPr>
        <w:widowControl/>
        <w:snapToGrid w:val="0"/>
        <w:spacing w:line="480" w:lineRule="exact"/>
        <w:ind w:firstLine="465"/>
        <w:jc w:val="left"/>
        <w:outlineLvl w:val="3"/>
        <w:rPr>
          <w:rFonts w:cs="宋体" w:asciiTheme="minorEastAsia" w:hAnsiTheme="minorEastAsia"/>
          <w:kern w:val="0"/>
          <w:sz w:val="24"/>
          <w:szCs w:val="24"/>
        </w:rPr>
      </w:pPr>
      <w:r>
        <w:rPr>
          <w:rFonts w:hint="eastAsia" w:cs="宋体" w:asciiTheme="minorEastAsia" w:hAnsiTheme="minorEastAsia"/>
          <w:kern w:val="0"/>
          <w:sz w:val="24"/>
          <w:szCs w:val="24"/>
        </w:rPr>
        <w:t>5.2.2在初步评审阶段,磋商小组还需对供应商的磋商报价进行审核。修正原则如下: 如果大写表示的金额和小写表示的金额不一致时，以大写表示的金额为准。</w:t>
      </w:r>
    </w:p>
    <w:p w14:paraId="38152AD3">
      <w:pPr>
        <w:widowControl/>
        <w:snapToGrid w:val="0"/>
        <w:spacing w:line="480" w:lineRule="exact"/>
        <w:ind w:firstLine="465"/>
        <w:jc w:val="left"/>
        <w:outlineLvl w:val="3"/>
        <w:rPr>
          <w:rFonts w:cs="宋体" w:asciiTheme="minorEastAsia" w:hAnsiTheme="minorEastAsia"/>
          <w:kern w:val="0"/>
          <w:sz w:val="24"/>
          <w:szCs w:val="24"/>
        </w:rPr>
      </w:pPr>
      <w:bookmarkStart w:id="183" w:name="_Toc90712538"/>
      <w:bookmarkStart w:id="184" w:name="_Toc109550798"/>
      <w:bookmarkStart w:id="185" w:name="_Toc90713357"/>
      <w:bookmarkStart w:id="186" w:name="_Toc109537522"/>
      <w:r>
        <w:rPr>
          <w:rFonts w:hint="eastAsia" w:cs="宋体" w:asciiTheme="minorEastAsia" w:hAnsiTheme="minorEastAsia"/>
          <w:b/>
          <w:kern w:val="0"/>
          <w:sz w:val="24"/>
          <w:szCs w:val="24"/>
        </w:rPr>
        <w:t>5.3详细磋商</w:t>
      </w:r>
    </w:p>
    <w:bookmarkEnd w:id="182"/>
    <w:bookmarkEnd w:id="183"/>
    <w:bookmarkEnd w:id="184"/>
    <w:bookmarkEnd w:id="185"/>
    <w:bookmarkEnd w:id="186"/>
    <w:p w14:paraId="2E8BAF26">
      <w:pPr>
        <w:widowControl/>
        <w:snapToGrid w:val="0"/>
        <w:spacing w:line="480" w:lineRule="exact"/>
        <w:ind w:firstLine="465"/>
        <w:jc w:val="left"/>
        <w:outlineLvl w:val="3"/>
        <w:rPr>
          <w:rFonts w:cs="宋体" w:asciiTheme="minorEastAsia" w:hAnsiTheme="minorEastAsia"/>
          <w:kern w:val="0"/>
          <w:sz w:val="24"/>
          <w:szCs w:val="24"/>
        </w:rPr>
      </w:pPr>
      <w:r>
        <w:rPr>
          <w:rFonts w:hint="eastAsia" w:cs="宋体" w:asciiTheme="minorEastAsia" w:hAnsiTheme="minorEastAsia"/>
          <w:kern w:val="0"/>
          <w:sz w:val="24"/>
          <w:szCs w:val="24"/>
        </w:rPr>
        <w:t>磋商小组通过电子交易系统按顺序与通过初步评审的供应商逐家进行磋商。磋商中，磋商双方可以就本项目所涉及的价格、技术、优惠服务承诺等进行实质性磋商，但磋商的任何一方不得透露与磋商有关的其他供应商的技术资料、价格和其他信息。</w:t>
      </w:r>
    </w:p>
    <w:p w14:paraId="76A3AAFF">
      <w:pPr>
        <w:spacing w:line="360" w:lineRule="auto"/>
        <w:ind w:left="-5" w:firstLine="425"/>
        <w:rPr>
          <w:rFonts w:cs="宋体" w:asciiTheme="minorEastAsia" w:hAnsiTheme="minorEastAsia"/>
          <w:sz w:val="24"/>
          <w:szCs w:val="24"/>
        </w:rPr>
      </w:pPr>
      <w:r>
        <w:rPr>
          <w:rFonts w:hint="eastAsia" w:cs="宋体" w:asciiTheme="minorEastAsia" w:hAnsiTheme="minorEastAsia"/>
          <w:sz w:val="24"/>
          <w:szCs w:val="24"/>
        </w:rPr>
        <w:t>供应商应派熟悉本项目采购业务的代表参加磋商。参加磋商的代表应对磋商小组提出的涉及本项目采购相关的问题进行答复，如不能答复或答复不完善的，经磋商小组确认，取消该供应商的最后报价资格；</w:t>
      </w:r>
    </w:p>
    <w:p w14:paraId="7B60F128">
      <w:pPr>
        <w:spacing w:line="360" w:lineRule="auto"/>
        <w:ind w:left="-5" w:firstLine="425"/>
        <w:rPr>
          <w:rFonts w:cs="宋体" w:asciiTheme="minorEastAsia" w:hAnsiTheme="minorEastAsia"/>
          <w:sz w:val="24"/>
          <w:szCs w:val="24"/>
        </w:rPr>
      </w:pPr>
      <w:r>
        <w:rPr>
          <w:rFonts w:hint="eastAsia" w:cs="宋体" w:asciiTheme="minorEastAsia" w:hAnsiTheme="minorEastAsia"/>
          <w:sz w:val="24"/>
          <w:szCs w:val="24"/>
        </w:rPr>
        <w:t>磋商小组将允许供应商修改其磋商响应文件中不构成重大偏离的微小的、非正规的、不一致的或不规则的地方，但这些修改不能影响任何供应商的名次相应排列。</w:t>
      </w:r>
    </w:p>
    <w:p w14:paraId="6114E936">
      <w:pPr>
        <w:spacing w:line="360" w:lineRule="auto"/>
        <w:ind w:left="-5" w:firstLine="425"/>
        <w:rPr>
          <w:rFonts w:cs="宋体" w:asciiTheme="minorEastAsia" w:hAnsiTheme="minorEastAsia"/>
          <w:sz w:val="24"/>
          <w:szCs w:val="24"/>
        </w:rPr>
      </w:pPr>
      <w:bookmarkStart w:id="187" w:name="_Toc194667286"/>
      <w:bookmarkStart w:id="188" w:name="_Toc270604605"/>
      <w:bookmarkStart w:id="189" w:name="_Toc270604832"/>
      <w:r>
        <w:rPr>
          <w:rFonts w:hint="eastAsia" w:cs="宋体" w:asciiTheme="minorEastAsia" w:hAnsiTheme="minorEastAsia"/>
          <w:b/>
          <w:sz w:val="24"/>
          <w:szCs w:val="24"/>
        </w:rPr>
        <w:t>5.4磋商响应文件的澄清</w:t>
      </w:r>
      <w:bookmarkEnd w:id="187"/>
      <w:bookmarkEnd w:id="188"/>
      <w:bookmarkEnd w:id="189"/>
    </w:p>
    <w:p w14:paraId="4CF67603">
      <w:pPr>
        <w:spacing w:line="360" w:lineRule="auto"/>
        <w:ind w:left="-5" w:firstLine="425"/>
        <w:rPr>
          <w:rFonts w:cs="宋体" w:asciiTheme="minorEastAsia" w:hAnsiTheme="minorEastAsia"/>
          <w:sz w:val="24"/>
          <w:szCs w:val="24"/>
        </w:rPr>
      </w:pPr>
      <w:r>
        <w:rPr>
          <w:rFonts w:hint="eastAsia" w:cs="宋体" w:asciiTheme="minorEastAsia" w:hAnsiTheme="minorEastAsia"/>
          <w:sz w:val="24"/>
          <w:szCs w:val="24"/>
        </w:rPr>
        <w:t>为有助于对磋商响应文件的审查、评价和比较，磋商小组可分别要求供应商对磋商响应文件中含义不清的内容进行澄清。有关澄清、说明或者更正不得超出响应文件的范围或者改变响应文件的实质性内容。</w:t>
      </w:r>
    </w:p>
    <w:p w14:paraId="44932060">
      <w:pPr>
        <w:spacing w:line="360" w:lineRule="auto"/>
        <w:ind w:left="-5" w:firstLine="425"/>
        <w:rPr>
          <w:rFonts w:cs="宋体" w:asciiTheme="minorEastAsia" w:hAnsiTheme="minorEastAsia"/>
          <w:sz w:val="24"/>
          <w:szCs w:val="24"/>
        </w:rPr>
      </w:pPr>
      <w:r>
        <w:rPr>
          <w:rFonts w:hint="eastAsia" w:cs="宋体" w:asciiTheme="minorEastAsia" w:hAnsiTheme="minorEastAsia"/>
          <w:b/>
          <w:sz w:val="24"/>
          <w:szCs w:val="24"/>
        </w:rPr>
        <w:t xml:space="preserve">5.5磋商报价 </w:t>
      </w:r>
    </w:p>
    <w:p w14:paraId="0EC06F47">
      <w:pPr>
        <w:spacing w:line="360" w:lineRule="auto"/>
        <w:ind w:left="-5" w:firstLine="425"/>
        <w:rPr>
          <w:rFonts w:cs="宋体" w:asciiTheme="minorEastAsia" w:hAnsiTheme="minorEastAsia"/>
          <w:sz w:val="24"/>
          <w:szCs w:val="24"/>
        </w:rPr>
      </w:pPr>
      <w:r>
        <w:rPr>
          <w:rFonts w:hint="eastAsia" w:cs="宋体" w:asciiTheme="minorEastAsia" w:hAnsiTheme="minorEastAsia"/>
          <w:sz w:val="24"/>
          <w:szCs w:val="24"/>
        </w:rPr>
        <w:t>磋商文件能够详细列明采购项目的技术、服务要求后，磋商小组要求所有实质性响应的供应商在规定时间内提交最后报价。通过初步评审的供应商有均等的最后报价机会，供应商应在磋商小组规定的时间内完成报价。在未对磋商文件作出实质性变动的情况下，供应商提交的最后报价不得高于其前一次报价。</w:t>
      </w:r>
    </w:p>
    <w:p w14:paraId="07695670">
      <w:pPr>
        <w:spacing w:line="360" w:lineRule="auto"/>
        <w:ind w:left="-5" w:firstLine="425"/>
        <w:rPr>
          <w:rFonts w:cs="宋体" w:asciiTheme="minorEastAsia" w:hAnsiTheme="minorEastAsia"/>
          <w:sz w:val="24"/>
          <w:szCs w:val="24"/>
        </w:rPr>
      </w:pPr>
      <w:r>
        <w:rPr>
          <w:rFonts w:hint="eastAsia" w:cs="宋体" w:asciiTheme="minorEastAsia" w:hAnsiTheme="minorEastAsia"/>
          <w:sz w:val="24"/>
          <w:szCs w:val="24"/>
        </w:rPr>
        <w:t>最后报价是供应商响应文件的有效组成部分，未按要求进行最后报价的，其响应文件将被否决。</w:t>
      </w:r>
    </w:p>
    <w:p w14:paraId="063388C6">
      <w:pPr>
        <w:spacing w:line="360" w:lineRule="auto"/>
        <w:ind w:left="-5" w:firstLine="425"/>
        <w:rPr>
          <w:rFonts w:cs="宋体" w:asciiTheme="minorEastAsia" w:hAnsiTheme="minorEastAsia"/>
          <w:sz w:val="24"/>
          <w:szCs w:val="24"/>
        </w:rPr>
      </w:pPr>
      <w:r>
        <w:rPr>
          <w:rFonts w:hint="eastAsia" w:cs="宋体" w:asciiTheme="minorEastAsia" w:hAnsiTheme="minorEastAsia"/>
          <w:sz w:val="24"/>
          <w:szCs w:val="24"/>
        </w:rPr>
        <w:t>经磋商确定最终采购需求和提交最后报价后，由磋商小组采用综合评分法对提交最后报价的供应商的响应文件和最后报价进行综合评分。</w:t>
      </w:r>
    </w:p>
    <w:p w14:paraId="4393156E">
      <w:pPr>
        <w:spacing w:line="360" w:lineRule="auto"/>
        <w:ind w:left="-5" w:firstLine="425"/>
        <w:rPr>
          <w:rFonts w:cs="宋体" w:asciiTheme="minorEastAsia" w:hAnsiTheme="minorEastAsia"/>
          <w:sz w:val="24"/>
          <w:szCs w:val="24"/>
        </w:rPr>
      </w:pPr>
      <w:r>
        <w:rPr>
          <w:rFonts w:hint="eastAsia" w:cs="宋体" w:asciiTheme="minorEastAsia" w:hAnsiTheme="minorEastAsia"/>
          <w:sz w:val="24"/>
          <w:szCs w:val="24"/>
        </w:rPr>
        <w:t>评审活动遵循公平、公正、科学和择优的原则进行。磋商文件及其评分办法没有规定的方法、评审因素、标准和程序，不得作为评标依据。</w:t>
      </w:r>
    </w:p>
    <w:p w14:paraId="18B99791">
      <w:pPr>
        <w:spacing w:line="360" w:lineRule="auto"/>
        <w:ind w:left="-5" w:firstLine="425"/>
        <w:rPr>
          <w:rFonts w:cs="宋体" w:asciiTheme="minorEastAsia" w:hAnsiTheme="minorEastAsia"/>
          <w:sz w:val="24"/>
          <w:szCs w:val="24"/>
        </w:rPr>
      </w:pPr>
      <w:bookmarkStart w:id="190" w:name="_Toc194667287"/>
      <w:bookmarkStart w:id="191" w:name="_Toc270604606"/>
      <w:bookmarkStart w:id="192" w:name="_Toc380394496"/>
      <w:bookmarkStart w:id="193" w:name="_Toc13642"/>
      <w:bookmarkStart w:id="194" w:name="_Toc270604833"/>
      <w:bookmarkStart w:id="195" w:name="_Toc1215"/>
      <w:bookmarkStart w:id="196" w:name="_Toc277149394"/>
      <w:bookmarkStart w:id="197" w:name="_Toc6574"/>
      <w:bookmarkStart w:id="198" w:name="_Toc278155357"/>
      <w:bookmarkStart w:id="199" w:name="_Toc466284482"/>
      <w:r>
        <w:rPr>
          <w:rFonts w:hint="eastAsia" w:cs="宋体" w:asciiTheme="minorEastAsia" w:hAnsiTheme="minorEastAsia"/>
          <w:b/>
          <w:sz w:val="24"/>
          <w:szCs w:val="24"/>
        </w:rPr>
        <w:t>5.6成交方法和原则</w:t>
      </w:r>
      <w:bookmarkEnd w:id="190"/>
      <w:bookmarkEnd w:id="191"/>
      <w:bookmarkEnd w:id="192"/>
      <w:bookmarkEnd w:id="193"/>
      <w:bookmarkEnd w:id="194"/>
      <w:bookmarkEnd w:id="195"/>
      <w:bookmarkEnd w:id="196"/>
      <w:bookmarkEnd w:id="197"/>
      <w:bookmarkEnd w:id="198"/>
      <w:bookmarkEnd w:id="199"/>
    </w:p>
    <w:p w14:paraId="347C6055">
      <w:pPr>
        <w:spacing w:line="360" w:lineRule="auto"/>
        <w:ind w:left="-5" w:firstLine="425"/>
        <w:rPr>
          <w:rFonts w:cs="宋体" w:asciiTheme="minorEastAsia" w:hAnsiTheme="minorEastAsia"/>
          <w:spacing w:val="10"/>
          <w:sz w:val="24"/>
          <w:szCs w:val="24"/>
        </w:rPr>
      </w:pPr>
      <w:r>
        <w:rPr>
          <w:rFonts w:hint="eastAsia" w:cs="宋体" w:asciiTheme="minorEastAsia" w:hAnsiTheme="minorEastAsia"/>
          <w:sz w:val="24"/>
          <w:szCs w:val="24"/>
        </w:rPr>
        <w:t>磋商小组应当根据综合评分由高到低的顺序推荐3名成交候选供应商，</w:t>
      </w:r>
      <w:r>
        <w:rPr>
          <w:rFonts w:hint="eastAsia" w:cs="宋体" w:asciiTheme="minorEastAsia" w:hAnsiTheme="minorEastAsia"/>
          <w:spacing w:val="10"/>
          <w:sz w:val="24"/>
          <w:szCs w:val="24"/>
        </w:rPr>
        <w:t>出具磋商评审报告，并在报告上全体签字。</w:t>
      </w:r>
    </w:p>
    <w:p w14:paraId="2B28FEDF">
      <w:pPr>
        <w:spacing w:line="360" w:lineRule="auto"/>
        <w:ind w:left="-5" w:firstLine="425"/>
        <w:rPr>
          <w:rFonts w:cs="宋体" w:asciiTheme="minorEastAsia" w:hAnsiTheme="minorEastAsia"/>
          <w:sz w:val="24"/>
          <w:szCs w:val="24"/>
        </w:rPr>
      </w:pPr>
      <w:r>
        <w:rPr>
          <w:rFonts w:hint="eastAsia" w:cs="宋体" w:asciiTheme="minorEastAsia" w:hAnsiTheme="minorEastAsia"/>
          <w:sz w:val="24"/>
          <w:szCs w:val="24"/>
        </w:rPr>
        <w:t>最终得分相同的，按照最后报价由低到高的顺序推荐。最终得分和最后报价均相同的，按照技术指标优劣顺序或磋商小组举手表决，少数服从多数的原则推荐</w:t>
      </w:r>
      <w:r>
        <w:rPr>
          <w:rFonts w:hint="eastAsia" w:cs="宋体" w:asciiTheme="minorEastAsia" w:hAnsiTheme="minorEastAsia"/>
          <w:bCs/>
          <w:sz w:val="24"/>
          <w:szCs w:val="24"/>
        </w:rPr>
        <w:t>。</w:t>
      </w:r>
    </w:p>
    <w:p w14:paraId="28DBEF31">
      <w:pPr>
        <w:numPr>
          <w:ilvl w:val="0"/>
          <w:numId w:val="3"/>
        </w:numPr>
        <w:tabs>
          <w:tab w:val="left" w:pos="0"/>
          <w:tab w:val="left" w:pos="720"/>
        </w:tabs>
        <w:spacing w:line="360" w:lineRule="auto"/>
        <w:ind w:left="-5" w:firstLine="425"/>
        <w:outlineLvl w:val="1"/>
        <w:rPr>
          <w:rFonts w:cs="宋体" w:asciiTheme="minorEastAsia" w:hAnsiTheme="minorEastAsia"/>
          <w:sz w:val="24"/>
          <w:szCs w:val="24"/>
        </w:rPr>
      </w:pPr>
      <w:bookmarkStart w:id="200" w:name="_Toc22567"/>
      <w:r>
        <w:rPr>
          <w:rFonts w:hint="eastAsia" w:cs="宋体" w:asciiTheme="minorEastAsia" w:hAnsiTheme="minorEastAsia"/>
          <w:b/>
          <w:sz w:val="24"/>
          <w:szCs w:val="24"/>
        </w:rPr>
        <w:t>定标</w:t>
      </w:r>
      <w:bookmarkEnd w:id="200"/>
    </w:p>
    <w:p w14:paraId="50CBCD7F">
      <w:pPr>
        <w:tabs>
          <w:tab w:val="left" w:pos="0"/>
        </w:tabs>
        <w:spacing w:line="360" w:lineRule="auto"/>
        <w:ind w:left="-5" w:firstLine="425"/>
        <w:rPr>
          <w:rFonts w:cs="宋体" w:asciiTheme="minorEastAsia" w:hAnsiTheme="minorEastAsia"/>
          <w:sz w:val="24"/>
          <w:szCs w:val="24"/>
        </w:rPr>
      </w:pPr>
      <w:r>
        <w:rPr>
          <w:rFonts w:hint="eastAsia" w:cs="宋体" w:asciiTheme="minorEastAsia" w:hAnsiTheme="minorEastAsia"/>
          <w:sz w:val="24"/>
          <w:szCs w:val="24"/>
        </w:rPr>
        <w:t>采购人应当在收到评审报告后5个工作日内，从评审报告提出的成交候选供应商中，按照排序由高到低的原则确定成交供应商。采购人逾期未确定成交供应商且不提出异议的，视为确定排序第一的供应商为成交供应商。</w:t>
      </w:r>
    </w:p>
    <w:p w14:paraId="2AE6885E">
      <w:pPr>
        <w:numPr>
          <w:ilvl w:val="0"/>
          <w:numId w:val="3"/>
        </w:numPr>
        <w:tabs>
          <w:tab w:val="left" w:pos="0"/>
          <w:tab w:val="left" w:pos="720"/>
        </w:tabs>
        <w:spacing w:line="360" w:lineRule="auto"/>
        <w:ind w:left="-5" w:firstLine="425"/>
        <w:outlineLvl w:val="1"/>
        <w:rPr>
          <w:rFonts w:cs="宋体" w:asciiTheme="minorEastAsia" w:hAnsiTheme="minorEastAsia"/>
          <w:b/>
          <w:sz w:val="24"/>
          <w:szCs w:val="24"/>
        </w:rPr>
      </w:pPr>
      <w:bookmarkStart w:id="201" w:name="_Toc16682"/>
      <w:bookmarkStart w:id="202" w:name="_Toc270604607"/>
      <w:bookmarkStart w:id="203" w:name="_Toc466284483"/>
      <w:bookmarkStart w:id="204" w:name="_Toc380394497"/>
      <w:bookmarkStart w:id="205" w:name="_Toc4929"/>
      <w:r>
        <w:rPr>
          <w:rFonts w:hint="eastAsia" w:cs="宋体" w:asciiTheme="minorEastAsia" w:hAnsiTheme="minorEastAsia"/>
          <w:b/>
          <w:sz w:val="24"/>
          <w:szCs w:val="24"/>
        </w:rPr>
        <w:t>合同授予</w:t>
      </w:r>
      <w:bookmarkEnd w:id="201"/>
      <w:bookmarkEnd w:id="202"/>
      <w:bookmarkEnd w:id="203"/>
      <w:bookmarkEnd w:id="204"/>
      <w:bookmarkEnd w:id="205"/>
    </w:p>
    <w:p w14:paraId="249CBC35">
      <w:pPr>
        <w:tabs>
          <w:tab w:val="left" w:pos="540"/>
        </w:tabs>
        <w:spacing w:line="360" w:lineRule="auto"/>
        <w:ind w:left="420"/>
        <w:outlineLvl w:val="1"/>
        <w:rPr>
          <w:rFonts w:cs="宋体" w:asciiTheme="minorEastAsia" w:hAnsiTheme="minorEastAsia"/>
          <w:sz w:val="24"/>
          <w:szCs w:val="24"/>
        </w:rPr>
      </w:pPr>
      <w:bookmarkStart w:id="206" w:name="_Toc269470332"/>
      <w:bookmarkStart w:id="207" w:name="_Toc278155359"/>
      <w:bookmarkStart w:id="208" w:name="_Toc30341"/>
      <w:bookmarkStart w:id="209" w:name="_Toc466284484"/>
      <w:bookmarkStart w:id="210" w:name="_Toc380394498"/>
      <w:bookmarkStart w:id="211" w:name="_Toc1125"/>
      <w:bookmarkStart w:id="212" w:name="_Toc270604608"/>
      <w:bookmarkStart w:id="213" w:name="_Toc12923"/>
      <w:bookmarkStart w:id="214" w:name="_Toc277149396"/>
      <w:bookmarkStart w:id="215" w:name="_Toc1750"/>
      <w:bookmarkStart w:id="216" w:name="_Toc270604835"/>
      <w:r>
        <w:rPr>
          <w:rFonts w:hint="eastAsia" w:cs="宋体" w:asciiTheme="minorEastAsia" w:hAnsiTheme="minorEastAsia"/>
          <w:sz w:val="24"/>
          <w:szCs w:val="24"/>
        </w:rPr>
        <w:t>7.1成交通知</w:t>
      </w:r>
      <w:bookmarkEnd w:id="206"/>
      <w:bookmarkEnd w:id="207"/>
      <w:bookmarkEnd w:id="208"/>
      <w:bookmarkEnd w:id="209"/>
      <w:bookmarkEnd w:id="210"/>
      <w:bookmarkEnd w:id="211"/>
      <w:bookmarkEnd w:id="212"/>
      <w:bookmarkEnd w:id="213"/>
      <w:bookmarkEnd w:id="214"/>
      <w:bookmarkEnd w:id="215"/>
      <w:bookmarkEnd w:id="216"/>
    </w:p>
    <w:p w14:paraId="5E5AF016">
      <w:pPr>
        <w:spacing w:line="360" w:lineRule="auto"/>
        <w:ind w:left="-5" w:firstLine="425"/>
        <w:rPr>
          <w:rFonts w:hint="eastAsia" w:cs="宋体" w:asciiTheme="minorEastAsia" w:hAnsiTheme="minorEastAsia"/>
          <w:sz w:val="24"/>
          <w:szCs w:val="24"/>
        </w:rPr>
      </w:pPr>
      <w:bookmarkStart w:id="217" w:name="_Toc269470333"/>
      <w:r>
        <w:rPr>
          <w:rFonts w:hint="eastAsia" w:ascii="宋体" w:hAnsi="宋体" w:eastAsia="宋体" w:cs="宋体"/>
          <w:sz w:val="24"/>
          <w:szCs w:val="24"/>
        </w:rPr>
        <w:t>采购人应当在成交人确定后2个工作日内，在公告发布的同一媒介上发布成交结果，同时向成交供应商发出成交通知书，并将磋商文件随成交结果同时公告，公告期限1个工作日。</w:t>
      </w:r>
    </w:p>
    <w:bookmarkEnd w:id="217"/>
    <w:p w14:paraId="727E2A39">
      <w:pPr>
        <w:tabs>
          <w:tab w:val="left" w:pos="540"/>
        </w:tabs>
        <w:spacing w:line="360" w:lineRule="auto"/>
        <w:ind w:left="420"/>
        <w:outlineLvl w:val="1"/>
        <w:rPr>
          <w:rFonts w:cs="宋体" w:asciiTheme="minorEastAsia" w:hAnsiTheme="minorEastAsia"/>
          <w:sz w:val="24"/>
          <w:szCs w:val="24"/>
        </w:rPr>
      </w:pPr>
      <w:bookmarkStart w:id="218" w:name="_Toc2284"/>
      <w:bookmarkStart w:id="219" w:name="_Toc13418"/>
      <w:bookmarkStart w:id="220" w:name="_Toc278155360"/>
      <w:bookmarkStart w:id="221" w:name="_Toc380394499"/>
      <w:bookmarkStart w:id="222" w:name="_Toc270604609"/>
      <w:bookmarkStart w:id="223" w:name="_Toc277149397"/>
      <w:bookmarkStart w:id="224" w:name="_Toc270604836"/>
      <w:bookmarkStart w:id="225" w:name="_Toc32369"/>
      <w:bookmarkStart w:id="226" w:name="_Toc466284485"/>
      <w:bookmarkStart w:id="227" w:name="_Toc25290"/>
      <w:bookmarkStart w:id="228" w:name="_Toc269470334"/>
      <w:r>
        <w:rPr>
          <w:rFonts w:hint="eastAsia" w:cs="宋体" w:asciiTheme="minorEastAsia" w:hAnsiTheme="minorEastAsia"/>
          <w:sz w:val="24"/>
          <w:szCs w:val="24"/>
        </w:rPr>
        <w:t>7.2签订合同</w:t>
      </w:r>
      <w:bookmarkEnd w:id="218"/>
      <w:bookmarkEnd w:id="219"/>
      <w:bookmarkEnd w:id="220"/>
      <w:bookmarkEnd w:id="221"/>
      <w:bookmarkEnd w:id="222"/>
      <w:bookmarkEnd w:id="223"/>
      <w:bookmarkEnd w:id="224"/>
      <w:bookmarkEnd w:id="225"/>
      <w:bookmarkEnd w:id="226"/>
      <w:bookmarkEnd w:id="227"/>
      <w:bookmarkEnd w:id="228"/>
    </w:p>
    <w:p w14:paraId="139A2FBE">
      <w:pPr>
        <w:tabs>
          <w:tab w:val="left" w:pos="0"/>
        </w:tabs>
        <w:spacing w:line="360" w:lineRule="auto"/>
        <w:ind w:left="420"/>
        <w:rPr>
          <w:rFonts w:cs="宋体" w:asciiTheme="minorEastAsia" w:hAnsiTheme="minorEastAsia"/>
          <w:sz w:val="24"/>
          <w:szCs w:val="24"/>
        </w:rPr>
      </w:pPr>
      <w:bookmarkStart w:id="229" w:name="_Toc269470335"/>
      <w:r>
        <w:rPr>
          <w:rFonts w:hint="eastAsia" w:cs="宋体" w:asciiTheme="minorEastAsia" w:hAnsiTheme="minorEastAsia"/>
          <w:sz w:val="24"/>
          <w:szCs w:val="24"/>
        </w:rPr>
        <w:t>7.2.1成交供应商的最后报价为成交价，成交价即为合同价。</w:t>
      </w:r>
    </w:p>
    <w:p w14:paraId="6211DDA5">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7.2.2采购人和成交供应商应当自成交通知书发出之日起30天内，根据竞争性磋商文件、成交供应商的磋商响应文件及在磋商过程中对磋商响应文件作出的澄清、解释订立书面合同。成交供应商无正当理由拒签合同的，采购人取消其成交资格，并对由此给采购人造成的损失予以赔偿。</w:t>
      </w:r>
    </w:p>
    <w:p w14:paraId="5236E899">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7.2.3采购人与成交供应商必须按国家、省、市相关规定签订合同。</w:t>
      </w:r>
    </w:p>
    <w:bookmarkEnd w:id="229"/>
    <w:p w14:paraId="306F2DA3">
      <w:pPr>
        <w:numPr>
          <w:ilvl w:val="0"/>
          <w:numId w:val="3"/>
        </w:numPr>
        <w:tabs>
          <w:tab w:val="left" w:pos="0"/>
          <w:tab w:val="left" w:pos="720"/>
        </w:tabs>
        <w:spacing w:line="360" w:lineRule="auto"/>
        <w:ind w:left="-5" w:firstLine="425"/>
        <w:outlineLvl w:val="1"/>
        <w:rPr>
          <w:rFonts w:cs="宋体" w:asciiTheme="minorEastAsia" w:hAnsiTheme="minorEastAsia"/>
          <w:b/>
          <w:sz w:val="24"/>
          <w:szCs w:val="24"/>
        </w:rPr>
      </w:pPr>
      <w:bookmarkStart w:id="230" w:name="_Toc23592"/>
      <w:bookmarkStart w:id="231" w:name="_Toc11376"/>
      <w:bookmarkStart w:id="232" w:name="_Toc269470338"/>
      <w:bookmarkStart w:id="233" w:name="_Toc380394500"/>
      <w:bookmarkStart w:id="234" w:name="_Toc466284486"/>
      <w:bookmarkStart w:id="235" w:name="_Toc270604610"/>
      <w:r>
        <w:rPr>
          <w:rFonts w:hint="eastAsia" w:cs="宋体" w:asciiTheme="minorEastAsia" w:hAnsiTheme="minorEastAsia"/>
          <w:b/>
          <w:sz w:val="24"/>
          <w:szCs w:val="24"/>
        </w:rPr>
        <w:t>纪律和监督</w:t>
      </w:r>
      <w:bookmarkEnd w:id="230"/>
      <w:bookmarkEnd w:id="231"/>
      <w:bookmarkEnd w:id="232"/>
      <w:bookmarkEnd w:id="233"/>
      <w:bookmarkEnd w:id="234"/>
      <w:bookmarkEnd w:id="235"/>
    </w:p>
    <w:p w14:paraId="4B5A6B2E">
      <w:pPr>
        <w:tabs>
          <w:tab w:val="left" w:pos="540"/>
        </w:tabs>
        <w:spacing w:line="360" w:lineRule="auto"/>
        <w:ind w:left="420"/>
        <w:outlineLvl w:val="1"/>
        <w:rPr>
          <w:rFonts w:cs="宋体" w:asciiTheme="minorEastAsia" w:hAnsiTheme="minorEastAsia"/>
          <w:sz w:val="24"/>
          <w:szCs w:val="24"/>
        </w:rPr>
      </w:pPr>
      <w:bookmarkStart w:id="236" w:name="_Toc269470339"/>
      <w:bookmarkStart w:id="237" w:name="_Toc380394501"/>
      <w:bookmarkStart w:id="238" w:name="_Toc277149399"/>
      <w:bookmarkStart w:id="239" w:name="_Toc16390"/>
      <w:bookmarkStart w:id="240" w:name="_Toc92"/>
      <w:bookmarkStart w:id="241" w:name="_Toc270604611"/>
      <w:bookmarkStart w:id="242" w:name="_Toc270604838"/>
      <w:bookmarkStart w:id="243" w:name="_Toc466284487"/>
      <w:bookmarkStart w:id="244" w:name="_Toc3777"/>
      <w:bookmarkStart w:id="245" w:name="_Toc20824"/>
      <w:bookmarkStart w:id="246" w:name="_Toc278155362"/>
      <w:r>
        <w:rPr>
          <w:rFonts w:hint="eastAsia" w:cs="宋体" w:asciiTheme="minorEastAsia" w:hAnsiTheme="minorEastAsia"/>
          <w:sz w:val="24"/>
          <w:szCs w:val="24"/>
        </w:rPr>
        <w:t>8.1对采购人的纪律要求</w:t>
      </w:r>
      <w:bookmarkEnd w:id="236"/>
      <w:bookmarkEnd w:id="237"/>
      <w:bookmarkEnd w:id="238"/>
      <w:bookmarkEnd w:id="239"/>
      <w:bookmarkEnd w:id="240"/>
      <w:bookmarkEnd w:id="241"/>
      <w:bookmarkEnd w:id="242"/>
      <w:bookmarkEnd w:id="243"/>
      <w:bookmarkEnd w:id="244"/>
      <w:bookmarkEnd w:id="245"/>
      <w:bookmarkEnd w:id="246"/>
    </w:p>
    <w:p w14:paraId="5DBD2A6C">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采购人不得泄漏竞争性磋商中应当保密的情况和资料，不得与供应商串通损害国家利益、社会公共利益或者他人合法权益。</w:t>
      </w:r>
    </w:p>
    <w:p w14:paraId="77ACCBC2">
      <w:pPr>
        <w:tabs>
          <w:tab w:val="left" w:pos="540"/>
        </w:tabs>
        <w:spacing w:line="360" w:lineRule="auto"/>
        <w:ind w:left="420"/>
        <w:outlineLvl w:val="1"/>
        <w:rPr>
          <w:rFonts w:cs="宋体" w:asciiTheme="minorEastAsia" w:hAnsiTheme="minorEastAsia"/>
          <w:sz w:val="24"/>
          <w:szCs w:val="24"/>
        </w:rPr>
      </w:pPr>
      <w:bookmarkStart w:id="247" w:name="_Toc269470340"/>
      <w:bookmarkStart w:id="248" w:name="_Toc277149400"/>
      <w:bookmarkStart w:id="249" w:name="_Toc8749"/>
      <w:bookmarkStart w:id="250" w:name="_Toc278155363"/>
      <w:bookmarkStart w:id="251" w:name="_Toc7499"/>
      <w:bookmarkStart w:id="252" w:name="_Toc5855"/>
      <w:bookmarkStart w:id="253" w:name="_Toc380394502"/>
      <w:bookmarkStart w:id="254" w:name="_Toc270604839"/>
      <w:bookmarkStart w:id="255" w:name="_Toc11732"/>
      <w:bookmarkStart w:id="256" w:name="_Toc270604612"/>
      <w:bookmarkStart w:id="257" w:name="_Toc466284488"/>
      <w:r>
        <w:rPr>
          <w:rFonts w:hint="eastAsia" w:cs="宋体" w:asciiTheme="minorEastAsia" w:hAnsiTheme="minorEastAsia"/>
          <w:sz w:val="24"/>
          <w:szCs w:val="24"/>
        </w:rPr>
        <w:t>8.2对供应商的纪律要求</w:t>
      </w:r>
      <w:bookmarkEnd w:id="247"/>
      <w:bookmarkEnd w:id="248"/>
      <w:bookmarkEnd w:id="249"/>
      <w:bookmarkEnd w:id="250"/>
      <w:bookmarkEnd w:id="251"/>
      <w:bookmarkEnd w:id="252"/>
      <w:bookmarkEnd w:id="253"/>
      <w:bookmarkEnd w:id="254"/>
      <w:bookmarkEnd w:id="255"/>
      <w:bookmarkEnd w:id="256"/>
      <w:bookmarkEnd w:id="257"/>
    </w:p>
    <w:p w14:paraId="71B62AA5">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供应商不得相互串通磋商或者与采购人串通磋商，不得向采购人或者磋商小组成员行贿谋取成交，不得以他人名义竞标或者以其他方式弄虚作假骗取成交；供应商不得以任何方式干扰、影响磋商工作。</w:t>
      </w:r>
    </w:p>
    <w:p w14:paraId="33E9B9AC">
      <w:pPr>
        <w:tabs>
          <w:tab w:val="left" w:pos="540"/>
        </w:tabs>
        <w:spacing w:line="360" w:lineRule="auto"/>
        <w:ind w:firstLine="480" w:firstLineChars="200"/>
        <w:outlineLvl w:val="1"/>
        <w:rPr>
          <w:rFonts w:cs="宋体" w:asciiTheme="minorEastAsia" w:hAnsiTheme="minorEastAsia"/>
          <w:sz w:val="24"/>
          <w:szCs w:val="24"/>
        </w:rPr>
      </w:pPr>
      <w:bookmarkStart w:id="258" w:name="_Toc9495"/>
      <w:bookmarkStart w:id="259" w:name="_Toc16836"/>
      <w:bookmarkStart w:id="260" w:name="_Toc380394503"/>
      <w:bookmarkStart w:id="261" w:name="_Toc269470341"/>
      <w:bookmarkStart w:id="262" w:name="_Toc270604613"/>
      <w:bookmarkStart w:id="263" w:name="_Toc277149401"/>
      <w:bookmarkStart w:id="264" w:name="_Toc278155364"/>
      <w:bookmarkStart w:id="265" w:name="_Toc466284489"/>
      <w:bookmarkStart w:id="266" w:name="_Toc270604840"/>
      <w:bookmarkStart w:id="267" w:name="_Toc11311"/>
      <w:bookmarkStart w:id="268" w:name="_Toc15433"/>
      <w:r>
        <w:rPr>
          <w:rFonts w:hint="eastAsia" w:cs="宋体" w:asciiTheme="minorEastAsia" w:hAnsiTheme="minorEastAsia"/>
          <w:sz w:val="24"/>
          <w:szCs w:val="24"/>
        </w:rPr>
        <w:t>8.3对磋商小组成员的纪律要求</w:t>
      </w:r>
      <w:bookmarkEnd w:id="258"/>
      <w:bookmarkEnd w:id="259"/>
      <w:bookmarkEnd w:id="260"/>
      <w:bookmarkEnd w:id="261"/>
      <w:bookmarkEnd w:id="262"/>
      <w:bookmarkEnd w:id="263"/>
      <w:bookmarkEnd w:id="264"/>
      <w:bookmarkEnd w:id="265"/>
      <w:bookmarkEnd w:id="266"/>
      <w:bookmarkEnd w:id="267"/>
      <w:bookmarkEnd w:id="268"/>
    </w:p>
    <w:p w14:paraId="21E838DD">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磋商小组成员不得收受他人的财物或者其他好处，不得向他人透漏对磋商响应文件的评审和比较、成交候选人的推荐情况以及与磋商有关的其他情况。在磋商活动中，磋商小组成员不得擅离职守，影响磋商程序正常进行。</w:t>
      </w:r>
    </w:p>
    <w:p w14:paraId="3957EFD9">
      <w:pPr>
        <w:tabs>
          <w:tab w:val="left" w:pos="540"/>
        </w:tabs>
        <w:spacing w:line="360" w:lineRule="auto"/>
        <w:ind w:left="420"/>
        <w:outlineLvl w:val="1"/>
        <w:rPr>
          <w:rFonts w:cs="宋体" w:asciiTheme="minorEastAsia" w:hAnsiTheme="minorEastAsia"/>
          <w:sz w:val="24"/>
          <w:szCs w:val="24"/>
        </w:rPr>
      </w:pPr>
      <w:bookmarkStart w:id="269" w:name="_Toc278155365"/>
      <w:bookmarkStart w:id="270" w:name="_Toc270604841"/>
      <w:bookmarkStart w:id="271" w:name="_Toc270604614"/>
      <w:bookmarkStart w:id="272" w:name="_Toc277149402"/>
      <w:bookmarkStart w:id="273" w:name="_Toc12167"/>
      <w:bookmarkStart w:id="274" w:name="_Toc29118"/>
      <w:bookmarkStart w:id="275" w:name="_Toc466284490"/>
      <w:bookmarkStart w:id="276" w:name="_Toc269470342"/>
      <w:bookmarkStart w:id="277" w:name="_Toc22679"/>
      <w:bookmarkStart w:id="278" w:name="_Toc14297"/>
      <w:bookmarkStart w:id="279" w:name="_Toc380394504"/>
      <w:r>
        <w:rPr>
          <w:rFonts w:hint="eastAsia" w:cs="宋体" w:asciiTheme="minorEastAsia" w:hAnsiTheme="minorEastAsia"/>
          <w:sz w:val="24"/>
          <w:szCs w:val="24"/>
        </w:rPr>
        <w:t>8.4对与磋商活动有关的工作人员的纪律要求</w:t>
      </w:r>
      <w:bookmarkEnd w:id="269"/>
      <w:bookmarkEnd w:id="270"/>
      <w:bookmarkEnd w:id="271"/>
      <w:bookmarkEnd w:id="272"/>
      <w:bookmarkEnd w:id="273"/>
      <w:bookmarkEnd w:id="274"/>
      <w:bookmarkEnd w:id="275"/>
      <w:bookmarkEnd w:id="276"/>
      <w:bookmarkEnd w:id="277"/>
      <w:bookmarkEnd w:id="278"/>
      <w:bookmarkEnd w:id="279"/>
    </w:p>
    <w:p w14:paraId="63149210">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与磋商活动有关的工作人员不得收受他人的财物或者其他好处，不得向他人透漏对磋商响应文件的评审和比较、成交候选人的推荐情况以及与磋商有关的其他情况。在磋商活动中，与磋商活动有关的工作人员不得擅离职守，影响磋商程序正常进行。</w:t>
      </w:r>
    </w:p>
    <w:p w14:paraId="70529DE8">
      <w:pPr>
        <w:tabs>
          <w:tab w:val="left" w:pos="540"/>
        </w:tabs>
        <w:spacing w:line="360" w:lineRule="auto"/>
        <w:ind w:left="420"/>
        <w:outlineLvl w:val="1"/>
        <w:rPr>
          <w:rFonts w:cs="宋体" w:asciiTheme="minorEastAsia" w:hAnsiTheme="minorEastAsia"/>
          <w:sz w:val="24"/>
          <w:szCs w:val="24"/>
        </w:rPr>
      </w:pPr>
      <w:bookmarkStart w:id="280" w:name="_Toc13721"/>
      <w:bookmarkStart w:id="281" w:name="_Toc278155366"/>
      <w:bookmarkStart w:id="282" w:name="_Toc270604615"/>
      <w:bookmarkStart w:id="283" w:name="_Toc14035"/>
      <w:bookmarkStart w:id="284" w:name="_Toc269470343"/>
      <w:bookmarkStart w:id="285" w:name="_Toc466284491"/>
      <w:bookmarkStart w:id="286" w:name="_Toc380394505"/>
      <w:bookmarkStart w:id="287" w:name="_Toc28497"/>
      <w:bookmarkStart w:id="288" w:name="_Toc270604842"/>
      <w:bookmarkStart w:id="289" w:name="_Toc277149403"/>
      <w:bookmarkStart w:id="290" w:name="_Toc28616"/>
      <w:r>
        <w:rPr>
          <w:rFonts w:hint="eastAsia" w:cs="宋体" w:asciiTheme="minorEastAsia" w:hAnsiTheme="minorEastAsia"/>
          <w:sz w:val="24"/>
          <w:szCs w:val="24"/>
        </w:rPr>
        <w:t>8.5投诉</w:t>
      </w:r>
      <w:bookmarkEnd w:id="280"/>
      <w:bookmarkEnd w:id="281"/>
      <w:bookmarkEnd w:id="282"/>
      <w:bookmarkEnd w:id="283"/>
      <w:bookmarkEnd w:id="284"/>
      <w:bookmarkEnd w:id="285"/>
      <w:bookmarkEnd w:id="286"/>
      <w:bookmarkEnd w:id="287"/>
      <w:bookmarkEnd w:id="288"/>
      <w:bookmarkEnd w:id="289"/>
      <w:bookmarkEnd w:id="290"/>
    </w:p>
    <w:p w14:paraId="58741148">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供应商和其他利害关系人认为本次竞争性磋商违反法律、法规和规章规定的，有权向有关行政监督部门投诉。</w:t>
      </w:r>
    </w:p>
    <w:p w14:paraId="5F2F83A8">
      <w:pPr>
        <w:numPr>
          <w:ilvl w:val="0"/>
          <w:numId w:val="3"/>
        </w:numPr>
        <w:tabs>
          <w:tab w:val="left" w:pos="0"/>
          <w:tab w:val="left" w:pos="720"/>
        </w:tabs>
        <w:spacing w:line="360" w:lineRule="auto"/>
        <w:ind w:left="-5" w:firstLine="425"/>
        <w:outlineLvl w:val="1"/>
        <w:rPr>
          <w:rFonts w:cs="宋体" w:asciiTheme="minorEastAsia" w:hAnsiTheme="minorEastAsia"/>
          <w:b/>
          <w:sz w:val="24"/>
          <w:szCs w:val="24"/>
        </w:rPr>
      </w:pPr>
      <w:bookmarkStart w:id="291" w:name="_Toc380394506"/>
      <w:bookmarkStart w:id="292" w:name="_Toc19619"/>
      <w:bookmarkStart w:id="293" w:name="_Toc269470344"/>
      <w:bookmarkStart w:id="294" w:name="_Toc270604616"/>
      <w:bookmarkStart w:id="295" w:name="_Toc28446"/>
      <w:bookmarkStart w:id="296" w:name="_Toc466284492"/>
      <w:r>
        <w:rPr>
          <w:rFonts w:hint="eastAsia" w:cs="宋体" w:asciiTheme="minorEastAsia" w:hAnsiTheme="minorEastAsia"/>
          <w:b/>
          <w:sz w:val="24"/>
          <w:szCs w:val="24"/>
        </w:rPr>
        <w:t>需要补充的其他内容</w:t>
      </w:r>
      <w:bookmarkEnd w:id="291"/>
      <w:bookmarkEnd w:id="292"/>
      <w:bookmarkEnd w:id="293"/>
      <w:bookmarkEnd w:id="294"/>
      <w:bookmarkEnd w:id="295"/>
      <w:bookmarkEnd w:id="296"/>
    </w:p>
    <w:p w14:paraId="3DFD8A7B">
      <w:pPr>
        <w:spacing w:line="360" w:lineRule="auto"/>
        <w:ind w:left="-5" w:firstLine="425"/>
        <w:rPr>
          <w:rFonts w:ascii="宋体" w:hAnsi="宋体" w:eastAsia="宋体" w:cs="宋体"/>
          <w:sz w:val="24"/>
        </w:rPr>
      </w:pPr>
      <w:r>
        <w:rPr>
          <w:rFonts w:hint="eastAsia" w:cs="宋体" w:asciiTheme="minorEastAsia" w:hAnsiTheme="minorEastAsia"/>
          <w:sz w:val="24"/>
          <w:szCs w:val="24"/>
        </w:rPr>
        <w:t>需要补充的其他内容：见供应商须知前附表。</w:t>
      </w:r>
    </w:p>
    <w:p w14:paraId="0145E2A9">
      <w:pPr>
        <w:spacing w:line="460" w:lineRule="exact"/>
        <w:rPr>
          <w:rFonts w:ascii="宋体" w:hAnsi="宋体" w:cs="宋体"/>
          <w:b/>
          <w:bCs/>
          <w:color w:val="000000"/>
          <w:kern w:val="0"/>
          <w:sz w:val="36"/>
          <w:szCs w:val="36"/>
        </w:rPr>
      </w:pPr>
    </w:p>
    <w:p w14:paraId="50907C1D">
      <w:pPr>
        <w:jc w:val="center"/>
        <w:rPr>
          <w:rFonts w:hAnsi="宋体" w:cs="宋体"/>
          <w:b/>
          <w:bCs/>
          <w:color w:val="000000"/>
          <w:sz w:val="24"/>
          <w:szCs w:val="24"/>
        </w:rPr>
      </w:pPr>
      <w:r>
        <w:br w:type="page"/>
      </w:r>
      <w:bookmarkStart w:id="297" w:name="_Toc10506"/>
      <w:r>
        <w:rPr>
          <w:rFonts w:hint="eastAsia" w:hAnsi="宋体" w:cs="宋体"/>
          <w:b/>
          <w:sz w:val="24"/>
          <w:szCs w:val="24"/>
        </w:rPr>
        <w:t>第三章  工程量清单</w:t>
      </w:r>
      <w:bookmarkEnd w:id="297"/>
    </w:p>
    <w:p w14:paraId="0E13761C">
      <w:pPr>
        <w:spacing w:line="360" w:lineRule="auto"/>
        <w:ind w:left="479" w:leftChars="228" w:firstLine="3420" w:firstLineChars="1425"/>
        <w:jc w:val="left"/>
        <w:rPr>
          <w:rFonts w:ascii="宋体" w:hAnsi="宋体" w:cs="Arial"/>
          <w:sz w:val="24"/>
          <w:szCs w:val="24"/>
        </w:rPr>
      </w:pPr>
      <w:r>
        <w:rPr>
          <w:rFonts w:hint="eastAsia" w:ascii="宋体" w:hAnsi="宋体" w:cs="Arial"/>
          <w:sz w:val="24"/>
          <w:szCs w:val="24"/>
        </w:rPr>
        <w:t>(详细清单见附件)</w:t>
      </w:r>
    </w:p>
    <w:p w14:paraId="59D34063">
      <w:pPr>
        <w:rPr>
          <w:rFonts w:hint="eastAsia" w:ascii="宋体" w:hAnsi="宋体" w:cs="宋体"/>
          <w:b/>
          <w:bCs/>
          <w:kern w:val="0"/>
          <w:sz w:val="28"/>
          <w:szCs w:val="28"/>
          <w:lang w:val="en-US" w:eastAsia="zh-CN"/>
        </w:rPr>
      </w:pPr>
      <w:bookmarkStart w:id="298" w:name="_Toc25128"/>
      <w:r>
        <w:rPr>
          <w:rFonts w:hint="eastAsia" w:ascii="宋体" w:hAnsi="宋体" w:cs="宋体"/>
          <w:b/>
          <w:bCs/>
          <w:kern w:val="0"/>
          <w:sz w:val="28"/>
          <w:szCs w:val="28"/>
          <w:lang w:val="en-US" w:eastAsia="zh-CN"/>
        </w:rPr>
        <w:br w:type="page"/>
      </w:r>
    </w:p>
    <w:p w14:paraId="55BCD7BE">
      <w:pPr>
        <w:widowControl/>
        <w:adjustRightInd w:val="0"/>
        <w:snapToGrid w:val="0"/>
        <w:spacing w:after="156" w:afterLines="50"/>
        <w:jc w:val="left"/>
        <w:rPr>
          <w:rFonts w:ascii="宋体" w:hAnsi="宋体" w:cs="宋体"/>
          <w:bCs/>
          <w:color w:val="000000"/>
          <w:kern w:val="0"/>
          <w:sz w:val="24"/>
          <w:szCs w:val="24"/>
        </w:rPr>
      </w:pPr>
      <w:r>
        <w:rPr>
          <w:rFonts w:hint="eastAsia" w:ascii="宋体" w:hAnsi="宋体" w:cs="宋体"/>
          <w:b/>
          <w:bCs/>
          <w:kern w:val="0"/>
          <w:sz w:val="28"/>
          <w:szCs w:val="28"/>
          <w:lang w:val="en-US" w:eastAsia="zh-CN"/>
        </w:rPr>
        <w:t xml:space="preserve">                             </w:t>
      </w:r>
      <w:r>
        <w:rPr>
          <w:rFonts w:hint="eastAsia" w:hAnsi="宋体" w:cs="宋体"/>
          <w:b/>
          <w:sz w:val="24"/>
          <w:szCs w:val="24"/>
        </w:rPr>
        <w:t>第四章  磋商办法</w:t>
      </w:r>
      <w:bookmarkEnd w:id="298"/>
    </w:p>
    <w:p w14:paraId="318BB6C5">
      <w:pPr>
        <w:spacing w:line="520" w:lineRule="exact"/>
        <w:ind w:firstLine="422" w:firstLineChars="200"/>
        <w:rPr>
          <w:rFonts w:ascii="宋体" w:hAnsi="宋体" w:cs="宋体"/>
          <w:b/>
          <w:sz w:val="24"/>
          <w:szCs w:val="24"/>
        </w:rPr>
      </w:pPr>
      <w:bookmarkStart w:id="299" w:name="_Toc28251232"/>
      <w:bookmarkStart w:id="300" w:name="_Toc38013557"/>
      <w:r>
        <w:rPr>
          <w:rFonts w:hint="eastAsia" w:ascii="黑体" w:hAnsi="黑体"/>
          <w:b/>
          <w:bCs/>
          <w:szCs w:val="20"/>
        </w:rPr>
        <w:t>1.</w:t>
      </w:r>
      <w:bookmarkEnd w:id="299"/>
      <w:bookmarkEnd w:id="300"/>
      <w:r>
        <w:rPr>
          <w:rFonts w:hint="eastAsia" w:ascii="宋体" w:hAnsi="宋体" w:cs="宋体"/>
          <w:b/>
          <w:bCs/>
          <w:kern w:val="0"/>
          <w:sz w:val="24"/>
          <w:szCs w:val="24"/>
        </w:rPr>
        <w:t>本次磋商采用综合评分法：</w:t>
      </w:r>
      <w:r>
        <w:rPr>
          <w:rFonts w:hint="eastAsia" w:ascii="宋体" w:hAnsi="宋体" w:cs="宋体"/>
          <w:sz w:val="24"/>
          <w:szCs w:val="24"/>
        </w:rPr>
        <w:t>磋商小组对满足竞争性磋商文件实质性要求和提交最终报价的响应文件，按本章节规定的评分标准进行综合评分，并按得分由高到低顺序推荐3名成交候选人。</w:t>
      </w:r>
      <w:bookmarkStart w:id="301" w:name="_Toc19618"/>
      <w:bookmarkEnd w:id="301"/>
      <w:bookmarkStart w:id="302" w:name="_Toc179632619"/>
      <w:bookmarkEnd w:id="302"/>
      <w:bookmarkStart w:id="303" w:name="_Toc28030"/>
      <w:bookmarkEnd w:id="303"/>
      <w:bookmarkStart w:id="304" w:name="_Toc29880"/>
    </w:p>
    <w:p w14:paraId="34A5B953">
      <w:pPr>
        <w:spacing w:line="520" w:lineRule="exact"/>
        <w:ind w:firstLine="482" w:firstLineChars="200"/>
        <w:rPr>
          <w:rFonts w:ascii="宋体" w:hAnsi="宋体" w:cs="宋体"/>
          <w:b/>
          <w:bCs/>
          <w:sz w:val="24"/>
          <w:szCs w:val="24"/>
        </w:rPr>
      </w:pPr>
      <w:r>
        <w:rPr>
          <w:rFonts w:hint="eastAsia" w:ascii="宋体" w:hAnsi="宋体" w:cs="宋体"/>
          <w:b/>
          <w:bCs/>
          <w:sz w:val="24"/>
          <w:szCs w:val="24"/>
        </w:rPr>
        <w:t>2. 评审标准</w:t>
      </w:r>
      <w:bookmarkEnd w:id="304"/>
    </w:p>
    <w:p w14:paraId="41BF530B">
      <w:pPr>
        <w:pStyle w:val="11"/>
        <w:keepLines w:val="0"/>
        <w:widowControl/>
        <w:spacing w:line="520" w:lineRule="exact"/>
        <w:ind w:firstLine="480" w:firstLineChars="200"/>
        <w:rPr>
          <w:rFonts w:ascii="宋体" w:hAnsi="宋体" w:eastAsia="宋体"/>
        </w:rPr>
      </w:pPr>
      <w:bookmarkStart w:id="305" w:name="_Toc179632620"/>
      <w:bookmarkEnd w:id="305"/>
      <w:bookmarkStart w:id="306" w:name="_Toc23196"/>
      <w:bookmarkEnd w:id="306"/>
      <w:bookmarkStart w:id="307" w:name="_Toc31847"/>
      <w:bookmarkEnd w:id="307"/>
      <w:bookmarkStart w:id="308" w:name="_Toc12931"/>
      <w:bookmarkEnd w:id="308"/>
      <w:bookmarkStart w:id="309" w:name="_Toc12074"/>
      <w:r>
        <w:rPr>
          <w:rFonts w:hint="eastAsia" w:ascii="宋体" w:hAnsi="宋体" w:eastAsia="宋体"/>
        </w:rPr>
        <w:t>2.1 初步评审标准</w:t>
      </w:r>
      <w:bookmarkEnd w:id="309"/>
    </w:p>
    <w:p w14:paraId="5A79486D">
      <w:pPr>
        <w:spacing w:line="520" w:lineRule="exact"/>
        <w:ind w:firstLine="480" w:firstLineChars="200"/>
        <w:rPr>
          <w:rFonts w:ascii="宋体" w:hAnsi="宋体" w:cs="宋体"/>
          <w:sz w:val="24"/>
          <w:szCs w:val="24"/>
        </w:rPr>
      </w:pPr>
      <w:r>
        <w:rPr>
          <w:rFonts w:hint="eastAsia" w:ascii="宋体" w:hAnsi="宋体" w:cs="宋体"/>
          <w:sz w:val="24"/>
          <w:szCs w:val="24"/>
        </w:rPr>
        <w:t>2.1.1 形式评审标准：见磋商办法前附表。</w:t>
      </w:r>
    </w:p>
    <w:p w14:paraId="7844D7E7">
      <w:pPr>
        <w:spacing w:line="520" w:lineRule="exact"/>
        <w:ind w:firstLine="480" w:firstLineChars="200"/>
        <w:rPr>
          <w:rFonts w:ascii="宋体" w:hAnsi="宋体" w:cs="宋体"/>
          <w:sz w:val="24"/>
          <w:szCs w:val="24"/>
        </w:rPr>
      </w:pPr>
      <w:r>
        <w:rPr>
          <w:rFonts w:hint="eastAsia" w:ascii="宋体" w:hAnsi="宋体" w:cs="宋体"/>
          <w:sz w:val="24"/>
          <w:szCs w:val="24"/>
        </w:rPr>
        <w:t>2.1.2 资格评审标准：见磋商办法前附表。</w:t>
      </w:r>
    </w:p>
    <w:p w14:paraId="13A45E05">
      <w:pPr>
        <w:pStyle w:val="11"/>
        <w:keepLines w:val="0"/>
        <w:widowControl/>
        <w:spacing w:line="520" w:lineRule="exact"/>
        <w:ind w:firstLine="480" w:firstLineChars="200"/>
        <w:rPr>
          <w:rFonts w:ascii="宋体" w:hAnsi="宋体" w:eastAsia="宋体"/>
        </w:rPr>
      </w:pPr>
      <w:bookmarkStart w:id="310" w:name="_Toc11804"/>
      <w:bookmarkEnd w:id="310"/>
      <w:bookmarkStart w:id="311" w:name="_Toc179632621"/>
      <w:bookmarkEnd w:id="311"/>
      <w:bookmarkStart w:id="312" w:name="_Toc16603"/>
      <w:bookmarkEnd w:id="312"/>
      <w:bookmarkStart w:id="313" w:name="_Toc607"/>
      <w:bookmarkEnd w:id="313"/>
      <w:bookmarkStart w:id="314" w:name="_Toc12819"/>
      <w:r>
        <w:rPr>
          <w:rFonts w:hint="eastAsia" w:ascii="宋体" w:hAnsi="宋体" w:eastAsia="宋体"/>
        </w:rPr>
        <w:t>2.1.3 响应性评审标准：见磋商办法前附表。</w:t>
      </w:r>
      <w:bookmarkEnd w:id="314"/>
    </w:p>
    <w:p w14:paraId="61162416">
      <w:pPr>
        <w:pStyle w:val="11"/>
        <w:keepLines w:val="0"/>
        <w:widowControl/>
        <w:spacing w:line="520" w:lineRule="exact"/>
        <w:ind w:firstLine="480" w:firstLineChars="200"/>
        <w:rPr>
          <w:rFonts w:ascii="宋体" w:hAnsi="宋体" w:eastAsia="宋体"/>
        </w:rPr>
      </w:pPr>
      <w:bookmarkStart w:id="315" w:name="_Toc7169"/>
      <w:r>
        <w:rPr>
          <w:rFonts w:hint="eastAsia" w:ascii="宋体" w:hAnsi="宋体" w:eastAsia="宋体"/>
        </w:rPr>
        <w:t>2.2 详细评审</w:t>
      </w:r>
      <w:bookmarkEnd w:id="315"/>
    </w:p>
    <w:p w14:paraId="169C0867">
      <w:pPr>
        <w:spacing w:line="520" w:lineRule="exact"/>
        <w:ind w:firstLine="480" w:firstLineChars="200"/>
        <w:rPr>
          <w:rFonts w:ascii="宋体" w:hAnsi="宋体" w:cs="宋体"/>
          <w:sz w:val="24"/>
          <w:szCs w:val="24"/>
        </w:rPr>
      </w:pPr>
      <w:r>
        <w:rPr>
          <w:rFonts w:hint="eastAsia" w:ascii="宋体" w:hAnsi="宋体" w:cs="宋体"/>
          <w:sz w:val="24"/>
          <w:szCs w:val="24"/>
        </w:rPr>
        <w:t>2.2.1 分值构成</w:t>
      </w:r>
    </w:p>
    <w:p w14:paraId="74162B53">
      <w:pPr>
        <w:spacing w:line="520" w:lineRule="exact"/>
        <w:ind w:firstLine="420" w:firstLineChars="175"/>
        <w:rPr>
          <w:rFonts w:ascii="宋体" w:hAnsi="宋体" w:cs="宋体"/>
          <w:sz w:val="24"/>
          <w:szCs w:val="24"/>
        </w:rPr>
      </w:pPr>
      <w:r>
        <w:rPr>
          <w:rFonts w:hint="eastAsia" w:ascii="宋体" w:hAnsi="宋体" w:cs="宋体"/>
          <w:color w:val="000000" w:themeColor="text1"/>
          <w:sz w:val="24"/>
          <w:szCs w:val="24"/>
          <w14:textFill>
            <w14:solidFill>
              <w14:schemeClr w14:val="tx1"/>
            </w14:solidFill>
          </w14:textFill>
        </w:rPr>
        <w:t>（1）投标报价的</w:t>
      </w:r>
      <w:r>
        <w:rPr>
          <w:rFonts w:hint="eastAsia" w:ascii="宋体" w:hAnsi="宋体" w:cs="宋体"/>
          <w:sz w:val="24"/>
          <w:szCs w:val="24"/>
        </w:rPr>
        <w:t>权重占</w:t>
      </w:r>
      <w:r>
        <w:rPr>
          <w:rFonts w:hint="eastAsia" w:ascii="宋体" w:hAnsi="宋体" w:cs="宋体"/>
          <w:sz w:val="24"/>
          <w:szCs w:val="24"/>
          <w:lang w:val="en-US" w:eastAsia="zh-CN"/>
        </w:rPr>
        <w:t>3</w:t>
      </w:r>
      <w:r>
        <w:rPr>
          <w:rFonts w:hint="eastAsia" w:ascii="宋体" w:hAnsi="宋体" w:cs="宋体"/>
          <w:sz w:val="24"/>
          <w:szCs w:val="24"/>
        </w:rPr>
        <w:t>0%</w:t>
      </w:r>
    </w:p>
    <w:p w14:paraId="5CA9DADD">
      <w:pPr>
        <w:spacing w:line="520" w:lineRule="exact"/>
        <w:ind w:firstLine="420" w:firstLineChars="175"/>
        <w:rPr>
          <w:rFonts w:ascii="宋体" w:hAnsi="宋体" w:cs="宋体"/>
          <w:sz w:val="24"/>
          <w:szCs w:val="24"/>
        </w:rPr>
      </w:pPr>
      <w:r>
        <w:rPr>
          <w:rFonts w:hint="eastAsia" w:ascii="宋体" w:hAnsi="宋体" w:cs="宋体"/>
          <w:sz w:val="24"/>
          <w:szCs w:val="24"/>
        </w:rPr>
        <w:t>（2）技术标的权重占</w:t>
      </w:r>
      <w:r>
        <w:rPr>
          <w:rFonts w:hint="eastAsia" w:ascii="宋体" w:hAnsi="宋体" w:cs="宋体"/>
          <w:sz w:val="24"/>
          <w:szCs w:val="24"/>
          <w:lang w:val="en-US" w:eastAsia="zh-CN"/>
        </w:rPr>
        <w:t>50</w:t>
      </w:r>
      <w:r>
        <w:rPr>
          <w:rFonts w:hint="eastAsia" w:ascii="宋体" w:hAnsi="宋体" w:cs="宋体"/>
          <w:sz w:val="24"/>
          <w:szCs w:val="24"/>
        </w:rPr>
        <w:t>%</w:t>
      </w:r>
    </w:p>
    <w:p w14:paraId="5E76E10C">
      <w:pPr>
        <w:spacing w:line="520" w:lineRule="exact"/>
        <w:ind w:firstLine="420" w:firstLineChars="175"/>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综合</w:t>
      </w:r>
      <w:r>
        <w:rPr>
          <w:rFonts w:hint="eastAsia" w:ascii="宋体" w:hAnsi="宋体" w:cs="宋体"/>
          <w:sz w:val="24"/>
          <w:szCs w:val="24"/>
        </w:rPr>
        <w:t>标的权重占</w:t>
      </w:r>
      <w:r>
        <w:rPr>
          <w:rFonts w:hint="eastAsia" w:ascii="宋体" w:hAnsi="宋体" w:cs="宋体"/>
          <w:sz w:val="24"/>
          <w:szCs w:val="24"/>
          <w:lang w:val="en-US" w:eastAsia="zh-CN"/>
        </w:rPr>
        <w:t>20</w:t>
      </w:r>
      <w:r>
        <w:rPr>
          <w:rFonts w:hint="eastAsia" w:ascii="宋体" w:hAnsi="宋体" w:cs="宋体"/>
          <w:sz w:val="24"/>
          <w:szCs w:val="24"/>
        </w:rPr>
        <w:t>%</w:t>
      </w:r>
    </w:p>
    <w:p w14:paraId="2E33BFEF">
      <w:pPr>
        <w:spacing w:line="520" w:lineRule="exact"/>
        <w:ind w:firstLine="480" w:firstLineChars="200"/>
        <w:rPr>
          <w:rFonts w:ascii="宋体" w:hAnsi="宋体" w:cs="宋体"/>
          <w:sz w:val="24"/>
          <w:szCs w:val="24"/>
        </w:rPr>
      </w:pPr>
      <w:r>
        <w:rPr>
          <w:rFonts w:hint="eastAsia" w:ascii="宋体" w:hAnsi="宋体" w:cs="宋体"/>
          <w:sz w:val="24"/>
          <w:szCs w:val="24"/>
        </w:rPr>
        <w:t>2.2.2  评分标准：见磋商办法前附表。</w:t>
      </w:r>
      <w:bookmarkStart w:id="316" w:name="_Toc25534"/>
      <w:bookmarkEnd w:id="316"/>
      <w:bookmarkStart w:id="317" w:name="_Toc11715"/>
      <w:bookmarkEnd w:id="317"/>
      <w:bookmarkStart w:id="318" w:name="_Toc152045604"/>
      <w:bookmarkEnd w:id="318"/>
      <w:bookmarkStart w:id="319" w:name="_Toc179632622"/>
      <w:bookmarkEnd w:id="319"/>
      <w:bookmarkStart w:id="320" w:name="_Toc13158"/>
      <w:bookmarkEnd w:id="320"/>
      <w:bookmarkStart w:id="321" w:name="_Toc144974571"/>
      <w:bookmarkEnd w:id="321"/>
      <w:bookmarkStart w:id="322" w:name="_Toc152042381"/>
    </w:p>
    <w:p w14:paraId="4A78D759">
      <w:pPr>
        <w:spacing w:line="520" w:lineRule="exact"/>
        <w:ind w:firstLine="482" w:firstLineChars="200"/>
        <w:rPr>
          <w:rFonts w:ascii="宋体" w:hAnsi="宋体" w:cs="宋体"/>
          <w:b/>
          <w:bCs/>
          <w:sz w:val="24"/>
          <w:szCs w:val="24"/>
        </w:rPr>
      </w:pPr>
      <w:r>
        <w:rPr>
          <w:rFonts w:hint="eastAsia" w:ascii="宋体" w:hAnsi="宋体" w:cs="宋体"/>
          <w:b/>
          <w:bCs/>
          <w:sz w:val="24"/>
          <w:szCs w:val="24"/>
        </w:rPr>
        <w:t>3. 磋商程序</w:t>
      </w:r>
      <w:bookmarkEnd w:id="322"/>
    </w:p>
    <w:p w14:paraId="16AE81CA">
      <w:pPr>
        <w:pStyle w:val="11"/>
        <w:keepLines w:val="0"/>
        <w:widowControl/>
        <w:spacing w:line="520" w:lineRule="exact"/>
        <w:ind w:firstLine="480" w:firstLineChars="200"/>
        <w:rPr>
          <w:rFonts w:ascii="宋体" w:hAnsi="宋体" w:eastAsia="宋体"/>
        </w:rPr>
      </w:pPr>
      <w:bookmarkStart w:id="323" w:name="_Toc152042382"/>
      <w:bookmarkEnd w:id="323"/>
      <w:bookmarkStart w:id="324" w:name="_Toc31010"/>
      <w:bookmarkEnd w:id="324"/>
      <w:bookmarkStart w:id="325" w:name="_Toc152045605"/>
      <w:bookmarkEnd w:id="325"/>
      <w:bookmarkStart w:id="326" w:name="_Toc30372"/>
      <w:bookmarkEnd w:id="326"/>
      <w:bookmarkStart w:id="327" w:name="_Toc144974572"/>
      <w:bookmarkEnd w:id="327"/>
      <w:bookmarkStart w:id="328" w:name="_Toc8644"/>
      <w:bookmarkEnd w:id="328"/>
      <w:bookmarkStart w:id="329" w:name="_Toc10475"/>
      <w:bookmarkStart w:id="330" w:name="_Toc179632623"/>
      <w:r>
        <w:rPr>
          <w:rFonts w:hint="eastAsia" w:ascii="宋体" w:hAnsi="宋体" w:eastAsia="宋体"/>
        </w:rPr>
        <w:t>3.1 初步评审</w:t>
      </w:r>
      <w:bookmarkEnd w:id="329"/>
      <w:bookmarkEnd w:id="330"/>
    </w:p>
    <w:p w14:paraId="1D0877FA">
      <w:pPr>
        <w:spacing w:line="520" w:lineRule="exact"/>
        <w:ind w:firstLine="480" w:firstLineChars="200"/>
        <w:rPr>
          <w:rFonts w:ascii="宋体" w:hAnsi="宋体" w:cs="宋体"/>
          <w:sz w:val="24"/>
          <w:szCs w:val="24"/>
        </w:rPr>
      </w:pPr>
      <w:r>
        <w:rPr>
          <w:rFonts w:hint="eastAsia" w:ascii="宋体" w:hAnsi="宋体" w:cs="宋体"/>
          <w:sz w:val="24"/>
          <w:szCs w:val="24"/>
        </w:rPr>
        <w:t>3.1.1 磋商小组应该以供应商自行上传到投标文件中的有关证明和证件的原件扫描件为准，进行核验。磋商小组依据本章第2.1款规定的标准对响应文件进行初步评审。有一项不符合评审标准的，其磋商将被否决。</w:t>
      </w:r>
    </w:p>
    <w:p w14:paraId="676254E5">
      <w:pPr>
        <w:spacing w:line="520" w:lineRule="exact"/>
        <w:ind w:firstLine="480" w:firstLineChars="200"/>
        <w:rPr>
          <w:rFonts w:ascii="宋体" w:hAnsi="宋体" w:cs="宋体"/>
          <w:sz w:val="24"/>
          <w:szCs w:val="24"/>
        </w:rPr>
      </w:pPr>
      <w:r>
        <w:rPr>
          <w:rFonts w:hint="eastAsia" w:ascii="宋体" w:hAnsi="宋体" w:cs="宋体"/>
          <w:sz w:val="24"/>
          <w:szCs w:val="24"/>
        </w:rPr>
        <w:t>3.1.2磋商小组依据本章第2.1.1项、第2.1.2项、第2.1.3项规定的评审标准对响应文件进行初步评审。有一项不符合评审标准的，其磋商将被否决。</w:t>
      </w:r>
    </w:p>
    <w:p w14:paraId="5F7D1C98">
      <w:pPr>
        <w:spacing w:line="520" w:lineRule="exact"/>
        <w:ind w:firstLine="480" w:firstLineChars="200"/>
        <w:rPr>
          <w:rFonts w:ascii="宋体" w:hAnsi="宋体" w:cs="宋体"/>
          <w:sz w:val="24"/>
          <w:szCs w:val="24"/>
        </w:rPr>
      </w:pPr>
      <w:r>
        <w:rPr>
          <w:rFonts w:hint="eastAsia" w:ascii="宋体" w:hAnsi="宋体" w:cs="宋体"/>
          <w:sz w:val="24"/>
          <w:szCs w:val="24"/>
        </w:rPr>
        <w:t>3.1.3供应商有以下情形之一的，其磋商作无效标处理：</w:t>
      </w:r>
    </w:p>
    <w:p w14:paraId="5D202E6A">
      <w:pPr>
        <w:spacing w:line="520" w:lineRule="exact"/>
        <w:ind w:firstLine="480" w:firstLineChars="200"/>
        <w:rPr>
          <w:rFonts w:ascii="宋体" w:hAnsi="宋体" w:cs="宋体"/>
          <w:sz w:val="24"/>
          <w:szCs w:val="24"/>
        </w:rPr>
      </w:pPr>
      <w:r>
        <w:rPr>
          <w:rFonts w:hint="eastAsia" w:ascii="宋体" w:hAnsi="宋体" w:cs="宋体"/>
          <w:sz w:val="24"/>
          <w:szCs w:val="24"/>
        </w:rPr>
        <w:t>（1）串通磋商或弄虚作假或有其他违法行为的；</w:t>
      </w:r>
    </w:p>
    <w:p w14:paraId="53509EFF">
      <w:pPr>
        <w:spacing w:line="520" w:lineRule="exact"/>
        <w:ind w:firstLine="480" w:firstLineChars="200"/>
        <w:rPr>
          <w:rFonts w:ascii="宋体" w:hAnsi="宋体" w:cs="宋体"/>
          <w:sz w:val="24"/>
          <w:szCs w:val="24"/>
        </w:rPr>
      </w:pPr>
      <w:r>
        <w:rPr>
          <w:rFonts w:hint="eastAsia" w:ascii="宋体" w:hAnsi="宋体" w:cs="宋体"/>
          <w:sz w:val="24"/>
          <w:szCs w:val="24"/>
        </w:rPr>
        <w:t>（2）不按磋商小组要求澄清、说明或补正的。</w:t>
      </w:r>
    </w:p>
    <w:p w14:paraId="0C25369C">
      <w:pPr>
        <w:spacing w:line="520" w:lineRule="exact"/>
        <w:ind w:firstLine="480" w:firstLineChars="200"/>
        <w:rPr>
          <w:rFonts w:ascii="宋体" w:hAnsi="宋体" w:cs="宋体"/>
          <w:sz w:val="24"/>
          <w:szCs w:val="24"/>
        </w:rPr>
      </w:pPr>
      <w:r>
        <w:rPr>
          <w:rFonts w:hint="eastAsia" w:ascii="宋体" w:hAnsi="宋体" w:cs="宋体"/>
          <w:sz w:val="24"/>
          <w:szCs w:val="24"/>
        </w:rPr>
        <w:t>3.1.4磋商报价有算术错误的，磋商小组按以下原则对磋商报价进行修正，修正的价格经供应商书面确认后具有约束力。供应商不接受修正价格的，其磋商将被否决。</w:t>
      </w:r>
    </w:p>
    <w:p w14:paraId="6C62107B">
      <w:pPr>
        <w:spacing w:line="520" w:lineRule="exact"/>
        <w:ind w:firstLine="480" w:firstLineChars="200"/>
        <w:rPr>
          <w:rFonts w:ascii="宋体" w:hAnsi="宋体" w:cs="宋体"/>
          <w:sz w:val="24"/>
          <w:szCs w:val="24"/>
        </w:rPr>
      </w:pPr>
      <w:bookmarkStart w:id="331" w:name="_Toc152042383"/>
      <w:bookmarkEnd w:id="331"/>
      <w:r>
        <w:rPr>
          <w:rFonts w:hint="eastAsia" w:ascii="宋体" w:hAnsi="宋体" w:cs="宋体"/>
          <w:sz w:val="24"/>
          <w:szCs w:val="24"/>
        </w:rPr>
        <w:t>（1）响应文件中的大写金额与小写金额不一致的，以大写金额为准；</w:t>
      </w:r>
    </w:p>
    <w:p w14:paraId="2D49C52A">
      <w:pPr>
        <w:spacing w:line="520" w:lineRule="exact"/>
        <w:ind w:firstLine="480" w:firstLineChars="200"/>
        <w:rPr>
          <w:rFonts w:ascii="宋体" w:hAnsi="宋体" w:cs="宋体"/>
          <w:sz w:val="24"/>
          <w:szCs w:val="24"/>
        </w:rPr>
      </w:pPr>
      <w:r>
        <w:rPr>
          <w:rFonts w:hint="eastAsia" w:ascii="宋体" w:hAnsi="宋体" w:cs="宋体"/>
          <w:sz w:val="24"/>
          <w:szCs w:val="24"/>
        </w:rPr>
        <w:t>（2）总价金额与依据单价计算出的结果不一致的，以单价金额为准修正总价，但单价金额小数点有明显错误的除外。</w:t>
      </w:r>
    </w:p>
    <w:p w14:paraId="7E8C736A">
      <w:pPr>
        <w:spacing w:line="520" w:lineRule="exact"/>
        <w:ind w:firstLine="480" w:firstLineChars="200"/>
        <w:rPr>
          <w:rFonts w:ascii="宋体" w:hAnsi="宋体" w:cs="宋体"/>
          <w:sz w:val="24"/>
          <w:szCs w:val="24"/>
        </w:rPr>
      </w:pPr>
      <w:bookmarkStart w:id="332" w:name="_Toc144974573"/>
      <w:bookmarkEnd w:id="332"/>
      <w:bookmarkStart w:id="333" w:name="_Toc152042384"/>
      <w:bookmarkEnd w:id="333"/>
      <w:bookmarkStart w:id="334" w:name="_Toc179632624"/>
      <w:bookmarkEnd w:id="334"/>
      <w:bookmarkStart w:id="335" w:name="_Toc152045606"/>
      <w:r>
        <w:rPr>
          <w:rFonts w:hint="eastAsia" w:ascii="宋体" w:hAnsi="宋体" w:cs="宋体"/>
          <w:sz w:val="24"/>
          <w:szCs w:val="24"/>
        </w:rPr>
        <w:t>3.2 详细评审</w:t>
      </w:r>
      <w:bookmarkEnd w:id="335"/>
    </w:p>
    <w:p w14:paraId="2BC4A67B">
      <w:pPr>
        <w:spacing w:line="520" w:lineRule="exact"/>
        <w:ind w:firstLine="480" w:firstLineChars="200"/>
        <w:rPr>
          <w:rFonts w:ascii="宋体" w:hAnsi="宋体" w:cs="宋体"/>
          <w:sz w:val="24"/>
          <w:szCs w:val="24"/>
        </w:rPr>
      </w:pPr>
      <w:r>
        <w:rPr>
          <w:rFonts w:hint="eastAsia" w:ascii="宋体" w:hAnsi="宋体" w:cs="宋体"/>
          <w:sz w:val="24"/>
          <w:szCs w:val="24"/>
        </w:rPr>
        <w:t>3.2.1 磋商小组按本章第2.2款规定的量化因素和分值进行打分，并计算出综合评估得分。</w:t>
      </w:r>
    </w:p>
    <w:p w14:paraId="4085E68F">
      <w:pPr>
        <w:spacing w:line="520" w:lineRule="exact"/>
        <w:ind w:firstLine="480" w:firstLineChars="200"/>
        <w:rPr>
          <w:rFonts w:ascii="宋体" w:hAnsi="宋体" w:cs="宋体"/>
          <w:sz w:val="24"/>
          <w:szCs w:val="24"/>
        </w:rPr>
      </w:pPr>
      <w:r>
        <w:rPr>
          <w:rFonts w:hint="eastAsia" w:ascii="宋体" w:hAnsi="宋体" w:cs="宋体"/>
          <w:sz w:val="24"/>
          <w:szCs w:val="24"/>
        </w:rPr>
        <w:t>3.2.2 磋商小组发现供应商最终提交的报价明显低于其他磋商报价，或者在设有招标控制价时明显低于招标控制价，使得其磋商报价可能低于其个别成本的，应当要求该供应商作出书面说明并提供相应的证明材料。供应商不能合理说明或者不能提供相应证明材料的，由磋商小组认定该供应商以低于成本报价竞标，其磋商作无效标处理。</w:t>
      </w:r>
    </w:p>
    <w:p w14:paraId="5FAC35F9">
      <w:pPr>
        <w:spacing w:line="520" w:lineRule="exact"/>
        <w:ind w:firstLine="480" w:firstLineChars="200"/>
        <w:rPr>
          <w:rFonts w:ascii="宋体" w:hAnsi="宋体" w:cs="宋体"/>
          <w:sz w:val="24"/>
          <w:szCs w:val="24"/>
        </w:rPr>
      </w:pPr>
      <w:bookmarkStart w:id="336" w:name="_Toc387498748"/>
      <w:bookmarkEnd w:id="336"/>
      <w:bookmarkStart w:id="337" w:name="_Toc401926485"/>
      <w:bookmarkEnd w:id="337"/>
      <w:bookmarkStart w:id="338" w:name="_Toc418605429"/>
      <w:bookmarkEnd w:id="338"/>
      <w:bookmarkStart w:id="339" w:name="_Toc418608950"/>
      <w:bookmarkEnd w:id="339"/>
      <w:bookmarkStart w:id="340" w:name="_Toc421805017"/>
      <w:bookmarkEnd w:id="340"/>
      <w:bookmarkStart w:id="341" w:name="_Toc152042385"/>
      <w:bookmarkEnd w:id="341"/>
      <w:bookmarkStart w:id="342" w:name="_Toc401512224"/>
      <w:bookmarkEnd w:id="342"/>
      <w:bookmarkStart w:id="343" w:name="_Toc179632625"/>
      <w:bookmarkEnd w:id="343"/>
      <w:bookmarkStart w:id="344" w:name="_Toc421698384"/>
      <w:bookmarkEnd w:id="344"/>
      <w:bookmarkStart w:id="345" w:name="_Toc466566711"/>
      <w:bookmarkEnd w:id="345"/>
      <w:bookmarkStart w:id="346" w:name="_Toc466566800"/>
      <w:bookmarkEnd w:id="346"/>
      <w:bookmarkStart w:id="347" w:name="_Toc423358132"/>
      <w:bookmarkEnd w:id="347"/>
      <w:bookmarkStart w:id="348" w:name="_Toc144974575"/>
      <w:bookmarkEnd w:id="348"/>
      <w:bookmarkStart w:id="349" w:name="_Toc389384087"/>
      <w:bookmarkEnd w:id="349"/>
      <w:bookmarkStart w:id="350" w:name="_Toc152045607"/>
      <w:r>
        <w:rPr>
          <w:rFonts w:hint="eastAsia" w:ascii="宋体" w:hAnsi="宋体" w:cs="宋体"/>
          <w:sz w:val="24"/>
          <w:szCs w:val="24"/>
        </w:rPr>
        <w:t xml:space="preserve">3.3 </w:t>
      </w:r>
      <w:bookmarkEnd w:id="350"/>
      <w:r>
        <w:rPr>
          <w:rFonts w:hint="eastAsia" w:ascii="宋体" w:hAnsi="宋体" w:cs="宋体"/>
          <w:sz w:val="24"/>
          <w:szCs w:val="24"/>
        </w:rPr>
        <w:t>响应文件的澄清和补正</w:t>
      </w:r>
    </w:p>
    <w:p w14:paraId="6ECD6AF8">
      <w:pPr>
        <w:spacing w:line="520" w:lineRule="exact"/>
        <w:ind w:firstLine="480" w:firstLineChars="200"/>
        <w:rPr>
          <w:rFonts w:ascii="宋体" w:hAnsi="宋体" w:cs="宋体"/>
          <w:sz w:val="24"/>
          <w:szCs w:val="24"/>
        </w:rPr>
      </w:pPr>
      <w:r>
        <w:rPr>
          <w:rFonts w:hint="eastAsia" w:ascii="宋体" w:hAnsi="宋体" w:cs="宋体"/>
          <w:sz w:val="24"/>
          <w:szCs w:val="24"/>
        </w:rPr>
        <w:t>3.3.1在磋商过程中，磋商小组可以书面形式要求供应商对所提交响应文件中不明确的内容进行书面澄清或说明，或者对细微偏差进行补正。磋商小组不接受供应商主动提出的澄清、说明或补正。</w:t>
      </w:r>
    </w:p>
    <w:p w14:paraId="708737FE">
      <w:pPr>
        <w:spacing w:line="520" w:lineRule="exact"/>
        <w:ind w:firstLine="480" w:firstLineChars="200"/>
        <w:rPr>
          <w:rFonts w:ascii="宋体" w:hAnsi="宋体" w:cs="宋体"/>
          <w:sz w:val="24"/>
          <w:szCs w:val="24"/>
        </w:rPr>
      </w:pPr>
      <w:r>
        <w:rPr>
          <w:rFonts w:hint="eastAsia" w:ascii="宋体" w:hAnsi="宋体" w:cs="宋体"/>
          <w:sz w:val="24"/>
          <w:szCs w:val="24"/>
        </w:rPr>
        <w:t>3.3.2 澄清、说明和补正不得改变响应文件的实质性内容（算术性错误修正的除外）。供应商的书面澄清、说明和补正属于响应文件的组成部分。</w:t>
      </w:r>
    </w:p>
    <w:p w14:paraId="5B33FA86">
      <w:pPr>
        <w:spacing w:line="520" w:lineRule="exact"/>
        <w:ind w:firstLine="480" w:firstLineChars="200"/>
        <w:rPr>
          <w:rFonts w:ascii="宋体" w:hAnsi="宋体" w:cs="宋体"/>
          <w:sz w:val="24"/>
          <w:szCs w:val="24"/>
        </w:rPr>
      </w:pPr>
      <w:r>
        <w:rPr>
          <w:rFonts w:hint="eastAsia" w:ascii="宋体" w:hAnsi="宋体" w:cs="宋体"/>
          <w:sz w:val="24"/>
          <w:szCs w:val="24"/>
        </w:rPr>
        <w:t>3.3.3 磋商小组对供应商提交的澄清、说明或补正有疑问的，可以要求供应商进一步澄清、说明或补正，直至满足磋商小组的要求。</w:t>
      </w:r>
    </w:p>
    <w:p w14:paraId="0BF7810C">
      <w:pPr>
        <w:spacing w:line="520" w:lineRule="exact"/>
        <w:ind w:firstLine="480" w:firstLineChars="200"/>
        <w:rPr>
          <w:rFonts w:ascii="宋体" w:hAnsi="宋体" w:cs="宋体"/>
          <w:sz w:val="24"/>
          <w:szCs w:val="24"/>
        </w:rPr>
      </w:pPr>
      <w:bookmarkStart w:id="351" w:name="_Toc401512225"/>
      <w:bookmarkEnd w:id="351"/>
      <w:bookmarkStart w:id="352" w:name="_Toc401926486"/>
      <w:bookmarkEnd w:id="352"/>
      <w:bookmarkStart w:id="353" w:name="_Toc423358133"/>
      <w:bookmarkEnd w:id="353"/>
      <w:bookmarkStart w:id="354" w:name="_Toc418608951"/>
      <w:bookmarkEnd w:id="354"/>
      <w:bookmarkStart w:id="355" w:name="_Toc418605430"/>
      <w:bookmarkEnd w:id="355"/>
      <w:bookmarkStart w:id="356" w:name="_Toc421698385"/>
      <w:bookmarkEnd w:id="356"/>
      <w:bookmarkStart w:id="357" w:name="_Toc389384088"/>
      <w:bookmarkEnd w:id="357"/>
      <w:bookmarkStart w:id="358" w:name="_Toc152045608"/>
      <w:bookmarkEnd w:id="358"/>
      <w:bookmarkStart w:id="359" w:name="_Toc466566801"/>
      <w:bookmarkEnd w:id="359"/>
      <w:bookmarkStart w:id="360" w:name="_Toc152042386"/>
      <w:bookmarkEnd w:id="360"/>
      <w:bookmarkStart w:id="361" w:name="_Toc466566712"/>
      <w:bookmarkEnd w:id="361"/>
      <w:bookmarkStart w:id="362" w:name="_Toc179632626"/>
      <w:bookmarkEnd w:id="362"/>
      <w:bookmarkStart w:id="363" w:name="_Toc144974576"/>
      <w:bookmarkEnd w:id="363"/>
      <w:bookmarkStart w:id="364" w:name="_Toc421805018"/>
      <w:bookmarkEnd w:id="364"/>
      <w:bookmarkStart w:id="365" w:name="_Toc387498749"/>
      <w:r>
        <w:rPr>
          <w:rFonts w:hint="eastAsia" w:ascii="宋体" w:hAnsi="宋体" w:cs="宋体"/>
          <w:sz w:val="24"/>
          <w:szCs w:val="24"/>
        </w:rPr>
        <w:t>3.4供应商的最终得分</w:t>
      </w:r>
      <w:bookmarkEnd w:id="365"/>
    </w:p>
    <w:p w14:paraId="0F720D0C">
      <w:pPr>
        <w:spacing w:line="520" w:lineRule="exact"/>
        <w:ind w:firstLine="480" w:firstLineChars="200"/>
        <w:rPr>
          <w:rFonts w:ascii="宋体" w:hAnsi="宋体" w:cs="宋体"/>
          <w:sz w:val="24"/>
          <w:szCs w:val="24"/>
        </w:rPr>
      </w:pPr>
      <w:r>
        <w:rPr>
          <w:rFonts w:hint="eastAsia" w:ascii="宋体" w:hAnsi="宋体" w:cs="宋体"/>
          <w:sz w:val="24"/>
          <w:szCs w:val="24"/>
        </w:rPr>
        <w:t>（1）磋商小组完成对投标报价、技术标和商务标的汇总后，取平均值作为该供应商的最终得分。</w:t>
      </w:r>
    </w:p>
    <w:p w14:paraId="3E6197A8">
      <w:pPr>
        <w:spacing w:line="520" w:lineRule="exact"/>
        <w:ind w:firstLine="480" w:firstLineChars="200"/>
        <w:rPr>
          <w:rFonts w:ascii="宋体" w:hAnsi="宋体" w:cs="宋体"/>
          <w:sz w:val="24"/>
          <w:szCs w:val="24"/>
        </w:rPr>
      </w:pPr>
      <w:r>
        <w:rPr>
          <w:rFonts w:hint="eastAsia" w:ascii="宋体" w:hAnsi="宋体" w:cs="宋体"/>
          <w:sz w:val="24"/>
          <w:szCs w:val="24"/>
        </w:rPr>
        <w:t>（2）计算分值均保留两位小数。</w:t>
      </w:r>
    </w:p>
    <w:p w14:paraId="451D4612">
      <w:pPr>
        <w:spacing w:line="520" w:lineRule="exact"/>
        <w:ind w:firstLine="480" w:firstLineChars="200"/>
        <w:rPr>
          <w:rFonts w:ascii="宋体" w:hAnsi="宋体" w:cs="宋体"/>
          <w:sz w:val="24"/>
          <w:szCs w:val="24"/>
        </w:rPr>
      </w:pPr>
      <w:r>
        <w:rPr>
          <w:rFonts w:hint="eastAsia" w:ascii="宋体" w:hAnsi="宋体" w:cs="宋体"/>
          <w:sz w:val="24"/>
          <w:szCs w:val="24"/>
        </w:rPr>
        <w:t>3.5磋商结果</w:t>
      </w:r>
    </w:p>
    <w:p w14:paraId="04427E3D">
      <w:pPr>
        <w:spacing w:line="520" w:lineRule="exact"/>
        <w:ind w:firstLine="480" w:firstLineChars="200"/>
        <w:rPr>
          <w:rFonts w:ascii="宋体" w:hAnsi="宋体" w:cs="宋体"/>
          <w:sz w:val="24"/>
          <w:szCs w:val="24"/>
        </w:rPr>
      </w:pPr>
      <w:r>
        <w:rPr>
          <w:rFonts w:hint="eastAsia" w:ascii="宋体" w:hAnsi="宋体" w:cs="宋体"/>
          <w:sz w:val="24"/>
          <w:szCs w:val="24"/>
        </w:rPr>
        <w:t>3.5.1磋商小组按照得分由高到低的顺序推荐3名成交候选人。</w:t>
      </w:r>
    </w:p>
    <w:p w14:paraId="53D53C8D">
      <w:pPr>
        <w:spacing w:line="520" w:lineRule="exact"/>
        <w:ind w:firstLine="480" w:firstLineChars="200"/>
        <w:rPr>
          <w:rFonts w:ascii="宋体" w:hAnsi="宋体" w:cs="宋体"/>
          <w:sz w:val="24"/>
          <w:szCs w:val="24"/>
        </w:rPr>
      </w:pPr>
      <w:r>
        <w:rPr>
          <w:rFonts w:hint="eastAsia" w:ascii="宋体" w:hAnsi="宋体" w:cs="宋体"/>
          <w:sz w:val="24"/>
          <w:szCs w:val="24"/>
        </w:rPr>
        <w:t>3.5.2 磋商小组完成磋商后，应当向招标人提交书面评标报告。</w:t>
      </w:r>
    </w:p>
    <w:p w14:paraId="56AB8C0D">
      <w:pPr>
        <w:spacing w:line="480" w:lineRule="auto"/>
        <w:jc w:val="center"/>
        <w:rPr>
          <w:rFonts w:hint="eastAsia" w:ascii="宋体" w:hAnsi="宋体" w:cs="宋体"/>
          <w:b/>
          <w:bCs/>
          <w:sz w:val="28"/>
          <w:szCs w:val="28"/>
        </w:rPr>
      </w:pPr>
    </w:p>
    <w:p w14:paraId="27D80ADF">
      <w:pPr>
        <w:spacing w:line="480" w:lineRule="auto"/>
        <w:jc w:val="center"/>
        <w:rPr>
          <w:rFonts w:hint="eastAsia" w:ascii="宋体" w:hAnsi="宋体" w:cs="宋体"/>
          <w:b/>
          <w:bCs/>
          <w:sz w:val="28"/>
          <w:szCs w:val="28"/>
        </w:rPr>
      </w:pPr>
    </w:p>
    <w:p w14:paraId="6A325C8C">
      <w:pPr>
        <w:spacing w:line="480" w:lineRule="auto"/>
        <w:jc w:val="center"/>
        <w:rPr>
          <w:rFonts w:ascii="宋体" w:hAnsi="宋体"/>
          <w:b/>
          <w:sz w:val="28"/>
          <w:szCs w:val="28"/>
        </w:rPr>
      </w:pPr>
      <w:r>
        <w:rPr>
          <w:rFonts w:hint="eastAsia" w:ascii="宋体" w:hAnsi="宋体" w:cs="宋体"/>
          <w:b/>
          <w:bCs/>
          <w:sz w:val="28"/>
          <w:szCs w:val="28"/>
        </w:rPr>
        <w:t>2.1初步评审表</w:t>
      </w:r>
    </w:p>
    <w:tbl>
      <w:tblPr>
        <w:tblStyle w:val="6"/>
        <w:tblW w:w="9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709"/>
        <w:gridCol w:w="2126"/>
        <w:gridCol w:w="709"/>
        <w:gridCol w:w="5953"/>
      </w:tblGrid>
      <w:tr w14:paraId="7BDC8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101" w:type="dxa"/>
            <w:gridSpan w:val="2"/>
            <w:vAlign w:val="center"/>
          </w:tcPr>
          <w:p w14:paraId="7954FB1E">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r>
              <w:rPr>
                <w:rFonts w:hint="eastAsia" w:asciiTheme="minorEastAsia" w:hAnsiTheme="minorEastAsia"/>
                <w:color w:val="000000"/>
                <w:sz w:val="24"/>
                <w:szCs w:val="24"/>
              </w:rPr>
              <w:t>条款号</w:t>
            </w:r>
          </w:p>
        </w:tc>
        <w:tc>
          <w:tcPr>
            <w:tcW w:w="2835" w:type="dxa"/>
            <w:gridSpan w:val="2"/>
            <w:vAlign w:val="center"/>
          </w:tcPr>
          <w:p w14:paraId="48681CD0">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r>
              <w:rPr>
                <w:rFonts w:hint="eastAsia" w:asciiTheme="minorEastAsia" w:hAnsiTheme="minorEastAsia"/>
                <w:color w:val="000000"/>
                <w:sz w:val="24"/>
                <w:szCs w:val="24"/>
              </w:rPr>
              <w:t>评审因素</w:t>
            </w:r>
          </w:p>
        </w:tc>
        <w:tc>
          <w:tcPr>
            <w:tcW w:w="5953" w:type="dxa"/>
            <w:vAlign w:val="center"/>
          </w:tcPr>
          <w:p w14:paraId="233CFC46">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r>
              <w:rPr>
                <w:rFonts w:hint="eastAsia" w:asciiTheme="minorEastAsia" w:hAnsiTheme="minorEastAsia"/>
                <w:color w:val="000000"/>
                <w:sz w:val="24"/>
                <w:szCs w:val="24"/>
              </w:rPr>
              <w:t>评审标准</w:t>
            </w:r>
          </w:p>
        </w:tc>
      </w:tr>
      <w:tr w14:paraId="7BF49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392" w:type="dxa"/>
            <w:vMerge w:val="restart"/>
            <w:vAlign w:val="center"/>
          </w:tcPr>
          <w:p w14:paraId="5336FE56">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p w14:paraId="0032E757">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p w14:paraId="15EFE4B6">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eastAsiaTheme="minorEastAsia"/>
                <w:color w:val="000000"/>
                <w:sz w:val="24"/>
                <w:szCs w:val="24"/>
                <w:lang w:val="en-US" w:eastAsia="zh-CN"/>
              </w:rPr>
            </w:pPr>
            <w:r>
              <w:rPr>
                <w:rFonts w:hint="eastAsia" w:asciiTheme="minorEastAsia" w:hAnsiTheme="minorEastAsia"/>
                <w:color w:val="000000"/>
                <w:sz w:val="24"/>
                <w:szCs w:val="24"/>
                <w:lang w:val="en-US" w:eastAsia="zh-CN"/>
              </w:rPr>
              <w:t>2.1</w:t>
            </w:r>
          </w:p>
        </w:tc>
        <w:tc>
          <w:tcPr>
            <w:tcW w:w="709" w:type="dxa"/>
            <w:vMerge w:val="restart"/>
            <w:vAlign w:val="center"/>
          </w:tcPr>
          <w:p w14:paraId="2F1C0251">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r>
              <w:rPr>
                <w:rFonts w:hint="eastAsia" w:asciiTheme="minorEastAsia" w:hAnsiTheme="minorEastAsia"/>
                <w:color w:val="000000"/>
                <w:kern w:val="0"/>
                <w:sz w:val="24"/>
                <w:szCs w:val="24"/>
                <w:lang w:val="en-US" w:eastAsia="zh-CN"/>
              </w:rPr>
              <w:t>2.1.2</w:t>
            </w:r>
            <w:r>
              <w:rPr>
                <w:rFonts w:hint="eastAsia" w:asciiTheme="minorEastAsia" w:hAnsiTheme="minorEastAsia"/>
                <w:color w:val="000000"/>
                <w:kern w:val="0"/>
                <w:sz w:val="24"/>
                <w:szCs w:val="24"/>
              </w:rPr>
              <w:t>资格性评审标准</w:t>
            </w:r>
          </w:p>
        </w:tc>
        <w:tc>
          <w:tcPr>
            <w:tcW w:w="2835" w:type="dxa"/>
            <w:gridSpan w:val="2"/>
            <w:vAlign w:val="center"/>
          </w:tcPr>
          <w:p w14:paraId="20B0E986">
            <w:pPr>
              <w:keepNext w:val="0"/>
              <w:keepLines w:val="0"/>
              <w:widowControl/>
              <w:suppressLineNumbers w:val="0"/>
              <w:adjustRightInd w:val="0"/>
              <w:snapToGrid w:val="0"/>
              <w:spacing w:before="0" w:beforeAutospacing="0" w:after="0" w:afterAutospacing="0" w:line="360" w:lineRule="auto"/>
              <w:ind w:left="0" w:right="0"/>
              <w:jc w:val="left"/>
              <w:rPr>
                <w:rFonts w:hint="default" w:asciiTheme="minorEastAsia" w:hAnsiTheme="minorEastAsia"/>
                <w:kern w:val="0"/>
                <w:sz w:val="24"/>
                <w:szCs w:val="24"/>
              </w:rPr>
            </w:pPr>
            <w:r>
              <w:rPr>
                <w:rFonts w:hint="default" w:asciiTheme="minorEastAsia" w:hAnsiTheme="minorEastAsia"/>
                <w:kern w:val="0"/>
                <w:sz w:val="24"/>
                <w:szCs w:val="24"/>
              </w:rPr>
              <w:t>法定代表人身份证（或授权委托书及授权人身份证）</w:t>
            </w:r>
          </w:p>
        </w:tc>
        <w:tc>
          <w:tcPr>
            <w:tcW w:w="5953" w:type="dxa"/>
            <w:vAlign w:val="center"/>
          </w:tcPr>
          <w:p w14:paraId="4445B96E">
            <w:pPr>
              <w:keepNext w:val="0"/>
              <w:keepLines w:val="0"/>
              <w:widowControl/>
              <w:suppressLineNumbers w:val="0"/>
              <w:adjustRightInd w:val="0"/>
              <w:snapToGrid w:val="0"/>
              <w:spacing w:before="0" w:beforeAutospacing="0" w:after="0" w:afterAutospacing="0" w:line="360" w:lineRule="auto"/>
              <w:ind w:left="0" w:right="0"/>
              <w:jc w:val="left"/>
              <w:rPr>
                <w:rFonts w:hint="default" w:asciiTheme="minorEastAsia" w:hAnsiTheme="minorEastAsia"/>
                <w:kern w:val="0"/>
                <w:sz w:val="24"/>
                <w:szCs w:val="24"/>
              </w:rPr>
            </w:pPr>
            <w:r>
              <w:rPr>
                <w:rFonts w:hint="eastAsia" w:asciiTheme="minorEastAsia" w:hAnsiTheme="minorEastAsia"/>
                <w:kern w:val="0"/>
                <w:sz w:val="24"/>
                <w:szCs w:val="24"/>
              </w:rPr>
              <w:t>法定代表人提供本人身份证（或代理人提供法人代表授权委托书及被授权人身份证）</w:t>
            </w:r>
          </w:p>
        </w:tc>
      </w:tr>
      <w:tr w14:paraId="03754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392" w:type="dxa"/>
            <w:vMerge w:val="continue"/>
            <w:vAlign w:val="center"/>
          </w:tcPr>
          <w:p w14:paraId="6F8FF454">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709" w:type="dxa"/>
            <w:vMerge w:val="continue"/>
            <w:vAlign w:val="center"/>
          </w:tcPr>
          <w:p w14:paraId="00AFB2B7">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2835" w:type="dxa"/>
            <w:gridSpan w:val="2"/>
            <w:vAlign w:val="center"/>
          </w:tcPr>
          <w:p w14:paraId="7210FCDA">
            <w:pPr>
              <w:keepNext w:val="0"/>
              <w:keepLines w:val="0"/>
              <w:widowControl/>
              <w:suppressLineNumbers w:val="0"/>
              <w:adjustRightInd w:val="0"/>
              <w:snapToGrid w:val="0"/>
              <w:spacing w:before="0" w:beforeAutospacing="0" w:after="0" w:afterAutospacing="0" w:line="360" w:lineRule="auto"/>
              <w:ind w:left="0" w:right="0"/>
              <w:jc w:val="left"/>
              <w:rPr>
                <w:rFonts w:hint="default" w:asciiTheme="minorEastAsia" w:hAnsiTheme="minorEastAsia"/>
                <w:kern w:val="0"/>
                <w:sz w:val="24"/>
                <w:szCs w:val="24"/>
              </w:rPr>
            </w:pPr>
            <w:r>
              <w:rPr>
                <w:rFonts w:hint="eastAsia" w:asciiTheme="minorEastAsia" w:hAnsiTheme="minorEastAsia"/>
                <w:kern w:val="0"/>
                <w:sz w:val="24"/>
                <w:szCs w:val="24"/>
              </w:rPr>
              <w:t>符合《中华人民共和国政府采购法》第二十二条规定</w:t>
            </w:r>
          </w:p>
        </w:tc>
        <w:tc>
          <w:tcPr>
            <w:tcW w:w="5953" w:type="dxa"/>
            <w:vAlign w:val="center"/>
          </w:tcPr>
          <w:p w14:paraId="34697FF8">
            <w:pPr>
              <w:keepNext w:val="0"/>
              <w:keepLines w:val="0"/>
              <w:widowControl/>
              <w:suppressLineNumbers w:val="0"/>
              <w:adjustRightInd w:val="0"/>
              <w:snapToGrid w:val="0"/>
              <w:spacing w:before="0" w:beforeAutospacing="0" w:after="0" w:afterAutospacing="0" w:line="360" w:lineRule="auto"/>
              <w:ind w:left="0" w:right="0"/>
              <w:jc w:val="left"/>
              <w:rPr>
                <w:rFonts w:hint="default" w:asciiTheme="minorEastAsia" w:hAnsiTheme="minorEastAsia"/>
                <w:kern w:val="0"/>
                <w:sz w:val="24"/>
                <w:szCs w:val="24"/>
              </w:rPr>
            </w:pPr>
            <w:r>
              <w:rPr>
                <w:rFonts w:hint="eastAsia" w:asciiTheme="minorEastAsia" w:hAnsiTheme="minorEastAsia"/>
                <w:kern w:val="0"/>
                <w:sz w:val="24"/>
                <w:szCs w:val="24"/>
              </w:rPr>
              <w:t>符合《中华人民共和国政府采购法》第二十二条规定（相关证明资料或承诺书）</w:t>
            </w:r>
          </w:p>
        </w:tc>
      </w:tr>
      <w:tr w14:paraId="399B7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392" w:type="dxa"/>
            <w:vMerge w:val="continue"/>
            <w:vAlign w:val="center"/>
          </w:tcPr>
          <w:p w14:paraId="287C3F6A">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709" w:type="dxa"/>
            <w:vMerge w:val="continue"/>
            <w:vAlign w:val="center"/>
          </w:tcPr>
          <w:p w14:paraId="61D64816">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2835" w:type="dxa"/>
            <w:gridSpan w:val="2"/>
            <w:vAlign w:val="center"/>
          </w:tcPr>
          <w:p w14:paraId="28E1D54D">
            <w:pPr>
              <w:keepNext w:val="0"/>
              <w:keepLines w:val="0"/>
              <w:widowControl/>
              <w:suppressLineNumbers w:val="0"/>
              <w:adjustRightInd w:val="0"/>
              <w:snapToGrid w:val="0"/>
              <w:spacing w:before="0" w:beforeAutospacing="0" w:after="0" w:afterAutospacing="0" w:line="360" w:lineRule="auto"/>
              <w:ind w:left="0" w:right="0"/>
              <w:jc w:val="left"/>
              <w:rPr>
                <w:rFonts w:hint="eastAsia" w:asciiTheme="minorEastAsia" w:hAnsiTheme="minorEastAsia"/>
                <w:kern w:val="0"/>
                <w:sz w:val="24"/>
                <w:szCs w:val="24"/>
              </w:rPr>
            </w:pPr>
            <w:r>
              <w:rPr>
                <w:rFonts w:hint="eastAsia" w:ascii="宋体" w:hAnsi="宋体" w:cs="宋体"/>
                <w:sz w:val="24"/>
                <w:szCs w:val="24"/>
                <w:lang w:val="en-US" w:eastAsia="zh-CN"/>
              </w:rPr>
              <w:t>落实政府采购政策满足的资格要求</w:t>
            </w:r>
          </w:p>
        </w:tc>
        <w:tc>
          <w:tcPr>
            <w:tcW w:w="5953" w:type="dxa"/>
            <w:vAlign w:val="center"/>
          </w:tcPr>
          <w:p w14:paraId="77AFDBFF">
            <w:pPr>
              <w:keepNext w:val="0"/>
              <w:keepLines w:val="0"/>
              <w:widowControl/>
              <w:suppressLineNumbers w:val="0"/>
              <w:adjustRightInd w:val="0"/>
              <w:snapToGrid w:val="0"/>
              <w:spacing w:before="0" w:beforeAutospacing="0" w:after="0" w:afterAutospacing="0" w:line="360" w:lineRule="auto"/>
              <w:ind w:left="0" w:right="0"/>
              <w:jc w:val="left"/>
              <w:rPr>
                <w:rFonts w:hint="eastAsia" w:asciiTheme="minorEastAsia" w:hAnsiTheme="minorEastAsia"/>
                <w:kern w:val="0"/>
                <w:sz w:val="24"/>
                <w:szCs w:val="24"/>
              </w:rPr>
            </w:pPr>
            <w:r>
              <w:rPr>
                <w:rFonts w:hint="eastAsia" w:ascii="宋体" w:hAnsi="宋体" w:cs="宋体"/>
                <w:sz w:val="24"/>
                <w:szCs w:val="24"/>
                <w:lang w:val="en-US" w:eastAsia="zh-CN"/>
              </w:rPr>
              <w:t>本项目专门面向中小企业采购，供应商必须是中小企业，并出具《中小企业声明函》；</w:t>
            </w:r>
          </w:p>
        </w:tc>
      </w:tr>
      <w:tr w14:paraId="4D531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392" w:type="dxa"/>
            <w:vMerge w:val="continue"/>
            <w:vAlign w:val="center"/>
          </w:tcPr>
          <w:p w14:paraId="5500C9DD">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709" w:type="dxa"/>
            <w:vMerge w:val="continue"/>
            <w:vAlign w:val="center"/>
          </w:tcPr>
          <w:p w14:paraId="22C9371E">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2835" w:type="dxa"/>
            <w:gridSpan w:val="2"/>
            <w:vAlign w:val="center"/>
          </w:tcPr>
          <w:p w14:paraId="4A6DD4E7">
            <w:pPr>
              <w:keepNext w:val="0"/>
              <w:keepLines w:val="0"/>
              <w:widowControl/>
              <w:suppressLineNumbers w:val="0"/>
              <w:adjustRightInd w:val="0"/>
              <w:snapToGrid w:val="0"/>
              <w:spacing w:before="0" w:beforeAutospacing="0" w:after="0" w:afterAutospacing="0" w:line="360" w:lineRule="auto"/>
              <w:ind w:left="0" w:right="0"/>
              <w:jc w:val="left"/>
              <w:rPr>
                <w:rFonts w:hint="default" w:asciiTheme="minorEastAsia" w:hAnsiTheme="minorEastAsia" w:eastAsiaTheme="minorEastAsia"/>
                <w:kern w:val="0"/>
                <w:sz w:val="24"/>
                <w:szCs w:val="24"/>
                <w:lang w:val="en-US" w:eastAsia="zh-CN"/>
              </w:rPr>
            </w:pPr>
            <w:r>
              <w:rPr>
                <w:rFonts w:hint="default" w:asciiTheme="minorEastAsia" w:hAnsiTheme="minorEastAsia"/>
                <w:kern w:val="0"/>
                <w:sz w:val="24"/>
                <w:szCs w:val="24"/>
              </w:rPr>
              <w:t>营业</w:t>
            </w:r>
            <w:r>
              <w:rPr>
                <w:rFonts w:hint="eastAsia" w:asciiTheme="minorEastAsia" w:hAnsiTheme="minorEastAsia"/>
                <w:kern w:val="0"/>
                <w:sz w:val="24"/>
                <w:szCs w:val="24"/>
              </w:rPr>
              <w:t>执照</w:t>
            </w:r>
            <w:r>
              <w:rPr>
                <w:rFonts w:hint="eastAsia" w:asciiTheme="minorEastAsia" w:hAnsiTheme="minorEastAsia"/>
                <w:kern w:val="0"/>
                <w:sz w:val="24"/>
                <w:szCs w:val="24"/>
                <w:lang w:val="en-US" w:eastAsia="zh-CN"/>
              </w:rPr>
              <w:t>或证书</w:t>
            </w:r>
          </w:p>
        </w:tc>
        <w:tc>
          <w:tcPr>
            <w:tcW w:w="5953" w:type="dxa"/>
            <w:vAlign w:val="center"/>
          </w:tcPr>
          <w:p w14:paraId="769C3D07">
            <w:pPr>
              <w:keepNext w:val="0"/>
              <w:keepLines w:val="0"/>
              <w:suppressLineNumbers w:val="0"/>
              <w:spacing w:before="0" w:beforeAutospacing="0" w:after="0" w:afterAutospacing="0" w:line="360" w:lineRule="auto"/>
              <w:ind w:left="0" w:right="0"/>
              <w:rPr>
                <w:rFonts w:hint="default" w:asciiTheme="minorEastAsia" w:hAnsiTheme="minorEastAsia"/>
                <w:kern w:val="0"/>
                <w:sz w:val="24"/>
                <w:szCs w:val="24"/>
              </w:rPr>
            </w:pPr>
            <w:r>
              <w:rPr>
                <w:rFonts w:hint="eastAsia" w:ascii="宋体" w:hAnsi="宋体" w:cs="宋体"/>
                <w:sz w:val="24"/>
                <w:szCs w:val="24"/>
                <w:lang w:val="en-US" w:eastAsia="zh-CN"/>
              </w:rPr>
              <w:t>供应商须具有独立的法人资格或其他组织</w:t>
            </w:r>
          </w:p>
        </w:tc>
      </w:tr>
      <w:tr w14:paraId="7533C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392" w:type="dxa"/>
            <w:vMerge w:val="continue"/>
            <w:vAlign w:val="center"/>
          </w:tcPr>
          <w:p w14:paraId="0BDFD401">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709" w:type="dxa"/>
            <w:vMerge w:val="continue"/>
            <w:vAlign w:val="center"/>
          </w:tcPr>
          <w:p w14:paraId="0064954B">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2835" w:type="dxa"/>
            <w:gridSpan w:val="2"/>
            <w:vAlign w:val="center"/>
          </w:tcPr>
          <w:p w14:paraId="39E6477E">
            <w:pPr>
              <w:keepNext w:val="0"/>
              <w:keepLines w:val="0"/>
              <w:widowControl/>
              <w:suppressLineNumbers w:val="0"/>
              <w:adjustRightInd w:val="0"/>
              <w:snapToGrid w:val="0"/>
              <w:spacing w:before="0" w:beforeAutospacing="0" w:after="0" w:afterAutospacing="0" w:line="360" w:lineRule="auto"/>
              <w:ind w:left="0" w:right="0"/>
              <w:jc w:val="left"/>
              <w:rPr>
                <w:rFonts w:hint="default" w:asciiTheme="minorEastAsia" w:hAnsiTheme="minorEastAsia"/>
                <w:kern w:val="0"/>
                <w:sz w:val="24"/>
                <w:szCs w:val="24"/>
              </w:rPr>
            </w:pPr>
            <w:r>
              <w:rPr>
                <w:rFonts w:hint="default" w:asciiTheme="minorEastAsia" w:hAnsiTheme="minorEastAsia"/>
                <w:kern w:val="0"/>
                <w:sz w:val="24"/>
                <w:szCs w:val="24"/>
              </w:rPr>
              <w:t>资质证书、安全生产许可证</w:t>
            </w:r>
          </w:p>
        </w:tc>
        <w:tc>
          <w:tcPr>
            <w:tcW w:w="5953" w:type="dxa"/>
            <w:vAlign w:val="center"/>
          </w:tcPr>
          <w:p w14:paraId="420E301A">
            <w:pPr>
              <w:keepNext w:val="0"/>
              <w:keepLines w:val="0"/>
              <w:widowControl/>
              <w:suppressLineNumbers w:val="0"/>
              <w:adjustRightInd w:val="0"/>
              <w:snapToGrid w:val="0"/>
              <w:spacing w:before="0" w:beforeAutospacing="0" w:after="0" w:afterAutospacing="0" w:line="360" w:lineRule="auto"/>
              <w:ind w:left="0" w:right="0"/>
              <w:jc w:val="left"/>
              <w:rPr>
                <w:rFonts w:hint="eastAsia" w:asciiTheme="minorEastAsia" w:hAnsiTheme="minorEastAsia" w:eastAsiaTheme="minorEastAsia"/>
                <w:kern w:val="0"/>
                <w:sz w:val="24"/>
                <w:szCs w:val="24"/>
                <w:lang w:eastAsia="zh-CN"/>
              </w:rPr>
            </w:pPr>
            <w:r>
              <w:rPr>
                <w:rFonts w:hint="eastAsia" w:ascii="宋体" w:hAnsi="宋体" w:cs="宋体"/>
                <w:sz w:val="24"/>
                <w:szCs w:val="24"/>
                <w:lang w:val="en-US" w:eastAsia="zh-CN"/>
              </w:rPr>
              <w:t>供应商须具有公路工程施工总承包叁级及以上资质，具有有效的安全生产许可证；并在人员、设备、资金等方面具有相应的施工能力。</w:t>
            </w:r>
          </w:p>
        </w:tc>
      </w:tr>
      <w:tr w14:paraId="103E3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392" w:type="dxa"/>
            <w:vMerge w:val="continue"/>
            <w:vAlign w:val="center"/>
          </w:tcPr>
          <w:p w14:paraId="6A557E19">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709" w:type="dxa"/>
            <w:vMerge w:val="continue"/>
            <w:vAlign w:val="center"/>
          </w:tcPr>
          <w:p w14:paraId="1C214D6F">
            <w:pPr>
              <w:keepNext w:val="0"/>
              <w:keepLines w:val="0"/>
              <w:widowControl/>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kern w:val="0"/>
                <w:sz w:val="24"/>
                <w:szCs w:val="24"/>
              </w:rPr>
            </w:pPr>
          </w:p>
        </w:tc>
        <w:tc>
          <w:tcPr>
            <w:tcW w:w="2835" w:type="dxa"/>
            <w:gridSpan w:val="2"/>
            <w:vAlign w:val="center"/>
          </w:tcPr>
          <w:p w14:paraId="1EDD295C">
            <w:pPr>
              <w:keepNext w:val="0"/>
              <w:keepLines w:val="0"/>
              <w:widowControl/>
              <w:suppressLineNumbers w:val="0"/>
              <w:adjustRightInd w:val="0"/>
              <w:snapToGrid w:val="0"/>
              <w:spacing w:before="0" w:beforeAutospacing="0" w:after="0" w:afterAutospacing="0" w:line="360" w:lineRule="auto"/>
              <w:ind w:left="0" w:right="0"/>
              <w:jc w:val="left"/>
              <w:rPr>
                <w:rFonts w:hint="default" w:asciiTheme="minorEastAsia" w:hAnsiTheme="minorEastAsia"/>
                <w:kern w:val="0"/>
                <w:sz w:val="24"/>
                <w:szCs w:val="24"/>
              </w:rPr>
            </w:pPr>
            <w:r>
              <w:rPr>
                <w:rFonts w:hint="default" w:asciiTheme="minorEastAsia" w:hAnsiTheme="minorEastAsia"/>
                <w:kern w:val="0"/>
                <w:sz w:val="24"/>
                <w:szCs w:val="24"/>
              </w:rPr>
              <w:t>项目经理</w:t>
            </w:r>
          </w:p>
        </w:tc>
        <w:tc>
          <w:tcPr>
            <w:tcW w:w="5953" w:type="dxa"/>
            <w:vAlign w:val="center"/>
          </w:tcPr>
          <w:p w14:paraId="7CA3D58A">
            <w:pPr>
              <w:keepNext w:val="0"/>
              <w:keepLines w:val="0"/>
              <w:suppressLineNumbers w:val="0"/>
              <w:spacing w:before="0" w:beforeAutospacing="0" w:after="0" w:afterAutospacing="0" w:line="360" w:lineRule="auto"/>
              <w:ind w:left="0" w:right="0" w:firstLine="420" w:firstLineChars="175"/>
              <w:rPr>
                <w:rFonts w:hint="default" w:asciiTheme="minorEastAsia" w:hAnsiTheme="minorEastAsia"/>
                <w:kern w:val="0"/>
                <w:sz w:val="24"/>
                <w:szCs w:val="24"/>
              </w:rPr>
            </w:pPr>
            <w:r>
              <w:rPr>
                <w:rFonts w:hint="eastAsia" w:ascii="宋体" w:hAnsi="宋体" w:cs="宋体"/>
                <w:sz w:val="24"/>
                <w:szCs w:val="24"/>
                <w:lang w:val="en-US" w:eastAsia="en-US"/>
              </w:rPr>
              <w:t>拟派项目经理须具备相关专业贰级及以上注册建造师资格，具备有效的安全生产考核合格证书，参加继续教育的应具有建造师继续教育证，已参加养老保险缴纳证明</w:t>
            </w:r>
            <w:r>
              <w:rPr>
                <w:rFonts w:hint="eastAsia" w:ascii="宋体" w:hAnsi="宋体" w:cs="宋体"/>
                <w:sz w:val="24"/>
                <w:szCs w:val="24"/>
                <w:lang w:val="en-US" w:eastAsia="zh-CN"/>
              </w:rPr>
              <w:t>，</w:t>
            </w:r>
            <w:r>
              <w:rPr>
                <w:rFonts w:hint="eastAsia" w:ascii="宋体" w:hAnsi="宋体" w:cs="宋体"/>
                <w:sz w:val="24"/>
                <w:szCs w:val="24"/>
                <w:lang w:val="en-US" w:eastAsia="en-US"/>
              </w:rPr>
              <w:t>且未在其他在建工程项目中担任项目经理；</w:t>
            </w:r>
          </w:p>
        </w:tc>
      </w:tr>
      <w:tr w14:paraId="44BA4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392" w:type="dxa"/>
            <w:vMerge w:val="continue"/>
            <w:vAlign w:val="center"/>
          </w:tcPr>
          <w:p w14:paraId="14D1A4D0">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709" w:type="dxa"/>
            <w:vMerge w:val="continue"/>
            <w:vAlign w:val="center"/>
          </w:tcPr>
          <w:p w14:paraId="5F8D530A">
            <w:pPr>
              <w:keepNext w:val="0"/>
              <w:keepLines w:val="0"/>
              <w:widowControl/>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kern w:val="0"/>
                <w:sz w:val="24"/>
                <w:szCs w:val="24"/>
              </w:rPr>
            </w:pPr>
          </w:p>
        </w:tc>
        <w:tc>
          <w:tcPr>
            <w:tcW w:w="2835" w:type="dxa"/>
            <w:gridSpan w:val="2"/>
            <w:vAlign w:val="center"/>
          </w:tcPr>
          <w:p w14:paraId="6B702A9E">
            <w:pPr>
              <w:keepNext w:val="0"/>
              <w:keepLines w:val="0"/>
              <w:widowControl/>
              <w:suppressLineNumbers w:val="0"/>
              <w:adjustRightInd w:val="0"/>
              <w:snapToGrid w:val="0"/>
              <w:spacing w:before="0" w:beforeAutospacing="0" w:after="0" w:afterAutospacing="0" w:line="360" w:lineRule="auto"/>
              <w:ind w:left="0" w:right="0"/>
              <w:jc w:val="left"/>
              <w:rPr>
                <w:rFonts w:hint="default" w:asciiTheme="minorEastAsia" w:hAnsiTheme="minorEastAsia"/>
                <w:kern w:val="0"/>
                <w:sz w:val="24"/>
                <w:szCs w:val="24"/>
              </w:rPr>
            </w:pPr>
            <w:r>
              <w:rPr>
                <w:rFonts w:hint="eastAsia" w:asciiTheme="minorEastAsia" w:hAnsiTheme="minorEastAsia"/>
                <w:kern w:val="0"/>
                <w:sz w:val="24"/>
                <w:szCs w:val="24"/>
              </w:rPr>
              <w:t>无商业贿赂及无不正当竞争行为的</w:t>
            </w:r>
            <w:r>
              <w:rPr>
                <w:rFonts w:hint="default" w:asciiTheme="minorEastAsia" w:hAnsiTheme="minorEastAsia"/>
                <w:kern w:val="0"/>
                <w:sz w:val="24"/>
                <w:szCs w:val="24"/>
              </w:rPr>
              <w:t>承诺书</w:t>
            </w:r>
          </w:p>
        </w:tc>
        <w:tc>
          <w:tcPr>
            <w:tcW w:w="5953" w:type="dxa"/>
            <w:vAlign w:val="center"/>
          </w:tcPr>
          <w:p w14:paraId="5FDF22D8">
            <w:pPr>
              <w:keepNext w:val="0"/>
              <w:keepLines w:val="0"/>
              <w:widowControl/>
              <w:suppressLineNumbers w:val="0"/>
              <w:adjustRightInd w:val="0"/>
              <w:snapToGrid w:val="0"/>
              <w:spacing w:before="0" w:beforeAutospacing="0" w:after="0" w:afterAutospacing="0" w:line="360" w:lineRule="auto"/>
              <w:ind w:left="0" w:right="0"/>
              <w:jc w:val="left"/>
              <w:rPr>
                <w:rFonts w:hint="default" w:asciiTheme="minorEastAsia" w:hAnsiTheme="minorEastAsia"/>
                <w:kern w:val="0"/>
                <w:sz w:val="24"/>
                <w:szCs w:val="24"/>
              </w:rPr>
            </w:pPr>
            <w:r>
              <w:rPr>
                <w:rFonts w:hint="eastAsia" w:ascii="宋体" w:hAnsi="宋体" w:cs="宋体"/>
                <w:sz w:val="24"/>
                <w:szCs w:val="24"/>
                <w:lang w:val="en-US" w:eastAsia="en-US"/>
              </w:rPr>
              <w:t>供应商出具无商业贿赂及无不正当竞争行为的承诺书；</w:t>
            </w:r>
          </w:p>
        </w:tc>
      </w:tr>
      <w:tr w14:paraId="3BAB5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392" w:type="dxa"/>
            <w:vMerge w:val="continue"/>
            <w:vAlign w:val="center"/>
          </w:tcPr>
          <w:p w14:paraId="2B389151">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709" w:type="dxa"/>
            <w:vMerge w:val="continue"/>
            <w:vAlign w:val="center"/>
          </w:tcPr>
          <w:p w14:paraId="15CDDB80">
            <w:pPr>
              <w:keepNext w:val="0"/>
              <w:keepLines w:val="0"/>
              <w:widowControl/>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kern w:val="0"/>
                <w:sz w:val="24"/>
                <w:szCs w:val="24"/>
              </w:rPr>
            </w:pPr>
          </w:p>
        </w:tc>
        <w:tc>
          <w:tcPr>
            <w:tcW w:w="2835" w:type="dxa"/>
            <w:gridSpan w:val="2"/>
            <w:vAlign w:val="center"/>
          </w:tcPr>
          <w:p w14:paraId="4575B3B6">
            <w:pPr>
              <w:keepNext w:val="0"/>
              <w:keepLines w:val="0"/>
              <w:widowControl/>
              <w:suppressLineNumbers w:val="0"/>
              <w:adjustRightInd w:val="0"/>
              <w:snapToGrid w:val="0"/>
              <w:spacing w:before="0" w:beforeAutospacing="0" w:after="0" w:afterAutospacing="0" w:line="360" w:lineRule="auto"/>
              <w:ind w:left="0" w:right="0"/>
              <w:jc w:val="left"/>
              <w:rPr>
                <w:rFonts w:hint="default" w:asciiTheme="minorEastAsia" w:hAnsiTheme="minorEastAsia"/>
                <w:kern w:val="0"/>
                <w:sz w:val="24"/>
                <w:szCs w:val="24"/>
              </w:rPr>
            </w:pPr>
            <w:r>
              <w:rPr>
                <w:rFonts w:hint="eastAsia" w:asciiTheme="minorEastAsia" w:hAnsiTheme="minorEastAsia"/>
                <w:kern w:val="0"/>
                <w:sz w:val="24"/>
                <w:szCs w:val="24"/>
              </w:rPr>
              <w:t>中国裁判文书网查询（提供网页查询截图）或供应商自行承诺</w:t>
            </w:r>
          </w:p>
        </w:tc>
        <w:tc>
          <w:tcPr>
            <w:tcW w:w="5953" w:type="dxa"/>
            <w:vAlign w:val="center"/>
          </w:tcPr>
          <w:p w14:paraId="1E5DA299">
            <w:pPr>
              <w:keepNext w:val="0"/>
              <w:keepLines w:val="0"/>
              <w:suppressLineNumbers w:val="0"/>
              <w:spacing w:before="0" w:beforeAutospacing="0" w:after="0" w:afterAutospacing="0" w:line="360" w:lineRule="auto"/>
              <w:ind w:left="0" w:right="0" w:firstLine="420" w:firstLineChars="175"/>
              <w:rPr>
                <w:rFonts w:hint="default" w:asciiTheme="minorEastAsia" w:hAnsiTheme="minorEastAsia"/>
                <w:kern w:val="0"/>
                <w:sz w:val="24"/>
                <w:szCs w:val="24"/>
              </w:rPr>
            </w:pPr>
            <w:r>
              <w:rPr>
                <w:rFonts w:hint="eastAsia" w:ascii="宋体" w:hAnsi="宋体" w:cs="宋体"/>
                <w:sz w:val="24"/>
                <w:szCs w:val="24"/>
                <w:lang w:val="en-US" w:eastAsia="en-US"/>
              </w:rPr>
              <w:t>提供供应商企业、法定代表人无行贿犯罪记录，在中国裁判文书网查询（提供网页查询截图）或供应商自行承诺，（查询日期必须在公告发布之日之后）；</w:t>
            </w:r>
          </w:p>
        </w:tc>
      </w:tr>
      <w:tr w14:paraId="48850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392" w:type="dxa"/>
            <w:vMerge w:val="continue"/>
            <w:vAlign w:val="center"/>
          </w:tcPr>
          <w:p w14:paraId="7A54A972">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709" w:type="dxa"/>
            <w:vMerge w:val="continue"/>
            <w:vAlign w:val="center"/>
          </w:tcPr>
          <w:p w14:paraId="67A75CA0">
            <w:pPr>
              <w:keepNext w:val="0"/>
              <w:keepLines w:val="0"/>
              <w:widowControl/>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kern w:val="0"/>
                <w:sz w:val="24"/>
                <w:szCs w:val="24"/>
              </w:rPr>
            </w:pPr>
          </w:p>
        </w:tc>
        <w:tc>
          <w:tcPr>
            <w:tcW w:w="2835" w:type="dxa"/>
            <w:gridSpan w:val="2"/>
            <w:vAlign w:val="center"/>
          </w:tcPr>
          <w:p w14:paraId="5A9968EA">
            <w:pPr>
              <w:keepNext w:val="0"/>
              <w:keepLines w:val="0"/>
              <w:widowControl/>
              <w:suppressLineNumbers w:val="0"/>
              <w:adjustRightInd w:val="0"/>
              <w:snapToGrid w:val="0"/>
              <w:spacing w:before="0" w:beforeAutospacing="0" w:after="0" w:afterAutospacing="0" w:line="360" w:lineRule="auto"/>
              <w:ind w:left="0" w:right="0"/>
              <w:jc w:val="left"/>
              <w:rPr>
                <w:rFonts w:hint="default" w:asciiTheme="minorEastAsia" w:hAnsiTheme="minorEastAsia"/>
                <w:kern w:val="0"/>
                <w:sz w:val="24"/>
                <w:szCs w:val="24"/>
              </w:rPr>
            </w:pPr>
            <w:r>
              <w:rPr>
                <w:rFonts w:hint="eastAsia" w:asciiTheme="minorEastAsia" w:hAnsiTheme="minorEastAsia"/>
                <w:kern w:val="0"/>
                <w:sz w:val="24"/>
                <w:szCs w:val="24"/>
              </w:rPr>
              <w:t>信用中国及中国政府采购网查询页</w:t>
            </w:r>
          </w:p>
        </w:tc>
        <w:tc>
          <w:tcPr>
            <w:tcW w:w="5953" w:type="dxa"/>
            <w:vAlign w:val="center"/>
          </w:tcPr>
          <w:p w14:paraId="3494282A">
            <w:pPr>
              <w:keepNext w:val="0"/>
              <w:keepLines w:val="0"/>
              <w:suppressLineNumbers w:val="0"/>
              <w:spacing w:before="0" w:beforeAutospacing="0" w:after="0" w:afterAutospacing="0" w:line="360" w:lineRule="auto"/>
              <w:ind w:left="0" w:right="0" w:firstLine="420" w:firstLineChars="175"/>
              <w:rPr>
                <w:rFonts w:hint="default" w:asciiTheme="minorEastAsia" w:hAnsiTheme="minorEastAsia"/>
                <w:kern w:val="0"/>
                <w:sz w:val="24"/>
                <w:szCs w:val="24"/>
              </w:rPr>
            </w:pPr>
            <w:r>
              <w:rPr>
                <w:rFonts w:hint="eastAsia" w:ascii="宋体" w:hAnsi="宋体" w:cs="宋体"/>
                <w:sz w:val="24"/>
                <w:szCs w:val="24"/>
                <w:lang w:val="en-US" w:eastAsia="en-US"/>
              </w:rPr>
              <w:t>根据《关于在政府采购活动中查询及使用信用记录有关问题的通知》(财库[2016]125号)和豫财购【2016】15号的规定，企业没有被列入“信用中国”网站的“失信被执行人（跳转中国执行信息公开网）”和“重大税收违法失信主体”及“中国政府采购网”网站的“政府采购严重违法失信行为记录名单”，查询渠道： “中国执行信息公开网”网站（http://zxgk.court.gov.cn/shixin/）“信用中国”网站（www.creditchina.gov.cn）、中国政府采购网（www.ccgp.gov.cn），提供网站的查询结果截图，截图要显示查询时间，查询时间自本公告发布之日起；</w:t>
            </w:r>
          </w:p>
        </w:tc>
      </w:tr>
      <w:tr w14:paraId="0E81B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392" w:type="dxa"/>
            <w:vMerge w:val="continue"/>
            <w:vAlign w:val="center"/>
          </w:tcPr>
          <w:p w14:paraId="2A4D098A">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709" w:type="dxa"/>
            <w:vMerge w:val="continue"/>
            <w:vAlign w:val="center"/>
          </w:tcPr>
          <w:p w14:paraId="434F0984">
            <w:pPr>
              <w:keepNext w:val="0"/>
              <w:keepLines w:val="0"/>
              <w:widowControl/>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kern w:val="0"/>
                <w:sz w:val="24"/>
                <w:szCs w:val="24"/>
              </w:rPr>
            </w:pPr>
          </w:p>
        </w:tc>
        <w:tc>
          <w:tcPr>
            <w:tcW w:w="2835" w:type="dxa"/>
            <w:gridSpan w:val="2"/>
            <w:vAlign w:val="center"/>
          </w:tcPr>
          <w:p w14:paraId="34A3A7C1">
            <w:pPr>
              <w:keepNext w:val="0"/>
              <w:keepLines w:val="0"/>
              <w:widowControl/>
              <w:suppressLineNumbers w:val="0"/>
              <w:adjustRightInd w:val="0"/>
              <w:snapToGrid w:val="0"/>
              <w:spacing w:before="0" w:beforeAutospacing="0" w:after="0" w:afterAutospacing="0" w:line="360" w:lineRule="auto"/>
              <w:ind w:left="0" w:right="0"/>
              <w:jc w:val="left"/>
              <w:rPr>
                <w:rFonts w:hint="default" w:asciiTheme="minorEastAsia" w:hAnsiTheme="minorEastAsia"/>
                <w:kern w:val="0"/>
                <w:sz w:val="24"/>
                <w:szCs w:val="24"/>
              </w:rPr>
            </w:pPr>
            <w:r>
              <w:rPr>
                <w:rFonts w:hint="default" w:asciiTheme="minorEastAsia" w:hAnsiTheme="minorEastAsia"/>
                <w:kern w:val="0"/>
                <w:sz w:val="24"/>
                <w:szCs w:val="24"/>
              </w:rPr>
              <w:t>本项目不接受</w:t>
            </w:r>
            <w:r>
              <w:rPr>
                <w:rFonts w:hint="eastAsia" w:asciiTheme="minorEastAsia" w:hAnsiTheme="minorEastAsia"/>
                <w:kern w:val="0"/>
                <w:sz w:val="24"/>
                <w:szCs w:val="24"/>
              </w:rPr>
              <w:t>联合体投标</w:t>
            </w:r>
          </w:p>
        </w:tc>
        <w:tc>
          <w:tcPr>
            <w:tcW w:w="5953" w:type="dxa"/>
            <w:vAlign w:val="center"/>
          </w:tcPr>
          <w:p w14:paraId="562CBB0F">
            <w:pPr>
              <w:keepNext w:val="0"/>
              <w:keepLines w:val="0"/>
              <w:widowControl/>
              <w:suppressLineNumbers w:val="0"/>
              <w:adjustRightInd w:val="0"/>
              <w:snapToGrid w:val="0"/>
              <w:spacing w:before="0" w:beforeAutospacing="0" w:after="0" w:afterAutospacing="0" w:line="360" w:lineRule="auto"/>
              <w:ind w:left="0" w:right="0"/>
              <w:jc w:val="left"/>
              <w:rPr>
                <w:rFonts w:hint="default" w:asciiTheme="minorEastAsia" w:hAnsiTheme="minorEastAsia"/>
                <w:kern w:val="0"/>
                <w:sz w:val="24"/>
                <w:szCs w:val="24"/>
              </w:rPr>
            </w:pPr>
            <w:r>
              <w:rPr>
                <w:rFonts w:hint="eastAsia" w:ascii="宋体" w:hAnsi="宋体" w:cs="宋体"/>
                <w:sz w:val="24"/>
                <w:szCs w:val="24"/>
                <w:lang w:val="en-US" w:eastAsia="en-US"/>
              </w:rPr>
              <w:t>本项目不接受联合体投标。</w:t>
            </w:r>
          </w:p>
        </w:tc>
      </w:tr>
      <w:tr w14:paraId="514BA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2" w:type="dxa"/>
            <w:vMerge w:val="continue"/>
            <w:vAlign w:val="center"/>
          </w:tcPr>
          <w:p w14:paraId="4176CC4D">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709" w:type="dxa"/>
            <w:vMerge w:val="restart"/>
            <w:vAlign w:val="center"/>
          </w:tcPr>
          <w:p w14:paraId="3C26BD3F">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sz w:val="24"/>
                <w:szCs w:val="24"/>
              </w:rPr>
            </w:pPr>
            <w:r>
              <w:rPr>
                <w:rFonts w:hint="eastAsia" w:asciiTheme="minorEastAsia" w:hAnsiTheme="minorEastAsia"/>
                <w:sz w:val="24"/>
                <w:szCs w:val="24"/>
                <w:lang w:val="en-US" w:eastAsia="zh-CN"/>
              </w:rPr>
              <w:t>2.1.2</w:t>
            </w:r>
            <w:r>
              <w:rPr>
                <w:rFonts w:hint="eastAsia" w:asciiTheme="minorEastAsia" w:hAnsiTheme="minorEastAsia"/>
                <w:sz w:val="24"/>
                <w:szCs w:val="24"/>
              </w:rPr>
              <w:t>符合性评审标准</w:t>
            </w:r>
          </w:p>
        </w:tc>
        <w:tc>
          <w:tcPr>
            <w:tcW w:w="2126" w:type="dxa"/>
            <w:vAlign w:val="center"/>
          </w:tcPr>
          <w:p w14:paraId="78E21FC5">
            <w:pPr>
              <w:keepNext w:val="0"/>
              <w:keepLines w:val="0"/>
              <w:suppressLineNumbers w:val="0"/>
              <w:suppressAutoHyphens/>
              <w:adjustRightInd w:val="0"/>
              <w:snapToGrid w:val="0"/>
              <w:spacing w:before="0" w:beforeAutospacing="0" w:after="0" w:afterAutospacing="0" w:line="360" w:lineRule="auto"/>
              <w:ind w:left="0" w:right="0"/>
              <w:jc w:val="center"/>
              <w:rPr>
                <w:rFonts w:hint="default" w:cs="宋体" w:asciiTheme="minorEastAsia" w:hAnsiTheme="minorEastAsia"/>
                <w:sz w:val="24"/>
                <w:szCs w:val="24"/>
              </w:rPr>
            </w:pPr>
            <w:r>
              <w:rPr>
                <w:rFonts w:hint="eastAsia" w:cs="宋体" w:asciiTheme="minorEastAsia" w:hAnsiTheme="minorEastAsia"/>
                <w:sz w:val="24"/>
                <w:szCs w:val="24"/>
              </w:rPr>
              <w:t>供应商名称</w:t>
            </w:r>
          </w:p>
        </w:tc>
        <w:tc>
          <w:tcPr>
            <w:tcW w:w="6662" w:type="dxa"/>
            <w:gridSpan w:val="2"/>
            <w:vAlign w:val="center"/>
          </w:tcPr>
          <w:p w14:paraId="0657B5D5">
            <w:pPr>
              <w:keepNext w:val="0"/>
              <w:keepLines w:val="0"/>
              <w:suppressLineNumbers w:val="0"/>
              <w:suppressAutoHyphens/>
              <w:adjustRightInd w:val="0"/>
              <w:snapToGrid w:val="0"/>
              <w:spacing w:before="0" w:beforeAutospacing="0" w:after="0" w:afterAutospacing="0" w:line="360" w:lineRule="auto"/>
              <w:ind w:left="0" w:right="0"/>
              <w:jc w:val="left"/>
              <w:rPr>
                <w:rFonts w:hint="default" w:cs="宋体" w:asciiTheme="minorEastAsia" w:hAnsiTheme="minorEastAsia"/>
                <w:sz w:val="24"/>
                <w:szCs w:val="24"/>
              </w:rPr>
            </w:pPr>
            <w:r>
              <w:rPr>
                <w:rFonts w:hint="eastAsia" w:cs="宋体" w:asciiTheme="minorEastAsia" w:hAnsiTheme="minorEastAsia"/>
                <w:sz w:val="24"/>
                <w:szCs w:val="24"/>
              </w:rPr>
              <w:t>与营业执照</w:t>
            </w:r>
            <w:r>
              <w:rPr>
                <w:rFonts w:hint="eastAsia" w:cs="宋体" w:asciiTheme="minorEastAsia" w:hAnsiTheme="minorEastAsia"/>
                <w:sz w:val="24"/>
                <w:szCs w:val="24"/>
                <w:lang w:val="en-US" w:eastAsia="zh-CN"/>
              </w:rPr>
              <w:t>或证书</w:t>
            </w:r>
            <w:r>
              <w:rPr>
                <w:rFonts w:hint="eastAsia" w:cs="宋体" w:asciiTheme="minorEastAsia" w:hAnsiTheme="minorEastAsia"/>
                <w:sz w:val="24"/>
                <w:szCs w:val="24"/>
              </w:rPr>
              <w:t>一致</w:t>
            </w:r>
          </w:p>
        </w:tc>
      </w:tr>
      <w:tr w14:paraId="02912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92" w:type="dxa"/>
            <w:vMerge w:val="continue"/>
            <w:vAlign w:val="center"/>
          </w:tcPr>
          <w:p w14:paraId="26B95761">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709" w:type="dxa"/>
            <w:vMerge w:val="continue"/>
            <w:vAlign w:val="center"/>
          </w:tcPr>
          <w:p w14:paraId="7D363474">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sz w:val="24"/>
                <w:szCs w:val="24"/>
              </w:rPr>
            </w:pPr>
          </w:p>
        </w:tc>
        <w:tc>
          <w:tcPr>
            <w:tcW w:w="2126" w:type="dxa"/>
            <w:vAlign w:val="center"/>
          </w:tcPr>
          <w:p w14:paraId="5DCAB217">
            <w:pPr>
              <w:keepNext w:val="0"/>
              <w:keepLines w:val="0"/>
              <w:suppressLineNumbers w:val="0"/>
              <w:suppressAutoHyphens/>
              <w:adjustRightInd w:val="0"/>
              <w:snapToGrid w:val="0"/>
              <w:spacing w:before="0" w:beforeAutospacing="0" w:after="0" w:afterAutospacing="0" w:line="360" w:lineRule="auto"/>
              <w:ind w:left="0" w:right="0"/>
              <w:jc w:val="center"/>
              <w:rPr>
                <w:rFonts w:hint="default" w:cs="宋体" w:asciiTheme="minorEastAsia" w:hAnsiTheme="minorEastAsia"/>
                <w:sz w:val="24"/>
                <w:szCs w:val="24"/>
              </w:rPr>
            </w:pPr>
            <w:r>
              <w:rPr>
                <w:rFonts w:hint="default" w:cs="宋体" w:asciiTheme="minorEastAsia" w:hAnsiTheme="minorEastAsia"/>
                <w:sz w:val="24"/>
                <w:szCs w:val="24"/>
              </w:rPr>
              <w:t>盖章、签字</w:t>
            </w:r>
          </w:p>
        </w:tc>
        <w:tc>
          <w:tcPr>
            <w:tcW w:w="6662" w:type="dxa"/>
            <w:gridSpan w:val="2"/>
            <w:vAlign w:val="center"/>
          </w:tcPr>
          <w:p w14:paraId="1515EB21">
            <w:pPr>
              <w:keepNext w:val="0"/>
              <w:keepLines w:val="0"/>
              <w:suppressLineNumbers w:val="0"/>
              <w:suppressAutoHyphens/>
              <w:adjustRightInd w:val="0"/>
              <w:snapToGrid w:val="0"/>
              <w:spacing w:before="0" w:beforeAutospacing="0" w:after="0" w:afterAutospacing="0" w:line="360" w:lineRule="auto"/>
              <w:ind w:left="0" w:right="0"/>
              <w:jc w:val="left"/>
              <w:rPr>
                <w:rFonts w:hint="default" w:cs="宋体" w:asciiTheme="minorEastAsia" w:hAnsiTheme="minorEastAsia"/>
                <w:sz w:val="24"/>
                <w:szCs w:val="24"/>
              </w:rPr>
            </w:pPr>
            <w:r>
              <w:rPr>
                <w:rFonts w:hint="default" w:cs="宋体" w:asciiTheme="minorEastAsia" w:hAnsiTheme="minorEastAsia"/>
                <w:sz w:val="24"/>
                <w:szCs w:val="24"/>
              </w:rPr>
              <w:t>符合竞争性磋商文件签字、盖章的要求</w:t>
            </w:r>
          </w:p>
        </w:tc>
      </w:tr>
      <w:tr w14:paraId="61685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92" w:type="dxa"/>
            <w:vMerge w:val="continue"/>
            <w:vAlign w:val="center"/>
          </w:tcPr>
          <w:p w14:paraId="1530D22C">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709" w:type="dxa"/>
            <w:vMerge w:val="continue"/>
            <w:vAlign w:val="center"/>
          </w:tcPr>
          <w:p w14:paraId="3E5D646E">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2126" w:type="dxa"/>
            <w:vAlign w:val="center"/>
          </w:tcPr>
          <w:p w14:paraId="4D8A60A3">
            <w:pPr>
              <w:keepNext w:val="0"/>
              <w:keepLines w:val="0"/>
              <w:suppressLineNumbers w:val="0"/>
              <w:suppressAutoHyphens/>
              <w:adjustRightInd w:val="0"/>
              <w:snapToGrid w:val="0"/>
              <w:spacing w:before="0" w:beforeAutospacing="0" w:after="0" w:afterAutospacing="0" w:line="360" w:lineRule="auto"/>
              <w:ind w:left="0" w:right="0"/>
              <w:jc w:val="center"/>
              <w:rPr>
                <w:rFonts w:hint="default" w:cs="宋体" w:asciiTheme="minorEastAsia" w:hAnsiTheme="minorEastAsia"/>
                <w:sz w:val="24"/>
                <w:szCs w:val="24"/>
              </w:rPr>
            </w:pPr>
            <w:r>
              <w:rPr>
                <w:rFonts w:hint="eastAsia" w:cs="宋体" w:asciiTheme="minorEastAsia" w:hAnsiTheme="minorEastAsia"/>
                <w:sz w:val="24"/>
                <w:szCs w:val="24"/>
              </w:rPr>
              <w:t>响应文件格式</w:t>
            </w:r>
          </w:p>
        </w:tc>
        <w:tc>
          <w:tcPr>
            <w:tcW w:w="6662" w:type="dxa"/>
            <w:gridSpan w:val="2"/>
            <w:vAlign w:val="center"/>
          </w:tcPr>
          <w:p w14:paraId="1CCD2E37">
            <w:pPr>
              <w:keepNext w:val="0"/>
              <w:keepLines w:val="0"/>
              <w:suppressLineNumbers w:val="0"/>
              <w:suppressAutoHyphens/>
              <w:adjustRightInd w:val="0"/>
              <w:snapToGrid w:val="0"/>
              <w:spacing w:before="0" w:beforeAutospacing="0" w:after="0" w:afterAutospacing="0" w:line="360" w:lineRule="auto"/>
              <w:ind w:left="0" w:right="0"/>
              <w:jc w:val="left"/>
              <w:rPr>
                <w:rFonts w:hint="default" w:cs="宋体" w:asciiTheme="minorEastAsia" w:hAnsiTheme="minorEastAsia"/>
                <w:sz w:val="24"/>
                <w:szCs w:val="24"/>
              </w:rPr>
            </w:pPr>
            <w:r>
              <w:rPr>
                <w:rFonts w:hint="eastAsia" w:cs="宋体" w:asciiTheme="minorEastAsia" w:hAnsiTheme="minorEastAsia"/>
                <w:sz w:val="24"/>
                <w:szCs w:val="24"/>
              </w:rPr>
              <w:t>符合第六章“响应文件格式”要求</w:t>
            </w:r>
          </w:p>
        </w:tc>
      </w:tr>
      <w:tr w14:paraId="71DAF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392" w:type="dxa"/>
            <w:vMerge w:val="continue"/>
            <w:vAlign w:val="center"/>
          </w:tcPr>
          <w:p w14:paraId="2D7B689C">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709" w:type="dxa"/>
            <w:vMerge w:val="continue"/>
            <w:vAlign w:val="center"/>
          </w:tcPr>
          <w:p w14:paraId="434883A9">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2126" w:type="dxa"/>
            <w:vAlign w:val="center"/>
          </w:tcPr>
          <w:p w14:paraId="3F5982ED">
            <w:pPr>
              <w:keepNext w:val="0"/>
              <w:keepLines w:val="0"/>
              <w:suppressLineNumbers w:val="0"/>
              <w:suppressAutoHyphens/>
              <w:adjustRightInd w:val="0"/>
              <w:snapToGrid w:val="0"/>
              <w:spacing w:before="0" w:beforeAutospacing="0" w:after="0" w:afterAutospacing="0" w:line="360" w:lineRule="auto"/>
              <w:ind w:left="0" w:right="0"/>
              <w:jc w:val="center"/>
              <w:rPr>
                <w:rFonts w:hint="default" w:cs="宋体" w:asciiTheme="minorEastAsia" w:hAnsiTheme="minorEastAsia"/>
                <w:sz w:val="24"/>
                <w:szCs w:val="24"/>
              </w:rPr>
            </w:pPr>
            <w:r>
              <w:rPr>
                <w:rFonts w:hint="default" w:cs="宋体" w:asciiTheme="minorEastAsia" w:hAnsiTheme="minorEastAsia"/>
                <w:sz w:val="24"/>
                <w:szCs w:val="24"/>
              </w:rPr>
              <w:t>报价唯一</w:t>
            </w:r>
          </w:p>
        </w:tc>
        <w:tc>
          <w:tcPr>
            <w:tcW w:w="6662" w:type="dxa"/>
            <w:gridSpan w:val="2"/>
            <w:vAlign w:val="center"/>
          </w:tcPr>
          <w:p w14:paraId="1886B555">
            <w:pPr>
              <w:keepNext w:val="0"/>
              <w:keepLines w:val="0"/>
              <w:suppressLineNumbers w:val="0"/>
              <w:suppressAutoHyphens/>
              <w:adjustRightInd w:val="0"/>
              <w:snapToGrid w:val="0"/>
              <w:spacing w:before="0" w:beforeAutospacing="0" w:after="0" w:afterAutospacing="0" w:line="360" w:lineRule="auto"/>
              <w:ind w:left="0" w:right="0"/>
              <w:jc w:val="left"/>
              <w:rPr>
                <w:rFonts w:hint="default" w:cs="宋体" w:asciiTheme="minorEastAsia" w:hAnsiTheme="minorEastAsia"/>
                <w:sz w:val="24"/>
                <w:szCs w:val="24"/>
              </w:rPr>
            </w:pPr>
            <w:r>
              <w:rPr>
                <w:rFonts w:hint="default" w:cs="宋体" w:asciiTheme="minorEastAsia" w:hAnsiTheme="minorEastAsia"/>
                <w:sz w:val="24"/>
                <w:szCs w:val="24"/>
              </w:rPr>
              <w:t>只能有一个有效报价且不超过最高限价</w:t>
            </w:r>
          </w:p>
        </w:tc>
      </w:tr>
      <w:tr w14:paraId="72015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392" w:type="dxa"/>
            <w:vMerge w:val="continue"/>
            <w:vAlign w:val="center"/>
          </w:tcPr>
          <w:p w14:paraId="2A7E49DE">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709" w:type="dxa"/>
            <w:vMerge w:val="restart"/>
            <w:vAlign w:val="center"/>
          </w:tcPr>
          <w:p w14:paraId="6BB58040">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r>
              <w:rPr>
                <w:rFonts w:hint="eastAsia" w:asciiTheme="minorEastAsia" w:hAnsiTheme="minorEastAsia"/>
                <w:color w:val="000000"/>
                <w:sz w:val="24"/>
                <w:szCs w:val="24"/>
                <w:lang w:val="en-US" w:eastAsia="zh-CN"/>
              </w:rPr>
              <w:t>2.1.3</w:t>
            </w:r>
            <w:r>
              <w:rPr>
                <w:rFonts w:hint="default" w:asciiTheme="minorEastAsia" w:hAnsiTheme="minorEastAsia"/>
                <w:color w:val="000000"/>
                <w:sz w:val="24"/>
                <w:szCs w:val="24"/>
              </w:rPr>
              <w:t>响应性评审标准</w:t>
            </w:r>
          </w:p>
        </w:tc>
        <w:tc>
          <w:tcPr>
            <w:tcW w:w="2126" w:type="dxa"/>
            <w:vAlign w:val="center"/>
          </w:tcPr>
          <w:p w14:paraId="02B3AC7D">
            <w:pPr>
              <w:keepNext w:val="0"/>
              <w:keepLines w:val="0"/>
              <w:suppressLineNumbers w:val="0"/>
              <w:suppressAutoHyphens/>
              <w:adjustRightInd w:val="0"/>
              <w:snapToGrid w:val="0"/>
              <w:spacing w:before="0" w:beforeAutospacing="0" w:after="0" w:afterAutospacing="0" w:line="360" w:lineRule="auto"/>
              <w:ind w:left="0" w:right="0"/>
              <w:jc w:val="center"/>
              <w:rPr>
                <w:rFonts w:hint="default" w:cs="宋体" w:asciiTheme="minorEastAsia" w:hAnsiTheme="minorEastAsia"/>
                <w:color w:val="FF0000"/>
                <w:sz w:val="24"/>
                <w:szCs w:val="24"/>
              </w:rPr>
            </w:pPr>
            <w:r>
              <w:rPr>
                <w:rFonts w:hint="eastAsia" w:cs="宋体" w:asciiTheme="minorEastAsia" w:hAnsiTheme="minorEastAsia"/>
                <w:color w:val="000000" w:themeColor="text1"/>
                <w:sz w:val="24"/>
                <w:szCs w:val="24"/>
                <w14:textFill>
                  <w14:solidFill>
                    <w14:schemeClr w14:val="tx1"/>
                  </w14:solidFill>
                </w14:textFill>
              </w:rPr>
              <w:t>计划工期</w:t>
            </w:r>
          </w:p>
        </w:tc>
        <w:tc>
          <w:tcPr>
            <w:tcW w:w="6662" w:type="dxa"/>
            <w:gridSpan w:val="2"/>
            <w:vAlign w:val="center"/>
          </w:tcPr>
          <w:p w14:paraId="11436E08">
            <w:pPr>
              <w:keepNext w:val="0"/>
              <w:keepLines w:val="0"/>
              <w:suppressLineNumbers w:val="0"/>
              <w:suppressAutoHyphens/>
              <w:adjustRightInd w:val="0"/>
              <w:snapToGrid w:val="0"/>
              <w:spacing w:before="0" w:beforeAutospacing="0" w:after="0" w:afterAutospacing="0" w:line="360" w:lineRule="auto"/>
              <w:ind w:left="0" w:right="0"/>
              <w:jc w:val="left"/>
              <w:rPr>
                <w:rFonts w:hint="eastAsia" w:cs="宋体" w:asciiTheme="minorEastAsia" w:hAnsiTheme="minorEastAsia" w:eastAsiaTheme="minorEastAsia"/>
                <w:color w:val="FF0000"/>
                <w:sz w:val="24"/>
                <w:szCs w:val="24"/>
                <w:lang w:eastAsia="zh-CN"/>
              </w:rPr>
            </w:pPr>
            <w:r>
              <w:rPr>
                <w:rFonts w:hint="eastAsia" w:cs="宋体" w:asciiTheme="minorEastAsia" w:hAnsiTheme="minorEastAsia"/>
                <w:sz w:val="24"/>
                <w:szCs w:val="24"/>
                <w:lang w:val="en-US" w:eastAsia="zh-CN"/>
              </w:rPr>
              <w:t>30日历天</w:t>
            </w:r>
          </w:p>
        </w:tc>
      </w:tr>
      <w:tr w14:paraId="25636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92" w:type="dxa"/>
            <w:vMerge w:val="continue"/>
            <w:vAlign w:val="center"/>
          </w:tcPr>
          <w:p w14:paraId="6A15E5FA">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709" w:type="dxa"/>
            <w:vMerge w:val="continue"/>
            <w:vAlign w:val="center"/>
          </w:tcPr>
          <w:p w14:paraId="03B19DF3">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2126" w:type="dxa"/>
            <w:vAlign w:val="center"/>
          </w:tcPr>
          <w:p w14:paraId="40752AEF">
            <w:pPr>
              <w:keepNext w:val="0"/>
              <w:keepLines w:val="0"/>
              <w:suppressLineNumbers w:val="0"/>
              <w:suppressAutoHyphens/>
              <w:adjustRightInd w:val="0"/>
              <w:snapToGrid w:val="0"/>
              <w:spacing w:before="0" w:beforeAutospacing="0" w:after="0" w:afterAutospacing="0" w:line="360" w:lineRule="auto"/>
              <w:ind w:left="0" w:right="0"/>
              <w:jc w:val="center"/>
              <w:rPr>
                <w:rFonts w:hint="default" w:cs="宋体" w:asciiTheme="minorEastAsia" w:hAnsiTheme="minorEastAsia"/>
                <w:sz w:val="24"/>
                <w:szCs w:val="24"/>
              </w:rPr>
            </w:pPr>
            <w:r>
              <w:rPr>
                <w:rFonts w:hint="eastAsia" w:cs="宋体" w:asciiTheme="minorEastAsia" w:hAnsiTheme="minorEastAsia"/>
                <w:sz w:val="24"/>
                <w:szCs w:val="24"/>
              </w:rPr>
              <w:t>质量要求</w:t>
            </w:r>
          </w:p>
        </w:tc>
        <w:tc>
          <w:tcPr>
            <w:tcW w:w="6662" w:type="dxa"/>
            <w:gridSpan w:val="2"/>
            <w:vAlign w:val="center"/>
          </w:tcPr>
          <w:p w14:paraId="35C24769">
            <w:pPr>
              <w:keepNext w:val="0"/>
              <w:keepLines w:val="0"/>
              <w:suppressLineNumbers w:val="0"/>
              <w:suppressAutoHyphens/>
              <w:adjustRightInd w:val="0"/>
              <w:snapToGrid w:val="0"/>
              <w:spacing w:before="0" w:beforeAutospacing="0" w:after="0" w:afterAutospacing="0" w:line="360" w:lineRule="auto"/>
              <w:ind w:left="0" w:right="0"/>
              <w:jc w:val="left"/>
              <w:rPr>
                <w:rFonts w:hint="eastAsia" w:cs="宋体" w:asciiTheme="minorEastAsia" w:hAnsiTheme="minorEastAsia" w:eastAsiaTheme="minorEastAsia"/>
                <w:sz w:val="24"/>
                <w:szCs w:val="24"/>
                <w:lang w:eastAsia="zh-CN"/>
              </w:rPr>
            </w:pPr>
            <w:r>
              <w:rPr>
                <w:rFonts w:hint="eastAsia" w:cs="宋体" w:asciiTheme="minorEastAsia" w:hAnsiTheme="minorEastAsia"/>
                <w:sz w:val="24"/>
                <w:szCs w:val="24"/>
                <w:lang w:eastAsia="zh-CN"/>
              </w:rPr>
              <w:t>达到国家现行工程施工质量验收规范合格标准</w:t>
            </w:r>
          </w:p>
        </w:tc>
      </w:tr>
      <w:tr w14:paraId="4608A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92" w:type="dxa"/>
            <w:vMerge w:val="continue"/>
            <w:vAlign w:val="center"/>
          </w:tcPr>
          <w:p w14:paraId="640343E1">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709" w:type="dxa"/>
            <w:vMerge w:val="continue"/>
            <w:vAlign w:val="center"/>
          </w:tcPr>
          <w:p w14:paraId="3C92F481">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2126" w:type="dxa"/>
            <w:vAlign w:val="center"/>
          </w:tcPr>
          <w:p w14:paraId="340E8A7E">
            <w:pPr>
              <w:keepNext w:val="0"/>
              <w:keepLines w:val="0"/>
              <w:suppressLineNumbers w:val="0"/>
              <w:suppressAutoHyphens/>
              <w:adjustRightInd w:val="0"/>
              <w:snapToGrid w:val="0"/>
              <w:spacing w:before="0" w:beforeAutospacing="0" w:after="0" w:afterAutospacing="0" w:line="360" w:lineRule="auto"/>
              <w:ind w:left="0" w:right="0"/>
              <w:jc w:val="center"/>
              <w:rPr>
                <w:rFonts w:hint="default" w:cs="宋体" w:asciiTheme="minorEastAsia" w:hAnsiTheme="minorEastAsia"/>
                <w:sz w:val="24"/>
                <w:szCs w:val="24"/>
              </w:rPr>
            </w:pPr>
            <w:r>
              <w:rPr>
                <w:rFonts w:hint="default" w:cs="宋体" w:asciiTheme="minorEastAsia" w:hAnsiTheme="minorEastAsia"/>
                <w:sz w:val="24"/>
                <w:szCs w:val="24"/>
              </w:rPr>
              <w:t>质保期</w:t>
            </w:r>
          </w:p>
        </w:tc>
        <w:tc>
          <w:tcPr>
            <w:tcW w:w="6662" w:type="dxa"/>
            <w:gridSpan w:val="2"/>
            <w:vAlign w:val="center"/>
          </w:tcPr>
          <w:p w14:paraId="3EF014AC">
            <w:pPr>
              <w:keepNext w:val="0"/>
              <w:keepLines w:val="0"/>
              <w:suppressLineNumbers w:val="0"/>
              <w:suppressAutoHyphens/>
              <w:adjustRightInd w:val="0"/>
              <w:snapToGrid w:val="0"/>
              <w:spacing w:before="0" w:beforeAutospacing="0" w:after="0" w:afterAutospacing="0" w:line="360" w:lineRule="auto"/>
              <w:ind w:left="0" w:right="0"/>
              <w:jc w:val="left"/>
              <w:rPr>
                <w:rFonts w:hint="default" w:cs="宋体" w:asciiTheme="minorEastAsia" w:hAnsiTheme="minorEastAsia"/>
                <w:sz w:val="24"/>
                <w:szCs w:val="24"/>
              </w:rPr>
            </w:pPr>
            <w:r>
              <w:rPr>
                <w:rFonts w:hint="default" w:cs="宋体" w:asciiTheme="minorEastAsia" w:hAnsiTheme="minorEastAsia"/>
                <w:sz w:val="24"/>
                <w:szCs w:val="24"/>
              </w:rPr>
              <w:t>按国家规定</w:t>
            </w:r>
          </w:p>
        </w:tc>
      </w:tr>
      <w:tr w14:paraId="756ED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392" w:type="dxa"/>
            <w:vMerge w:val="continue"/>
            <w:vAlign w:val="center"/>
          </w:tcPr>
          <w:p w14:paraId="6885E556">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709" w:type="dxa"/>
            <w:vMerge w:val="continue"/>
            <w:vAlign w:val="center"/>
          </w:tcPr>
          <w:p w14:paraId="0C3EFCF9">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2126" w:type="dxa"/>
            <w:vAlign w:val="center"/>
          </w:tcPr>
          <w:p w14:paraId="02B72DF0">
            <w:pPr>
              <w:keepNext w:val="0"/>
              <w:keepLines w:val="0"/>
              <w:suppressLineNumbers w:val="0"/>
              <w:suppressAutoHyphens/>
              <w:adjustRightInd w:val="0"/>
              <w:snapToGrid w:val="0"/>
              <w:spacing w:before="0" w:beforeAutospacing="0" w:after="0" w:afterAutospacing="0" w:line="360" w:lineRule="auto"/>
              <w:ind w:left="0" w:right="0"/>
              <w:jc w:val="center"/>
              <w:rPr>
                <w:rFonts w:hint="default" w:cs="宋体" w:asciiTheme="minorEastAsia" w:hAnsiTheme="minorEastAsia"/>
                <w:sz w:val="24"/>
                <w:szCs w:val="24"/>
              </w:rPr>
            </w:pPr>
            <w:r>
              <w:rPr>
                <w:rFonts w:hint="eastAsia" w:cs="宋体" w:asciiTheme="minorEastAsia" w:hAnsiTheme="minorEastAsia"/>
                <w:sz w:val="24"/>
                <w:szCs w:val="24"/>
              </w:rPr>
              <w:t>磋商有效期</w:t>
            </w:r>
          </w:p>
        </w:tc>
        <w:tc>
          <w:tcPr>
            <w:tcW w:w="6662" w:type="dxa"/>
            <w:gridSpan w:val="2"/>
            <w:vAlign w:val="center"/>
          </w:tcPr>
          <w:p w14:paraId="3C348537">
            <w:pPr>
              <w:keepNext w:val="0"/>
              <w:keepLines w:val="0"/>
              <w:suppressLineNumbers w:val="0"/>
              <w:suppressAutoHyphens/>
              <w:adjustRightInd w:val="0"/>
              <w:snapToGrid w:val="0"/>
              <w:spacing w:before="0" w:beforeAutospacing="0" w:after="0" w:afterAutospacing="0" w:line="360" w:lineRule="auto"/>
              <w:ind w:left="0" w:right="0"/>
              <w:jc w:val="left"/>
              <w:rPr>
                <w:rFonts w:hint="default" w:cs="宋体" w:asciiTheme="minorEastAsia" w:hAnsiTheme="minorEastAsia"/>
                <w:sz w:val="24"/>
                <w:szCs w:val="24"/>
              </w:rPr>
            </w:pPr>
            <w:r>
              <w:rPr>
                <w:rFonts w:hint="eastAsia" w:cs="宋体" w:asciiTheme="minorEastAsia" w:hAnsiTheme="minorEastAsia"/>
                <w:sz w:val="24"/>
                <w:szCs w:val="24"/>
              </w:rPr>
              <w:t>磋商响应文件递交截止日后60日历天</w:t>
            </w:r>
          </w:p>
        </w:tc>
      </w:tr>
      <w:tr w14:paraId="1450C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392" w:type="dxa"/>
            <w:vMerge w:val="continue"/>
            <w:vAlign w:val="center"/>
          </w:tcPr>
          <w:p w14:paraId="4535E987">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709" w:type="dxa"/>
            <w:vMerge w:val="continue"/>
            <w:vAlign w:val="center"/>
          </w:tcPr>
          <w:p w14:paraId="396D65E9">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2126" w:type="dxa"/>
            <w:vAlign w:val="center"/>
          </w:tcPr>
          <w:p w14:paraId="17E6A924">
            <w:pPr>
              <w:keepNext w:val="0"/>
              <w:keepLines w:val="0"/>
              <w:suppressLineNumbers w:val="0"/>
              <w:suppressAutoHyphens/>
              <w:adjustRightInd w:val="0"/>
              <w:snapToGrid w:val="0"/>
              <w:spacing w:before="0" w:beforeAutospacing="0" w:after="0" w:afterAutospacing="0" w:line="360" w:lineRule="auto"/>
              <w:ind w:left="0" w:right="0"/>
              <w:jc w:val="center"/>
              <w:rPr>
                <w:rFonts w:hint="default" w:cs="宋体" w:asciiTheme="minorEastAsia" w:hAnsiTheme="minorEastAsia"/>
                <w:color w:val="000000"/>
                <w:sz w:val="24"/>
                <w:szCs w:val="24"/>
              </w:rPr>
            </w:pPr>
            <w:r>
              <w:rPr>
                <w:rFonts w:hint="eastAsia" w:cs="宋体" w:asciiTheme="minorEastAsia" w:hAnsiTheme="minorEastAsia"/>
                <w:color w:val="000000"/>
                <w:sz w:val="24"/>
                <w:szCs w:val="24"/>
              </w:rPr>
              <w:t>已标价工程量清单</w:t>
            </w:r>
          </w:p>
        </w:tc>
        <w:tc>
          <w:tcPr>
            <w:tcW w:w="6662" w:type="dxa"/>
            <w:gridSpan w:val="2"/>
            <w:vAlign w:val="center"/>
          </w:tcPr>
          <w:p w14:paraId="302BE86E">
            <w:pPr>
              <w:keepNext w:val="0"/>
              <w:keepLines w:val="0"/>
              <w:suppressLineNumbers w:val="0"/>
              <w:suppressAutoHyphens/>
              <w:adjustRightInd w:val="0"/>
              <w:snapToGrid w:val="0"/>
              <w:spacing w:before="0" w:beforeAutospacing="0" w:after="0" w:afterAutospacing="0" w:line="360" w:lineRule="auto"/>
              <w:ind w:left="0" w:right="0"/>
              <w:jc w:val="left"/>
              <w:rPr>
                <w:rFonts w:hint="default" w:cs="宋体" w:asciiTheme="minorEastAsia" w:hAnsiTheme="minorEastAsia"/>
                <w:color w:val="000000"/>
                <w:sz w:val="24"/>
                <w:szCs w:val="24"/>
              </w:rPr>
            </w:pPr>
            <w:r>
              <w:rPr>
                <w:rFonts w:hint="eastAsia" w:cs="宋体" w:asciiTheme="minorEastAsia" w:hAnsiTheme="minorEastAsia"/>
                <w:color w:val="000000"/>
                <w:sz w:val="24"/>
                <w:szCs w:val="24"/>
              </w:rPr>
              <w:t>符合“工程量清单”给出的范围及数量，供应商不得擅自修改工程量清单上的工程项目和数量，否则其投标将予否决</w:t>
            </w:r>
          </w:p>
        </w:tc>
      </w:tr>
    </w:tbl>
    <w:p w14:paraId="704853FA">
      <w:pPr>
        <w:spacing w:line="480" w:lineRule="auto"/>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2.2详细评审</w:t>
      </w:r>
    </w:p>
    <w:tbl>
      <w:tblPr>
        <w:tblStyle w:val="6"/>
        <w:tblW w:w="4943" w:type="pct"/>
        <w:tblInd w:w="0" w:type="dxa"/>
        <w:tblLayout w:type="autofit"/>
        <w:tblCellMar>
          <w:top w:w="0" w:type="dxa"/>
          <w:left w:w="108" w:type="dxa"/>
          <w:bottom w:w="0" w:type="dxa"/>
          <w:right w:w="108" w:type="dxa"/>
        </w:tblCellMar>
      </w:tblPr>
      <w:tblGrid>
        <w:gridCol w:w="1001"/>
        <w:gridCol w:w="1642"/>
        <w:gridCol w:w="7108"/>
      </w:tblGrid>
      <w:tr w14:paraId="53C28653">
        <w:tblPrEx>
          <w:tblCellMar>
            <w:top w:w="0" w:type="dxa"/>
            <w:left w:w="108" w:type="dxa"/>
            <w:bottom w:w="0" w:type="dxa"/>
            <w:right w:w="108" w:type="dxa"/>
          </w:tblCellMar>
        </w:tblPrEx>
        <w:trPr>
          <w:trHeight w:val="570" w:hRule="atLeast"/>
        </w:trPr>
        <w:tc>
          <w:tcPr>
            <w:tcW w:w="513" w:type="pct"/>
            <w:tcBorders>
              <w:top w:val="single" w:color="auto" w:sz="4" w:space="0"/>
              <w:left w:val="single" w:color="auto" w:sz="4" w:space="0"/>
              <w:bottom w:val="single" w:color="auto" w:sz="4" w:space="0"/>
              <w:right w:val="single" w:color="auto" w:sz="4" w:space="0"/>
            </w:tcBorders>
            <w:noWrap/>
            <w:vAlign w:val="center"/>
          </w:tcPr>
          <w:p w14:paraId="4D711590">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4"/>
              </w:rPr>
            </w:pPr>
            <w:r>
              <w:rPr>
                <w:rFonts w:hint="eastAsia" w:ascii="宋体" w:hAnsi="宋体" w:cs="宋体"/>
                <w:color w:val="000000"/>
                <w:kern w:val="0"/>
                <w:sz w:val="24"/>
              </w:rPr>
              <w:t>条款号</w:t>
            </w:r>
          </w:p>
        </w:tc>
        <w:tc>
          <w:tcPr>
            <w:tcW w:w="842" w:type="pct"/>
            <w:tcBorders>
              <w:top w:val="single" w:color="auto" w:sz="4" w:space="0"/>
              <w:left w:val="nil"/>
              <w:bottom w:val="single" w:color="auto" w:sz="4" w:space="0"/>
              <w:right w:val="single" w:color="auto" w:sz="4" w:space="0"/>
            </w:tcBorders>
            <w:noWrap/>
            <w:vAlign w:val="center"/>
          </w:tcPr>
          <w:p w14:paraId="380A651D">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4"/>
              </w:rPr>
            </w:pPr>
            <w:r>
              <w:rPr>
                <w:rFonts w:hint="eastAsia" w:ascii="宋体" w:hAnsi="宋体" w:cs="宋体"/>
                <w:color w:val="000000"/>
                <w:kern w:val="0"/>
                <w:sz w:val="24"/>
              </w:rPr>
              <w:t>评审内容</w:t>
            </w:r>
          </w:p>
        </w:tc>
        <w:tc>
          <w:tcPr>
            <w:tcW w:w="3644" w:type="pct"/>
            <w:tcBorders>
              <w:top w:val="single" w:color="auto" w:sz="4" w:space="0"/>
              <w:left w:val="nil"/>
              <w:bottom w:val="single" w:color="auto" w:sz="4" w:space="0"/>
              <w:right w:val="single" w:color="auto" w:sz="4" w:space="0"/>
            </w:tcBorders>
            <w:noWrap/>
            <w:vAlign w:val="center"/>
          </w:tcPr>
          <w:p w14:paraId="038FE48D">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4"/>
              </w:rPr>
            </w:pPr>
            <w:r>
              <w:rPr>
                <w:rFonts w:hint="eastAsia" w:ascii="宋体" w:hAnsi="宋体" w:cs="宋体"/>
                <w:color w:val="000000"/>
                <w:kern w:val="0"/>
                <w:sz w:val="24"/>
              </w:rPr>
              <w:t>评审标准</w:t>
            </w:r>
          </w:p>
        </w:tc>
      </w:tr>
      <w:tr w14:paraId="2DCB9A94">
        <w:tblPrEx>
          <w:tblCellMar>
            <w:top w:w="0" w:type="dxa"/>
            <w:left w:w="108" w:type="dxa"/>
            <w:bottom w:w="0" w:type="dxa"/>
            <w:right w:w="108" w:type="dxa"/>
          </w:tblCellMar>
        </w:tblPrEx>
        <w:trPr>
          <w:trHeight w:val="967" w:hRule="atLeast"/>
        </w:trPr>
        <w:tc>
          <w:tcPr>
            <w:tcW w:w="513" w:type="pct"/>
            <w:tcBorders>
              <w:top w:val="nil"/>
              <w:left w:val="single" w:color="auto" w:sz="4" w:space="0"/>
              <w:bottom w:val="single" w:color="auto" w:sz="4" w:space="0"/>
              <w:right w:val="single" w:color="auto" w:sz="4" w:space="0"/>
            </w:tcBorders>
            <w:vAlign w:val="center"/>
          </w:tcPr>
          <w:p w14:paraId="7B9CE856">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4"/>
              </w:rPr>
            </w:pPr>
            <w:r>
              <w:rPr>
                <w:rFonts w:hint="eastAsia" w:ascii="宋体" w:hAnsi="宋体" w:cs="宋体"/>
                <w:color w:val="000000"/>
                <w:kern w:val="0"/>
                <w:sz w:val="24"/>
              </w:rPr>
              <w:t>1、投标报价   （</w:t>
            </w:r>
            <w:r>
              <w:rPr>
                <w:rFonts w:hint="eastAsia" w:ascii="宋体" w:hAnsi="宋体" w:cs="宋体"/>
                <w:color w:val="000000"/>
                <w:kern w:val="0"/>
                <w:sz w:val="24"/>
                <w:lang w:val="en-US" w:eastAsia="zh-CN"/>
              </w:rPr>
              <w:t>30</w:t>
            </w:r>
            <w:r>
              <w:rPr>
                <w:rFonts w:hint="eastAsia" w:ascii="宋体" w:hAnsi="宋体" w:cs="宋体"/>
                <w:color w:val="000000"/>
                <w:kern w:val="0"/>
                <w:sz w:val="24"/>
              </w:rPr>
              <w:t>分）</w:t>
            </w:r>
          </w:p>
        </w:tc>
        <w:tc>
          <w:tcPr>
            <w:tcW w:w="842" w:type="pct"/>
            <w:tcBorders>
              <w:top w:val="nil"/>
              <w:left w:val="nil"/>
              <w:bottom w:val="single" w:color="auto" w:sz="4" w:space="0"/>
              <w:right w:val="single" w:color="auto" w:sz="4" w:space="0"/>
            </w:tcBorders>
            <w:vAlign w:val="center"/>
          </w:tcPr>
          <w:p w14:paraId="46724F5D">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4"/>
              </w:rPr>
            </w:pPr>
            <w:r>
              <w:rPr>
                <w:rFonts w:hint="eastAsia" w:ascii="宋体" w:hAnsi="宋体" w:cs="宋体"/>
                <w:color w:val="000000"/>
                <w:kern w:val="0"/>
                <w:sz w:val="24"/>
              </w:rPr>
              <w:t>投标报价（</w:t>
            </w:r>
            <w:r>
              <w:rPr>
                <w:rFonts w:hint="eastAsia" w:ascii="宋体" w:hAnsi="宋体" w:cs="宋体"/>
                <w:color w:val="000000"/>
                <w:kern w:val="0"/>
                <w:sz w:val="24"/>
                <w:lang w:val="en-US" w:eastAsia="zh-CN"/>
              </w:rPr>
              <w:t>3</w:t>
            </w:r>
            <w:r>
              <w:rPr>
                <w:rFonts w:hint="eastAsia" w:ascii="宋体" w:hAnsi="宋体" w:cs="宋体"/>
                <w:color w:val="000000"/>
                <w:kern w:val="0"/>
                <w:sz w:val="24"/>
              </w:rPr>
              <w:t>0分）</w:t>
            </w:r>
          </w:p>
        </w:tc>
        <w:tc>
          <w:tcPr>
            <w:tcW w:w="3644" w:type="pct"/>
            <w:tcBorders>
              <w:top w:val="nil"/>
              <w:left w:val="nil"/>
              <w:bottom w:val="single" w:color="auto" w:sz="4" w:space="0"/>
              <w:right w:val="single" w:color="auto" w:sz="4" w:space="0"/>
            </w:tcBorders>
            <w:vAlign w:val="center"/>
          </w:tcPr>
          <w:p w14:paraId="1C132267">
            <w:pPr>
              <w:keepNext w:val="0"/>
              <w:keepLines w:val="0"/>
              <w:suppressLineNumbers w:val="0"/>
              <w:spacing w:before="0" w:beforeAutospacing="0" w:after="0" w:afterAutospacing="0" w:line="400" w:lineRule="exact"/>
              <w:ind w:left="0" w:right="0"/>
              <w:rPr>
                <w:rFonts w:hint="eastAsia" w:ascii="宋体" w:hAnsi="宋体"/>
                <w:color w:val="000000"/>
                <w:sz w:val="24"/>
                <w:szCs w:val="24"/>
              </w:rPr>
            </w:pPr>
            <w:r>
              <w:rPr>
                <w:rFonts w:hint="eastAsia" w:ascii="宋体" w:hAnsi="宋体"/>
                <w:color w:val="000000"/>
                <w:sz w:val="24"/>
                <w:szCs w:val="24"/>
              </w:rPr>
              <w:t>1、</w:t>
            </w:r>
            <w:r>
              <w:rPr>
                <w:rFonts w:hint="eastAsia" w:ascii="宋体" w:hAnsi="宋体"/>
                <w:color w:val="000000"/>
                <w:sz w:val="24"/>
                <w:szCs w:val="24"/>
                <w:lang w:val="en-US" w:eastAsia="zh-CN"/>
              </w:rPr>
              <w:t>磋商报价高于“最高限价”的，采购人将不予接受，且本次投标做无效处理；</w:t>
            </w:r>
          </w:p>
          <w:p w14:paraId="7A2C4B49">
            <w:pPr>
              <w:keepNext w:val="0"/>
              <w:keepLines w:val="0"/>
              <w:suppressLineNumbers w:val="0"/>
              <w:spacing w:before="0" w:beforeAutospacing="0" w:after="0" w:afterAutospacing="0" w:line="400" w:lineRule="exact"/>
              <w:ind w:left="0" w:right="0"/>
              <w:rPr>
                <w:rFonts w:hint="default" w:ascii="宋体" w:hAnsi="宋体"/>
                <w:color w:val="000000"/>
                <w:sz w:val="24"/>
                <w:szCs w:val="24"/>
              </w:rPr>
            </w:pPr>
            <w:r>
              <w:rPr>
                <w:rFonts w:hint="eastAsia" w:ascii="宋体" w:hAnsi="宋体"/>
                <w:b/>
                <w:color w:val="000000"/>
                <w:sz w:val="24"/>
                <w:szCs w:val="24"/>
                <w:lang w:val="en-US" w:eastAsia="zh-CN"/>
              </w:rPr>
              <w:t>2、</w:t>
            </w:r>
            <w:r>
              <w:rPr>
                <w:rFonts w:hint="eastAsia" w:ascii="宋体" w:hAnsi="宋体"/>
                <w:b/>
                <w:color w:val="000000"/>
                <w:sz w:val="24"/>
                <w:szCs w:val="24"/>
              </w:rPr>
              <w:t>评标基准报价计算方法：</w:t>
            </w:r>
            <w:r>
              <w:rPr>
                <w:rFonts w:hint="eastAsia" w:ascii="宋体" w:hAnsi="宋体"/>
                <w:color w:val="000000"/>
                <w:sz w:val="24"/>
                <w:szCs w:val="24"/>
              </w:rPr>
              <w:t>价格分采用低价优先法计算，即满足招标文件要求且投标价格最低的投标报价为评标基准价，其价格分为满分。其他</w:t>
            </w:r>
            <w:r>
              <w:rPr>
                <w:rFonts w:hint="eastAsia" w:ascii="宋体" w:hAnsi="宋体"/>
                <w:color w:val="000000"/>
                <w:sz w:val="24"/>
                <w:szCs w:val="24"/>
                <w:lang w:eastAsia="zh-CN"/>
              </w:rPr>
              <w:t>供应商</w:t>
            </w:r>
            <w:r>
              <w:rPr>
                <w:rFonts w:hint="eastAsia" w:ascii="宋体" w:hAnsi="宋体"/>
                <w:color w:val="000000"/>
                <w:sz w:val="24"/>
                <w:szCs w:val="24"/>
              </w:rPr>
              <w:t>的价格分统一按照下列公式计算：</w:t>
            </w:r>
          </w:p>
          <w:p w14:paraId="5850AD51">
            <w:pPr>
              <w:keepNext w:val="0"/>
              <w:keepLines w:val="0"/>
              <w:suppressLineNumbers w:val="0"/>
              <w:spacing w:before="0" w:beforeAutospacing="0" w:after="0" w:afterAutospacing="0" w:line="400" w:lineRule="exact"/>
              <w:ind w:left="0" w:right="0"/>
              <w:jc w:val="left"/>
              <w:rPr>
                <w:rFonts w:hint="default" w:ascii="宋体" w:hAnsi="宋体"/>
                <w:color w:val="000000"/>
                <w:sz w:val="24"/>
                <w:szCs w:val="24"/>
              </w:rPr>
            </w:pPr>
            <w:r>
              <w:rPr>
                <w:rFonts w:hint="eastAsia" w:ascii="宋体" w:hAnsi="宋体"/>
                <w:color w:val="000000"/>
                <w:sz w:val="24"/>
                <w:szCs w:val="24"/>
              </w:rPr>
              <w:t>投标报价得分=</w:t>
            </w:r>
            <w:r>
              <w:rPr>
                <w:rFonts w:hint="eastAsia" w:ascii="宋体" w:hAnsi="宋体"/>
                <w:color w:val="000000"/>
                <w:sz w:val="24"/>
                <w:szCs w:val="24"/>
                <w:lang w:val="en-US" w:eastAsia="zh-CN"/>
              </w:rPr>
              <w:t>3</w:t>
            </w:r>
            <w:r>
              <w:rPr>
                <w:rFonts w:hint="eastAsia" w:ascii="宋体" w:hAnsi="宋体"/>
                <w:color w:val="000000"/>
                <w:sz w:val="24"/>
                <w:szCs w:val="24"/>
              </w:rPr>
              <w:t>0×（评审基准价/投标报价）；（以上评分计算最终保留两位2小数，第三位四舍五入）</w:t>
            </w:r>
          </w:p>
          <w:p w14:paraId="2C744E14">
            <w:pPr>
              <w:keepNext w:val="0"/>
              <w:keepLines w:val="0"/>
              <w:suppressLineNumbers w:val="0"/>
              <w:tabs>
                <w:tab w:val="left" w:pos="420"/>
              </w:tabs>
              <w:spacing w:before="0" w:beforeAutospacing="0" w:after="0" w:afterAutospacing="0"/>
              <w:ind w:left="0" w:right="0"/>
              <w:rPr>
                <w:rFonts w:hint="default"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、价格分计算保留小数点两位。</w:t>
            </w:r>
          </w:p>
          <w:p w14:paraId="5AB3D14F">
            <w:pPr>
              <w:keepNext w:val="0"/>
              <w:keepLines w:val="0"/>
              <w:suppressLineNumbers w:val="0"/>
              <w:spacing w:before="0" w:beforeAutospacing="0" w:after="0" w:afterAutospacing="0" w:line="400" w:lineRule="exact"/>
              <w:ind w:left="0" w:right="0"/>
              <w:jc w:val="left"/>
              <w:rPr>
                <w:rFonts w:hint="default" w:ascii="宋体" w:hAnsi="宋体"/>
                <w:color w:val="000000"/>
                <w:sz w:val="24"/>
                <w:szCs w:val="24"/>
              </w:rPr>
            </w:pPr>
            <w:r>
              <w:rPr>
                <w:rFonts w:hint="eastAsia" w:cs="宋体" w:asciiTheme="minorEastAsia" w:hAnsiTheme="minorEastAsia" w:eastAsiaTheme="minorEastAsia"/>
                <w:b/>
                <w:bCs/>
                <w:sz w:val="22"/>
                <w:szCs w:val="22"/>
                <w:highlight w:val="none"/>
              </w:rPr>
              <w:t>注：本项目专门面向中小微企业（监狱企业、残疾人福利性企业视同小微企业）采购的项目，不再享受小微企业、监狱企业和残疾人福利性企业价格扣除优惠政策。</w:t>
            </w:r>
          </w:p>
        </w:tc>
      </w:tr>
      <w:tr w14:paraId="2C85D1C0">
        <w:tblPrEx>
          <w:tblCellMar>
            <w:top w:w="0" w:type="dxa"/>
            <w:left w:w="108" w:type="dxa"/>
            <w:bottom w:w="0" w:type="dxa"/>
            <w:right w:w="108" w:type="dxa"/>
          </w:tblCellMar>
        </w:tblPrEx>
        <w:trPr>
          <w:trHeight w:val="90" w:hRule="atLeast"/>
        </w:trPr>
        <w:tc>
          <w:tcPr>
            <w:tcW w:w="513" w:type="pct"/>
            <w:vMerge w:val="restart"/>
            <w:tcBorders>
              <w:top w:val="nil"/>
              <w:left w:val="single" w:color="auto" w:sz="4" w:space="0"/>
              <w:right w:val="single" w:color="auto" w:sz="4" w:space="0"/>
            </w:tcBorders>
            <w:vAlign w:val="center"/>
          </w:tcPr>
          <w:p w14:paraId="4A1B8F41">
            <w:pPr>
              <w:keepNext w:val="0"/>
              <w:keepLines w:val="0"/>
              <w:widowControl/>
              <w:suppressLineNumbers w:val="0"/>
              <w:spacing w:before="100" w:beforeAutospacing="1" w:after="100" w:afterAutospacing="1" w:line="280" w:lineRule="exact"/>
              <w:ind w:left="0" w:right="0"/>
              <w:jc w:val="center"/>
              <w:rPr>
                <w:rFonts w:hint="default" w:ascii="宋体" w:hAnsi="宋体" w:cs="宋体"/>
                <w:color w:val="000000"/>
                <w:kern w:val="0"/>
                <w:sz w:val="24"/>
                <w:szCs w:val="24"/>
              </w:rPr>
            </w:pPr>
            <w:r>
              <w:rPr>
                <w:rFonts w:hint="eastAsia" w:ascii="宋体" w:hAnsi="宋体" w:cs="宋体"/>
                <w:color w:val="000000"/>
                <w:kern w:val="0"/>
                <w:sz w:val="24"/>
                <w:szCs w:val="24"/>
              </w:rPr>
              <w:t>2、技术标评审（5</w:t>
            </w:r>
            <w:r>
              <w:rPr>
                <w:rFonts w:hint="eastAsia" w:ascii="宋体" w:hAnsi="宋体" w:cs="宋体"/>
                <w:color w:val="000000"/>
                <w:kern w:val="0"/>
                <w:sz w:val="24"/>
                <w:szCs w:val="24"/>
                <w:lang w:val="en-US" w:eastAsia="zh-CN"/>
              </w:rPr>
              <w:t>0</w:t>
            </w:r>
            <w:r>
              <w:rPr>
                <w:rFonts w:hint="eastAsia" w:ascii="宋体" w:hAnsi="宋体" w:cs="宋体"/>
                <w:color w:val="000000"/>
                <w:kern w:val="0"/>
                <w:sz w:val="24"/>
                <w:szCs w:val="24"/>
              </w:rPr>
              <w:t xml:space="preserve">分） </w:t>
            </w:r>
          </w:p>
          <w:p w14:paraId="636BDD3D">
            <w:pPr>
              <w:keepNext w:val="0"/>
              <w:keepLines w:val="0"/>
              <w:widowControl/>
              <w:suppressLineNumbers w:val="0"/>
              <w:spacing w:before="100" w:beforeAutospacing="1" w:after="100" w:afterAutospacing="1" w:line="280" w:lineRule="exact"/>
              <w:ind w:left="0" w:right="0"/>
              <w:jc w:val="center"/>
              <w:rPr>
                <w:rFonts w:hint="default" w:ascii="宋体" w:hAnsi="宋体" w:cs="宋体"/>
                <w:color w:val="000000"/>
                <w:kern w:val="0"/>
                <w:sz w:val="24"/>
                <w:szCs w:val="18"/>
              </w:rPr>
            </w:pPr>
          </w:p>
          <w:p w14:paraId="5AF45314">
            <w:pPr>
              <w:keepNext w:val="0"/>
              <w:keepLines w:val="0"/>
              <w:widowControl/>
              <w:suppressLineNumbers w:val="0"/>
              <w:spacing w:before="100" w:beforeAutospacing="1" w:after="100" w:afterAutospacing="1" w:line="280" w:lineRule="exact"/>
              <w:ind w:left="0" w:right="0"/>
              <w:jc w:val="center"/>
              <w:rPr>
                <w:rFonts w:hint="default" w:ascii="宋体" w:hAnsi="宋体" w:cs="宋体"/>
                <w:color w:val="000000"/>
                <w:kern w:val="0"/>
                <w:sz w:val="24"/>
                <w:szCs w:val="24"/>
              </w:rPr>
            </w:pPr>
          </w:p>
        </w:tc>
        <w:tc>
          <w:tcPr>
            <w:tcW w:w="842" w:type="pct"/>
            <w:vMerge w:val="restart"/>
            <w:tcBorders>
              <w:top w:val="nil"/>
              <w:left w:val="nil"/>
              <w:right w:val="single" w:color="auto" w:sz="4" w:space="0"/>
            </w:tcBorders>
            <w:vAlign w:val="center"/>
          </w:tcPr>
          <w:p w14:paraId="14270008">
            <w:pPr>
              <w:keepNext w:val="0"/>
              <w:keepLines w:val="0"/>
              <w:suppressLineNumbers w:val="0"/>
              <w:spacing w:before="0" w:beforeAutospacing="0" w:after="0" w:afterAutospacing="0" w:line="280" w:lineRule="exact"/>
              <w:ind w:left="0" w:right="0"/>
              <w:jc w:val="center"/>
              <w:rPr>
                <w:rFonts w:hint="default"/>
                <w:color w:val="000000"/>
                <w:sz w:val="24"/>
                <w:szCs w:val="24"/>
              </w:rPr>
            </w:pPr>
            <w:r>
              <w:rPr>
                <w:rFonts w:hint="eastAsia" w:ascii="宋体" w:hAnsi="宋体"/>
                <w:color w:val="000000"/>
                <w:sz w:val="24"/>
                <w:szCs w:val="24"/>
              </w:rPr>
              <w:t>内容完整性（</w:t>
            </w:r>
            <w:r>
              <w:rPr>
                <w:rFonts w:hint="eastAsia" w:ascii="宋体" w:hAnsi="宋体"/>
                <w:color w:val="000000"/>
                <w:sz w:val="24"/>
                <w:szCs w:val="24"/>
                <w:lang w:val="en-US" w:eastAsia="zh-CN"/>
              </w:rPr>
              <w:t>0-</w:t>
            </w:r>
            <w:r>
              <w:rPr>
                <w:rFonts w:hint="eastAsia" w:ascii="宋体" w:hAnsi="宋体"/>
                <w:color w:val="000000"/>
                <w:sz w:val="24"/>
                <w:szCs w:val="24"/>
              </w:rPr>
              <w:t>5分）</w:t>
            </w:r>
          </w:p>
        </w:tc>
        <w:tc>
          <w:tcPr>
            <w:tcW w:w="3644" w:type="pct"/>
            <w:tcBorders>
              <w:top w:val="nil"/>
              <w:left w:val="nil"/>
              <w:bottom w:val="single" w:color="auto" w:sz="4" w:space="0"/>
              <w:right w:val="single" w:color="auto" w:sz="4" w:space="0"/>
            </w:tcBorders>
            <w:vAlign w:val="center"/>
          </w:tcPr>
          <w:p w14:paraId="6DB01BDD">
            <w:pPr>
              <w:keepNext w:val="0"/>
              <w:keepLines w:val="0"/>
              <w:widowControl/>
              <w:suppressLineNumbers w:val="0"/>
              <w:spacing w:before="0" w:beforeAutospacing="0" w:after="0" w:afterAutospacing="0" w:line="400" w:lineRule="exact"/>
              <w:ind w:left="0" w:right="0"/>
              <w:jc w:val="left"/>
              <w:rPr>
                <w:rFonts w:hint="default" w:asciiTheme="minorEastAsia" w:hAnsiTheme="minorEastAsia" w:eastAsiaTheme="minorEastAsia" w:cstheme="minorEastAsia"/>
                <w:kern w:val="0"/>
                <w:sz w:val="24"/>
                <w:szCs w:val="24"/>
              </w:rPr>
            </w:pPr>
            <w:r>
              <w:rPr>
                <w:rFonts w:hint="default" w:asciiTheme="minorEastAsia" w:hAnsiTheme="minorEastAsia" w:eastAsiaTheme="minorEastAsia" w:cstheme="minorEastAsia"/>
                <w:kern w:val="0"/>
                <w:sz w:val="24"/>
                <w:szCs w:val="24"/>
                <w:lang w:val="en-US" w:eastAsia="zh-CN"/>
              </w:rPr>
              <w:t>技术标的主要内容具有完整性，符合竞争性磋商文件的要求，得5分。</w:t>
            </w:r>
          </w:p>
        </w:tc>
      </w:tr>
      <w:tr w14:paraId="5F4F4096">
        <w:tblPrEx>
          <w:tblCellMar>
            <w:top w:w="0" w:type="dxa"/>
            <w:left w:w="108" w:type="dxa"/>
            <w:bottom w:w="0" w:type="dxa"/>
            <w:right w:w="108" w:type="dxa"/>
          </w:tblCellMar>
        </w:tblPrEx>
        <w:trPr>
          <w:trHeight w:val="605" w:hRule="atLeast"/>
        </w:trPr>
        <w:tc>
          <w:tcPr>
            <w:tcW w:w="513" w:type="pct"/>
            <w:vMerge w:val="continue"/>
            <w:tcBorders>
              <w:left w:val="single" w:color="auto" w:sz="4" w:space="0"/>
              <w:right w:val="single" w:color="auto" w:sz="4" w:space="0"/>
            </w:tcBorders>
            <w:vAlign w:val="center"/>
          </w:tcPr>
          <w:p w14:paraId="6DCBBDD3">
            <w:pPr>
              <w:keepNext w:val="0"/>
              <w:keepLines w:val="0"/>
              <w:widowControl/>
              <w:suppressLineNumbers w:val="0"/>
              <w:spacing w:before="0" w:beforeAutospacing="0" w:after="0" w:afterAutospacing="0" w:line="400" w:lineRule="exact"/>
              <w:ind w:left="0" w:right="0"/>
              <w:jc w:val="left"/>
              <w:rPr>
                <w:rFonts w:hint="default"/>
              </w:rPr>
            </w:pPr>
          </w:p>
        </w:tc>
        <w:tc>
          <w:tcPr>
            <w:tcW w:w="842" w:type="pct"/>
            <w:vMerge w:val="continue"/>
            <w:tcBorders>
              <w:left w:val="nil"/>
              <w:bottom w:val="single" w:color="auto" w:sz="4" w:space="0"/>
              <w:right w:val="single" w:color="auto" w:sz="4" w:space="0"/>
            </w:tcBorders>
            <w:vAlign w:val="center"/>
          </w:tcPr>
          <w:p w14:paraId="2CC0782F">
            <w:pPr>
              <w:keepNext w:val="0"/>
              <w:keepLines w:val="0"/>
              <w:widowControl/>
              <w:suppressLineNumbers w:val="0"/>
              <w:spacing w:before="0" w:beforeAutospacing="0" w:after="0" w:afterAutospacing="0" w:line="400" w:lineRule="exact"/>
              <w:ind w:left="0" w:right="0"/>
              <w:jc w:val="left"/>
              <w:rPr>
                <w:rFonts w:hint="default"/>
              </w:rPr>
            </w:pPr>
          </w:p>
        </w:tc>
        <w:tc>
          <w:tcPr>
            <w:tcW w:w="3644" w:type="pct"/>
            <w:tcBorders>
              <w:top w:val="nil"/>
              <w:left w:val="nil"/>
              <w:bottom w:val="single" w:color="auto" w:sz="4" w:space="0"/>
              <w:right w:val="single" w:color="auto" w:sz="4" w:space="0"/>
            </w:tcBorders>
            <w:vAlign w:val="center"/>
          </w:tcPr>
          <w:p w14:paraId="7AC38D02">
            <w:pPr>
              <w:keepNext w:val="0"/>
              <w:keepLines w:val="0"/>
              <w:widowControl/>
              <w:suppressLineNumbers w:val="0"/>
              <w:spacing w:before="0" w:beforeAutospacing="0" w:after="0" w:afterAutospacing="0" w:line="400" w:lineRule="exact"/>
              <w:ind w:left="0" w:right="0"/>
              <w:jc w:val="left"/>
              <w:rPr>
                <w:rFonts w:hint="default" w:asciiTheme="minorEastAsia" w:hAnsiTheme="minorEastAsia" w:eastAsiaTheme="minorEastAsia" w:cstheme="minorEastAsia"/>
                <w:kern w:val="0"/>
                <w:sz w:val="24"/>
                <w:szCs w:val="24"/>
                <w:lang w:val="en-US" w:eastAsia="zh-CN"/>
              </w:rPr>
            </w:pPr>
            <w:r>
              <w:rPr>
                <w:rFonts w:hint="default" w:asciiTheme="minorEastAsia" w:hAnsiTheme="minorEastAsia" w:eastAsiaTheme="minorEastAsia" w:cstheme="minorEastAsia"/>
                <w:kern w:val="0"/>
                <w:sz w:val="24"/>
                <w:szCs w:val="24"/>
                <w:lang w:val="en-US" w:eastAsia="zh-CN"/>
              </w:rPr>
              <w:t>技术标不符合竞争性磋商文件要求，不得分。</w:t>
            </w:r>
          </w:p>
        </w:tc>
      </w:tr>
      <w:tr w14:paraId="3339E7AE">
        <w:tblPrEx>
          <w:tblCellMar>
            <w:top w:w="0" w:type="dxa"/>
            <w:left w:w="108" w:type="dxa"/>
            <w:bottom w:w="0" w:type="dxa"/>
            <w:right w:w="108" w:type="dxa"/>
          </w:tblCellMar>
        </w:tblPrEx>
        <w:trPr>
          <w:trHeight w:val="1085" w:hRule="atLeast"/>
        </w:trPr>
        <w:tc>
          <w:tcPr>
            <w:tcW w:w="513" w:type="pct"/>
            <w:vMerge w:val="continue"/>
            <w:tcBorders>
              <w:top w:val="nil"/>
              <w:left w:val="single" w:color="auto" w:sz="4" w:space="0"/>
              <w:right w:val="single" w:color="auto" w:sz="4" w:space="0"/>
            </w:tcBorders>
            <w:vAlign w:val="center"/>
          </w:tcPr>
          <w:p w14:paraId="5D1F125D">
            <w:pPr>
              <w:keepNext w:val="0"/>
              <w:keepLines w:val="0"/>
              <w:widowControl/>
              <w:suppressLineNumbers w:val="0"/>
              <w:spacing w:before="100" w:beforeAutospacing="1" w:after="100" w:afterAutospacing="1" w:line="280" w:lineRule="exact"/>
              <w:ind w:left="0" w:right="0"/>
              <w:jc w:val="center"/>
              <w:rPr>
                <w:rFonts w:hint="default" w:ascii="宋体" w:hAnsi="宋体" w:cs="宋体"/>
                <w:color w:val="000000"/>
                <w:kern w:val="0"/>
                <w:sz w:val="24"/>
                <w:szCs w:val="24"/>
              </w:rPr>
            </w:pPr>
          </w:p>
        </w:tc>
        <w:tc>
          <w:tcPr>
            <w:tcW w:w="842" w:type="pct"/>
            <w:vMerge w:val="restart"/>
            <w:tcBorders>
              <w:top w:val="nil"/>
              <w:left w:val="nil"/>
              <w:right w:val="single" w:color="auto" w:sz="4" w:space="0"/>
            </w:tcBorders>
            <w:vAlign w:val="center"/>
          </w:tcPr>
          <w:p w14:paraId="11447966">
            <w:pPr>
              <w:keepNext w:val="0"/>
              <w:keepLines w:val="0"/>
              <w:suppressLineNumbers w:val="0"/>
              <w:spacing w:before="0" w:beforeAutospacing="0" w:after="0" w:afterAutospacing="0" w:line="280" w:lineRule="exact"/>
              <w:ind w:left="0" w:right="0"/>
              <w:rPr>
                <w:rFonts w:hint="default"/>
                <w:color w:val="000000"/>
                <w:sz w:val="24"/>
                <w:szCs w:val="24"/>
              </w:rPr>
            </w:pPr>
            <w:r>
              <w:rPr>
                <w:rFonts w:hint="eastAsia" w:ascii="宋体" w:hAnsi="宋体"/>
                <w:color w:val="000000"/>
                <w:sz w:val="24"/>
                <w:szCs w:val="24"/>
                <w:lang w:val="en-US" w:eastAsia="zh-CN"/>
              </w:rPr>
              <w:t>主要施工方案与技术措施</w:t>
            </w:r>
            <w:r>
              <w:rPr>
                <w:rFonts w:hint="eastAsia" w:ascii="宋体" w:hAnsi="宋体"/>
                <w:color w:val="000000"/>
                <w:sz w:val="24"/>
                <w:szCs w:val="24"/>
              </w:rPr>
              <w:t>（</w:t>
            </w:r>
            <w:r>
              <w:rPr>
                <w:rFonts w:hint="eastAsia" w:ascii="宋体" w:hAnsi="宋体"/>
                <w:color w:val="000000"/>
                <w:sz w:val="24"/>
                <w:szCs w:val="24"/>
                <w:lang w:val="en-US" w:eastAsia="zh-CN"/>
              </w:rPr>
              <w:t>0-</w:t>
            </w:r>
            <w:r>
              <w:rPr>
                <w:rFonts w:hint="eastAsia" w:ascii="宋体" w:hAnsi="宋体"/>
                <w:color w:val="000000"/>
                <w:sz w:val="24"/>
                <w:szCs w:val="24"/>
              </w:rPr>
              <w:t>5分）</w:t>
            </w:r>
          </w:p>
        </w:tc>
        <w:tc>
          <w:tcPr>
            <w:tcW w:w="3644" w:type="pct"/>
            <w:tcBorders>
              <w:top w:val="nil"/>
              <w:left w:val="nil"/>
              <w:bottom w:val="single" w:color="auto" w:sz="4" w:space="0"/>
              <w:right w:val="single" w:color="auto" w:sz="4" w:space="0"/>
            </w:tcBorders>
            <w:vAlign w:val="center"/>
          </w:tcPr>
          <w:p w14:paraId="3B9146E2">
            <w:pPr>
              <w:keepNext w:val="0"/>
              <w:keepLines w:val="0"/>
              <w:numPr>
                <w:ilvl w:val="0"/>
                <w:numId w:val="0"/>
              </w:numPr>
              <w:suppressLineNumbers w:val="0"/>
              <w:spacing w:before="0" w:beforeAutospacing="0" w:after="0" w:afterAutospacing="0" w:line="360" w:lineRule="exact"/>
              <w:ind w:left="0" w:right="0"/>
              <w:rPr>
                <w:rFonts w:hint="default"/>
                <w:color w:val="000000"/>
                <w:sz w:val="24"/>
                <w:szCs w:val="24"/>
              </w:rPr>
            </w:pPr>
            <w:r>
              <w:rPr>
                <w:rFonts w:hint="default"/>
                <w:color w:val="000000"/>
                <w:sz w:val="24"/>
                <w:szCs w:val="24"/>
                <w:lang w:val="en-US" w:eastAsia="zh-CN"/>
              </w:rPr>
              <w:t>施工方案（含工程特点、施工重点与难点及绿色施工）总体安排合理，运用先进、合理的施工工艺、施工机械；对施工难点有先进和合理的建议。5分</w:t>
            </w:r>
          </w:p>
        </w:tc>
      </w:tr>
      <w:tr w14:paraId="6377F315">
        <w:tblPrEx>
          <w:tblCellMar>
            <w:top w:w="0" w:type="dxa"/>
            <w:left w:w="108" w:type="dxa"/>
            <w:bottom w:w="0" w:type="dxa"/>
            <w:right w:w="108" w:type="dxa"/>
          </w:tblCellMar>
        </w:tblPrEx>
        <w:trPr>
          <w:trHeight w:val="1085" w:hRule="atLeast"/>
        </w:trPr>
        <w:tc>
          <w:tcPr>
            <w:tcW w:w="513" w:type="pct"/>
            <w:vMerge w:val="continue"/>
            <w:tcBorders>
              <w:left w:val="single" w:color="auto" w:sz="4" w:space="0"/>
              <w:right w:val="single" w:color="auto" w:sz="4" w:space="0"/>
            </w:tcBorders>
            <w:vAlign w:val="center"/>
          </w:tcPr>
          <w:p w14:paraId="0C62FDA6">
            <w:pPr>
              <w:keepNext w:val="0"/>
              <w:keepLines w:val="0"/>
              <w:suppressLineNumbers w:val="0"/>
              <w:spacing w:before="0" w:beforeAutospacing="0" w:after="0" w:afterAutospacing="0" w:line="360" w:lineRule="exact"/>
              <w:ind w:left="0" w:right="0"/>
              <w:rPr>
                <w:rFonts w:hint="default"/>
              </w:rPr>
            </w:pPr>
          </w:p>
        </w:tc>
        <w:tc>
          <w:tcPr>
            <w:tcW w:w="842" w:type="pct"/>
            <w:vMerge w:val="continue"/>
            <w:tcBorders>
              <w:left w:val="nil"/>
              <w:bottom w:val="single" w:color="auto" w:sz="4" w:space="0"/>
              <w:right w:val="single" w:color="auto" w:sz="4" w:space="0"/>
            </w:tcBorders>
            <w:vAlign w:val="center"/>
          </w:tcPr>
          <w:p w14:paraId="65DE93B7">
            <w:pPr>
              <w:keepNext w:val="0"/>
              <w:keepLines w:val="0"/>
              <w:suppressLineNumbers w:val="0"/>
              <w:spacing w:before="0" w:beforeAutospacing="0" w:after="0" w:afterAutospacing="0" w:line="360" w:lineRule="exact"/>
              <w:ind w:left="0" w:right="0"/>
              <w:rPr>
                <w:rFonts w:hint="default"/>
              </w:rPr>
            </w:pPr>
          </w:p>
        </w:tc>
        <w:tc>
          <w:tcPr>
            <w:tcW w:w="3644" w:type="pct"/>
            <w:tcBorders>
              <w:top w:val="nil"/>
              <w:left w:val="nil"/>
              <w:bottom w:val="single" w:color="auto" w:sz="4" w:space="0"/>
              <w:right w:val="single" w:color="auto" w:sz="4" w:space="0"/>
            </w:tcBorders>
            <w:vAlign w:val="center"/>
          </w:tcPr>
          <w:p w14:paraId="21BB1F52">
            <w:pPr>
              <w:keepNext w:val="0"/>
              <w:keepLines w:val="0"/>
              <w:numPr>
                <w:ilvl w:val="0"/>
                <w:numId w:val="0"/>
              </w:numPr>
              <w:suppressLineNumbers w:val="0"/>
              <w:spacing w:before="0" w:beforeAutospacing="0" w:after="0" w:afterAutospacing="0" w:line="360" w:lineRule="exact"/>
              <w:ind w:left="0" w:right="0"/>
              <w:rPr>
                <w:rFonts w:hint="default"/>
                <w:color w:val="000000"/>
                <w:sz w:val="24"/>
                <w:szCs w:val="24"/>
                <w:lang w:val="en-US" w:eastAsia="zh-CN"/>
              </w:rPr>
            </w:pPr>
            <w:r>
              <w:rPr>
                <w:rFonts w:hint="default"/>
                <w:color w:val="000000"/>
                <w:sz w:val="24"/>
                <w:szCs w:val="24"/>
                <w:lang w:val="en-US" w:eastAsia="zh-CN"/>
              </w:rPr>
              <w:t>施工方案（含工程特点、施工重点与难点及绿色施工）总体安排合理，施工工艺、施工机械合理、可行；对施工难点有合理的建议。3分</w:t>
            </w:r>
          </w:p>
        </w:tc>
      </w:tr>
      <w:tr w14:paraId="299BD6C9">
        <w:tblPrEx>
          <w:tblCellMar>
            <w:top w:w="0" w:type="dxa"/>
            <w:left w:w="108" w:type="dxa"/>
            <w:bottom w:w="0" w:type="dxa"/>
            <w:right w:w="108" w:type="dxa"/>
          </w:tblCellMar>
        </w:tblPrEx>
        <w:trPr>
          <w:trHeight w:val="905" w:hRule="atLeast"/>
        </w:trPr>
        <w:tc>
          <w:tcPr>
            <w:tcW w:w="513" w:type="pct"/>
            <w:vMerge w:val="continue"/>
            <w:tcBorders>
              <w:left w:val="single" w:color="auto" w:sz="4" w:space="0"/>
              <w:right w:val="single" w:color="auto" w:sz="4" w:space="0"/>
            </w:tcBorders>
            <w:vAlign w:val="center"/>
          </w:tcPr>
          <w:p w14:paraId="6B46AC81">
            <w:pPr>
              <w:keepNext w:val="0"/>
              <w:keepLines w:val="0"/>
              <w:widowControl/>
              <w:suppressLineNumbers w:val="0"/>
              <w:spacing w:before="100" w:beforeAutospacing="1" w:after="100" w:afterAutospacing="1" w:line="280" w:lineRule="exact"/>
              <w:ind w:left="0" w:right="0"/>
              <w:jc w:val="center"/>
              <w:rPr>
                <w:rFonts w:hint="default" w:ascii="宋体" w:hAnsi="宋体" w:cs="宋体"/>
                <w:color w:val="000000"/>
                <w:kern w:val="0"/>
                <w:sz w:val="24"/>
                <w:szCs w:val="18"/>
              </w:rPr>
            </w:pPr>
          </w:p>
        </w:tc>
        <w:tc>
          <w:tcPr>
            <w:tcW w:w="842" w:type="pct"/>
            <w:vMerge w:val="restart"/>
            <w:tcBorders>
              <w:top w:val="nil"/>
              <w:left w:val="nil"/>
              <w:right w:val="single" w:color="auto" w:sz="4" w:space="0"/>
            </w:tcBorders>
            <w:vAlign w:val="center"/>
          </w:tcPr>
          <w:p w14:paraId="26CCEAD8">
            <w:pPr>
              <w:keepNext w:val="0"/>
              <w:keepLines w:val="0"/>
              <w:suppressLineNumbers w:val="0"/>
              <w:spacing w:before="0" w:beforeAutospacing="0" w:after="0" w:afterAutospacing="0" w:line="280" w:lineRule="exact"/>
              <w:ind w:left="0" w:right="0"/>
              <w:rPr>
                <w:rFonts w:hint="default" w:ascii="宋体" w:hAnsi="宋体"/>
                <w:color w:val="000000"/>
                <w:sz w:val="24"/>
                <w:szCs w:val="24"/>
              </w:rPr>
            </w:pPr>
            <w:r>
              <w:rPr>
                <w:rFonts w:hint="eastAsia" w:ascii="宋体" w:hAnsi="宋体"/>
                <w:color w:val="000000"/>
                <w:sz w:val="24"/>
                <w:szCs w:val="24"/>
                <w:lang w:val="en-US" w:eastAsia="zh-CN"/>
              </w:rPr>
              <w:t>质量管理体系与措施</w:t>
            </w:r>
            <w:r>
              <w:rPr>
                <w:rFonts w:hint="eastAsia" w:ascii="宋体" w:hAnsi="宋体"/>
                <w:color w:val="000000"/>
                <w:sz w:val="24"/>
                <w:szCs w:val="24"/>
              </w:rPr>
              <w:t>（</w:t>
            </w:r>
            <w:r>
              <w:rPr>
                <w:rFonts w:hint="eastAsia" w:ascii="宋体" w:hAnsi="宋体"/>
                <w:color w:val="000000"/>
                <w:sz w:val="24"/>
                <w:szCs w:val="24"/>
                <w:lang w:val="en-US" w:eastAsia="zh-CN"/>
              </w:rPr>
              <w:t>0-</w:t>
            </w:r>
            <w:r>
              <w:rPr>
                <w:rFonts w:hint="eastAsia" w:ascii="宋体" w:hAnsi="宋体"/>
                <w:color w:val="000000"/>
                <w:sz w:val="24"/>
                <w:szCs w:val="24"/>
              </w:rPr>
              <w:t>5分）</w:t>
            </w:r>
          </w:p>
        </w:tc>
        <w:tc>
          <w:tcPr>
            <w:tcW w:w="3644" w:type="pct"/>
            <w:tcBorders>
              <w:top w:val="nil"/>
              <w:left w:val="nil"/>
              <w:bottom w:val="single" w:color="auto" w:sz="4" w:space="0"/>
              <w:right w:val="single" w:color="auto" w:sz="4" w:space="0"/>
            </w:tcBorders>
            <w:vAlign w:val="center"/>
          </w:tcPr>
          <w:p w14:paraId="4B30F517">
            <w:pPr>
              <w:keepNext w:val="0"/>
              <w:keepLines w:val="0"/>
              <w:numPr>
                <w:ilvl w:val="0"/>
                <w:numId w:val="0"/>
              </w:numPr>
              <w:suppressLineNumbers w:val="0"/>
              <w:spacing w:before="0" w:beforeAutospacing="0" w:after="0" w:afterAutospacing="0" w:line="360" w:lineRule="exact"/>
              <w:ind w:left="0" w:right="0"/>
              <w:rPr>
                <w:rFonts w:hint="default" w:ascii="新宋体" w:hAnsi="新宋体" w:eastAsia="新宋体" w:cs="新宋体"/>
                <w:sz w:val="24"/>
                <w:szCs w:val="24"/>
              </w:rPr>
            </w:pPr>
            <w:r>
              <w:rPr>
                <w:rFonts w:hint="default" w:ascii="新宋体" w:hAnsi="新宋体" w:eastAsia="新宋体" w:cs="新宋体"/>
                <w:sz w:val="24"/>
                <w:szCs w:val="24"/>
                <w:lang w:val="en-US" w:eastAsia="zh-CN"/>
              </w:rPr>
              <w:t>组织机构形式合理，有完善的指挥系统、质量监控系统、联络协调系统，对项目提出先进、可行、具体的保证措施。5分</w:t>
            </w:r>
          </w:p>
        </w:tc>
      </w:tr>
      <w:tr w14:paraId="7D2922C8">
        <w:tblPrEx>
          <w:tblCellMar>
            <w:top w:w="0" w:type="dxa"/>
            <w:left w:w="108" w:type="dxa"/>
            <w:bottom w:w="0" w:type="dxa"/>
            <w:right w:w="108" w:type="dxa"/>
          </w:tblCellMar>
        </w:tblPrEx>
        <w:trPr>
          <w:trHeight w:val="905" w:hRule="atLeast"/>
        </w:trPr>
        <w:tc>
          <w:tcPr>
            <w:tcW w:w="513" w:type="pct"/>
            <w:vMerge w:val="continue"/>
            <w:tcBorders>
              <w:left w:val="single" w:color="auto" w:sz="4" w:space="0"/>
              <w:right w:val="single" w:color="auto" w:sz="4" w:space="0"/>
            </w:tcBorders>
            <w:vAlign w:val="center"/>
          </w:tcPr>
          <w:p w14:paraId="57445500">
            <w:pPr>
              <w:keepNext w:val="0"/>
              <w:keepLines w:val="0"/>
              <w:suppressLineNumbers w:val="0"/>
              <w:spacing w:before="0" w:beforeAutospacing="0" w:after="0" w:afterAutospacing="0" w:line="360" w:lineRule="exact"/>
              <w:ind w:left="0" w:right="0"/>
              <w:rPr>
                <w:rFonts w:hint="default"/>
              </w:rPr>
            </w:pPr>
          </w:p>
        </w:tc>
        <w:tc>
          <w:tcPr>
            <w:tcW w:w="842" w:type="pct"/>
            <w:vMerge w:val="continue"/>
            <w:tcBorders>
              <w:left w:val="nil"/>
              <w:bottom w:val="single" w:color="auto" w:sz="4" w:space="0"/>
              <w:right w:val="single" w:color="auto" w:sz="4" w:space="0"/>
            </w:tcBorders>
            <w:vAlign w:val="center"/>
          </w:tcPr>
          <w:p w14:paraId="74B4388C">
            <w:pPr>
              <w:keepNext w:val="0"/>
              <w:keepLines w:val="0"/>
              <w:suppressLineNumbers w:val="0"/>
              <w:spacing w:before="0" w:beforeAutospacing="0" w:after="0" w:afterAutospacing="0" w:line="360" w:lineRule="exact"/>
              <w:ind w:left="0" w:right="0"/>
              <w:rPr>
                <w:rFonts w:hint="default"/>
              </w:rPr>
            </w:pPr>
          </w:p>
        </w:tc>
        <w:tc>
          <w:tcPr>
            <w:tcW w:w="3644" w:type="pct"/>
            <w:tcBorders>
              <w:top w:val="nil"/>
              <w:left w:val="nil"/>
              <w:bottom w:val="single" w:color="auto" w:sz="4" w:space="0"/>
              <w:right w:val="single" w:color="auto" w:sz="4" w:space="0"/>
            </w:tcBorders>
            <w:vAlign w:val="center"/>
          </w:tcPr>
          <w:p w14:paraId="152D46A3">
            <w:pPr>
              <w:keepNext w:val="0"/>
              <w:keepLines w:val="0"/>
              <w:numPr>
                <w:ilvl w:val="0"/>
                <w:numId w:val="0"/>
              </w:numPr>
              <w:suppressLineNumbers w:val="0"/>
              <w:spacing w:before="0" w:beforeAutospacing="0" w:after="0" w:afterAutospacing="0" w:line="360" w:lineRule="exact"/>
              <w:ind w:left="0" w:right="0"/>
              <w:rPr>
                <w:rFonts w:hint="default" w:ascii="新宋体" w:hAnsi="新宋体" w:eastAsia="新宋体" w:cs="新宋体"/>
                <w:sz w:val="24"/>
                <w:szCs w:val="24"/>
              </w:rPr>
            </w:pPr>
            <w:r>
              <w:rPr>
                <w:rFonts w:hint="default" w:ascii="新宋体" w:hAnsi="新宋体" w:eastAsia="新宋体" w:cs="新宋体"/>
                <w:sz w:val="24"/>
                <w:szCs w:val="24"/>
                <w:lang w:val="en-US" w:eastAsia="zh-CN"/>
              </w:rPr>
              <w:t>组织机构形式基本合理，指挥系统、质量监控系统、联络协调系统，具体措施可行。质量保证措施经济、安全、基本可行。</w:t>
            </w:r>
          </w:p>
          <w:p w14:paraId="3A88436A">
            <w:pPr>
              <w:keepNext w:val="0"/>
              <w:keepLines w:val="0"/>
              <w:numPr>
                <w:ilvl w:val="0"/>
                <w:numId w:val="0"/>
              </w:numPr>
              <w:suppressLineNumbers w:val="0"/>
              <w:spacing w:before="0" w:beforeAutospacing="0" w:after="0" w:afterAutospacing="0" w:line="360" w:lineRule="exact"/>
              <w:ind w:left="0" w:right="0"/>
              <w:rPr>
                <w:rFonts w:hint="default" w:ascii="新宋体" w:hAnsi="新宋体" w:eastAsia="新宋体" w:cs="新宋体"/>
                <w:sz w:val="24"/>
                <w:szCs w:val="24"/>
                <w:lang w:val="en-US" w:eastAsia="zh-CN"/>
              </w:rPr>
            </w:pPr>
            <w:r>
              <w:rPr>
                <w:rFonts w:hint="default" w:ascii="新宋体" w:hAnsi="新宋体" w:eastAsia="新宋体" w:cs="新宋体"/>
                <w:sz w:val="24"/>
                <w:szCs w:val="24"/>
                <w:lang w:val="en-US" w:eastAsia="zh-CN"/>
              </w:rPr>
              <w:t>3分</w:t>
            </w:r>
          </w:p>
        </w:tc>
      </w:tr>
      <w:tr w14:paraId="0953BAA5">
        <w:tblPrEx>
          <w:tblCellMar>
            <w:top w:w="0" w:type="dxa"/>
            <w:left w:w="108" w:type="dxa"/>
            <w:bottom w:w="0" w:type="dxa"/>
            <w:right w:w="108" w:type="dxa"/>
          </w:tblCellMar>
        </w:tblPrEx>
        <w:trPr>
          <w:trHeight w:val="1085" w:hRule="atLeast"/>
        </w:trPr>
        <w:tc>
          <w:tcPr>
            <w:tcW w:w="513" w:type="pct"/>
            <w:vMerge w:val="continue"/>
            <w:tcBorders>
              <w:left w:val="single" w:color="auto" w:sz="4" w:space="0"/>
              <w:right w:val="single" w:color="auto" w:sz="4" w:space="0"/>
            </w:tcBorders>
            <w:vAlign w:val="center"/>
          </w:tcPr>
          <w:p w14:paraId="00DB6D5A">
            <w:pPr>
              <w:keepNext w:val="0"/>
              <w:keepLines w:val="0"/>
              <w:widowControl/>
              <w:suppressLineNumbers w:val="0"/>
              <w:spacing w:before="100" w:beforeAutospacing="1" w:after="100" w:afterAutospacing="1" w:line="280" w:lineRule="exact"/>
              <w:ind w:left="0" w:right="0"/>
              <w:jc w:val="center"/>
              <w:rPr>
                <w:rFonts w:hint="default" w:ascii="宋体" w:hAnsi="宋体" w:cs="宋体"/>
                <w:color w:val="000000"/>
                <w:kern w:val="0"/>
                <w:sz w:val="24"/>
                <w:szCs w:val="18"/>
              </w:rPr>
            </w:pPr>
          </w:p>
        </w:tc>
        <w:tc>
          <w:tcPr>
            <w:tcW w:w="842" w:type="pct"/>
            <w:vMerge w:val="restart"/>
            <w:tcBorders>
              <w:top w:val="nil"/>
              <w:left w:val="nil"/>
              <w:right w:val="single" w:color="auto" w:sz="4" w:space="0"/>
            </w:tcBorders>
            <w:vAlign w:val="center"/>
          </w:tcPr>
          <w:p w14:paraId="3748ABAE">
            <w:pPr>
              <w:keepNext w:val="0"/>
              <w:keepLines w:val="0"/>
              <w:suppressLineNumbers w:val="0"/>
              <w:spacing w:before="0" w:beforeAutospacing="0" w:after="0" w:afterAutospacing="0" w:line="280" w:lineRule="exact"/>
              <w:ind w:left="0" w:right="0"/>
              <w:rPr>
                <w:rFonts w:hint="default"/>
                <w:color w:val="auto"/>
                <w:sz w:val="24"/>
                <w:szCs w:val="24"/>
              </w:rPr>
            </w:pPr>
            <w:r>
              <w:rPr>
                <w:rFonts w:hint="eastAsia" w:ascii="宋体" w:hAnsi="宋体"/>
                <w:color w:val="auto"/>
                <w:sz w:val="24"/>
                <w:szCs w:val="24"/>
                <w:lang w:val="en-US" w:eastAsia="zh-CN"/>
              </w:rPr>
              <w:t>安全管理体系与措施</w:t>
            </w:r>
            <w:r>
              <w:rPr>
                <w:rFonts w:hint="eastAsia" w:ascii="宋体" w:hAnsi="宋体"/>
                <w:color w:val="auto"/>
                <w:sz w:val="24"/>
                <w:szCs w:val="24"/>
              </w:rPr>
              <w:t>（</w:t>
            </w:r>
            <w:r>
              <w:rPr>
                <w:rFonts w:hint="eastAsia" w:ascii="宋体" w:hAnsi="宋体"/>
                <w:color w:val="auto"/>
                <w:sz w:val="24"/>
                <w:szCs w:val="24"/>
                <w:lang w:val="en-US" w:eastAsia="zh-CN"/>
              </w:rPr>
              <w:t>0-</w:t>
            </w:r>
            <w:r>
              <w:rPr>
                <w:rFonts w:hint="eastAsia" w:ascii="宋体" w:hAnsi="宋体"/>
                <w:color w:val="auto"/>
                <w:sz w:val="24"/>
                <w:szCs w:val="24"/>
              </w:rPr>
              <w:t>5分）</w:t>
            </w:r>
          </w:p>
        </w:tc>
        <w:tc>
          <w:tcPr>
            <w:tcW w:w="3644" w:type="pct"/>
            <w:tcBorders>
              <w:top w:val="nil"/>
              <w:left w:val="nil"/>
              <w:bottom w:val="single" w:color="auto" w:sz="4" w:space="0"/>
              <w:right w:val="single" w:color="auto" w:sz="4" w:space="0"/>
            </w:tcBorders>
            <w:vAlign w:val="center"/>
          </w:tcPr>
          <w:p w14:paraId="078EDC3E">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rPr>
            </w:pPr>
            <w:r>
              <w:rPr>
                <w:rFonts w:hint="default"/>
                <w:color w:val="auto"/>
                <w:sz w:val="24"/>
                <w:szCs w:val="24"/>
                <w:lang w:val="en-US" w:eastAsia="zh-CN"/>
              </w:rPr>
              <w:t>施工安全生产保障体系健全，安全管理制度完善，安全管理目标具体，全员安全责任制明确，现场安全管理组织机构。根据工程特点、施工工艺，现场重大危险源辨识全面，明确有相应的安全管理措施。安全技术方案措施科学合理、先进可行。</w:t>
            </w:r>
          </w:p>
          <w:p w14:paraId="25A65FD0">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rPr>
            </w:pPr>
            <w:r>
              <w:rPr>
                <w:rFonts w:hint="default"/>
                <w:color w:val="auto"/>
                <w:sz w:val="24"/>
                <w:szCs w:val="24"/>
                <w:lang w:val="en-US" w:eastAsia="zh-CN"/>
              </w:rPr>
              <w:t>5分</w:t>
            </w:r>
          </w:p>
        </w:tc>
      </w:tr>
      <w:tr w14:paraId="2C872BA0">
        <w:tblPrEx>
          <w:tblCellMar>
            <w:top w:w="0" w:type="dxa"/>
            <w:left w:w="108" w:type="dxa"/>
            <w:bottom w:w="0" w:type="dxa"/>
            <w:right w:w="108" w:type="dxa"/>
          </w:tblCellMar>
        </w:tblPrEx>
        <w:trPr>
          <w:trHeight w:val="1085" w:hRule="atLeast"/>
        </w:trPr>
        <w:tc>
          <w:tcPr>
            <w:tcW w:w="513" w:type="pct"/>
            <w:vMerge w:val="continue"/>
            <w:tcBorders>
              <w:left w:val="single" w:color="auto" w:sz="4" w:space="0"/>
              <w:right w:val="single" w:color="auto" w:sz="4" w:space="0"/>
            </w:tcBorders>
            <w:vAlign w:val="center"/>
          </w:tcPr>
          <w:p w14:paraId="557725DB">
            <w:pPr>
              <w:keepNext w:val="0"/>
              <w:keepLines w:val="0"/>
              <w:suppressLineNumbers w:val="0"/>
              <w:spacing w:before="0" w:beforeAutospacing="0" w:after="0" w:afterAutospacing="0" w:line="360" w:lineRule="exact"/>
              <w:ind w:left="0" w:right="0"/>
              <w:rPr>
                <w:rFonts w:hint="default"/>
              </w:rPr>
            </w:pPr>
          </w:p>
        </w:tc>
        <w:tc>
          <w:tcPr>
            <w:tcW w:w="842" w:type="pct"/>
            <w:vMerge w:val="continue"/>
            <w:tcBorders>
              <w:left w:val="nil"/>
              <w:bottom w:val="single" w:color="auto" w:sz="4" w:space="0"/>
              <w:right w:val="single" w:color="auto" w:sz="4" w:space="0"/>
            </w:tcBorders>
            <w:vAlign w:val="center"/>
          </w:tcPr>
          <w:p w14:paraId="5B9F9691">
            <w:pPr>
              <w:keepNext w:val="0"/>
              <w:keepLines w:val="0"/>
              <w:suppressLineNumbers w:val="0"/>
              <w:spacing w:before="0" w:beforeAutospacing="0" w:after="0" w:afterAutospacing="0" w:line="360" w:lineRule="exact"/>
              <w:ind w:left="0" w:right="0"/>
              <w:rPr>
                <w:rFonts w:hint="default"/>
              </w:rPr>
            </w:pPr>
          </w:p>
        </w:tc>
        <w:tc>
          <w:tcPr>
            <w:tcW w:w="3644" w:type="pct"/>
            <w:tcBorders>
              <w:top w:val="nil"/>
              <w:left w:val="nil"/>
              <w:bottom w:val="single" w:color="auto" w:sz="4" w:space="0"/>
              <w:right w:val="single" w:color="auto" w:sz="4" w:space="0"/>
            </w:tcBorders>
            <w:vAlign w:val="center"/>
          </w:tcPr>
          <w:p w14:paraId="46312FE5">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rPr>
            </w:pPr>
            <w:r>
              <w:rPr>
                <w:rFonts w:hint="default"/>
                <w:color w:val="auto"/>
                <w:sz w:val="24"/>
                <w:szCs w:val="24"/>
                <w:lang w:val="en-US" w:eastAsia="zh-CN"/>
              </w:rPr>
              <w:t>有施工安全生产保障体系、安全责任制和安全管理制度，现场安全管理机构。根据工程特点、施工工艺，正确识别现场重大危险源并有相应的安全防护管理措施。制定相关专项施工方案（或方案计划），安全技术方案、措施基本可行。3分</w:t>
            </w:r>
          </w:p>
        </w:tc>
      </w:tr>
      <w:tr w14:paraId="27D60323">
        <w:tblPrEx>
          <w:tblCellMar>
            <w:top w:w="0" w:type="dxa"/>
            <w:left w:w="108" w:type="dxa"/>
            <w:bottom w:w="0" w:type="dxa"/>
            <w:right w:w="108" w:type="dxa"/>
          </w:tblCellMar>
        </w:tblPrEx>
        <w:trPr>
          <w:trHeight w:val="1605" w:hRule="atLeast"/>
        </w:trPr>
        <w:tc>
          <w:tcPr>
            <w:tcW w:w="513" w:type="pct"/>
            <w:vMerge w:val="continue"/>
            <w:tcBorders>
              <w:left w:val="single" w:color="auto" w:sz="4" w:space="0"/>
              <w:right w:val="single" w:color="auto" w:sz="4" w:space="0"/>
            </w:tcBorders>
            <w:vAlign w:val="center"/>
          </w:tcPr>
          <w:p w14:paraId="0BCED551">
            <w:pPr>
              <w:keepNext w:val="0"/>
              <w:keepLines w:val="0"/>
              <w:widowControl/>
              <w:suppressLineNumbers w:val="0"/>
              <w:spacing w:before="100" w:beforeAutospacing="1" w:after="100" w:afterAutospacing="1" w:line="280" w:lineRule="exact"/>
              <w:ind w:left="0" w:right="0"/>
              <w:jc w:val="center"/>
              <w:rPr>
                <w:rFonts w:hint="default" w:ascii="宋体" w:hAnsi="宋体" w:cs="宋体"/>
                <w:color w:val="000000"/>
                <w:kern w:val="0"/>
                <w:sz w:val="24"/>
                <w:szCs w:val="18"/>
              </w:rPr>
            </w:pPr>
          </w:p>
        </w:tc>
        <w:tc>
          <w:tcPr>
            <w:tcW w:w="842" w:type="pct"/>
            <w:vMerge w:val="restart"/>
            <w:tcBorders>
              <w:top w:val="nil"/>
              <w:left w:val="nil"/>
              <w:right w:val="single" w:color="auto" w:sz="4" w:space="0"/>
            </w:tcBorders>
            <w:vAlign w:val="center"/>
          </w:tcPr>
          <w:p w14:paraId="3785E07A">
            <w:pPr>
              <w:keepNext w:val="0"/>
              <w:keepLines w:val="0"/>
              <w:widowControl/>
              <w:suppressLineNumbers w:val="0"/>
              <w:spacing w:before="100" w:beforeAutospacing="1" w:after="100" w:afterAutospacing="1" w:line="280" w:lineRule="exact"/>
              <w:ind w:left="0" w:right="0"/>
              <w:jc w:val="center"/>
              <w:rPr>
                <w:rFonts w:hint="default" w:ascii="宋体" w:hAnsi="宋体" w:cs="宋体"/>
                <w:color w:val="auto"/>
                <w:kern w:val="0"/>
                <w:sz w:val="24"/>
                <w:szCs w:val="24"/>
              </w:rPr>
            </w:pPr>
            <w:r>
              <w:rPr>
                <w:rFonts w:hint="eastAsia" w:ascii="宋体" w:hAnsi="宋体" w:cs="宋体"/>
                <w:color w:val="auto"/>
                <w:kern w:val="0"/>
                <w:sz w:val="24"/>
                <w:szCs w:val="24"/>
                <w:lang w:val="en-US" w:eastAsia="zh-CN"/>
              </w:rPr>
              <w:t>文明施工、环境保护管理体系及施工现场扬尘治理措施</w:t>
            </w: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0-</w:t>
            </w:r>
            <w:r>
              <w:rPr>
                <w:rFonts w:hint="eastAsia" w:ascii="宋体" w:hAnsi="宋体" w:cs="宋体"/>
                <w:color w:val="auto"/>
                <w:kern w:val="0"/>
                <w:sz w:val="24"/>
                <w:szCs w:val="24"/>
              </w:rPr>
              <w:t>5分）</w:t>
            </w:r>
          </w:p>
        </w:tc>
        <w:tc>
          <w:tcPr>
            <w:tcW w:w="3644" w:type="pct"/>
            <w:tcBorders>
              <w:top w:val="nil"/>
              <w:left w:val="nil"/>
              <w:bottom w:val="single" w:color="auto" w:sz="4" w:space="0"/>
              <w:right w:val="single" w:color="auto" w:sz="4" w:space="0"/>
            </w:tcBorders>
            <w:vAlign w:val="center"/>
          </w:tcPr>
          <w:p w14:paraId="1C907829">
            <w:pPr>
              <w:keepNext w:val="0"/>
              <w:keepLines w:val="0"/>
              <w:widowControl/>
              <w:numPr>
                <w:ilvl w:val="0"/>
                <w:numId w:val="0"/>
              </w:numPr>
              <w:suppressLineNumbers w:val="0"/>
              <w:spacing w:before="0" w:beforeAutospacing="0" w:after="0" w:afterAutospacing="0" w:line="400" w:lineRule="exact"/>
              <w:ind w:left="0" w:right="0"/>
              <w:rPr>
                <w:rFonts w:hint="default" w:asciiTheme="minorEastAsia" w:hAnsiTheme="minorEastAsia" w:eastAsiaTheme="minorEastAsia" w:cstheme="minorEastAsia"/>
                <w:color w:val="auto"/>
                <w:sz w:val="24"/>
                <w:szCs w:val="24"/>
              </w:rPr>
            </w:pPr>
            <w:r>
              <w:rPr>
                <w:rFonts w:hint="default" w:asciiTheme="minorEastAsia" w:hAnsiTheme="minorEastAsia" w:eastAsiaTheme="minorEastAsia" w:cstheme="minorEastAsia"/>
                <w:color w:val="auto"/>
                <w:sz w:val="24"/>
                <w:szCs w:val="24"/>
                <w:lang w:val="en-US" w:eastAsia="zh-CN"/>
              </w:rPr>
              <w:t>创安全文明标准化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规定，防治方案科学、先进。5分</w:t>
            </w:r>
          </w:p>
        </w:tc>
      </w:tr>
      <w:tr w14:paraId="14352587">
        <w:tblPrEx>
          <w:tblCellMar>
            <w:top w:w="0" w:type="dxa"/>
            <w:left w:w="108" w:type="dxa"/>
            <w:bottom w:w="0" w:type="dxa"/>
            <w:right w:w="108" w:type="dxa"/>
          </w:tblCellMar>
        </w:tblPrEx>
        <w:trPr>
          <w:trHeight w:val="1605" w:hRule="atLeast"/>
        </w:trPr>
        <w:tc>
          <w:tcPr>
            <w:tcW w:w="513" w:type="pct"/>
            <w:vMerge w:val="continue"/>
            <w:tcBorders>
              <w:left w:val="single" w:color="auto" w:sz="4" w:space="0"/>
              <w:right w:val="single" w:color="auto" w:sz="4" w:space="0"/>
            </w:tcBorders>
            <w:vAlign w:val="center"/>
          </w:tcPr>
          <w:p w14:paraId="43C7135E">
            <w:pPr>
              <w:keepNext w:val="0"/>
              <w:keepLines w:val="0"/>
              <w:widowControl/>
              <w:suppressLineNumbers w:val="0"/>
              <w:spacing w:before="0" w:beforeAutospacing="0" w:after="0" w:afterAutospacing="0" w:line="400" w:lineRule="exact"/>
              <w:ind w:left="0" w:right="0"/>
              <w:rPr>
                <w:rFonts w:hint="default"/>
              </w:rPr>
            </w:pPr>
          </w:p>
        </w:tc>
        <w:tc>
          <w:tcPr>
            <w:tcW w:w="842" w:type="pct"/>
            <w:vMerge w:val="continue"/>
            <w:tcBorders>
              <w:left w:val="nil"/>
              <w:bottom w:val="single" w:color="auto" w:sz="4" w:space="0"/>
              <w:right w:val="single" w:color="auto" w:sz="4" w:space="0"/>
            </w:tcBorders>
            <w:vAlign w:val="center"/>
          </w:tcPr>
          <w:p w14:paraId="71533479">
            <w:pPr>
              <w:keepNext w:val="0"/>
              <w:keepLines w:val="0"/>
              <w:widowControl/>
              <w:suppressLineNumbers w:val="0"/>
              <w:spacing w:before="0" w:beforeAutospacing="0" w:after="0" w:afterAutospacing="0" w:line="400" w:lineRule="exact"/>
              <w:ind w:left="0" w:right="0"/>
              <w:rPr>
                <w:rFonts w:hint="default"/>
              </w:rPr>
            </w:pPr>
          </w:p>
        </w:tc>
        <w:tc>
          <w:tcPr>
            <w:tcW w:w="3644" w:type="pct"/>
            <w:tcBorders>
              <w:top w:val="nil"/>
              <w:left w:val="nil"/>
              <w:bottom w:val="single" w:color="auto" w:sz="4" w:space="0"/>
              <w:right w:val="single" w:color="auto" w:sz="4" w:space="0"/>
            </w:tcBorders>
            <w:vAlign w:val="center"/>
          </w:tcPr>
          <w:p w14:paraId="0FB7797E">
            <w:pPr>
              <w:keepNext w:val="0"/>
              <w:keepLines w:val="0"/>
              <w:widowControl/>
              <w:numPr>
                <w:ilvl w:val="0"/>
                <w:numId w:val="0"/>
              </w:numPr>
              <w:suppressLineNumbers w:val="0"/>
              <w:spacing w:before="0" w:beforeAutospacing="0" w:after="0" w:afterAutospacing="0" w:line="400" w:lineRule="exact"/>
              <w:ind w:left="0" w:right="0"/>
              <w:rPr>
                <w:rFonts w:hint="default"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有</w:t>
            </w:r>
            <w:r>
              <w:rPr>
                <w:rFonts w:hint="default" w:asciiTheme="minorEastAsia" w:hAnsiTheme="minorEastAsia" w:eastAsiaTheme="minorEastAsia" w:cstheme="minorEastAsia"/>
                <w:color w:val="auto"/>
                <w:sz w:val="24"/>
                <w:szCs w:val="24"/>
                <w:lang w:val="en-US" w:eastAsia="zh-CN"/>
              </w:rPr>
              <w:t>安全文明标准化创建目标计划和创建措施，有安全文明措施费用投入使用计划，现场施工区、生活区、办公区等设置符合有关文明施工、健康卫生的规定。施工现场扬尘治理措施基本达</w:t>
            </w:r>
            <w:r>
              <w:rPr>
                <w:rFonts w:hint="eastAsia" w:asciiTheme="minorEastAsia" w:hAnsiTheme="minorEastAsia" w:cstheme="minorEastAsia"/>
                <w:color w:val="auto"/>
                <w:sz w:val="24"/>
                <w:szCs w:val="24"/>
                <w:lang w:val="en-US" w:eastAsia="zh-CN"/>
              </w:rPr>
              <w:t>到</w:t>
            </w:r>
            <w:r>
              <w:rPr>
                <w:rFonts w:hint="default" w:asciiTheme="minorEastAsia" w:hAnsiTheme="minorEastAsia" w:eastAsiaTheme="minorEastAsia" w:cstheme="minorEastAsia"/>
                <w:color w:val="auto"/>
                <w:sz w:val="24"/>
                <w:szCs w:val="24"/>
                <w:lang w:val="en-US" w:eastAsia="zh-CN"/>
              </w:rPr>
              <w:t>规定，有防治方案。3分</w:t>
            </w:r>
          </w:p>
        </w:tc>
      </w:tr>
      <w:tr w14:paraId="4C7BDAD5">
        <w:tblPrEx>
          <w:tblCellMar>
            <w:top w:w="0" w:type="dxa"/>
            <w:left w:w="108" w:type="dxa"/>
            <w:bottom w:w="0" w:type="dxa"/>
            <w:right w:w="108" w:type="dxa"/>
          </w:tblCellMar>
        </w:tblPrEx>
        <w:trPr>
          <w:trHeight w:val="365" w:hRule="atLeast"/>
        </w:trPr>
        <w:tc>
          <w:tcPr>
            <w:tcW w:w="513" w:type="pct"/>
            <w:vMerge w:val="continue"/>
            <w:tcBorders>
              <w:left w:val="single" w:color="auto" w:sz="4" w:space="0"/>
              <w:right w:val="single" w:color="auto" w:sz="4" w:space="0"/>
            </w:tcBorders>
            <w:vAlign w:val="center"/>
          </w:tcPr>
          <w:p w14:paraId="3C1DAD04">
            <w:pPr>
              <w:keepNext w:val="0"/>
              <w:keepLines w:val="0"/>
              <w:widowControl/>
              <w:suppressLineNumbers w:val="0"/>
              <w:spacing w:before="100" w:beforeAutospacing="1" w:after="100" w:afterAutospacing="1" w:line="280" w:lineRule="exact"/>
              <w:ind w:left="0" w:right="0"/>
              <w:jc w:val="center"/>
              <w:rPr>
                <w:rFonts w:hint="default" w:ascii="宋体" w:hAnsi="宋体" w:cs="宋体"/>
                <w:color w:val="000000"/>
                <w:kern w:val="0"/>
                <w:sz w:val="24"/>
                <w:szCs w:val="18"/>
              </w:rPr>
            </w:pPr>
          </w:p>
        </w:tc>
        <w:tc>
          <w:tcPr>
            <w:tcW w:w="842" w:type="pct"/>
            <w:vMerge w:val="restart"/>
            <w:tcBorders>
              <w:top w:val="nil"/>
              <w:left w:val="nil"/>
              <w:right w:val="single" w:color="auto" w:sz="4" w:space="0"/>
            </w:tcBorders>
            <w:vAlign w:val="center"/>
          </w:tcPr>
          <w:p w14:paraId="14909BEA">
            <w:pPr>
              <w:keepNext w:val="0"/>
              <w:keepLines w:val="0"/>
              <w:suppressLineNumbers w:val="0"/>
              <w:spacing w:before="0" w:beforeAutospacing="0" w:after="0" w:afterAutospacing="0" w:line="280" w:lineRule="exact"/>
              <w:ind w:left="0" w:right="0"/>
              <w:rPr>
                <w:rFonts w:hint="default"/>
                <w:color w:val="auto"/>
                <w:sz w:val="24"/>
                <w:szCs w:val="24"/>
              </w:rPr>
            </w:pPr>
            <w:r>
              <w:rPr>
                <w:rFonts w:hint="eastAsia" w:ascii="宋体" w:hAnsi="宋体"/>
                <w:color w:val="auto"/>
                <w:sz w:val="24"/>
                <w:szCs w:val="24"/>
                <w:lang w:val="en-US" w:eastAsia="zh-CN"/>
              </w:rPr>
              <w:t>工期保证措施（0-5分</w:t>
            </w:r>
            <w:r>
              <w:rPr>
                <w:rFonts w:hint="eastAsia" w:ascii="宋体" w:hAnsi="宋体"/>
                <w:color w:val="auto"/>
                <w:sz w:val="24"/>
                <w:szCs w:val="24"/>
              </w:rPr>
              <w:t>）</w:t>
            </w:r>
          </w:p>
        </w:tc>
        <w:tc>
          <w:tcPr>
            <w:tcW w:w="3644" w:type="pct"/>
            <w:tcBorders>
              <w:top w:val="nil"/>
              <w:left w:val="nil"/>
              <w:bottom w:val="single" w:color="auto" w:sz="4" w:space="0"/>
              <w:right w:val="single" w:color="auto" w:sz="4" w:space="0"/>
            </w:tcBorders>
            <w:vAlign w:val="center"/>
          </w:tcPr>
          <w:p w14:paraId="5D66D5DF">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rPr>
            </w:pPr>
            <w:r>
              <w:rPr>
                <w:rFonts w:hint="default"/>
                <w:color w:val="auto"/>
                <w:sz w:val="24"/>
                <w:szCs w:val="24"/>
                <w:lang w:val="en-US" w:eastAsia="zh-CN"/>
              </w:rPr>
              <w:t>工期承诺满足竞争性磋商文件要求，工期保证措施合理且有针对性，有具体的违约责任承诺。5分</w:t>
            </w:r>
          </w:p>
        </w:tc>
      </w:tr>
      <w:tr w14:paraId="7D0C9632">
        <w:tblPrEx>
          <w:tblCellMar>
            <w:top w:w="0" w:type="dxa"/>
            <w:left w:w="108" w:type="dxa"/>
            <w:bottom w:w="0" w:type="dxa"/>
            <w:right w:w="108" w:type="dxa"/>
          </w:tblCellMar>
        </w:tblPrEx>
        <w:trPr>
          <w:trHeight w:val="365" w:hRule="atLeast"/>
        </w:trPr>
        <w:tc>
          <w:tcPr>
            <w:tcW w:w="513" w:type="pct"/>
            <w:vMerge w:val="continue"/>
            <w:tcBorders>
              <w:left w:val="single" w:color="auto" w:sz="4" w:space="0"/>
              <w:right w:val="single" w:color="auto" w:sz="4" w:space="0"/>
            </w:tcBorders>
            <w:vAlign w:val="center"/>
          </w:tcPr>
          <w:p w14:paraId="6F83B144">
            <w:pPr>
              <w:keepNext w:val="0"/>
              <w:keepLines w:val="0"/>
              <w:suppressLineNumbers w:val="0"/>
              <w:spacing w:before="0" w:beforeAutospacing="0" w:after="0" w:afterAutospacing="0" w:line="360" w:lineRule="exact"/>
              <w:ind w:left="0" w:right="0"/>
              <w:rPr>
                <w:rFonts w:hint="default"/>
              </w:rPr>
            </w:pPr>
          </w:p>
        </w:tc>
        <w:tc>
          <w:tcPr>
            <w:tcW w:w="842" w:type="pct"/>
            <w:vMerge w:val="continue"/>
            <w:tcBorders>
              <w:left w:val="nil"/>
              <w:bottom w:val="single" w:color="auto" w:sz="4" w:space="0"/>
              <w:right w:val="single" w:color="auto" w:sz="4" w:space="0"/>
            </w:tcBorders>
            <w:vAlign w:val="center"/>
          </w:tcPr>
          <w:p w14:paraId="2AE4A6ED">
            <w:pPr>
              <w:keepNext w:val="0"/>
              <w:keepLines w:val="0"/>
              <w:suppressLineNumbers w:val="0"/>
              <w:spacing w:before="0" w:beforeAutospacing="0" w:after="0" w:afterAutospacing="0" w:line="360" w:lineRule="exact"/>
              <w:ind w:left="0" w:right="0"/>
              <w:rPr>
                <w:rFonts w:hint="default"/>
              </w:rPr>
            </w:pPr>
          </w:p>
        </w:tc>
        <w:tc>
          <w:tcPr>
            <w:tcW w:w="3644" w:type="pct"/>
            <w:tcBorders>
              <w:top w:val="nil"/>
              <w:left w:val="nil"/>
              <w:bottom w:val="single" w:color="auto" w:sz="4" w:space="0"/>
              <w:right w:val="single" w:color="auto" w:sz="4" w:space="0"/>
            </w:tcBorders>
            <w:vAlign w:val="center"/>
          </w:tcPr>
          <w:p w14:paraId="0B59C833">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lang w:val="en-US" w:eastAsia="zh-CN"/>
              </w:rPr>
            </w:pPr>
            <w:r>
              <w:rPr>
                <w:rFonts w:hint="default"/>
                <w:color w:val="auto"/>
                <w:sz w:val="24"/>
                <w:szCs w:val="24"/>
                <w:lang w:val="en-US" w:eastAsia="zh-CN"/>
              </w:rPr>
              <w:t>工期承诺满足竞争性磋商文件要求，工期保证措施基本合理，有具体的违约责任承诺。3分</w:t>
            </w:r>
          </w:p>
        </w:tc>
      </w:tr>
      <w:tr w14:paraId="5B5E4FFF">
        <w:tblPrEx>
          <w:tblCellMar>
            <w:top w:w="0" w:type="dxa"/>
            <w:left w:w="108" w:type="dxa"/>
            <w:bottom w:w="0" w:type="dxa"/>
            <w:right w:w="108" w:type="dxa"/>
          </w:tblCellMar>
        </w:tblPrEx>
        <w:trPr>
          <w:trHeight w:val="1265" w:hRule="atLeast"/>
        </w:trPr>
        <w:tc>
          <w:tcPr>
            <w:tcW w:w="513" w:type="pct"/>
            <w:vMerge w:val="continue"/>
            <w:tcBorders>
              <w:left w:val="single" w:color="auto" w:sz="4" w:space="0"/>
              <w:right w:val="single" w:color="auto" w:sz="4" w:space="0"/>
            </w:tcBorders>
            <w:vAlign w:val="center"/>
          </w:tcPr>
          <w:p w14:paraId="6EF4CB66">
            <w:pPr>
              <w:keepNext w:val="0"/>
              <w:keepLines w:val="0"/>
              <w:widowControl/>
              <w:suppressLineNumbers w:val="0"/>
              <w:spacing w:before="100" w:beforeAutospacing="1" w:after="100" w:afterAutospacing="1" w:line="280" w:lineRule="exact"/>
              <w:ind w:left="0" w:right="0"/>
              <w:jc w:val="center"/>
              <w:rPr>
                <w:rFonts w:hint="default" w:ascii="宋体" w:hAnsi="宋体" w:cs="宋体"/>
                <w:color w:val="000000"/>
                <w:kern w:val="0"/>
                <w:sz w:val="24"/>
                <w:szCs w:val="18"/>
              </w:rPr>
            </w:pPr>
          </w:p>
        </w:tc>
        <w:tc>
          <w:tcPr>
            <w:tcW w:w="842" w:type="pct"/>
            <w:vMerge w:val="restart"/>
            <w:tcBorders>
              <w:top w:val="nil"/>
              <w:left w:val="nil"/>
              <w:right w:val="single" w:color="auto" w:sz="4" w:space="0"/>
            </w:tcBorders>
            <w:vAlign w:val="center"/>
          </w:tcPr>
          <w:p w14:paraId="11A0CD3B">
            <w:pPr>
              <w:keepNext w:val="0"/>
              <w:keepLines w:val="0"/>
              <w:suppressLineNumbers w:val="0"/>
              <w:spacing w:before="0" w:beforeAutospacing="0" w:after="0" w:afterAutospacing="0" w:line="280" w:lineRule="exact"/>
              <w:ind w:left="0" w:right="0"/>
              <w:rPr>
                <w:rFonts w:hint="eastAsia" w:ascii="宋体" w:hAnsi="宋体"/>
                <w:color w:val="auto"/>
                <w:sz w:val="24"/>
                <w:szCs w:val="24"/>
                <w:lang w:val="en-US" w:eastAsia="zh-CN"/>
              </w:rPr>
            </w:pPr>
            <w:r>
              <w:rPr>
                <w:rFonts w:hint="eastAsia" w:ascii="宋体" w:hAnsi="宋体"/>
                <w:color w:val="auto"/>
                <w:sz w:val="24"/>
                <w:szCs w:val="24"/>
                <w:lang w:val="en-US" w:eastAsia="zh-CN"/>
              </w:rPr>
              <w:t>拟投入资源配备计划（0-5分）</w:t>
            </w:r>
          </w:p>
        </w:tc>
        <w:tc>
          <w:tcPr>
            <w:tcW w:w="3644" w:type="pct"/>
            <w:tcBorders>
              <w:top w:val="nil"/>
              <w:left w:val="nil"/>
              <w:bottom w:val="single" w:color="auto" w:sz="4" w:space="0"/>
              <w:right w:val="single" w:color="auto" w:sz="4" w:space="0"/>
            </w:tcBorders>
            <w:vAlign w:val="center"/>
          </w:tcPr>
          <w:p w14:paraId="6C93DDF8">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lang w:val="en-US" w:eastAsia="zh-CN"/>
              </w:rPr>
            </w:pPr>
            <w:r>
              <w:rPr>
                <w:rFonts w:hint="eastAsia"/>
                <w:color w:val="auto"/>
                <w:sz w:val="24"/>
                <w:szCs w:val="24"/>
                <w:lang w:val="en-US" w:eastAsia="zh-CN"/>
              </w:rPr>
              <w:t>1</w:t>
            </w:r>
            <w:r>
              <w:rPr>
                <w:rFonts w:hint="default"/>
                <w:color w:val="auto"/>
                <w:sz w:val="24"/>
                <w:szCs w:val="24"/>
                <w:lang w:val="en-US" w:eastAsia="zh-CN"/>
              </w:rPr>
              <w:t>、机械：投入计划与进度计划呼应，采用先进机械设备且配置合理、先进，满足安全技术规范和施工进度需要；</w:t>
            </w:r>
          </w:p>
          <w:p w14:paraId="27AF665B">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lang w:val="en-US" w:eastAsia="zh-CN"/>
              </w:rPr>
            </w:pPr>
            <w:r>
              <w:rPr>
                <w:rFonts w:hint="default"/>
                <w:color w:val="auto"/>
                <w:sz w:val="24"/>
                <w:szCs w:val="24"/>
                <w:lang w:val="en-US" w:eastAsia="zh-CN"/>
              </w:rPr>
              <w:t>2、劳动力：投入计划与进度计划呼应，较好满足施工需要，调配投入计划合理、准确；</w:t>
            </w:r>
          </w:p>
          <w:p w14:paraId="4222D134">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lang w:val="en-US" w:eastAsia="zh-CN"/>
              </w:rPr>
            </w:pPr>
            <w:r>
              <w:rPr>
                <w:rFonts w:hint="default"/>
                <w:color w:val="auto"/>
                <w:sz w:val="24"/>
                <w:szCs w:val="24"/>
                <w:lang w:val="en-US" w:eastAsia="zh-CN"/>
              </w:rPr>
              <w:t>3、主要物资计划：主要物资投入计划与进度计划呼应，较好满足施工需要，调配投入计划合理、准确。5分</w:t>
            </w:r>
          </w:p>
        </w:tc>
      </w:tr>
      <w:tr w14:paraId="404D8DD1">
        <w:tblPrEx>
          <w:tblCellMar>
            <w:top w:w="0" w:type="dxa"/>
            <w:left w:w="108" w:type="dxa"/>
            <w:bottom w:w="0" w:type="dxa"/>
            <w:right w:w="108" w:type="dxa"/>
          </w:tblCellMar>
        </w:tblPrEx>
        <w:trPr>
          <w:trHeight w:val="1265" w:hRule="atLeast"/>
        </w:trPr>
        <w:tc>
          <w:tcPr>
            <w:tcW w:w="513" w:type="pct"/>
            <w:vMerge w:val="continue"/>
            <w:tcBorders>
              <w:left w:val="single" w:color="auto" w:sz="4" w:space="0"/>
              <w:right w:val="single" w:color="auto" w:sz="4" w:space="0"/>
            </w:tcBorders>
            <w:vAlign w:val="center"/>
          </w:tcPr>
          <w:p w14:paraId="7DD98E89">
            <w:pPr>
              <w:keepNext w:val="0"/>
              <w:keepLines w:val="0"/>
              <w:suppressLineNumbers w:val="0"/>
              <w:spacing w:before="0" w:beforeAutospacing="0" w:after="0" w:afterAutospacing="0" w:line="360" w:lineRule="exact"/>
              <w:ind w:left="0" w:right="0"/>
              <w:rPr>
                <w:rFonts w:hint="default"/>
              </w:rPr>
            </w:pPr>
          </w:p>
        </w:tc>
        <w:tc>
          <w:tcPr>
            <w:tcW w:w="842" w:type="pct"/>
            <w:vMerge w:val="continue"/>
            <w:tcBorders>
              <w:left w:val="nil"/>
              <w:bottom w:val="single" w:color="auto" w:sz="4" w:space="0"/>
              <w:right w:val="single" w:color="auto" w:sz="4" w:space="0"/>
            </w:tcBorders>
            <w:vAlign w:val="center"/>
          </w:tcPr>
          <w:p w14:paraId="0B4F1575">
            <w:pPr>
              <w:keepNext w:val="0"/>
              <w:keepLines w:val="0"/>
              <w:suppressLineNumbers w:val="0"/>
              <w:spacing w:before="0" w:beforeAutospacing="0" w:after="0" w:afterAutospacing="0" w:line="360" w:lineRule="exact"/>
              <w:ind w:left="0" w:right="0"/>
              <w:rPr>
                <w:rFonts w:hint="default"/>
              </w:rPr>
            </w:pPr>
          </w:p>
        </w:tc>
        <w:tc>
          <w:tcPr>
            <w:tcW w:w="3644" w:type="pct"/>
            <w:tcBorders>
              <w:top w:val="nil"/>
              <w:left w:val="nil"/>
              <w:bottom w:val="single" w:color="auto" w:sz="4" w:space="0"/>
              <w:right w:val="single" w:color="auto" w:sz="4" w:space="0"/>
            </w:tcBorders>
            <w:vAlign w:val="center"/>
          </w:tcPr>
          <w:p w14:paraId="333CE310">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lang w:val="en-US" w:eastAsia="zh-CN"/>
              </w:rPr>
            </w:pPr>
            <w:r>
              <w:rPr>
                <w:rFonts w:hint="eastAsia"/>
                <w:color w:val="auto"/>
                <w:sz w:val="24"/>
                <w:szCs w:val="24"/>
                <w:lang w:val="en-US" w:eastAsia="zh-CN"/>
              </w:rPr>
              <w:t>1</w:t>
            </w:r>
            <w:r>
              <w:rPr>
                <w:rFonts w:hint="default"/>
                <w:color w:val="auto"/>
                <w:sz w:val="24"/>
                <w:szCs w:val="24"/>
                <w:lang w:val="en-US" w:eastAsia="zh-CN"/>
              </w:rPr>
              <w:t>、机械：投入计划与进度计划呼应，机械设备配置基本合理，满足安全技术规范和施工进度需要；</w:t>
            </w:r>
          </w:p>
          <w:p w14:paraId="6A405942">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lang w:val="en-US" w:eastAsia="zh-CN"/>
              </w:rPr>
            </w:pPr>
            <w:r>
              <w:rPr>
                <w:rFonts w:hint="default"/>
                <w:color w:val="auto"/>
                <w:sz w:val="24"/>
                <w:szCs w:val="24"/>
                <w:lang w:val="en-US" w:eastAsia="zh-CN"/>
              </w:rPr>
              <w:t>2、劳动力：投入计划与进度计划呼应，基本满足施工需要，调配投入计划基本合理；</w:t>
            </w:r>
          </w:p>
          <w:p w14:paraId="5B84E629">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lang w:val="en-US" w:eastAsia="zh-CN"/>
              </w:rPr>
            </w:pPr>
            <w:r>
              <w:rPr>
                <w:rFonts w:hint="default"/>
                <w:color w:val="auto"/>
                <w:sz w:val="24"/>
                <w:szCs w:val="24"/>
                <w:lang w:val="en-US" w:eastAsia="zh-CN"/>
              </w:rPr>
              <w:t>3、主要物资计划：主要物资投入计划与进度计划呼应，基本满足施工需要，调配投入计划基本合理。3分</w:t>
            </w:r>
          </w:p>
        </w:tc>
      </w:tr>
      <w:tr w14:paraId="2991E410">
        <w:tblPrEx>
          <w:tblCellMar>
            <w:top w:w="0" w:type="dxa"/>
            <w:left w:w="108" w:type="dxa"/>
            <w:bottom w:w="0" w:type="dxa"/>
            <w:right w:w="108" w:type="dxa"/>
          </w:tblCellMar>
        </w:tblPrEx>
        <w:trPr>
          <w:trHeight w:val="625" w:hRule="atLeast"/>
        </w:trPr>
        <w:tc>
          <w:tcPr>
            <w:tcW w:w="513" w:type="pct"/>
            <w:vMerge w:val="continue"/>
            <w:tcBorders>
              <w:left w:val="single" w:color="auto" w:sz="4" w:space="0"/>
              <w:right w:val="single" w:color="auto" w:sz="4" w:space="0"/>
            </w:tcBorders>
            <w:vAlign w:val="center"/>
          </w:tcPr>
          <w:p w14:paraId="2E1C7AF3">
            <w:pPr>
              <w:keepNext w:val="0"/>
              <w:keepLines w:val="0"/>
              <w:widowControl/>
              <w:suppressLineNumbers w:val="0"/>
              <w:spacing w:before="100" w:beforeAutospacing="1" w:after="100" w:afterAutospacing="1" w:line="280" w:lineRule="exact"/>
              <w:ind w:left="0" w:right="0"/>
              <w:jc w:val="center"/>
              <w:rPr>
                <w:rFonts w:hint="default" w:ascii="宋体" w:hAnsi="宋体" w:cs="宋体"/>
                <w:color w:val="000000"/>
                <w:kern w:val="0"/>
                <w:sz w:val="24"/>
                <w:szCs w:val="18"/>
              </w:rPr>
            </w:pPr>
          </w:p>
        </w:tc>
        <w:tc>
          <w:tcPr>
            <w:tcW w:w="842" w:type="pct"/>
            <w:vMerge w:val="restart"/>
            <w:tcBorders>
              <w:top w:val="nil"/>
              <w:left w:val="nil"/>
              <w:right w:val="single" w:color="auto" w:sz="4" w:space="0"/>
            </w:tcBorders>
            <w:vAlign w:val="center"/>
          </w:tcPr>
          <w:p w14:paraId="07CF5796">
            <w:pPr>
              <w:keepNext w:val="0"/>
              <w:keepLines w:val="0"/>
              <w:suppressLineNumbers w:val="0"/>
              <w:spacing w:before="0" w:beforeAutospacing="0" w:after="0" w:afterAutospacing="0" w:line="280" w:lineRule="exact"/>
              <w:ind w:left="0" w:right="0"/>
              <w:rPr>
                <w:rFonts w:hint="eastAsia" w:ascii="宋体" w:hAnsi="宋体"/>
                <w:color w:val="auto"/>
                <w:sz w:val="24"/>
                <w:szCs w:val="24"/>
                <w:lang w:val="en-US" w:eastAsia="zh-CN"/>
              </w:rPr>
            </w:pPr>
            <w:r>
              <w:rPr>
                <w:rFonts w:hint="eastAsia" w:ascii="宋体" w:hAnsi="宋体"/>
                <w:color w:val="auto"/>
                <w:sz w:val="24"/>
                <w:szCs w:val="24"/>
                <w:lang w:val="en-US" w:eastAsia="zh-CN"/>
              </w:rPr>
              <w:t>施工进度表与网络计划图（0-5分）</w:t>
            </w:r>
          </w:p>
        </w:tc>
        <w:tc>
          <w:tcPr>
            <w:tcW w:w="3644" w:type="pct"/>
            <w:tcBorders>
              <w:top w:val="nil"/>
              <w:left w:val="nil"/>
              <w:bottom w:val="single" w:color="auto" w:sz="4" w:space="0"/>
              <w:right w:val="single" w:color="auto" w:sz="4" w:space="0"/>
            </w:tcBorders>
            <w:vAlign w:val="center"/>
          </w:tcPr>
          <w:p w14:paraId="3C75D9DF">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lang w:val="en-US" w:eastAsia="zh-CN"/>
              </w:rPr>
            </w:pPr>
            <w:r>
              <w:rPr>
                <w:rFonts w:hint="eastAsia"/>
                <w:color w:val="auto"/>
                <w:sz w:val="24"/>
                <w:szCs w:val="24"/>
                <w:lang w:val="en-US" w:eastAsia="zh-CN"/>
              </w:rPr>
              <w:t>关</w:t>
            </w:r>
            <w:r>
              <w:rPr>
                <w:rFonts w:hint="default"/>
                <w:color w:val="auto"/>
                <w:sz w:val="24"/>
                <w:szCs w:val="24"/>
                <w:lang w:val="en-US" w:eastAsia="zh-CN"/>
              </w:rPr>
              <w:t>键线路清晰、准确、完整、计划编制合理、可行、满足竞争性磋商文件对工期的要求。5分</w:t>
            </w:r>
          </w:p>
        </w:tc>
      </w:tr>
      <w:tr w14:paraId="3013C402">
        <w:tblPrEx>
          <w:tblCellMar>
            <w:top w:w="0" w:type="dxa"/>
            <w:left w:w="108" w:type="dxa"/>
            <w:bottom w:w="0" w:type="dxa"/>
            <w:right w:w="108" w:type="dxa"/>
          </w:tblCellMar>
        </w:tblPrEx>
        <w:trPr>
          <w:trHeight w:val="625" w:hRule="atLeast"/>
        </w:trPr>
        <w:tc>
          <w:tcPr>
            <w:tcW w:w="513" w:type="pct"/>
            <w:vMerge w:val="continue"/>
            <w:tcBorders>
              <w:left w:val="single" w:color="auto" w:sz="4" w:space="0"/>
              <w:right w:val="single" w:color="auto" w:sz="4" w:space="0"/>
            </w:tcBorders>
            <w:vAlign w:val="center"/>
          </w:tcPr>
          <w:p w14:paraId="5DE38911">
            <w:pPr>
              <w:keepNext w:val="0"/>
              <w:keepLines w:val="0"/>
              <w:suppressLineNumbers w:val="0"/>
              <w:spacing w:before="0" w:beforeAutospacing="0" w:after="0" w:afterAutospacing="0" w:line="360" w:lineRule="exact"/>
              <w:ind w:left="0" w:right="0"/>
              <w:rPr>
                <w:rFonts w:hint="default"/>
              </w:rPr>
            </w:pPr>
          </w:p>
        </w:tc>
        <w:tc>
          <w:tcPr>
            <w:tcW w:w="842" w:type="pct"/>
            <w:vMerge w:val="continue"/>
            <w:tcBorders>
              <w:left w:val="nil"/>
              <w:bottom w:val="single" w:color="auto" w:sz="4" w:space="0"/>
              <w:right w:val="single" w:color="auto" w:sz="4" w:space="0"/>
            </w:tcBorders>
            <w:vAlign w:val="center"/>
          </w:tcPr>
          <w:p w14:paraId="09A998A9">
            <w:pPr>
              <w:keepNext w:val="0"/>
              <w:keepLines w:val="0"/>
              <w:suppressLineNumbers w:val="0"/>
              <w:spacing w:before="0" w:beforeAutospacing="0" w:after="0" w:afterAutospacing="0" w:line="360" w:lineRule="exact"/>
              <w:ind w:left="0" w:right="0"/>
              <w:rPr>
                <w:rFonts w:hint="default"/>
              </w:rPr>
            </w:pPr>
          </w:p>
        </w:tc>
        <w:tc>
          <w:tcPr>
            <w:tcW w:w="3644" w:type="pct"/>
            <w:tcBorders>
              <w:top w:val="nil"/>
              <w:left w:val="nil"/>
              <w:bottom w:val="single" w:color="auto" w:sz="4" w:space="0"/>
              <w:right w:val="single" w:color="auto" w:sz="4" w:space="0"/>
            </w:tcBorders>
            <w:vAlign w:val="center"/>
          </w:tcPr>
          <w:p w14:paraId="1555F1F7">
            <w:pPr>
              <w:keepNext w:val="0"/>
              <w:keepLines w:val="0"/>
              <w:numPr>
                <w:ilvl w:val="0"/>
                <w:numId w:val="0"/>
              </w:numPr>
              <w:suppressLineNumbers w:val="0"/>
              <w:spacing w:before="0" w:beforeAutospacing="0" w:after="0" w:afterAutospacing="0" w:line="360" w:lineRule="exact"/>
              <w:ind w:left="0" w:right="0"/>
              <w:rPr>
                <w:rFonts w:hint="eastAsia"/>
                <w:color w:val="auto"/>
                <w:sz w:val="24"/>
                <w:szCs w:val="24"/>
                <w:lang w:val="en-US" w:eastAsia="zh-CN"/>
              </w:rPr>
            </w:pPr>
            <w:r>
              <w:rPr>
                <w:rFonts w:hint="default"/>
                <w:color w:val="auto"/>
                <w:sz w:val="24"/>
                <w:szCs w:val="24"/>
                <w:lang w:val="en-US" w:eastAsia="zh-CN"/>
              </w:rPr>
              <w:t>关键线路基本准确，计划编制基本可行。3分</w:t>
            </w:r>
          </w:p>
        </w:tc>
      </w:tr>
      <w:tr w14:paraId="3AFE52C7">
        <w:tblPrEx>
          <w:tblCellMar>
            <w:top w:w="0" w:type="dxa"/>
            <w:left w:w="108" w:type="dxa"/>
            <w:bottom w:w="0" w:type="dxa"/>
            <w:right w:w="108" w:type="dxa"/>
          </w:tblCellMar>
        </w:tblPrEx>
        <w:trPr>
          <w:trHeight w:val="835" w:hRule="atLeast"/>
        </w:trPr>
        <w:tc>
          <w:tcPr>
            <w:tcW w:w="513" w:type="pct"/>
            <w:vMerge w:val="continue"/>
            <w:tcBorders>
              <w:left w:val="single" w:color="auto" w:sz="4" w:space="0"/>
              <w:right w:val="single" w:color="auto" w:sz="4" w:space="0"/>
            </w:tcBorders>
            <w:vAlign w:val="center"/>
          </w:tcPr>
          <w:p w14:paraId="262E8F96">
            <w:pPr>
              <w:keepNext w:val="0"/>
              <w:keepLines w:val="0"/>
              <w:widowControl/>
              <w:suppressLineNumbers w:val="0"/>
              <w:spacing w:before="100" w:beforeAutospacing="1" w:after="100" w:afterAutospacing="1" w:line="280" w:lineRule="exact"/>
              <w:ind w:left="0" w:right="0"/>
              <w:jc w:val="center"/>
              <w:rPr>
                <w:rFonts w:hint="default" w:ascii="宋体" w:hAnsi="宋体" w:cs="宋体"/>
                <w:color w:val="000000"/>
                <w:kern w:val="0"/>
                <w:sz w:val="24"/>
                <w:szCs w:val="18"/>
              </w:rPr>
            </w:pPr>
          </w:p>
        </w:tc>
        <w:tc>
          <w:tcPr>
            <w:tcW w:w="842" w:type="pct"/>
            <w:vMerge w:val="restart"/>
            <w:tcBorders>
              <w:top w:val="nil"/>
              <w:left w:val="nil"/>
              <w:right w:val="single" w:color="auto" w:sz="4" w:space="0"/>
            </w:tcBorders>
            <w:vAlign w:val="center"/>
          </w:tcPr>
          <w:p w14:paraId="214FFE2E">
            <w:pPr>
              <w:keepNext w:val="0"/>
              <w:keepLines w:val="0"/>
              <w:suppressLineNumbers w:val="0"/>
              <w:spacing w:before="0" w:beforeAutospacing="0" w:after="0" w:afterAutospacing="0" w:line="280" w:lineRule="exact"/>
              <w:ind w:left="0" w:right="0"/>
              <w:rPr>
                <w:rFonts w:hint="eastAsia" w:ascii="宋体" w:hAnsi="宋体"/>
                <w:color w:val="auto"/>
                <w:sz w:val="24"/>
                <w:szCs w:val="24"/>
                <w:lang w:val="en-US" w:eastAsia="zh-CN"/>
              </w:rPr>
            </w:pPr>
            <w:r>
              <w:rPr>
                <w:rFonts w:hint="eastAsia" w:ascii="宋体" w:hAnsi="宋体"/>
                <w:color w:val="auto"/>
                <w:sz w:val="24"/>
                <w:szCs w:val="24"/>
                <w:lang w:val="en-US" w:eastAsia="zh-CN"/>
              </w:rPr>
              <w:t>施工总平面图布置（0-5分）</w:t>
            </w:r>
          </w:p>
        </w:tc>
        <w:tc>
          <w:tcPr>
            <w:tcW w:w="3644" w:type="pct"/>
            <w:tcBorders>
              <w:top w:val="nil"/>
              <w:left w:val="nil"/>
              <w:bottom w:val="single" w:color="auto" w:sz="4" w:space="0"/>
              <w:right w:val="single" w:color="auto" w:sz="4" w:space="0"/>
            </w:tcBorders>
            <w:vAlign w:val="center"/>
          </w:tcPr>
          <w:p w14:paraId="45377421">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lang w:val="en-US" w:eastAsia="zh-CN"/>
              </w:rPr>
            </w:pPr>
            <w:r>
              <w:rPr>
                <w:rFonts w:hint="default"/>
                <w:color w:val="auto"/>
                <w:sz w:val="24"/>
                <w:szCs w:val="24"/>
                <w:lang w:val="en-US" w:eastAsia="zh-CN"/>
              </w:rPr>
              <w:t>总体布置有针对性、合理、能较好满足施工需要，符合安全、文明施工要求；材料堆放有序。5分</w:t>
            </w:r>
          </w:p>
        </w:tc>
      </w:tr>
      <w:tr w14:paraId="54633FAC">
        <w:tblPrEx>
          <w:tblCellMar>
            <w:top w:w="0" w:type="dxa"/>
            <w:left w:w="108" w:type="dxa"/>
            <w:bottom w:w="0" w:type="dxa"/>
            <w:right w:w="108" w:type="dxa"/>
          </w:tblCellMar>
        </w:tblPrEx>
        <w:trPr>
          <w:trHeight w:val="835" w:hRule="atLeast"/>
        </w:trPr>
        <w:tc>
          <w:tcPr>
            <w:tcW w:w="513" w:type="pct"/>
            <w:vMerge w:val="continue"/>
            <w:tcBorders>
              <w:left w:val="single" w:color="auto" w:sz="4" w:space="0"/>
              <w:right w:val="single" w:color="auto" w:sz="4" w:space="0"/>
            </w:tcBorders>
            <w:vAlign w:val="center"/>
          </w:tcPr>
          <w:p w14:paraId="60AD08C7">
            <w:pPr>
              <w:keepNext w:val="0"/>
              <w:keepLines w:val="0"/>
              <w:suppressLineNumbers w:val="0"/>
              <w:spacing w:before="0" w:beforeAutospacing="0" w:after="0" w:afterAutospacing="0" w:line="360" w:lineRule="exact"/>
              <w:ind w:left="0" w:right="0"/>
              <w:rPr>
                <w:rFonts w:hint="default"/>
              </w:rPr>
            </w:pPr>
          </w:p>
        </w:tc>
        <w:tc>
          <w:tcPr>
            <w:tcW w:w="842" w:type="pct"/>
            <w:vMerge w:val="continue"/>
            <w:tcBorders>
              <w:left w:val="nil"/>
              <w:bottom w:val="single" w:color="auto" w:sz="4" w:space="0"/>
              <w:right w:val="single" w:color="auto" w:sz="4" w:space="0"/>
            </w:tcBorders>
            <w:vAlign w:val="center"/>
          </w:tcPr>
          <w:p w14:paraId="48A9FD24">
            <w:pPr>
              <w:keepNext w:val="0"/>
              <w:keepLines w:val="0"/>
              <w:suppressLineNumbers w:val="0"/>
              <w:spacing w:before="0" w:beforeAutospacing="0" w:after="0" w:afterAutospacing="0" w:line="360" w:lineRule="exact"/>
              <w:ind w:left="0" w:right="0"/>
              <w:rPr>
                <w:rFonts w:hint="default"/>
              </w:rPr>
            </w:pPr>
          </w:p>
        </w:tc>
        <w:tc>
          <w:tcPr>
            <w:tcW w:w="3644" w:type="pct"/>
            <w:tcBorders>
              <w:top w:val="nil"/>
              <w:left w:val="nil"/>
              <w:bottom w:val="single" w:color="auto" w:sz="4" w:space="0"/>
              <w:right w:val="single" w:color="auto" w:sz="4" w:space="0"/>
            </w:tcBorders>
            <w:vAlign w:val="center"/>
          </w:tcPr>
          <w:p w14:paraId="0928BBFF">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lang w:val="en-US" w:eastAsia="zh-CN"/>
              </w:rPr>
            </w:pPr>
            <w:r>
              <w:rPr>
                <w:rFonts w:hint="default"/>
                <w:color w:val="auto"/>
                <w:sz w:val="24"/>
                <w:szCs w:val="24"/>
                <w:lang w:val="en-US" w:eastAsia="zh-CN"/>
              </w:rPr>
              <w:t>总体布置基本合理、基本满足施工需要。3分</w:t>
            </w:r>
          </w:p>
        </w:tc>
      </w:tr>
      <w:tr w14:paraId="7071E1CB">
        <w:tblPrEx>
          <w:tblCellMar>
            <w:top w:w="0" w:type="dxa"/>
            <w:left w:w="108" w:type="dxa"/>
            <w:bottom w:w="0" w:type="dxa"/>
            <w:right w:w="108" w:type="dxa"/>
          </w:tblCellMar>
        </w:tblPrEx>
        <w:trPr>
          <w:trHeight w:val="845" w:hRule="atLeast"/>
        </w:trPr>
        <w:tc>
          <w:tcPr>
            <w:tcW w:w="513" w:type="pct"/>
            <w:vMerge w:val="continue"/>
            <w:tcBorders>
              <w:left w:val="single" w:color="auto" w:sz="4" w:space="0"/>
              <w:right w:val="single" w:color="auto" w:sz="4" w:space="0"/>
            </w:tcBorders>
            <w:vAlign w:val="center"/>
          </w:tcPr>
          <w:p w14:paraId="5CAC6E77">
            <w:pPr>
              <w:keepNext w:val="0"/>
              <w:keepLines w:val="0"/>
              <w:widowControl/>
              <w:suppressLineNumbers w:val="0"/>
              <w:spacing w:before="100" w:beforeAutospacing="1" w:after="100" w:afterAutospacing="1" w:line="280" w:lineRule="exact"/>
              <w:ind w:left="0" w:right="0"/>
              <w:jc w:val="center"/>
              <w:rPr>
                <w:rFonts w:hint="default" w:ascii="宋体" w:hAnsi="宋体" w:cs="宋体"/>
                <w:color w:val="000000"/>
                <w:kern w:val="0"/>
                <w:sz w:val="24"/>
                <w:szCs w:val="18"/>
              </w:rPr>
            </w:pPr>
          </w:p>
        </w:tc>
        <w:tc>
          <w:tcPr>
            <w:tcW w:w="842" w:type="pct"/>
            <w:vMerge w:val="restart"/>
            <w:tcBorders>
              <w:top w:val="nil"/>
              <w:left w:val="nil"/>
              <w:right w:val="single" w:color="auto" w:sz="4" w:space="0"/>
            </w:tcBorders>
            <w:vAlign w:val="center"/>
          </w:tcPr>
          <w:p w14:paraId="6ED0049A">
            <w:pPr>
              <w:keepNext w:val="0"/>
              <w:keepLines w:val="0"/>
              <w:suppressLineNumbers w:val="0"/>
              <w:spacing w:before="0" w:beforeAutospacing="0" w:after="0" w:afterAutospacing="0" w:line="280" w:lineRule="exact"/>
              <w:ind w:left="0" w:right="0"/>
              <w:rPr>
                <w:rFonts w:hint="eastAsia" w:ascii="宋体" w:hAnsi="宋体"/>
                <w:color w:val="auto"/>
                <w:sz w:val="24"/>
                <w:szCs w:val="24"/>
                <w:lang w:val="en-US" w:eastAsia="zh-CN"/>
              </w:rPr>
            </w:pPr>
            <w:r>
              <w:rPr>
                <w:rFonts w:hint="eastAsia" w:ascii="宋体" w:hAnsi="宋体"/>
                <w:color w:val="auto"/>
                <w:sz w:val="24"/>
                <w:szCs w:val="24"/>
                <w:lang w:val="en-US" w:eastAsia="zh-CN"/>
              </w:rPr>
              <w:t>采用新工艺、新技术、新设备、新材料、BIM等的程度（0-5分）</w:t>
            </w:r>
          </w:p>
          <w:p w14:paraId="06E76666">
            <w:pPr>
              <w:keepNext w:val="0"/>
              <w:keepLines w:val="0"/>
              <w:suppressLineNumbers w:val="0"/>
              <w:spacing w:before="0" w:beforeAutospacing="0" w:after="0" w:afterAutospacing="0" w:line="280" w:lineRule="exact"/>
              <w:ind w:left="0" w:right="0"/>
              <w:rPr>
                <w:rFonts w:hint="eastAsia" w:ascii="宋体" w:hAnsi="宋体"/>
                <w:color w:val="auto"/>
                <w:sz w:val="24"/>
                <w:szCs w:val="24"/>
                <w:lang w:val="en-US" w:eastAsia="zh-CN"/>
              </w:rPr>
            </w:pPr>
          </w:p>
        </w:tc>
        <w:tc>
          <w:tcPr>
            <w:tcW w:w="3644" w:type="pct"/>
            <w:tcBorders>
              <w:top w:val="nil"/>
              <w:left w:val="nil"/>
              <w:bottom w:val="single" w:color="auto" w:sz="4" w:space="0"/>
              <w:right w:val="single" w:color="auto" w:sz="4" w:space="0"/>
            </w:tcBorders>
            <w:vAlign w:val="center"/>
          </w:tcPr>
          <w:p w14:paraId="2111F23B">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lang w:val="en-US" w:eastAsia="zh-CN"/>
              </w:rPr>
            </w:pPr>
            <w:r>
              <w:rPr>
                <w:rFonts w:hint="default"/>
                <w:color w:val="auto"/>
                <w:sz w:val="24"/>
                <w:szCs w:val="24"/>
                <w:lang w:val="en-US" w:eastAsia="zh-CN"/>
              </w:rPr>
              <w:t>采用新工艺、新技术、新设备、新材料、BIM等的程度满足设计要求，符合施工需要和相应技术标准等规定，经济适用。5分</w:t>
            </w:r>
          </w:p>
        </w:tc>
      </w:tr>
      <w:tr w14:paraId="1E27CD27">
        <w:tblPrEx>
          <w:tblCellMar>
            <w:top w:w="0" w:type="dxa"/>
            <w:left w:w="108" w:type="dxa"/>
            <w:bottom w:w="0" w:type="dxa"/>
            <w:right w:w="108" w:type="dxa"/>
          </w:tblCellMar>
        </w:tblPrEx>
        <w:trPr>
          <w:trHeight w:val="845" w:hRule="atLeast"/>
        </w:trPr>
        <w:tc>
          <w:tcPr>
            <w:tcW w:w="513" w:type="pct"/>
            <w:vMerge w:val="continue"/>
            <w:tcBorders>
              <w:left w:val="single" w:color="auto" w:sz="4" w:space="0"/>
              <w:right w:val="single" w:color="auto" w:sz="4" w:space="0"/>
            </w:tcBorders>
            <w:vAlign w:val="center"/>
          </w:tcPr>
          <w:p w14:paraId="4AA70166">
            <w:pPr>
              <w:keepNext w:val="0"/>
              <w:keepLines w:val="0"/>
              <w:suppressLineNumbers w:val="0"/>
              <w:spacing w:before="0" w:beforeAutospacing="0" w:after="0" w:afterAutospacing="0" w:line="360" w:lineRule="exact"/>
              <w:ind w:left="0" w:right="0"/>
              <w:rPr>
                <w:rFonts w:hint="default"/>
              </w:rPr>
            </w:pPr>
          </w:p>
        </w:tc>
        <w:tc>
          <w:tcPr>
            <w:tcW w:w="842" w:type="pct"/>
            <w:vMerge w:val="continue"/>
            <w:tcBorders>
              <w:left w:val="nil"/>
              <w:bottom w:val="single" w:color="auto" w:sz="4" w:space="0"/>
              <w:right w:val="single" w:color="auto" w:sz="4" w:space="0"/>
            </w:tcBorders>
            <w:vAlign w:val="center"/>
          </w:tcPr>
          <w:p w14:paraId="5301AB39">
            <w:pPr>
              <w:keepNext w:val="0"/>
              <w:keepLines w:val="0"/>
              <w:suppressLineNumbers w:val="0"/>
              <w:spacing w:before="0" w:beforeAutospacing="0" w:after="0" w:afterAutospacing="0" w:line="360" w:lineRule="exact"/>
              <w:ind w:left="0" w:right="0"/>
              <w:rPr>
                <w:rFonts w:hint="default"/>
              </w:rPr>
            </w:pPr>
          </w:p>
        </w:tc>
        <w:tc>
          <w:tcPr>
            <w:tcW w:w="3644" w:type="pct"/>
            <w:tcBorders>
              <w:top w:val="nil"/>
              <w:left w:val="nil"/>
              <w:bottom w:val="single" w:color="auto" w:sz="4" w:space="0"/>
              <w:right w:val="single" w:color="auto" w:sz="4" w:space="0"/>
            </w:tcBorders>
            <w:vAlign w:val="center"/>
          </w:tcPr>
          <w:p w14:paraId="65EE3033">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lang w:val="en-US" w:eastAsia="zh-CN"/>
              </w:rPr>
            </w:pPr>
            <w:r>
              <w:rPr>
                <w:rFonts w:hint="default"/>
                <w:color w:val="auto"/>
                <w:sz w:val="24"/>
                <w:szCs w:val="24"/>
                <w:lang w:val="en-US" w:eastAsia="zh-CN"/>
              </w:rPr>
              <w:t>采用新工艺、新技术、新设备、新材料、BIM等的程度满足设计要求，基本符合施工要求和相应技术标准等规定。3分</w:t>
            </w:r>
          </w:p>
        </w:tc>
      </w:tr>
      <w:tr w14:paraId="2039FD22">
        <w:tblPrEx>
          <w:tblCellMar>
            <w:top w:w="0" w:type="dxa"/>
            <w:left w:w="108" w:type="dxa"/>
            <w:bottom w:w="0" w:type="dxa"/>
            <w:right w:w="108" w:type="dxa"/>
          </w:tblCellMar>
        </w:tblPrEx>
        <w:trPr>
          <w:trHeight w:val="557" w:hRule="atLeast"/>
        </w:trPr>
        <w:tc>
          <w:tcPr>
            <w:tcW w:w="513" w:type="pct"/>
            <w:vMerge w:val="continue"/>
            <w:tcBorders>
              <w:left w:val="single" w:color="auto" w:sz="4" w:space="0"/>
              <w:bottom w:val="single" w:color="auto" w:sz="4" w:space="0"/>
              <w:right w:val="single" w:color="auto" w:sz="4" w:space="0"/>
            </w:tcBorders>
            <w:vAlign w:val="center"/>
          </w:tcPr>
          <w:p w14:paraId="12EFB610">
            <w:pPr>
              <w:keepNext w:val="0"/>
              <w:keepLines w:val="0"/>
              <w:widowControl/>
              <w:suppressLineNumbers w:val="0"/>
              <w:spacing w:before="100" w:beforeAutospacing="1" w:after="100" w:afterAutospacing="1" w:line="280" w:lineRule="exact"/>
              <w:ind w:left="0" w:right="0"/>
              <w:jc w:val="center"/>
              <w:rPr>
                <w:rFonts w:hint="default" w:ascii="宋体" w:hAnsi="宋体" w:cs="宋体"/>
                <w:color w:val="000000"/>
                <w:kern w:val="0"/>
                <w:sz w:val="24"/>
                <w:szCs w:val="18"/>
              </w:rPr>
            </w:pPr>
          </w:p>
        </w:tc>
        <w:tc>
          <w:tcPr>
            <w:tcW w:w="4486" w:type="pct"/>
            <w:gridSpan w:val="2"/>
            <w:tcBorders>
              <w:top w:val="nil"/>
              <w:left w:val="nil"/>
              <w:bottom w:val="single" w:color="auto" w:sz="4" w:space="0"/>
              <w:right w:val="single" w:color="auto" w:sz="4" w:space="0"/>
            </w:tcBorders>
            <w:vAlign w:val="center"/>
          </w:tcPr>
          <w:p w14:paraId="02E3A869">
            <w:pPr>
              <w:keepNext w:val="0"/>
              <w:keepLines w:val="0"/>
              <w:suppressLineNumbers w:val="0"/>
              <w:adjustRightInd w:val="0"/>
              <w:snapToGrid w:val="0"/>
              <w:spacing w:before="0" w:beforeAutospacing="0" w:after="0" w:afterAutospacing="0" w:line="360" w:lineRule="exact"/>
              <w:ind w:left="0" w:right="0"/>
              <w:rPr>
                <w:rFonts w:hint="default" w:ascii="宋体" w:hAnsi="宋体" w:cs="宋体"/>
                <w:color w:val="000000"/>
                <w:kern w:val="0"/>
                <w:sz w:val="24"/>
              </w:rPr>
            </w:pPr>
            <w:r>
              <w:rPr>
                <w:rFonts w:hint="eastAsia"/>
                <w:sz w:val="24"/>
                <w:szCs w:val="24"/>
              </w:rPr>
              <w:t>备注：以上项目若有缺项的，该项为0分；不缺项的，不低于最低分。</w:t>
            </w:r>
          </w:p>
        </w:tc>
      </w:tr>
      <w:tr w14:paraId="233F74F8">
        <w:tblPrEx>
          <w:tblCellMar>
            <w:top w:w="0" w:type="dxa"/>
            <w:left w:w="108" w:type="dxa"/>
            <w:bottom w:w="0" w:type="dxa"/>
            <w:right w:w="108" w:type="dxa"/>
          </w:tblCellMar>
        </w:tblPrEx>
        <w:trPr>
          <w:trHeight w:val="1280" w:hRule="atLeast"/>
        </w:trPr>
        <w:tc>
          <w:tcPr>
            <w:tcW w:w="513" w:type="pct"/>
            <w:vMerge w:val="restart"/>
            <w:tcBorders>
              <w:top w:val="single" w:color="auto" w:sz="4" w:space="0"/>
              <w:left w:val="single" w:color="auto" w:sz="4" w:space="0"/>
              <w:right w:val="single" w:color="auto" w:sz="4" w:space="0"/>
            </w:tcBorders>
            <w:vAlign w:val="center"/>
          </w:tcPr>
          <w:p w14:paraId="0F4E7166">
            <w:pPr>
              <w:keepNext w:val="0"/>
              <w:keepLines w:val="0"/>
              <w:suppressLineNumbers w:val="0"/>
              <w:spacing w:before="0" w:beforeAutospacing="0" w:after="0" w:afterAutospacing="0"/>
              <w:ind w:left="0" w:right="0"/>
              <w:jc w:val="center"/>
              <w:rPr>
                <w:rFonts w:hint="default" w:ascii="宋体" w:hAnsi="宋体" w:cs="宋体"/>
                <w:color w:val="000000"/>
                <w:kern w:val="0"/>
                <w:sz w:val="24"/>
              </w:rPr>
            </w:pPr>
            <w:r>
              <w:rPr>
                <w:rFonts w:hint="eastAsia" w:ascii="宋体" w:hAnsi="宋体" w:cs="宋体"/>
                <w:color w:val="000000"/>
                <w:kern w:val="0"/>
                <w:sz w:val="24"/>
              </w:rPr>
              <w:t>3</w:t>
            </w:r>
            <w:r>
              <w:rPr>
                <w:rFonts w:hint="eastAsia" w:ascii="宋体" w:hAnsi="宋体" w:cs="宋体"/>
                <w:kern w:val="0"/>
                <w:sz w:val="24"/>
              </w:rPr>
              <w:t>、</w:t>
            </w:r>
            <w:r>
              <w:rPr>
                <w:rFonts w:hint="eastAsia" w:ascii="宋体" w:hAnsi="宋体" w:cs="宋体"/>
                <w:kern w:val="0"/>
                <w:sz w:val="24"/>
                <w:lang w:val="en-US" w:eastAsia="zh-CN"/>
              </w:rPr>
              <w:t>综合</w:t>
            </w:r>
            <w:r>
              <w:rPr>
                <w:rFonts w:hint="eastAsia" w:ascii="宋体" w:hAnsi="宋体" w:cs="宋体"/>
                <w:kern w:val="0"/>
                <w:sz w:val="24"/>
              </w:rPr>
              <w:t>标评审（</w:t>
            </w:r>
            <w:r>
              <w:rPr>
                <w:rFonts w:hint="eastAsia" w:ascii="宋体" w:hAnsi="宋体" w:cs="宋体"/>
                <w:kern w:val="0"/>
                <w:sz w:val="24"/>
                <w:lang w:val="en-US" w:eastAsia="zh-CN"/>
              </w:rPr>
              <w:t>20</w:t>
            </w:r>
            <w:r>
              <w:rPr>
                <w:rFonts w:hint="eastAsia" w:ascii="宋体" w:hAnsi="宋体" w:cs="宋体"/>
                <w:kern w:val="0"/>
                <w:sz w:val="24"/>
              </w:rPr>
              <w:t>分）</w:t>
            </w:r>
          </w:p>
        </w:tc>
        <w:tc>
          <w:tcPr>
            <w:tcW w:w="842" w:type="pct"/>
            <w:tcBorders>
              <w:top w:val="single" w:color="auto" w:sz="4" w:space="0"/>
              <w:left w:val="nil"/>
              <w:bottom w:val="single" w:color="auto" w:sz="4" w:space="0"/>
              <w:right w:val="single" w:color="auto" w:sz="4" w:space="0"/>
            </w:tcBorders>
            <w:vAlign w:val="center"/>
          </w:tcPr>
          <w:p w14:paraId="29692A39">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企业</w:t>
            </w:r>
            <w:r>
              <w:rPr>
                <w:rFonts w:hint="eastAsia" w:asciiTheme="minorEastAsia" w:hAnsiTheme="minorEastAsia" w:eastAsiaTheme="minorEastAsia" w:cstheme="minorEastAsia"/>
                <w:sz w:val="24"/>
                <w:szCs w:val="24"/>
              </w:rPr>
              <w:t>业绩（</w:t>
            </w: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rPr>
              <w:t>分）</w:t>
            </w:r>
          </w:p>
        </w:tc>
        <w:tc>
          <w:tcPr>
            <w:tcW w:w="3644" w:type="pct"/>
            <w:tcBorders>
              <w:top w:val="single" w:color="auto" w:sz="4" w:space="0"/>
              <w:left w:val="nil"/>
              <w:bottom w:val="single" w:color="auto" w:sz="4" w:space="0"/>
              <w:right w:val="single" w:color="auto" w:sz="4" w:space="0"/>
            </w:tcBorders>
          </w:tcPr>
          <w:p w14:paraId="29611E03">
            <w:pPr>
              <w:keepNext w:val="0"/>
              <w:keepLines w:val="0"/>
              <w:suppressLineNumbers w:val="0"/>
              <w:spacing w:before="0" w:beforeAutospacing="0" w:after="0" w:afterAutospacing="0" w:line="400" w:lineRule="exact"/>
              <w:ind w:left="0" w:right="0"/>
              <w:rPr>
                <w:rFonts w:hint="default" w:ascii="宋体" w:hAnsi="宋体" w:cs="宋体"/>
                <w:sz w:val="24"/>
              </w:rPr>
            </w:pPr>
            <w:r>
              <w:rPr>
                <w:rFonts w:hint="eastAsia" w:ascii="宋体" w:hAnsi="宋体" w:cs="宋体"/>
                <w:sz w:val="24"/>
                <w:lang w:val="en-US" w:eastAsia="zh-CN"/>
              </w:rPr>
              <w:t>供应商</w:t>
            </w:r>
            <w:r>
              <w:rPr>
                <w:rFonts w:hint="default" w:ascii="宋体" w:hAnsi="宋体" w:cs="宋体"/>
                <w:sz w:val="24"/>
                <w:lang w:val="en-US" w:eastAsia="zh-CN"/>
              </w:rPr>
              <w:t>自202</w:t>
            </w:r>
            <w:r>
              <w:rPr>
                <w:rFonts w:hint="eastAsia" w:ascii="宋体" w:hAnsi="宋体" w:cs="宋体"/>
                <w:sz w:val="24"/>
                <w:lang w:val="en-US" w:eastAsia="zh-CN"/>
              </w:rPr>
              <w:t>2</w:t>
            </w:r>
            <w:r>
              <w:rPr>
                <w:rFonts w:hint="default" w:ascii="宋体" w:hAnsi="宋体" w:cs="宋体"/>
                <w:sz w:val="24"/>
                <w:lang w:val="en-US" w:eastAsia="zh-CN"/>
              </w:rPr>
              <w:t>年1月1日以来完成过类似工程业绩的，每提供一项得2分，最多得</w:t>
            </w:r>
            <w:r>
              <w:rPr>
                <w:rFonts w:hint="eastAsia" w:ascii="宋体" w:hAnsi="宋体" w:cs="宋体"/>
                <w:sz w:val="24"/>
                <w:lang w:val="en-US" w:eastAsia="zh-CN"/>
              </w:rPr>
              <w:t>6</w:t>
            </w:r>
            <w:r>
              <w:rPr>
                <w:rFonts w:hint="default" w:ascii="宋体" w:hAnsi="宋体" w:cs="宋体"/>
                <w:sz w:val="24"/>
                <w:lang w:val="en-US" w:eastAsia="zh-CN"/>
              </w:rPr>
              <w:t>分（以中标通知书或建设工程施工合同为准。）</w:t>
            </w:r>
          </w:p>
        </w:tc>
      </w:tr>
      <w:tr w14:paraId="2477F078">
        <w:tblPrEx>
          <w:tblCellMar>
            <w:top w:w="0" w:type="dxa"/>
            <w:left w:w="108" w:type="dxa"/>
            <w:bottom w:w="0" w:type="dxa"/>
            <w:right w:w="108" w:type="dxa"/>
          </w:tblCellMar>
        </w:tblPrEx>
        <w:trPr>
          <w:trHeight w:val="1252" w:hRule="atLeast"/>
        </w:trPr>
        <w:tc>
          <w:tcPr>
            <w:tcW w:w="513" w:type="pct"/>
            <w:vMerge w:val="continue"/>
            <w:tcBorders>
              <w:left w:val="single" w:color="auto" w:sz="4" w:space="0"/>
              <w:right w:val="single" w:color="auto" w:sz="4" w:space="0"/>
            </w:tcBorders>
            <w:vAlign w:val="center"/>
          </w:tcPr>
          <w:p w14:paraId="756B2B74">
            <w:pPr>
              <w:keepNext w:val="0"/>
              <w:keepLines w:val="0"/>
              <w:suppressLineNumbers w:val="0"/>
              <w:spacing w:before="0" w:beforeAutospacing="0" w:after="0" w:afterAutospacing="0"/>
              <w:ind w:left="0" w:right="0"/>
              <w:jc w:val="center"/>
              <w:rPr>
                <w:rFonts w:hint="default" w:ascii="宋体" w:hAnsi="宋体" w:cs="宋体"/>
                <w:color w:val="000000"/>
                <w:kern w:val="0"/>
                <w:sz w:val="24"/>
              </w:rPr>
            </w:pPr>
          </w:p>
        </w:tc>
        <w:tc>
          <w:tcPr>
            <w:tcW w:w="842" w:type="pct"/>
            <w:tcBorders>
              <w:top w:val="single" w:color="auto" w:sz="4" w:space="0"/>
              <w:left w:val="nil"/>
              <w:bottom w:val="single" w:color="auto" w:sz="4" w:space="0"/>
              <w:right w:val="single" w:color="auto" w:sz="4" w:space="0"/>
            </w:tcBorders>
            <w:vAlign w:val="center"/>
          </w:tcPr>
          <w:p w14:paraId="16B7FC03">
            <w:pPr>
              <w:keepNext w:val="0"/>
              <w:keepLines w:val="0"/>
              <w:suppressLineNumbers w:val="0"/>
              <w:spacing w:before="0" w:beforeAutospacing="0" w:after="0" w:afterAutospacing="0"/>
              <w:ind w:left="0" w:right="0"/>
              <w:jc w:val="center"/>
              <w:rPr>
                <w:rFonts w:hint="default" w:ascii="宋体" w:hAnsi="宋体" w:cs="宋体"/>
                <w:kern w:val="0"/>
                <w:sz w:val="24"/>
                <w:szCs w:val="24"/>
              </w:rPr>
            </w:pPr>
            <w:r>
              <w:rPr>
                <w:rFonts w:hint="eastAsia" w:ascii="宋体" w:hAnsi="宋体" w:cs="宋体"/>
                <w:kern w:val="0"/>
                <w:sz w:val="24"/>
                <w:szCs w:val="24"/>
              </w:rPr>
              <w:t>项目经理业绩(</w:t>
            </w:r>
            <w:r>
              <w:rPr>
                <w:rFonts w:hint="eastAsia" w:ascii="宋体" w:hAnsi="宋体" w:cs="宋体"/>
                <w:kern w:val="0"/>
                <w:sz w:val="24"/>
                <w:szCs w:val="24"/>
                <w:lang w:val="en-US" w:eastAsia="zh-CN"/>
              </w:rPr>
              <w:t>4</w:t>
            </w:r>
            <w:r>
              <w:rPr>
                <w:rFonts w:hint="eastAsia" w:ascii="宋体" w:hAnsi="宋体" w:cs="宋体"/>
                <w:kern w:val="0"/>
                <w:sz w:val="24"/>
                <w:szCs w:val="24"/>
              </w:rPr>
              <w:t>分)</w:t>
            </w:r>
          </w:p>
        </w:tc>
        <w:tc>
          <w:tcPr>
            <w:tcW w:w="3644" w:type="pct"/>
            <w:tcBorders>
              <w:top w:val="single" w:color="auto" w:sz="4" w:space="0"/>
              <w:left w:val="nil"/>
              <w:bottom w:val="single" w:color="auto" w:sz="4" w:space="0"/>
              <w:right w:val="single" w:color="auto" w:sz="4" w:space="0"/>
            </w:tcBorders>
            <w:vAlign w:val="center"/>
          </w:tcPr>
          <w:p w14:paraId="7BCBD46A">
            <w:pPr>
              <w:keepNext w:val="0"/>
              <w:keepLines w:val="0"/>
              <w:suppressLineNumbers w:val="0"/>
              <w:spacing w:before="0" w:beforeAutospacing="0" w:after="0" w:afterAutospacing="0"/>
              <w:ind w:left="0" w:right="0"/>
              <w:jc w:val="left"/>
              <w:rPr>
                <w:rFonts w:hint="default" w:ascii="宋体" w:hAnsi="宋体"/>
              </w:rPr>
            </w:pPr>
            <w:r>
              <w:rPr>
                <w:rFonts w:hint="default" w:ascii="宋体" w:hAnsi="宋体"/>
                <w:sz w:val="24"/>
                <w:szCs w:val="24"/>
                <w:lang w:val="en-US" w:eastAsia="zh-CN"/>
              </w:rPr>
              <w:t>供应商202</w:t>
            </w:r>
            <w:r>
              <w:rPr>
                <w:rFonts w:hint="eastAsia" w:ascii="宋体" w:hAnsi="宋体"/>
                <w:sz w:val="24"/>
                <w:szCs w:val="24"/>
                <w:lang w:val="en-US" w:eastAsia="zh-CN"/>
              </w:rPr>
              <w:t>2</w:t>
            </w:r>
            <w:r>
              <w:rPr>
                <w:rFonts w:hint="default" w:ascii="宋体" w:hAnsi="宋体"/>
                <w:sz w:val="24"/>
                <w:szCs w:val="24"/>
                <w:lang w:val="en-US" w:eastAsia="zh-CN"/>
              </w:rPr>
              <w:t>年1月1日以来类似项目业绩，每提供一份得2分，（需提供中标通知书、施工合同）满分</w:t>
            </w:r>
            <w:r>
              <w:rPr>
                <w:rFonts w:hint="eastAsia" w:ascii="宋体" w:hAnsi="宋体"/>
                <w:sz w:val="24"/>
                <w:szCs w:val="24"/>
                <w:lang w:val="en-US" w:eastAsia="zh-CN"/>
              </w:rPr>
              <w:t>4</w:t>
            </w:r>
            <w:r>
              <w:rPr>
                <w:rFonts w:hint="default" w:ascii="宋体" w:hAnsi="宋体"/>
                <w:sz w:val="24"/>
                <w:szCs w:val="24"/>
                <w:lang w:val="en-US" w:eastAsia="zh-CN"/>
              </w:rPr>
              <w:t>分，缺项不得分</w:t>
            </w:r>
            <w:r>
              <w:rPr>
                <w:rFonts w:hint="eastAsia" w:ascii="宋体" w:hAnsi="宋体"/>
                <w:sz w:val="24"/>
                <w:szCs w:val="24"/>
                <w:lang w:val="en-US" w:eastAsia="zh-CN"/>
              </w:rPr>
              <w:t>。</w:t>
            </w:r>
            <w:r>
              <w:rPr>
                <w:rFonts w:hint="default" w:ascii="宋体" w:hAnsi="宋体"/>
                <w:sz w:val="24"/>
                <w:szCs w:val="24"/>
                <w:lang w:val="en-US" w:eastAsia="zh-CN"/>
              </w:rPr>
              <w:t>（项目经理业绩与企业业绩不重复计分）</w:t>
            </w:r>
          </w:p>
        </w:tc>
      </w:tr>
      <w:tr w14:paraId="2516AC0D">
        <w:tblPrEx>
          <w:tblCellMar>
            <w:top w:w="0" w:type="dxa"/>
            <w:left w:w="108" w:type="dxa"/>
            <w:bottom w:w="0" w:type="dxa"/>
            <w:right w:w="108" w:type="dxa"/>
          </w:tblCellMar>
        </w:tblPrEx>
        <w:trPr>
          <w:trHeight w:val="1061" w:hRule="atLeast"/>
        </w:trPr>
        <w:tc>
          <w:tcPr>
            <w:tcW w:w="513" w:type="pct"/>
            <w:vMerge w:val="continue"/>
            <w:tcBorders>
              <w:left w:val="single" w:color="auto" w:sz="4" w:space="0"/>
              <w:right w:val="single" w:color="auto" w:sz="4" w:space="0"/>
            </w:tcBorders>
            <w:vAlign w:val="center"/>
          </w:tcPr>
          <w:p w14:paraId="627ADCC6">
            <w:pPr>
              <w:keepNext w:val="0"/>
              <w:keepLines w:val="0"/>
              <w:suppressLineNumbers w:val="0"/>
              <w:spacing w:before="0" w:beforeAutospacing="0" w:after="0" w:afterAutospacing="0"/>
              <w:ind w:left="0" w:right="0"/>
              <w:jc w:val="center"/>
              <w:rPr>
                <w:rFonts w:hint="default" w:ascii="宋体" w:hAnsi="宋体" w:cs="宋体"/>
                <w:color w:val="000000"/>
                <w:kern w:val="0"/>
                <w:sz w:val="24"/>
              </w:rPr>
            </w:pPr>
          </w:p>
        </w:tc>
        <w:tc>
          <w:tcPr>
            <w:tcW w:w="842" w:type="pct"/>
            <w:tcBorders>
              <w:top w:val="single" w:color="auto" w:sz="4" w:space="0"/>
              <w:left w:val="nil"/>
              <w:right w:val="single" w:color="auto" w:sz="4" w:space="0"/>
            </w:tcBorders>
            <w:vAlign w:val="center"/>
          </w:tcPr>
          <w:p w14:paraId="73E804FA">
            <w:pPr>
              <w:keepNext w:val="0"/>
              <w:keepLines w:val="0"/>
              <w:suppressLineNumbers w:val="0"/>
              <w:spacing w:before="0" w:beforeAutospacing="0" w:after="0" w:afterAutospacing="0"/>
              <w:ind w:left="0" w:right="0"/>
              <w:jc w:val="center"/>
              <w:rPr>
                <w:rFonts w:hint="default" w:ascii="宋体" w:hAnsi="宋体" w:cs="宋体"/>
                <w:sz w:val="24"/>
              </w:rPr>
            </w:pPr>
            <w:r>
              <w:rPr>
                <w:rFonts w:hint="default" w:ascii="宋体" w:hAnsi="宋体" w:cs="宋体"/>
                <w:sz w:val="24"/>
              </w:rPr>
              <w:t>优惠承诺</w:t>
            </w:r>
            <w:r>
              <w:rPr>
                <w:rFonts w:hint="eastAsia" w:ascii="宋体" w:hAnsi="宋体" w:cs="宋体"/>
                <w:sz w:val="24"/>
              </w:rPr>
              <w:t>（</w:t>
            </w:r>
            <w:r>
              <w:rPr>
                <w:rFonts w:hint="eastAsia" w:ascii="宋体" w:hAnsi="宋体" w:cs="宋体"/>
                <w:sz w:val="24"/>
                <w:lang w:val="en-US" w:eastAsia="zh-CN"/>
              </w:rPr>
              <w:t>0-2</w:t>
            </w:r>
            <w:r>
              <w:rPr>
                <w:rFonts w:hint="eastAsia" w:ascii="宋体" w:hAnsi="宋体" w:cs="宋体"/>
                <w:sz w:val="24"/>
              </w:rPr>
              <w:t>分）</w:t>
            </w:r>
          </w:p>
        </w:tc>
        <w:tc>
          <w:tcPr>
            <w:tcW w:w="3644" w:type="pct"/>
            <w:tcBorders>
              <w:top w:val="single" w:color="auto" w:sz="4" w:space="0"/>
              <w:left w:val="nil"/>
              <w:bottom w:val="single" w:color="auto" w:sz="4" w:space="0"/>
              <w:right w:val="single" w:color="auto" w:sz="4" w:space="0"/>
            </w:tcBorders>
            <w:vAlign w:val="center"/>
          </w:tcPr>
          <w:p w14:paraId="0E967F4C">
            <w:pPr>
              <w:pStyle w:val="12"/>
              <w:keepNext w:val="0"/>
              <w:keepLines w:val="0"/>
              <w:suppressLineNumbers w:val="0"/>
              <w:spacing w:before="0" w:beforeAutospacing="0" w:after="0" w:afterAutospacing="0"/>
              <w:ind w:left="0" w:right="0"/>
              <w:rPr>
                <w:rFonts w:hint="default" w:ascii="宋体" w:hAnsi="宋体" w:cs="宋体"/>
                <w:sz w:val="24"/>
              </w:rPr>
            </w:pPr>
            <w:r>
              <w:rPr>
                <w:rFonts w:hint="default" w:ascii="宋体" w:hAnsi="宋体" w:cs="宋体"/>
                <w:sz w:val="24"/>
                <w:lang w:val="en-US" w:eastAsia="zh-CN"/>
              </w:rPr>
              <w:t>优惠承诺符合工程实际情况，确保依法依规，优惠合理，详实可行得</w:t>
            </w:r>
            <w:r>
              <w:rPr>
                <w:rFonts w:hint="eastAsia" w:ascii="宋体" w:hAnsi="宋体" w:cs="宋体"/>
                <w:sz w:val="24"/>
                <w:lang w:val="en-US" w:eastAsia="zh-CN"/>
              </w:rPr>
              <w:t>2</w:t>
            </w:r>
            <w:r>
              <w:rPr>
                <w:rFonts w:hint="default" w:ascii="宋体" w:hAnsi="宋体" w:cs="宋体"/>
                <w:sz w:val="24"/>
                <w:lang w:val="en-US" w:eastAsia="zh-CN"/>
              </w:rPr>
              <w:t>分；基本可行得</w:t>
            </w:r>
            <w:r>
              <w:rPr>
                <w:rFonts w:hint="eastAsia" w:ascii="宋体" w:hAnsi="宋体" w:cs="宋体"/>
                <w:sz w:val="24"/>
                <w:lang w:val="en-US" w:eastAsia="zh-CN"/>
              </w:rPr>
              <w:t>1</w:t>
            </w:r>
            <w:r>
              <w:rPr>
                <w:rFonts w:hint="default" w:ascii="宋体" w:hAnsi="宋体" w:cs="宋体"/>
                <w:sz w:val="24"/>
                <w:lang w:val="en-US" w:eastAsia="zh-CN"/>
              </w:rPr>
              <w:t>分；没有不得分。</w:t>
            </w:r>
          </w:p>
        </w:tc>
      </w:tr>
      <w:tr w14:paraId="1C8831AB">
        <w:tblPrEx>
          <w:tblCellMar>
            <w:top w:w="0" w:type="dxa"/>
            <w:left w:w="108" w:type="dxa"/>
            <w:bottom w:w="0" w:type="dxa"/>
            <w:right w:w="108" w:type="dxa"/>
          </w:tblCellMar>
        </w:tblPrEx>
        <w:trPr>
          <w:trHeight w:val="971" w:hRule="atLeast"/>
        </w:trPr>
        <w:tc>
          <w:tcPr>
            <w:tcW w:w="513" w:type="pct"/>
            <w:vMerge w:val="continue"/>
            <w:tcBorders>
              <w:left w:val="single" w:color="auto" w:sz="4" w:space="0"/>
              <w:right w:val="single" w:color="auto" w:sz="4" w:space="0"/>
            </w:tcBorders>
            <w:vAlign w:val="center"/>
          </w:tcPr>
          <w:p w14:paraId="5653FA94">
            <w:pPr>
              <w:keepNext w:val="0"/>
              <w:keepLines w:val="0"/>
              <w:suppressLineNumbers w:val="0"/>
              <w:spacing w:before="0" w:beforeAutospacing="0" w:after="0" w:afterAutospacing="0"/>
              <w:ind w:left="0" w:right="0"/>
              <w:jc w:val="center"/>
              <w:rPr>
                <w:rFonts w:hint="default" w:ascii="宋体" w:hAnsi="宋体" w:cs="宋体"/>
                <w:color w:val="000000"/>
                <w:kern w:val="0"/>
                <w:sz w:val="24"/>
              </w:rPr>
            </w:pPr>
          </w:p>
        </w:tc>
        <w:tc>
          <w:tcPr>
            <w:tcW w:w="842" w:type="pct"/>
            <w:tcBorders>
              <w:top w:val="single" w:color="auto" w:sz="4" w:space="0"/>
              <w:left w:val="nil"/>
              <w:right w:val="single" w:color="auto" w:sz="4" w:space="0"/>
            </w:tcBorders>
            <w:vAlign w:val="center"/>
          </w:tcPr>
          <w:p w14:paraId="3BE91CD8">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sz w:val="24"/>
                <w:lang w:val="en-US" w:eastAsia="zh-CN"/>
              </w:rPr>
              <w:t>合理化建议（0-3）</w:t>
            </w:r>
          </w:p>
        </w:tc>
        <w:tc>
          <w:tcPr>
            <w:tcW w:w="3644" w:type="pct"/>
            <w:tcBorders>
              <w:top w:val="single" w:color="auto" w:sz="4" w:space="0"/>
              <w:left w:val="nil"/>
              <w:bottom w:val="single" w:color="auto" w:sz="4" w:space="0"/>
              <w:right w:val="single" w:color="auto" w:sz="4" w:space="0"/>
            </w:tcBorders>
            <w:vAlign w:val="center"/>
          </w:tcPr>
          <w:p w14:paraId="4DB513B0">
            <w:pPr>
              <w:pStyle w:val="12"/>
              <w:keepNext w:val="0"/>
              <w:keepLines w:val="0"/>
              <w:suppressLineNumbers w:val="0"/>
              <w:spacing w:before="0" w:beforeAutospacing="0" w:after="0" w:afterAutospacing="0"/>
              <w:ind w:left="0" w:right="0"/>
              <w:rPr>
                <w:rFonts w:hint="default" w:ascii="宋体" w:hAnsi="宋体" w:cs="宋体"/>
                <w:sz w:val="24"/>
                <w:lang w:val="en-US" w:eastAsia="zh-CN"/>
              </w:rPr>
            </w:pPr>
            <w:r>
              <w:rPr>
                <w:rFonts w:hint="default" w:ascii="宋体" w:hAnsi="宋体" w:cs="宋体"/>
                <w:sz w:val="24"/>
                <w:lang w:val="en-US" w:eastAsia="zh-CN"/>
              </w:rPr>
              <w:t>科学、合理、满足要求的得</w:t>
            </w:r>
            <w:r>
              <w:rPr>
                <w:rFonts w:hint="eastAsia" w:ascii="宋体" w:hAnsi="宋体" w:cs="宋体"/>
                <w:sz w:val="24"/>
                <w:lang w:val="en-US" w:eastAsia="zh-CN"/>
              </w:rPr>
              <w:t>3</w:t>
            </w:r>
            <w:r>
              <w:rPr>
                <w:rFonts w:hint="default" w:ascii="宋体" w:hAnsi="宋体" w:cs="宋体"/>
                <w:sz w:val="24"/>
                <w:lang w:val="en-US" w:eastAsia="zh-CN"/>
              </w:rPr>
              <w:t>分；基本合理、基本满足要求的得</w:t>
            </w:r>
            <w:r>
              <w:rPr>
                <w:rFonts w:hint="eastAsia" w:ascii="宋体" w:hAnsi="宋体" w:cs="宋体"/>
                <w:sz w:val="24"/>
                <w:lang w:val="en-US" w:eastAsia="zh-CN"/>
              </w:rPr>
              <w:t>1</w:t>
            </w:r>
            <w:r>
              <w:rPr>
                <w:rFonts w:hint="default" w:ascii="宋体" w:hAnsi="宋体" w:cs="宋体"/>
                <w:sz w:val="24"/>
                <w:lang w:val="en-US" w:eastAsia="zh-CN"/>
              </w:rPr>
              <w:t>分；没有不得分</w:t>
            </w:r>
            <w:r>
              <w:rPr>
                <w:rFonts w:hint="eastAsia" w:ascii="宋体" w:hAnsi="宋体" w:cs="宋体"/>
                <w:sz w:val="24"/>
                <w:lang w:val="en-US" w:eastAsia="zh-CN"/>
              </w:rPr>
              <w:t>。</w:t>
            </w:r>
          </w:p>
        </w:tc>
      </w:tr>
      <w:tr w14:paraId="7A4C5059">
        <w:tblPrEx>
          <w:tblCellMar>
            <w:top w:w="0" w:type="dxa"/>
            <w:left w:w="108" w:type="dxa"/>
            <w:bottom w:w="0" w:type="dxa"/>
            <w:right w:w="108" w:type="dxa"/>
          </w:tblCellMar>
        </w:tblPrEx>
        <w:trPr>
          <w:trHeight w:val="2006" w:hRule="atLeast"/>
        </w:trPr>
        <w:tc>
          <w:tcPr>
            <w:tcW w:w="513" w:type="pct"/>
            <w:vMerge w:val="continue"/>
            <w:tcBorders>
              <w:left w:val="single" w:color="auto" w:sz="4" w:space="0"/>
              <w:right w:val="single" w:color="auto" w:sz="4" w:space="0"/>
            </w:tcBorders>
            <w:vAlign w:val="center"/>
          </w:tcPr>
          <w:p w14:paraId="73E3C4EF">
            <w:pPr>
              <w:keepNext w:val="0"/>
              <w:keepLines w:val="0"/>
              <w:suppressLineNumbers w:val="0"/>
              <w:spacing w:before="0" w:beforeAutospacing="0" w:after="0" w:afterAutospacing="0"/>
              <w:ind w:left="0" w:right="0"/>
              <w:jc w:val="center"/>
              <w:rPr>
                <w:rFonts w:hint="default" w:ascii="宋体" w:hAnsi="宋体" w:cs="宋体"/>
                <w:color w:val="000000"/>
                <w:kern w:val="0"/>
                <w:sz w:val="24"/>
              </w:rPr>
            </w:pPr>
          </w:p>
        </w:tc>
        <w:tc>
          <w:tcPr>
            <w:tcW w:w="842" w:type="pct"/>
            <w:tcBorders>
              <w:top w:val="single" w:color="auto" w:sz="4" w:space="0"/>
              <w:left w:val="nil"/>
              <w:right w:val="single" w:color="auto" w:sz="4" w:space="0"/>
            </w:tcBorders>
            <w:vAlign w:val="center"/>
          </w:tcPr>
          <w:p w14:paraId="31F0FB8A">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sz w:val="24"/>
                <w:lang w:val="en-US" w:eastAsia="zh-CN"/>
              </w:rPr>
              <w:t>履职尽责承诺（0-5分）</w:t>
            </w:r>
          </w:p>
          <w:p w14:paraId="7A75944D">
            <w:pPr>
              <w:keepNext w:val="0"/>
              <w:keepLines w:val="0"/>
              <w:suppressLineNumbers w:val="0"/>
              <w:spacing w:before="0" w:beforeAutospacing="0" w:after="0" w:afterAutospacing="0"/>
              <w:ind w:left="0" w:right="0"/>
              <w:jc w:val="center"/>
              <w:rPr>
                <w:rFonts w:hint="eastAsia" w:ascii="宋体" w:hAnsi="宋体" w:cs="宋体"/>
                <w:sz w:val="24"/>
              </w:rPr>
            </w:pPr>
          </w:p>
        </w:tc>
        <w:tc>
          <w:tcPr>
            <w:tcW w:w="3644" w:type="pct"/>
            <w:tcBorders>
              <w:top w:val="single" w:color="auto" w:sz="4" w:space="0"/>
              <w:left w:val="nil"/>
              <w:bottom w:val="single" w:color="auto" w:sz="4" w:space="0"/>
              <w:right w:val="single" w:color="auto" w:sz="4" w:space="0"/>
            </w:tcBorders>
            <w:vAlign w:val="center"/>
          </w:tcPr>
          <w:p w14:paraId="61890560">
            <w:pPr>
              <w:pStyle w:val="12"/>
              <w:keepNext w:val="0"/>
              <w:keepLines w:val="0"/>
              <w:suppressLineNumbers w:val="0"/>
              <w:spacing w:before="0" w:beforeAutospacing="0" w:after="0" w:afterAutospacing="0"/>
              <w:ind w:left="0" w:right="0"/>
              <w:rPr>
                <w:rFonts w:hint="default" w:ascii="宋体" w:hAnsi="宋体" w:cs="宋体"/>
                <w:sz w:val="24"/>
                <w:lang w:val="en-US" w:eastAsia="zh-CN"/>
              </w:rPr>
            </w:pPr>
            <w:r>
              <w:rPr>
                <w:rFonts w:hint="default" w:ascii="宋体" w:hAnsi="宋体" w:cs="宋体"/>
                <w:sz w:val="24"/>
                <w:lang w:val="en-US" w:eastAsia="zh-CN"/>
              </w:rPr>
              <w:t>具有全面、详实、可行、合法有效的书面保证技术措施落实到位的承诺和落实不到位的处理承诺，其中包括各关键岗位人员（项目经理及相关技术人员）的在岗、更换等履职尽责承诺，提供响应人履约保证得5分；</w:t>
            </w:r>
          </w:p>
          <w:p w14:paraId="6E3D4BF3">
            <w:pPr>
              <w:pStyle w:val="12"/>
              <w:keepNext w:val="0"/>
              <w:keepLines w:val="0"/>
              <w:suppressLineNumbers w:val="0"/>
              <w:spacing w:before="0" w:beforeAutospacing="0" w:after="0" w:afterAutospacing="0"/>
              <w:ind w:left="0" w:right="0"/>
              <w:rPr>
                <w:rFonts w:hint="default" w:ascii="宋体" w:hAnsi="宋体" w:cs="宋体"/>
                <w:sz w:val="24"/>
                <w:lang w:val="en-US" w:eastAsia="zh-CN"/>
              </w:rPr>
            </w:pPr>
            <w:r>
              <w:rPr>
                <w:rFonts w:hint="default" w:ascii="宋体" w:hAnsi="宋体" w:cs="宋体"/>
                <w:sz w:val="24"/>
                <w:lang w:val="en-US" w:eastAsia="zh-CN"/>
              </w:rPr>
              <w:t>保证技术措施落实到位的承诺和落实不到位的处理承诺不够全面、详尽、可行的，得3分；</w:t>
            </w:r>
          </w:p>
          <w:p w14:paraId="5A9B60EB">
            <w:pPr>
              <w:pStyle w:val="12"/>
              <w:keepNext w:val="0"/>
              <w:keepLines w:val="0"/>
              <w:suppressLineNumbers w:val="0"/>
              <w:spacing w:before="0" w:beforeAutospacing="0" w:after="0" w:afterAutospacing="0"/>
              <w:ind w:left="0" w:right="0"/>
              <w:rPr>
                <w:rFonts w:hint="default" w:ascii="宋体" w:hAnsi="宋体" w:cs="宋体"/>
                <w:sz w:val="24"/>
                <w:lang w:val="en-US" w:eastAsia="zh-CN"/>
              </w:rPr>
            </w:pPr>
            <w:r>
              <w:rPr>
                <w:rFonts w:hint="default" w:ascii="宋体" w:hAnsi="宋体" w:cs="宋体"/>
                <w:sz w:val="24"/>
                <w:lang w:val="en-US" w:eastAsia="zh-CN"/>
              </w:rPr>
              <w:t>承诺不合理、不科学的不得分。</w:t>
            </w:r>
          </w:p>
        </w:tc>
      </w:tr>
      <w:tr w14:paraId="6B8655EA">
        <w:tblPrEx>
          <w:tblCellMar>
            <w:top w:w="0" w:type="dxa"/>
            <w:left w:w="108" w:type="dxa"/>
            <w:bottom w:w="0" w:type="dxa"/>
            <w:right w:w="108" w:type="dxa"/>
          </w:tblCellMar>
        </w:tblPrEx>
        <w:trPr>
          <w:trHeight w:val="485" w:hRule="atLeast"/>
        </w:trPr>
        <w:tc>
          <w:tcPr>
            <w:tcW w:w="513" w:type="pct"/>
            <w:vMerge w:val="continue"/>
            <w:tcBorders>
              <w:left w:val="single" w:color="auto" w:sz="4" w:space="0"/>
              <w:bottom w:val="single" w:color="auto" w:sz="4" w:space="0"/>
              <w:right w:val="single" w:color="auto" w:sz="4" w:space="0"/>
            </w:tcBorders>
            <w:vAlign w:val="center"/>
          </w:tcPr>
          <w:p w14:paraId="1D40B680">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4"/>
              </w:rPr>
            </w:pPr>
          </w:p>
        </w:tc>
        <w:tc>
          <w:tcPr>
            <w:tcW w:w="4486" w:type="pct"/>
            <w:gridSpan w:val="2"/>
            <w:tcBorders>
              <w:top w:val="single" w:color="auto" w:sz="4" w:space="0"/>
              <w:left w:val="nil"/>
              <w:bottom w:val="single" w:color="auto" w:sz="4" w:space="0"/>
              <w:right w:val="single" w:color="auto" w:sz="4" w:space="0"/>
            </w:tcBorders>
            <w:vAlign w:val="center"/>
          </w:tcPr>
          <w:p w14:paraId="7A68C5AC">
            <w:pPr>
              <w:keepNext w:val="0"/>
              <w:keepLines w:val="0"/>
              <w:suppressLineNumbers w:val="0"/>
              <w:spacing w:before="0" w:beforeAutospacing="0" w:after="0" w:afterAutospacing="0"/>
              <w:ind w:left="0" w:right="0"/>
              <w:jc w:val="left"/>
              <w:rPr>
                <w:rFonts w:hint="default" w:ascii="宋体" w:hAnsi="宋体" w:cs="宋体"/>
                <w:kern w:val="0"/>
                <w:sz w:val="24"/>
                <w:szCs w:val="24"/>
              </w:rPr>
            </w:pPr>
            <w:r>
              <w:rPr>
                <w:rFonts w:hint="eastAsia"/>
                <w:sz w:val="24"/>
                <w:szCs w:val="24"/>
              </w:rPr>
              <w:t>备注：以上项目若有缺项的，该项为0分；不缺项的，不低于最低分。</w:t>
            </w:r>
          </w:p>
        </w:tc>
      </w:tr>
    </w:tbl>
    <w:p w14:paraId="5FF44F0D">
      <w:pPr>
        <w:widowControl/>
        <w:spacing w:line="500" w:lineRule="exact"/>
        <w:ind w:firstLine="425"/>
        <w:jc w:val="left"/>
        <w:rPr>
          <w:rFonts w:ascii="宋体" w:hAnsi="宋体" w:eastAsia="宋体" w:cs="Times New Roman"/>
          <w:kern w:val="0"/>
          <w:sz w:val="24"/>
        </w:rPr>
      </w:pPr>
    </w:p>
    <w:p w14:paraId="4CAA5663">
      <w:pPr>
        <w:spacing w:line="360" w:lineRule="auto"/>
        <w:ind w:firstLine="420" w:firstLineChars="175"/>
        <w:rPr>
          <w:rFonts w:ascii="宋体" w:hAnsi="宋体" w:cs="宋体"/>
          <w:bCs/>
          <w:sz w:val="24"/>
        </w:rPr>
        <w:sectPr>
          <w:footerReference r:id="rId5" w:type="default"/>
          <w:pgSz w:w="11915" w:h="16840"/>
          <w:pgMar w:top="1134" w:right="1134" w:bottom="1134" w:left="1134" w:header="720" w:footer="720" w:gutter="0"/>
          <w:pgNumType w:start="1"/>
          <w:cols w:space="720" w:num="1"/>
          <w:docGrid w:type="lines" w:linePitch="312" w:charSpace="0"/>
        </w:sectPr>
      </w:pPr>
    </w:p>
    <w:p w14:paraId="4975E0BF">
      <w:pPr>
        <w:jc w:val="center"/>
        <w:outlineLvl w:val="0"/>
        <w:rPr>
          <w:rFonts w:hAnsi="宋体" w:cs="宋体"/>
          <w:b/>
          <w:sz w:val="24"/>
          <w:szCs w:val="24"/>
        </w:rPr>
      </w:pPr>
      <w:bookmarkStart w:id="366" w:name="_Toc6248"/>
      <w:r>
        <w:rPr>
          <w:rFonts w:hint="eastAsia" w:hAnsi="宋体" w:cs="宋体"/>
          <w:b/>
          <w:sz w:val="24"/>
          <w:szCs w:val="24"/>
        </w:rPr>
        <w:t>第五章  合同条款及格式</w:t>
      </w:r>
      <w:bookmarkEnd w:id="366"/>
    </w:p>
    <w:p w14:paraId="02A64313">
      <w:pPr>
        <w:spacing w:line="360" w:lineRule="auto"/>
        <w:jc w:val="center"/>
        <w:rPr>
          <w:rFonts w:ascii="宋体" w:hAnsi="宋体" w:eastAsia="宋体" w:cs="宋体"/>
          <w:bCs/>
          <w:sz w:val="28"/>
          <w:szCs w:val="28"/>
        </w:rPr>
      </w:pPr>
      <w:r>
        <w:rPr>
          <w:rFonts w:hint="eastAsia" w:ascii="宋体" w:hAnsi="宋体" w:eastAsia="宋体" w:cs="宋体"/>
          <w:bCs/>
          <w:sz w:val="28"/>
          <w:szCs w:val="28"/>
        </w:rPr>
        <w:t>（本合同格式仅供参考，具体条款以签订合同为准）</w:t>
      </w:r>
    </w:p>
    <w:p w14:paraId="4A33B38E">
      <w:pPr>
        <w:widowControl/>
        <w:spacing w:after="200" w:line="276" w:lineRule="auto"/>
        <w:jc w:val="center"/>
        <w:outlineLvl w:val="0"/>
        <w:rPr>
          <w:rFonts w:ascii="宋体" w:hAnsi="宋体" w:eastAsia="宋体" w:cs="Times New Roman"/>
          <w:b/>
          <w:kern w:val="0"/>
          <w:sz w:val="32"/>
          <w:szCs w:val="32"/>
          <w:highlight w:val="none"/>
        </w:rPr>
      </w:pPr>
      <w:bookmarkStart w:id="367" w:name="_Toc8643"/>
      <w:r>
        <w:rPr>
          <w:rFonts w:hint="eastAsia" w:ascii="宋体" w:hAnsi="宋体" w:eastAsia="宋体" w:cs="Times New Roman"/>
          <w:b/>
          <w:kern w:val="0"/>
          <w:sz w:val="32"/>
          <w:szCs w:val="32"/>
          <w:highlight w:val="none"/>
        </w:rPr>
        <w:t>合同协议书</w:t>
      </w:r>
      <w:bookmarkEnd w:id="367"/>
    </w:p>
    <w:p w14:paraId="1BC6E82F">
      <w:pPr>
        <w:widowControl/>
        <w:spacing w:after="200" w:line="400" w:lineRule="exact"/>
        <w:ind w:firstLine="480" w:firstLineChars="200"/>
        <w:jc w:val="left"/>
        <w:rPr>
          <w:rFonts w:ascii="宋体" w:hAnsi="宋体" w:eastAsia="宋体" w:cs="Times New Roman"/>
          <w:kern w:val="0"/>
          <w:sz w:val="24"/>
          <w:highlight w:val="none"/>
        </w:rPr>
      </w:pPr>
      <w:r>
        <w:rPr>
          <w:rFonts w:ascii="宋体" w:hAnsi="宋体" w:eastAsia="宋体" w:cs="Times New Roman"/>
          <w:kern w:val="0"/>
          <w:sz w:val="24"/>
          <w:highlight w:val="none"/>
        </w:rPr>
        <w:t>（发包人名称，以下简称“发包人”）为实施（项目名称），已接受（承包人名称，以下简称“承包人”）对该项目标段施工的投标。 发包人和承包人共同达成如下协议。</w:t>
      </w:r>
    </w:p>
    <w:p w14:paraId="7D362E4C">
      <w:pPr>
        <w:widowControl/>
        <w:spacing w:line="480" w:lineRule="exact"/>
        <w:ind w:firstLine="480" w:firstLineChars="200"/>
        <w:jc w:val="left"/>
        <w:rPr>
          <w:rFonts w:ascii="宋体" w:hAnsi="宋体" w:cs="Tahoma"/>
          <w:color w:val="auto"/>
          <w:kern w:val="0"/>
          <w:sz w:val="24"/>
          <w:szCs w:val="24"/>
          <w:highlight w:val="none"/>
        </w:rPr>
      </w:pPr>
      <w:r>
        <w:rPr>
          <w:rFonts w:hint="eastAsia" w:ascii="宋体" w:hAnsi="宋体" w:eastAsia="宋体" w:cs="Times New Roman"/>
          <w:kern w:val="0"/>
          <w:sz w:val="24"/>
          <w:highlight w:val="none"/>
        </w:rPr>
        <w:t>1．</w:t>
      </w:r>
      <w:r>
        <w:rPr>
          <w:rFonts w:hint="eastAsia" w:ascii="宋体" w:hAnsi="宋体" w:eastAsia="宋体" w:cs="Times New Roman"/>
          <w:kern w:val="0"/>
          <w:sz w:val="24"/>
          <w:highlight w:val="none"/>
          <w:lang w:val="en-US" w:eastAsia="zh-CN"/>
        </w:rPr>
        <w:t>本项目</w:t>
      </w:r>
      <w:r>
        <w:rPr>
          <w:rFonts w:hint="eastAsia" w:ascii="宋体" w:hAnsi="宋体" w:cs="Tahoma"/>
          <w:color w:val="auto"/>
          <w:kern w:val="0"/>
          <w:sz w:val="24"/>
          <w:szCs w:val="24"/>
          <w:highlight w:val="none"/>
        </w:rPr>
        <w:t>：</w:t>
      </w:r>
      <w:r>
        <w:rPr>
          <w:rFonts w:hint="eastAsia" w:ascii="宋体" w:hAnsi="宋体" w:cs="Tahoma"/>
          <w:color w:val="auto"/>
          <w:kern w:val="0"/>
          <w:sz w:val="24"/>
          <w:szCs w:val="24"/>
          <w:highlight w:val="none"/>
          <w:u w:val="single"/>
          <w:lang w:val="en-US" w:eastAsia="zh-CN"/>
        </w:rPr>
        <w:t xml:space="preserve">                           </w:t>
      </w:r>
      <w:r>
        <w:rPr>
          <w:rFonts w:hint="eastAsia" w:ascii="宋体" w:hAnsi="宋体" w:cs="Tahoma"/>
          <w:color w:val="auto"/>
          <w:kern w:val="0"/>
          <w:sz w:val="24"/>
          <w:szCs w:val="24"/>
          <w:highlight w:val="none"/>
        </w:rPr>
        <w:t>。</w:t>
      </w:r>
    </w:p>
    <w:p w14:paraId="1627FEB3">
      <w:pPr>
        <w:widowControl/>
        <w:spacing w:after="200" w:line="400" w:lineRule="exact"/>
        <w:ind w:firstLine="480" w:firstLineChars="200"/>
        <w:jc w:val="left"/>
        <w:rPr>
          <w:rFonts w:ascii="宋体" w:hAnsi="宋体" w:eastAsia="宋体" w:cs="Times New Roman"/>
          <w:kern w:val="0"/>
          <w:sz w:val="24"/>
          <w:highlight w:val="none"/>
        </w:rPr>
      </w:pPr>
      <w:r>
        <w:rPr>
          <w:rFonts w:hint="eastAsia" w:ascii="宋体" w:hAnsi="宋体" w:eastAsia="宋体" w:cs="Times New Roman"/>
          <w:kern w:val="0"/>
          <w:sz w:val="24"/>
          <w:highlight w:val="none"/>
        </w:rPr>
        <w:t>2</w:t>
      </w:r>
      <w:r>
        <w:rPr>
          <w:rFonts w:ascii="宋体" w:hAnsi="宋体" w:eastAsia="宋体" w:cs="Times New Roman"/>
          <w:kern w:val="0"/>
          <w:sz w:val="24"/>
          <w:highlight w:val="none"/>
        </w:rPr>
        <w:t xml:space="preserve">. </w:t>
      </w:r>
      <w:r>
        <w:rPr>
          <w:rFonts w:hint="eastAsia" w:ascii="宋体" w:hAnsi="宋体" w:eastAsia="宋体" w:cs="Times New Roman"/>
          <w:kern w:val="0"/>
          <w:sz w:val="24"/>
          <w:highlight w:val="none"/>
        </w:rPr>
        <w:t>下列文件应视为构成合同文件的组成部分</w:t>
      </w:r>
      <w:r>
        <w:rPr>
          <w:rFonts w:ascii="宋体" w:hAnsi="宋体" w:eastAsia="宋体" w:cs="Times New Roman"/>
          <w:kern w:val="0"/>
          <w:sz w:val="24"/>
          <w:highlight w:val="none"/>
        </w:rPr>
        <w:t>：</w:t>
      </w:r>
    </w:p>
    <w:p w14:paraId="0B0F72F7">
      <w:pPr>
        <w:widowControl/>
        <w:spacing w:after="200" w:line="400" w:lineRule="exact"/>
        <w:ind w:firstLine="480" w:firstLineChars="200"/>
        <w:jc w:val="left"/>
        <w:rPr>
          <w:rFonts w:ascii="宋体" w:hAnsi="宋体" w:eastAsia="宋体" w:cs="Times New Roman"/>
          <w:kern w:val="0"/>
          <w:sz w:val="24"/>
          <w:highlight w:val="none"/>
        </w:rPr>
      </w:pPr>
      <w:r>
        <w:rPr>
          <w:rFonts w:hint="eastAsia" w:ascii="宋体" w:hAnsi="宋体" w:eastAsia="宋体" w:cs="Times New Roman"/>
          <w:kern w:val="0"/>
          <w:sz w:val="24"/>
          <w:highlight w:val="none"/>
        </w:rPr>
        <w:t>（1）本协议书及各种合同附件（含评标期间和合同谈判过程中的澄清文件和补充资料）；</w:t>
      </w:r>
    </w:p>
    <w:p w14:paraId="5D1B4673">
      <w:pPr>
        <w:widowControl/>
        <w:spacing w:after="200" w:line="400" w:lineRule="exact"/>
        <w:ind w:firstLine="480" w:firstLineChars="200"/>
        <w:jc w:val="left"/>
        <w:rPr>
          <w:rFonts w:ascii="宋体" w:hAnsi="宋体" w:eastAsia="宋体" w:cs="Times New Roman"/>
          <w:kern w:val="0"/>
          <w:sz w:val="24"/>
          <w:highlight w:val="none"/>
        </w:rPr>
      </w:pPr>
      <w:r>
        <w:rPr>
          <w:rFonts w:hint="eastAsia" w:ascii="宋体" w:hAnsi="宋体" w:eastAsia="宋体" w:cs="Times New Roman"/>
          <w:kern w:val="0"/>
          <w:sz w:val="24"/>
          <w:highlight w:val="none"/>
        </w:rPr>
        <w:t>（2）中标通知书；</w:t>
      </w:r>
    </w:p>
    <w:p w14:paraId="3912426B">
      <w:pPr>
        <w:widowControl/>
        <w:spacing w:after="200" w:line="400" w:lineRule="exact"/>
        <w:ind w:firstLine="480" w:firstLineChars="200"/>
        <w:jc w:val="left"/>
        <w:rPr>
          <w:rFonts w:ascii="宋体" w:hAnsi="宋体" w:eastAsia="宋体" w:cs="Times New Roman"/>
          <w:kern w:val="0"/>
          <w:sz w:val="24"/>
          <w:highlight w:val="none"/>
        </w:rPr>
      </w:pPr>
      <w:r>
        <w:rPr>
          <w:rFonts w:hint="eastAsia" w:ascii="宋体" w:hAnsi="宋体" w:eastAsia="宋体" w:cs="Times New Roman"/>
          <w:kern w:val="0"/>
          <w:sz w:val="24"/>
          <w:highlight w:val="none"/>
        </w:rPr>
        <w:t>（3）补遗书；</w:t>
      </w:r>
    </w:p>
    <w:p w14:paraId="3286FFC5">
      <w:pPr>
        <w:widowControl/>
        <w:spacing w:after="200" w:line="400" w:lineRule="exact"/>
        <w:ind w:firstLine="480" w:firstLineChars="200"/>
        <w:jc w:val="left"/>
        <w:rPr>
          <w:rFonts w:ascii="宋体" w:hAnsi="宋体" w:eastAsia="宋体" w:cs="Times New Roman"/>
          <w:kern w:val="0"/>
          <w:sz w:val="24"/>
          <w:highlight w:val="none"/>
        </w:rPr>
      </w:pPr>
      <w:r>
        <w:rPr>
          <w:rFonts w:hint="eastAsia" w:ascii="宋体" w:hAnsi="宋体" w:eastAsia="宋体" w:cs="Times New Roman"/>
          <w:kern w:val="0"/>
          <w:sz w:val="24"/>
          <w:highlight w:val="none"/>
        </w:rPr>
        <w:t>（4）投标函及投标函附录；</w:t>
      </w:r>
    </w:p>
    <w:p w14:paraId="79B88B3E">
      <w:pPr>
        <w:widowControl/>
        <w:spacing w:after="200" w:line="400" w:lineRule="exact"/>
        <w:ind w:firstLine="480" w:firstLineChars="200"/>
        <w:jc w:val="left"/>
        <w:rPr>
          <w:rFonts w:ascii="宋体" w:hAnsi="宋体" w:eastAsia="宋体" w:cs="Times New Roman"/>
          <w:kern w:val="0"/>
          <w:sz w:val="24"/>
          <w:highlight w:val="none"/>
        </w:rPr>
      </w:pPr>
      <w:r>
        <w:rPr>
          <w:rFonts w:hint="eastAsia" w:ascii="宋体" w:hAnsi="宋体" w:eastAsia="宋体" w:cs="Times New Roman"/>
          <w:kern w:val="0"/>
          <w:sz w:val="24"/>
          <w:highlight w:val="none"/>
        </w:rPr>
        <w:t>（5）项目专用合同条款；</w:t>
      </w:r>
    </w:p>
    <w:p w14:paraId="3D5DE09F">
      <w:pPr>
        <w:widowControl/>
        <w:spacing w:after="200" w:line="400" w:lineRule="exact"/>
        <w:ind w:firstLine="480" w:firstLineChars="200"/>
        <w:jc w:val="left"/>
        <w:rPr>
          <w:rFonts w:ascii="宋体" w:hAnsi="宋体" w:eastAsia="宋体" w:cs="Times New Roman"/>
          <w:kern w:val="0"/>
          <w:sz w:val="24"/>
          <w:highlight w:val="none"/>
        </w:rPr>
      </w:pPr>
      <w:r>
        <w:rPr>
          <w:rFonts w:hint="eastAsia" w:ascii="宋体" w:hAnsi="宋体" w:eastAsia="宋体" w:cs="Times New Roman"/>
          <w:kern w:val="0"/>
          <w:sz w:val="24"/>
          <w:highlight w:val="none"/>
        </w:rPr>
        <w:t>（6）公路工程专用合同条款；</w:t>
      </w:r>
    </w:p>
    <w:p w14:paraId="39E9C22F">
      <w:pPr>
        <w:widowControl/>
        <w:spacing w:after="200" w:line="400" w:lineRule="exact"/>
        <w:ind w:firstLine="480" w:firstLineChars="200"/>
        <w:jc w:val="left"/>
        <w:rPr>
          <w:rFonts w:ascii="宋体" w:hAnsi="宋体" w:eastAsia="宋体" w:cs="Times New Roman"/>
          <w:kern w:val="0"/>
          <w:sz w:val="24"/>
          <w:highlight w:val="none"/>
        </w:rPr>
      </w:pPr>
      <w:r>
        <w:rPr>
          <w:rFonts w:hint="eastAsia" w:ascii="宋体" w:hAnsi="宋体" w:eastAsia="宋体" w:cs="Times New Roman"/>
          <w:kern w:val="0"/>
          <w:sz w:val="24"/>
          <w:highlight w:val="none"/>
        </w:rPr>
        <w:t>（7）通用合同条款；</w:t>
      </w:r>
    </w:p>
    <w:p w14:paraId="75D57F1F">
      <w:pPr>
        <w:widowControl/>
        <w:spacing w:after="200" w:line="400" w:lineRule="exact"/>
        <w:ind w:firstLine="480" w:firstLineChars="200"/>
        <w:jc w:val="left"/>
        <w:rPr>
          <w:rFonts w:ascii="宋体" w:hAnsi="宋体" w:eastAsia="宋体" w:cs="Times New Roman"/>
          <w:kern w:val="0"/>
          <w:sz w:val="24"/>
          <w:highlight w:val="none"/>
        </w:rPr>
      </w:pPr>
      <w:r>
        <w:rPr>
          <w:rFonts w:hint="eastAsia" w:ascii="宋体" w:hAnsi="宋体" w:eastAsia="宋体" w:cs="Times New Roman"/>
          <w:kern w:val="0"/>
          <w:sz w:val="24"/>
          <w:highlight w:val="none"/>
        </w:rPr>
        <w:t>（8）技术规范；</w:t>
      </w:r>
    </w:p>
    <w:p w14:paraId="0A36E826">
      <w:pPr>
        <w:widowControl/>
        <w:spacing w:after="200" w:line="400" w:lineRule="exact"/>
        <w:ind w:firstLine="480" w:firstLineChars="200"/>
        <w:jc w:val="left"/>
        <w:rPr>
          <w:rFonts w:ascii="宋体" w:hAnsi="宋体" w:eastAsia="宋体" w:cs="Times New Roman"/>
          <w:kern w:val="0"/>
          <w:sz w:val="24"/>
          <w:highlight w:val="none"/>
        </w:rPr>
      </w:pPr>
      <w:r>
        <w:rPr>
          <w:rFonts w:hint="eastAsia" w:ascii="宋体" w:hAnsi="宋体" w:eastAsia="宋体" w:cs="Times New Roman"/>
          <w:kern w:val="0"/>
          <w:sz w:val="24"/>
          <w:highlight w:val="none"/>
        </w:rPr>
        <w:t>（9）图纸；</w:t>
      </w:r>
    </w:p>
    <w:p w14:paraId="3F006897">
      <w:pPr>
        <w:widowControl/>
        <w:spacing w:after="200" w:line="400" w:lineRule="exact"/>
        <w:ind w:firstLine="480" w:firstLineChars="200"/>
        <w:jc w:val="left"/>
        <w:rPr>
          <w:rFonts w:ascii="宋体" w:hAnsi="宋体" w:eastAsia="宋体" w:cs="Times New Roman"/>
          <w:kern w:val="0"/>
          <w:sz w:val="24"/>
          <w:highlight w:val="none"/>
        </w:rPr>
      </w:pPr>
      <w:r>
        <w:rPr>
          <w:rFonts w:hint="eastAsia" w:ascii="宋体" w:hAnsi="宋体" w:eastAsia="宋体" w:cs="Times New Roman"/>
          <w:kern w:val="0"/>
          <w:sz w:val="24"/>
          <w:highlight w:val="none"/>
        </w:rPr>
        <w:t>（10）已标价工程量清单；</w:t>
      </w:r>
    </w:p>
    <w:p w14:paraId="3592C515">
      <w:pPr>
        <w:widowControl/>
        <w:spacing w:after="200" w:line="400" w:lineRule="exact"/>
        <w:ind w:firstLine="480" w:firstLineChars="200"/>
        <w:jc w:val="left"/>
        <w:rPr>
          <w:rFonts w:ascii="宋体" w:hAnsi="宋体" w:eastAsia="宋体" w:cs="Times New Roman"/>
          <w:kern w:val="0"/>
          <w:sz w:val="24"/>
          <w:highlight w:val="none"/>
        </w:rPr>
      </w:pPr>
      <w:r>
        <w:rPr>
          <w:rFonts w:hint="eastAsia" w:ascii="宋体" w:hAnsi="宋体" w:eastAsia="宋体" w:cs="Times New Roman"/>
          <w:kern w:val="0"/>
          <w:sz w:val="24"/>
          <w:highlight w:val="none"/>
        </w:rPr>
        <w:t>（11）承包人有关人员、设备投入的承诺及投标文件中的施工组织设计；</w:t>
      </w:r>
    </w:p>
    <w:p w14:paraId="0C5A92F0">
      <w:pPr>
        <w:widowControl/>
        <w:spacing w:after="200" w:line="400" w:lineRule="exact"/>
        <w:ind w:firstLine="480" w:firstLineChars="200"/>
        <w:jc w:val="left"/>
        <w:rPr>
          <w:rFonts w:ascii="宋体" w:hAnsi="宋体" w:eastAsia="宋体" w:cs="Times New Roman"/>
          <w:kern w:val="0"/>
          <w:sz w:val="24"/>
          <w:highlight w:val="none"/>
        </w:rPr>
      </w:pPr>
      <w:r>
        <w:rPr>
          <w:rFonts w:hint="eastAsia" w:ascii="宋体" w:hAnsi="宋体" w:eastAsia="宋体" w:cs="Times New Roman"/>
          <w:kern w:val="0"/>
          <w:sz w:val="24"/>
          <w:highlight w:val="none"/>
        </w:rPr>
        <w:t>（12）其他合同文件。</w:t>
      </w:r>
    </w:p>
    <w:p w14:paraId="705C1642">
      <w:pPr>
        <w:widowControl/>
        <w:spacing w:after="200" w:line="400" w:lineRule="exact"/>
        <w:ind w:firstLine="480" w:firstLineChars="200"/>
        <w:jc w:val="left"/>
        <w:rPr>
          <w:rFonts w:ascii="宋体" w:hAnsi="宋体" w:eastAsia="宋体" w:cs="Times New Roman"/>
          <w:kern w:val="0"/>
          <w:sz w:val="24"/>
          <w:highlight w:val="none"/>
        </w:rPr>
      </w:pPr>
      <w:r>
        <w:rPr>
          <w:rFonts w:hint="eastAsia" w:ascii="宋体" w:hAnsi="宋体" w:eastAsia="宋体" w:cs="Times New Roman"/>
          <w:kern w:val="0"/>
          <w:sz w:val="24"/>
          <w:highlight w:val="none"/>
        </w:rPr>
        <w:t>3</w:t>
      </w:r>
      <w:r>
        <w:rPr>
          <w:rFonts w:ascii="宋体" w:hAnsi="宋体" w:eastAsia="宋体" w:cs="Times New Roman"/>
          <w:kern w:val="0"/>
          <w:sz w:val="24"/>
          <w:highlight w:val="none"/>
        </w:rPr>
        <w:t>. 上述文件互相补充和解释，如有不明确或不一致之处，以合同约定次序在先者为准。</w:t>
      </w:r>
    </w:p>
    <w:p w14:paraId="175FF9DD">
      <w:pPr>
        <w:widowControl/>
        <w:spacing w:after="200" w:line="400" w:lineRule="exact"/>
        <w:ind w:firstLine="480" w:firstLineChars="200"/>
        <w:jc w:val="left"/>
        <w:rPr>
          <w:rFonts w:ascii="宋体" w:hAnsi="宋体" w:eastAsia="宋体" w:cs="Times New Roman"/>
          <w:kern w:val="0"/>
          <w:sz w:val="24"/>
          <w:highlight w:val="none"/>
        </w:rPr>
      </w:pPr>
      <w:r>
        <w:rPr>
          <w:rFonts w:hint="eastAsia" w:ascii="宋体" w:hAnsi="宋体" w:eastAsia="宋体" w:cs="Times New Roman"/>
          <w:kern w:val="0"/>
          <w:sz w:val="24"/>
          <w:highlight w:val="none"/>
        </w:rPr>
        <w:t>4</w:t>
      </w:r>
      <w:r>
        <w:rPr>
          <w:rFonts w:ascii="宋体" w:hAnsi="宋体" w:eastAsia="宋体" w:cs="Times New Roman"/>
          <w:kern w:val="0"/>
          <w:sz w:val="24"/>
          <w:highlight w:val="none"/>
        </w:rPr>
        <w:t xml:space="preserve">. </w:t>
      </w:r>
      <w:r>
        <w:rPr>
          <w:rFonts w:hint="eastAsia" w:ascii="宋体" w:hAnsi="宋体" w:eastAsia="宋体" w:cs="Times New Roman"/>
          <w:kern w:val="0"/>
          <w:sz w:val="24"/>
          <w:highlight w:val="none"/>
        </w:rPr>
        <w:t>根据工程量清单所列的预计数量和单价或总额价计算的签约</w:t>
      </w:r>
      <w:r>
        <w:rPr>
          <w:rFonts w:ascii="宋体" w:hAnsi="宋体" w:eastAsia="宋体" w:cs="Times New Roman"/>
          <w:kern w:val="0"/>
          <w:sz w:val="24"/>
          <w:highlight w:val="none"/>
        </w:rPr>
        <w:t>合同价：人民币（大写）元（¥）。</w:t>
      </w:r>
    </w:p>
    <w:p w14:paraId="43673547">
      <w:pPr>
        <w:widowControl/>
        <w:spacing w:after="200" w:line="400" w:lineRule="exact"/>
        <w:ind w:firstLine="480" w:firstLineChars="200"/>
        <w:jc w:val="left"/>
        <w:rPr>
          <w:rFonts w:ascii="宋体" w:hAnsi="宋体" w:eastAsia="宋体" w:cs="Times New Roman"/>
          <w:kern w:val="0"/>
          <w:sz w:val="24"/>
          <w:highlight w:val="none"/>
        </w:rPr>
      </w:pPr>
      <w:r>
        <w:rPr>
          <w:rFonts w:hint="eastAsia" w:ascii="宋体" w:hAnsi="宋体" w:eastAsia="宋体" w:cs="Times New Roman"/>
          <w:kern w:val="0"/>
          <w:sz w:val="24"/>
          <w:highlight w:val="none"/>
        </w:rPr>
        <w:t>5.合同价格形式：</w:t>
      </w:r>
      <w:r>
        <w:rPr>
          <w:rFonts w:hint="eastAsia" w:ascii="宋体" w:hAnsi="宋体" w:eastAsia="宋体" w:cs="Times New Roman"/>
          <w:kern w:val="0"/>
          <w:sz w:val="24"/>
          <w:highlight w:val="none"/>
          <w:u w:val="single"/>
        </w:rPr>
        <w:t>固定单价合同。</w:t>
      </w:r>
    </w:p>
    <w:p w14:paraId="5D5550F2">
      <w:pPr>
        <w:widowControl/>
        <w:spacing w:after="200" w:line="400" w:lineRule="exact"/>
        <w:ind w:firstLine="480" w:firstLineChars="200"/>
        <w:jc w:val="left"/>
        <w:rPr>
          <w:rFonts w:ascii="宋体" w:hAnsi="宋体" w:eastAsia="宋体" w:cs="Times New Roman"/>
          <w:kern w:val="0"/>
          <w:sz w:val="24"/>
          <w:highlight w:val="none"/>
        </w:rPr>
      </w:pPr>
      <w:r>
        <w:rPr>
          <w:rFonts w:hint="eastAsia" w:ascii="宋体" w:hAnsi="宋体" w:eastAsia="宋体" w:cs="Times New Roman"/>
          <w:kern w:val="0"/>
          <w:sz w:val="24"/>
          <w:highlight w:val="none"/>
        </w:rPr>
        <w:t>6</w:t>
      </w:r>
      <w:r>
        <w:rPr>
          <w:rFonts w:ascii="宋体" w:hAnsi="宋体" w:eastAsia="宋体" w:cs="Times New Roman"/>
          <w:kern w:val="0"/>
          <w:sz w:val="24"/>
          <w:highlight w:val="none"/>
        </w:rPr>
        <w:t>. 承包人施工负责人：。</w:t>
      </w:r>
      <w:r>
        <w:rPr>
          <w:rFonts w:hint="eastAsia" w:ascii="宋体" w:hAnsi="宋体" w:eastAsia="宋体" w:cs="Times New Roman"/>
          <w:kern w:val="0"/>
          <w:sz w:val="24"/>
          <w:highlight w:val="none"/>
          <w:lang w:val="en-US" w:eastAsia="zh-CN"/>
        </w:rPr>
        <w:t xml:space="preserve">         </w:t>
      </w:r>
      <w:r>
        <w:rPr>
          <w:rFonts w:hint="eastAsia" w:ascii="宋体" w:hAnsi="宋体" w:eastAsia="宋体" w:cs="Times New Roman"/>
          <w:kern w:val="0"/>
          <w:sz w:val="24"/>
          <w:highlight w:val="none"/>
        </w:rPr>
        <w:t>承包人施工技术负责人：。</w:t>
      </w:r>
    </w:p>
    <w:p w14:paraId="4132D407">
      <w:pPr>
        <w:widowControl/>
        <w:spacing w:after="200" w:line="400" w:lineRule="exact"/>
        <w:ind w:firstLine="480" w:firstLineChars="200"/>
        <w:jc w:val="left"/>
        <w:rPr>
          <w:rFonts w:ascii="宋体" w:hAnsi="宋体" w:eastAsia="宋体" w:cs="Times New Roman"/>
          <w:kern w:val="0"/>
          <w:sz w:val="24"/>
          <w:highlight w:val="none"/>
        </w:rPr>
      </w:pPr>
      <w:r>
        <w:rPr>
          <w:rFonts w:hint="eastAsia" w:ascii="宋体" w:hAnsi="宋体" w:eastAsia="宋体" w:cs="Times New Roman"/>
          <w:kern w:val="0"/>
          <w:sz w:val="24"/>
          <w:highlight w:val="none"/>
        </w:rPr>
        <w:t>7. 工程质量符合标准。</w:t>
      </w:r>
    </w:p>
    <w:p w14:paraId="77730220">
      <w:pPr>
        <w:widowControl/>
        <w:spacing w:after="200" w:line="400" w:lineRule="exact"/>
        <w:ind w:firstLine="480" w:firstLineChars="200"/>
        <w:jc w:val="left"/>
        <w:rPr>
          <w:rFonts w:ascii="宋体" w:hAnsi="宋体" w:eastAsia="宋体" w:cs="Times New Roman"/>
          <w:kern w:val="0"/>
          <w:sz w:val="24"/>
          <w:highlight w:val="none"/>
        </w:rPr>
      </w:pPr>
      <w:r>
        <w:rPr>
          <w:rFonts w:hint="eastAsia" w:ascii="宋体" w:hAnsi="宋体" w:eastAsia="宋体" w:cs="Times New Roman"/>
          <w:kern w:val="0"/>
          <w:sz w:val="24"/>
          <w:highlight w:val="none"/>
        </w:rPr>
        <w:t>8. 承包人承诺按合同约定承担工程的实施、完成及缺陷修复。</w:t>
      </w:r>
    </w:p>
    <w:p w14:paraId="46D247D9">
      <w:pPr>
        <w:widowControl/>
        <w:spacing w:after="200" w:line="400" w:lineRule="exact"/>
        <w:ind w:firstLine="480" w:firstLineChars="200"/>
        <w:jc w:val="left"/>
        <w:rPr>
          <w:rFonts w:ascii="宋体" w:hAnsi="宋体" w:eastAsia="宋体" w:cs="Times New Roman"/>
          <w:kern w:val="0"/>
          <w:sz w:val="24"/>
          <w:highlight w:val="none"/>
        </w:rPr>
      </w:pPr>
      <w:r>
        <w:rPr>
          <w:rFonts w:hint="eastAsia" w:ascii="宋体" w:hAnsi="宋体" w:eastAsia="宋体" w:cs="Times New Roman"/>
          <w:kern w:val="0"/>
          <w:sz w:val="24"/>
          <w:highlight w:val="none"/>
        </w:rPr>
        <w:t>9. 发包人承诺按合同约定的条件、时间和方式向承包人支付合同价款。</w:t>
      </w:r>
    </w:p>
    <w:p w14:paraId="70472DCD">
      <w:pPr>
        <w:widowControl/>
        <w:spacing w:after="200" w:line="400" w:lineRule="exact"/>
        <w:ind w:firstLine="480" w:firstLineChars="200"/>
        <w:jc w:val="left"/>
        <w:rPr>
          <w:rFonts w:ascii="宋体" w:hAnsi="宋体" w:eastAsia="宋体" w:cs="Times New Roman"/>
          <w:kern w:val="0"/>
          <w:sz w:val="24"/>
          <w:highlight w:val="none"/>
        </w:rPr>
      </w:pPr>
      <w:r>
        <w:rPr>
          <w:rFonts w:hint="eastAsia" w:ascii="宋体" w:hAnsi="宋体" w:eastAsia="宋体" w:cs="Times New Roman"/>
          <w:kern w:val="0"/>
          <w:sz w:val="24"/>
          <w:highlight w:val="none"/>
        </w:rPr>
        <w:t>10. 承包人应按照监理人指示开工，工期为日历天。</w:t>
      </w:r>
    </w:p>
    <w:p w14:paraId="5196E04C">
      <w:pPr>
        <w:widowControl/>
        <w:spacing w:after="200" w:line="400" w:lineRule="exact"/>
        <w:ind w:firstLine="480" w:firstLineChars="200"/>
        <w:jc w:val="left"/>
        <w:rPr>
          <w:rFonts w:ascii="宋体" w:hAnsi="宋体" w:eastAsia="宋体" w:cs="Times New Roman"/>
          <w:kern w:val="0"/>
          <w:sz w:val="24"/>
          <w:highlight w:val="none"/>
        </w:rPr>
      </w:pPr>
      <w:r>
        <w:rPr>
          <w:rFonts w:hint="eastAsia" w:ascii="宋体" w:hAnsi="宋体" w:eastAsia="宋体" w:cs="Times New Roman"/>
          <w:kern w:val="0"/>
          <w:sz w:val="24"/>
          <w:highlight w:val="none"/>
        </w:rPr>
        <w:t>11. 本协议书在承包人提供履约担保后，由双方法定代表人或其委托代理人签署并加盖单位章后生效。全部工程完工后经竣交工验收合格、缺陷责任期满签发缺陷责任终止证书后生效。</w:t>
      </w:r>
    </w:p>
    <w:p w14:paraId="2BAED1C8">
      <w:pPr>
        <w:widowControl/>
        <w:spacing w:after="200" w:line="400" w:lineRule="exact"/>
        <w:ind w:firstLine="480" w:firstLineChars="200"/>
        <w:jc w:val="left"/>
        <w:rPr>
          <w:rFonts w:ascii="宋体" w:hAnsi="宋体" w:eastAsia="宋体" w:cs="Times New Roman"/>
          <w:kern w:val="0"/>
          <w:sz w:val="24"/>
          <w:highlight w:val="none"/>
        </w:rPr>
      </w:pPr>
      <w:r>
        <w:rPr>
          <w:rFonts w:hint="eastAsia" w:ascii="宋体" w:hAnsi="宋体" w:eastAsia="宋体" w:cs="Times New Roman"/>
          <w:kern w:val="0"/>
          <w:sz w:val="24"/>
          <w:highlight w:val="none"/>
        </w:rPr>
        <w:t>12．本协议书正本二份、副本份，合同双方各执正本一份，副本份，当正本与副本的内容不一致时，以正本为准。</w:t>
      </w:r>
    </w:p>
    <w:p w14:paraId="002B594F">
      <w:pPr>
        <w:widowControl/>
        <w:spacing w:after="200" w:line="400" w:lineRule="exact"/>
        <w:ind w:firstLine="480" w:firstLineChars="200"/>
        <w:jc w:val="left"/>
        <w:rPr>
          <w:rFonts w:ascii="宋体" w:hAnsi="宋体" w:eastAsia="宋体" w:cs="Times New Roman"/>
          <w:kern w:val="0"/>
          <w:sz w:val="24"/>
          <w:highlight w:val="none"/>
        </w:rPr>
      </w:pPr>
      <w:r>
        <w:rPr>
          <w:rFonts w:hint="eastAsia" w:ascii="宋体" w:hAnsi="宋体" w:eastAsia="宋体" w:cs="Times New Roman"/>
          <w:kern w:val="0"/>
          <w:sz w:val="24"/>
          <w:highlight w:val="none"/>
        </w:rPr>
        <w:t>13.合同未尽事宜，双方另行签订补充协议。补充协议是合同的组成部分。</w:t>
      </w:r>
    </w:p>
    <w:p w14:paraId="53C18D68">
      <w:pPr>
        <w:widowControl/>
        <w:spacing w:after="200" w:line="400" w:lineRule="exact"/>
        <w:ind w:firstLine="480" w:firstLineChars="200"/>
        <w:jc w:val="left"/>
        <w:rPr>
          <w:rFonts w:ascii="宋体" w:hAnsi="宋体" w:eastAsia="宋体" w:cs="Times New Roman"/>
          <w:kern w:val="0"/>
          <w:sz w:val="24"/>
          <w:highlight w:val="none"/>
        </w:rPr>
      </w:pPr>
    </w:p>
    <w:p w14:paraId="6774628C">
      <w:pPr>
        <w:widowControl/>
        <w:spacing w:after="200" w:line="400" w:lineRule="exact"/>
        <w:jc w:val="left"/>
        <w:rPr>
          <w:rFonts w:ascii="宋体" w:hAnsi="宋体" w:eastAsia="宋体" w:cs="Times New Roman"/>
          <w:kern w:val="0"/>
          <w:sz w:val="24"/>
          <w:highlight w:val="none"/>
        </w:rPr>
      </w:pPr>
    </w:p>
    <w:p w14:paraId="43393405">
      <w:pPr>
        <w:widowControl/>
        <w:spacing w:after="200" w:line="400" w:lineRule="exact"/>
        <w:jc w:val="left"/>
        <w:rPr>
          <w:rFonts w:ascii="宋体" w:hAnsi="宋体" w:eastAsia="宋体" w:cs="Times New Roman"/>
          <w:kern w:val="0"/>
          <w:sz w:val="24"/>
          <w:highlight w:val="none"/>
        </w:rPr>
      </w:pPr>
    </w:p>
    <w:p w14:paraId="53A41919">
      <w:pPr>
        <w:widowControl/>
        <w:spacing w:after="200" w:line="400" w:lineRule="exact"/>
        <w:jc w:val="left"/>
        <w:rPr>
          <w:rFonts w:ascii="宋体" w:hAnsi="宋体" w:eastAsia="宋体" w:cs="Times New Roman"/>
          <w:kern w:val="0"/>
          <w:sz w:val="24"/>
          <w:highlight w:val="none"/>
        </w:rPr>
      </w:pPr>
      <w:r>
        <w:rPr>
          <w:rFonts w:ascii="宋体" w:hAnsi="宋体" w:eastAsia="宋体" w:cs="Times New Roman"/>
          <w:kern w:val="0"/>
          <w:sz w:val="24"/>
          <w:highlight w:val="none"/>
        </w:rPr>
        <w:t xml:space="preserve">发包人：（盖单位章）承包人：（盖单位章） </w:t>
      </w:r>
    </w:p>
    <w:p w14:paraId="0334B9EB">
      <w:pPr>
        <w:widowControl/>
        <w:spacing w:after="200" w:line="400" w:lineRule="exact"/>
        <w:jc w:val="left"/>
        <w:rPr>
          <w:rFonts w:ascii="宋体" w:hAnsi="宋体" w:eastAsia="宋体" w:cs="Times New Roman"/>
          <w:kern w:val="0"/>
          <w:sz w:val="24"/>
          <w:highlight w:val="none"/>
        </w:rPr>
      </w:pPr>
      <w:r>
        <w:rPr>
          <w:rFonts w:ascii="宋体" w:hAnsi="宋体" w:eastAsia="宋体" w:cs="Times New Roman"/>
          <w:kern w:val="0"/>
          <w:sz w:val="24"/>
          <w:highlight w:val="none"/>
        </w:rPr>
        <w:t>法定代表人或其委托代理人：</w:t>
      </w:r>
      <w:r>
        <w:rPr>
          <w:rFonts w:hint="eastAsia" w:ascii="宋体" w:hAnsi="宋体" w:eastAsia="宋体" w:cs="Times New Roman"/>
          <w:kern w:val="0"/>
          <w:sz w:val="24"/>
          <w:highlight w:val="none"/>
        </w:rPr>
        <w:t>（</w:t>
      </w:r>
      <w:r>
        <w:rPr>
          <w:rFonts w:ascii="宋体" w:hAnsi="宋体" w:eastAsia="宋体" w:cs="Times New Roman"/>
          <w:kern w:val="0"/>
          <w:sz w:val="24"/>
          <w:highlight w:val="none"/>
        </w:rPr>
        <w:t>签字）法定代表人或其委托代理人：（签字）</w:t>
      </w:r>
    </w:p>
    <w:p w14:paraId="13E05C25">
      <w:pPr>
        <w:widowControl/>
        <w:spacing w:after="200" w:line="400" w:lineRule="exact"/>
        <w:ind w:firstLine="840"/>
        <w:jc w:val="left"/>
        <w:rPr>
          <w:rFonts w:ascii="宋体" w:hAnsi="宋体" w:eastAsia="宋体" w:cs="Times New Roman"/>
          <w:kern w:val="0"/>
          <w:sz w:val="24"/>
          <w:highlight w:val="none"/>
          <w:lang w:eastAsia="en-US"/>
        </w:rPr>
      </w:pPr>
      <w:r>
        <w:rPr>
          <w:rFonts w:ascii="宋体" w:hAnsi="宋体" w:eastAsia="宋体" w:cs="Times New Roman"/>
          <w:kern w:val="0"/>
          <w:sz w:val="24"/>
          <w:highlight w:val="none"/>
          <w:lang w:eastAsia="en-US"/>
        </w:rPr>
        <w:t>年月日年月日</w:t>
      </w:r>
    </w:p>
    <w:p w14:paraId="2A955784">
      <w:pPr>
        <w:keepNext/>
        <w:keepLines/>
        <w:spacing w:beforeLines="50" w:afterLines="50" w:line="400" w:lineRule="exact"/>
        <w:jc w:val="center"/>
        <w:rPr>
          <w:rFonts w:ascii="宋体" w:hAnsi="宋体" w:eastAsia="宋体" w:cs="Times New Roman"/>
          <w:b/>
          <w:bCs/>
          <w:kern w:val="44"/>
          <w:sz w:val="24"/>
          <w:szCs w:val="24"/>
          <w:highlight w:val="none"/>
          <w:lang w:eastAsia="en-US"/>
        </w:rPr>
      </w:pPr>
    </w:p>
    <w:p w14:paraId="6A1B686B">
      <w:pPr>
        <w:spacing w:line="480" w:lineRule="auto"/>
        <w:rPr>
          <w:rFonts w:ascii="宋体" w:hAnsi="宋体" w:cs="宋体"/>
          <w:color w:val="000000"/>
          <w:sz w:val="24"/>
          <w:szCs w:val="24"/>
        </w:rPr>
      </w:pPr>
    </w:p>
    <w:p w14:paraId="740DEF11">
      <w:pPr>
        <w:widowControl/>
        <w:adjustRightInd w:val="0"/>
        <w:snapToGrid w:val="0"/>
        <w:spacing w:after="200" w:line="360" w:lineRule="auto"/>
        <w:jc w:val="center"/>
        <w:rPr>
          <w:rFonts w:ascii="宋体" w:hAnsi="宋体" w:cs="宋体"/>
          <w:b/>
          <w:bCs/>
          <w:color w:val="000000"/>
          <w:kern w:val="0"/>
          <w:sz w:val="32"/>
          <w:szCs w:val="32"/>
        </w:rPr>
      </w:pPr>
      <w:r>
        <w:rPr>
          <w:rFonts w:hint="eastAsia" w:ascii="宋体" w:hAnsi="宋体" w:cs="宋体"/>
          <w:b/>
          <w:color w:val="000000"/>
          <w:sz w:val="24"/>
          <w:szCs w:val="24"/>
        </w:rPr>
        <w:br w:type="page"/>
      </w:r>
    </w:p>
    <w:p w14:paraId="24540DCE">
      <w:pPr>
        <w:widowControl/>
        <w:adjustRightInd w:val="0"/>
        <w:snapToGrid w:val="0"/>
        <w:spacing w:after="200" w:line="360" w:lineRule="auto"/>
        <w:jc w:val="center"/>
        <w:rPr>
          <w:rFonts w:ascii="宋体" w:hAnsi="宋体" w:cs="宋体"/>
          <w:bCs/>
          <w:color w:val="000000"/>
          <w:kern w:val="0"/>
          <w:sz w:val="24"/>
          <w:szCs w:val="24"/>
        </w:rPr>
      </w:pPr>
      <w:bookmarkStart w:id="368" w:name="_Toc8491"/>
      <w:r>
        <w:rPr>
          <w:rFonts w:hint="eastAsia" w:hAnsi="宋体" w:cs="宋体"/>
          <w:b/>
          <w:sz w:val="24"/>
          <w:szCs w:val="24"/>
        </w:rPr>
        <w:t>第六章  磋商响应文件格式</w:t>
      </w:r>
      <w:bookmarkEnd w:id="368"/>
      <w:r>
        <w:rPr>
          <w:rFonts w:hint="eastAsia" w:hAnsi="宋体" w:cs="宋体"/>
          <w:b/>
          <w:sz w:val="24"/>
          <w:szCs w:val="24"/>
        </w:rPr>
        <w:t xml:space="preserve">  </w:t>
      </w:r>
      <w:r>
        <w:rPr>
          <w:rFonts w:hint="eastAsia" w:ascii="宋体" w:hAnsi="宋体" w:cs="宋体"/>
          <w:bCs/>
          <w:color w:val="000000"/>
          <w:kern w:val="0"/>
          <w:sz w:val="24"/>
          <w:szCs w:val="24"/>
        </w:rPr>
        <w:t xml:space="preserve"> </w:t>
      </w:r>
    </w:p>
    <w:p w14:paraId="5E8E02F6">
      <w:pPr>
        <w:pStyle w:val="4"/>
        <w:ind w:left="63" w:right="63" w:firstLine="211"/>
      </w:pPr>
    </w:p>
    <w:p w14:paraId="63E4E16F">
      <w:pPr>
        <w:widowControl/>
        <w:spacing w:after="200" w:line="220" w:lineRule="atLeast"/>
        <w:jc w:val="center"/>
        <w:rPr>
          <w:rFonts w:ascii="宋体" w:hAnsi="宋体" w:cs="宋体"/>
          <w:bCs/>
          <w:color w:val="000000"/>
          <w:kern w:val="0"/>
          <w:sz w:val="44"/>
          <w:szCs w:val="44"/>
        </w:rPr>
      </w:pPr>
      <w:r>
        <w:rPr>
          <w:rFonts w:hint="eastAsia" w:ascii="宋体" w:hAnsi="宋体" w:cs="宋体"/>
          <w:bCs/>
          <w:color w:val="000000"/>
          <w:kern w:val="0"/>
          <w:sz w:val="44"/>
          <w:szCs w:val="44"/>
          <w:u w:val="single"/>
        </w:rPr>
        <w:t xml:space="preserve">                       </w:t>
      </w:r>
      <w:r>
        <w:rPr>
          <w:rFonts w:hint="eastAsia" w:ascii="宋体" w:hAnsi="宋体" w:cs="宋体"/>
          <w:bCs/>
          <w:color w:val="000000"/>
          <w:kern w:val="0"/>
          <w:sz w:val="44"/>
          <w:szCs w:val="44"/>
        </w:rPr>
        <w:t>（项目名称）</w:t>
      </w:r>
    </w:p>
    <w:p w14:paraId="43B2AFFD">
      <w:pPr>
        <w:widowControl/>
        <w:adjustRightInd w:val="0"/>
        <w:snapToGrid w:val="0"/>
        <w:spacing w:after="200" w:line="360" w:lineRule="auto"/>
        <w:jc w:val="center"/>
        <w:rPr>
          <w:rFonts w:ascii="宋体" w:hAnsi="宋体" w:cs="宋体"/>
          <w:bCs/>
          <w:color w:val="000000"/>
          <w:kern w:val="0"/>
          <w:sz w:val="32"/>
          <w:szCs w:val="32"/>
        </w:rPr>
      </w:pPr>
    </w:p>
    <w:p w14:paraId="3A763B75">
      <w:pPr>
        <w:widowControl/>
        <w:adjustRightInd w:val="0"/>
        <w:snapToGrid w:val="0"/>
        <w:spacing w:after="200" w:line="360" w:lineRule="auto"/>
        <w:jc w:val="center"/>
        <w:rPr>
          <w:rFonts w:ascii="宋体" w:hAnsi="宋体" w:cs="宋体"/>
          <w:bCs/>
          <w:color w:val="000000"/>
          <w:kern w:val="0"/>
          <w:sz w:val="32"/>
          <w:szCs w:val="32"/>
        </w:rPr>
      </w:pPr>
    </w:p>
    <w:p w14:paraId="218746F0">
      <w:pPr>
        <w:rPr>
          <w:rFonts w:hAnsi="宋体" w:cs="宋体"/>
          <w:bCs/>
          <w:color w:val="000000"/>
          <w:sz w:val="32"/>
          <w:szCs w:val="32"/>
        </w:rPr>
      </w:pPr>
    </w:p>
    <w:p w14:paraId="42368356"/>
    <w:p w14:paraId="78B9570D">
      <w:pPr>
        <w:widowControl/>
        <w:adjustRightInd w:val="0"/>
        <w:snapToGrid w:val="0"/>
        <w:spacing w:after="200" w:line="360" w:lineRule="auto"/>
        <w:jc w:val="center"/>
        <w:rPr>
          <w:rFonts w:ascii="宋体" w:hAnsi="宋体" w:cs="宋体"/>
          <w:bCs/>
          <w:color w:val="000000"/>
          <w:kern w:val="0"/>
          <w:sz w:val="72"/>
          <w:szCs w:val="72"/>
        </w:rPr>
      </w:pPr>
      <w:r>
        <w:rPr>
          <w:rFonts w:hint="eastAsia" w:ascii="宋体" w:hAnsi="宋体" w:cs="宋体"/>
          <w:bCs/>
          <w:color w:val="000000"/>
          <w:kern w:val="0"/>
          <w:sz w:val="72"/>
          <w:szCs w:val="72"/>
        </w:rPr>
        <w:t>竞争性磋商响应文件</w:t>
      </w:r>
    </w:p>
    <w:p w14:paraId="2D1C2FF5">
      <w:pPr>
        <w:widowControl/>
        <w:adjustRightInd w:val="0"/>
        <w:snapToGrid w:val="0"/>
        <w:spacing w:after="200" w:line="360" w:lineRule="auto"/>
        <w:jc w:val="center"/>
        <w:rPr>
          <w:rFonts w:ascii="宋体" w:hAnsi="宋体" w:cs="宋体"/>
          <w:bCs/>
          <w:color w:val="000000"/>
          <w:kern w:val="0"/>
          <w:sz w:val="32"/>
          <w:szCs w:val="32"/>
        </w:rPr>
      </w:pPr>
      <w:r>
        <w:rPr>
          <w:rFonts w:hint="eastAsia" w:ascii="宋体" w:hAnsi="宋体" w:cs="宋体"/>
          <w:bCs/>
          <w:color w:val="000000"/>
          <w:kern w:val="0"/>
          <w:sz w:val="32"/>
          <w:szCs w:val="32"/>
        </w:rPr>
        <w:t>项目编号：</w:t>
      </w:r>
    </w:p>
    <w:p w14:paraId="22369069">
      <w:pPr>
        <w:widowControl/>
        <w:adjustRightInd w:val="0"/>
        <w:snapToGrid w:val="0"/>
        <w:spacing w:after="200" w:line="360" w:lineRule="auto"/>
        <w:jc w:val="left"/>
        <w:rPr>
          <w:rFonts w:ascii="宋体" w:hAnsi="宋体" w:cs="宋体"/>
          <w:bCs/>
          <w:color w:val="000000"/>
          <w:kern w:val="0"/>
          <w:sz w:val="32"/>
          <w:szCs w:val="32"/>
        </w:rPr>
      </w:pPr>
    </w:p>
    <w:p w14:paraId="1633D1CD">
      <w:pPr>
        <w:widowControl/>
        <w:adjustRightInd w:val="0"/>
        <w:snapToGrid w:val="0"/>
        <w:spacing w:after="200" w:line="360" w:lineRule="auto"/>
        <w:jc w:val="left"/>
        <w:rPr>
          <w:rFonts w:ascii="宋体" w:hAnsi="宋体" w:cs="宋体"/>
          <w:bCs/>
          <w:color w:val="000000"/>
          <w:kern w:val="0"/>
          <w:sz w:val="32"/>
          <w:szCs w:val="32"/>
        </w:rPr>
      </w:pPr>
    </w:p>
    <w:p w14:paraId="59350412">
      <w:pPr>
        <w:widowControl/>
        <w:adjustRightInd w:val="0"/>
        <w:snapToGrid w:val="0"/>
        <w:spacing w:after="200" w:line="360" w:lineRule="auto"/>
        <w:jc w:val="left"/>
        <w:rPr>
          <w:rFonts w:ascii="宋体" w:hAnsi="宋体" w:cs="宋体"/>
          <w:bCs/>
          <w:color w:val="000000"/>
          <w:kern w:val="0"/>
          <w:sz w:val="32"/>
          <w:szCs w:val="32"/>
        </w:rPr>
      </w:pPr>
    </w:p>
    <w:p w14:paraId="7883D631">
      <w:pPr>
        <w:ind w:firstLine="1680" w:firstLineChars="525"/>
        <w:rPr>
          <w:rFonts w:hint="eastAsia" w:ascii="宋体" w:hAnsi="宋体" w:cs="宋体"/>
          <w:sz w:val="32"/>
          <w:szCs w:val="32"/>
        </w:rPr>
      </w:pPr>
    </w:p>
    <w:p w14:paraId="21A8A693">
      <w:pPr>
        <w:ind w:firstLine="1680" w:firstLineChars="525"/>
        <w:rPr>
          <w:rFonts w:hint="eastAsia" w:ascii="宋体" w:hAnsi="宋体" w:cs="宋体"/>
          <w:sz w:val="32"/>
          <w:szCs w:val="32"/>
        </w:rPr>
      </w:pPr>
    </w:p>
    <w:p w14:paraId="1088DF21">
      <w:pPr>
        <w:ind w:firstLine="1680" w:firstLineChars="525"/>
        <w:rPr>
          <w:rFonts w:hint="eastAsia" w:ascii="宋体" w:hAnsi="宋体" w:cs="宋体"/>
          <w:sz w:val="32"/>
          <w:szCs w:val="32"/>
        </w:rPr>
      </w:pPr>
    </w:p>
    <w:p w14:paraId="31E643B7">
      <w:pPr>
        <w:ind w:firstLine="1680" w:firstLineChars="525"/>
        <w:rPr>
          <w:rFonts w:ascii="宋体" w:hAnsi="宋体" w:cs="宋体"/>
          <w:sz w:val="32"/>
          <w:szCs w:val="32"/>
          <w:u w:val="single"/>
        </w:rPr>
      </w:pPr>
      <w:r>
        <w:rPr>
          <w:rFonts w:hint="eastAsia" w:ascii="宋体" w:hAnsi="宋体" w:cs="宋体"/>
          <w:sz w:val="32"/>
          <w:szCs w:val="32"/>
        </w:rPr>
        <w:t>供应商名称：</w:t>
      </w:r>
      <w:r>
        <w:rPr>
          <w:rFonts w:hint="eastAsia" w:ascii="宋体" w:hAnsi="宋体" w:cs="宋体"/>
          <w:sz w:val="32"/>
          <w:szCs w:val="32"/>
          <w:u w:val="single"/>
        </w:rPr>
        <w:t xml:space="preserve">             </w:t>
      </w:r>
      <w:r>
        <w:rPr>
          <w:rFonts w:hint="eastAsia" w:ascii="宋体" w:hAnsi="宋体" w:cs="宋体"/>
          <w:sz w:val="32"/>
          <w:szCs w:val="32"/>
        </w:rPr>
        <w:t>（盖单位章）</w:t>
      </w:r>
    </w:p>
    <w:p w14:paraId="071C30EB">
      <w:pPr>
        <w:ind w:firstLine="1680" w:firstLineChars="525"/>
        <w:jc w:val="center"/>
        <w:rPr>
          <w:rFonts w:ascii="宋体" w:hAnsi="宋体" w:cs="宋体"/>
          <w:sz w:val="32"/>
          <w:szCs w:val="32"/>
        </w:rPr>
      </w:pPr>
    </w:p>
    <w:p w14:paraId="3720998E">
      <w:pPr>
        <w:ind w:firstLine="1680" w:firstLineChars="525"/>
        <w:rPr>
          <w:rFonts w:ascii="宋体" w:hAnsi="宋体" w:cs="宋体"/>
          <w:sz w:val="32"/>
          <w:szCs w:val="32"/>
          <w:u w:val="single"/>
        </w:rPr>
      </w:pPr>
      <w:r>
        <w:rPr>
          <w:rFonts w:hint="eastAsia" w:ascii="宋体" w:hAnsi="宋体" w:cs="宋体"/>
          <w:sz w:val="32"/>
          <w:szCs w:val="32"/>
        </w:rPr>
        <w:t>法定代表人：</w:t>
      </w:r>
      <w:r>
        <w:rPr>
          <w:rFonts w:hint="eastAsia" w:ascii="宋体" w:hAnsi="宋体" w:cs="宋体"/>
          <w:sz w:val="32"/>
          <w:szCs w:val="32"/>
          <w:u w:val="single"/>
        </w:rPr>
        <w:t xml:space="preserve">            </w:t>
      </w:r>
      <w:r>
        <w:rPr>
          <w:rFonts w:hint="eastAsia" w:ascii="宋体" w:hAnsi="宋体" w:cs="宋体"/>
          <w:sz w:val="32"/>
          <w:szCs w:val="32"/>
        </w:rPr>
        <w:t>（电子签章）</w:t>
      </w:r>
    </w:p>
    <w:p w14:paraId="671167C0">
      <w:pPr>
        <w:jc w:val="center"/>
        <w:rPr>
          <w:rFonts w:ascii="宋体" w:hAnsi="宋体" w:cs="宋体"/>
          <w:sz w:val="32"/>
          <w:szCs w:val="32"/>
        </w:rPr>
      </w:pPr>
    </w:p>
    <w:p w14:paraId="01B8B91C">
      <w:pPr>
        <w:jc w:val="center"/>
        <w:rPr>
          <w:rFonts w:ascii="宋体" w:hAnsi="宋体" w:cs="宋体"/>
          <w:sz w:val="32"/>
          <w:szCs w:val="32"/>
        </w:rPr>
      </w:pPr>
      <w:r>
        <w:rPr>
          <w:rFonts w:hint="eastAsia" w:ascii="宋体" w:hAnsi="宋体" w:cs="宋体"/>
          <w:sz w:val="32"/>
          <w:szCs w:val="32"/>
        </w:rPr>
        <w:t>年     月     日</w:t>
      </w:r>
    </w:p>
    <w:p w14:paraId="3613BF2A">
      <w:pPr>
        <w:widowControl/>
        <w:adjustRightInd w:val="0"/>
        <w:snapToGrid w:val="0"/>
        <w:spacing w:after="200" w:line="360" w:lineRule="auto"/>
        <w:jc w:val="center"/>
        <w:rPr>
          <w:rFonts w:ascii="宋体" w:hAnsi="宋体" w:cs="宋体"/>
          <w:b/>
          <w:bCs/>
          <w:color w:val="000000"/>
          <w:kern w:val="0"/>
          <w:sz w:val="32"/>
          <w:szCs w:val="32"/>
        </w:rPr>
      </w:pPr>
    </w:p>
    <w:p w14:paraId="79F024D4">
      <w:pPr>
        <w:widowControl/>
        <w:adjustRightInd w:val="0"/>
        <w:snapToGrid w:val="0"/>
        <w:spacing w:after="200" w:line="360" w:lineRule="auto"/>
        <w:jc w:val="center"/>
        <w:rPr>
          <w:rFonts w:ascii="宋体" w:hAnsi="宋体" w:cs="宋体"/>
          <w:b/>
          <w:bCs/>
          <w:color w:val="000000"/>
          <w:kern w:val="0"/>
          <w:sz w:val="32"/>
          <w:szCs w:val="32"/>
        </w:rPr>
      </w:pPr>
    </w:p>
    <w:p w14:paraId="09F13FC0">
      <w:pPr>
        <w:widowControl/>
        <w:adjustRightInd w:val="0"/>
        <w:snapToGrid w:val="0"/>
        <w:spacing w:after="200" w:line="360" w:lineRule="auto"/>
        <w:jc w:val="center"/>
        <w:rPr>
          <w:rFonts w:ascii="宋体" w:hAnsi="宋体" w:cs="宋体"/>
          <w:b/>
          <w:bCs/>
          <w:color w:val="000000"/>
          <w:kern w:val="0"/>
          <w:sz w:val="32"/>
          <w:szCs w:val="32"/>
        </w:rPr>
      </w:pPr>
      <w:r>
        <w:rPr>
          <w:rFonts w:hint="eastAsia" w:ascii="宋体" w:hAnsi="宋体" w:cs="宋体"/>
          <w:b/>
          <w:bCs/>
          <w:color w:val="000000"/>
          <w:kern w:val="0"/>
          <w:sz w:val="32"/>
          <w:szCs w:val="32"/>
        </w:rPr>
        <w:t>目  录</w:t>
      </w:r>
    </w:p>
    <w:p w14:paraId="3EB4EEAE">
      <w:pPr>
        <w:widowControl/>
        <w:adjustRightInd w:val="0"/>
        <w:snapToGrid w:val="0"/>
        <w:spacing w:after="200" w:line="360" w:lineRule="auto"/>
        <w:jc w:val="center"/>
        <w:rPr>
          <w:rFonts w:ascii="宋体" w:hAnsi="宋体" w:cs="宋体"/>
          <w:color w:val="000000"/>
          <w:kern w:val="0"/>
          <w:sz w:val="32"/>
          <w:szCs w:val="32"/>
        </w:rPr>
      </w:pPr>
    </w:p>
    <w:p w14:paraId="407B5DCA">
      <w:pPr>
        <w:widowControl/>
        <w:adjustRightInd w:val="0"/>
        <w:snapToGrid w:val="0"/>
        <w:spacing w:after="200" w:line="360" w:lineRule="auto"/>
        <w:jc w:val="center"/>
        <w:rPr>
          <w:rFonts w:ascii="宋体" w:hAnsi="宋体" w:cs="宋体"/>
          <w:color w:val="000000"/>
          <w:kern w:val="0"/>
          <w:sz w:val="24"/>
        </w:rPr>
      </w:pPr>
      <w:r>
        <w:rPr>
          <w:rFonts w:hint="eastAsia" w:ascii="宋体" w:hAnsi="宋体" w:cs="宋体"/>
          <w:color w:val="000000"/>
          <w:kern w:val="0"/>
          <w:sz w:val="32"/>
          <w:szCs w:val="32"/>
        </w:rPr>
        <w:t>（自拟）</w:t>
      </w:r>
    </w:p>
    <w:p w14:paraId="49C4538F">
      <w:pPr>
        <w:widowControl/>
        <w:adjustRightInd w:val="0"/>
        <w:snapToGrid w:val="0"/>
        <w:spacing w:after="200" w:line="360" w:lineRule="auto"/>
        <w:jc w:val="center"/>
        <w:rPr>
          <w:rFonts w:ascii="宋体" w:hAnsi="宋体" w:cs="宋体"/>
          <w:b/>
          <w:bCs/>
          <w:color w:val="000000"/>
          <w:kern w:val="0"/>
          <w:sz w:val="24"/>
          <w:szCs w:val="24"/>
        </w:rPr>
      </w:pPr>
      <w:r>
        <w:rPr>
          <w:rFonts w:hint="eastAsia" w:ascii="宋体" w:hAnsi="宋体" w:cs="宋体"/>
          <w:b/>
          <w:bCs/>
          <w:color w:val="000000"/>
          <w:kern w:val="0"/>
          <w:sz w:val="28"/>
          <w:szCs w:val="28"/>
        </w:rPr>
        <w:br w:type="page"/>
      </w:r>
      <w:bookmarkStart w:id="369" w:name="_Toc24785"/>
      <w:r>
        <w:rPr>
          <w:rFonts w:hint="eastAsia" w:ascii="宋体" w:hAnsi="宋体" w:eastAsia="宋体" w:cs="宋体"/>
          <w:b/>
          <w:sz w:val="24"/>
          <w:szCs w:val="24"/>
        </w:rPr>
        <w:t>一、磋商函及磋商函附表</w:t>
      </w:r>
      <w:bookmarkEnd w:id="369"/>
    </w:p>
    <w:p w14:paraId="4BE25D8C">
      <w:pPr>
        <w:widowControl/>
        <w:adjustRightInd w:val="0"/>
        <w:snapToGrid w:val="0"/>
        <w:spacing w:after="200" w:line="360" w:lineRule="auto"/>
        <w:jc w:val="center"/>
        <w:rPr>
          <w:rFonts w:ascii="宋体" w:hAnsi="宋体" w:eastAsia="宋体" w:cs="宋体"/>
          <w:sz w:val="24"/>
          <w:szCs w:val="24"/>
        </w:rPr>
      </w:pPr>
      <w:r>
        <w:rPr>
          <w:rFonts w:hint="eastAsia" w:ascii="宋体" w:hAnsi="宋体" w:eastAsia="宋体" w:cs="宋体"/>
          <w:sz w:val="24"/>
          <w:szCs w:val="24"/>
        </w:rPr>
        <w:t>（一）磋商函</w:t>
      </w:r>
    </w:p>
    <w:p w14:paraId="57414D30">
      <w:pPr>
        <w:spacing w:line="400" w:lineRule="exact"/>
        <w:ind w:firstLine="420" w:firstLineChars="175"/>
        <w:rPr>
          <w:rFonts w:ascii="宋体" w:hAnsi="宋体" w:cs="楷体_GB2312"/>
          <w:sz w:val="24"/>
        </w:rPr>
      </w:pPr>
      <w:r>
        <w:rPr>
          <w:rFonts w:hint="eastAsia" w:ascii="宋体" w:hAnsi="宋体" w:cs="楷体_GB2312"/>
          <w:sz w:val="24"/>
        </w:rPr>
        <w:t>致 ：</w:t>
      </w:r>
      <w:r>
        <w:rPr>
          <w:rFonts w:hint="eastAsia" w:ascii="宋体" w:hAnsi="宋体" w:cs="楷体_GB2312"/>
          <w:sz w:val="24"/>
          <w:u w:val="single"/>
        </w:rPr>
        <w:t xml:space="preserve">（采购人） </w:t>
      </w:r>
    </w:p>
    <w:p w14:paraId="57981A9E">
      <w:pPr>
        <w:spacing w:line="400" w:lineRule="exact"/>
        <w:ind w:firstLine="420" w:firstLineChars="175"/>
        <w:jc w:val="left"/>
        <w:rPr>
          <w:rFonts w:ascii="宋体" w:hAnsi="宋体" w:cs="楷体_GB2312"/>
          <w:sz w:val="24"/>
          <w:u w:val="single"/>
        </w:rPr>
      </w:pPr>
      <w:r>
        <w:rPr>
          <w:rFonts w:hint="eastAsia" w:ascii="宋体" w:hAnsi="宋体" w:cs="楷体_GB2312"/>
          <w:sz w:val="24"/>
        </w:rPr>
        <w:t>1．根据已收到的</w:t>
      </w:r>
      <w:r>
        <w:rPr>
          <w:rFonts w:hint="eastAsia" w:ascii="宋体" w:hAnsi="宋体" w:cs="楷体_GB2312"/>
          <w:sz w:val="24"/>
          <w:u w:val="single"/>
        </w:rPr>
        <w:t xml:space="preserve">           （项目名称）             </w:t>
      </w:r>
      <w:r>
        <w:rPr>
          <w:rFonts w:hint="eastAsia" w:ascii="宋体" w:hAnsi="宋体" w:cs="楷体_GB2312"/>
          <w:sz w:val="24"/>
        </w:rPr>
        <w:t>的竞争性磋商文件，遵照《中华人民共和国政府采购法》等有关规定，经考察和认真研究本项目竞争性磋商文件及其它有关文件后，我方愿意遵守竞争性磋商文件中的各项规定，严格按照“技术标准和要求”进行施工，完成合同全部工程，报价为：</w:t>
      </w:r>
      <w:r>
        <w:rPr>
          <w:rFonts w:hint="eastAsia" w:ascii="宋体" w:hAnsi="宋体" w:cs="楷体_GB2312"/>
          <w:sz w:val="24"/>
          <w:u w:val="single"/>
        </w:rPr>
        <w:t xml:space="preserve">      （大写金额）            </w:t>
      </w:r>
      <w:r>
        <w:rPr>
          <w:rFonts w:hint="eastAsia" w:ascii="宋体" w:hAnsi="宋体" w:cs="楷体_GB2312"/>
          <w:sz w:val="24"/>
        </w:rPr>
        <w:t>，￥：</w:t>
      </w:r>
      <w:r>
        <w:rPr>
          <w:rFonts w:hint="eastAsia" w:ascii="宋体" w:hAnsi="宋体" w:cs="楷体_GB2312"/>
          <w:sz w:val="24"/>
          <w:u w:val="single"/>
        </w:rPr>
        <w:t xml:space="preserve">   （小写金额）   </w:t>
      </w:r>
      <w:r>
        <w:rPr>
          <w:rFonts w:hint="eastAsia" w:ascii="宋体" w:hAnsi="宋体" w:cs="楷体_GB2312"/>
          <w:sz w:val="24"/>
        </w:rPr>
        <w:t>元；工期：</w:t>
      </w:r>
      <w:r>
        <w:rPr>
          <w:rFonts w:hint="eastAsia" w:ascii="宋体" w:hAnsi="宋体" w:cs="楷体_GB2312"/>
          <w:sz w:val="24"/>
          <w:u w:val="single"/>
        </w:rPr>
        <w:t xml:space="preserve">       </w:t>
      </w:r>
      <w:r>
        <w:rPr>
          <w:rFonts w:hint="eastAsia" w:ascii="宋体" w:hAnsi="宋体" w:cs="楷体_GB2312"/>
          <w:sz w:val="24"/>
        </w:rPr>
        <w:t>日历天，质量要求：</w:t>
      </w:r>
      <w:r>
        <w:rPr>
          <w:rFonts w:hint="eastAsia" w:ascii="宋体" w:hAnsi="宋体" w:cs="楷体_GB2312"/>
          <w:sz w:val="24"/>
          <w:u w:val="single"/>
        </w:rPr>
        <w:t xml:space="preserve">           </w:t>
      </w:r>
      <w:r>
        <w:rPr>
          <w:rFonts w:hint="eastAsia" w:ascii="宋体" w:hAnsi="宋体" w:cs="楷体_GB2312"/>
          <w:sz w:val="24"/>
        </w:rPr>
        <w:t>，并承担其任何质量缺陷等问题所造成的全部损失。</w:t>
      </w:r>
    </w:p>
    <w:p w14:paraId="0E0573AA">
      <w:pPr>
        <w:spacing w:line="400" w:lineRule="exact"/>
        <w:ind w:firstLine="420" w:firstLineChars="175"/>
        <w:rPr>
          <w:rFonts w:ascii="宋体" w:hAnsi="宋体" w:cs="楷体_GB2312"/>
          <w:sz w:val="24"/>
        </w:rPr>
      </w:pPr>
      <w:r>
        <w:rPr>
          <w:rFonts w:hint="eastAsia" w:ascii="宋体" w:hAnsi="宋体" w:cs="楷体_GB2312"/>
          <w:sz w:val="24"/>
        </w:rPr>
        <w:t>2．我方已详细检查全部竞争性磋商文件包括澄清文件、补充通知（如有的话）及有关附件，并完全理解我方必须放弃提出含糊不清或误解的权力。</w:t>
      </w:r>
    </w:p>
    <w:p w14:paraId="4CE4DAE2">
      <w:pPr>
        <w:spacing w:line="400" w:lineRule="exact"/>
        <w:ind w:firstLine="420" w:firstLineChars="175"/>
        <w:rPr>
          <w:rFonts w:ascii="宋体" w:hAnsi="宋体" w:cs="楷体_GB2312"/>
          <w:sz w:val="24"/>
        </w:rPr>
      </w:pPr>
      <w:r>
        <w:rPr>
          <w:rFonts w:hint="eastAsia" w:ascii="宋体" w:hAnsi="宋体" w:cs="楷体_GB2312"/>
          <w:sz w:val="24"/>
        </w:rPr>
        <w:t>3．我方在此承诺，我方若能成交，保证在我方投报工期内，全面履行竞争性磋商文件中规定的职责和义务。</w:t>
      </w:r>
    </w:p>
    <w:p w14:paraId="4DB5CCD4">
      <w:pPr>
        <w:spacing w:line="400" w:lineRule="exact"/>
        <w:ind w:firstLine="420" w:firstLineChars="175"/>
        <w:rPr>
          <w:rFonts w:ascii="宋体" w:hAnsi="宋体" w:cs="楷体_GB2312"/>
          <w:sz w:val="24"/>
        </w:rPr>
      </w:pPr>
      <w:r>
        <w:rPr>
          <w:rFonts w:hint="eastAsia" w:ascii="宋体" w:hAnsi="宋体" w:cs="楷体_GB2312"/>
          <w:sz w:val="24"/>
        </w:rPr>
        <w:t>4．如果我方中标，我方保证按合同条款中规定的内容执行；我方保证质量</w:t>
      </w:r>
      <w:r>
        <w:rPr>
          <w:rFonts w:hint="eastAsia" w:ascii="宋体" w:hAnsi="宋体" w:cs="楷体_GB2312"/>
          <w:sz w:val="24"/>
          <w:lang w:eastAsia="zh-CN"/>
        </w:rPr>
        <w:t>达到国家现行工程施工质量验收规范合格标准</w:t>
      </w:r>
      <w:r>
        <w:rPr>
          <w:rFonts w:hint="eastAsia" w:ascii="宋体" w:hAnsi="宋体" w:cs="楷体_GB2312"/>
          <w:sz w:val="24"/>
        </w:rPr>
        <w:t>，并按竞争性磋商文件和有关规定提交一切资料。</w:t>
      </w:r>
    </w:p>
    <w:p w14:paraId="4864D9C9">
      <w:pPr>
        <w:spacing w:line="400" w:lineRule="exact"/>
        <w:ind w:firstLine="420" w:firstLineChars="175"/>
        <w:rPr>
          <w:rFonts w:ascii="宋体" w:hAnsi="宋体" w:cs="楷体_GB2312"/>
          <w:sz w:val="24"/>
        </w:rPr>
      </w:pPr>
      <w:r>
        <w:rPr>
          <w:rFonts w:hint="eastAsia" w:ascii="宋体" w:hAnsi="宋体" w:cs="楷体_GB2312"/>
          <w:sz w:val="24"/>
        </w:rPr>
        <w:t>5．我方同意从</w:t>
      </w:r>
      <w:r>
        <w:rPr>
          <w:rFonts w:hint="eastAsia" w:ascii="宋体" w:hAnsi="宋体" w:cs="宋体"/>
          <w:sz w:val="24"/>
        </w:rPr>
        <w:t>磋商响应文件递交截止日后60日历天</w:t>
      </w:r>
      <w:r>
        <w:rPr>
          <w:rFonts w:hint="eastAsia" w:ascii="宋体" w:hAnsi="宋体" w:cs="楷体_GB2312"/>
          <w:sz w:val="24"/>
        </w:rPr>
        <w:t>的磋商有效期内，我方将严格遵守磋商响应文件的承诺，本磋商响应文件对我方具有约束力，并可随时被接受中标。</w:t>
      </w:r>
    </w:p>
    <w:p w14:paraId="3F0A8CB8">
      <w:pPr>
        <w:spacing w:line="400" w:lineRule="exact"/>
        <w:ind w:firstLine="420" w:firstLineChars="175"/>
        <w:rPr>
          <w:rFonts w:ascii="宋体" w:hAnsi="宋体" w:cs="楷体_GB2312"/>
          <w:sz w:val="24"/>
        </w:rPr>
      </w:pPr>
      <w:r>
        <w:rPr>
          <w:rFonts w:hint="eastAsia" w:ascii="宋体" w:hAnsi="宋体" w:cs="楷体_GB2312"/>
          <w:sz w:val="24"/>
        </w:rPr>
        <w:t>6．除磋商响应文件所提交的资料外，我方同意随时接受贵方的检查、询问，并根据评标需要补充贵方要求提交的资料。</w:t>
      </w:r>
    </w:p>
    <w:p w14:paraId="09C373D5">
      <w:pPr>
        <w:spacing w:line="400" w:lineRule="exact"/>
        <w:ind w:firstLine="420" w:firstLineChars="175"/>
        <w:rPr>
          <w:rFonts w:ascii="宋体" w:hAnsi="宋体" w:cs="楷体_GB2312"/>
          <w:sz w:val="24"/>
        </w:rPr>
      </w:pPr>
      <w:r>
        <w:rPr>
          <w:rFonts w:hint="eastAsia" w:ascii="宋体" w:hAnsi="宋体" w:cs="楷体_GB2312"/>
          <w:sz w:val="24"/>
        </w:rPr>
        <w:t>7．如果我方成交后，我方没有任何正当理由而拒签合同，同时我方愿意补偿该项工作因我方延误所造成的经济损失。</w:t>
      </w:r>
    </w:p>
    <w:p w14:paraId="71B1C8DA">
      <w:pPr>
        <w:spacing w:line="400" w:lineRule="exact"/>
        <w:ind w:firstLine="420" w:firstLineChars="175"/>
        <w:rPr>
          <w:rFonts w:ascii="宋体" w:hAnsi="宋体" w:cs="楷体_GB2312"/>
          <w:sz w:val="24"/>
        </w:rPr>
      </w:pPr>
      <w:r>
        <w:rPr>
          <w:rFonts w:hint="eastAsia" w:ascii="宋体" w:hAnsi="宋体" w:cs="楷体_GB2312"/>
          <w:sz w:val="24"/>
        </w:rPr>
        <w:t>8．我方愿接受合同条款中规定的合同价款计算和调整方式。</w:t>
      </w:r>
    </w:p>
    <w:p w14:paraId="2E1FA000">
      <w:pPr>
        <w:spacing w:line="400" w:lineRule="exact"/>
        <w:ind w:firstLine="420" w:firstLineChars="175"/>
        <w:rPr>
          <w:rFonts w:ascii="宋体" w:hAnsi="宋体" w:cs="楷体_GB2312"/>
          <w:sz w:val="24"/>
        </w:rPr>
      </w:pPr>
      <w:r>
        <w:rPr>
          <w:rFonts w:hint="eastAsia" w:ascii="宋体" w:hAnsi="宋体" w:cs="楷体_GB2312"/>
          <w:sz w:val="24"/>
        </w:rPr>
        <w:t>9．除非另外达成协议并生效，贵方的成交通知书和本磋商响应文件将成为约束我方的合同文件组成部分。</w:t>
      </w:r>
    </w:p>
    <w:p w14:paraId="0EB2A923">
      <w:pPr>
        <w:spacing w:line="400" w:lineRule="exact"/>
        <w:ind w:firstLine="420" w:firstLineChars="175"/>
        <w:jc w:val="right"/>
        <w:rPr>
          <w:rFonts w:ascii="宋体" w:hAnsi="宋体" w:cs="楷体_GB2312"/>
          <w:sz w:val="24"/>
        </w:rPr>
      </w:pPr>
    </w:p>
    <w:p w14:paraId="7578FC25">
      <w:pPr>
        <w:wordWrap w:val="0"/>
        <w:spacing w:line="400" w:lineRule="exact"/>
        <w:ind w:firstLine="420" w:firstLineChars="175"/>
        <w:jc w:val="right"/>
        <w:rPr>
          <w:rFonts w:ascii="宋体" w:hAnsi="宋体" w:cs="楷体_GB2312"/>
          <w:sz w:val="24"/>
        </w:rPr>
      </w:pPr>
      <w:r>
        <w:rPr>
          <w:rFonts w:hint="eastAsia" w:ascii="宋体" w:hAnsi="宋体" w:cs="楷体_GB2312"/>
          <w:sz w:val="24"/>
        </w:rPr>
        <w:t>供应商名称：</w:t>
      </w:r>
      <w:r>
        <w:rPr>
          <w:rFonts w:hint="eastAsia" w:ascii="宋体" w:hAnsi="宋体" w:cs="楷体_GB2312"/>
          <w:sz w:val="24"/>
          <w:u w:val="single"/>
        </w:rPr>
        <w:t xml:space="preserve">           </w:t>
      </w:r>
      <w:r>
        <w:rPr>
          <w:rFonts w:hint="eastAsia" w:ascii="宋体" w:hAnsi="宋体" w:cs="楷体_GB2312"/>
          <w:sz w:val="24"/>
        </w:rPr>
        <w:t>（盖单位章）</w:t>
      </w:r>
    </w:p>
    <w:p w14:paraId="0AEB6E71">
      <w:pPr>
        <w:wordWrap w:val="0"/>
        <w:spacing w:line="400" w:lineRule="exact"/>
        <w:ind w:firstLine="420" w:firstLineChars="175"/>
        <w:jc w:val="right"/>
        <w:rPr>
          <w:rFonts w:ascii="宋体" w:hAnsi="宋体" w:cs="楷体_GB2312"/>
          <w:sz w:val="24"/>
          <w:u w:val="single"/>
        </w:rPr>
      </w:pPr>
      <w:r>
        <w:rPr>
          <w:rFonts w:hint="eastAsia" w:ascii="宋体" w:hAnsi="宋体" w:cs="楷体_GB2312"/>
          <w:sz w:val="24"/>
        </w:rPr>
        <w:t>法定代表人：</w:t>
      </w:r>
      <w:r>
        <w:rPr>
          <w:rFonts w:hint="eastAsia" w:ascii="宋体" w:hAnsi="宋体" w:cs="楷体_GB2312"/>
          <w:sz w:val="24"/>
          <w:u w:val="single"/>
        </w:rPr>
        <w:t xml:space="preserve">                   </w:t>
      </w:r>
      <w:r>
        <w:rPr>
          <w:rFonts w:hint="eastAsia" w:ascii="宋体" w:hAnsi="宋体" w:cs="楷体_GB2312"/>
          <w:sz w:val="24"/>
        </w:rPr>
        <w:t>（电子签章）</w:t>
      </w:r>
    </w:p>
    <w:p w14:paraId="121CF034">
      <w:pPr>
        <w:widowControl/>
        <w:wordWrap w:val="0"/>
        <w:adjustRightInd w:val="0"/>
        <w:snapToGrid w:val="0"/>
        <w:spacing w:line="360" w:lineRule="auto"/>
        <w:ind w:firstLine="420" w:firstLineChars="175"/>
        <w:jc w:val="right"/>
        <w:rPr>
          <w:rFonts w:ascii="宋体" w:hAnsi="宋体" w:cs="楷体_GB2312"/>
          <w:sz w:val="24"/>
        </w:rPr>
      </w:pPr>
      <w:r>
        <w:rPr>
          <w:rFonts w:hint="eastAsia" w:ascii="宋体" w:hAnsi="宋体" w:cs="楷体_GB2312"/>
          <w:sz w:val="24"/>
        </w:rPr>
        <w:t>日期：</w:t>
      </w:r>
      <w:r>
        <w:rPr>
          <w:rFonts w:hint="eastAsia" w:ascii="宋体" w:hAnsi="宋体" w:cs="楷体_GB2312"/>
          <w:sz w:val="24"/>
          <w:u w:val="single"/>
        </w:rPr>
        <w:t xml:space="preserve">     </w:t>
      </w:r>
      <w:r>
        <w:rPr>
          <w:rFonts w:hint="eastAsia" w:ascii="宋体" w:hAnsi="宋体" w:cs="楷体_GB2312"/>
          <w:sz w:val="24"/>
        </w:rPr>
        <w:t>年</w:t>
      </w:r>
      <w:r>
        <w:rPr>
          <w:rFonts w:hint="eastAsia" w:ascii="宋体" w:hAnsi="宋体" w:cs="楷体_GB2312"/>
          <w:sz w:val="24"/>
          <w:u w:val="single"/>
        </w:rPr>
        <w:t xml:space="preserve">    </w:t>
      </w:r>
      <w:r>
        <w:rPr>
          <w:rFonts w:hint="eastAsia" w:ascii="宋体" w:hAnsi="宋体" w:cs="楷体_GB2312"/>
          <w:sz w:val="24"/>
        </w:rPr>
        <w:t>月</w:t>
      </w:r>
      <w:r>
        <w:rPr>
          <w:rFonts w:hint="eastAsia" w:ascii="宋体" w:hAnsi="宋体" w:cs="楷体_GB2312"/>
          <w:sz w:val="24"/>
          <w:u w:val="single"/>
        </w:rPr>
        <w:t xml:space="preserve">    </w:t>
      </w:r>
      <w:r>
        <w:rPr>
          <w:rFonts w:hint="eastAsia" w:ascii="宋体" w:hAnsi="宋体" w:cs="楷体_GB2312"/>
          <w:sz w:val="24"/>
        </w:rPr>
        <w:t xml:space="preserve">日      </w:t>
      </w:r>
    </w:p>
    <w:p w14:paraId="4E89B1B3">
      <w:pPr>
        <w:ind w:firstLine="480"/>
        <w:rPr>
          <w:rFonts w:hAnsi="宋体" w:cs="楷体_GB2312"/>
        </w:rPr>
      </w:pPr>
    </w:p>
    <w:p w14:paraId="23CBB558"/>
    <w:p w14:paraId="0AC3660B">
      <w:pPr>
        <w:widowControl/>
        <w:adjustRightInd w:val="0"/>
        <w:snapToGrid w:val="0"/>
        <w:spacing w:line="360" w:lineRule="auto"/>
        <w:jc w:val="left"/>
        <w:rPr>
          <w:rFonts w:ascii="宋体" w:hAnsi="宋体" w:cs="宋体"/>
          <w:b/>
          <w:bCs/>
          <w:color w:val="000000"/>
          <w:kern w:val="0"/>
          <w:sz w:val="24"/>
          <w:szCs w:val="24"/>
        </w:rPr>
      </w:pPr>
      <w:r>
        <w:rPr>
          <w:rFonts w:hint="eastAsia" w:ascii="宋体" w:hAnsi="宋体" w:cs="宋体"/>
          <w:b/>
          <w:bCs/>
          <w:color w:val="000000"/>
          <w:kern w:val="0"/>
          <w:sz w:val="24"/>
          <w:szCs w:val="24"/>
        </w:rPr>
        <w:t>注：对本磋商函的任何修改将被视为非实质性响应磋商，从而导致该磋商被拒绝。</w:t>
      </w:r>
    </w:p>
    <w:p w14:paraId="74A583DD">
      <w:pPr>
        <w:widowControl/>
        <w:spacing w:after="200" w:line="220" w:lineRule="atLeast"/>
        <w:jc w:val="center"/>
        <w:rPr>
          <w:rFonts w:ascii="宋体" w:hAnsi="宋体" w:cs="宋体"/>
          <w:b/>
          <w:bCs/>
          <w:color w:val="000000"/>
          <w:kern w:val="0"/>
          <w:sz w:val="24"/>
          <w:szCs w:val="24"/>
          <w:lang w:bidi="en-US"/>
        </w:rPr>
      </w:pPr>
      <w:r>
        <w:rPr>
          <w:rFonts w:hint="eastAsia" w:ascii="宋体" w:hAnsi="宋体" w:cs="宋体"/>
          <w:b/>
          <w:bCs/>
          <w:color w:val="000000"/>
          <w:kern w:val="0"/>
          <w:sz w:val="28"/>
          <w:szCs w:val="28"/>
        </w:rPr>
        <w:br w:type="page"/>
      </w:r>
      <w:bookmarkStart w:id="370" w:name="_Toc246996358"/>
      <w:bookmarkStart w:id="371" w:name="_Toc144974859"/>
      <w:bookmarkStart w:id="372" w:name="_Toc179632810"/>
      <w:bookmarkStart w:id="373" w:name="_Toc152045790"/>
      <w:bookmarkStart w:id="374" w:name="_Toc246997101"/>
      <w:bookmarkStart w:id="375" w:name="_Toc394651923"/>
      <w:bookmarkStart w:id="376" w:name="_Toc27200"/>
      <w:bookmarkStart w:id="377" w:name="_Toc152042579"/>
      <w:bookmarkStart w:id="378" w:name="_Toc247085876"/>
      <w:r>
        <w:rPr>
          <w:rFonts w:hint="eastAsia" w:ascii="宋体" w:hAnsi="宋体" w:cs="宋体"/>
          <w:b/>
          <w:bCs/>
          <w:color w:val="000000"/>
          <w:kern w:val="0"/>
          <w:sz w:val="24"/>
          <w:szCs w:val="24"/>
          <w:lang w:bidi="en-US"/>
        </w:rPr>
        <w:t>（二）</w:t>
      </w:r>
      <w:bookmarkEnd w:id="370"/>
      <w:bookmarkEnd w:id="371"/>
      <w:bookmarkEnd w:id="372"/>
      <w:bookmarkEnd w:id="373"/>
      <w:bookmarkEnd w:id="374"/>
      <w:bookmarkEnd w:id="375"/>
      <w:bookmarkEnd w:id="376"/>
      <w:bookmarkEnd w:id="377"/>
      <w:bookmarkEnd w:id="378"/>
      <w:r>
        <w:rPr>
          <w:rFonts w:hint="eastAsia" w:ascii="宋体" w:hAnsi="宋体" w:cs="宋体"/>
          <w:b/>
          <w:bCs/>
          <w:color w:val="000000"/>
          <w:kern w:val="0"/>
          <w:sz w:val="24"/>
          <w:szCs w:val="24"/>
          <w:lang w:bidi="en-US"/>
        </w:rPr>
        <w:t>磋商函附表</w:t>
      </w:r>
    </w:p>
    <w:tbl>
      <w:tblPr>
        <w:tblStyle w:val="6"/>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6"/>
        <w:gridCol w:w="1966"/>
        <w:gridCol w:w="1072"/>
        <w:gridCol w:w="346"/>
        <w:gridCol w:w="992"/>
        <w:gridCol w:w="167"/>
        <w:gridCol w:w="1249"/>
        <w:gridCol w:w="2360"/>
      </w:tblGrid>
      <w:tr w14:paraId="34BB1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1" w:hRule="atLeast"/>
        </w:trPr>
        <w:tc>
          <w:tcPr>
            <w:tcW w:w="857" w:type="pct"/>
            <w:vAlign w:val="center"/>
          </w:tcPr>
          <w:p w14:paraId="370A6F0C">
            <w:pPr>
              <w:keepNext w:val="0"/>
              <w:keepLines w:val="0"/>
              <w:suppressLineNumbers w:val="0"/>
              <w:suppressAutoHyphens/>
              <w:adjustRightInd w:val="0"/>
              <w:snapToGrid w:val="0"/>
              <w:spacing w:before="0" w:beforeAutospacing="0" w:after="0" w:afterAutospacing="0"/>
              <w:ind w:left="0" w:right="0"/>
              <w:jc w:val="center"/>
              <w:rPr>
                <w:rFonts w:hint="default" w:ascii="宋体" w:hAnsi="宋体" w:cs="宋体"/>
                <w:color w:val="000000"/>
                <w:kern w:val="1"/>
                <w:sz w:val="24"/>
                <w:szCs w:val="24"/>
              </w:rPr>
            </w:pPr>
            <w:r>
              <w:rPr>
                <w:rFonts w:hint="eastAsia" w:ascii="宋体" w:hAnsi="宋体" w:cs="宋体"/>
                <w:color w:val="000000"/>
                <w:kern w:val="1"/>
                <w:sz w:val="24"/>
                <w:szCs w:val="24"/>
              </w:rPr>
              <w:t>项目名称</w:t>
            </w:r>
          </w:p>
        </w:tc>
        <w:tc>
          <w:tcPr>
            <w:tcW w:w="4143" w:type="pct"/>
            <w:gridSpan w:val="7"/>
            <w:vAlign w:val="center"/>
          </w:tcPr>
          <w:p w14:paraId="3B6914B8">
            <w:pPr>
              <w:keepNext w:val="0"/>
              <w:keepLines w:val="0"/>
              <w:widowControl/>
              <w:suppressLineNumbers w:val="0"/>
              <w:spacing w:before="0" w:beforeAutospacing="0" w:after="200" w:afterAutospacing="0" w:line="220" w:lineRule="atLeast"/>
              <w:ind w:left="0" w:right="0"/>
              <w:jc w:val="center"/>
              <w:rPr>
                <w:rFonts w:hint="default" w:ascii="宋体" w:hAnsi="宋体" w:cs="宋体"/>
                <w:b/>
                <w:color w:val="000000"/>
                <w:kern w:val="1"/>
                <w:sz w:val="24"/>
                <w:szCs w:val="24"/>
              </w:rPr>
            </w:pPr>
          </w:p>
        </w:tc>
      </w:tr>
      <w:tr w14:paraId="61F1F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57" w:type="pct"/>
            <w:vAlign w:val="center"/>
          </w:tcPr>
          <w:p w14:paraId="5A61EE04">
            <w:pPr>
              <w:keepNext w:val="0"/>
              <w:keepLines w:val="0"/>
              <w:suppressLineNumbers w:val="0"/>
              <w:suppressAutoHyphens/>
              <w:adjustRightInd w:val="0"/>
              <w:snapToGrid w:val="0"/>
              <w:spacing w:before="0" w:beforeAutospacing="0" w:after="0" w:afterAutospacing="0"/>
              <w:ind w:left="0" w:right="0"/>
              <w:jc w:val="center"/>
              <w:rPr>
                <w:rFonts w:hint="default" w:ascii="宋体" w:hAnsi="宋体" w:cs="宋体"/>
                <w:color w:val="000000"/>
                <w:kern w:val="1"/>
                <w:sz w:val="24"/>
                <w:szCs w:val="24"/>
              </w:rPr>
            </w:pPr>
            <w:r>
              <w:rPr>
                <w:rFonts w:hint="eastAsia" w:ascii="宋体" w:hAnsi="宋体" w:cs="宋体"/>
                <w:color w:val="000000"/>
                <w:kern w:val="1"/>
                <w:sz w:val="24"/>
                <w:szCs w:val="24"/>
              </w:rPr>
              <w:t>供应商名称</w:t>
            </w:r>
          </w:p>
        </w:tc>
        <w:tc>
          <w:tcPr>
            <w:tcW w:w="4143" w:type="pct"/>
            <w:gridSpan w:val="7"/>
            <w:vAlign w:val="center"/>
          </w:tcPr>
          <w:p w14:paraId="79D39364">
            <w:pPr>
              <w:keepNext w:val="0"/>
              <w:keepLines w:val="0"/>
              <w:widowControl/>
              <w:suppressLineNumbers w:val="0"/>
              <w:spacing w:before="0" w:beforeAutospacing="0" w:after="200" w:afterAutospacing="0" w:line="220" w:lineRule="atLeast"/>
              <w:ind w:left="0" w:right="0"/>
              <w:jc w:val="center"/>
              <w:rPr>
                <w:rFonts w:hint="default" w:ascii="宋体" w:hAnsi="宋体" w:cs="宋体"/>
                <w:b/>
                <w:color w:val="000000"/>
                <w:kern w:val="1"/>
                <w:sz w:val="24"/>
                <w:szCs w:val="24"/>
              </w:rPr>
            </w:pPr>
          </w:p>
        </w:tc>
      </w:tr>
      <w:tr w14:paraId="159B9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57" w:type="pct"/>
            <w:vAlign w:val="center"/>
          </w:tcPr>
          <w:p w14:paraId="65A1CB18">
            <w:pPr>
              <w:keepNext w:val="0"/>
              <w:keepLines w:val="0"/>
              <w:suppressLineNumbers w:val="0"/>
              <w:suppressAutoHyphens/>
              <w:adjustRightInd w:val="0"/>
              <w:snapToGrid w:val="0"/>
              <w:spacing w:before="0" w:beforeAutospacing="0" w:after="0" w:afterAutospacing="0"/>
              <w:ind w:left="0" w:right="0"/>
              <w:jc w:val="center"/>
              <w:rPr>
                <w:rFonts w:hint="default" w:ascii="宋体" w:hAnsi="宋体" w:cs="宋体"/>
                <w:color w:val="000000"/>
                <w:kern w:val="1"/>
                <w:sz w:val="24"/>
                <w:szCs w:val="24"/>
              </w:rPr>
            </w:pPr>
            <w:r>
              <w:rPr>
                <w:rFonts w:hint="eastAsia" w:ascii="宋体" w:hAnsi="宋体" w:cs="宋体"/>
                <w:color w:val="000000"/>
                <w:kern w:val="1"/>
                <w:sz w:val="24"/>
                <w:szCs w:val="24"/>
              </w:rPr>
              <w:t>项目经理</w:t>
            </w:r>
          </w:p>
        </w:tc>
        <w:tc>
          <w:tcPr>
            <w:tcW w:w="999" w:type="pct"/>
            <w:vAlign w:val="center"/>
          </w:tcPr>
          <w:p w14:paraId="34386FF8">
            <w:pPr>
              <w:keepNext w:val="0"/>
              <w:keepLines w:val="0"/>
              <w:suppressLineNumbers w:val="0"/>
              <w:suppressAutoHyphens/>
              <w:adjustRightInd w:val="0"/>
              <w:snapToGrid w:val="0"/>
              <w:spacing w:before="0" w:beforeAutospacing="0" w:after="0" w:afterAutospacing="0"/>
              <w:ind w:left="0" w:right="0"/>
              <w:jc w:val="center"/>
              <w:rPr>
                <w:rFonts w:hint="default" w:ascii="宋体" w:hAnsi="宋体" w:cs="宋体"/>
                <w:color w:val="000000"/>
                <w:kern w:val="1"/>
                <w:sz w:val="24"/>
                <w:szCs w:val="24"/>
              </w:rPr>
            </w:pPr>
          </w:p>
        </w:tc>
        <w:tc>
          <w:tcPr>
            <w:tcW w:w="721" w:type="pct"/>
            <w:gridSpan w:val="2"/>
            <w:vAlign w:val="center"/>
          </w:tcPr>
          <w:p w14:paraId="795FCA4B">
            <w:pPr>
              <w:keepNext w:val="0"/>
              <w:keepLines w:val="0"/>
              <w:suppressLineNumbers w:val="0"/>
              <w:suppressAutoHyphens/>
              <w:adjustRightInd w:val="0"/>
              <w:snapToGrid w:val="0"/>
              <w:spacing w:before="0" w:beforeAutospacing="0" w:after="0" w:afterAutospacing="0"/>
              <w:ind w:left="0" w:right="0"/>
              <w:jc w:val="center"/>
              <w:rPr>
                <w:rFonts w:hint="default" w:ascii="宋体" w:hAnsi="宋体" w:cs="宋体"/>
                <w:color w:val="000000"/>
                <w:kern w:val="1"/>
                <w:sz w:val="24"/>
                <w:szCs w:val="24"/>
              </w:rPr>
            </w:pPr>
            <w:r>
              <w:rPr>
                <w:rFonts w:hint="eastAsia" w:ascii="宋体" w:hAnsi="宋体" w:cs="宋体"/>
                <w:color w:val="000000"/>
                <w:kern w:val="1"/>
                <w:sz w:val="24"/>
                <w:szCs w:val="24"/>
              </w:rPr>
              <w:t>级别</w:t>
            </w:r>
          </w:p>
        </w:tc>
        <w:tc>
          <w:tcPr>
            <w:tcW w:w="504" w:type="pct"/>
            <w:vAlign w:val="center"/>
          </w:tcPr>
          <w:p w14:paraId="3D4A52E3">
            <w:pPr>
              <w:keepNext w:val="0"/>
              <w:keepLines w:val="0"/>
              <w:suppressLineNumbers w:val="0"/>
              <w:suppressAutoHyphens/>
              <w:adjustRightInd w:val="0"/>
              <w:snapToGrid w:val="0"/>
              <w:spacing w:before="0" w:beforeAutospacing="0" w:after="0" w:afterAutospacing="0"/>
              <w:ind w:left="0" w:right="0"/>
              <w:jc w:val="center"/>
              <w:rPr>
                <w:rFonts w:hint="default" w:ascii="宋体" w:hAnsi="宋体" w:cs="宋体"/>
                <w:color w:val="000000"/>
                <w:kern w:val="1"/>
                <w:sz w:val="24"/>
                <w:szCs w:val="24"/>
              </w:rPr>
            </w:pPr>
          </w:p>
        </w:tc>
        <w:tc>
          <w:tcPr>
            <w:tcW w:w="720" w:type="pct"/>
            <w:gridSpan w:val="2"/>
            <w:vAlign w:val="center"/>
          </w:tcPr>
          <w:p w14:paraId="5D09F020">
            <w:pPr>
              <w:keepNext w:val="0"/>
              <w:keepLines w:val="0"/>
              <w:suppressLineNumbers w:val="0"/>
              <w:suppressAutoHyphens/>
              <w:adjustRightInd w:val="0"/>
              <w:snapToGrid w:val="0"/>
              <w:spacing w:before="0" w:beforeAutospacing="0" w:after="0" w:afterAutospacing="0"/>
              <w:ind w:left="0" w:right="0"/>
              <w:jc w:val="center"/>
              <w:rPr>
                <w:rFonts w:hint="default" w:ascii="宋体" w:hAnsi="宋体" w:cs="宋体"/>
                <w:color w:val="000000"/>
                <w:kern w:val="1"/>
                <w:sz w:val="24"/>
                <w:szCs w:val="24"/>
              </w:rPr>
            </w:pPr>
            <w:r>
              <w:rPr>
                <w:rFonts w:hint="eastAsia" w:ascii="宋体" w:hAnsi="宋体" w:cs="宋体"/>
                <w:color w:val="000000"/>
                <w:kern w:val="1"/>
                <w:sz w:val="24"/>
                <w:szCs w:val="24"/>
              </w:rPr>
              <w:t>证书编号</w:t>
            </w:r>
          </w:p>
        </w:tc>
        <w:tc>
          <w:tcPr>
            <w:tcW w:w="1199" w:type="pct"/>
            <w:vAlign w:val="center"/>
          </w:tcPr>
          <w:p w14:paraId="104F4FD1">
            <w:pPr>
              <w:keepNext w:val="0"/>
              <w:keepLines w:val="0"/>
              <w:widowControl/>
              <w:suppressLineNumbers w:val="0"/>
              <w:spacing w:before="0" w:beforeAutospacing="0" w:after="200" w:afterAutospacing="0" w:line="220" w:lineRule="atLeast"/>
              <w:ind w:left="0" w:right="0"/>
              <w:jc w:val="center"/>
              <w:rPr>
                <w:rFonts w:hint="default" w:ascii="宋体" w:hAnsi="宋体" w:cs="宋体"/>
                <w:b/>
                <w:color w:val="000000"/>
                <w:kern w:val="1"/>
                <w:sz w:val="24"/>
                <w:szCs w:val="24"/>
              </w:rPr>
            </w:pPr>
          </w:p>
        </w:tc>
      </w:tr>
      <w:tr w14:paraId="5CB03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57" w:type="pct"/>
            <w:vAlign w:val="center"/>
          </w:tcPr>
          <w:p w14:paraId="6B79608F">
            <w:pPr>
              <w:keepNext w:val="0"/>
              <w:keepLines w:val="0"/>
              <w:suppressLineNumbers w:val="0"/>
              <w:suppressAutoHyphens/>
              <w:adjustRightInd w:val="0"/>
              <w:snapToGrid w:val="0"/>
              <w:spacing w:before="0" w:beforeAutospacing="0" w:after="0" w:afterAutospacing="0"/>
              <w:ind w:left="0" w:right="0"/>
              <w:jc w:val="center"/>
              <w:rPr>
                <w:rFonts w:hint="default" w:ascii="宋体" w:hAnsi="宋体" w:cs="宋体"/>
                <w:color w:val="000000"/>
                <w:kern w:val="1"/>
                <w:sz w:val="24"/>
                <w:szCs w:val="24"/>
              </w:rPr>
            </w:pPr>
            <w:r>
              <w:rPr>
                <w:rFonts w:hint="eastAsia" w:ascii="宋体" w:hAnsi="宋体" w:cs="宋体"/>
                <w:color w:val="000000"/>
                <w:kern w:val="1"/>
                <w:sz w:val="24"/>
                <w:szCs w:val="24"/>
              </w:rPr>
              <w:t>项目联系人</w:t>
            </w:r>
          </w:p>
        </w:tc>
        <w:tc>
          <w:tcPr>
            <w:tcW w:w="1544" w:type="pct"/>
            <w:gridSpan w:val="2"/>
            <w:vAlign w:val="center"/>
          </w:tcPr>
          <w:p w14:paraId="59A8CF75">
            <w:pPr>
              <w:keepNext w:val="0"/>
              <w:keepLines w:val="0"/>
              <w:widowControl/>
              <w:suppressLineNumbers w:val="0"/>
              <w:spacing w:before="0" w:beforeAutospacing="0" w:after="200" w:afterAutospacing="0" w:line="220" w:lineRule="atLeast"/>
              <w:ind w:left="0" w:right="0"/>
              <w:jc w:val="center"/>
              <w:rPr>
                <w:rFonts w:hint="default" w:ascii="宋体" w:hAnsi="宋体" w:cs="宋体"/>
                <w:b/>
                <w:color w:val="000000"/>
                <w:kern w:val="1"/>
                <w:sz w:val="24"/>
                <w:szCs w:val="24"/>
              </w:rPr>
            </w:pPr>
          </w:p>
        </w:tc>
        <w:tc>
          <w:tcPr>
            <w:tcW w:w="765" w:type="pct"/>
            <w:gridSpan w:val="3"/>
            <w:vAlign w:val="center"/>
          </w:tcPr>
          <w:p w14:paraId="187DFD78">
            <w:pPr>
              <w:keepNext w:val="0"/>
              <w:keepLines w:val="0"/>
              <w:suppressLineNumbers w:val="0"/>
              <w:suppressAutoHyphens/>
              <w:adjustRightInd w:val="0"/>
              <w:snapToGrid w:val="0"/>
              <w:spacing w:before="0" w:beforeAutospacing="0" w:after="0" w:afterAutospacing="0"/>
              <w:ind w:left="0" w:right="0"/>
              <w:jc w:val="center"/>
              <w:rPr>
                <w:rFonts w:hint="default" w:ascii="宋体" w:hAnsi="宋体" w:cs="宋体"/>
                <w:color w:val="000000"/>
                <w:kern w:val="1"/>
                <w:sz w:val="24"/>
                <w:szCs w:val="24"/>
              </w:rPr>
            </w:pPr>
            <w:r>
              <w:rPr>
                <w:rFonts w:hint="eastAsia" w:ascii="宋体" w:hAnsi="宋体" w:cs="宋体"/>
                <w:color w:val="000000"/>
                <w:kern w:val="1"/>
                <w:sz w:val="24"/>
                <w:szCs w:val="24"/>
              </w:rPr>
              <w:t>联系电话</w:t>
            </w:r>
          </w:p>
        </w:tc>
        <w:tc>
          <w:tcPr>
            <w:tcW w:w="1834" w:type="pct"/>
            <w:gridSpan w:val="2"/>
            <w:vAlign w:val="center"/>
          </w:tcPr>
          <w:p w14:paraId="5834F093">
            <w:pPr>
              <w:keepNext w:val="0"/>
              <w:keepLines w:val="0"/>
              <w:widowControl/>
              <w:suppressLineNumbers w:val="0"/>
              <w:spacing w:before="0" w:beforeAutospacing="0" w:after="200" w:afterAutospacing="0" w:line="220" w:lineRule="atLeast"/>
              <w:ind w:left="0" w:right="0"/>
              <w:jc w:val="center"/>
              <w:rPr>
                <w:rFonts w:hint="default" w:ascii="宋体" w:hAnsi="宋体" w:cs="宋体"/>
                <w:b/>
                <w:color w:val="000000"/>
                <w:kern w:val="1"/>
                <w:sz w:val="24"/>
                <w:szCs w:val="24"/>
              </w:rPr>
            </w:pPr>
          </w:p>
        </w:tc>
      </w:tr>
      <w:tr w14:paraId="6DD41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57" w:type="pct"/>
            <w:vAlign w:val="center"/>
          </w:tcPr>
          <w:p w14:paraId="4F7DD8F7">
            <w:pPr>
              <w:keepNext w:val="0"/>
              <w:keepLines w:val="0"/>
              <w:suppressLineNumbers w:val="0"/>
              <w:suppressAutoHyphens/>
              <w:adjustRightInd w:val="0"/>
              <w:snapToGrid w:val="0"/>
              <w:spacing w:before="0" w:beforeAutospacing="0" w:after="0" w:afterAutospacing="0"/>
              <w:ind w:left="0" w:right="0"/>
              <w:jc w:val="center"/>
              <w:rPr>
                <w:rFonts w:hint="default" w:ascii="宋体" w:hAnsi="宋体" w:cs="宋体"/>
                <w:color w:val="000000"/>
                <w:kern w:val="1"/>
                <w:sz w:val="24"/>
                <w:szCs w:val="24"/>
              </w:rPr>
            </w:pPr>
            <w:r>
              <w:rPr>
                <w:rFonts w:hint="eastAsia" w:ascii="宋体" w:hAnsi="宋体" w:cs="宋体"/>
                <w:color w:val="000000"/>
                <w:kern w:val="1"/>
                <w:sz w:val="24"/>
                <w:szCs w:val="24"/>
              </w:rPr>
              <w:t>磋商总报价</w:t>
            </w:r>
          </w:p>
        </w:tc>
        <w:tc>
          <w:tcPr>
            <w:tcW w:w="4143" w:type="pct"/>
            <w:gridSpan w:val="7"/>
            <w:vAlign w:val="center"/>
          </w:tcPr>
          <w:p w14:paraId="58B416C4">
            <w:pPr>
              <w:keepNext w:val="0"/>
              <w:keepLines w:val="0"/>
              <w:suppressLineNumbers w:val="0"/>
              <w:suppressAutoHyphens/>
              <w:spacing w:before="0" w:beforeAutospacing="0" w:after="0" w:afterAutospacing="0"/>
              <w:ind w:left="0" w:right="0"/>
              <w:jc w:val="left"/>
              <w:rPr>
                <w:rFonts w:hint="default" w:ascii="宋体" w:hAnsi="宋体" w:cs="宋体"/>
                <w:color w:val="000000"/>
                <w:kern w:val="1"/>
                <w:sz w:val="24"/>
                <w:szCs w:val="24"/>
                <w:u w:val="single"/>
              </w:rPr>
            </w:pPr>
            <w:r>
              <w:rPr>
                <w:rFonts w:hint="eastAsia" w:ascii="宋体" w:hAnsi="宋体" w:cs="宋体"/>
                <w:color w:val="000000"/>
                <w:kern w:val="1"/>
                <w:sz w:val="24"/>
                <w:szCs w:val="24"/>
              </w:rPr>
              <w:t>大写：</w:t>
            </w:r>
            <w:r>
              <w:rPr>
                <w:rFonts w:hint="eastAsia" w:ascii="宋体" w:hAnsi="宋体" w:cs="宋体"/>
                <w:color w:val="000000"/>
                <w:kern w:val="1"/>
                <w:sz w:val="24"/>
                <w:szCs w:val="24"/>
                <w:u w:val="single"/>
              </w:rPr>
              <w:t xml:space="preserve">                               </w:t>
            </w:r>
          </w:p>
          <w:p w14:paraId="79CF7FA8">
            <w:pPr>
              <w:keepNext w:val="0"/>
              <w:keepLines w:val="0"/>
              <w:suppressLineNumbers w:val="0"/>
              <w:suppressAutoHyphens/>
              <w:spacing w:before="0" w:beforeAutospacing="0" w:after="0" w:afterAutospacing="0"/>
              <w:ind w:left="0" w:right="0"/>
              <w:jc w:val="left"/>
              <w:rPr>
                <w:rFonts w:hint="default" w:ascii="宋体" w:hAnsi="宋体" w:cs="宋体"/>
                <w:color w:val="000000"/>
                <w:kern w:val="1"/>
                <w:sz w:val="24"/>
                <w:szCs w:val="24"/>
              </w:rPr>
            </w:pPr>
            <w:r>
              <w:rPr>
                <w:rFonts w:hint="eastAsia" w:ascii="宋体" w:hAnsi="宋体" w:cs="宋体"/>
                <w:color w:val="000000"/>
                <w:kern w:val="1"/>
                <w:sz w:val="24"/>
                <w:szCs w:val="24"/>
              </w:rPr>
              <w:t>小写¥：</w:t>
            </w:r>
            <w:r>
              <w:rPr>
                <w:rFonts w:hint="eastAsia" w:ascii="宋体" w:hAnsi="宋体" w:cs="宋体"/>
                <w:color w:val="000000"/>
                <w:kern w:val="1"/>
                <w:sz w:val="24"/>
                <w:szCs w:val="24"/>
                <w:u w:val="single"/>
              </w:rPr>
              <w:t xml:space="preserve">          </w:t>
            </w:r>
            <w:r>
              <w:rPr>
                <w:rFonts w:hint="eastAsia" w:ascii="宋体" w:hAnsi="宋体" w:cs="宋体"/>
                <w:color w:val="000000"/>
                <w:kern w:val="1"/>
                <w:sz w:val="24"/>
                <w:szCs w:val="24"/>
              </w:rPr>
              <w:t>元</w:t>
            </w:r>
          </w:p>
        </w:tc>
      </w:tr>
      <w:tr w14:paraId="37871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57" w:type="pct"/>
            <w:vAlign w:val="center"/>
          </w:tcPr>
          <w:p w14:paraId="7C6405DF">
            <w:pPr>
              <w:keepNext w:val="0"/>
              <w:keepLines w:val="0"/>
              <w:suppressLineNumbers w:val="0"/>
              <w:suppressAutoHyphens/>
              <w:adjustRightInd w:val="0"/>
              <w:snapToGrid w:val="0"/>
              <w:spacing w:before="0" w:beforeAutospacing="0" w:after="0" w:afterAutospacing="0"/>
              <w:ind w:left="0" w:right="0"/>
              <w:jc w:val="center"/>
              <w:rPr>
                <w:rFonts w:hint="default" w:ascii="宋体" w:hAnsi="宋体" w:cs="宋体"/>
                <w:color w:val="000000"/>
                <w:kern w:val="1"/>
                <w:sz w:val="24"/>
                <w:szCs w:val="24"/>
              </w:rPr>
            </w:pPr>
            <w:r>
              <w:rPr>
                <w:rFonts w:hint="eastAsia" w:ascii="宋体" w:hAnsi="宋体" w:cs="宋体"/>
                <w:color w:val="000000"/>
                <w:kern w:val="1"/>
                <w:sz w:val="24"/>
                <w:szCs w:val="24"/>
              </w:rPr>
              <w:t>计划工期</w:t>
            </w:r>
          </w:p>
        </w:tc>
        <w:tc>
          <w:tcPr>
            <w:tcW w:w="4143" w:type="pct"/>
            <w:gridSpan w:val="7"/>
            <w:vAlign w:val="center"/>
          </w:tcPr>
          <w:p w14:paraId="61EEB0FB">
            <w:pPr>
              <w:keepNext w:val="0"/>
              <w:keepLines w:val="0"/>
              <w:suppressLineNumbers w:val="0"/>
              <w:suppressAutoHyphens/>
              <w:spacing w:before="0" w:beforeAutospacing="0" w:after="0" w:afterAutospacing="0"/>
              <w:ind w:left="0" w:right="0"/>
              <w:rPr>
                <w:rFonts w:hint="default" w:ascii="宋体" w:hAnsi="宋体" w:cs="宋体"/>
                <w:color w:val="000000"/>
                <w:kern w:val="1"/>
                <w:sz w:val="24"/>
                <w:szCs w:val="24"/>
              </w:rPr>
            </w:pPr>
          </w:p>
        </w:tc>
      </w:tr>
      <w:tr w14:paraId="26573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57" w:type="pct"/>
            <w:vAlign w:val="center"/>
          </w:tcPr>
          <w:p w14:paraId="6E476505">
            <w:pPr>
              <w:keepNext w:val="0"/>
              <w:keepLines w:val="0"/>
              <w:suppressLineNumbers w:val="0"/>
              <w:suppressAutoHyphens/>
              <w:adjustRightInd w:val="0"/>
              <w:snapToGrid w:val="0"/>
              <w:spacing w:before="0" w:beforeAutospacing="0" w:after="0" w:afterAutospacing="0"/>
              <w:ind w:left="0" w:right="0"/>
              <w:jc w:val="center"/>
              <w:rPr>
                <w:rFonts w:hint="default" w:ascii="宋体" w:hAnsi="宋体" w:cs="宋体"/>
                <w:color w:val="000000"/>
                <w:kern w:val="1"/>
                <w:sz w:val="24"/>
                <w:szCs w:val="24"/>
              </w:rPr>
            </w:pPr>
            <w:r>
              <w:rPr>
                <w:rFonts w:hint="eastAsia" w:ascii="宋体" w:hAnsi="宋体" w:cs="宋体"/>
                <w:color w:val="000000"/>
                <w:kern w:val="1"/>
                <w:sz w:val="24"/>
                <w:szCs w:val="24"/>
              </w:rPr>
              <w:t>质量要求</w:t>
            </w:r>
          </w:p>
        </w:tc>
        <w:tc>
          <w:tcPr>
            <w:tcW w:w="4143" w:type="pct"/>
            <w:gridSpan w:val="7"/>
            <w:vAlign w:val="center"/>
          </w:tcPr>
          <w:p w14:paraId="2C57B284">
            <w:pPr>
              <w:keepNext w:val="0"/>
              <w:keepLines w:val="0"/>
              <w:widowControl/>
              <w:suppressLineNumbers w:val="0"/>
              <w:spacing w:before="0" w:beforeAutospacing="0" w:after="200" w:afterAutospacing="0" w:line="220" w:lineRule="atLeast"/>
              <w:ind w:left="0" w:right="0"/>
              <w:jc w:val="left"/>
              <w:rPr>
                <w:rFonts w:hint="default" w:ascii="宋体" w:hAnsi="宋体" w:cs="宋体"/>
                <w:b/>
                <w:color w:val="000000"/>
                <w:kern w:val="1"/>
                <w:sz w:val="24"/>
                <w:szCs w:val="24"/>
              </w:rPr>
            </w:pPr>
          </w:p>
        </w:tc>
      </w:tr>
      <w:tr w14:paraId="12626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57" w:type="pct"/>
            <w:vAlign w:val="center"/>
          </w:tcPr>
          <w:p w14:paraId="11D508F0">
            <w:pPr>
              <w:keepNext w:val="0"/>
              <w:keepLines w:val="0"/>
              <w:suppressLineNumbers w:val="0"/>
              <w:suppressAutoHyphens/>
              <w:adjustRightInd w:val="0"/>
              <w:snapToGrid w:val="0"/>
              <w:spacing w:before="0" w:beforeAutospacing="0" w:after="0" w:afterAutospacing="0"/>
              <w:ind w:left="0" w:right="0"/>
              <w:jc w:val="center"/>
              <w:rPr>
                <w:rFonts w:hint="default" w:ascii="宋体" w:hAnsi="宋体" w:cs="宋体"/>
                <w:color w:val="000000"/>
                <w:kern w:val="1"/>
                <w:sz w:val="24"/>
                <w:szCs w:val="24"/>
              </w:rPr>
            </w:pPr>
            <w:r>
              <w:rPr>
                <w:rFonts w:hint="eastAsia" w:ascii="宋体" w:hAnsi="宋体" w:cs="宋体"/>
                <w:color w:val="000000"/>
                <w:kern w:val="1"/>
                <w:sz w:val="24"/>
                <w:szCs w:val="24"/>
              </w:rPr>
              <w:t>质保期</w:t>
            </w:r>
          </w:p>
        </w:tc>
        <w:tc>
          <w:tcPr>
            <w:tcW w:w="4143" w:type="pct"/>
            <w:gridSpan w:val="7"/>
            <w:vAlign w:val="center"/>
          </w:tcPr>
          <w:p w14:paraId="09CF1991">
            <w:pPr>
              <w:keepNext w:val="0"/>
              <w:keepLines w:val="0"/>
              <w:widowControl/>
              <w:suppressLineNumbers w:val="0"/>
              <w:spacing w:before="0" w:beforeAutospacing="0" w:after="200" w:afterAutospacing="0"/>
              <w:ind w:left="0" w:right="0"/>
              <w:rPr>
                <w:rFonts w:hint="default" w:ascii="宋体" w:hAnsi="宋体" w:cs="宋体"/>
                <w:b/>
                <w:color w:val="000000"/>
                <w:kern w:val="1"/>
                <w:sz w:val="24"/>
                <w:szCs w:val="24"/>
              </w:rPr>
            </w:pPr>
          </w:p>
        </w:tc>
      </w:tr>
      <w:tr w14:paraId="13E0F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57" w:type="pct"/>
            <w:vAlign w:val="center"/>
          </w:tcPr>
          <w:p w14:paraId="63931E0F">
            <w:pPr>
              <w:keepNext w:val="0"/>
              <w:keepLines w:val="0"/>
              <w:suppressLineNumbers w:val="0"/>
              <w:suppressAutoHyphens/>
              <w:adjustRightInd w:val="0"/>
              <w:snapToGrid w:val="0"/>
              <w:spacing w:before="0" w:beforeAutospacing="0" w:after="0" w:afterAutospacing="0"/>
              <w:ind w:left="0" w:right="0"/>
              <w:jc w:val="center"/>
              <w:rPr>
                <w:rFonts w:hint="default" w:ascii="宋体" w:hAnsi="宋体" w:cs="宋体"/>
                <w:color w:val="000000"/>
                <w:kern w:val="1"/>
                <w:sz w:val="24"/>
                <w:szCs w:val="24"/>
              </w:rPr>
            </w:pPr>
            <w:r>
              <w:rPr>
                <w:rFonts w:hint="eastAsia" w:ascii="宋体" w:hAnsi="宋体" w:cs="宋体"/>
                <w:color w:val="000000"/>
                <w:kern w:val="1"/>
                <w:sz w:val="24"/>
                <w:szCs w:val="24"/>
              </w:rPr>
              <w:t>磋商有效期</w:t>
            </w:r>
          </w:p>
        </w:tc>
        <w:tc>
          <w:tcPr>
            <w:tcW w:w="4143" w:type="pct"/>
            <w:gridSpan w:val="7"/>
            <w:vAlign w:val="center"/>
          </w:tcPr>
          <w:p w14:paraId="406B5ABF">
            <w:pPr>
              <w:keepNext w:val="0"/>
              <w:keepLines w:val="0"/>
              <w:widowControl/>
              <w:suppressLineNumbers w:val="0"/>
              <w:spacing w:before="0" w:beforeAutospacing="0" w:after="200" w:afterAutospacing="0" w:line="220" w:lineRule="atLeast"/>
              <w:ind w:left="0" w:right="0"/>
              <w:jc w:val="left"/>
              <w:rPr>
                <w:rFonts w:hint="default" w:ascii="宋体" w:hAnsi="宋体" w:cs="宋体"/>
                <w:b/>
                <w:color w:val="000000"/>
                <w:kern w:val="1"/>
                <w:sz w:val="24"/>
                <w:szCs w:val="24"/>
              </w:rPr>
            </w:pPr>
          </w:p>
        </w:tc>
      </w:tr>
      <w:tr w14:paraId="45E8A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9" w:hRule="atLeast"/>
        </w:trPr>
        <w:tc>
          <w:tcPr>
            <w:tcW w:w="857" w:type="pct"/>
            <w:vAlign w:val="center"/>
          </w:tcPr>
          <w:p w14:paraId="4484F7EA">
            <w:pPr>
              <w:keepNext w:val="0"/>
              <w:keepLines w:val="0"/>
              <w:suppressLineNumbers w:val="0"/>
              <w:spacing w:before="0" w:beforeAutospacing="0" w:after="0" w:afterAutospacing="0" w:line="360" w:lineRule="auto"/>
              <w:ind w:left="0" w:right="0"/>
              <w:jc w:val="center"/>
              <w:rPr>
                <w:rFonts w:hint="default" w:ascii="宋体" w:hAnsi="宋体" w:cs="宋体"/>
                <w:color w:val="000000"/>
                <w:kern w:val="1"/>
                <w:sz w:val="24"/>
                <w:szCs w:val="24"/>
              </w:rPr>
            </w:pPr>
            <w:r>
              <w:rPr>
                <w:rFonts w:hint="eastAsia" w:ascii="宋体" w:hAnsi="宋体" w:cs="宋体"/>
                <w:color w:val="000000"/>
                <w:kern w:val="1"/>
                <w:sz w:val="24"/>
                <w:szCs w:val="24"/>
              </w:rPr>
              <w:t>需需要说明的问题</w:t>
            </w:r>
          </w:p>
        </w:tc>
        <w:tc>
          <w:tcPr>
            <w:tcW w:w="4143" w:type="pct"/>
            <w:gridSpan w:val="7"/>
            <w:vAlign w:val="center"/>
          </w:tcPr>
          <w:p w14:paraId="0A8556AF">
            <w:pPr>
              <w:keepNext w:val="0"/>
              <w:keepLines w:val="0"/>
              <w:suppressLineNumbers w:val="0"/>
              <w:spacing w:before="0" w:beforeAutospacing="0" w:after="0" w:afterAutospacing="0" w:line="360" w:lineRule="auto"/>
              <w:ind w:left="0" w:right="0"/>
              <w:rPr>
                <w:rFonts w:hint="default" w:ascii="宋体" w:hAnsi="宋体" w:cs="宋体"/>
                <w:b/>
                <w:color w:val="000000"/>
                <w:kern w:val="1"/>
                <w:sz w:val="24"/>
                <w:szCs w:val="24"/>
              </w:rPr>
            </w:pPr>
          </w:p>
        </w:tc>
      </w:tr>
    </w:tbl>
    <w:p w14:paraId="508F1862">
      <w:pPr>
        <w:widowControl/>
        <w:spacing w:after="200" w:line="276" w:lineRule="auto"/>
        <w:jc w:val="left"/>
        <w:rPr>
          <w:rFonts w:ascii="宋体" w:hAnsi="宋体" w:cs="宋体"/>
          <w:color w:val="000000"/>
          <w:kern w:val="0"/>
          <w:sz w:val="28"/>
          <w:szCs w:val="28"/>
          <w:lang w:bidi="en-US"/>
        </w:rPr>
      </w:pPr>
    </w:p>
    <w:p w14:paraId="6C0625E6">
      <w:pPr>
        <w:spacing w:line="400" w:lineRule="exact"/>
        <w:ind w:firstLine="420" w:firstLineChars="175"/>
        <w:jc w:val="left"/>
        <w:rPr>
          <w:rFonts w:ascii="宋体" w:hAnsi="宋体" w:cs="楷体_GB2312"/>
          <w:sz w:val="24"/>
        </w:rPr>
      </w:pPr>
      <w:r>
        <w:rPr>
          <w:rFonts w:hint="eastAsia" w:ascii="宋体" w:hAnsi="宋体" w:cs="楷体_GB2312"/>
          <w:sz w:val="24"/>
        </w:rPr>
        <w:t>供应商名称：</w:t>
      </w:r>
      <w:r>
        <w:rPr>
          <w:rFonts w:hint="eastAsia" w:ascii="宋体" w:hAnsi="宋体" w:cs="楷体_GB2312"/>
          <w:sz w:val="24"/>
          <w:u w:val="single"/>
        </w:rPr>
        <w:t xml:space="preserve">           </w:t>
      </w:r>
      <w:r>
        <w:rPr>
          <w:rFonts w:hint="eastAsia" w:ascii="宋体" w:hAnsi="宋体" w:cs="楷体_GB2312"/>
          <w:sz w:val="24"/>
        </w:rPr>
        <w:t>（盖单位章）</w:t>
      </w:r>
    </w:p>
    <w:p w14:paraId="3CB66A02">
      <w:pPr>
        <w:wordWrap w:val="0"/>
        <w:spacing w:line="400" w:lineRule="exact"/>
        <w:ind w:firstLine="420" w:firstLineChars="175"/>
        <w:jc w:val="left"/>
        <w:rPr>
          <w:rFonts w:ascii="宋体" w:hAnsi="宋体" w:cs="楷体_GB2312"/>
          <w:sz w:val="24"/>
          <w:u w:val="single"/>
        </w:rPr>
      </w:pPr>
      <w:r>
        <w:rPr>
          <w:rFonts w:hint="eastAsia" w:ascii="宋体" w:hAnsi="宋体" w:cs="楷体_GB2312"/>
          <w:sz w:val="24"/>
        </w:rPr>
        <w:t>法定代表人：</w:t>
      </w:r>
      <w:r>
        <w:rPr>
          <w:rFonts w:hint="eastAsia" w:ascii="宋体" w:hAnsi="宋体" w:cs="楷体_GB2312"/>
          <w:sz w:val="24"/>
          <w:u w:val="single"/>
        </w:rPr>
        <w:t xml:space="preserve">                   </w:t>
      </w:r>
      <w:r>
        <w:rPr>
          <w:rFonts w:hint="eastAsia" w:ascii="宋体" w:hAnsi="宋体" w:cs="楷体_GB2312"/>
          <w:sz w:val="24"/>
        </w:rPr>
        <w:t>（电子签章）</w:t>
      </w:r>
    </w:p>
    <w:p w14:paraId="33E6CD36">
      <w:pPr>
        <w:widowControl/>
        <w:wordWrap w:val="0"/>
        <w:adjustRightInd w:val="0"/>
        <w:snapToGrid w:val="0"/>
        <w:spacing w:line="360" w:lineRule="auto"/>
        <w:ind w:firstLine="420" w:firstLineChars="175"/>
        <w:jc w:val="left"/>
        <w:rPr>
          <w:rFonts w:ascii="宋体" w:hAnsi="宋体" w:cs="楷体_GB2312"/>
          <w:sz w:val="24"/>
        </w:rPr>
      </w:pPr>
      <w:r>
        <w:rPr>
          <w:rFonts w:hint="eastAsia" w:ascii="宋体" w:hAnsi="宋体" w:cs="楷体_GB2312"/>
          <w:sz w:val="24"/>
        </w:rPr>
        <w:t>日期：</w:t>
      </w:r>
      <w:r>
        <w:rPr>
          <w:rFonts w:hint="eastAsia" w:ascii="宋体" w:hAnsi="宋体" w:cs="楷体_GB2312"/>
          <w:sz w:val="24"/>
          <w:u w:val="single"/>
        </w:rPr>
        <w:t xml:space="preserve">     </w:t>
      </w:r>
      <w:r>
        <w:rPr>
          <w:rFonts w:hint="eastAsia" w:ascii="宋体" w:hAnsi="宋体" w:cs="楷体_GB2312"/>
          <w:sz w:val="24"/>
        </w:rPr>
        <w:t>年</w:t>
      </w:r>
      <w:r>
        <w:rPr>
          <w:rFonts w:hint="eastAsia" w:ascii="宋体" w:hAnsi="宋体" w:cs="楷体_GB2312"/>
          <w:sz w:val="24"/>
          <w:u w:val="single"/>
        </w:rPr>
        <w:t xml:space="preserve">    </w:t>
      </w:r>
      <w:r>
        <w:rPr>
          <w:rFonts w:hint="eastAsia" w:ascii="宋体" w:hAnsi="宋体" w:cs="楷体_GB2312"/>
          <w:sz w:val="24"/>
        </w:rPr>
        <w:t>月</w:t>
      </w:r>
      <w:r>
        <w:rPr>
          <w:rFonts w:hint="eastAsia" w:ascii="宋体" w:hAnsi="宋体" w:cs="楷体_GB2312"/>
          <w:sz w:val="24"/>
          <w:u w:val="single"/>
        </w:rPr>
        <w:t xml:space="preserve">    </w:t>
      </w:r>
      <w:r>
        <w:rPr>
          <w:rFonts w:hint="eastAsia" w:ascii="宋体" w:hAnsi="宋体" w:cs="楷体_GB2312"/>
          <w:sz w:val="24"/>
        </w:rPr>
        <w:t xml:space="preserve">日      </w:t>
      </w:r>
    </w:p>
    <w:p w14:paraId="5C461559">
      <w:pPr>
        <w:widowControl/>
        <w:spacing w:after="200" w:line="220" w:lineRule="atLeast"/>
        <w:jc w:val="left"/>
        <w:rPr>
          <w:rFonts w:ascii="宋体" w:hAnsi="宋体" w:cs="宋体"/>
          <w:b/>
          <w:bCs/>
          <w:color w:val="000000"/>
          <w:kern w:val="0"/>
          <w:sz w:val="24"/>
          <w:szCs w:val="24"/>
        </w:rPr>
        <w:sectPr>
          <w:pgSz w:w="11906" w:h="16838"/>
          <w:pgMar w:top="1134" w:right="1134" w:bottom="1134" w:left="1134" w:header="720" w:footer="720" w:gutter="0"/>
          <w:cols w:space="720" w:num="1"/>
          <w:docGrid w:type="lines" w:linePitch="312" w:charSpace="0"/>
        </w:sectPr>
      </w:pPr>
    </w:p>
    <w:p w14:paraId="59F5A650">
      <w:pPr>
        <w:jc w:val="center"/>
        <w:outlineLvl w:val="1"/>
        <w:rPr>
          <w:rFonts w:ascii="宋体" w:hAnsi="宋体" w:eastAsia="宋体" w:cs="宋体"/>
          <w:b/>
          <w:sz w:val="24"/>
          <w:szCs w:val="24"/>
        </w:rPr>
      </w:pPr>
      <w:bookmarkStart w:id="379" w:name="_Toc470786259"/>
      <w:bookmarkStart w:id="380" w:name="_Toc476231086"/>
      <w:bookmarkStart w:id="381" w:name="_Toc30552"/>
      <w:r>
        <w:rPr>
          <w:rFonts w:hint="eastAsia" w:ascii="宋体" w:hAnsi="宋体" w:eastAsia="宋体" w:cs="宋体"/>
          <w:b/>
          <w:sz w:val="24"/>
          <w:szCs w:val="24"/>
        </w:rPr>
        <w:t>二、</w:t>
      </w:r>
      <w:bookmarkEnd w:id="379"/>
      <w:bookmarkEnd w:id="380"/>
      <w:r>
        <w:rPr>
          <w:rFonts w:hint="eastAsia" w:ascii="宋体" w:hAnsi="宋体" w:eastAsia="宋体" w:cs="宋体"/>
          <w:b/>
          <w:sz w:val="24"/>
          <w:szCs w:val="24"/>
        </w:rPr>
        <w:t>法定代表人身份证明及授权委托书</w:t>
      </w:r>
      <w:bookmarkEnd w:id="381"/>
    </w:p>
    <w:p w14:paraId="13895D99">
      <w:pPr>
        <w:widowControl/>
        <w:adjustRightInd w:val="0"/>
        <w:snapToGrid w:val="0"/>
        <w:spacing w:after="200"/>
        <w:jc w:val="center"/>
        <w:outlineLvl w:val="0"/>
        <w:rPr>
          <w:rFonts w:ascii="宋体" w:hAnsi="宋体" w:cs="宋体"/>
          <w:color w:val="000000"/>
          <w:kern w:val="0"/>
          <w:sz w:val="24"/>
          <w:szCs w:val="24"/>
        </w:rPr>
      </w:pPr>
      <w:bookmarkStart w:id="382" w:name="_Toc5843"/>
      <w:bookmarkStart w:id="383" w:name="_Toc28381"/>
      <w:bookmarkStart w:id="384" w:name="_Toc5955"/>
    </w:p>
    <w:p w14:paraId="60205CC5">
      <w:pPr>
        <w:widowControl/>
        <w:adjustRightInd w:val="0"/>
        <w:snapToGrid w:val="0"/>
        <w:spacing w:after="200"/>
        <w:jc w:val="center"/>
        <w:outlineLvl w:val="0"/>
        <w:rPr>
          <w:rFonts w:ascii="宋体" w:hAnsi="宋体" w:cs="宋体"/>
          <w:b/>
          <w:color w:val="000000"/>
          <w:kern w:val="0"/>
          <w:sz w:val="24"/>
          <w:szCs w:val="24"/>
        </w:rPr>
      </w:pPr>
      <w:bookmarkStart w:id="385" w:name="_Toc28907"/>
      <w:bookmarkStart w:id="386" w:name="_Toc32393"/>
      <w:r>
        <w:rPr>
          <w:rFonts w:hint="eastAsia" w:ascii="宋体" w:hAnsi="宋体" w:cs="宋体"/>
          <w:b/>
          <w:color w:val="000000"/>
          <w:kern w:val="0"/>
          <w:sz w:val="24"/>
          <w:szCs w:val="24"/>
        </w:rPr>
        <w:t>（一）法定代表人身份证明</w:t>
      </w:r>
      <w:bookmarkEnd w:id="382"/>
      <w:bookmarkEnd w:id="383"/>
      <w:bookmarkEnd w:id="384"/>
      <w:bookmarkEnd w:id="385"/>
      <w:bookmarkEnd w:id="386"/>
    </w:p>
    <w:p w14:paraId="5E71822F">
      <w:pPr>
        <w:widowControl/>
        <w:adjustRightInd w:val="0"/>
        <w:snapToGrid w:val="0"/>
        <w:spacing w:after="200" w:line="360" w:lineRule="auto"/>
        <w:jc w:val="left"/>
        <w:rPr>
          <w:rFonts w:ascii="宋体" w:hAnsi="宋体" w:cs="宋体"/>
          <w:color w:val="000000"/>
          <w:kern w:val="0"/>
          <w:sz w:val="24"/>
          <w:szCs w:val="24"/>
        </w:rPr>
      </w:pPr>
    </w:p>
    <w:p w14:paraId="1823CECE">
      <w:pPr>
        <w:widowControl/>
        <w:adjustRightInd w:val="0"/>
        <w:snapToGrid w:val="0"/>
        <w:spacing w:after="200" w:line="360" w:lineRule="auto"/>
        <w:ind w:firstLine="420" w:firstLineChars="175"/>
        <w:jc w:val="left"/>
        <w:rPr>
          <w:rFonts w:ascii="宋体" w:hAnsi="宋体" w:cs="宋体"/>
          <w:color w:val="000000"/>
          <w:kern w:val="0"/>
          <w:sz w:val="24"/>
          <w:szCs w:val="24"/>
        </w:rPr>
      </w:pPr>
      <w:r>
        <w:rPr>
          <w:rFonts w:hint="eastAsia" w:ascii="宋体" w:hAnsi="宋体" w:cs="宋体"/>
          <w:color w:val="000000"/>
          <w:kern w:val="0"/>
          <w:sz w:val="24"/>
          <w:szCs w:val="24"/>
        </w:rPr>
        <w:t>供应商名称：</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 xml:space="preserve">      </w:t>
      </w:r>
    </w:p>
    <w:p w14:paraId="75C0525C">
      <w:pPr>
        <w:widowControl/>
        <w:adjustRightInd w:val="0"/>
        <w:snapToGrid w:val="0"/>
        <w:spacing w:after="200" w:line="360" w:lineRule="auto"/>
        <w:ind w:firstLine="420" w:firstLineChars="175"/>
        <w:jc w:val="left"/>
        <w:rPr>
          <w:rFonts w:ascii="宋体" w:hAnsi="宋体" w:cs="宋体"/>
          <w:color w:val="000000"/>
          <w:kern w:val="0"/>
          <w:sz w:val="24"/>
          <w:szCs w:val="24"/>
        </w:rPr>
      </w:pPr>
      <w:r>
        <w:rPr>
          <w:rFonts w:hint="eastAsia" w:ascii="宋体" w:hAnsi="宋体" w:cs="宋体"/>
          <w:color w:val="000000"/>
          <w:kern w:val="0"/>
          <w:sz w:val="24"/>
          <w:szCs w:val="24"/>
        </w:rPr>
        <w:t>单位性质：</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 xml:space="preserve"> </w:t>
      </w:r>
    </w:p>
    <w:p w14:paraId="0244116C">
      <w:pPr>
        <w:widowControl/>
        <w:adjustRightInd w:val="0"/>
        <w:snapToGrid w:val="0"/>
        <w:spacing w:after="200" w:line="360" w:lineRule="auto"/>
        <w:ind w:firstLine="420" w:firstLineChars="175"/>
        <w:jc w:val="left"/>
        <w:rPr>
          <w:rFonts w:ascii="宋体" w:hAnsi="宋体" w:cs="宋体"/>
          <w:color w:val="000000"/>
          <w:kern w:val="0"/>
          <w:sz w:val="24"/>
          <w:szCs w:val="24"/>
        </w:rPr>
      </w:pPr>
      <w:r>
        <w:rPr>
          <w:rFonts w:hint="eastAsia" w:ascii="宋体" w:hAnsi="宋体" w:cs="宋体"/>
          <w:color w:val="000000"/>
          <w:kern w:val="0"/>
          <w:sz w:val="24"/>
          <w:szCs w:val="24"/>
        </w:rPr>
        <w:t>地址：</w:t>
      </w:r>
      <w:r>
        <w:rPr>
          <w:rFonts w:hint="eastAsia" w:ascii="宋体" w:hAnsi="宋体" w:cs="宋体"/>
          <w:color w:val="000000"/>
          <w:kern w:val="0"/>
          <w:sz w:val="24"/>
          <w:szCs w:val="24"/>
          <w:u w:val="single"/>
        </w:rPr>
        <w:t xml:space="preserve">                                   </w:t>
      </w:r>
    </w:p>
    <w:p w14:paraId="0614B3C1">
      <w:pPr>
        <w:widowControl/>
        <w:adjustRightInd w:val="0"/>
        <w:snapToGrid w:val="0"/>
        <w:spacing w:after="200" w:line="360" w:lineRule="auto"/>
        <w:ind w:firstLine="420" w:firstLineChars="175"/>
        <w:jc w:val="left"/>
        <w:rPr>
          <w:rFonts w:ascii="宋体" w:hAnsi="宋体" w:cs="宋体"/>
          <w:color w:val="000000"/>
          <w:kern w:val="0"/>
          <w:sz w:val="24"/>
          <w:szCs w:val="24"/>
        </w:rPr>
      </w:pPr>
      <w:r>
        <w:rPr>
          <w:rFonts w:hint="eastAsia" w:ascii="宋体" w:hAnsi="宋体" w:cs="宋体"/>
          <w:color w:val="000000"/>
          <w:kern w:val="0"/>
          <w:sz w:val="24"/>
          <w:szCs w:val="24"/>
        </w:rPr>
        <w:t>成立时间：</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年</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月</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日</w:t>
      </w:r>
    </w:p>
    <w:p w14:paraId="08A0995F">
      <w:pPr>
        <w:widowControl/>
        <w:adjustRightInd w:val="0"/>
        <w:snapToGrid w:val="0"/>
        <w:spacing w:after="200" w:line="360" w:lineRule="auto"/>
        <w:ind w:firstLine="420" w:firstLineChars="175"/>
        <w:jc w:val="left"/>
        <w:rPr>
          <w:rFonts w:ascii="宋体" w:hAnsi="宋体" w:cs="宋体"/>
          <w:color w:val="000000"/>
          <w:kern w:val="0"/>
          <w:sz w:val="24"/>
          <w:szCs w:val="24"/>
        </w:rPr>
      </w:pPr>
      <w:r>
        <w:rPr>
          <w:rFonts w:hint="eastAsia" w:ascii="宋体" w:hAnsi="宋体" w:cs="宋体"/>
          <w:color w:val="000000"/>
          <w:kern w:val="0"/>
          <w:sz w:val="24"/>
          <w:szCs w:val="24"/>
        </w:rPr>
        <w:t>经营期限：</w:t>
      </w:r>
      <w:r>
        <w:rPr>
          <w:rFonts w:hint="eastAsia" w:ascii="宋体" w:hAnsi="宋体" w:cs="宋体"/>
          <w:color w:val="000000"/>
          <w:kern w:val="0"/>
          <w:sz w:val="24"/>
          <w:szCs w:val="24"/>
          <w:u w:val="single"/>
        </w:rPr>
        <w:t xml:space="preserve">                               </w:t>
      </w:r>
    </w:p>
    <w:p w14:paraId="749189D8">
      <w:pPr>
        <w:widowControl/>
        <w:adjustRightInd w:val="0"/>
        <w:snapToGrid w:val="0"/>
        <w:spacing w:after="200" w:line="360" w:lineRule="auto"/>
        <w:ind w:firstLine="420" w:firstLineChars="175"/>
        <w:jc w:val="left"/>
        <w:rPr>
          <w:rFonts w:ascii="宋体" w:hAnsi="宋体" w:cs="宋体"/>
          <w:color w:val="000000"/>
          <w:kern w:val="0"/>
          <w:sz w:val="24"/>
          <w:szCs w:val="24"/>
          <w:u w:val="single"/>
        </w:rPr>
      </w:pPr>
      <w:r>
        <w:rPr>
          <w:rFonts w:hint="eastAsia" w:ascii="宋体" w:hAnsi="宋体" w:cs="宋体"/>
          <w:color w:val="000000"/>
          <w:kern w:val="0"/>
          <w:sz w:val="24"/>
          <w:szCs w:val="24"/>
        </w:rPr>
        <w:t>姓名：</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 xml:space="preserve"> 性别：</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年龄：</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职务：</w:t>
      </w:r>
      <w:r>
        <w:rPr>
          <w:rFonts w:hint="eastAsia" w:ascii="宋体" w:hAnsi="宋体" w:cs="宋体"/>
          <w:color w:val="000000"/>
          <w:kern w:val="0"/>
          <w:sz w:val="24"/>
          <w:szCs w:val="24"/>
          <w:u w:val="single"/>
        </w:rPr>
        <w:t xml:space="preserve">          </w:t>
      </w:r>
    </w:p>
    <w:p w14:paraId="57CE742E">
      <w:pPr>
        <w:widowControl/>
        <w:adjustRightInd w:val="0"/>
        <w:snapToGrid w:val="0"/>
        <w:spacing w:after="200" w:line="360" w:lineRule="auto"/>
        <w:ind w:firstLine="420" w:firstLineChars="175"/>
        <w:jc w:val="left"/>
        <w:rPr>
          <w:rFonts w:ascii="宋体" w:hAnsi="宋体" w:cs="宋体"/>
          <w:color w:val="000000"/>
          <w:kern w:val="0"/>
          <w:sz w:val="24"/>
          <w:szCs w:val="24"/>
        </w:rPr>
      </w:pPr>
      <w:r>
        <w:rPr>
          <w:rFonts w:hint="eastAsia" w:ascii="宋体" w:hAnsi="宋体" w:cs="宋体"/>
          <w:color w:val="000000"/>
          <w:kern w:val="0"/>
          <w:sz w:val="24"/>
          <w:szCs w:val="24"/>
        </w:rPr>
        <w:t>系</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 xml:space="preserve"> （供应商名称）的法定代表人。</w:t>
      </w:r>
    </w:p>
    <w:p w14:paraId="331FF34F">
      <w:pPr>
        <w:widowControl/>
        <w:adjustRightInd w:val="0"/>
        <w:snapToGrid w:val="0"/>
        <w:spacing w:after="200" w:line="480" w:lineRule="auto"/>
        <w:ind w:firstLine="420" w:firstLineChars="175"/>
        <w:jc w:val="left"/>
        <w:rPr>
          <w:rFonts w:ascii="宋体" w:hAnsi="宋体" w:cs="宋体"/>
          <w:color w:val="000000"/>
          <w:kern w:val="0"/>
          <w:sz w:val="24"/>
          <w:szCs w:val="24"/>
        </w:rPr>
      </w:pPr>
      <w:r>
        <w:rPr>
          <w:rFonts w:hint="eastAsia" w:ascii="宋体" w:hAnsi="宋体" w:cs="宋体"/>
          <w:color w:val="000000"/>
          <w:kern w:val="0"/>
          <w:sz w:val="24"/>
          <w:szCs w:val="24"/>
        </w:rPr>
        <w:t>特此证明。</w:t>
      </w:r>
    </w:p>
    <w:p w14:paraId="298B05F9">
      <w:pPr>
        <w:ind w:firstLine="367" w:firstLineChars="175"/>
      </w:pPr>
    </w:p>
    <w:p w14:paraId="58E057A9">
      <w:pPr>
        <w:widowControl/>
        <w:adjustRightInd w:val="0"/>
        <w:snapToGrid w:val="0"/>
        <w:spacing w:after="200" w:line="480" w:lineRule="auto"/>
        <w:ind w:firstLine="420" w:firstLineChars="175"/>
        <w:jc w:val="left"/>
        <w:rPr>
          <w:rFonts w:ascii="宋体" w:hAnsi="宋体" w:cs="宋体"/>
          <w:color w:val="000000"/>
          <w:kern w:val="0"/>
          <w:sz w:val="24"/>
          <w:szCs w:val="24"/>
        </w:rPr>
      </w:pPr>
      <w:r>
        <w:rPr>
          <w:rFonts w:hint="eastAsia" w:ascii="宋体" w:hAnsi="宋体" w:cs="宋体"/>
          <w:color w:val="000000"/>
          <w:kern w:val="0"/>
          <w:sz w:val="24"/>
          <w:szCs w:val="24"/>
        </w:rPr>
        <w:t xml:space="preserve">附：法定代表人身份证复印件。 </w:t>
      </w:r>
    </w:p>
    <w:p w14:paraId="4A2C911B">
      <w:pPr>
        <w:rPr>
          <w:rFonts w:hAnsi="宋体" w:cs="宋体"/>
          <w:color w:val="000000"/>
          <w:szCs w:val="24"/>
        </w:rPr>
      </w:pPr>
    </w:p>
    <w:p w14:paraId="6DA07FD5"/>
    <w:p w14:paraId="320BBAF7">
      <w:pPr>
        <w:widowControl/>
        <w:adjustRightInd w:val="0"/>
        <w:snapToGrid w:val="0"/>
        <w:spacing w:after="200" w:line="48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供应商名称：</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(盖单位章)</w:t>
      </w:r>
    </w:p>
    <w:p w14:paraId="5AA88191">
      <w:pPr>
        <w:widowControl/>
        <w:adjustRightInd w:val="0"/>
        <w:snapToGrid w:val="0"/>
        <w:spacing w:after="200" w:line="480" w:lineRule="auto"/>
        <w:ind w:firstLine="480" w:firstLineChars="200"/>
        <w:jc w:val="left"/>
        <w:rPr>
          <w:rFonts w:ascii="宋体" w:hAnsi="宋体" w:cs="宋体"/>
          <w:color w:val="000000"/>
          <w:kern w:val="0"/>
          <w:sz w:val="28"/>
          <w:szCs w:val="28"/>
        </w:rPr>
      </w:pPr>
      <w:r>
        <w:rPr>
          <w:rFonts w:hint="eastAsia" w:ascii="宋体" w:hAnsi="宋体" w:cs="宋体"/>
          <w:color w:val="000000"/>
          <w:kern w:val="0"/>
          <w:sz w:val="24"/>
          <w:szCs w:val="24"/>
        </w:rPr>
        <w:t>日  期：______年_____月</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日</w:t>
      </w:r>
      <w:r>
        <w:rPr>
          <w:rFonts w:hint="eastAsia" w:ascii="宋体" w:hAnsi="宋体" w:cs="宋体"/>
          <w:color w:val="000000"/>
          <w:kern w:val="0"/>
          <w:sz w:val="28"/>
          <w:szCs w:val="28"/>
        </w:rPr>
        <w:t xml:space="preserve">  </w:t>
      </w:r>
    </w:p>
    <w:p w14:paraId="05C34A61">
      <w:pPr>
        <w:widowControl/>
        <w:adjustRightInd w:val="0"/>
        <w:snapToGrid w:val="0"/>
        <w:spacing w:after="200" w:line="360" w:lineRule="auto"/>
        <w:ind w:left="4740" w:leftChars="2257"/>
        <w:jc w:val="left"/>
        <w:rPr>
          <w:rFonts w:ascii="宋体" w:hAnsi="宋体" w:cs="宋体"/>
          <w:color w:val="000000"/>
          <w:kern w:val="0"/>
          <w:sz w:val="28"/>
          <w:szCs w:val="28"/>
        </w:rPr>
      </w:pPr>
    </w:p>
    <w:p w14:paraId="503BF94B">
      <w:pPr>
        <w:widowControl/>
        <w:spacing w:after="200" w:line="220" w:lineRule="atLeast"/>
        <w:jc w:val="center"/>
        <w:rPr>
          <w:rFonts w:ascii="宋体" w:hAnsi="宋体" w:cs="宋体"/>
          <w:b/>
          <w:color w:val="000000"/>
          <w:kern w:val="0"/>
          <w:sz w:val="24"/>
          <w:szCs w:val="24"/>
        </w:rPr>
      </w:pPr>
      <w:bookmarkStart w:id="387" w:name="_Toc12633"/>
      <w:bookmarkStart w:id="388" w:name="_Toc22161"/>
      <w:bookmarkStart w:id="389" w:name="_Toc29611"/>
      <w:r>
        <w:rPr>
          <w:rFonts w:hint="eastAsia" w:ascii="宋体" w:hAnsi="宋体" w:cs="宋体"/>
          <w:b/>
          <w:color w:val="000000"/>
          <w:kern w:val="0"/>
          <w:sz w:val="28"/>
          <w:szCs w:val="28"/>
        </w:rPr>
        <w:br w:type="page"/>
      </w:r>
      <w:r>
        <w:rPr>
          <w:rFonts w:hint="eastAsia" w:ascii="宋体" w:hAnsi="宋体" w:cs="宋体"/>
          <w:b/>
          <w:color w:val="000000"/>
          <w:kern w:val="0"/>
          <w:sz w:val="24"/>
          <w:szCs w:val="24"/>
        </w:rPr>
        <w:t>（二）授权委托书</w:t>
      </w:r>
      <w:bookmarkEnd w:id="387"/>
      <w:bookmarkEnd w:id="388"/>
      <w:bookmarkEnd w:id="389"/>
    </w:p>
    <w:p w14:paraId="5E05F8C2">
      <w:pPr>
        <w:widowControl/>
        <w:topLinePunct/>
        <w:adjustRightInd w:val="0"/>
        <w:snapToGrid w:val="0"/>
        <w:spacing w:after="200" w:line="360" w:lineRule="auto"/>
        <w:ind w:firstLine="360" w:firstLineChars="150"/>
        <w:jc w:val="left"/>
        <w:rPr>
          <w:rFonts w:ascii="宋体" w:hAnsi="宋体" w:cs="宋体"/>
          <w:color w:val="000000"/>
          <w:kern w:val="0"/>
          <w:sz w:val="24"/>
          <w:szCs w:val="24"/>
        </w:rPr>
      </w:pPr>
      <w:r>
        <w:rPr>
          <w:rFonts w:hint="eastAsia" w:ascii="宋体" w:hAnsi="宋体" w:cs="宋体"/>
          <w:color w:val="000000"/>
          <w:kern w:val="0"/>
          <w:sz w:val="24"/>
          <w:szCs w:val="24"/>
        </w:rPr>
        <w:t>本人</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u w:val="single"/>
          <w:lang w:val="en-US" w:eastAsia="zh-CN"/>
        </w:rPr>
        <w:t xml:space="preserve">  </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（姓名）系</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（供应商名称）的法定代表人，现委托</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（姓名）为我方代理人。代理人根据授权，以我方名义签署、澄清、说明、补正、递交、撤回、修改</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（项目名称）磋商响应文件、签订合同和处理有关事宜，其法律后果由我方承担。</w:t>
      </w:r>
    </w:p>
    <w:p w14:paraId="23A4BEE3">
      <w:pPr>
        <w:widowControl/>
        <w:adjustRightInd w:val="0"/>
        <w:snapToGrid w:val="0"/>
        <w:spacing w:after="200" w:line="360" w:lineRule="auto"/>
        <w:ind w:firstLine="360" w:firstLineChars="150"/>
        <w:jc w:val="left"/>
        <w:rPr>
          <w:rFonts w:ascii="宋体" w:hAnsi="宋体" w:cs="宋体"/>
          <w:color w:val="000000"/>
          <w:kern w:val="0"/>
          <w:sz w:val="24"/>
          <w:szCs w:val="24"/>
        </w:rPr>
      </w:pPr>
      <w:r>
        <w:rPr>
          <w:rFonts w:hint="eastAsia" w:ascii="宋体" w:hAnsi="宋体" w:cs="宋体"/>
          <w:color w:val="000000"/>
          <w:kern w:val="0"/>
          <w:sz w:val="24"/>
          <w:szCs w:val="24"/>
        </w:rPr>
        <w:t>委托期限：</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w:t>
      </w:r>
    </w:p>
    <w:p w14:paraId="3ADF59DB">
      <w:pPr>
        <w:widowControl/>
        <w:adjustRightInd w:val="0"/>
        <w:snapToGrid w:val="0"/>
        <w:spacing w:after="200" w:line="360" w:lineRule="auto"/>
        <w:ind w:firstLine="360" w:firstLineChars="150"/>
        <w:jc w:val="left"/>
        <w:rPr>
          <w:rFonts w:ascii="宋体" w:hAnsi="宋体" w:cs="宋体"/>
          <w:color w:val="000000"/>
          <w:kern w:val="0"/>
          <w:sz w:val="24"/>
          <w:szCs w:val="24"/>
        </w:rPr>
      </w:pPr>
      <w:r>
        <w:rPr>
          <w:rFonts w:hint="eastAsia" w:ascii="宋体" w:hAnsi="宋体" w:cs="宋体"/>
          <w:color w:val="000000"/>
          <w:kern w:val="0"/>
          <w:sz w:val="24"/>
          <w:szCs w:val="24"/>
        </w:rPr>
        <w:t>代理人无转委托权。</w:t>
      </w:r>
    </w:p>
    <w:p w14:paraId="1D8B22F6">
      <w:pPr>
        <w:widowControl/>
        <w:adjustRightInd w:val="0"/>
        <w:snapToGrid w:val="0"/>
        <w:spacing w:after="200" w:line="360" w:lineRule="auto"/>
        <w:ind w:firstLine="360" w:firstLineChars="150"/>
        <w:jc w:val="left"/>
        <w:rPr>
          <w:rFonts w:ascii="宋体" w:hAnsi="宋体" w:cs="宋体"/>
          <w:color w:val="000000"/>
          <w:kern w:val="0"/>
          <w:sz w:val="24"/>
          <w:szCs w:val="24"/>
        </w:rPr>
      </w:pPr>
      <w:r>
        <w:rPr>
          <w:rFonts w:hint="eastAsia" w:ascii="宋体" w:hAnsi="宋体" w:cs="宋体"/>
          <w:color w:val="000000"/>
          <w:kern w:val="0"/>
          <w:sz w:val="24"/>
          <w:szCs w:val="24"/>
        </w:rPr>
        <w:t>附：法定代表人及委托代理人身份证正反面扫描件。</w:t>
      </w:r>
    </w:p>
    <w:p w14:paraId="7735E3F2">
      <w:pPr>
        <w:widowControl/>
        <w:adjustRightInd w:val="0"/>
        <w:snapToGrid w:val="0"/>
        <w:spacing w:after="200" w:line="360" w:lineRule="auto"/>
        <w:ind w:firstLine="360" w:firstLineChars="150"/>
        <w:jc w:val="left"/>
        <w:rPr>
          <w:rFonts w:ascii="宋体" w:hAnsi="宋体" w:cs="宋体"/>
          <w:color w:val="000000"/>
          <w:kern w:val="0"/>
          <w:sz w:val="24"/>
          <w:szCs w:val="24"/>
        </w:rPr>
      </w:pPr>
    </w:p>
    <w:p w14:paraId="159308B6">
      <w:pPr>
        <w:widowControl/>
        <w:adjustRightInd w:val="0"/>
        <w:snapToGrid w:val="0"/>
        <w:spacing w:after="200" w:line="360" w:lineRule="auto"/>
        <w:ind w:firstLine="360" w:firstLineChars="150"/>
        <w:jc w:val="left"/>
        <w:rPr>
          <w:rFonts w:ascii="宋体" w:hAnsi="宋体" w:cs="宋体"/>
          <w:color w:val="000000"/>
          <w:kern w:val="0"/>
          <w:sz w:val="24"/>
          <w:szCs w:val="24"/>
        </w:rPr>
      </w:pPr>
      <w:r>
        <w:rPr>
          <w:rFonts w:hint="eastAsia" w:ascii="宋体" w:hAnsi="宋体" w:cs="宋体"/>
          <w:color w:val="000000"/>
          <w:kern w:val="0"/>
          <w:sz w:val="24"/>
          <w:szCs w:val="24"/>
        </w:rPr>
        <w:t>供应商名称：</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（盖单位章）</w:t>
      </w:r>
    </w:p>
    <w:p w14:paraId="1D677DE4">
      <w:pPr>
        <w:widowControl/>
        <w:adjustRightInd w:val="0"/>
        <w:snapToGrid w:val="0"/>
        <w:spacing w:after="200" w:line="360" w:lineRule="auto"/>
        <w:ind w:firstLine="360" w:firstLineChars="150"/>
        <w:jc w:val="left"/>
        <w:rPr>
          <w:rFonts w:ascii="宋体" w:hAnsi="宋体" w:cs="宋体"/>
          <w:color w:val="000000"/>
          <w:kern w:val="0"/>
          <w:sz w:val="24"/>
          <w:szCs w:val="24"/>
        </w:rPr>
      </w:pPr>
      <w:r>
        <w:rPr>
          <w:rFonts w:hint="eastAsia" w:ascii="宋体" w:hAnsi="宋体" w:cs="宋体"/>
          <w:color w:val="000000"/>
          <w:kern w:val="0"/>
          <w:sz w:val="24"/>
          <w:szCs w:val="24"/>
        </w:rPr>
        <w:t>法定代表人：</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（电子签章）</w:t>
      </w:r>
    </w:p>
    <w:p w14:paraId="3D7E8AD0">
      <w:pPr>
        <w:widowControl/>
        <w:adjustRightInd w:val="0"/>
        <w:snapToGrid w:val="0"/>
        <w:spacing w:after="200" w:line="360" w:lineRule="auto"/>
        <w:ind w:firstLine="360" w:firstLineChars="150"/>
        <w:jc w:val="left"/>
        <w:rPr>
          <w:rFonts w:ascii="宋体" w:hAnsi="宋体" w:cs="宋体"/>
          <w:color w:val="000000"/>
          <w:kern w:val="0"/>
          <w:sz w:val="24"/>
          <w:szCs w:val="24"/>
        </w:rPr>
      </w:pPr>
      <w:r>
        <w:rPr>
          <w:rFonts w:hint="eastAsia" w:ascii="宋体" w:hAnsi="宋体" w:cs="宋体"/>
          <w:color w:val="000000"/>
          <w:kern w:val="0"/>
          <w:sz w:val="24"/>
          <w:szCs w:val="24"/>
        </w:rPr>
        <w:t>身份证号码：</w:t>
      </w:r>
      <w:r>
        <w:rPr>
          <w:rFonts w:hint="eastAsia" w:ascii="宋体" w:hAnsi="宋体" w:cs="宋体"/>
          <w:color w:val="000000"/>
          <w:kern w:val="0"/>
          <w:sz w:val="24"/>
          <w:szCs w:val="24"/>
          <w:u w:val="single"/>
        </w:rPr>
        <w:t xml:space="preserve">                 </w:t>
      </w:r>
      <w:r>
        <w:rPr>
          <w:rFonts w:hint="eastAsia" w:ascii="宋体" w:hAnsi="宋体" w:cs="宋体"/>
          <w:color w:val="000000"/>
          <w:sz w:val="24"/>
          <w:szCs w:val="24"/>
          <w:u w:val="single"/>
        </w:rPr>
        <w:t xml:space="preserve">         </w:t>
      </w:r>
    </w:p>
    <w:p w14:paraId="1834167E">
      <w:pPr>
        <w:widowControl/>
        <w:adjustRightInd w:val="0"/>
        <w:snapToGrid w:val="0"/>
        <w:spacing w:after="200" w:line="360" w:lineRule="auto"/>
        <w:ind w:firstLine="360" w:firstLineChars="150"/>
        <w:jc w:val="left"/>
        <w:rPr>
          <w:rFonts w:ascii="宋体" w:hAnsi="宋体" w:cs="宋体"/>
          <w:color w:val="000000"/>
          <w:kern w:val="0"/>
          <w:sz w:val="24"/>
          <w:szCs w:val="24"/>
        </w:rPr>
      </w:pPr>
      <w:r>
        <w:rPr>
          <w:rFonts w:hint="eastAsia" w:ascii="宋体" w:hAnsi="宋体" w:cs="宋体"/>
          <w:color w:val="000000"/>
          <w:kern w:val="0"/>
          <w:sz w:val="24"/>
          <w:szCs w:val="24"/>
        </w:rPr>
        <w:t>委托代理人：</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（法人电子签章）</w:t>
      </w:r>
    </w:p>
    <w:p w14:paraId="5D34E8DC">
      <w:pPr>
        <w:widowControl/>
        <w:adjustRightInd w:val="0"/>
        <w:snapToGrid w:val="0"/>
        <w:spacing w:after="200" w:line="360" w:lineRule="auto"/>
        <w:ind w:firstLine="360" w:firstLineChars="150"/>
        <w:jc w:val="left"/>
        <w:rPr>
          <w:rFonts w:ascii="宋体" w:hAnsi="宋体" w:cs="宋体"/>
          <w:color w:val="000000"/>
          <w:sz w:val="24"/>
          <w:szCs w:val="24"/>
          <w:u w:val="single"/>
        </w:rPr>
      </w:pPr>
      <w:r>
        <w:rPr>
          <w:rFonts w:hint="eastAsia" w:ascii="宋体" w:hAnsi="宋体" w:cs="宋体"/>
          <w:color w:val="000000"/>
          <w:kern w:val="0"/>
          <w:sz w:val="24"/>
          <w:szCs w:val="24"/>
        </w:rPr>
        <w:t>身份证号码：</w:t>
      </w:r>
      <w:r>
        <w:rPr>
          <w:rFonts w:hint="eastAsia" w:ascii="宋体" w:hAnsi="宋体" w:cs="宋体"/>
          <w:color w:val="000000"/>
          <w:kern w:val="0"/>
          <w:sz w:val="24"/>
          <w:szCs w:val="24"/>
          <w:u w:val="single"/>
        </w:rPr>
        <w:t xml:space="preserve">                 </w:t>
      </w:r>
      <w:r>
        <w:rPr>
          <w:rFonts w:hint="eastAsia" w:ascii="宋体" w:hAnsi="宋体" w:cs="宋体"/>
          <w:color w:val="000000"/>
          <w:sz w:val="24"/>
          <w:szCs w:val="24"/>
          <w:u w:val="single"/>
        </w:rPr>
        <w:t xml:space="preserve">         </w:t>
      </w:r>
    </w:p>
    <w:p w14:paraId="312538C7">
      <w:pPr>
        <w:widowControl/>
        <w:adjustRightInd w:val="0"/>
        <w:snapToGrid w:val="0"/>
        <w:spacing w:after="200" w:line="360" w:lineRule="auto"/>
        <w:ind w:firstLine="360" w:firstLineChars="150"/>
        <w:jc w:val="left"/>
        <w:rPr>
          <w:rFonts w:hint="default" w:ascii="宋体" w:hAnsi="宋体" w:cs="宋体" w:eastAsiaTheme="minorEastAsia"/>
          <w:color w:val="000000"/>
          <w:sz w:val="24"/>
          <w:szCs w:val="24"/>
          <w:u w:val="single"/>
          <w:lang w:val="en-US" w:eastAsia="zh-CN"/>
        </w:rPr>
      </w:pPr>
      <w:r>
        <w:rPr>
          <w:rFonts w:hint="eastAsia" w:ascii="宋体" w:hAnsi="宋体" w:cs="宋体"/>
          <w:color w:val="000000"/>
          <w:sz w:val="24"/>
          <w:szCs w:val="24"/>
          <w:u w:val="none"/>
          <w:lang w:val="en-US" w:eastAsia="zh-CN"/>
        </w:rPr>
        <w:t>联系电话：</w:t>
      </w:r>
      <w:r>
        <w:rPr>
          <w:rFonts w:hint="eastAsia" w:ascii="宋体" w:hAnsi="宋体" w:cs="宋体"/>
          <w:color w:val="000000"/>
          <w:sz w:val="24"/>
          <w:szCs w:val="24"/>
          <w:u w:val="single"/>
          <w:lang w:val="en-US" w:eastAsia="zh-CN"/>
        </w:rPr>
        <w:t xml:space="preserve">                            </w:t>
      </w:r>
    </w:p>
    <w:p w14:paraId="2FC445DC">
      <w:pPr>
        <w:widowControl/>
        <w:adjustRightInd w:val="0"/>
        <w:snapToGrid w:val="0"/>
        <w:spacing w:after="200" w:line="360" w:lineRule="auto"/>
        <w:ind w:firstLine="360" w:firstLineChars="150"/>
        <w:jc w:val="left"/>
        <w:rPr>
          <w:rFonts w:ascii="宋体" w:hAnsi="宋体" w:cs="宋体"/>
          <w:color w:val="000000"/>
          <w:kern w:val="0"/>
          <w:sz w:val="24"/>
          <w:szCs w:val="24"/>
        </w:rPr>
      </w:pPr>
      <w:r>
        <w:rPr>
          <w:rFonts w:hint="eastAsia" w:ascii="宋体" w:hAnsi="宋体" w:cs="宋体"/>
          <w:color w:val="000000"/>
          <w:sz w:val="24"/>
          <w:szCs w:val="24"/>
          <w:u w:val="single"/>
        </w:rPr>
        <w:t xml:space="preserve">      </w:t>
      </w:r>
      <w:r>
        <w:rPr>
          <w:rFonts w:hint="eastAsia" w:ascii="宋体" w:hAnsi="宋体" w:cs="宋体"/>
          <w:color w:val="000000"/>
          <w:kern w:val="0"/>
          <w:sz w:val="24"/>
          <w:szCs w:val="24"/>
        </w:rPr>
        <w:t>年</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月</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日</w:t>
      </w:r>
    </w:p>
    <w:p w14:paraId="078D366E">
      <w:pPr>
        <w:ind w:firstLine="420" w:firstLineChars="150"/>
        <w:rPr>
          <w:rFonts w:ascii="宋体" w:hAnsi="宋体" w:cs="宋体"/>
          <w:color w:val="000000"/>
          <w:kern w:val="0"/>
          <w:sz w:val="28"/>
          <w:szCs w:val="28"/>
        </w:rPr>
      </w:pPr>
    </w:p>
    <w:p w14:paraId="29FD6DB2">
      <w:pPr>
        <w:ind w:firstLine="315" w:firstLineChars="150"/>
      </w:pPr>
    </w:p>
    <w:p w14:paraId="6A95B546">
      <w:pPr>
        <w:widowControl/>
        <w:adjustRightInd w:val="0"/>
        <w:snapToGrid w:val="0"/>
        <w:spacing w:after="200" w:line="480" w:lineRule="exact"/>
        <w:ind w:firstLine="361" w:firstLineChars="150"/>
        <w:jc w:val="left"/>
        <w:rPr>
          <w:rFonts w:ascii="宋体" w:hAnsi="宋体" w:cs="宋体"/>
          <w:color w:val="000000"/>
          <w:kern w:val="0"/>
          <w:sz w:val="28"/>
          <w:szCs w:val="28"/>
        </w:rPr>
      </w:pPr>
      <w:r>
        <w:rPr>
          <w:rFonts w:hint="eastAsia" w:ascii="宋体" w:hAnsi="宋体" w:cs="宋体"/>
          <w:b/>
          <w:bCs/>
          <w:color w:val="000000"/>
          <w:kern w:val="0"/>
          <w:sz w:val="24"/>
        </w:rPr>
        <w:t>注：因磋商响应文件中授权委托书授权代理人无法手写签字，可以以印刷体代替（印刷体为电脑打出的字体）。</w:t>
      </w:r>
    </w:p>
    <w:p w14:paraId="4E9F7FDC">
      <w:pPr>
        <w:widowControl/>
        <w:shd w:val="clear" w:color="auto" w:fill="FFFFFF"/>
        <w:jc w:val="center"/>
        <w:rPr>
          <w:rFonts w:ascii="宋体" w:hAnsi="宋体" w:cs="宋体"/>
          <w:b/>
          <w:color w:val="000000"/>
          <w:kern w:val="0"/>
          <w:sz w:val="24"/>
          <w:szCs w:val="24"/>
        </w:rPr>
      </w:pPr>
      <w:r>
        <w:rPr>
          <w:rFonts w:hint="eastAsia" w:ascii="宋体" w:hAnsi="宋体" w:cs="宋体"/>
          <w:color w:val="000000"/>
          <w:kern w:val="0"/>
          <w:sz w:val="28"/>
          <w:szCs w:val="28"/>
        </w:rPr>
        <w:br w:type="page"/>
      </w:r>
      <w:bookmarkStart w:id="390" w:name="_Toc26393"/>
      <w:r>
        <w:rPr>
          <w:rFonts w:hint="eastAsia" w:ascii="宋体" w:hAnsi="宋体" w:eastAsia="宋体" w:cs="宋体"/>
          <w:b/>
          <w:sz w:val="24"/>
          <w:szCs w:val="24"/>
        </w:rPr>
        <w:t>三、磋商承诺函</w:t>
      </w:r>
      <w:bookmarkEnd w:id="390"/>
    </w:p>
    <w:p w14:paraId="3FB5B073">
      <w:pPr>
        <w:widowControl/>
        <w:adjustRightInd w:val="0"/>
        <w:snapToGrid w:val="0"/>
        <w:spacing w:after="200"/>
        <w:jc w:val="center"/>
        <w:rPr>
          <w:rFonts w:ascii="宋体" w:hAnsi="宋体" w:cs="宋体"/>
          <w:bCs/>
          <w:color w:val="000000"/>
          <w:kern w:val="0"/>
          <w:sz w:val="30"/>
          <w:szCs w:val="30"/>
        </w:rPr>
      </w:pPr>
    </w:p>
    <w:p w14:paraId="27A035C7">
      <w:pPr>
        <w:widowControl/>
        <w:shd w:val="clear" w:color="auto" w:fill="FFFFFF"/>
        <w:spacing w:line="360" w:lineRule="auto"/>
        <w:rPr>
          <w:rFonts w:ascii="宋体" w:hAnsi="宋体" w:cs="宋体"/>
          <w:color w:val="000000"/>
          <w:spacing w:val="8"/>
          <w:kern w:val="0"/>
          <w:sz w:val="24"/>
          <w:szCs w:val="24"/>
          <w:u w:val="single"/>
        </w:rPr>
      </w:pPr>
      <w:r>
        <w:rPr>
          <w:rFonts w:hint="eastAsia" w:ascii="宋体" w:hAnsi="宋体" w:cs="宋体"/>
          <w:color w:val="000000"/>
          <w:kern w:val="0"/>
          <w:sz w:val="24"/>
          <w:szCs w:val="24"/>
        </w:rPr>
        <w:t>致（采购人）</w:t>
      </w:r>
      <w:r>
        <w:rPr>
          <w:rFonts w:hint="eastAsia" w:ascii="宋体" w:hAnsi="宋体" w:cs="宋体"/>
          <w:color w:val="000000"/>
          <w:spacing w:val="8"/>
          <w:kern w:val="0"/>
          <w:sz w:val="24"/>
          <w:szCs w:val="24"/>
        </w:rPr>
        <w:t>：</w:t>
      </w:r>
      <w:r>
        <w:rPr>
          <w:rFonts w:hint="eastAsia" w:ascii="宋体" w:hAnsi="宋体" w:cs="宋体"/>
          <w:color w:val="000000"/>
          <w:spacing w:val="8"/>
          <w:kern w:val="0"/>
          <w:sz w:val="24"/>
          <w:szCs w:val="24"/>
          <w:u w:val="single"/>
        </w:rPr>
        <w:t xml:space="preserve">                        </w:t>
      </w:r>
    </w:p>
    <w:p w14:paraId="1E7701EE">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我公司作为本次采购项目的供应商，根据磋商文件要求，现郑重承诺如下：</w:t>
      </w:r>
    </w:p>
    <w:p w14:paraId="5A601ADF">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一、具备《中华人民共和国政府采购法》第二十二条第一款和本项目规定的条件：</w:t>
      </w:r>
    </w:p>
    <w:p w14:paraId="38DEF0CE">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（一）具有独立承担民事责任的能力； 　　</w:t>
      </w:r>
    </w:p>
    <w:p w14:paraId="18E17BE0">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（二）具有良好的商业信誉和健全的财务会计制度； 　</w:t>
      </w:r>
    </w:p>
    <w:p w14:paraId="3646FE84">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（三）具有履行合同所必需的设备和专业技术能力； 　　</w:t>
      </w:r>
    </w:p>
    <w:p w14:paraId="68F1AA2D">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（四）有依法缴纳税收和社会保障资金的良好记录； 　　</w:t>
      </w:r>
    </w:p>
    <w:p w14:paraId="644DB3C0">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（五）参加政府采购活动前三年内，在经营活动中没有重大违法记录；</w:t>
      </w:r>
    </w:p>
    <w:p w14:paraId="7DBA766F">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（六）法律、行政法规规定的其他条件；</w:t>
      </w:r>
    </w:p>
    <w:p w14:paraId="49EA7665">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（七）根据采购项目提出的特殊条件。</w:t>
      </w:r>
    </w:p>
    <w:p w14:paraId="0681847F">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二、完全接受和满足本项目磋商文件中规定的实质性要求，如对磋商文件有异议，已经在磋商截止时间届满前依法进行维权救济，不存在对磋商文件有异议的同时又参加投标以求侥幸中标或者为实现其他非法目的的行为。</w:t>
      </w:r>
    </w:p>
    <w:p w14:paraId="18C609BA">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三、参加本次磋商采购活动，不存在与单位负责人为同一人或者存在直接控股、管理关系的其他供应商参与同一合同项下的政府采购活动的行为。</w:t>
      </w:r>
    </w:p>
    <w:p w14:paraId="7405A218">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四、参加本次磋商采购活动，不存在为采购项目提供整体设计、规范编制或者项目管理、监理、检测等服务的行为。</w:t>
      </w:r>
    </w:p>
    <w:p w14:paraId="3B3861F4">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五、参加本次磋商采购活动，不存在和其他供应商在同一合同项下的采购项目中，同时委托同一个自然人、同一家庭的人员、同一单位的人员作为代理人的行为。</w:t>
      </w:r>
    </w:p>
    <w:p w14:paraId="35C2D31A">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六、供应商参加本次政府采购活动要求在近三年内供应商和其法定代表人没有行贿犯罪行为。</w:t>
      </w:r>
    </w:p>
    <w:p w14:paraId="59FB1326">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七、参加本次磋商采购活动，不存在联合体投标。</w:t>
      </w:r>
    </w:p>
    <w:p w14:paraId="7B3AE842">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八、磋商响应文件中提供的能够给予我公司带来优惠、好处的任何材料资料和技术、服务、商务等响应承诺情况都是真实的、有效的、合法的。</w:t>
      </w:r>
    </w:p>
    <w:p w14:paraId="0F6A017B">
      <w:pPr>
        <w:widowControl/>
        <w:shd w:val="clear" w:color="auto" w:fill="FFFFFF"/>
        <w:spacing w:line="360" w:lineRule="auto"/>
        <w:ind w:firstLine="512" w:firstLineChars="200"/>
        <w:rPr>
          <w:rFonts w:ascii="宋体" w:hAnsi="宋体" w:cs="宋体"/>
          <w:color w:val="000000"/>
          <w:spacing w:val="8"/>
          <w:kern w:val="0"/>
          <w:sz w:val="24"/>
          <w:szCs w:val="24"/>
        </w:rPr>
      </w:pPr>
      <w:r>
        <w:rPr>
          <w:rFonts w:hint="eastAsia" w:ascii="宋体" w:hAnsi="宋体" w:cs="宋体"/>
          <w:color w:val="000000"/>
          <w:spacing w:val="8"/>
          <w:kern w:val="0"/>
          <w:sz w:val="24"/>
          <w:szCs w:val="24"/>
        </w:rPr>
        <w:t>九、供应商认为需要承诺的其他事项：</w:t>
      </w:r>
    </w:p>
    <w:p w14:paraId="2F2D1BD8">
      <w:pPr>
        <w:widowControl/>
        <w:shd w:val="clear" w:color="auto" w:fill="FFFFFF"/>
        <w:spacing w:line="360" w:lineRule="auto"/>
        <w:ind w:firstLine="512" w:firstLineChars="200"/>
        <w:rPr>
          <w:rFonts w:ascii="宋体" w:hAnsi="宋体" w:cs="宋体"/>
          <w:color w:val="000000"/>
          <w:spacing w:val="8"/>
          <w:kern w:val="0"/>
          <w:sz w:val="24"/>
          <w:szCs w:val="24"/>
          <w:u w:val="single"/>
        </w:rPr>
      </w:pPr>
      <w:r>
        <w:rPr>
          <w:rFonts w:hint="eastAsia" w:ascii="宋体" w:hAnsi="宋体" w:cs="宋体"/>
          <w:color w:val="000000"/>
          <w:spacing w:val="8"/>
          <w:kern w:val="0"/>
          <w:sz w:val="24"/>
          <w:szCs w:val="24"/>
        </w:rPr>
        <w:t>1、</w:t>
      </w:r>
      <w:r>
        <w:rPr>
          <w:rFonts w:hint="eastAsia" w:ascii="宋体" w:hAnsi="宋体" w:cs="宋体"/>
          <w:color w:val="000000"/>
          <w:spacing w:val="8"/>
          <w:kern w:val="0"/>
          <w:sz w:val="24"/>
          <w:szCs w:val="24"/>
          <w:u w:val="single"/>
        </w:rPr>
        <w:t xml:space="preserve">                 </w:t>
      </w:r>
      <w:r>
        <w:rPr>
          <w:rFonts w:hint="eastAsia" w:ascii="宋体" w:hAnsi="宋体" w:cs="宋体"/>
          <w:color w:val="000000"/>
          <w:spacing w:val="8"/>
          <w:kern w:val="0"/>
          <w:sz w:val="24"/>
          <w:szCs w:val="24"/>
        </w:rPr>
        <w:t>；2、</w:t>
      </w:r>
      <w:r>
        <w:rPr>
          <w:rFonts w:hint="eastAsia" w:ascii="宋体" w:hAnsi="宋体" w:cs="宋体"/>
          <w:color w:val="000000"/>
          <w:spacing w:val="8"/>
          <w:kern w:val="0"/>
          <w:sz w:val="24"/>
          <w:szCs w:val="24"/>
          <w:u w:val="single"/>
        </w:rPr>
        <w:t xml:space="preserve">                </w:t>
      </w:r>
      <w:r>
        <w:rPr>
          <w:rFonts w:hint="eastAsia" w:ascii="宋体" w:hAnsi="宋体" w:cs="宋体"/>
          <w:color w:val="000000"/>
          <w:spacing w:val="8"/>
          <w:kern w:val="0"/>
          <w:sz w:val="24"/>
          <w:szCs w:val="24"/>
        </w:rPr>
        <w:t>；3、</w:t>
      </w:r>
      <w:r>
        <w:rPr>
          <w:rFonts w:hint="eastAsia" w:ascii="宋体" w:hAnsi="宋体" w:cs="宋体"/>
          <w:color w:val="000000"/>
          <w:spacing w:val="8"/>
          <w:kern w:val="0"/>
          <w:sz w:val="24"/>
          <w:szCs w:val="24"/>
          <w:u w:val="single"/>
        </w:rPr>
        <w:t xml:space="preserve">                 </w:t>
      </w:r>
      <w:r>
        <w:rPr>
          <w:rFonts w:hint="eastAsia" w:ascii="宋体" w:hAnsi="宋体" w:cs="宋体"/>
          <w:color w:val="000000"/>
          <w:spacing w:val="8"/>
          <w:kern w:val="0"/>
          <w:sz w:val="24"/>
          <w:szCs w:val="24"/>
        </w:rPr>
        <w:t>。</w:t>
      </w:r>
    </w:p>
    <w:p w14:paraId="573C2A9F">
      <w:pPr>
        <w:widowControl/>
        <w:shd w:val="clear" w:color="auto" w:fill="FFFFFF"/>
        <w:spacing w:line="360" w:lineRule="auto"/>
        <w:ind w:firstLine="512" w:firstLineChars="200"/>
        <w:rPr>
          <w:rFonts w:ascii="宋体" w:hAnsi="宋体" w:cs="宋体"/>
          <w:color w:val="000000"/>
          <w:spacing w:val="8"/>
          <w:kern w:val="0"/>
          <w:sz w:val="24"/>
          <w:szCs w:val="24"/>
        </w:rPr>
      </w:pPr>
      <w:r>
        <w:rPr>
          <w:rFonts w:hint="eastAsia" w:ascii="宋体" w:hAnsi="宋体" w:cs="宋体"/>
          <w:color w:val="000000"/>
          <w:spacing w:val="8"/>
          <w:kern w:val="0"/>
          <w:sz w:val="24"/>
          <w:szCs w:val="24"/>
        </w:rPr>
        <w:t>十、存在以下行为之一的愿意接受相关部门的处理：</w:t>
      </w:r>
    </w:p>
    <w:p w14:paraId="6F954007">
      <w:pPr>
        <w:widowControl/>
        <w:shd w:val="clear" w:color="auto" w:fill="FFFFFF"/>
        <w:spacing w:line="360" w:lineRule="auto"/>
        <w:ind w:firstLine="512" w:firstLineChars="200"/>
        <w:rPr>
          <w:rFonts w:ascii="宋体" w:hAnsi="宋体" w:cs="宋体"/>
          <w:color w:val="000000"/>
          <w:spacing w:val="8"/>
          <w:kern w:val="0"/>
          <w:sz w:val="24"/>
          <w:szCs w:val="24"/>
        </w:rPr>
      </w:pPr>
      <w:r>
        <w:rPr>
          <w:rFonts w:hint="eastAsia" w:ascii="宋体" w:hAnsi="宋体" w:cs="宋体"/>
          <w:color w:val="000000"/>
          <w:spacing w:val="8"/>
          <w:kern w:val="0"/>
          <w:sz w:val="24"/>
          <w:szCs w:val="24"/>
        </w:rPr>
        <w:t>（一）磋商有效期内撤销磋商响应文件的；</w:t>
      </w:r>
    </w:p>
    <w:p w14:paraId="05F02839">
      <w:pPr>
        <w:widowControl/>
        <w:shd w:val="clear" w:color="auto" w:fill="FFFFFF"/>
        <w:spacing w:line="360" w:lineRule="auto"/>
        <w:ind w:firstLine="512" w:firstLineChars="200"/>
        <w:rPr>
          <w:rFonts w:ascii="宋体" w:hAnsi="宋体" w:cs="宋体"/>
          <w:color w:val="000000"/>
          <w:spacing w:val="8"/>
          <w:kern w:val="0"/>
          <w:sz w:val="24"/>
          <w:szCs w:val="24"/>
        </w:rPr>
      </w:pPr>
      <w:r>
        <w:rPr>
          <w:rFonts w:hint="eastAsia" w:ascii="宋体" w:hAnsi="宋体" w:cs="宋体"/>
          <w:color w:val="000000"/>
          <w:spacing w:val="8"/>
          <w:kern w:val="0"/>
          <w:sz w:val="24"/>
          <w:szCs w:val="24"/>
        </w:rPr>
        <w:t>（二）在采购人确定中标人以前放弃中标候选资格的；</w:t>
      </w:r>
    </w:p>
    <w:p w14:paraId="5E5EFC25">
      <w:pPr>
        <w:widowControl/>
        <w:shd w:val="clear" w:color="auto" w:fill="FFFFFF"/>
        <w:spacing w:line="360" w:lineRule="auto"/>
        <w:ind w:firstLine="512" w:firstLineChars="200"/>
        <w:rPr>
          <w:rFonts w:ascii="宋体" w:hAnsi="宋体" w:cs="宋体"/>
          <w:color w:val="000000"/>
          <w:spacing w:val="8"/>
          <w:kern w:val="0"/>
          <w:sz w:val="24"/>
          <w:szCs w:val="24"/>
        </w:rPr>
      </w:pPr>
      <w:r>
        <w:rPr>
          <w:rFonts w:hint="eastAsia" w:ascii="宋体" w:hAnsi="宋体" w:cs="宋体"/>
          <w:color w:val="000000"/>
          <w:spacing w:val="8"/>
          <w:kern w:val="0"/>
          <w:sz w:val="24"/>
          <w:szCs w:val="24"/>
        </w:rPr>
        <w:t>（三）由于中标人的原因未能按照磋商文件的规定与采购人签订合同；</w:t>
      </w:r>
    </w:p>
    <w:p w14:paraId="1148152F">
      <w:pPr>
        <w:widowControl/>
        <w:shd w:val="clear" w:color="auto" w:fill="FFFFFF"/>
        <w:spacing w:line="360" w:lineRule="auto"/>
        <w:ind w:firstLine="512" w:firstLineChars="200"/>
        <w:rPr>
          <w:rFonts w:ascii="宋体" w:hAnsi="宋体" w:cs="宋体"/>
          <w:color w:val="000000"/>
          <w:spacing w:val="8"/>
          <w:kern w:val="0"/>
          <w:sz w:val="24"/>
          <w:szCs w:val="24"/>
        </w:rPr>
      </w:pPr>
      <w:r>
        <w:rPr>
          <w:rFonts w:hint="eastAsia" w:ascii="宋体" w:hAnsi="宋体" w:cs="宋体"/>
          <w:color w:val="000000"/>
          <w:spacing w:val="8"/>
          <w:kern w:val="0"/>
          <w:sz w:val="24"/>
          <w:szCs w:val="24"/>
        </w:rPr>
        <w:t>（四）在磋商响应文件中提供虚假材料谋取中标；</w:t>
      </w:r>
    </w:p>
    <w:p w14:paraId="40238876">
      <w:pPr>
        <w:widowControl/>
        <w:shd w:val="clear" w:color="auto" w:fill="FFFFFF"/>
        <w:spacing w:line="360" w:lineRule="auto"/>
        <w:ind w:firstLine="512" w:firstLineChars="200"/>
        <w:rPr>
          <w:rFonts w:ascii="宋体" w:hAnsi="宋体" w:cs="宋体"/>
          <w:color w:val="000000"/>
          <w:spacing w:val="8"/>
          <w:kern w:val="0"/>
          <w:sz w:val="24"/>
          <w:szCs w:val="24"/>
        </w:rPr>
      </w:pPr>
      <w:r>
        <w:rPr>
          <w:rFonts w:hint="eastAsia" w:ascii="宋体" w:hAnsi="宋体" w:cs="宋体"/>
          <w:color w:val="000000"/>
          <w:spacing w:val="8"/>
          <w:kern w:val="0"/>
          <w:sz w:val="24"/>
          <w:szCs w:val="24"/>
        </w:rPr>
        <w:t>（五）与采购人、其他供应商或者采购代理机构恶意串通的；</w:t>
      </w:r>
    </w:p>
    <w:p w14:paraId="6C7B4525">
      <w:pPr>
        <w:widowControl/>
        <w:shd w:val="clear" w:color="auto" w:fill="FFFFFF"/>
        <w:spacing w:line="360" w:lineRule="auto"/>
        <w:ind w:firstLine="512" w:firstLineChars="200"/>
        <w:rPr>
          <w:rFonts w:ascii="宋体" w:hAnsi="宋体" w:cs="宋体"/>
          <w:color w:val="000000"/>
          <w:spacing w:val="8"/>
          <w:kern w:val="0"/>
          <w:sz w:val="24"/>
          <w:szCs w:val="24"/>
        </w:rPr>
      </w:pPr>
      <w:r>
        <w:rPr>
          <w:rFonts w:hint="eastAsia" w:ascii="宋体" w:hAnsi="宋体" w:cs="宋体"/>
          <w:color w:val="000000"/>
          <w:spacing w:val="8"/>
          <w:kern w:val="0"/>
          <w:sz w:val="24"/>
          <w:szCs w:val="24"/>
        </w:rPr>
        <w:t>（六）磋商有效期内，供应商在政府采购活动中有违法、违规、违纪行为。</w:t>
      </w:r>
    </w:p>
    <w:p w14:paraId="1B495662">
      <w:pPr>
        <w:widowControl/>
        <w:shd w:val="clear" w:color="auto" w:fill="FFFFFF"/>
        <w:spacing w:line="360" w:lineRule="auto"/>
        <w:ind w:firstLine="512" w:firstLineChars="200"/>
        <w:rPr>
          <w:rFonts w:ascii="宋体" w:hAnsi="宋体" w:cs="宋体"/>
          <w:color w:val="000000"/>
          <w:spacing w:val="8"/>
          <w:kern w:val="0"/>
          <w:sz w:val="24"/>
          <w:szCs w:val="24"/>
        </w:rPr>
      </w:pPr>
      <w:r>
        <w:rPr>
          <w:rFonts w:hint="eastAsia" w:ascii="宋体" w:hAnsi="宋体" w:cs="宋体"/>
          <w:color w:val="000000"/>
          <w:spacing w:val="8"/>
          <w:kern w:val="0"/>
          <w:sz w:val="24"/>
          <w:szCs w:val="24"/>
        </w:rPr>
        <w:t>由此产生的一切法律后果和责任由我公司承担。我公司声明放弃对此提出任何异议和追索的权利。</w:t>
      </w:r>
    </w:p>
    <w:p w14:paraId="5D981301">
      <w:pPr>
        <w:widowControl/>
        <w:shd w:val="clear" w:color="auto" w:fill="FFFFFF"/>
        <w:spacing w:line="360" w:lineRule="auto"/>
        <w:ind w:firstLine="512" w:firstLineChars="200"/>
        <w:rPr>
          <w:rFonts w:ascii="宋体" w:hAnsi="宋体" w:cs="宋体"/>
          <w:color w:val="000000"/>
          <w:spacing w:val="8"/>
          <w:kern w:val="0"/>
          <w:sz w:val="24"/>
          <w:szCs w:val="24"/>
        </w:rPr>
      </w:pPr>
      <w:r>
        <w:rPr>
          <w:rFonts w:hint="eastAsia" w:ascii="宋体" w:hAnsi="宋体" w:cs="宋体"/>
          <w:color w:val="000000"/>
          <w:spacing w:val="8"/>
          <w:kern w:val="0"/>
          <w:sz w:val="24"/>
          <w:szCs w:val="24"/>
        </w:rPr>
        <w:t>本公司对上述承诺的内容事项真实性负责。如经查实上述承诺的内容事项存在虚假，我公司愿意接受以提供虚假材料谋取中标追究法律责任。</w:t>
      </w:r>
    </w:p>
    <w:p w14:paraId="4BA730C9">
      <w:pPr>
        <w:widowControl/>
        <w:shd w:val="clear" w:color="auto" w:fill="FFFFFF"/>
        <w:spacing w:line="360" w:lineRule="atLeast"/>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       </w:t>
      </w:r>
    </w:p>
    <w:p w14:paraId="61B1CA86">
      <w:pPr>
        <w:spacing w:line="400" w:lineRule="exact"/>
        <w:ind w:firstLine="3828" w:firstLineChars="1595"/>
        <w:rPr>
          <w:rFonts w:ascii="宋体" w:hAnsi="宋体"/>
          <w:color w:val="000000"/>
          <w:sz w:val="24"/>
          <w:szCs w:val="24"/>
        </w:rPr>
      </w:pPr>
    </w:p>
    <w:p w14:paraId="288B1CCB">
      <w:pPr>
        <w:spacing w:line="400" w:lineRule="exact"/>
        <w:ind w:firstLine="3828" w:firstLineChars="1595"/>
        <w:rPr>
          <w:rFonts w:ascii="宋体" w:hAnsi="宋体"/>
          <w:color w:val="000000"/>
          <w:sz w:val="24"/>
          <w:szCs w:val="24"/>
        </w:rPr>
      </w:pPr>
    </w:p>
    <w:p w14:paraId="2FD271D3">
      <w:pPr>
        <w:spacing w:line="360" w:lineRule="auto"/>
        <w:ind w:firstLine="3828" w:firstLineChars="1595"/>
        <w:rPr>
          <w:rFonts w:ascii="宋体" w:hAnsi="宋体"/>
          <w:color w:val="000000"/>
          <w:sz w:val="24"/>
          <w:szCs w:val="24"/>
        </w:rPr>
      </w:pPr>
      <w:r>
        <w:rPr>
          <w:rFonts w:hint="eastAsia" w:ascii="宋体" w:hAnsi="宋体"/>
          <w:color w:val="000000"/>
          <w:sz w:val="24"/>
          <w:szCs w:val="24"/>
        </w:rPr>
        <w:t>供应商：</w:t>
      </w:r>
      <w:r>
        <w:rPr>
          <w:rFonts w:ascii="宋体" w:hAnsi="宋体"/>
          <w:color w:val="000000"/>
          <w:sz w:val="24"/>
          <w:szCs w:val="24"/>
          <w:u w:val="single"/>
        </w:rPr>
        <w:t xml:space="preserve">                      </w:t>
      </w:r>
      <w:r>
        <w:rPr>
          <w:rFonts w:hint="eastAsia" w:ascii="宋体" w:hAnsi="宋体"/>
          <w:color w:val="000000"/>
          <w:sz w:val="24"/>
          <w:szCs w:val="24"/>
        </w:rPr>
        <w:t>（盖单位章）</w:t>
      </w:r>
    </w:p>
    <w:p w14:paraId="72D888F4">
      <w:pPr>
        <w:spacing w:line="360" w:lineRule="auto"/>
        <w:ind w:firstLine="3828" w:firstLineChars="1595"/>
        <w:rPr>
          <w:rFonts w:ascii="宋体" w:hAnsi="宋体"/>
          <w:color w:val="000000"/>
          <w:sz w:val="24"/>
          <w:szCs w:val="24"/>
        </w:rPr>
      </w:pPr>
      <w:r>
        <w:rPr>
          <w:rFonts w:hint="eastAsia" w:ascii="宋体" w:hAnsi="宋体"/>
          <w:color w:val="000000"/>
          <w:sz w:val="24"/>
          <w:szCs w:val="24"/>
        </w:rPr>
        <w:t>法定代表人或其授权委托人：</w:t>
      </w:r>
      <w:r>
        <w:rPr>
          <w:rFonts w:ascii="宋体" w:hAnsi="宋体"/>
          <w:color w:val="000000"/>
          <w:sz w:val="24"/>
          <w:szCs w:val="24"/>
          <w:u w:val="single"/>
        </w:rPr>
        <w:t xml:space="preserve">          </w:t>
      </w:r>
      <w:r>
        <w:rPr>
          <w:rFonts w:hint="eastAsia" w:ascii="宋体" w:hAnsi="宋体"/>
          <w:color w:val="000000"/>
          <w:sz w:val="24"/>
          <w:szCs w:val="24"/>
        </w:rPr>
        <w:t>（电子签章）</w:t>
      </w:r>
    </w:p>
    <w:p w14:paraId="24FCA9AF">
      <w:pPr>
        <w:widowControl/>
        <w:shd w:val="clear" w:color="auto" w:fill="FFFFFF"/>
        <w:spacing w:line="360" w:lineRule="auto"/>
        <w:ind w:firstLine="3828" w:firstLineChars="1595"/>
        <w:rPr>
          <w:rFonts w:ascii="宋体" w:hAnsi="宋体" w:cs="宋体"/>
          <w:color w:val="000000"/>
          <w:spacing w:val="8"/>
          <w:kern w:val="0"/>
          <w:sz w:val="24"/>
          <w:szCs w:val="24"/>
        </w:rPr>
      </w:pPr>
      <w:r>
        <w:rPr>
          <w:rFonts w:hint="eastAsia" w:ascii="宋体" w:hAnsi="宋体"/>
          <w:color w:val="000000"/>
          <w:sz w:val="24"/>
          <w:szCs w:val="24"/>
          <w:u w:val="single"/>
        </w:rPr>
        <w:t xml:space="preserve">       </w:t>
      </w:r>
      <w:r>
        <w:rPr>
          <w:rFonts w:hint="eastAsia" w:ascii="宋体" w:hAnsi="宋体"/>
          <w:color w:val="000000"/>
          <w:sz w:val="24"/>
          <w:szCs w:val="24"/>
        </w:rPr>
        <w:t>年</w:t>
      </w:r>
      <w:r>
        <w:rPr>
          <w:rFonts w:ascii="宋体" w:hAnsi="宋体"/>
          <w:color w:val="000000"/>
          <w:sz w:val="24"/>
          <w:szCs w:val="24"/>
          <w:u w:val="single"/>
        </w:rPr>
        <w:t xml:space="preserve">        </w:t>
      </w:r>
      <w:r>
        <w:rPr>
          <w:rFonts w:hint="eastAsia" w:ascii="宋体" w:hAnsi="宋体"/>
          <w:color w:val="000000"/>
          <w:sz w:val="24"/>
          <w:szCs w:val="24"/>
        </w:rPr>
        <w:t>月</w:t>
      </w:r>
      <w:r>
        <w:rPr>
          <w:rFonts w:ascii="宋体" w:hAnsi="宋体"/>
          <w:color w:val="000000"/>
          <w:sz w:val="24"/>
          <w:szCs w:val="24"/>
          <w:u w:val="single"/>
        </w:rPr>
        <w:t xml:space="preserve">        </w:t>
      </w:r>
      <w:r>
        <w:rPr>
          <w:rFonts w:hint="eastAsia" w:ascii="宋体" w:hAnsi="宋体"/>
          <w:color w:val="000000"/>
          <w:sz w:val="24"/>
          <w:szCs w:val="24"/>
        </w:rPr>
        <w:t>日</w:t>
      </w:r>
      <w:r>
        <w:rPr>
          <w:rFonts w:hint="eastAsia" w:ascii="宋体" w:hAnsi="宋体" w:cs="宋体"/>
          <w:color w:val="000000"/>
          <w:kern w:val="0"/>
          <w:sz w:val="24"/>
          <w:szCs w:val="24"/>
        </w:rPr>
        <w:t> </w:t>
      </w:r>
    </w:p>
    <w:p w14:paraId="49053DB4">
      <w:pPr>
        <w:widowControl/>
        <w:shd w:val="clear" w:color="auto" w:fill="FFFFFF"/>
        <w:spacing w:line="405" w:lineRule="atLeast"/>
        <w:ind w:firstLine="4083" w:firstLineChars="1595"/>
        <w:rPr>
          <w:rFonts w:ascii="宋体" w:hAnsi="宋体" w:cs="宋体"/>
          <w:color w:val="000000"/>
          <w:spacing w:val="8"/>
          <w:kern w:val="0"/>
          <w:sz w:val="24"/>
          <w:szCs w:val="24"/>
        </w:rPr>
      </w:pPr>
      <w:r>
        <w:rPr>
          <w:rFonts w:hint="eastAsia" w:ascii="宋体" w:hAnsi="宋体" w:cs="宋体"/>
          <w:color w:val="000000"/>
          <w:spacing w:val="8"/>
          <w:kern w:val="0"/>
          <w:sz w:val="24"/>
          <w:szCs w:val="24"/>
        </w:rPr>
        <w:t> </w:t>
      </w:r>
    </w:p>
    <w:p w14:paraId="06BFC7AF">
      <w:pPr>
        <w:rPr>
          <w:rFonts w:hAnsi="宋体" w:cs="宋体"/>
          <w:color w:val="000000"/>
          <w:spacing w:val="8"/>
          <w:szCs w:val="24"/>
        </w:rPr>
      </w:pPr>
    </w:p>
    <w:p w14:paraId="70485DE0">
      <w:pPr>
        <w:rPr>
          <w:rFonts w:ascii="宋体" w:hAnsi="宋体" w:cs="宋体"/>
          <w:color w:val="000000"/>
          <w:spacing w:val="8"/>
          <w:kern w:val="0"/>
          <w:sz w:val="24"/>
          <w:szCs w:val="24"/>
        </w:rPr>
      </w:pPr>
    </w:p>
    <w:p w14:paraId="62B7BE20">
      <w:pPr>
        <w:rPr>
          <w:rFonts w:hAnsi="宋体" w:cs="宋体"/>
          <w:color w:val="000000"/>
          <w:spacing w:val="8"/>
          <w:szCs w:val="24"/>
        </w:rPr>
      </w:pPr>
    </w:p>
    <w:p w14:paraId="1E3C33E1">
      <w:pPr>
        <w:rPr>
          <w:rFonts w:ascii="宋体" w:hAnsi="宋体" w:cs="宋体"/>
          <w:color w:val="000000"/>
          <w:spacing w:val="8"/>
          <w:kern w:val="0"/>
          <w:sz w:val="24"/>
          <w:szCs w:val="24"/>
        </w:rPr>
      </w:pPr>
    </w:p>
    <w:p w14:paraId="26C474E0">
      <w:pPr>
        <w:rPr>
          <w:rFonts w:hAnsi="宋体" w:cs="宋体"/>
          <w:color w:val="000000"/>
          <w:spacing w:val="8"/>
          <w:szCs w:val="24"/>
        </w:rPr>
      </w:pPr>
    </w:p>
    <w:p w14:paraId="637C61D4">
      <w:pPr>
        <w:rPr>
          <w:rFonts w:ascii="宋体" w:hAnsi="宋体" w:cs="宋体"/>
          <w:color w:val="000000"/>
          <w:spacing w:val="8"/>
          <w:kern w:val="0"/>
          <w:sz w:val="24"/>
          <w:szCs w:val="24"/>
        </w:rPr>
      </w:pPr>
    </w:p>
    <w:p w14:paraId="0D32FB8B">
      <w:pPr>
        <w:rPr>
          <w:rFonts w:hAnsi="宋体" w:cs="宋体"/>
          <w:color w:val="000000"/>
          <w:spacing w:val="8"/>
          <w:szCs w:val="24"/>
        </w:rPr>
      </w:pPr>
    </w:p>
    <w:p w14:paraId="079BA8C2"/>
    <w:p w14:paraId="27ED0E14">
      <w:pPr>
        <w:pStyle w:val="4"/>
        <w:ind w:left="63" w:right="63" w:firstLine="211"/>
      </w:pPr>
    </w:p>
    <w:p w14:paraId="7C542C06">
      <w:pPr>
        <w:ind w:left="420"/>
      </w:pPr>
    </w:p>
    <w:p w14:paraId="5831D70B"/>
    <w:p w14:paraId="529399FA">
      <w:pPr>
        <w:widowControl/>
        <w:jc w:val="left"/>
        <w:rPr>
          <w:rFonts w:ascii="宋体" w:hAnsi="宋体" w:cs="宋体"/>
          <w:b/>
          <w:color w:val="000000"/>
          <w:kern w:val="1"/>
          <w:sz w:val="32"/>
          <w:szCs w:val="32"/>
        </w:rPr>
      </w:pPr>
    </w:p>
    <w:p w14:paraId="686419AE">
      <w:pPr>
        <w:ind w:firstLine="480"/>
      </w:pPr>
    </w:p>
    <w:p w14:paraId="3CF5862D">
      <w:pPr>
        <w:jc w:val="center"/>
        <w:outlineLvl w:val="1"/>
        <w:rPr>
          <w:rFonts w:ascii="宋体" w:hAnsi="宋体" w:eastAsia="宋体" w:cs="宋体"/>
        </w:rPr>
      </w:pPr>
      <w:bookmarkStart w:id="391" w:name="_Toc22452"/>
    </w:p>
    <w:p w14:paraId="40EB8A50">
      <w:pPr>
        <w:jc w:val="center"/>
        <w:outlineLvl w:val="1"/>
        <w:rPr>
          <w:rFonts w:ascii="宋体" w:hAnsi="宋体" w:eastAsia="宋体" w:cs="宋体"/>
        </w:rPr>
      </w:pPr>
    </w:p>
    <w:p w14:paraId="091273BC">
      <w:pPr>
        <w:jc w:val="center"/>
        <w:outlineLvl w:val="1"/>
        <w:rPr>
          <w:rFonts w:ascii="宋体" w:hAnsi="宋体" w:eastAsia="宋体" w:cs="宋体"/>
        </w:rPr>
      </w:pPr>
    </w:p>
    <w:p w14:paraId="77CD5721">
      <w:pPr>
        <w:jc w:val="center"/>
        <w:outlineLvl w:val="1"/>
        <w:rPr>
          <w:rFonts w:ascii="宋体" w:hAnsi="宋体" w:eastAsia="宋体" w:cs="宋体"/>
        </w:rPr>
      </w:pPr>
    </w:p>
    <w:p w14:paraId="39426BFC">
      <w:pPr>
        <w:jc w:val="center"/>
        <w:outlineLvl w:val="1"/>
        <w:rPr>
          <w:rFonts w:ascii="宋体" w:hAnsi="宋体" w:eastAsia="宋体" w:cs="宋体"/>
        </w:rPr>
      </w:pPr>
    </w:p>
    <w:p w14:paraId="5F11EB14">
      <w:pPr>
        <w:jc w:val="center"/>
        <w:outlineLvl w:val="1"/>
        <w:rPr>
          <w:rFonts w:ascii="宋体" w:hAnsi="宋体" w:eastAsia="宋体" w:cs="宋体"/>
        </w:rPr>
      </w:pPr>
    </w:p>
    <w:p w14:paraId="36D0555E">
      <w:pPr>
        <w:jc w:val="center"/>
        <w:outlineLvl w:val="1"/>
        <w:rPr>
          <w:rFonts w:ascii="宋体" w:hAnsi="宋体" w:eastAsia="宋体" w:cs="宋体"/>
        </w:rPr>
      </w:pPr>
    </w:p>
    <w:p w14:paraId="564F5420">
      <w:pPr>
        <w:jc w:val="center"/>
        <w:outlineLvl w:val="1"/>
        <w:rPr>
          <w:rFonts w:ascii="宋体" w:hAnsi="宋体" w:eastAsia="宋体" w:cs="宋体"/>
        </w:rPr>
      </w:pPr>
    </w:p>
    <w:p w14:paraId="50658248">
      <w:pPr>
        <w:jc w:val="center"/>
        <w:outlineLvl w:val="1"/>
        <w:rPr>
          <w:rFonts w:ascii="宋体" w:hAnsi="宋体" w:eastAsia="宋体" w:cs="宋体"/>
          <w:b/>
          <w:sz w:val="24"/>
          <w:szCs w:val="24"/>
        </w:rPr>
      </w:pPr>
      <w:r>
        <w:rPr>
          <w:rFonts w:hint="eastAsia" w:ascii="宋体" w:hAnsi="宋体" w:eastAsia="宋体" w:cs="宋体"/>
          <w:b/>
          <w:sz w:val="24"/>
          <w:szCs w:val="24"/>
        </w:rPr>
        <w:t>四、已标价的工程量清单</w:t>
      </w:r>
      <w:bookmarkEnd w:id="391"/>
    </w:p>
    <w:p w14:paraId="11E5902F">
      <w:pPr>
        <w:suppressAutoHyphens/>
        <w:spacing w:line="360" w:lineRule="auto"/>
        <w:ind w:left="480"/>
        <w:jc w:val="center"/>
        <w:rPr>
          <w:rFonts w:ascii="宋体" w:hAnsi="宋体" w:cs="宋体"/>
          <w:color w:val="000000"/>
          <w:kern w:val="1"/>
          <w:sz w:val="24"/>
          <w:szCs w:val="24"/>
        </w:rPr>
      </w:pPr>
    </w:p>
    <w:p w14:paraId="5D0F0879">
      <w:pPr>
        <w:widowControl/>
        <w:spacing w:after="200" w:line="220" w:lineRule="atLeast"/>
        <w:jc w:val="center"/>
        <w:rPr>
          <w:rFonts w:ascii="宋体" w:hAnsi="宋体" w:cs="宋体"/>
          <w:b/>
          <w:bCs/>
          <w:color w:val="000000"/>
          <w:kern w:val="0"/>
          <w:sz w:val="30"/>
          <w:szCs w:val="30"/>
        </w:rPr>
      </w:pPr>
    </w:p>
    <w:p w14:paraId="3F93F7ED">
      <w:pPr>
        <w:widowControl/>
        <w:spacing w:after="200" w:line="220" w:lineRule="atLeast"/>
        <w:jc w:val="distribute"/>
        <w:rPr>
          <w:rFonts w:ascii="宋体" w:hAnsi="宋体" w:cs="宋体"/>
          <w:b/>
          <w:bCs/>
          <w:color w:val="000000"/>
          <w:kern w:val="0"/>
          <w:sz w:val="28"/>
          <w:szCs w:val="28"/>
        </w:rPr>
      </w:pPr>
    </w:p>
    <w:p w14:paraId="560568BC">
      <w:pPr>
        <w:widowControl/>
        <w:spacing w:after="200" w:line="220" w:lineRule="atLeast"/>
        <w:jc w:val="center"/>
        <w:rPr>
          <w:rFonts w:ascii="宋体" w:hAnsi="宋体" w:cs="宋体"/>
          <w:b/>
          <w:color w:val="000000"/>
          <w:sz w:val="24"/>
          <w:szCs w:val="24"/>
        </w:rPr>
      </w:pPr>
      <w:r>
        <w:rPr>
          <w:rFonts w:hint="eastAsia" w:ascii="宋体" w:hAnsi="宋体" w:cs="宋体"/>
          <w:bCs/>
          <w:color w:val="000000"/>
          <w:kern w:val="0"/>
          <w:sz w:val="30"/>
          <w:szCs w:val="30"/>
        </w:rPr>
        <w:br w:type="page"/>
      </w:r>
      <w:bookmarkStart w:id="392" w:name="_Toc22768"/>
      <w:r>
        <w:rPr>
          <w:rFonts w:hint="eastAsia" w:ascii="宋体" w:hAnsi="宋体" w:eastAsia="宋体" w:cs="宋体"/>
          <w:b/>
          <w:sz w:val="24"/>
          <w:szCs w:val="24"/>
        </w:rPr>
        <w:t>五、项目管理机构</w:t>
      </w:r>
      <w:bookmarkEnd w:id="392"/>
    </w:p>
    <w:p w14:paraId="6EBCA86F">
      <w:pPr>
        <w:keepNext/>
        <w:keepLines/>
        <w:spacing w:before="260" w:after="260" w:line="400" w:lineRule="exact"/>
        <w:jc w:val="center"/>
        <w:outlineLvl w:val="2"/>
        <w:rPr>
          <w:rFonts w:ascii="宋体" w:hAnsi="宋体" w:cs="宋体"/>
          <w:b/>
          <w:bCs/>
          <w:color w:val="000000"/>
          <w:sz w:val="24"/>
          <w:szCs w:val="24"/>
        </w:rPr>
      </w:pPr>
      <w:bookmarkStart w:id="393" w:name="_Toc30783"/>
      <w:bookmarkStart w:id="394" w:name="_Toc9797"/>
      <w:r>
        <w:rPr>
          <w:rFonts w:hint="eastAsia" w:ascii="宋体" w:hAnsi="宋体" w:cs="宋体"/>
          <w:b/>
          <w:bCs/>
          <w:color w:val="000000"/>
          <w:sz w:val="24"/>
          <w:szCs w:val="24"/>
        </w:rPr>
        <w:t>（一）项目管理机构组成表</w:t>
      </w:r>
      <w:bookmarkEnd w:id="393"/>
      <w:bookmarkEnd w:id="394"/>
    </w:p>
    <w:p w14:paraId="2E2587CA">
      <w:pPr>
        <w:spacing w:line="440" w:lineRule="exact"/>
        <w:jc w:val="center"/>
        <w:rPr>
          <w:rFonts w:ascii="宋体" w:hAnsi="宋体" w:cs="宋体"/>
          <w:color w:val="000000"/>
          <w:sz w:val="23"/>
          <w:szCs w:val="23"/>
        </w:rPr>
      </w:pP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8"/>
        <w:gridCol w:w="1372"/>
        <w:gridCol w:w="820"/>
        <w:gridCol w:w="1309"/>
        <w:gridCol w:w="980"/>
        <w:gridCol w:w="818"/>
        <w:gridCol w:w="818"/>
        <w:gridCol w:w="1758"/>
        <w:gridCol w:w="767"/>
      </w:tblGrid>
      <w:tr w14:paraId="43599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13" w:type="pct"/>
            <w:vMerge w:val="restart"/>
            <w:tcBorders>
              <w:top w:val="single" w:color="auto" w:sz="4" w:space="0"/>
              <w:left w:val="single" w:color="auto" w:sz="4" w:space="0"/>
              <w:bottom w:val="single" w:color="auto" w:sz="4" w:space="0"/>
              <w:right w:val="single" w:color="auto" w:sz="4" w:space="0"/>
            </w:tcBorders>
            <w:vAlign w:val="center"/>
          </w:tcPr>
          <w:p w14:paraId="0357859A">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r>
              <w:rPr>
                <w:rFonts w:hint="eastAsia" w:ascii="宋体" w:hAnsi="宋体" w:cs="宋体"/>
                <w:color w:val="000000"/>
                <w:sz w:val="24"/>
                <w:szCs w:val="24"/>
              </w:rPr>
              <w:t>职务</w:t>
            </w:r>
          </w:p>
        </w:tc>
        <w:tc>
          <w:tcPr>
            <w:tcW w:w="696" w:type="pct"/>
            <w:vMerge w:val="restart"/>
            <w:tcBorders>
              <w:top w:val="single" w:color="auto" w:sz="4" w:space="0"/>
              <w:left w:val="single" w:color="auto" w:sz="4" w:space="0"/>
              <w:bottom w:val="single" w:color="auto" w:sz="4" w:space="0"/>
              <w:right w:val="single" w:color="auto" w:sz="4" w:space="0"/>
            </w:tcBorders>
            <w:vAlign w:val="center"/>
          </w:tcPr>
          <w:p w14:paraId="1E55021F">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r>
              <w:rPr>
                <w:rFonts w:hint="eastAsia" w:ascii="宋体" w:hAnsi="宋体" w:cs="宋体"/>
                <w:color w:val="000000"/>
                <w:sz w:val="24"/>
                <w:szCs w:val="24"/>
              </w:rPr>
              <w:t>姓名</w:t>
            </w:r>
          </w:p>
        </w:tc>
        <w:tc>
          <w:tcPr>
            <w:tcW w:w="416" w:type="pct"/>
            <w:vMerge w:val="restart"/>
            <w:tcBorders>
              <w:top w:val="single" w:color="auto" w:sz="4" w:space="0"/>
              <w:left w:val="single" w:color="auto" w:sz="4" w:space="0"/>
              <w:bottom w:val="single" w:color="auto" w:sz="4" w:space="0"/>
              <w:right w:val="single" w:color="auto" w:sz="4" w:space="0"/>
            </w:tcBorders>
            <w:vAlign w:val="center"/>
          </w:tcPr>
          <w:p w14:paraId="23DA6645">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r>
              <w:rPr>
                <w:rFonts w:hint="eastAsia" w:ascii="宋体" w:hAnsi="宋体" w:cs="宋体"/>
                <w:color w:val="000000"/>
                <w:sz w:val="24"/>
                <w:szCs w:val="24"/>
              </w:rPr>
              <w:t>职称</w:t>
            </w:r>
          </w:p>
        </w:tc>
        <w:tc>
          <w:tcPr>
            <w:tcW w:w="2883" w:type="pct"/>
            <w:gridSpan w:val="5"/>
            <w:tcBorders>
              <w:top w:val="single" w:color="auto" w:sz="4" w:space="0"/>
              <w:left w:val="single" w:color="auto" w:sz="4" w:space="0"/>
              <w:bottom w:val="single" w:color="auto" w:sz="4" w:space="0"/>
              <w:right w:val="single" w:color="auto" w:sz="4" w:space="0"/>
            </w:tcBorders>
            <w:vAlign w:val="center"/>
          </w:tcPr>
          <w:p w14:paraId="1EADFF0A">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r>
              <w:rPr>
                <w:rFonts w:hint="eastAsia" w:ascii="宋体" w:hAnsi="宋体" w:cs="宋体"/>
                <w:color w:val="000000"/>
                <w:sz w:val="24"/>
                <w:szCs w:val="24"/>
              </w:rPr>
              <w:t>执业或职业资格证明</w:t>
            </w:r>
          </w:p>
        </w:tc>
        <w:tc>
          <w:tcPr>
            <w:tcW w:w="389" w:type="pct"/>
            <w:vMerge w:val="restart"/>
            <w:tcBorders>
              <w:top w:val="single" w:color="auto" w:sz="4" w:space="0"/>
              <w:left w:val="single" w:color="auto" w:sz="4" w:space="0"/>
              <w:right w:val="single" w:color="auto" w:sz="4" w:space="0"/>
            </w:tcBorders>
            <w:vAlign w:val="center"/>
          </w:tcPr>
          <w:p w14:paraId="1760DA1A">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r>
              <w:rPr>
                <w:rFonts w:hint="eastAsia" w:ascii="宋体" w:hAnsi="宋体" w:cs="宋体"/>
                <w:color w:val="000000"/>
                <w:sz w:val="24"/>
                <w:szCs w:val="24"/>
              </w:rPr>
              <w:t>备注</w:t>
            </w:r>
          </w:p>
        </w:tc>
      </w:tr>
      <w:tr w14:paraId="22785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613" w:type="pct"/>
            <w:vMerge w:val="continue"/>
            <w:tcBorders>
              <w:top w:val="single" w:color="auto" w:sz="4" w:space="0"/>
              <w:left w:val="single" w:color="auto" w:sz="4" w:space="0"/>
              <w:bottom w:val="single" w:color="auto" w:sz="4" w:space="0"/>
              <w:right w:val="single" w:color="auto" w:sz="4" w:space="0"/>
            </w:tcBorders>
            <w:vAlign w:val="center"/>
          </w:tcPr>
          <w:p w14:paraId="26E596C8">
            <w:pPr>
              <w:keepNext w:val="0"/>
              <w:keepLines w:val="0"/>
              <w:widowControl/>
              <w:suppressLineNumbers w:val="0"/>
              <w:spacing w:before="0" w:beforeAutospacing="0" w:after="0" w:afterAutospacing="0"/>
              <w:ind w:left="0" w:right="0"/>
              <w:jc w:val="left"/>
              <w:rPr>
                <w:rFonts w:hint="default" w:ascii="宋体" w:hAnsi="宋体" w:cs="宋体"/>
                <w:color w:val="000000"/>
                <w:sz w:val="24"/>
                <w:szCs w:val="24"/>
              </w:rPr>
            </w:pPr>
          </w:p>
        </w:tc>
        <w:tc>
          <w:tcPr>
            <w:tcW w:w="696" w:type="pct"/>
            <w:vMerge w:val="continue"/>
            <w:tcBorders>
              <w:top w:val="single" w:color="auto" w:sz="4" w:space="0"/>
              <w:left w:val="single" w:color="auto" w:sz="4" w:space="0"/>
              <w:bottom w:val="single" w:color="auto" w:sz="4" w:space="0"/>
              <w:right w:val="single" w:color="auto" w:sz="4" w:space="0"/>
            </w:tcBorders>
            <w:vAlign w:val="center"/>
          </w:tcPr>
          <w:p w14:paraId="40E93FA8">
            <w:pPr>
              <w:keepNext w:val="0"/>
              <w:keepLines w:val="0"/>
              <w:widowControl/>
              <w:suppressLineNumbers w:val="0"/>
              <w:spacing w:before="0" w:beforeAutospacing="0" w:after="0" w:afterAutospacing="0"/>
              <w:ind w:left="0" w:right="0"/>
              <w:jc w:val="left"/>
              <w:rPr>
                <w:rFonts w:hint="default" w:ascii="宋体" w:hAnsi="宋体" w:cs="宋体"/>
                <w:color w:val="000000"/>
                <w:sz w:val="24"/>
                <w:szCs w:val="24"/>
              </w:rPr>
            </w:pPr>
          </w:p>
        </w:tc>
        <w:tc>
          <w:tcPr>
            <w:tcW w:w="416" w:type="pct"/>
            <w:vMerge w:val="continue"/>
            <w:tcBorders>
              <w:top w:val="single" w:color="auto" w:sz="4" w:space="0"/>
              <w:left w:val="single" w:color="auto" w:sz="4" w:space="0"/>
              <w:bottom w:val="single" w:color="auto" w:sz="4" w:space="0"/>
              <w:right w:val="single" w:color="auto" w:sz="4" w:space="0"/>
            </w:tcBorders>
            <w:vAlign w:val="center"/>
          </w:tcPr>
          <w:p w14:paraId="02890F88">
            <w:pPr>
              <w:keepNext w:val="0"/>
              <w:keepLines w:val="0"/>
              <w:widowControl/>
              <w:suppressLineNumbers w:val="0"/>
              <w:spacing w:before="0" w:beforeAutospacing="0" w:after="0" w:afterAutospacing="0"/>
              <w:ind w:left="0" w:right="0"/>
              <w:jc w:val="left"/>
              <w:rPr>
                <w:rFonts w:hint="default"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vAlign w:val="center"/>
          </w:tcPr>
          <w:p w14:paraId="1E44FA2D">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r>
              <w:rPr>
                <w:rFonts w:hint="eastAsia" w:ascii="宋体" w:hAnsi="宋体" w:cs="宋体"/>
                <w:color w:val="000000"/>
                <w:sz w:val="24"/>
                <w:szCs w:val="24"/>
              </w:rPr>
              <w:t>证书名称</w:t>
            </w:r>
          </w:p>
        </w:tc>
        <w:tc>
          <w:tcPr>
            <w:tcW w:w="497" w:type="pct"/>
            <w:tcBorders>
              <w:top w:val="single" w:color="auto" w:sz="4" w:space="0"/>
              <w:left w:val="single" w:color="auto" w:sz="4" w:space="0"/>
              <w:bottom w:val="single" w:color="auto" w:sz="4" w:space="0"/>
              <w:right w:val="single" w:color="auto" w:sz="4" w:space="0"/>
            </w:tcBorders>
            <w:vAlign w:val="center"/>
          </w:tcPr>
          <w:p w14:paraId="535326CF">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r>
              <w:rPr>
                <w:rFonts w:hint="eastAsia" w:ascii="宋体" w:hAnsi="宋体" w:cs="宋体"/>
                <w:color w:val="000000"/>
                <w:sz w:val="24"/>
                <w:szCs w:val="24"/>
              </w:rPr>
              <w:t>级别</w:t>
            </w:r>
          </w:p>
        </w:tc>
        <w:tc>
          <w:tcPr>
            <w:tcW w:w="415" w:type="pct"/>
            <w:tcBorders>
              <w:top w:val="single" w:color="auto" w:sz="4" w:space="0"/>
              <w:left w:val="single" w:color="auto" w:sz="4" w:space="0"/>
              <w:bottom w:val="single" w:color="auto" w:sz="4" w:space="0"/>
              <w:right w:val="single" w:color="auto" w:sz="4" w:space="0"/>
            </w:tcBorders>
            <w:vAlign w:val="center"/>
          </w:tcPr>
          <w:p w14:paraId="59AB5759">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r>
              <w:rPr>
                <w:rFonts w:hint="eastAsia" w:ascii="宋体" w:hAnsi="宋体" w:cs="宋体"/>
                <w:color w:val="000000"/>
                <w:sz w:val="24"/>
                <w:szCs w:val="24"/>
              </w:rPr>
              <w:t>证号</w:t>
            </w:r>
          </w:p>
        </w:tc>
        <w:tc>
          <w:tcPr>
            <w:tcW w:w="415" w:type="pct"/>
            <w:tcBorders>
              <w:top w:val="single" w:color="auto" w:sz="4" w:space="0"/>
              <w:left w:val="single" w:color="auto" w:sz="4" w:space="0"/>
              <w:bottom w:val="single" w:color="auto" w:sz="4" w:space="0"/>
              <w:right w:val="single" w:color="auto" w:sz="4" w:space="0"/>
            </w:tcBorders>
            <w:vAlign w:val="center"/>
          </w:tcPr>
          <w:p w14:paraId="42835084">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r>
              <w:rPr>
                <w:rFonts w:hint="eastAsia" w:ascii="宋体" w:hAnsi="宋体" w:cs="宋体"/>
                <w:color w:val="000000"/>
                <w:sz w:val="24"/>
                <w:szCs w:val="24"/>
              </w:rPr>
              <w:t>专业</w:t>
            </w:r>
          </w:p>
        </w:tc>
        <w:tc>
          <w:tcPr>
            <w:tcW w:w="890" w:type="pct"/>
            <w:tcBorders>
              <w:top w:val="single" w:color="auto" w:sz="4" w:space="0"/>
              <w:left w:val="single" w:color="auto" w:sz="4" w:space="0"/>
              <w:bottom w:val="single" w:color="auto" w:sz="4" w:space="0"/>
              <w:right w:val="single" w:color="auto" w:sz="4" w:space="0"/>
            </w:tcBorders>
            <w:vAlign w:val="center"/>
          </w:tcPr>
          <w:p w14:paraId="08215F75">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r>
              <w:rPr>
                <w:rFonts w:hint="eastAsia" w:ascii="宋体" w:hAnsi="宋体" w:cs="宋体"/>
                <w:color w:val="000000"/>
                <w:sz w:val="24"/>
                <w:szCs w:val="24"/>
              </w:rPr>
              <w:t>养老保险</w:t>
            </w:r>
          </w:p>
        </w:tc>
        <w:tc>
          <w:tcPr>
            <w:tcW w:w="389" w:type="pct"/>
            <w:vMerge w:val="continue"/>
            <w:tcBorders>
              <w:left w:val="single" w:color="auto" w:sz="4" w:space="0"/>
              <w:bottom w:val="single" w:color="auto" w:sz="4" w:space="0"/>
              <w:right w:val="single" w:color="auto" w:sz="4" w:space="0"/>
            </w:tcBorders>
            <w:vAlign w:val="center"/>
          </w:tcPr>
          <w:p w14:paraId="6285E973">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r>
      <w:tr w14:paraId="64F25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13" w:type="pct"/>
            <w:tcBorders>
              <w:top w:val="single" w:color="auto" w:sz="4" w:space="0"/>
              <w:left w:val="single" w:color="auto" w:sz="4" w:space="0"/>
              <w:bottom w:val="single" w:color="auto" w:sz="4" w:space="0"/>
              <w:right w:val="single" w:color="auto" w:sz="4" w:space="0"/>
            </w:tcBorders>
          </w:tcPr>
          <w:p w14:paraId="43299EE7">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65660C7A">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6D36439E">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18832076">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18DC769F">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0A6ACC0F">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10D30098">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7CC1FD98">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6F63B29C">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r>
      <w:tr w14:paraId="5B422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13" w:type="pct"/>
            <w:tcBorders>
              <w:top w:val="single" w:color="auto" w:sz="4" w:space="0"/>
              <w:left w:val="single" w:color="auto" w:sz="4" w:space="0"/>
              <w:bottom w:val="single" w:color="auto" w:sz="4" w:space="0"/>
              <w:right w:val="single" w:color="auto" w:sz="4" w:space="0"/>
            </w:tcBorders>
          </w:tcPr>
          <w:p w14:paraId="3225BD78">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19F5FB17">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019DB38F">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799E13FF">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12DCF7E6">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2B4670CE">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0BD7340B">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47ACD994">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082D8530">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r>
      <w:tr w14:paraId="7391A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13" w:type="pct"/>
            <w:tcBorders>
              <w:top w:val="single" w:color="auto" w:sz="4" w:space="0"/>
              <w:left w:val="single" w:color="auto" w:sz="4" w:space="0"/>
              <w:bottom w:val="single" w:color="auto" w:sz="4" w:space="0"/>
              <w:right w:val="single" w:color="auto" w:sz="4" w:space="0"/>
            </w:tcBorders>
          </w:tcPr>
          <w:p w14:paraId="072F178E">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393AEC98">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220970F3">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2B67C95F">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5593A79B">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748ED159">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13D7FEBE">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1B6290CB">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3A0B93D0">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r>
      <w:tr w14:paraId="10B87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13" w:type="pct"/>
            <w:tcBorders>
              <w:top w:val="single" w:color="auto" w:sz="4" w:space="0"/>
              <w:left w:val="single" w:color="auto" w:sz="4" w:space="0"/>
              <w:bottom w:val="single" w:color="auto" w:sz="4" w:space="0"/>
              <w:right w:val="single" w:color="auto" w:sz="4" w:space="0"/>
            </w:tcBorders>
          </w:tcPr>
          <w:p w14:paraId="4DBDF916">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3CCD65B0">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4C3CAFCC">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387350D8">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7DD0DE0F">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320B5BDA">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2152D246">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5053A477">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12870924">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r>
      <w:tr w14:paraId="58552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13" w:type="pct"/>
            <w:tcBorders>
              <w:top w:val="single" w:color="auto" w:sz="4" w:space="0"/>
              <w:left w:val="single" w:color="auto" w:sz="4" w:space="0"/>
              <w:bottom w:val="single" w:color="auto" w:sz="4" w:space="0"/>
              <w:right w:val="single" w:color="auto" w:sz="4" w:space="0"/>
            </w:tcBorders>
          </w:tcPr>
          <w:p w14:paraId="6E6D87EC">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59CBE3E7">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475F3F33">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428D35C5">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4C0D4FEE">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6387411E">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38D33C89">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7089D33E">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644E3BF0">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r>
      <w:tr w14:paraId="5DDE7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13" w:type="pct"/>
            <w:tcBorders>
              <w:top w:val="single" w:color="auto" w:sz="4" w:space="0"/>
              <w:left w:val="single" w:color="auto" w:sz="4" w:space="0"/>
              <w:bottom w:val="single" w:color="auto" w:sz="4" w:space="0"/>
              <w:right w:val="single" w:color="auto" w:sz="4" w:space="0"/>
            </w:tcBorders>
          </w:tcPr>
          <w:p w14:paraId="55AA4482">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0941615D">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6F150E90">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444647CF">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76619F05">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232A15FD">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2678CC77">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78F6E2A9">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6A4F9F81">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r>
      <w:tr w14:paraId="128F2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13" w:type="pct"/>
            <w:tcBorders>
              <w:top w:val="single" w:color="auto" w:sz="4" w:space="0"/>
              <w:left w:val="single" w:color="auto" w:sz="4" w:space="0"/>
              <w:bottom w:val="single" w:color="auto" w:sz="4" w:space="0"/>
              <w:right w:val="single" w:color="auto" w:sz="4" w:space="0"/>
            </w:tcBorders>
          </w:tcPr>
          <w:p w14:paraId="682F8BF0">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15E7C1ED">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0A39AFB8">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68208139">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7A05AA2B">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75CF8AFC">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7928695C">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63D5DD5F">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4AAAC926">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r>
      <w:tr w14:paraId="0DC49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13" w:type="pct"/>
            <w:tcBorders>
              <w:top w:val="single" w:color="auto" w:sz="4" w:space="0"/>
              <w:left w:val="single" w:color="auto" w:sz="4" w:space="0"/>
              <w:bottom w:val="single" w:color="auto" w:sz="4" w:space="0"/>
              <w:right w:val="single" w:color="auto" w:sz="4" w:space="0"/>
            </w:tcBorders>
          </w:tcPr>
          <w:p w14:paraId="5165A737">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0F842382">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69A0C725">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44AB9BCE">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79923702">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58C9F459">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4FBE5DF9">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56EB1704">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263FF6B2">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r>
      <w:tr w14:paraId="7FBE7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13" w:type="pct"/>
            <w:tcBorders>
              <w:top w:val="single" w:color="auto" w:sz="4" w:space="0"/>
              <w:left w:val="single" w:color="auto" w:sz="4" w:space="0"/>
              <w:bottom w:val="single" w:color="auto" w:sz="4" w:space="0"/>
              <w:right w:val="single" w:color="auto" w:sz="4" w:space="0"/>
            </w:tcBorders>
          </w:tcPr>
          <w:p w14:paraId="133667CA">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047C6145">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2EE7A8F0">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5B927B82">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282CA7A3">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58B1177F">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79460D7B">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30A2AE1E">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3BBCAF32">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r>
      <w:tr w14:paraId="3BF85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13" w:type="pct"/>
            <w:tcBorders>
              <w:top w:val="single" w:color="auto" w:sz="4" w:space="0"/>
              <w:left w:val="single" w:color="auto" w:sz="4" w:space="0"/>
              <w:bottom w:val="single" w:color="auto" w:sz="4" w:space="0"/>
              <w:right w:val="single" w:color="auto" w:sz="4" w:space="0"/>
            </w:tcBorders>
          </w:tcPr>
          <w:p w14:paraId="56114C4C">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21BD9C8A">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2A12B322">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4030FB01">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61CC232B">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4F0CBF4B">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7DA89759">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2EFC6B48">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33D29A1B">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r>
      <w:tr w14:paraId="5CA26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13" w:type="pct"/>
            <w:tcBorders>
              <w:top w:val="single" w:color="auto" w:sz="4" w:space="0"/>
              <w:left w:val="single" w:color="auto" w:sz="4" w:space="0"/>
              <w:bottom w:val="single" w:color="auto" w:sz="4" w:space="0"/>
              <w:right w:val="single" w:color="auto" w:sz="4" w:space="0"/>
            </w:tcBorders>
          </w:tcPr>
          <w:p w14:paraId="552C4610">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43711A67">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02767D31">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6BB9764E">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34B9A9A7">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68CEFC27">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3D31FD5C">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4F7D39E4">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7910F803">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r>
      <w:tr w14:paraId="4C98D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13" w:type="pct"/>
            <w:tcBorders>
              <w:top w:val="single" w:color="auto" w:sz="4" w:space="0"/>
              <w:left w:val="single" w:color="auto" w:sz="4" w:space="0"/>
              <w:bottom w:val="single" w:color="auto" w:sz="4" w:space="0"/>
              <w:right w:val="single" w:color="auto" w:sz="4" w:space="0"/>
            </w:tcBorders>
          </w:tcPr>
          <w:p w14:paraId="32C66351">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39B0A1EE">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38E645CA">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7F9765D3">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3C780005">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47905566">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7BD84B82">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5AFC634C">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075E4A26">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r>
      <w:tr w14:paraId="31278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13" w:type="pct"/>
            <w:tcBorders>
              <w:top w:val="single" w:color="auto" w:sz="4" w:space="0"/>
              <w:left w:val="single" w:color="auto" w:sz="4" w:space="0"/>
              <w:bottom w:val="single" w:color="auto" w:sz="4" w:space="0"/>
              <w:right w:val="single" w:color="auto" w:sz="4" w:space="0"/>
            </w:tcBorders>
          </w:tcPr>
          <w:p w14:paraId="0265F1F6">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3DD2197C">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50CA90EB">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2AFB72A8">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14A51F4F">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3E27062B">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7323FC8C">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59ED0714">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10FB631C">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r>
      <w:tr w14:paraId="0F86B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13" w:type="pct"/>
            <w:tcBorders>
              <w:top w:val="single" w:color="auto" w:sz="4" w:space="0"/>
              <w:left w:val="single" w:color="auto" w:sz="4" w:space="0"/>
              <w:bottom w:val="single" w:color="auto" w:sz="4" w:space="0"/>
              <w:right w:val="single" w:color="auto" w:sz="4" w:space="0"/>
            </w:tcBorders>
          </w:tcPr>
          <w:p w14:paraId="4C04613E">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2ED30ED5">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2372C49B">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436C0A0E">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6E874AA4">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38FD1288">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2A118405">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54A28E4C">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5F7C14EB">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r>
      <w:tr w14:paraId="69EC3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13" w:type="pct"/>
            <w:tcBorders>
              <w:top w:val="single" w:color="auto" w:sz="4" w:space="0"/>
              <w:left w:val="single" w:color="auto" w:sz="4" w:space="0"/>
              <w:bottom w:val="single" w:color="auto" w:sz="4" w:space="0"/>
              <w:right w:val="single" w:color="auto" w:sz="4" w:space="0"/>
            </w:tcBorders>
          </w:tcPr>
          <w:p w14:paraId="3690A044">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7E313B24">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31249FCF">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6AD2DADA">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7CBFC4B0">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25BDE492">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7E53E639">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7BF040C0">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3B007EF5">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r>
      <w:tr w14:paraId="2457A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13" w:type="pct"/>
            <w:tcBorders>
              <w:top w:val="single" w:color="auto" w:sz="4" w:space="0"/>
              <w:left w:val="single" w:color="auto" w:sz="4" w:space="0"/>
              <w:bottom w:val="single" w:color="auto" w:sz="4" w:space="0"/>
              <w:right w:val="single" w:color="auto" w:sz="4" w:space="0"/>
            </w:tcBorders>
          </w:tcPr>
          <w:p w14:paraId="3A37C49D">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6CC55678">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6401DBCE">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1FEDE3BD">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698B7377">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2F4AB40B">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17C0E948">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501A913B">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7C2B5E02">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r>
      <w:tr w14:paraId="71030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13" w:type="pct"/>
            <w:tcBorders>
              <w:top w:val="single" w:color="auto" w:sz="4" w:space="0"/>
              <w:left w:val="single" w:color="auto" w:sz="4" w:space="0"/>
              <w:bottom w:val="single" w:color="auto" w:sz="4" w:space="0"/>
              <w:right w:val="single" w:color="auto" w:sz="4" w:space="0"/>
            </w:tcBorders>
          </w:tcPr>
          <w:p w14:paraId="1E92B551">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21D0116B">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4431BE7A">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4FCEDC5F">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1C81AC08">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35B4FBB1">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7DF0B61B">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2F682EF4">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69716D9E">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r>
    </w:tbl>
    <w:p w14:paraId="3E4C4FEB">
      <w:pPr>
        <w:jc w:val="left"/>
        <w:rPr>
          <w:rFonts w:ascii="宋体" w:hAnsi="宋体" w:cs="宋体"/>
          <w:b/>
          <w:color w:val="000000"/>
          <w:sz w:val="24"/>
          <w:szCs w:val="24"/>
        </w:rPr>
      </w:pPr>
    </w:p>
    <w:p w14:paraId="2C1BF5EA">
      <w:pPr>
        <w:wordWrap w:val="0"/>
        <w:spacing w:line="400" w:lineRule="exact"/>
        <w:ind w:firstLine="420" w:firstLineChars="175"/>
        <w:jc w:val="left"/>
        <w:rPr>
          <w:rFonts w:ascii="宋体" w:hAnsi="宋体" w:cs="楷体_GB2312"/>
          <w:sz w:val="24"/>
          <w:szCs w:val="24"/>
        </w:rPr>
      </w:pPr>
    </w:p>
    <w:p w14:paraId="6F914F68">
      <w:pPr>
        <w:wordWrap w:val="0"/>
        <w:spacing w:line="400" w:lineRule="exact"/>
        <w:ind w:firstLine="420" w:firstLineChars="175"/>
        <w:jc w:val="left"/>
        <w:rPr>
          <w:rFonts w:ascii="宋体" w:hAnsi="宋体" w:cs="楷体_GB2312"/>
          <w:sz w:val="24"/>
          <w:u w:val="single"/>
        </w:rPr>
      </w:pPr>
    </w:p>
    <w:p w14:paraId="363AB51D">
      <w:pPr>
        <w:spacing w:line="360" w:lineRule="auto"/>
        <w:ind w:right="240" w:firstLine="360" w:firstLineChars="150"/>
        <w:jc w:val="left"/>
        <w:rPr>
          <w:rFonts w:ascii="宋体" w:hAnsi="宋体" w:cs="楷体_GB2312"/>
          <w:sz w:val="24"/>
        </w:rPr>
      </w:pPr>
    </w:p>
    <w:p w14:paraId="3EEA1688">
      <w:pPr>
        <w:spacing w:line="360" w:lineRule="auto"/>
        <w:ind w:right="240" w:firstLine="360" w:firstLineChars="150"/>
        <w:jc w:val="left"/>
        <w:rPr>
          <w:rFonts w:ascii="宋体" w:hAnsi="宋体" w:cs="宋体"/>
          <w:color w:val="000000"/>
          <w:szCs w:val="21"/>
        </w:rPr>
      </w:pPr>
      <w:r>
        <w:rPr>
          <w:rFonts w:hint="eastAsia" w:ascii="宋体" w:hAnsi="宋体" w:cs="楷体_GB2312"/>
          <w:sz w:val="24"/>
        </w:rPr>
        <w:t xml:space="preserve">    </w:t>
      </w:r>
      <w:r>
        <w:rPr>
          <w:rFonts w:hint="eastAsia" w:ascii="宋体" w:hAnsi="宋体" w:cs="宋体"/>
          <w:color w:val="000000"/>
          <w:szCs w:val="21"/>
        </w:rPr>
        <w:t xml:space="preserve">       </w:t>
      </w:r>
    </w:p>
    <w:p w14:paraId="7D262FFF"/>
    <w:p w14:paraId="1C5C5393"/>
    <w:p w14:paraId="26EDC917">
      <w:pPr>
        <w:pStyle w:val="4"/>
        <w:ind w:left="63" w:right="63" w:firstLine="211"/>
      </w:pPr>
    </w:p>
    <w:p w14:paraId="0D7EBF71">
      <w:pPr>
        <w:keepNext/>
        <w:keepLines/>
        <w:spacing w:before="260" w:after="260" w:line="400" w:lineRule="exact"/>
        <w:jc w:val="center"/>
        <w:outlineLvl w:val="2"/>
        <w:rPr>
          <w:rFonts w:cs="宋体" w:asciiTheme="minorEastAsia" w:hAnsiTheme="minorEastAsia"/>
          <w:b/>
          <w:bCs/>
          <w:color w:val="000000"/>
          <w:sz w:val="24"/>
          <w:szCs w:val="24"/>
        </w:rPr>
      </w:pPr>
      <w:bookmarkStart w:id="395" w:name="_Toc11417"/>
      <w:bookmarkStart w:id="396" w:name="_Toc31137"/>
      <w:r>
        <w:rPr>
          <w:rFonts w:hint="eastAsia" w:cs="宋体" w:asciiTheme="minorEastAsia" w:hAnsiTheme="minorEastAsia"/>
          <w:b/>
          <w:bCs/>
          <w:color w:val="000000"/>
          <w:sz w:val="24"/>
          <w:szCs w:val="24"/>
        </w:rPr>
        <w:t>（二）主要人员简历表</w:t>
      </w:r>
      <w:bookmarkEnd w:id="395"/>
      <w:bookmarkEnd w:id="396"/>
    </w:p>
    <w:p w14:paraId="116FC954">
      <w:pPr>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“主要人员简历表”中的项目经理应附注册证、</w:t>
      </w:r>
      <w:r>
        <w:rPr>
          <w:rFonts w:hint="eastAsia" w:cs="宋体" w:asciiTheme="minorEastAsia" w:hAnsiTheme="minorEastAsia"/>
          <w:kern w:val="0"/>
          <w:sz w:val="24"/>
          <w:szCs w:val="24"/>
        </w:rPr>
        <w:t>安全生产考核合格证（B类）、</w:t>
      </w:r>
      <w:r>
        <w:rPr>
          <w:rFonts w:hint="eastAsia" w:cs="宋体" w:asciiTheme="minorEastAsia" w:hAnsiTheme="minorEastAsia"/>
          <w:color w:val="000000"/>
          <w:sz w:val="24"/>
          <w:szCs w:val="24"/>
        </w:rPr>
        <w:t>身份证等扫描件；技术负责人应附身份证、职称证等扫描件；其他主要人员应附执业证或上岗证书扫描件（专职安全生产管理人员应附有效的安全生产考核合格证书）。</w:t>
      </w:r>
    </w:p>
    <w:p w14:paraId="5AB91FA8">
      <w:pPr>
        <w:topLinePunct/>
        <w:spacing w:line="440" w:lineRule="exact"/>
        <w:jc w:val="center"/>
        <w:rPr>
          <w:rFonts w:cs="宋体" w:asciiTheme="minorEastAsia" w:hAnsiTheme="minorEastAsia"/>
          <w:color w:val="000000"/>
          <w:sz w:val="24"/>
          <w:szCs w:val="24"/>
        </w:rPr>
      </w:pP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416"/>
        <w:gridCol w:w="831"/>
        <w:gridCol w:w="1070"/>
        <w:gridCol w:w="1229"/>
        <w:gridCol w:w="821"/>
        <w:gridCol w:w="1456"/>
        <w:gridCol w:w="183"/>
        <w:gridCol w:w="2475"/>
      </w:tblGrid>
      <w:tr w14:paraId="51826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95" w:type="pct"/>
            <w:tcBorders>
              <w:top w:val="single" w:color="auto" w:sz="4" w:space="0"/>
              <w:left w:val="single" w:color="auto" w:sz="4" w:space="0"/>
              <w:bottom w:val="single" w:color="auto" w:sz="4" w:space="0"/>
              <w:right w:val="single" w:color="auto" w:sz="4" w:space="0"/>
            </w:tcBorders>
            <w:vAlign w:val="center"/>
          </w:tcPr>
          <w:p w14:paraId="2608BA44">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r>
              <w:rPr>
                <w:rFonts w:hint="eastAsia" w:cs="宋体" w:asciiTheme="minorEastAsia" w:hAnsiTheme="minorEastAsia"/>
                <w:color w:val="000000"/>
                <w:sz w:val="24"/>
                <w:szCs w:val="24"/>
              </w:rPr>
              <w:t>姓  名</w:t>
            </w:r>
          </w:p>
        </w:tc>
        <w:tc>
          <w:tcPr>
            <w:tcW w:w="633" w:type="pct"/>
            <w:gridSpan w:val="2"/>
            <w:tcBorders>
              <w:top w:val="single" w:color="auto" w:sz="4" w:space="0"/>
              <w:left w:val="single" w:color="auto" w:sz="4" w:space="0"/>
              <w:bottom w:val="single" w:color="auto" w:sz="4" w:space="0"/>
              <w:right w:val="single" w:color="auto" w:sz="4" w:space="0"/>
            </w:tcBorders>
            <w:vAlign w:val="center"/>
          </w:tcPr>
          <w:p w14:paraId="157B8601">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543" w:type="pct"/>
            <w:tcBorders>
              <w:top w:val="single" w:color="auto" w:sz="4" w:space="0"/>
              <w:left w:val="single" w:color="auto" w:sz="4" w:space="0"/>
              <w:bottom w:val="single" w:color="auto" w:sz="4" w:space="0"/>
              <w:right w:val="single" w:color="auto" w:sz="4" w:space="0"/>
            </w:tcBorders>
            <w:vAlign w:val="center"/>
          </w:tcPr>
          <w:p w14:paraId="7DFC860E">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r>
              <w:rPr>
                <w:rFonts w:hint="eastAsia" w:cs="宋体" w:asciiTheme="minorEastAsia" w:hAnsiTheme="minorEastAsia"/>
                <w:color w:val="000000"/>
                <w:sz w:val="24"/>
                <w:szCs w:val="24"/>
              </w:rPr>
              <w:t>年 龄</w:t>
            </w:r>
          </w:p>
        </w:tc>
        <w:tc>
          <w:tcPr>
            <w:tcW w:w="624" w:type="pct"/>
            <w:tcBorders>
              <w:top w:val="single" w:color="auto" w:sz="4" w:space="0"/>
              <w:left w:val="single" w:color="auto" w:sz="4" w:space="0"/>
              <w:bottom w:val="single" w:color="auto" w:sz="4" w:space="0"/>
              <w:right w:val="single" w:color="auto" w:sz="4" w:space="0"/>
            </w:tcBorders>
            <w:vAlign w:val="center"/>
          </w:tcPr>
          <w:p w14:paraId="461FAB87">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1249" w:type="pct"/>
            <w:gridSpan w:val="3"/>
            <w:tcBorders>
              <w:top w:val="single" w:color="auto" w:sz="4" w:space="0"/>
              <w:left w:val="single" w:color="auto" w:sz="4" w:space="0"/>
              <w:bottom w:val="single" w:color="auto" w:sz="4" w:space="0"/>
              <w:right w:val="single" w:color="auto" w:sz="4" w:space="0"/>
            </w:tcBorders>
            <w:vAlign w:val="center"/>
          </w:tcPr>
          <w:p w14:paraId="74CB2883">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r>
              <w:rPr>
                <w:rFonts w:hint="eastAsia" w:cs="宋体" w:asciiTheme="minorEastAsia" w:hAnsiTheme="minorEastAsia"/>
                <w:color w:val="000000"/>
                <w:sz w:val="24"/>
                <w:szCs w:val="24"/>
              </w:rPr>
              <w:t>学历</w:t>
            </w:r>
          </w:p>
        </w:tc>
        <w:tc>
          <w:tcPr>
            <w:tcW w:w="1252" w:type="pct"/>
            <w:tcBorders>
              <w:top w:val="single" w:color="auto" w:sz="4" w:space="0"/>
              <w:left w:val="single" w:color="auto" w:sz="4" w:space="0"/>
              <w:bottom w:val="single" w:color="auto" w:sz="4" w:space="0"/>
              <w:right w:val="single" w:color="auto" w:sz="4" w:space="0"/>
            </w:tcBorders>
            <w:vAlign w:val="center"/>
          </w:tcPr>
          <w:p w14:paraId="75A4FA44">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r>
      <w:tr w14:paraId="13FF4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95" w:type="pct"/>
            <w:tcBorders>
              <w:top w:val="single" w:color="auto" w:sz="4" w:space="0"/>
              <w:left w:val="single" w:color="auto" w:sz="4" w:space="0"/>
              <w:bottom w:val="single" w:color="auto" w:sz="4" w:space="0"/>
              <w:right w:val="single" w:color="auto" w:sz="4" w:space="0"/>
            </w:tcBorders>
            <w:vAlign w:val="center"/>
          </w:tcPr>
          <w:p w14:paraId="5A3ECD32">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r>
              <w:rPr>
                <w:rFonts w:hint="eastAsia" w:cs="宋体" w:asciiTheme="minorEastAsia" w:hAnsiTheme="minorEastAsia"/>
                <w:color w:val="000000"/>
                <w:sz w:val="24"/>
                <w:szCs w:val="24"/>
              </w:rPr>
              <w:t>职  称</w:t>
            </w:r>
          </w:p>
        </w:tc>
        <w:tc>
          <w:tcPr>
            <w:tcW w:w="633" w:type="pct"/>
            <w:gridSpan w:val="2"/>
            <w:tcBorders>
              <w:top w:val="single" w:color="auto" w:sz="4" w:space="0"/>
              <w:left w:val="single" w:color="auto" w:sz="4" w:space="0"/>
              <w:bottom w:val="single" w:color="auto" w:sz="4" w:space="0"/>
              <w:right w:val="single" w:color="auto" w:sz="4" w:space="0"/>
            </w:tcBorders>
            <w:vAlign w:val="center"/>
          </w:tcPr>
          <w:p w14:paraId="4D213CBF">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543" w:type="pct"/>
            <w:tcBorders>
              <w:top w:val="single" w:color="auto" w:sz="4" w:space="0"/>
              <w:left w:val="single" w:color="auto" w:sz="4" w:space="0"/>
              <w:bottom w:val="single" w:color="auto" w:sz="4" w:space="0"/>
              <w:right w:val="single" w:color="auto" w:sz="4" w:space="0"/>
            </w:tcBorders>
            <w:vAlign w:val="center"/>
          </w:tcPr>
          <w:p w14:paraId="5DCDE4C0">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r>
              <w:rPr>
                <w:rFonts w:hint="eastAsia" w:cs="宋体" w:asciiTheme="minorEastAsia" w:hAnsiTheme="minorEastAsia"/>
                <w:color w:val="000000"/>
                <w:sz w:val="24"/>
                <w:szCs w:val="24"/>
              </w:rPr>
              <w:t>职 务</w:t>
            </w:r>
          </w:p>
        </w:tc>
        <w:tc>
          <w:tcPr>
            <w:tcW w:w="624" w:type="pct"/>
            <w:tcBorders>
              <w:top w:val="single" w:color="auto" w:sz="4" w:space="0"/>
              <w:left w:val="single" w:color="auto" w:sz="4" w:space="0"/>
              <w:bottom w:val="single" w:color="auto" w:sz="4" w:space="0"/>
              <w:right w:val="single" w:color="auto" w:sz="4" w:space="0"/>
            </w:tcBorders>
            <w:vAlign w:val="center"/>
          </w:tcPr>
          <w:p w14:paraId="341F43AE">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1249" w:type="pct"/>
            <w:gridSpan w:val="3"/>
            <w:tcBorders>
              <w:top w:val="single" w:color="auto" w:sz="4" w:space="0"/>
              <w:left w:val="single" w:color="auto" w:sz="4" w:space="0"/>
              <w:bottom w:val="single" w:color="auto" w:sz="4" w:space="0"/>
              <w:right w:val="single" w:color="auto" w:sz="4" w:space="0"/>
            </w:tcBorders>
            <w:vAlign w:val="center"/>
          </w:tcPr>
          <w:p w14:paraId="3632FE34">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r>
              <w:rPr>
                <w:rFonts w:hint="eastAsia" w:cs="宋体" w:asciiTheme="minorEastAsia" w:hAnsiTheme="minorEastAsia"/>
                <w:color w:val="000000"/>
                <w:sz w:val="24"/>
                <w:szCs w:val="24"/>
              </w:rPr>
              <w:t>拟在本合同任职</w:t>
            </w:r>
          </w:p>
        </w:tc>
        <w:tc>
          <w:tcPr>
            <w:tcW w:w="1252" w:type="pct"/>
            <w:tcBorders>
              <w:top w:val="single" w:color="auto" w:sz="4" w:space="0"/>
              <w:left w:val="single" w:color="auto" w:sz="4" w:space="0"/>
              <w:bottom w:val="single" w:color="auto" w:sz="4" w:space="0"/>
              <w:right w:val="single" w:color="auto" w:sz="4" w:space="0"/>
            </w:tcBorders>
            <w:vAlign w:val="center"/>
          </w:tcPr>
          <w:p w14:paraId="055816EC">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r>
      <w:tr w14:paraId="4CF53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95" w:type="pct"/>
            <w:tcBorders>
              <w:top w:val="single" w:color="auto" w:sz="4" w:space="0"/>
              <w:left w:val="single" w:color="auto" w:sz="4" w:space="0"/>
              <w:bottom w:val="single" w:color="auto" w:sz="4" w:space="0"/>
              <w:right w:val="single" w:color="auto" w:sz="4" w:space="0"/>
            </w:tcBorders>
            <w:vAlign w:val="center"/>
          </w:tcPr>
          <w:p w14:paraId="3C8BE042">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r>
              <w:rPr>
                <w:rFonts w:hint="eastAsia" w:cs="宋体" w:asciiTheme="minorEastAsia" w:hAnsiTheme="minorEastAsia"/>
                <w:color w:val="000000"/>
                <w:sz w:val="24"/>
                <w:szCs w:val="24"/>
              </w:rPr>
              <w:t>毕业学校</w:t>
            </w:r>
          </w:p>
        </w:tc>
        <w:tc>
          <w:tcPr>
            <w:tcW w:w="4304" w:type="pct"/>
            <w:gridSpan w:val="8"/>
            <w:tcBorders>
              <w:top w:val="single" w:color="auto" w:sz="4" w:space="0"/>
              <w:left w:val="single" w:color="auto" w:sz="4" w:space="0"/>
              <w:bottom w:val="single" w:color="auto" w:sz="4" w:space="0"/>
              <w:right w:val="single" w:color="auto" w:sz="4" w:space="0"/>
            </w:tcBorders>
            <w:vAlign w:val="center"/>
          </w:tcPr>
          <w:p w14:paraId="68FB9604">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r>
              <w:rPr>
                <w:rFonts w:hint="eastAsia" w:cs="宋体" w:asciiTheme="minorEastAsia" w:hAnsiTheme="minorEastAsia"/>
                <w:color w:val="000000"/>
                <w:sz w:val="24"/>
                <w:szCs w:val="24"/>
              </w:rPr>
              <w:t>年毕业于            学校        专业</w:t>
            </w:r>
          </w:p>
        </w:tc>
      </w:tr>
      <w:tr w14:paraId="3CDF7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000" w:type="pct"/>
            <w:gridSpan w:val="9"/>
            <w:tcBorders>
              <w:top w:val="single" w:color="auto" w:sz="4" w:space="0"/>
              <w:left w:val="single" w:color="auto" w:sz="4" w:space="0"/>
              <w:bottom w:val="single" w:color="auto" w:sz="4" w:space="0"/>
              <w:right w:val="single" w:color="auto" w:sz="4" w:space="0"/>
            </w:tcBorders>
            <w:vAlign w:val="center"/>
          </w:tcPr>
          <w:p w14:paraId="61EA7650">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r>
              <w:rPr>
                <w:rFonts w:hint="eastAsia" w:cs="宋体" w:asciiTheme="minorEastAsia" w:hAnsiTheme="minorEastAsia"/>
                <w:color w:val="000000"/>
                <w:sz w:val="24"/>
                <w:szCs w:val="24"/>
              </w:rPr>
              <w:t>主要工作经历</w:t>
            </w:r>
          </w:p>
        </w:tc>
      </w:tr>
      <w:tr w14:paraId="347E1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06" w:type="pct"/>
            <w:gridSpan w:val="2"/>
            <w:tcBorders>
              <w:top w:val="single" w:color="auto" w:sz="4" w:space="0"/>
              <w:left w:val="single" w:color="auto" w:sz="4" w:space="0"/>
              <w:bottom w:val="single" w:color="auto" w:sz="4" w:space="0"/>
              <w:right w:val="single" w:color="auto" w:sz="4" w:space="0"/>
            </w:tcBorders>
            <w:vAlign w:val="center"/>
          </w:tcPr>
          <w:p w14:paraId="248DBBB1">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r>
              <w:rPr>
                <w:rFonts w:hint="eastAsia" w:cs="宋体" w:asciiTheme="minorEastAsia" w:hAnsiTheme="minorEastAsia"/>
                <w:color w:val="000000"/>
                <w:sz w:val="24"/>
                <w:szCs w:val="24"/>
              </w:rPr>
              <w:t>时  间</w:t>
            </w:r>
          </w:p>
        </w:tc>
        <w:tc>
          <w:tcPr>
            <w:tcW w:w="2006" w:type="pct"/>
            <w:gridSpan w:val="4"/>
            <w:tcBorders>
              <w:top w:val="single" w:color="auto" w:sz="4" w:space="0"/>
              <w:left w:val="single" w:color="auto" w:sz="4" w:space="0"/>
              <w:bottom w:val="single" w:color="auto" w:sz="4" w:space="0"/>
              <w:right w:val="single" w:color="auto" w:sz="4" w:space="0"/>
            </w:tcBorders>
            <w:vAlign w:val="center"/>
          </w:tcPr>
          <w:p w14:paraId="682ECACD">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r>
              <w:rPr>
                <w:rFonts w:hint="eastAsia" w:cs="宋体" w:asciiTheme="minorEastAsia" w:hAnsiTheme="minorEastAsia"/>
                <w:color w:val="000000"/>
                <w:sz w:val="24"/>
                <w:szCs w:val="24"/>
              </w:rPr>
              <w:t>参加过的类似项目</w:t>
            </w:r>
          </w:p>
        </w:tc>
        <w:tc>
          <w:tcPr>
            <w:tcW w:w="739" w:type="pct"/>
            <w:tcBorders>
              <w:top w:val="single" w:color="auto" w:sz="4" w:space="0"/>
              <w:left w:val="single" w:color="auto" w:sz="4" w:space="0"/>
              <w:bottom w:val="single" w:color="auto" w:sz="4" w:space="0"/>
              <w:right w:val="single" w:color="auto" w:sz="4" w:space="0"/>
            </w:tcBorders>
            <w:vAlign w:val="center"/>
          </w:tcPr>
          <w:p w14:paraId="107ED95E">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r>
              <w:rPr>
                <w:rFonts w:hint="eastAsia" w:cs="宋体" w:asciiTheme="minorEastAsia" w:hAnsiTheme="minorEastAsia"/>
                <w:color w:val="000000"/>
                <w:sz w:val="24"/>
                <w:szCs w:val="24"/>
              </w:rPr>
              <w:t>担任职务</w:t>
            </w:r>
          </w:p>
        </w:tc>
        <w:tc>
          <w:tcPr>
            <w:tcW w:w="1347" w:type="pct"/>
            <w:gridSpan w:val="2"/>
            <w:tcBorders>
              <w:top w:val="single" w:color="auto" w:sz="4" w:space="0"/>
              <w:left w:val="single" w:color="auto" w:sz="4" w:space="0"/>
              <w:bottom w:val="single" w:color="auto" w:sz="4" w:space="0"/>
              <w:right w:val="single" w:color="auto" w:sz="4" w:space="0"/>
            </w:tcBorders>
            <w:vAlign w:val="center"/>
          </w:tcPr>
          <w:p w14:paraId="6BF06C66">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r>
              <w:rPr>
                <w:rFonts w:hint="eastAsia" w:cs="宋体" w:asciiTheme="minorEastAsia" w:hAnsiTheme="minorEastAsia"/>
                <w:color w:val="000000"/>
                <w:sz w:val="24"/>
                <w:szCs w:val="24"/>
              </w:rPr>
              <w:t>发包人及联系电话</w:t>
            </w:r>
          </w:p>
        </w:tc>
      </w:tr>
      <w:tr w14:paraId="7C0DB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06" w:type="pct"/>
            <w:gridSpan w:val="2"/>
            <w:tcBorders>
              <w:top w:val="single" w:color="auto" w:sz="4" w:space="0"/>
              <w:left w:val="single" w:color="auto" w:sz="4" w:space="0"/>
              <w:bottom w:val="single" w:color="auto" w:sz="4" w:space="0"/>
              <w:right w:val="single" w:color="auto" w:sz="4" w:space="0"/>
            </w:tcBorders>
            <w:vAlign w:val="center"/>
          </w:tcPr>
          <w:p w14:paraId="23F6783E">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2006" w:type="pct"/>
            <w:gridSpan w:val="4"/>
            <w:tcBorders>
              <w:top w:val="single" w:color="auto" w:sz="4" w:space="0"/>
              <w:left w:val="single" w:color="auto" w:sz="4" w:space="0"/>
              <w:bottom w:val="single" w:color="auto" w:sz="4" w:space="0"/>
              <w:right w:val="single" w:color="auto" w:sz="4" w:space="0"/>
            </w:tcBorders>
            <w:vAlign w:val="center"/>
          </w:tcPr>
          <w:p w14:paraId="5BC8B6CF">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739" w:type="pct"/>
            <w:tcBorders>
              <w:top w:val="single" w:color="auto" w:sz="4" w:space="0"/>
              <w:left w:val="single" w:color="auto" w:sz="4" w:space="0"/>
              <w:bottom w:val="single" w:color="auto" w:sz="4" w:space="0"/>
              <w:right w:val="single" w:color="auto" w:sz="4" w:space="0"/>
            </w:tcBorders>
            <w:vAlign w:val="center"/>
          </w:tcPr>
          <w:p w14:paraId="53EE6362">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1347" w:type="pct"/>
            <w:gridSpan w:val="2"/>
            <w:tcBorders>
              <w:top w:val="single" w:color="auto" w:sz="4" w:space="0"/>
              <w:left w:val="single" w:color="auto" w:sz="4" w:space="0"/>
              <w:bottom w:val="single" w:color="auto" w:sz="4" w:space="0"/>
              <w:right w:val="single" w:color="auto" w:sz="4" w:space="0"/>
            </w:tcBorders>
            <w:vAlign w:val="center"/>
          </w:tcPr>
          <w:p w14:paraId="767A5756">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r>
      <w:tr w14:paraId="16FD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06" w:type="pct"/>
            <w:gridSpan w:val="2"/>
            <w:tcBorders>
              <w:top w:val="single" w:color="auto" w:sz="4" w:space="0"/>
              <w:left w:val="single" w:color="auto" w:sz="4" w:space="0"/>
              <w:bottom w:val="single" w:color="auto" w:sz="4" w:space="0"/>
              <w:right w:val="single" w:color="auto" w:sz="4" w:space="0"/>
            </w:tcBorders>
            <w:vAlign w:val="center"/>
          </w:tcPr>
          <w:p w14:paraId="322C15B7">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2006" w:type="pct"/>
            <w:gridSpan w:val="4"/>
            <w:tcBorders>
              <w:top w:val="single" w:color="auto" w:sz="4" w:space="0"/>
              <w:left w:val="single" w:color="auto" w:sz="4" w:space="0"/>
              <w:bottom w:val="single" w:color="auto" w:sz="4" w:space="0"/>
              <w:right w:val="single" w:color="auto" w:sz="4" w:space="0"/>
            </w:tcBorders>
            <w:vAlign w:val="center"/>
          </w:tcPr>
          <w:p w14:paraId="64C7B5B6">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739" w:type="pct"/>
            <w:tcBorders>
              <w:top w:val="single" w:color="auto" w:sz="4" w:space="0"/>
              <w:left w:val="single" w:color="auto" w:sz="4" w:space="0"/>
              <w:bottom w:val="single" w:color="auto" w:sz="4" w:space="0"/>
              <w:right w:val="single" w:color="auto" w:sz="4" w:space="0"/>
            </w:tcBorders>
            <w:vAlign w:val="center"/>
          </w:tcPr>
          <w:p w14:paraId="72D4E39A">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1347" w:type="pct"/>
            <w:gridSpan w:val="2"/>
            <w:tcBorders>
              <w:top w:val="single" w:color="auto" w:sz="4" w:space="0"/>
              <w:left w:val="single" w:color="auto" w:sz="4" w:space="0"/>
              <w:bottom w:val="single" w:color="auto" w:sz="4" w:space="0"/>
              <w:right w:val="single" w:color="auto" w:sz="4" w:space="0"/>
            </w:tcBorders>
            <w:vAlign w:val="center"/>
          </w:tcPr>
          <w:p w14:paraId="3FC0802B">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r>
      <w:tr w14:paraId="5D635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06" w:type="pct"/>
            <w:gridSpan w:val="2"/>
            <w:tcBorders>
              <w:top w:val="single" w:color="auto" w:sz="4" w:space="0"/>
              <w:left w:val="single" w:color="auto" w:sz="4" w:space="0"/>
              <w:bottom w:val="single" w:color="auto" w:sz="4" w:space="0"/>
              <w:right w:val="single" w:color="auto" w:sz="4" w:space="0"/>
            </w:tcBorders>
            <w:vAlign w:val="center"/>
          </w:tcPr>
          <w:p w14:paraId="3A595853">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2006" w:type="pct"/>
            <w:gridSpan w:val="4"/>
            <w:tcBorders>
              <w:top w:val="single" w:color="auto" w:sz="4" w:space="0"/>
              <w:left w:val="single" w:color="auto" w:sz="4" w:space="0"/>
              <w:bottom w:val="single" w:color="auto" w:sz="4" w:space="0"/>
              <w:right w:val="single" w:color="auto" w:sz="4" w:space="0"/>
            </w:tcBorders>
            <w:vAlign w:val="center"/>
          </w:tcPr>
          <w:p w14:paraId="44D86030">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739" w:type="pct"/>
            <w:tcBorders>
              <w:top w:val="single" w:color="auto" w:sz="4" w:space="0"/>
              <w:left w:val="single" w:color="auto" w:sz="4" w:space="0"/>
              <w:bottom w:val="single" w:color="auto" w:sz="4" w:space="0"/>
              <w:right w:val="single" w:color="auto" w:sz="4" w:space="0"/>
            </w:tcBorders>
            <w:vAlign w:val="center"/>
          </w:tcPr>
          <w:p w14:paraId="5ACD5855">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1347" w:type="pct"/>
            <w:gridSpan w:val="2"/>
            <w:tcBorders>
              <w:top w:val="single" w:color="auto" w:sz="4" w:space="0"/>
              <w:left w:val="single" w:color="auto" w:sz="4" w:space="0"/>
              <w:bottom w:val="single" w:color="auto" w:sz="4" w:space="0"/>
              <w:right w:val="single" w:color="auto" w:sz="4" w:space="0"/>
            </w:tcBorders>
            <w:vAlign w:val="center"/>
          </w:tcPr>
          <w:p w14:paraId="21F70175">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r>
      <w:tr w14:paraId="2A880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06" w:type="pct"/>
            <w:gridSpan w:val="2"/>
            <w:tcBorders>
              <w:top w:val="single" w:color="auto" w:sz="4" w:space="0"/>
              <w:left w:val="single" w:color="auto" w:sz="4" w:space="0"/>
              <w:bottom w:val="single" w:color="auto" w:sz="4" w:space="0"/>
              <w:right w:val="single" w:color="auto" w:sz="4" w:space="0"/>
            </w:tcBorders>
            <w:vAlign w:val="center"/>
          </w:tcPr>
          <w:p w14:paraId="70EDB4A2">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2006" w:type="pct"/>
            <w:gridSpan w:val="4"/>
            <w:tcBorders>
              <w:top w:val="single" w:color="auto" w:sz="4" w:space="0"/>
              <w:left w:val="single" w:color="auto" w:sz="4" w:space="0"/>
              <w:bottom w:val="single" w:color="auto" w:sz="4" w:space="0"/>
              <w:right w:val="single" w:color="auto" w:sz="4" w:space="0"/>
            </w:tcBorders>
            <w:vAlign w:val="center"/>
          </w:tcPr>
          <w:p w14:paraId="1F059475">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739" w:type="pct"/>
            <w:tcBorders>
              <w:top w:val="single" w:color="auto" w:sz="4" w:space="0"/>
              <w:left w:val="single" w:color="auto" w:sz="4" w:space="0"/>
              <w:bottom w:val="single" w:color="auto" w:sz="4" w:space="0"/>
              <w:right w:val="single" w:color="auto" w:sz="4" w:space="0"/>
            </w:tcBorders>
            <w:vAlign w:val="center"/>
          </w:tcPr>
          <w:p w14:paraId="14A1F972">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1347" w:type="pct"/>
            <w:gridSpan w:val="2"/>
            <w:tcBorders>
              <w:top w:val="single" w:color="auto" w:sz="4" w:space="0"/>
              <w:left w:val="single" w:color="auto" w:sz="4" w:space="0"/>
              <w:bottom w:val="single" w:color="auto" w:sz="4" w:space="0"/>
              <w:right w:val="single" w:color="auto" w:sz="4" w:space="0"/>
            </w:tcBorders>
            <w:vAlign w:val="center"/>
          </w:tcPr>
          <w:p w14:paraId="0CC99E9A">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r>
      <w:tr w14:paraId="4272D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06" w:type="pct"/>
            <w:gridSpan w:val="2"/>
            <w:tcBorders>
              <w:top w:val="single" w:color="auto" w:sz="4" w:space="0"/>
              <w:left w:val="single" w:color="auto" w:sz="4" w:space="0"/>
              <w:bottom w:val="single" w:color="auto" w:sz="4" w:space="0"/>
              <w:right w:val="single" w:color="auto" w:sz="4" w:space="0"/>
            </w:tcBorders>
            <w:vAlign w:val="center"/>
          </w:tcPr>
          <w:p w14:paraId="1FB0BAC6">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2006" w:type="pct"/>
            <w:gridSpan w:val="4"/>
            <w:tcBorders>
              <w:top w:val="single" w:color="auto" w:sz="4" w:space="0"/>
              <w:left w:val="single" w:color="auto" w:sz="4" w:space="0"/>
              <w:bottom w:val="single" w:color="auto" w:sz="4" w:space="0"/>
              <w:right w:val="single" w:color="auto" w:sz="4" w:space="0"/>
            </w:tcBorders>
            <w:vAlign w:val="center"/>
          </w:tcPr>
          <w:p w14:paraId="0D9B8DB4">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739" w:type="pct"/>
            <w:tcBorders>
              <w:top w:val="single" w:color="auto" w:sz="4" w:space="0"/>
              <w:left w:val="single" w:color="auto" w:sz="4" w:space="0"/>
              <w:bottom w:val="single" w:color="auto" w:sz="4" w:space="0"/>
              <w:right w:val="single" w:color="auto" w:sz="4" w:space="0"/>
            </w:tcBorders>
            <w:vAlign w:val="center"/>
          </w:tcPr>
          <w:p w14:paraId="5958B795">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1347" w:type="pct"/>
            <w:gridSpan w:val="2"/>
            <w:tcBorders>
              <w:top w:val="single" w:color="auto" w:sz="4" w:space="0"/>
              <w:left w:val="single" w:color="auto" w:sz="4" w:space="0"/>
              <w:bottom w:val="single" w:color="auto" w:sz="4" w:space="0"/>
              <w:right w:val="single" w:color="auto" w:sz="4" w:space="0"/>
            </w:tcBorders>
            <w:vAlign w:val="center"/>
          </w:tcPr>
          <w:p w14:paraId="63BACB91">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r>
      <w:tr w14:paraId="60478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06" w:type="pct"/>
            <w:gridSpan w:val="2"/>
            <w:tcBorders>
              <w:top w:val="single" w:color="auto" w:sz="4" w:space="0"/>
              <w:left w:val="single" w:color="auto" w:sz="4" w:space="0"/>
              <w:bottom w:val="single" w:color="auto" w:sz="4" w:space="0"/>
              <w:right w:val="single" w:color="auto" w:sz="4" w:space="0"/>
            </w:tcBorders>
            <w:vAlign w:val="center"/>
          </w:tcPr>
          <w:p w14:paraId="595737EB">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2006" w:type="pct"/>
            <w:gridSpan w:val="4"/>
            <w:tcBorders>
              <w:top w:val="single" w:color="auto" w:sz="4" w:space="0"/>
              <w:left w:val="single" w:color="auto" w:sz="4" w:space="0"/>
              <w:bottom w:val="single" w:color="auto" w:sz="4" w:space="0"/>
              <w:right w:val="single" w:color="auto" w:sz="4" w:space="0"/>
            </w:tcBorders>
            <w:vAlign w:val="center"/>
          </w:tcPr>
          <w:p w14:paraId="08DEF17A">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739" w:type="pct"/>
            <w:tcBorders>
              <w:top w:val="single" w:color="auto" w:sz="4" w:space="0"/>
              <w:left w:val="single" w:color="auto" w:sz="4" w:space="0"/>
              <w:bottom w:val="single" w:color="auto" w:sz="4" w:space="0"/>
              <w:right w:val="single" w:color="auto" w:sz="4" w:space="0"/>
            </w:tcBorders>
            <w:vAlign w:val="center"/>
          </w:tcPr>
          <w:p w14:paraId="40A1B710">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1347" w:type="pct"/>
            <w:gridSpan w:val="2"/>
            <w:tcBorders>
              <w:top w:val="single" w:color="auto" w:sz="4" w:space="0"/>
              <w:left w:val="single" w:color="auto" w:sz="4" w:space="0"/>
              <w:bottom w:val="single" w:color="auto" w:sz="4" w:space="0"/>
              <w:right w:val="single" w:color="auto" w:sz="4" w:space="0"/>
            </w:tcBorders>
            <w:vAlign w:val="center"/>
          </w:tcPr>
          <w:p w14:paraId="171FD394">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r>
      <w:tr w14:paraId="73229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06" w:type="pct"/>
            <w:gridSpan w:val="2"/>
            <w:tcBorders>
              <w:top w:val="single" w:color="auto" w:sz="4" w:space="0"/>
              <w:left w:val="single" w:color="auto" w:sz="4" w:space="0"/>
              <w:bottom w:val="single" w:color="auto" w:sz="4" w:space="0"/>
              <w:right w:val="single" w:color="auto" w:sz="4" w:space="0"/>
            </w:tcBorders>
            <w:vAlign w:val="center"/>
          </w:tcPr>
          <w:p w14:paraId="4C7B231F">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2006" w:type="pct"/>
            <w:gridSpan w:val="4"/>
            <w:tcBorders>
              <w:top w:val="single" w:color="auto" w:sz="4" w:space="0"/>
              <w:left w:val="single" w:color="auto" w:sz="4" w:space="0"/>
              <w:bottom w:val="single" w:color="auto" w:sz="4" w:space="0"/>
              <w:right w:val="single" w:color="auto" w:sz="4" w:space="0"/>
            </w:tcBorders>
            <w:vAlign w:val="center"/>
          </w:tcPr>
          <w:p w14:paraId="1E1DE232">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739" w:type="pct"/>
            <w:tcBorders>
              <w:top w:val="single" w:color="auto" w:sz="4" w:space="0"/>
              <w:left w:val="single" w:color="auto" w:sz="4" w:space="0"/>
              <w:bottom w:val="single" w:color="auto" w:sz="4" w:space="0"/>
              <w:right w:val="single" w:color="auto" w:sz="4" w:space="0"/>
            </w:tcBorders>
            <w:vAlign w:val="center"/>
          </w:tcPr>
          <w:p w14:paraId="46DD5DFA">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1347" w:type="pct"/>
            <w:gridSpan w:val="2"/>
            <w:tcBorders>
              <w:top w:val="single" w:color="auto" w:sz="4" w:space="0"/>
              <w:left w:val="single" w:color="auto" w:sz="4" w:space="0"/>
              <w:bottom w:val="single" w:color="auto" w:sz="4" w:space="0"/>
              <w:right w:val="single" w:color="auto" w:sz="4" w:space="0"/>
            </w:tcBorders>
            <w:vAlign w:val="center"/>
          </w:tcPr>
          <w:p w14:paraId="7D78ECCF">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r>
      <w:tr w14:paraId="2586C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06" w:type="pct"/>
            <w:gridSpan w:val="2"/>
            <w:tcBorders>
              <w:top w:val="single" w:color="auto" w:sz="4" w:space="0"/>
              <w:left w:val="single" w:color="auto" w:sz="4" w:space="0"/>
              <w:bottom w:val="single" w:color="auto" w:sz="4" w:space="0"/>
              <w:right w:val="single" w:color="auto" w:sz="4" w:space="0"/>
            </w:tcBorders>
            <w:vAlign w:val="center"/>
          </w:tcPr>
          <w:p w14:paraId="7AD9B1EE">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2006" w:type="pct"/>
            <w:gridSpan w:val="4"/>
            <w:tcBorders>
              <w:top w:val="single" w:color="auto" w:sz="4" w:space="0"/>
              <w:left w:val="single" w:color="auto" w:sz="4" w:space="0"/>
              <w:bottom w:val="single" w:color="auto" w:sz="4" w:space="0"/>
              <w:right w:val="single" w:color="auto" w:sz="4" w:space="0"/>
            </w:tcBorders>
            <w:vAlign w:val="center"/>
          </w:tcPr>
          <w:p w14:paraId="60F841A1">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739" w:type="pct"/>
            <w:tcBorders>
              <w:top w:val="single" w:color="auto" w:sz="4" w:space="0"/>
              <w:left w:val="single" w:color="auto" w:sz="4" w:space="0"/>
              <w:bottom w:val="single" w:color="auto" w:sz="4" w:space="0"/>
              <w:right w:val="single" w:color="auto" w:sz="4" w:space="0"/>
            </w:tcBorders>
            <w:vAlign w:val="center"/>
          </w:tcPr>
          <w:p w14:paraId="79388BE6">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1347" w:type="pct"/>
            <w:gridSpan w:val="2"/>
            <w:tcBorders>
              <w:top w:val="single" w:color="auto" w:sz="4" w:space="0"/>
              <w:left w:val="single" w:color="auto" w:sz="4" w:space="0"/>
              <w:bottom w:val="single" w:color="auto" w:sz="4" w:space="0"/>
              <w:right w:val="single" w:color="auto" w:sz="4" w:space="0"/>
            </w:tcBorders>
            <w:vAlign w:val="center"/>
          </w:tcPr>
          <w:p w14:paraId="1E1C8186">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r>
      <w:tr w14:paraId="21998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06" w:type="pct"/>
            <w:gridSpan w:val="2"/>
            <w:tcBorders>
              <w:top w:val="single" w:color="auto" w:sz="4" w:space="0"/>
              <w:left w:val="single" w:color="auto" w:sz="4" w:space="0"/>
              <w:bottom w:val="single" w:color="auto" w:sz="4" w:space="0"/>
              <w:right w:val="single" w:color="auto" w:sz="4" w:space="0"/>
            </w:tcBorders>
            <w:vAlign w:val="center"/>
          </w:tcPr>
          <w:p w14:paraId="26EF0A9C">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2006" w:type="pct"/>
            <w:gridSpan w:val="4"/>
            <w:tcBorders>
              <w:top w:val="single" w:color="auto" w:sz="4" w:space="0"/>
              <w:left w:val="single" w:color="auto" w:sz="4" w:space="0"/>
              <w:bottom w:val="single" w:color="auto" w:sz="4" w:space="0"/>
              <w:right w:val="single" w:color="auto" w:sz="4" w:space="0"/>
            </w:tcBorders>
            <w:vAlign w:val="center"/>
          </w:tcPr>
          <w:p w14:paraId="0A0CF385">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739" w:type="pct"/>
            <w:tcBorders>
              <w:top w:val="single" w:color="auto" w:sz="4" w:space="0"/>
              <w:left w:val="single" w:color="auto" w:sz="4" w:space="0"/>
              <w:bottom w:val="single" w:color="auto" w:sz="4" w:space="0"/>
              <w:right w:val="single" w:color="auto" w:sz="4" w:space="0"/>
            </w:tcBorders>
            <w:vAlign w:val="center"/>
          </w:tcPr>
          <w:p w14:paraId="6727A031">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1347" w:type="pct"/>
            <w:gridSpan w:val="2"/>
            <w:tcBorders>
              <w:top w:val="single" w:color="auto" w:sz="4" w:space="0"/>
              <w:left w:val="single" w:color="auto" w:sz="4" w:space="0"/>
              <w:bottom w:val="single" w:color="auto" w:sz="4" w:space="0"/>
              <w:right w:val="single" w:color="auto" w:sz="4" w:space="0"/>
            </w:tcBorders>
            <w:vAlign w:val="center"/>
          </w:tcPr>
          <w:p w14:paraId="32AB1DBD">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r>
      <w:tr w14:paraId="2CDFB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06" w:type="pct"/>
            <w:gridSpan w:val="2"/>
            <w:tcBorders>
              <w:top w:val="single" w:color="auto" w:sz="4" w:space="0"/>
              <w:left w:val="single" w:color="auto" w:sz="4" w:space="0"/>
              <w:bottom w:val="single" w:color="auto" w:sz="4" w:space="0"/>
              <w:right w:val="single" w:color="auto" w:sz="4" w:space="0"/>
            </w:tcBorders>
            <w:vAlign w:val="center"/>
          </w:tcPr>
          <w:p w14:paraId="4A389210">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2006" w:type="pct"/>
            <w:gridSpan w:val="4"/>
            <w:tcBorders>
              <w:top w:val="single" w:color="auto" w:sz="4" w:space="0"/>
              <w:left w:val="single" w:color="auto" w:sz="4" w:space="0"/>
              <w:bottom w:val="single" w:color="auto" w:sz="4" w:space="0"/>
              <w:right w:val="single" w:color="auto" w:sz="4" w:space="0"/>
            </w:tcBorders>
            <w:vAlign w:val="center"/>
          </w:tcPr>
          <w:p w14:paraId="7E3964C8">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739" w:type="pct"/>
            <w:tcBorders>
              <w:top w:val="single" w:color="auto" w:sz="4" w:space="0"/>
              <w:left w:val="single" w:color="auto" w:sz="4" w:space="0"/>
              <w:bottom w:val="single" w:color="auto" w:sz="4" w:space="0"/>
              <w:right w:val="single" w:color="auto" w:sz="4" w:space="0"/>
            </w:tcBorders>
            <w:vAlign w:val="center"/>
          </w:tcPr>
          <w:p w14:paraId="2852B9A3">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1347" w:type="pct"/>
            <w:gridSpan w:val="2"/>
            <w:tcBorders>
              <w:top w:val="single" w:color="auto" w:sz="4" w:space="0"/>
              <w:left w:val="single" w:color="auto" w:sz="4" w:space="0"/>
              <w:bottom w:val="single" w:color="auto" w:sz="4" w:space="0"/>
              <w:right w:val="single" w:color="auto" w:sz="4" w:space="0"/>
            </w:tcBorders>
            <w:vAlign w:val="center"/>
          </w:tcPr>
          <w:p w14:paraId="43CF1EC5">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r>
    </w:tbl>
    <w:p w14:paraId="21BB99D6">
      <w:pPr>
        <w:jc w:val="right"/>
        <w:rPr>
          <w:rFonts w:cs="宋体" w:asciiTheme="minorEastAsia" w:hAnsiTheme="minorEastAsia"/>
          <w:b/>
          <w:color w:val="000000"/>
          <w:sz w:val="24"/>
          <w:szCs w:val="24"/>
        </w:rPr>
      </w:pPr>
    </w:p>
    <w:p w14:paraId="4DB80386">
      <w:pPr>
        <w:wordWrap w:val="0"/>
        <w:spacing w:line="400" w:lineRule="exact"/>
        <w:ind w:firstLine="420" w:firstLineChars="175"/>
        <w:jc w:val="left"/>
        <w:rPr>
          <w:rFonts w:cs="楷体_GB2312" w:asciiTheme="minorEastAsia" w:hAnsiTheme="minorEastAsia"/>
          <w:sz w:val="24"/>
          <w:szCs w:val="24"/>
        </w:rPr>
      </w:pPr>
    </w:p>
    <w:p w14:paraId="1ED941F9">
      <w:pPr>
        <w:wordWrap w:val="0"/>
        <w:spacing w:line="400" w:lineRule="exact"/>
        <w:ind w:firstLine="420" w:firstLineChars="175"/>
        <w:jc w:val="left"/>
        <w:rPr>
          <w:rFonts w:cs="楷体_GB2312" w:asciiTheme="minorEastAsia" w:hAnsiTheme="minorEastAsia"/>
          <w:sz w:val="24"/>
          <w:szCs w:val="24"/>
        </w:rPr>
      </w:pPr>
    </w:p>
    <w:p w14:paraId="14120455">
      <w:pPr>
        <w:wordWrap w:val="0"/>
        <w:spacing w:line="400" w:lineRule="exact"/>
        <w:ind w:firstLine="420" w:firstLineChars="175"/>
        <w:jc w:val="left"/>
        <w:rPr>
          <w:rFonts w:cs="楷体_GB2312" w:asciiTheme="minorEastAsia" w:hAnsiTheme="minorEastAsia"/>
          <w:sz w:val="24"/>
          <w:szCs w:val="24"/>
          <w:u w:val="single"/>
        </w:rPr>
      </w:pPr>
    </w:p>
    <w:p w14:paraId="45E1153F">
      <w:pPr>
        <w:widowControl/>
        <w:spacing w:after="200" w:line="220" w:lineRule="atLeast"/>
        <w:ind w:firstLine="480" w:firstLineChars="200"/>
        <w:jc w:val="center"/>
        <w:rPr>
          <w:rFonts w:cs="宋体" w:asciiTheme="minorEastAsia" w:hAnsiTheme="minorEastAsia"/>
          <w:b/>
          <w:color w:val="000000"/>
          <w:sz w:val="24"/>
          <w:szCs w:val="24"/>
        </w:rPr>
      </w:pPr>
      <w:r>
        <w:rPr>
          <w:rFonts w:hint="eastAsia" w:cs="楷体_GB2312" w:asciiTheme="minorEastAsia" w:hAnsiTheme="minorEastAsia"/>
          <w:sz w:val="24"/>
          <w:szCs w:val="24"/>
        </w:rPr>
        <w:t xml:space="preserve">    </w:t>
      </w:r>
      <w:r>
        <w:rPr>
          <w:rFonts w:hint="eastAsia" w:cs="宋体" w:asciiTheme="minorEastAsia" w:hAnsiTheme="minorEastAsia"/>
          <w:b/>
          <w:bCs/>
          <w:color w:val="000000"/>
          <w:kern w:val="0"/>
          <w:sz w:val="24"/>
          <w:szCs w:val="24"/>
        </w:rPr>
        <w:br w:type="page"/>
      </w:r>
      <w:bookmarkStart w:id="397" w:name="_Toc27221"/>
      <w:r>
        <w:rPr>
          <w:rFonts w:hint="eastAsia" w:cs="宋体" w:asciiTheme="minorEastAsia" w:hAnsiTheme="minorEastAsia"/>
          <w:b/>
          <w:sz w:val="24"/>
          <w:szCs w:val="24"/>
        </w:rPr>
        <w:t>六、资格审查资料</w:t>
      </w:r>
      <w:bookmarkEnd w:id="397"/>
    </w:p>
    <w:tbl>
      <w:tblPr>
        <w:tblStyle w:val="6"/>
        <w:tblW w:w="4999" w:type="pct"/>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944"/>
        <w:gridCol w:w="1009"/>
        <w:gridCol w:w="1071"/>
        <w:gridCol w:w="944"/>
        <w:gridCol w:w="475"/>
        <w:gridCol w:w="351"/>
        <w:gridCol w:w="1214"/>
        <w:gridCol w:w="550"/>
        <w:gridCol w:w="967"/>
        <w:gridCol w:w="1121"/>
      </w:tblGrid>
      <w:tr w14:paraId="21EB3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008" w:type="pct"/>
            <w:vAlign w:val="center"/>
          </w:tcPr>
          <w:p w14:paraId="01BAA17C">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供应商名称</w:t>
            </w:r>
          </w:p>
        </w:tc>
        <w:tc>
          <w:tcPr>
            <w:tcW w:w="3991" w:type="pct"/>
            <w:gridSpan w:val="9"/>
            <w:vAlign w:val="center"/>
          </w:tcPr>
          <w:p w14:paraId="44B6D781">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r>
      <w:tr w14:paraId="0F014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1008" w:type="pct"/>
            <w:vAlign w:val="center"/>
          </w:tcPr>
          <w:p w14:paraId="6C271BE8">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注册地址</w:t>
            </w:r>
          </w:p>
        </w:tc>
        <w:tc>
          <w:tcPr>
            <w:tcW w:w="1995" w:type="pct"/>
            <w:gridSpan w:val="5"/>
            <w:vAlign w:val="center"/>
          </w:tcPr>
          <w:p w14:paraId="1F2029EC">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c>
          <w:tcPr>
            <w:tcW w:w="629" w:type="pct"/>
            <w:vAlign w:val="center"/>
          </w:tcPr>
          <w:p w14:paraId="150B386D">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邮政编码</w:t>
            </w:r>
          </w:p>
        </w:tc>
        <w:tc>
          <w:tcPr>
            <w:tcW w:w="1367" w:type="pct"/>
            <w:gridSpan w:val="3"/>
            <w:vAlign w:val="center"/>
          </w:tcPr>
          <w:p w14:paraId="12E2973B">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r>
      <w:tr w14:paraId="51C16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1008" w:type="pct"/>
            <w:vMerge w:val="restart"/>
            <w:vAlign w:val="center"/>
          </w:tcPr>
          <w:p w14:paraId="01132C64">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联系方式</w:t>
            </w:r>
          </w:p>
        </w:tc>
        <w:tc>
          <w:tcPr>
            <w:tcW w:w="523" w:type="pct"/>
            <w:vAlign w:val="center"/>
          </w:tcPr>
          <w:p w14:paraId="3D4768CD">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联系人</w:t>
            </w:r>
          </w:p>
        </w:tc>
        <w:tc>
          <w:tcPr>
            <w:tcW w:w="1471" w:type="pct"/>
            <w:gridSpan w:val="4"/>
            <w:vAlign w:val="center"/>
          </w:tcPr>
          <w:p w14:paraId="34C20474">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c>
          <w:tcPr>
            <w:tcW w:w="629" w:type="pct"/>
            <w:vAlign w:val="center"/>
          </w:tcPr>
          <w:p w14:paraId="09C842C8">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电 话</w:t>
            </w:r>
          </w:p>
        </w:tc>
        <w:tc>
          <w:tcPr>
            <w:tcW w:w="1367" w:type="pct"/>
            <w:gridSpan w:val="3"/>
            <w:vAlign w:val="center"/>
          </w:tcPr>
          <w:p w14:paraId="580CF1B5">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r>
      <w:tr w14:paraId="111C34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1008" w:type="pct"/>
            <w:vMerge w:val="continue"/>
            <w:tcBorders>
              <w:top w:val="nil"/>
            </w:tcBorders>
            <w:vAlign w:val="center"/>
          </w:tcPr>
          <w:p w14:paraId="42DCA70A">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c>
          <w:tcPr>
            <w:tcW w:w="523" w:type="pct"/>
            <w:vAlign w:val="center"/>
          </w:tcPr>
          <w:p w14:paraId="026A5A66">
            <w:pPr>
              <w:keepNext w:val="0"/>
              <w:keepLines w:val="0"/>
              <w:suppressLineNumbers w:val="0"/>
              <w:tabs>
                <w:tab w:val="left" w:pos="427"/>
              </w:tabs>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传</w:t>
            </w:r>
            <w:r>
              <w:rPr>
                <w:rFonts w:hint="eastAsia" w:cs="宋体" w:asciiTheme="minorEastAsia" w:hAnsiTheme="minorEastAsia"/>
                <w:kern w:val="0"/>
                <w:sz w:val="24"/>
                <w:szCs w:val="24"/>
                <w:lang w:val="zh-CN" w:bidi="zh-CN"/>
              </w:rPr>
              <w:tab/>
            </w:r>
            <w:r>
              <w:rPr>
                <w:rFonts w:hint="eastAsia" w:cs="宋体" w:asciiTheme="minorEastAsia" w:hAnsiTheme="minorEastAsia"/>
                <w:kern w:val="0"/>
                <w:sz w:val="24"/>
                <w:szCs w:val="24"/>
                <w:lang w:val="zh-CN" w:bidi="zh-CN"/>
              </w:rPr>
              <w:t>真</w:t>
            </w:r>
          </w:p>
        </w:tc>
        <w:tc>
          <w:tcPr>
            <w:tcW w:w="1471" w:type="pct"/>
            <w:gridSpan w:val="4"/>
            <w:vAlign w:val="center"/>
          </w:tcPr>
          <w:p w14:paraId="65708D89">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c>
          <w:tcPr>
            <w:tcW w:w="629" w:type="pct"/>
            <w:vAlign w:val="center"/>
          </w:tcPr>
          <w:p w14:paraId="59096829">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网 址</w:t>
            </w:r>
          </w:p>
        </w:tc>
        <w:tc>
          <w:tcPr>
            <w:tcW w:w="1367" w:type="pct"/>
            <w:gridSpan w:val="3"/>
            <w:vAlign w:val="center"/>
          </w:tcPr>
          <w:p w14:paraId="607BA5AA">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r>
      <w:tr w14:paraId="0B97B9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008" w:type="pct"/>
            <w:vAlign w:val="center"/>
          </w:tcPr>
          <w:p w14:paraId="16E92CD3">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组织结构</w:t>
            </w:r>
          </w:p>
        </w:tc>
        <w:tc>
          <w:tcPr>
            <w:tcW w:w="3991" w:type="pct"/>
            <w:gridSpan w:val="9"/>
            <w:vAlign w:val="center"/>
          </w:tcPr>
          <w:p w14:paraId="2789C42A">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r>
      <w:tr w14:paraId="1F8EE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1008" w:type="pct"/>
            <w:vAlign w:val="center"/>
          </w:tcPr>
          <w:p w14:paraId="0A50109B">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法定代表人</w:t>
            </w:r>
          </w:p>
        </w:tc>
        <w:tc>
          <w:tcPr>
            <w:tcW w:w="523" w:type="pct"/>
            <w:vAlign w:val="center"/>
          </w:tcPr>
          <w:p w14:paraId="00EB100F">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姓名</w:t>
            </w:r>
          </w:p>
        </w:tc>
        <w:tc>
          <w:tcPr>
            <w:tcW w:w="554" w:type="pct"/>
            <w:vAlign w:val="center"/>
          </w:tcPr>
          <w:p w14:paraId="1B4C56B3">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c>
          <w:tcPr>
            <w:tcW w:w="735" w:type="pct"/>
            <w:gridSpan w:val="2"/>
            <w:vAlign w:val="center"/>
          </w:tcPr>
          <w:p w14:paraId="58E795A4">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技术职称</w:t>
            </w:r>
          </w:p>
        </w:tc>
        <w:tc>
          <w:tcPr>
            <w:tcW w:w="1096" w:type="pct"/>
            <w:gridSpan w:val="3"/>
            <w:vAlign w:val="center"/>
          </w:tcPr>
          <w:p w14:paraId="4C0867A5">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c>
          <w:tcPr>
            <w:tcW w:w="501" w:type="pct"/>
            <w:vAlign w:val="center"/>
          </w:tcPr>
          <w:p w14:paraId="7454E2CF">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电话</w:t>
            </w:r>
          </w:p>
        </w:tc>
        <w:tc>
          <w:tcPr>
            <w:tcW w:w="579" w:type="pct"/>
            <w:vAlign w:val="center"/>
          </w:tcPr>
          <w:p w14:paraId="36CF3C08">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r>
      <w:tr w14:paraId="6F662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1008" w:type="pct"/>
            <w:vAlign w:val="center"/>
          </w:tcPr>
          <w:p w14:paraId="7323EC8C">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技术负责人</w:t>
            </w:r>
          </w:p>
        </w:tc>
        <w:tc>
          <w:tcPr>
            <w:tcW w:w="523" w:type="pct"/>
            <w:vAlign w:val="center"/>
          </w:tcPr>
          <w:p w14:paraId="66899688">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姓名</w:t>
            </w:r>
          </w:p>
        </w:tc>
        <w:tc>
          <w:tcPr>
            <w:tcW w:w="554" w:type="pct"/>
            <w:vAlign w:val="center"/>
          </w:tcPr>
          <w:p w14:paraId="06538349">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c>
          <w:tcPr>
            <w:tcW w:w="735" w:type="pct"/>
            <w:gridSpan w:val="2"/>
            <w:vAlign w:val="center"/>
          </w:tcPr>
          <w:p w14:paraId="3ACB96A6">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技术职称</w:t>
            </w:r>
          </w:p>
        </w:tc>
        <w:tc>
          <w:tcPr>
            <w:tcW w:w="1096" w:type="pct"/>
            <w:gridSpan w:val="3"/>
            <w:vAlign w:val="center"/>
          </w:tcPr>
          <w:p w14:paraId="2BCE18F9">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c>
          <w:tcPr>
            <w:tcW w:w="501" w:type="pct"/>
            <w:vAlign w:val="center"/>
          </w:tcPr>
          <w:p w14:paraId="7D83CE01">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电话</w:t>
            </w:r>
          </w:p>
        </w:tc>
        <w:tc>
          <w:tcPr>
            <w:tcW w:w="579" w:type="pct"/>
            <w:vAlign w:val="center"/>
          </w:tcPr>
          <w:p w14:paraId="660DEB1B">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r>
      <w:tr w14:paraId="14A06E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08" w:type="pct"/>
            <w:vAlign w:val="center"/>
          </w:tcPr>
          <w:p w14:paraId="3E130D94">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成立时间</w:t>
            </w:r>
          </w:p>
        </w:tc>
        <w:tc>
          <w:tcPr>
            <w:tcW w:w="1078" w:type="pct"/>
            <w:gridSpan w:val="2"/>
            <w:vAlign w:val="center"/>
          </w:tcPr>
          <w:p w14:paraId="287219A5">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c>
          <w:tcPr>
            <w:tcW w:w="2913" w:type="pct"/>
            <w:gridSpan w:val="7"/>
            <w:vAlign w:val="center"/>
          </w:tcPr>
          <w:p w14:paraId="5116368D">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员工总人数：</w:t>
            </w:r>
          </w:p>
        </w:tc>
      </w:tr>
      <w:tr w14:paraId="270A5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8" w:hRule="atLeast"/>
        </w:trPr>
        <w:tc>
          <w:tcPr>
            <w:tcW w:w="1008" w:type="pct"/>
            <w:vAlign w:val="center"/>
          </w:tcPr>
          <w:p w14:paraId="09758593">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企业资质等级</w:t>
            </w:r>
          </w:p>
        </w:tc>
        <w:tc>
          <w:tcPr>
            <w:tcW w:w="1078" w:type="pct"/>
            <w:gridSpan w:val="2"/>
            <w:vAlign w:val="center"/>
          </w:tcPr>
          <w:p w14:paraId="42BD9AF4">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c>
          <w:tcPr>
            <w:tcW w:w="489" w:type="pct"/>
            <w:vMerge w:val="restart"/>
            <w:vAlign w:val="center"/>
          </w:tcPr>
          <w:p w14:paraId="79049E81">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其中</w:t>
            </w:r>
          </w:p>
        </w:tc>
        <w:tc>
          <w:tcPr>
            <w:tcW w:w="1342" w:type="pct"/>
            <w:gridSpan w:val="4"/>
            <w:vAlign w:val="center"/>
          </w:tcPr>
          <w:p w14:paraId="18092173">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项目经理</w:t>
            </w:r>
          </w:p>
        </w:tc>
        <w:tc>
          <w:tcPr>
            <w:tcW w:w="1081" w:type="pct"/>
            <w:gridSpan w:val="2"/>
            <w:vAlign w:val="center"/>
          </w:tcPr>
          <w:p w14:paraId="7EEB7554">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r>
      <w:tr w14:paraId="507796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1008" w:type="pct"/>
            <w:vAlign w:val="center"/>
          </w:tcPr>
          <w:p w14:paraId="2072C939">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营业执照号</w:t>
            </w:r>
          </w:p>
        </w:tc>
        <w:tc>
          <w:tcPr>
            <w:tcW w:w="1078" w:type="pct"/>
            <w:gridSpan w:val="2"/>
            <w:vAlign w:val="center"/>
          </w:tcPr>
          <w:p w14:paraId="50C73152">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c>
          <w:tcPr>
            <w:tcW w:w="489" w:type="pct"/>
            <w:vMerge w:val="continue"/>
            <w:tcBorders>
              <w:top w:val="nil"/>
            </w:tcBorders>
            <w:vAlign w:val="center"/>
          </w:tcPr>
          <w:p w14:paraId="507CF329">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c>
          <w:tcPr>
            <w:tcW w:w="1342" w:type="pct"/>
            <w:gridSpan w:val="4"/>
            <w:vAlign w:val="center"/>
          </w:tcPr>
          <w:p w14:paraId="2F988DA0">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高级职称人员</w:t>
            </w:r>
          </w:p>
        </w:tc>
        <w:tc>
          <w:tcPr>
            <w:tcW w:w="1081" w:type="pct"/>
            <w:gridSpan w:val="2"/>
            <w:vAlign w:val="center"/>
          </w:tcPr>
          <w:p w14:paraId="12EDCFB7">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r>
      <w:tr w14:paraId="6163E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1008" w:type="pct"/>
            <w:vAlign w:val="center"/>
          </w:tcPr>
          <w:p w14:paraId="1A602604">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注册资金</w:t>
            </w:r>
          </w:p>
        </w:tc>
        <w:tc>
          <w:tcPr>
            <w:tcW w:w="1078" w:type="pct"/>
            <w:gridSpan w:val="2"/>
            <w:vAlign w:val="center"/>
          </w:tcPr>
          <w:p w14:paraId="47EB06CF">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c>
          <w:tcPr>
            <w:tcW w:w="489" w:type="pct"/>
            <w:vMerge w:val="continue"/>
            <w:tcBorders>
              <w:top w:val="nil"/>
            </w:tcBorders>
            <w:vAlign w:val="center"/>
          </w:tcPr>
          <w:p w14:paraId="15D61A32">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c>
          <w:tcPr>
            <w:tcW w:w="1342" w:type="pct"/>
            <w:gridSpan w:val="4"/>
            <w:vAlign w:val="center"/>
          </w:tcPr>
          <w:p w14:paraId="12CEF363">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中级职称人员</w:t>
            </w:r>
          </w:p>
        </w:tc>
        <w:tc>
          <w:tcPr>
            <w:tcW w:w="1081" w:type="pct"/>
            <w:gridSpan w:val="2"/>
            <w:vAlign w:val="center"/>
          </w:tcPr>
          <w:p w14:paraId="7393CB4F">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r>
      <w:tr w14:paraId="3E6A0B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008" w:type="pct"/>
            <w:vAlign w:val="center"/>
          </w:tcPr>
          <w:p w14:paraId="45360BAC">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开户银行</w:t>
            </w:r>
          </w:p>
        </w:tc>
        <w:tc>
          <w:tcPr>
            <w:tcW w:w="1078" w:type="pct"/>
            <w:gridSpan w:val="2"/>
            <w:vAlign w:val="center"/>
          </w:tcPr>
          <w:p w14:paraId="4290EF6C">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c>
          <w:tcPr>
            <w:tcW w:w="489" w:type="pct"/>
            <w:vMerge w:val="continue"/>
            <w:tcBorders>
              <w:top w:val="nil"/>
            </w:tcBorders>
            <w:vAlign w:val="center"/>
          </w:tcPr>
          <w:p w14:paraId="21EFCD21">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c>
          <w:tcPr>
            <w:tcW w:w="1342" w:type="pct"/>
            <w:gridSpan w:val="4"/>
            <w:vAlign w:val="center"/>
          </w:tcPr>
          <w:p w14:paraId="784011D4">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初级职称人员</w:t>
            </w:r>
          </w:p>
        </w:tc>
        <w:tc>
          <w:tcPr>
            <w:tcW w:w="1081" w:type="pct"/>
            <w:gridSpan w:val="2"/>
            <w:vAlign w:val="center"/>
          </w:tcPr>
          <w:p w14:paraId="73025B92">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r>
      <w:tr w14:paraId="7B70B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1008" w:type="pct"/>
            <w:vAlign w:val="center"/>
          </w:tcPr>
          <w:p w14:paraId="312A7950">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账号</w:t>
            </w:r>
          </w:p>
        </w:tc>
        <w:tc>
          <w:tcPr>
            <w:tcW w:w="1078" w:type="pct"/>
            <w:gridSpan w:val="2"/>
            <w:vAlign w:val="center"/>
          </w:tcPr>
          <w:p w14:paraId="37063D22">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c>
          <w:tcPr>
            <w:tcW w:w="489" w:type="pct"/>
            <w:vMerge w:val="continue"/>
            <w:tcBorders>
              <w:top w:val="nil"/>
            </w:tcBorders>
            <w:vAlign w:val="center"/>
          </w:tcPr>
          <w:p w14:paraId="0403D40D">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c>
          <w:tcPr>
            <w:tcW w:w="1342" w:type="pct"/>
            <w:gridSpan w:val="4"/>
            <w:vAlign w:val="center"/>
          </w:tcPr>
          <w:p w14:paraId="53EB9E13">
            <w:pPr>
              <w:keepNext w:val="0"/>
              <w:keepLines w:val="0"/>
              <w:suppressLineNumbers w:val="0"/>
              <w:tabs>
                <w:tab w:val="left" w:pos="528"/>
              </w:tabs>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技</w:t>
            </w:r>
            <w:r>
              <w:rPr>
                <w:rFonts w:hint="eastAsia" w:cs="宋体" w:asciiTheme="minorEastAsia" w:hAnsiTheme="minorEastAsia"/>
                <w:kern w:val="0"/>
                <w:sz w:val="24"/>
                <w:szCs w:val="24"/>
                <w:lang w:val="zh-CN" w:bidi="zh-CN"/>
              </w:rPr>
              <w:tab/>
            </w:r>
            <w:r>
              <w:rPr>
                <w:rFonts w:hint="eastAsia" w:cs="宋体" w:asciiTheme="minorEastAsia" w:hAnsiTheme="minorEastAsia"/>
                <w:kern w:val="0"/>
                <w:sz w:val="24"/>
                <w:szCs w:val="24"/>
                <w:lang w:val="zh-CN" w:bidi="zh-CN"/>
              </w:rPr>
              <w:t>工</w:t>
            </w:r>
          </w:p>
        </w:tc>
        <w:tc>
          <w:tcPr>
            <w:tcW w:w="1081" w:type="pct"/>
            <w:gridSpan w:val="2"/>
            <w:vAlign w:val="center"/>
          </w:tcPr>
          <w:p w14:paraId="6C495905">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r>
      <w:tr w14:paraId="71027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1008" w:type="pct"/>
            <w:vAlign w:val="center"/>
          </w:tcPr>
          <w:p w14:paraId="2F3B69C1">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经营范围</w:t>
            </w:r>
          </w:p>
        </w:tc>
        <w:tc>
          <w:tcPr>
            <w:tcW w:w="3991" w:type="pct"/>
            <w:gridSpan w:val="9"/>
            <w:vAlign w:val="center"/>
          </w:tcPr>
          <w:p w14:paraId="0BD88187">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r>
      <w:tr w14:paraId="39099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008" w:type="pct"/>
            <w:vAlign w:val="center"/>
          </w:tcPr>
          <w:p w14:paraId="0A5A7232">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备注</w:t>
            </w:r>
          </w:p>
        </w:tc>
        <w:tc>
          <w:tcPr>
            <w:tcW w:w="3991" w:type="pct"/>
            <w:gridSpan w:val="9"/>
            <w:vAlign w:val="center"/>
          </w:tcPr>
          <w:p w14:paraId="3FC6BF53">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r>
    </w:tbl>
    <w:p w14:paraId="333DC4E6">
      <w:pPr>
        <w:spacing w:line="422" w:lineRule="exact"/>
        <w:rPr>
          <w:rFonts w:asciiTheme="minorEastAsia" w:hAnsiTheme="minorEastAsia"/>
          <w:sz w:val="24"/>
          <w:szCs w:val="24"/>
        </w:rPr>
      </w:pPr>
    </w:p>
    <w:p w14:paraId="51E723A0">
      <w:pPr>
        <w:spacing w:line="422" w:lineRule="exact"/>
        <w:rPr>
          <w:rFonts w:asciiTheme="minorEastAsia" w:hAnsiTheme="minorEastAsia"/>
          <w:sz w:val="24"/>
          <w:szCs w:val="24"/>
        </w:rPr>
      </w:pPr>
      <w:r>
        <w:rPr>
          <w:rFonts w:cs="宋体" w:asciiTheme="minorEastAsia" w:hAnsiTheme="minorEastAsia"/>
          <w:b/>
          <w:kern w:val="0"/>
          <w:sz w:val="24"/>
          <w:szCs w:val="24"/>
          <w:lang w:val="zh-CN" w:bidi="zh-CN"/>
        </w:rPr>
        <w:t>后附</w:t>
      </w:r>
      <w:r>
        <w:rPr>
          <w:rFonts w:hint="eastAsia" w:cs="宋体" w:asciiTheme="minorEastAsia" w:hAnsiTheme="minorEastAsia"/>
          <w:b/>
          <w:kern w:val="0"/>
          <w:sz w:val="24"/>
          <w:szCs w:val="24"/>
          <w:lang w:val="zh-CN" w:bidi="zh-CN"/>
        </w:rPr>
        <w:t>供应</w:t>
      </w:r>
      <w:r>
        <w:rPr>
          <w:rFonts w:cs="宋体" w:asciiTheme="minorEastAsia" w:hAnsiTheme="minorEastAsia"/>
          <w:b/>
          <w:kern w:val="0"/>
          <w:sz w:val="24"/>
          <w:szCs w:val="24"/>
          <w:lang w:val="zh-CN" w:bidi="zh-CN"/>
        </w:rPr>
        <w:t>商资格要求中：营业执照等相关证件的扫描件</w:t>
      </w:r>
    </w:p>
    <w:p w14:paraId="18A9D742">
      <w:pPr>
        <w:spacing w:line="422" w:lineRule="exact"/>
        <w:rPr>
          <w:rFonts w:asciiTheme="minorEastAsia" w:hAnsiTheme="minorEastAsia"/>
          <w:sz w:val="24"/>
          <w:szCs w:val="24"/>
        </w:rPr>
      </w:pPr>
    </w:p>
    <w:p w14:paraId="7827299D">
      <w:pPr>
        <w:ind w:firstLine="480"/>
        <w:rPr>
          <w:rFonts w:asciiTheme="minorEastAsia" w:hAnsiTheme="minorEastAsia"/>
          <w:sz w:val="24"/>
          <w:szCs w:val="24"/>
        </w:rPr>
      </w:pPr>
    </w:p>
    <w:p w14:paraId="6CDABBC6">
      <w:pPr>
        <w:spacing w:line="422" w:lineRule="exact"/>
        <w:rPr>
          <w:rFonts w:asciiTheme="minorEastAsia" w:hAnsiTheme="minorEastAsia"/>
          <w:sz w:val="24"/>
          <w:szCs w:val="24"/>
        </w:rPr>
      </w:pPr>
    </w:p>
    <w:p w14:paraId="58B346E5">
      <w:pPr>
        <w:pStyle w:val="4"/>
        <w:ind w:left="63" w:right="63" w:firstLine="211"/>
        <w:rPr>
          <w:rFonts w:asciiTheme="minorEastAsia" w:hAnsiTheme="minorEastAsia"/>
          <w:sz w:val="24"/>
          <w:szCs w:val="24"/>
        </w:rPr>
      </w:pPr>
    </w:p>
    <w:p w14:paraId="2B240D5D">
      <w:pPr>
        <w:widowControl/>
        <w:spacing w:after="200" w:line="360" w:lineRule="auto"/>
        <w:jc w:val="center"/>
        <w:rPr>
          <w:rFonts w:cs="宋体" w:asciiTheme="minorEastAsia" w:hAnsiTheme="minorEastAsia"/>
          <w:sz w:val="24"/>
          <w:szCs w:val="24"/>
        </w:rPr>
      </w:pPr>
      <w:bookmarkStart w:id="398" w:name="_Toc11244"/>
    </w:p>
    <w:p w14:paraId="5BC87571">
      <w:pPr>
        <w:widowControl/>
        <w:spacing w:after="200" w:line="360" w:lineRule="auto"/>
        <w:jc w:val="center"/>
        <w:rPr>
          <w:rFonts w:cs="宋体" w:asciiTheme="minorEastAsia" w:hAnsiTheme="minorEastAsia"/>
          <w:b/>
          <w:color w:val="000000"/>
          <w:kern w:val="1"/>
          <w:sz w:val="24"/>
          <w:szCs w:val="24"/>
        </w:rPr>
      </w:pPr>
      <w:r>
        <w:rPr>
          <w:rFonts w:hint="eastAsia" w:cs="宋体" w:asciiTheme="minorEastAsia" w:hAnsiTheme="minorEastAsia"/>
          <w:b/>
          <w:sz w:val="24"/>
          <w:szCs w:val="24"/>
        </w:rPr>
        <w:t>七、</w:t>
      </w:r>
      <w:bookmarkEnd w:id="398"/>
      <w:r>
        <w:rPr>
          <w:rFonts w:ascii="宋体" w:hAnsi="宋体" w:cs="宋体"/>
          <w:b/>
          <w:sz w:val="24"/>
        </w:rPr>
        <w:t>组织</w:t>
      </w:r>
      <w:r>
        <w:rPr>
          <w:rFonts w:hint="eastAsia" w:ascii="宋体" w:hAnsi="宋体" w:cs="宋体"/>
          <w:b/>
          <w:sz w:val="24"/>
        </w:rPr>
        <w:t>技术</w:t>
      </w:r>
      <w:r>
        <w:rPr>
          <w:rFonts w:ascii="宋体" w:hAnsi="宋体" w:cs="宋体"/>
          <w:b/>
          <w:sz w:val="24"/>
        </w:rPr>
        <w:t>方案</w:t>
      </w:r>
    </w:p>
    <w:p w14:paraId="0446A772">
      <w:pPr>
        <w:widowControl/>
        <w:ind w:firstLine="480" w:firstLineChars="200"/>
        <w:jc w:val="left"/>
        <w:rPr>
          <w:rFonts w:ascii="Calibri" w:hAnsi="Calibri" w:eastAsia="宋体" w:cs="Times New Roman"/>
          <w:kern w:val="0"/>
          <w:sz w:val="24"/>
        </w:rPr>
      </w:pPr>
      <w:bookmarkStart w:id="399" w:name="_Toc28656"/>
      <w:r>
        <w:rPr>
          <w:rFonts w:ascii="Calibri" w:hAnsi="Calibri" w:eastAsia="宋体" w:cs="Times New Roman"/>
          <w:kern w:val="0"/>
          <w:sz w:val="24"/>
        </w:rPr>
        <w:t>供应商自拟格式并阐述。</w:t>
      </w:r>
    </w:p>
    <w:p w14:paraId="726B877D">
      <w:pPr>
        <w:jc w:val="center"/>
        <w:outlineLvl w:val="1"/>
        <w:rPr>
          <w:rFonts w:cs="宋体" w:asciiTheme="minorEastAsia" w:hAnsiTheme="minorEastAsia"/>
          <w:sz w:val="24"/>
          <w:szCs w:val="24"/>
        </w:rPr>
      </w:pPr>
    </w:p>
    <w:p w14:paraId="1395F640">
      <w:pPr>
        <w:jc w:val="center"/>
        <w:outlineLvl w:val="1"/>
        <w:rPr>
          <w:rFonts w:cs="宋体" w:asciiTheme="minorEastAsia" w:hAnsiTheme="minorEastAsia"/>
          <w:sz w:val="24"/>
          <w:szCs w:val="24"/>
        </w:rPr>
      </w:pPr>
    </w:p>
    <w:p w14:paraId="6363DD93">
      <w:pPr>
        <w:jc w:val="center"/>
        <w:outlineLvl w:val="1"/>
        <w:rPr>
          <w:rFonts w:cs="宋体" w:asciiTheme="minorEastAsia" w:hAnsiTheme="minorEastAsia"/>
          <w:b/>
          <w:sz w:val="24"/>
          <w:szCs w:val="24"/>
        </w:rPr>
      </w:pPr>
    </w:p>
    <w:p w14:paraId="36AC431F">
      <w:pPr>
        <w:jc w:val="center"/>
        <w:outlineLvl w:val="1"/>
        <w:rPr>
          <w:rFonts w:cs="宋体" w:asciiTheme="minorEastAsia" w:hAnsiTheme="minorEastAsia"/>
          <w:b/>
          <w:sz w:val="24"/>
          <w:szCs w:val="24"/>
        </w:rPr>
      </w:pPr>
    </w:p>
    <w:p w14:paraId="4E45FCB8">
      <w:pPr>
        <w:jc w:val="center"/>
        <w:outlineLvl w:val="1"/>
        <w:rPr>
          <w:rFonts w:cs="宋体" w:asciiTheme="minorEastAsia" w:hAnsiTheme="minorEastAsia"/>
          <w:b/>
          <w:sz w:val="24"/>
          <w:szCs w:val="24"/>
        </w:rPr>
      </w:pPr>
    </w:p>
    <w:p w14:paraId="5D4C5D46">
      <w:pPr>
        <w:jc w:val="center"/>
        <w:outlineLvl w:val="1"/>
        <w:rPr>
          <w:rFonts w:cs="宋体" w:asciiTheme="minorEastAsia" w:hAnsiTheme="minorEastAsia"/>
          <w:b/>
          <w:sz w:val="24"/>
          <w:szCs w:val="24"/>
        </w:rPr>
      </w:pPr>
    </w:p>
    <w:p w14:paraId="5E249F8A">
      <w:pPr>
        <w:jc w:val="center"/>
        <w:outlineLvl w:val="1"/>
        <w:rPr>
          <w:rFonts w:cs="宋体" w:asciiTheme="minorEastAsia" w:hAnsiTheme="minorEastAsia"/>
          <w:b/>
          <w:sz w:val="24"/>
          <w:szCs w:val="24"/>
        </w:rPr>
      </w:pPr>
    </w:p>
    <w:p w14:paraId="76D1B140">
      <w:pPr>
        <w:jc w:val="center"/>
        <w:outlineLvl w:val="1"/>
        <w:rPr>
          <w:rFonts w:cs="宋体" w:asciiTheme="minorEastAsia" w:hAnsiTheme="minorEastAsia"/>
          <w:b/>
          <w:sz w:val="24"/>
          <w:szCs w:val="24"/>
        </w:rPr>
      </w:pPr>
    </w:p>
    <w:p w14:paraId="5824263C">
      <w:pPr>
        <w:jc w:val="center"/>
        <w:outlineLvl w:val="1"/>
        <w:rPr>
          <w:rFonts w:cs="宋体" w:asciiTheme="minorEastAsia" w:hAnsiTheme="minorEastAsia"/>
          <w:b/>
          <w:sz w:val="24"/>
          <w:szCs w:val="24"/>
        </w:rPr>
      </w:pPr>
    </w:p>
    <w:p w14:paraId="627E51A1">
      <w:pPr>
        <w:jc w:val="center"/>
        <w:outlineLvl w:val="1"/>
        <w:rPr>
          <w:rFonts w:cs="宋体" w:asciiTheme="minorEastAsia" w:hAnsiTheme="minorEastAsia"/>
          <w:b/>
          <w:sz w:val="24"/>
          <w:szCs w:val="24"/>
        </w:rPr>
      </w:pPr>
    </w:p>
    <w:p w14:paraId="1CB9CE4C">
      <w:pPr>
        <w:jc w:val="center"/>
        <w:outlineLvl w:val="1"/>
        <w:rPr>
          <w:rFonts w:cs="宋体" w:asciiTheme="minorEastAsia" w:hAnsiTheme="minorEastAsia"/>
          <w:b/>
          <w:sz w:val="24"/>
          <w:szCs w:val="24"/>
        </w:rPr>
      </w:pPr>
    </w:p>
    <w:p w14:paraId="5408E870">
      <w:pPr>
        <w:jc w:val="center"/>
        <w:outlineLvl w:val="1"/>
        <w:rPr>
          <w:rFonts w:cs="宋体" w:asciiTheme="minorEastAsia" w:hAnsiTheme="minorEastAsia"/>
          <w:b/>
          <w:sz w:val="24"/>
          <w:szCs w:val="24"/>
        </w:rPr>
      </w:pPr>
    </w:p>
    <w:p w14:paraId="0393ED59">
      <w:pPr>
        <w:jc w:val="center"/>
        <w:outlineLvl w:val="1"/>
        <w:rPr>
          <w:rFonts w:cs="宋体" w:asciiTheme="minorEastAsia" w:hAnsiTheme="minorEastAsia"/>
          <w:b/>
          <w:sz w:val="24"/>
          <w:szCs w:val="24"/>
        </w:rPr>
      </w:pPr>
    </w:p>
    <w:p w14:paraId="2A727154">
      <w:pPr>
        <w:jc w:val="center"/>
        <w:outlineLvl w:val="1"/>
        <w:rPr>
          <w:rFonts w:cs="宋体" w:asciiTheme="minorEastAsia" w:hAnsiTheme="minorEastAsia"/>
          <w:b/>
          <w:sz w:val="24"/>
          <w:szCs w:val="24"/>
        </w:rPr>
      </w:pPr>
    </w:p>
    <w:p w14:paraId="020F254D">
      <w:pPr>
        <w:jc w:val="center"/>
        <w:outlineLvl w:val="1"/>
        <w:rPr>
          <w:rFonts w:cs="宋体" w:asciiTheme="minorEastAsia" w:hAnsiTheme="minorEastAsia"/>
          <w:b/>
          <w:sz w:val="24"/>
          <w:szCs w:val="24"/>
        </w:rPr>
      </w:pPr>
    </w:p>
    <w:p w14:paraId="3C4555ED">
      <w:pPr>
        <w:jc w:val="center"/>
        <w:outlineLvl w:val="1"/>
        <w:rPr>
          <w:rFonts w:cs="宋体" w:asciiTheme="minorEastAsia" w:hAnsiTheme="minorEastAsia"/>
          <w:b/>
          <w:sz w:val="24"/>
          <w:szCs w:val="24"/>
        </w:rPr>
      </w:pPr>
    </w:p>
    <w:p w14:paraId="071F63CB">
      <w:pPr>
        <w:jc w:val="center"/>
        <w:outlineLvl w:val="1"/>
        <w:rPr>
          <w:rFonts w:cs="宋体" w:asciiTheme="minorEastAsia" w:hAnsiTheme="minorEastAsia"/>
          <w:b/>
          <w:sz w:val="24"/>
          <w:szCs w:val="24"/>
        </w:rPr>
      </w:pPr>
    </w:p>
    <w:p w14:paraId="180DAE6C">
      <w:pPr>
        <w:jc w:val="center"/>
        <w:outlineLvl w:val="1"/>
        <w:rPr>
          <w:rFonts w:cs="宋体" w:asciiTheme="minorEastAsia" w:hAnsiTheme="minorEastAsia"/>
          <w:b/>
          <w:sz w:val="24"/>
          <w:szCs w:val="24"/>
        </w:rPr>
      </w:pPr>
    </w:p>
    <w:p w14:paraId="5EE2515B">
      <w:pPr>
        <w:jc w:val="center"/>
        <w:outlineLvl w:val="1"/>
        <w:rPr>
          <w:rFonts w:cs="宋体" w:asciiTheme="minorEastAsia" w:hAnsiTheme="minorEastAsia"/>
          <w:b/>
          <w:sz w:val="24"/>
          <w:szCs w:val="24"/>
        </w:rPr>
      </w:pPr>
    </w:p>
    <w:p w14:paraId="42982633">
      <w:pPr>
        <w:jc w:val="center"/>
        <w:outlineLvl w:val="1"/>
        <w:rPr>
          <w:rFonts w:cs="宋体" w:asciiTheme="minorEastAsia" w:hAnsiTheme="minorEastAsia"/>
          <w:b/>
          <w:sz w:val="24"/>
          <w:szCs w:val="24"/>
        </w:rPr>
      </w:pPr>
    </w:p>
    <w:p w14:paraId="49794306">
      <w:pPr>
        <w:jc w:val="center"/>
        <w:outlineLvl w:val="1"/>
        <w:rPr>
          <w:rFonts w:cs="宋体" w:asciiTheme="minorEastAsia" w:hAnsiTheme="minorEastAsia"/>
          <w:b/>
          <w:sz w:val="24"/>
          <w:szCs w:val="24"/>
        </w:rPr>
      </w:pPr>
    </w:p>
    <w:p w14:paraId="35A0025A">
      <w:pPr>
        <w:jc w:val="center"/>
        <w:outlineLvl w:val="1"/>
        <w:rPr>
          <w:rFonts w:cs="宋体" w:asciiTheme="minorEastAsia" w:hAnsiTheme="minorEastAsia"/>
          <w:b/>
          <w:sz w:val="24"/>
          <w:szCs w:val="24"/>
        </w:rPr>
      </w:pPr>
    </w:p>
    <w:p w14:paraId="46E70E2B">
      <w:pPr>
        <w:jc w:val="center"/>
        <w:outlineLvl w:val="1"/>
        <w:rPr>
          <w:rFonts w:cs="宋体" w:asciiTheme="minorEastAsia" w:hAnsiTheme="minorEastAsia"/>
          <w:b/>
          <w:sz w:val="24"/>
          <w:szCs w:val="24"/>
        </w:rPr>
      </w:pPr>
    </w:p>
    <w:p w14:paraId="366DF86B">
      <w:pPr>
        <w:jc w:val="center"/>
        <w:outlineLvl w:val="1"/>
        <w:rPr>
          <w:rFonts w:cs="宋体" w:asciiTheme="minorEastAsia" w:hAnsiTheme="minorEastAsia"/>
          <w:b/>
          <w:sz w:val="24"/>
          <w:szCs w:val="24"/>
        </w:rPr>
      </w:pPr>
    </w:p>
    <w:p w14:paraId="4D968526">
      <w:pPr>
        <w:jc w:val="center"/>
        <w:outlineLvl w:val="1"/>
        <w:rPr>
          <w:rFonts w:cs="宋体" w:asciiTheme="minorEastAsia" w:hAnsiTheme="minorEastAsia"/>
          <w:b/>
          <w:sz w:val="24"/>
          <w:szCs w:val="24"/>
        </w:rPr>
      </w:pPr>
    </w:p>
    <w:p w14:paraId="7DCBF004">
      <w:pPr>
        <w:jc w:val="center"/>
        <w:outlineLvl w:val="1"/>
        <w:rPr>
          <w:rFonts w:cs="宋体" w:asciiTheme="minorEastAsia" w:hAnsiTheme="minorEastAsia"/>
          <w:b/>
          <w:sz w:val="24"/>
          <w:szCs w:val="24"/>
        </w:rPr>
      </w:pPr>
    </w:p>
    <w:p w14:paraId="4146A929">
      <w:pPr>
        <w:jc w:val="center"/>
        <w:outlineLvl w:val="1"/>
        <w:rPr>
          <w:rFonts w:cs="宋体" w:asciiTheme="minorEastAsia" w:hAnsiTheme="minorEastAsia"/>
          <w:b/>
          <w:sz w:val="24"/>
          <w:szCs w:val="24"/>
        </w:rPr>
      </w:pPr>
    </w:p>
    <w:p w14:paraId="2D4E290D">
      <w:pPr>
        <w:jc w:val="center"/>
        <w:outlineLvl w:val="1"/>
        <w:rPr>
          <w:rFonts w:cs="宋体" w:asciiTheme="minorEastAsia" w:hAnsiTheme="minorEastAsia"/>
          <w:b/>
          <w:sz w:val="24"/>
          <w:szCs w:val="24"/>
        </w:rPr>
      </w:pPr>
    </w:p>
    <w:p w14:paraId="14FBAF70">
      <w:pPr>
        <w:jc w:val="center"/>
        <w:outlineLvl w:val="1"/>
        <w:rPr>
          <w:rFonts w:cs="宋体" w:asciiTheme="minorEastAsia" w:hAnsiTheme="minorEastAsia"/>
          <w:b/>
          <w:sz w:val="24"/>
          <w:szCs w:val="24"/>
        </w:rPr>
      </w:pPr>
    </w:p>
    <w:p w14:paraId="1CADBDD1">
      <w:pPr>
        <w:jc w:val="center"/>
        <w:outlineLvl w:val="1"/>
        <w:rPr>
          <w:rFonts w:cs="宋体" w:asciiTheme="minorEastAsia" w:hAnsiTheme="minorEastAsia"/>
          <w:b/>
          <w:sz w:val="24"/>
          <w:szCs w:val="24"/>
        </w:rPr>
      </w:pPr>
    </w:p>
    <w:p w14:paraId="51FB6AAC">
      <w:pPr>
        <w:jc w:val="center"/>
        <w:outlineLvl w:val="1"/>
        <w:rPr>
          <w:rFonts w:cs="宋体" w:asciiTheme="minorEastAsia" w:hAnsiTheme="minorEastAsia"/>
          <w:b/>
          <w:sz w:val="24"/>
          <w:szCs w:val="24"/>
        </w:rPr>
      </w:pPr>
    </w:p>
    <w:p w14:paraId="5E49F334">
      <w:pPr>
        <w:jc w:val="center"/>
        <w:outlineLvl w:val="1"/>
        <w:rPr>
          <w:rFonts w:cs="宋体" w:asciiTheme="minorEastAsia" w:hAnsiTheme="minorEastAsia"/>
          <w:b/>
          <w:sz w:val="24"/>
          <w:szCs w:val="24"/>
        </w:rPr>
      </w:pPr>
    </w:p>
    <w:p w14:paraId="1F5019EB">
      <w:pPr>
        <w:jc w:val="center"/>
        <w:outlineLvl w:val="1"/>
        <w:rPr>
          <w:rFonts w:cs="宋体" w:asciiTheme="minorEastAsia" w:hAnsiTheme="minorEastAsia"/>
          <w:b/>
          <w:sz w:val="24"/>
          <w:szCs w:val="24"/>
        </w:rPr>
      </w:pPr>
    </w:p>
    <w:p w14:paraId="7E2D859E">
      <w:pPr>
        <w:jc w:val="center"/>
        <w:outlineLvl w:val="1"/>
        <w:rPr>
          <w:rFonts w:cs="宋体" w:asciiTheme="minorEastAsia" w:hAnsiTheme="minorEastAsia"/>
          <w:b/>
          <w:sz w:val="24"/>
          <w:szCs w:val="24"/>
        </w:rPr>
      </w:pPr>
    </w:p>
    <w:p w14:paraId="0AB17A1E">
      <w:pPr>
        <w:jc w:val="center"/>
        <w:outlineLvl w:val="1"/>
        <w:rPr>
          <w:rFonts w:cs="宋体" w:asciiTheme="minorEastAsia" w:hAnsiTheme="minorEastAsia"/>
          <w:b/>
          <w:sz w:val="24"/>
          <w:szCs w:val="24"/>
        </w:rPr>
      </w:pPr>
    </w:p>
    <w:p w14:paraId="7090C7E7">
      <w:pPr>
        <w:jc w:val="center"/>
        <w:outlineLvl w:val="1"/>
        <w:rPr>
          <w:rFonts w:cs="宋体" w:asciiTheme="minorEastAsia" w:hAnsiTheme="minorEastAsia"/>
          <w:b/>
          <w:sz w:val="24"/>
          <w:szCs w:val="24"/>
        </w:rPr>
      </w:pPr>
    </w:p>
    <w:p w14:paraId="27004492">
      <w:pPr>
        <w:jc w:val="center"/>
        <w:outlineLvl w:val="1"/>
        <w:rPr>
          <w:rFonts w:cs="宋体" w:asciiTheme="minorEastAsia" w:hAnsiTheme="minorEastAsia"/>
          <w:b/>
          <w:sz w:val="24"/>
          <w:szCs w:val="24"/>
        </w:rPr>
      </w:pPr>
    </w:p>
    <w:p w14:paraId="586C3B98">
      <w:pPr>
        <w:jc w:val="center"/>
        <w:outlineLvl w:val="1"/>
        <w:rPr>
          <w:rFonts w:cs="宋体" w:asciiTheme="minorEastAsia" w:hAnsiTheme="minorEastAsia"/>
          <w:b/>
          <w:sz w:val="24"/>
          <w:szCs w:val="24"/>
        </w:rPr>
      </w:pPr>
    </w:p>
    <w:p w14:paraId="79245074">
      <w:pPr>
        <w:jc w:val="center"/>
        <w:outlineLvl w:val="1"/>
        <w:rPr>
          <w:rFonts w:cs="宋体" w:asciiTheme="minorEastAsia" w:hAnsiTheme="minorEastAsia"/>
          <w:b/>
          <w:sz w:val="24"/>
          <w:szCs w:val="24"/>
        </w:rPr>
      </w:pPr>
    </w:p>
    <w:p w14:paraId="3D20DC81">
      <w:pPr>
        <w:jc w:val="center"/>
        <w:outlineLvl w:val="1"/>
        <w:rPr>
          <w:rFonts w:cs="宋体" w:asciiTheme="minorEastAsia" w:hAnsiTheme="minorEastAsia"/>
          <w:b/>
          <w:sz w:val="24"/>
          <w:szCs w:val="24"/>
        </w:rPr>
      </w:pPr>
    </w:p>
    <w:p w14:paraId="0F276B61">
      <w:pPr>
        <w:jc w:val="center"/>
        <w:outlineLvl w:val="1"/>
        <w:rPr>
          <w:rFonts w:cs="宋体" w:asciiTheme="minorEastAsia" w:hAnsiTheme="minorEastAsia"/>
          <w:b/>
          <w:sz w:val="24"/>
          <w:szCs w:val="24"/>
        </w:rPr>
      </w:pPr>
    </w:p>
    <w:p w14:paraId="2D1EB221">
      <w:pPr>
        <w:jc w:val="center"/>
        <w:outlineLvl w:val="1"/>
        <w:rPr>
          <w:rFonts w:cs="宋体" w:asciiTheme="minorEastAsia" w:hAnsiTheme="minorEastAsia"/>
          <w:b/>
          <w:sz w:val="24"/>
          <w:szCs w:val="24"/>
        </w:rPr>
      </w:pPr>
    </w:p>
    <w:p w14:paraId="1C9DF05F">
      <w:pPr>
        <w:jc w:val="center"/>
        <w:outlineLvl w:val="1"/>
        <w:rPr>
          <w:rFonts w:cs="宋体" w:asciiTheme="minorEastAsia" w:hAnsiTheme="minorEastAsia"/>
          <w:b/>
          <w:sz w:val="24"/>
          <w:szCs w:val="24"/>
        </w:rPr>
      </w:pPr>
      <w:r>
        <w:rPr>
          <w:rFonts w:hint="eastAsia" w:cs="宋体" w:asciiTheme="minorEastAsia" w:hAnsiTheme="minorEastAsia"/>
          <w:b/>
          <w:sz w:val="24"/>
          <w:szCs w:val="24"/>
        </w:rPr>
        <w:t>八、其他资料</w:t>
      </w:r>
      <w:bookmarkEnd w:id="399"/>
    </w:p>
    <w:p w14:paraId="7330C283">
      <w:pPr>
        <w:spacing w:line="360" w:lineRule="auto"/>
        <w:jc w:val="center"/>
        <w:rPr>
          <w:rFonts w:asciiTheme="minorEastAsia" w:hAnsiTheme="minorEastAsia"/>
          <w:sz w:val="24"/>
          <w:szCs w:val="24"/>
        </w:rPr>
      </w:pPr>
      <w:r>
        <w:rPr>
          <w:rFonts w:hint="eastAsia" w:asciiTheme="minorEastAsia" w:hAnsiTheme="minorEastAsia"/>
          <w:sz w:val="24"/>
          <w:szCs w:val="24"/>
        </w:rPr>
        <w:t>附供应商认为需提供的其他资料</w:t>
      </w:r>
    </w:p>
    <w:p w14:paraId="170F4D1B">
      <w:pPr>
        <w:widowControl/>
        <w:adjustRightInd w:val="0"/>
        <w:snapToGrid w:val="0"/>
        <w:spacing w:after="200"/>
        <w:ind w:firstLine="480" w:firstLineChars="200"/>
        <w:jc w:val="left"/>
        <w:rPr>
          <w:rFonts w:cs="宋体" w:asciiTheme="minorEastAsia" w:hAnsiTheme="minorEastAsia"/>
          <w:color w:val="000000"/>
          <w:kern w:val="0"/>
          <w:sz w:val="24"/>
          <w:szCs w:val="24"/>
        </w:rPr>
      </w:pPr>
    </w:p>
    <w:p w14:paraId="46CDF04B">
      <w:pPr>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br w:type="page"/>
      </w:r>
      <w:r>
        <w:rPr>
          <w:rFonts w:hint="eastAsia" w:cs="宋体" w:asciiTheme="minorEastAsia" w:hAnsiTheme="minorEastAsia"/>
          <w:color w:val="000000"/>
          <w:kern w:val="0"/>
          <w:sz w:val="24"/>
          <w:szCs w:val="24"/>
        </w:rPr>
        <w:t>附件1：</w:t>
      </w:r>
    </w:p>
    <w:p w14:paraId="7001F4E2">
      <w:pPr>
        <w:spacing w:line="480" w:lineRule="auto"/>
        <w:jc w:val="center"/>
        <w:rPr>
          <w:rFonts w:cs="宋体" w:asciiTheme="minorEastAsia" w:hAnsiTheme="minorEastAsia"/>
          <w:bCs/>
          <w:kern w:val="0"/>
          <w:sz w:val="24"/>
          <w:szCs w:val="24"/>
        </w:rPr>
      </w:pPr>
      <w:r>
        <w:rPr>
          <w:rFonts w:hint="eastAsia" w:cs="宋体" w:asciiTheme="minorEastAsia" w:hAnsiTheme="minorEastAsia"/>
          <w:bCs/>
          <w:kern w:val="0"/>
          <w:sz w:val="24"/>
          <w:szCs w:val="24"/>
        </w:rPr>
        <w:t>中小企业声明函（工程、服务）</w:t>
      </w:r>
    </w:p>
    <w:p w14:paraId="69FF26D8">
      <w:pPr>
        <w:spacing w:before="312" w:beforeLines="100" w:line="360" w:lineRule="auto"/>
        <w:ind w:firstLine="638" w:firstLineChars="266"/>
        <w:jc w:val="left"/>
        <w:rPr>
          <w:rFonts w:cs="宋体" w:asciiTheme="minorEastAsia" w:hAnsiTheme="minorEastAsia"/>
          <w:sz w:val="24"/>
          <w:szCs w:val="24"/>
        </w:rPr>
      </w:pPr>
      <w:r>
        <w:rPr>
          <w:rFonts w:hint="eastAsia" w:cs="宋体" w:asciiTheme="minorEastAsia" w:hAnsiTheme="minorEastAsia"/>
          <w:sz w:val="24"/>
          <w:szCs w:val="24"/>
        </w:rPr>
        <w:t>本公司（联合体）郑重声明，根据《政府采购促进中小企业发展管理办法》（财库﹝2020﹞46 号）的规定，本公司参加</w:t>
      </w:r>
      <w:r>
        <w:rPr>
          <w:rFonts w:hint="eastAsia" w:cs="宋体" w:asciiTheme="minorEastAsia" w:hAnsiTheme="minorEastAsia"/>
          <w:sz w:val="24"/>
          <w:szCs w:val="24"/>
          <w:u w:val="single"/>
        </w:rPr>
        <w:t>（单位名称）</w:t>
      </w:r>
      <w:r>
        <w:rPr>
          <w:rFonts w:hint="eastAsia" w:cs="宋体" w:asciiTheme="minorEastAsia" w:hAnsiTheme="minorEastAsia"/>
          <w:sz w:val="24"/>
          <w:szCs w:val="24"/>
        </w:rPr>
        <w:t>的</w:t>
      </w:r>
      <w:r>
        <w:rPr>
          <w:rFonts w:hint="eastAsia" w:cs="宋体" w:asciiTheme="minorEastAsia" w:hAnsiTheme="minorEastAsia"/>
          <w:sz w:val="24"/>
          <w:szCs w:val="24"/>
          <w:u w:val="single"/>
        </w:rPr>
        <w:t>（项目名称）</w:t>
      </w:r>
      <w:r>
        <w:rPr>
          <w:rFonts w:hint="eastAsia" w:cs="宋体" w:asciiTheme="minorEastAsia" w:hAnsiTheme="minorEastAsia"/>
          <w:sz w:val="24"/>
          <w:szCs w:val="24"/>
        </w:rPr>
        <w:t>采购活动，工程的施工单位全部为符合政策要求的中小企业（或者：服务全部由符合政策要求的中小企业承接）。相关企业的具体情况如下：</w:t>
      </w:r>
    </w:p>
    <w:p w14:paraId="246DB842">
      <w:pPr>
        <w:spacing w:line="360" w:lineRule="auto"/>
        <w:ind w:firstLine="638" w:firstLineChars="266"/>
        <w:jc w:val="left"/>
        <w:rPr>
          <w:rFonts w:cs="宋体" w:asciiTheme="minorEastAsia" w:hAnsiTheme="minorEastAsia"/>
          <w:sz w:val="24"/>
          <w:szCs w:val="24"/>
        </w:rPr>
      </w:pPr>
      <w:r>
        <w:rPr>
          <w:rFonts w:hint="eastAsia" w:cs="宋体" w:asciiTheme="minorEastAsia" w:hAnsiTheme="minorEastAsia"/>
          <w:sz w:val="24"/>
          <w:szCs w:val="24"/>
        </w:rPr>
        <w:t>1.</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u w:val="single"/>
          <w:lang w:val="en-US" w:eastAsia="zh-CN"/>
        </w:rPr>
        <w:t xml:space="preserve"> </w:t>
      </w:r>
      <w:r>
        <w:rPr>
          <w:rFonts w:hint="eastAsia" w:cs="宋体" w:asciiTheme="minorEastAsia" w:hAnsiTheme="minorEastAsia"/>
          <w:sz w:val="24"/>
          <w:szCs w:val="24"/>
          <w:u w:val="single"/>
        </w:rPr>
        <w:t>（标的名称）</w:t>
      </w:r>
      <w:r>
        <w:rPr>
          <w:rFonts w:hint="eastAsia" w:cs="宋体" w:asciiTheme="minorEastAsia" w:hAnsiTheme="minorEastAsia"/>
          <w:sz w:val="24"/>
          <w:szCs w:val="24"/>
          <w:u w:val="single"/>
          <w:lang w:val="en-US" w:eastAsia="zh-CN"/>
        </w:rPr>
        <w:t xml:space="preserve"> </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，属于</w:t>
      </w:r>
      <w:r>
        <w:rPr>
          <w:rFonts w:hint="eastAsia" w:cs="宋体" w:asciiTheme="minorEastAsia" w:hAnsiTheme="minorEastAsia"/>
          <w:sz w:val="24"/>
          <w:szCs w:val="24"/>
          <w:u w:val="single"/>
          <w:lang w:val="en-US" w:eastAsia="zh-CN"/>
        </w:rPr>
        <w:t xml:space="preserve">    建筑业</w:t>
      </w:r>
      <w:r>
        <w:rPr>
          <w:rFonts w:hint="eastAsia" w:cs="宋体" w:asciiTheme="minorEastAsia" w:hAnsiTheme="minorEastAsia"/>
          <w:sz w:val="24"/>
          <w:szCs w:val="24"/>
        </w:rPr>
        <w:t>；承建（承接）企业为</w:t>
      </w:r>
      <w:r>
        <w:rPr>
          <w:rFonts w:hint="eastAsia" w:cs="宋体" w:asciiTheme="minorEastAsia" w:hAnsiTheme="minorEastAsia"/>
          <w:sz w:val="24"/>
          <w:szCs w:val="24"/>
          <w:u w:val="single"/>
          <w:lang w:val="en-US" w:eastAsia="zh-CN"/>
        </w:rPr>
        <w:t xml:space="preserve">    </w:t>
      </w:r>
      <w:r>
        <w:rPr>
          <w:rFonts w:hint="eastAsia" w:cs="宋体" w:asciiTheme="minorEastAsia" w:hAnsiTheme="minorEastAsia"/>
          <w:sz w:val="24"/>
          <w:szCs w:val="24"/>
          <w:u w:val="single"/>
        </w:rPr>
        <w:t>（企业名称）</w:t>
      </w:r>
      <w:r>
        <w:rPr>
          <w:rFonts w:hint="eastAsia" w:cs="宋体" w:asciiTheme="minorEastAsia" w:hAnsiTheme="minorEastAsia"/>
          <w:sz w:val="24"/>
          <w:szCs w:val="24"/>
        </w:rPr>
        <w:t>，从业人员</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人，营业收入为</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万元，资产总额为</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万元，属于</w:t>
      </w:r>
      <w:r>
        <w:rPr>
          <w:rFonts w:hint="eastAsia" w:cs="宋体" w:asciiTheme="minorEastAsia" w:hAnsiTheme="minorEastAsia"/>
          <w:sz w:val="24"/>
          <w:szCs w:val="24"/>
          <w:u w:val="single"/>
          <w:lang w:val="en-US" w:eastAsia="zh-CN"/>
        </w:rPr>
        <w:t xml:space="preserve">     </w:t>
      </w:r>
      <w:r>
        <w:rPr>
          <w:rFonts w:hint="eastAsia" w:cs="宋体" w:asciiTheme="minorEastAsia" w:hAnsiTheme="minorEastAsia"/>
          <w:sz w:val="24"/>
          <w:szCs w:val="24"/>
        </w:rPr>
        <w:t>（中型企业/小型企业/微型企业）；</w:t>
      </w:r>
    </w:p>
    <w:p w14:paraId="4420F167">
      <w:pPr>
        <w:spacing w:line="360" w:lineRule="auto"/>
        <w:ind w:firstLine="638" w:firstLineChars="266"/>
        <w:jc w:val="left"/>
        <w:rPr>
          <w:rFonts w:cs="宋体" w:asciiTheme="minorEastAsia" w:hAnsiTheme="minorEastAsia"/>
          <w:sz w:val="24"/>
          <w:szCs w:val="24"/>
        </w:rPr>
      </w:pPr>
      <w:r>
        <w:rPr>
          <w:rFonts w:hint="eastAsia" w:cs="宋体" w:asciiTheme="minorEastAsia" w:hAnsiTheme="minorEastAsia"/>
          <w:sz w:val="24"/>
          <w:szCs w:val="24"/>
        </w:rPr>
        <w:t xml:space="preserve">2. </w:t>
      </w:r>
      <w:r>
        <w:rPr>
          <w:rFonts w:hint="eastAsia" w:cs="宋体" w:asciiTheme="minorEastAsia" w:hAnsiTheme="minorEastAsia"/>
          <w:sz w:val="24"/>
          <w:szCs w:val="24"/>
          <w:u w:val="single"/>
        </w:rPr>
        <w:t xml:space="preserve">（标的名称） </w:t>
      </w:r>
      <w:r>
        <w:rPr>
          <w:rFonts w:hint="eastAsia" w:cs="宋体" w:asciiTheme="minorEastAsia" w:hAnsiTheme="minorEastAsia"/>
          <w:sz w:val="24"/>
          <w:szCs w:val="24"/>
        </w:rPr>
        <w:t>，属于</w:t>
      </w:r>
      <w:r>
        <w:rPr>
          <w:rFonts w:hint="eastAsia" w:cs="宋体" w:asciiTheme="minorEastAsia" w:hAnsiTheme="minorEastAsia"/>
          <w:sz w:val="24"/>
          <w:szCs w:val="24"/>
          <w:u w:val="single"/>
        </w:rPr>
        <w:t>（采购文件中明确的所属行业）</w:t>
      </w:r>
      <w:r>
        <w:rPr>
          <w:rFonts w:hint="eastAsia" w:cs="宋体" w:asciiTheme="minorEastAsia" w:hAnsiTheme="minorEastAsia"/>
          <w:sz w:val="24"/>
          <w:szCs w:val="24"/>
        </w:rPr>
        <w:t>；承建（承接）企业为</w:t>
      </w:r>
      <w:r>
        <w:rPr>
          <w:rFonts w:hint="eastAsia" w:cs="宋体" w:asciiTheme="minorEastAsia" w:hAnsiTheme="minorEastAsia"/>
          <w:sz w:val="24"/>
          <w:szCs w:val="24"/>
          <w:u w:val="single"/>
        </w:rPr>
        <w:t>（企业名称）</w:t>
      </w:r>
      <w:r>
        <w:rPr>
          <w:rFonts w:hint="eastAsia" w:cs="宋体" w:asciiTheme="minorEastAsia" w:hAnsiTheme="minorEastAsia"/>
          <w:sz w:val="24"/>
          <w:szCs w:val="24"/>
        </w:rPr>
        <w:t>，从业人员</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人，营业收入为</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万元，资产总额为</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万元，属于</w:t>
      </w:r>
      <w:r>
        <w:rPr>
          <w:rFonts w:hint="eastAsia" w:cs="宋体" w:asciiTheme="minorEastAsia" w:hAnsiTheme="minorEastAsia"/>
          <w:sz w:val="24"/>
          <w:szCs w:val="24"/>
          <w:u w:val="single"/>
        </w:rPr>
        <w:t>（中型企业/小型企业/微型企业）</w:t>
      </w:r>
      <w:r>
        <w:rPr>
          <w:rFonts w:hint="eastAsia" w:cs="宋体" w:asciiTheme="minorEastAsia" w:hAnsiTheme="minorEastAsia"/>
          <w:sz w:val="24"/>
          <w:szCs w:val="24"/>
        </w:rPr>
        <w:t>；</w:t>
      </w:r>
    </w:p>
    <w:p w14:paraId="2F163129">
      <w:pPr>
        <w:spacing w:line="360" w:lineRule="auto"/>
        <w:ind w:firstLine="638" w:firstLineChars="266"/>
        <w:jc w:val="left"/>
        <w:rPr>
          <w:rFonts w:cs="宋体" w:asciiTheme="minorEastAsia" w:hAnsiTheme="minorEastAsia"/>
          <w:sz w:val="24"/>
          <w:szCs w:val="24"/>
        </w:rPr>
      </w:pPr>
      <w:r>
        <w:rPr>
          <w:rFonts w:hint="eastAsia" w:cs="宋体" w:asciiTheme="minorEastAsia" w:hAnsiTheme="minorEastAsia"/>
          <w:sz w:val="24"/>
          <w:szCs w:val="24"/>
        </w:rPr>
        <w:t>……</w:t>
      </w:r>
    </w:p>
    <w:p w14:paraId="147FA155">
      <w:pPr>
        <w:spacing w:line="360" w:lineRule="auto"/>
        <w:ind w:firstLine="638" w:firstLineChars="266"/>
        <w:jc w:val="left"/>
        <w:rPr>
          <w:rFonts w:cs="宋体" w:asciiTheme="minorEastAsia" w:hAnsiTheme="minorEastAsia"/>
          <w:sz w:val="24"/>
          <w:szCs w:val="24"/>
        </w:rPr>
      </w:pPr>
      <w:r>
        <w:rPr>
          <w:rFonts w:hint="eastAsia" w:cs="宋体" w:asciiTheme="minorEastAsia" w:hAnsiTheme="minorEastAsia"/>
          <w:sz w:val="24"/>
          <w:szCs w:val="24"/>
        </w:rPr>
        <w:t>以上企业，不属于大企业的分支机构，不存在控股股东为大企业的情形，也不存在与大企业的负责人为同一人的情形。</w:t>
      </w:r>
    </w:p>
    <w:p w14:paraId="706BB950">
      <w:pPr>
        <w:spacing w:line="360" w:lineRule="auto"/>
        <w:ind w:firstLine="638" w:firstLineChars="266"/>
        <w:jc w:val="left"/>
        <w:rPr>
          <w:rFonts w:cs="宋体" w:asciiTheme="minorEastAsia" w:hAnsiTheme="minorEastAsia"/>
          <w:sz w:val="24"/>
          <w:szCs w:val="24"/>
        </w:rPr>
      </w:pPr>
      <w:r>
        <w:rPr>
          <w:rFonts w:hint="eastAsia" w:cs="宋体" w:asciiTheme="minorEastAsia" w:hAnsiTheme="minorEastAsia"/>
          <w:sz w:val="24"/>
          <w:szCs w:val="24"/>
        </w:rPr>
        <w:t>本企业对上述声明内容的真实性负责。如有虚假，将依法承担相应责任。</w:t>
      </w:r>
    </w:p>
    <w:p w14:paraId="7D47A560">
      <w:pPr>
        <w:spacing w:line="360" w:lineRule="auto"/>
        <w:ind w:firstLine="638" w:firstLineChars="266"/>
        <w:jc w:val="left"/>
        <w:rPr>
          <w:rFonts w:cs="宋体" w:asciiTheme="minorEastAsia" w:hAnsiTheme="minorEastAsia"/>
          <w:sz w:val="24"/>
          <w:szCs w:val="24"/>
        </w:rPr>
      </w:pPr>
    </w:p>
    <w:p w14:paraId="2627705A">
      <w:pPr>
        <w:spacing w:line="360" w:lineRule="auto"/>
        <w:ind w:firstLine="638" w:firstLineChars="266"/>
        <w:jc w:val="left"/>
        <w:rPr>
          <w:rFonts w:cs="宋体" w:asciiTheme="minorEastAsia" w:hAnsiTheme="minorEastAsia"/>
          <w:sz w:val="24"/>
          <w:szCs w:val="24"/>
        </w:rPr>
      </w:pPr>
      <w:r>
        <w:rPr>
          <w:rFonts w:hint="eastAsia" w:cs="宋体" w:asciiTheme="minorEastAsia" w:hAnsiTheme="minorEastAsia"/>
          <w:sz w:val="24"/>
          <w:szCs w:val="24"/>
        </w:rPr>
        <w:t>企业名称（盖公章）：</w:t>
      </w:r>
    </w:p>
    <w:p w14:paraId="339FC82C">
      <w:pPr>
        <w:spacing w:line="360" w:lineRule="auto"/>
        <w:ind w:firstLine="638" w:firstLineChars="266"/>
        <w:jc w:val="left"/>
        <w:rPr>
          <w:rFonts w:cs="宋体" w:asciiTheme="minorEastAsia" w:hAnsiTheme="minorEastAsia"/>
          <w:sz w:val="24"/>
          <w:szCs w:val="24"/>
        </w:rPr>
      </w:pPr>
      <w:r>
        <w:rPr>
          <w:rFonts w:hint="eastAsia" w:cs="宋体" w:asciiTheme="minorEastAsia" w:hAnsiTheme="minorEastAsia"/>
          <w:sz w:val="24"/>
          <w:szCs w:val="24"/>
        </w:rPr>
        <w:t>日期：</w:t>
      </w:r>
    </w:p>
    <w:p w14:paraId="66E8F940">
      <w:pPr>
        <w:spacing w:line="360" w:lineRule="auto"/>
        <w:ind w:firstLine="480" w:firstLineChars="200"/>
        <w:rPr>
          <w:rFonts w:ascii="宋体" w:hAnsi="宋体" w:cs="宋体"/>
          <w:sz w:val="24"/>
          <w:szCs w:val="28"/>
        </w:rPr>
      </w:pPr>
      <w:r>
        <w:rPr>
          <w:rFonts w:hint="eastAsia" w:ascii="宋体" w:hAnsi="宋体" w:cs="宋体"/>
          <w:sz w:val="24"/>
          <w:szCs w:val="28"/>
        </w:rPr>
        <w:t>备注：</w:t>
      </w:r>
    </w:p>
    <w:p w14:paraId="32CC744D">
      <w:pPr>
        <w:spacing w:line="360" w:lineRule="auto"/>
        <w:ind w:firstLine="480" w:firstLineChars="200"/>
        <w:rPr>
          <w:rFonts w:ascii="宋体" w:hAnsi="宋体" w:cs="宋体"/>
          <w:sz w:val="24"/>
          <w:szCs w:val="28"/>
        </w:rPr>
      </w:pPr>
      <w:r>
        <w:rPr>
          <w:rFonts w:hint="eastAsia" w:ascii="宋体" w:hAnsi="宋体" w:cs="宋体"/>
          <w:sz w:val="24"/>
          <w:szCs w:val="28"/>
        </w:rPr>
        <w:t>1、如果</w:t>
      </w:r>
      <w:r>
        <w:rPr>
          <w:rFonts w:hint="eastAsia" w:ascii="宋体" w:hAnsi="宋体" w:cs="宋体"/>
          <w:sz w:val="24"/>
          <w:szCs w:val="28"/>
          <w:lang w:eastAsia="zh-CN"/>
        </w:rPr>
        <w:t>供应商</w:t>
      </w:r>
      <w:r>
        <w:rPr>
          <w:rFonts w:hint="eastAsia" w:ascii="宋体" w:hAnsi="宋体" w:cs="宋体"/>
          <w:sz w:val="24"/>
          <w:szCs w:val="28"/>
        </w:rPr>
        <w:t>不满足中小微企业的认定标准，或所投产品的供应商不符合小型微型企业认定标准的，则不需要提供《中小微企业声明函》 。否则，因此导致虚假投标的后果由供应商自行承担。</w:t>
      </w:r>
    </w:p>
    <w:p w14:paraId="00580241">
      <w:pPr>
        <w:spacing w:line="360" w:lineRule="auto"/>
        <w:ind w:firstLine="480" w:firstLineChars="200"/>
        <w:rPr>
          <w:rFonts w:ascii="宋体" w:hAnsi="宋体" w:cs="宋体"/>
          <w:sz w:val="24"/>
          <w:szCs w:val="28"/>
        </w:rPr>
      </w:pPr>
      <w:r>
        <w:rPr>
          <w:rFonts w:hint="eastAsia" w:ascii="宋体" w:hAnsi="宋体" w:cs="宋体"/>
          <w:sz w:val="24"/>
          <w:szCs w:val="28"/>
        </w:rPr>
        <w:t>2、如果供应商不是小型或微型企业，本声明函可删除。</w:t>
      </w:r>
    </w:p>
    <w:p w14:paraId="1DD301A6">
      <w:pPr>
        <w:spacing w:after="120"/>
        <w:rPr>
          <w:rFonts w:cs="Mangal" w:asciiTheme="minorHAnsi" w:hAnsiTheme="minorHAnsi" w:eastAsiaTheme="minorEastAsia"/>
          <w:sz w:val="32"/>
          <w:szCs w:val="32"/>
        </w:rPr>
      </w:pPr>
      <w:r>
        <w:rPr>
          <w:rFonts w:hint="eastAsia" w:ascii="宋体" w:hAnsi="宋体" w:cs="宋体" w:eastAsiaTheme="minorEastAsia"/>
          <w:sz w:val="24"/>
          <w:szCs w:val="28"/>
          <w:lang w:eastAsia="hi-IN" w:bidi="hi-IN"/>
        </w:rPr>
        <w:t xml:space="preserve">    3、从业人员、营业收入、资产总额填报上一年度数据，无上一年度数据的新成立企业可不填报。</w:t>
      </w:r>
    </w:p>
    <w:p w14:paraId="34233F33">
      <w:pPr>
        <w:spacing w:line="480" w:lineRule="auto"/>
        <w:textAlignment w:val="baseline"/>
        <w:rPr>
          <w:rFonts w:ascii="宋体" w:hAnsi="宋体" w:cs="宋体"/>
          <w:b/>
          <w:sz w:val="24"/>
          <w:szCs w:val="24"/>
        </w:rPr>
      </w:pPr>
      <w:r>
        <w:rPr>
          <w:rFonts w:hint="eastAsia" w:ascii="宋体" w:hAnsi="宋体" w:cs="宋体"/>
          <w:b/>
          <w:sz w:val="24"/>
          <w:szCs w:val="24"/>
        </w:rPr>
        <w:t>说明：</w:t>
      </w:r>
    </w:p>
    <w:p w14:paraId="66FC506D">
      <w:pPr>
        <w:widowControl/>
        <w:adjustRightInd w:val="0"/>
        <w:snapToGrid w:val="0"/>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财政部、工信部关于印发《政府采购促进中小企业发展管理办法》的通知（财库〔2020〕46号）第二条、第四条规定：中小企业（含中型、小型、微型企业）应当同时符合以下条件：</w:t>
      </w:r>
    </w:p>
    <w:p w14:paraId="5AC155C4">
      <w:pPr>
        <w:widowControl/>
        <w:adjustRightInd w:val="0"/>
        <w:snapToGrid w:val="0"/>
        <w:spacing w:line="500" w:lineRule="exact"/>
        <w:ind w:firstLine="480" w:firstLineChars="200"/>
        <w:jc w:val="left"/>
        <w:rPr>
          <w:rFonts w:ascii="宋体" w:hAnsi="宋体" w:cs="宋体"/>
          <w:kern w:val="0"/>
          <w:sz w:val="24"/>
          <w:szCs w:val="24"/>
        </w:rPr>
      </w:pPr>
      <w:r>
        <w:rPr>
          <w:rFonts w:hint="eastAsia" w:ascii="宋体" w:hAnsi="宋体" w:cs="宋体"/>
          <w:bCs/>
          <w:kern w:val="0"/>
          <w:sz w:val="24"/>
          <w:szCs w:val="24"/>
        </w:rPr>
        <w:t xml:space="preserve">1. </w:t>
      </w:r>
      <w:r>
        <w:rPr>
          <w:rFonts w:hint="eastAsia" w:ascii="宋体" w:hAnsi="宋体" w:cs="宋体"/>
          <w:kern w:val="0"/>
          <w:sz w:val="24"/>
          <w:szCs w:val="24"/>
        </w:rPr>
        <w:t>符合中小企业划分标准（见工业和信息化部国家统计局国家发展和改革委员会财政部《关于印发中小企业划型标准规定的通知》（工信部联企业〔2011〕300号)）；</w:t>
      </w:r>
    </w:p>
    <w:p w14:paraId="6C11DA99">
      <w:pPr>
        <w:widowControl/>
        <w:adjustRightInd w:val="0"/>
        <w:snapToGrid w:val="0"/>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2.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7EA92BB9">
      <w:pPr>
        <w:widowControl/>
        <w:adjustRightInd w:val="0"/>
        <w:snapToGrid w:val="0"/>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符合中小企业划分标准的个体工商户，在政府采购活动中视同中小企业。</w:t>
      </w:r>
    </w:p>
    <w:p w14:paraId="1FDB8CC2">
      <w:pPr>
        <w:spacing w:line="500" w:lineRule="exact"/>
        <w:ind w:firstLine="480" w:firstLineChars="200"/>
        <w:rPr>
          <w:rFonts w:ascii="宋体" w:hAnsi="宋体" w:cs="宋体"/>
          <w:kern w:val="0"/>
          <w:sz w:val="24"/>
          <w:szCs w:val="24"/>
        </w:rPr>
      </w:pPr>
      <w:r>
        <w:rPr>
          <w:rFonts w:hint="eastAsia" w:ascii="宋体" w:hAnsi="宋体" w:cs="宋体"/>
          <w:kern w:val="0"/>
          <w:sz w:val="24"/>
          <w:szCs w:val="24"/>
        </w:rPr>
        <w:t>3. 在服务采购项目中，服务由中小企业承接，即提供服务的人员为中小企业依照《中华人民共和国劳动合同法》订立劳动合同的从业人员。</w:t>
      </w:r>
    </w:p>
    <w:p w14:paraId="2C445FC4">
      <w:pPr>
        <w:widowControl/>
        <w:adjustRightInd w:val="0"/>
        <w:snapToGrid w:val="0"/>
        <w:spacing w:after="200" w:line="480" w:lineRule="auto"/>
        <w:jc w:val="left"/>
        <w:rPr>
          <w:rFonts w:ascii="宋体" w:hAnsi="宋体" w:cs="宋体"/>
          <w:kern w:val="0"/>
          <w:sz w:val="24"/>
          <w:szCs w:val="24"/>
        </w:rPr>
      </w:pPr>
    </w:p>
    <w:p w14:paraId="132A9B14">
      <w:pPr>
        <w:widowControl/>
        <w:jc w:val="left"/>
        <w:rPr>
          <w:rFonts w:ascii="宋体" w:hAnsi="宋体" w:cs="宋体"/>
          <w:sz w:val="24"/>
          <w:szCs w:val="24"/>
        </w:rPr>
      </w:pPr>
      <w:r>
        <w:rPr>
          <w:rFonts w:hint="eastAsia" w:ascii="宋体" w:hAnsi="宋体" w:cs="宋体"/>
          <w:b/>
          <w:kern w:val="0"/>
          <w:sz w:val="24"/>
          <w:szCs w:val="24"/>
        </w:rPr>
        <w:t>（提醒：如果响应人不满足小型、微型企业的认定标准，或所投产品的制造商不符合小型、微型企业认定标准的，则不需要提供《中小企业声明函》。否则，因此导致虚假投标的后果由响应人自行承担。）</w:t>
      </w:r>
    </w:p>
    <w:p w14:paraId="78C8BE5A">
      <w:pPr>
        <w:widowControl/>
        <w:adjustRightInd w:val="0"/>
        <w:snapToGrid w:val="0"/>
        <w:spacing w:after="200" w:line="480" w:lineRule="auto"/>
        <w:ind w:firstLine="354" w:firstLineChars="147"/>
        <w:jc w:val="left"/>
        <w:rPr>
          <w:rFonts w:hint="eastAsia" w:ascii="宋体" w:hAnsi="宋体" w:cs="宋体"/>
          <w:b/>
          <w:kern w:val="0"/>
          <w:sz w:val="24"/>
          <w:szCs w:val="24"/>
        </w:rPr>
      </w:pPr>
    </w:p>
    <w:p w14:paraId="0568F677">
      <w:pPr>
        <w:pStyle w:val="3"/>
        <w:rPr>
          <w:rFonts w:hint="eastAsia"/>
          <w:lang w:eastAsia="zh-CN" w:bidi="ar-SA"/>
        </w:rPr>
      </w:pPr>
    </w:p>
    <w:p w14:paraId="79ECF040">
      <w:pPr>
        <w:rPr>
          <w:rFonts w:hint="eastAsia"/>
        </w:rPr>
      </w:pPr>
    </w:p>
    <w:p w14:paraId="7257FEBB">
      <w:pPr>
        <w:pStyle w:val="3"/>
        <w:rPr>
          <w:rFonts w:hint="eastAsia"/>
          <w:lang w:eastAsia="zh-CN" w:bidi="ar-SA"/>
        </w:rPr>
      </w:pPr>
    </w:p>
    <w:p w14:paraId="4A9DF82A">
      <w:pPr>
        <w:rPr>
          <w:rFonts w:hint="eastAsia"/>
        </w:rPr>
      </w:pPr>
    </w:p>
    <w:p w14:paraId="1740AA26">
      <w:pPr>
        <w:pStyle w:val="3"/>
        <w:rPr>
          <w:rFonts w:hint="eastAsia"/>
          <w:lang w:eastAsia="zh-CN" w:bidi="ar-SA"/>
        </w:rPr>
      </w:pPr>
    </w:p>
    <w:p w14:paraId="594EEF3E">
      <w:pPr>
        <w:rPr>
          <w:rFonts w:hint="eastAsia"/>
        </w:rPr>
      </w:pPr>
    </w:p>
    <w:p w14:paraId="6727704F">
      <w:pPr>
        <w:pStyle w:val="3"/>
        <w:rPr>
          <w:rFonts w:hint="eastAsia"/>
          <w:lang w:eastAsia="zh-CN" w:bidi="ar-SA"/>
        </w:rPr>
      </w:pPr>
    </w:p>
    <w:p w14:paraId="531E80AD">
      <w:pPr>
        <w:rPr>
          <w:rFonts w:hint="eastAsia"/>
        </w:rPr>
      </w:pPr>
    </w:p>
    <w:p w14:paraId="07C9748D">
      <w:pPr>
        <w:pStyle w:val="3"/>
        <w:rPr>
          <w:rFonts w:hint="eastAsia"/>
          <w:lang w:eastAsia="zh-CN" w:bidi="ar-SA"/>
        </w:rPr>
      </w:pPr>
    </w:p>
    <w:p w14:paraId="20E6BE1D">
      <w:pPr>
        <w:rPr>
          <w:rFonts w:hint="eastAsia"/>
        </w:rPr>
      </w:pPr>
    </w:p>
    <w:p w14:paraId="7FE6AA38">
      <w:pPr>
        <w:pStyle w:val="3"/>
        <w:rPr>
          <w:rFonts w:hint="eastAsia"/>
          <w:lang w:eastAsia="zh-CN" w:bidi="ar-SA"/>
        </w:rPr>
      </w:pPr>
    </w:p>
    <w:p w14:paraId="06FEF53F">
      <w:pPr>
        <w:numPr>
          <w:ilvl w:val="1"/>
          <w:numId w:val="0"/>
        </w:numPr>
        <w:wordWrap w:val="0"/>
        <w:topLinePunct/>
        <w:spacing w:line="360" w:lineRule="auto"/>
        <w:ind w:firstLine="482" w:firstLineChars="200"/>
        <w:jc w:val="center"/>
        <w:outlineLvl w:val="9"/>
        <w:rPr>
          <w:rFonts w:hint="eastAsia" w:ascii="宋体" w:hAnsi="宋体" w:cs="宋体"/>
          <w:b/>
          <w:bCs/>
          <w:sz w:val="24"/>
          <w:szCs w:val="24"/>
        </w:rPr>
      </w:pPr>
      <w:bookmarkStart w:id="400" w:name="_Toc26908"/>
      <w:bookmarkStart w:id="401" w:name="_Toc2835"/>
      <w:bookmarkStart w:id="402" w:name="_Toc15388"/>
      <w:bookmarkStart w:id="403" w:name="_Toc18758"/>
      <w:bookmarkStart w:id="404" w:name="OLE_LINK13"/>
      <w:bookmarkStart w:id="405" w:name="OLE_LINK14"/>
      <w:bookmarkStart w:id="406" w:name="_Toc23527"/>
      <w:bookmarkStart w:id="407" w:name="_Toc29482"/>
      <w:bookmarkStart w:id="408" w:name="_Toc14029"/>
      <w:bookmarkStart w:id="409" w:name="_Toc10802"/>
      <w:bookmarkStart w:id="410" w:name="_Toc1407"/>
      <w:bookmarkStart w:id="411" w:name="_Toc7278"/>
      <w:bookmarkStart w:id="412" w:name="_Toc22084"/>
      <w:bookmarkStart w:id="413" w:name="_Toc22816"/>
      <w:bookmarkStart w:id="414" w:name="_Toc3686"/>
      <w:bookmarkStart w:id="415" w:name="_Toc14656"/>
      <w:bookmarkStart w:id="416" w:name="_Toc5459"/>
      <w:bookmarkStart w:id="417" w:name="_Toc21261"/>
      <w:bookmarkStart w:id="418" w:name="_Toc25504"/>
      <w:bookmarkStart w:id="419" w:name="_Toc25719"/>
    </w:p>
    <w:p w14:paraId="087E4B3E">
      <w:pPr>
        <w:numPr>
          <w:ilvl w:val="1"/>
          <w:numId w:val="0"/>
        </w:numPr>
        <w:wordWrap w:val="0"/>
        <w:topLinePunct/>
        <w:spacing w:line="360" w:lineRule="auto"/>
        <w:ind w:firstLine="482" w:firstLineChars="200"/>
        <w:jc w:val="center"/>
        <w:outlineLvl w:val="9"/>
        <w:rPr>
          <w:rFonts w:hint="eastAsia" w:ascii="宋体" w:hAnsi="宋体" w:cs="宋体"/>
          <w:b/>
          <w:bCs/>
          <w:sz w:val="24"/>
          <w:szCs w:val="24"/>
        </w:rPr>
      </w:pPr>
    </w:p>
    <w:p w14:paraId="66CBFB44">
      <w:pPr>
        <w:numPr>
          <w:ilvl w:val="1"/>
          <w:numId w:val="0"/>
        </w:numPr>
        <w:wordWrap w:val="0"/>
        <w:topLinePunct/>
        <w:spacing w:line="360" w:lineRule="auto"/>
        <w:ind w:firstLine="482" w:firstLineChars="200"/>
        <w:jc w:val="center"/>
        <w:outlineLvl w:val="9"/>
        <w:rPr>
          <w:rFonts w:hint="eastAsia" w:ascii="宋体" w:hAnsi="宋体" w:cs="宋体"/>
          <w:b/>
          <w:bCs/>
          <w:sz w:val="24"/>
          <w:szCs w:val="24"/>
        </w:rPr>
      </w:pPr>
    </w:p>
    <w:p w14:paraId="76D322DC">
      <w:pPr>
        <w:numPr>
          <w:ilvl w:val="1"/>
          <w:numId w:val="0"/>
        </w:numPr>
        <w:wordWrap w:val="0"/>
        <w:topLinePunct/>
        <w:spacing w:line="360" w:lineRule="auto"/>
        <w:ind w:firstLine="482" w:firstLineChars="200"/>
        <w:jc w:val="center"/>
        <w:outlineLvl w:val="9"/>
        <w:rPr>
          <w:rFonts w:hint="eastAsia" w:ascii="宋体" w:hAnsi="宋体" w:cs="宋体"/>
          <w:b/>
          <w:bCs/>
          <w:sz w:val="24"/>
          <w:szCs w:val="24"/>
        </w:rPr>
      </w:pPr>
    </w:p>
    <w:p w14:paraId="5AEF1DB4">
      <w:pPr>
        <w:numPr>
          <w:ilvl w:val="1"/>
          <w:numId w:val="0"/>
        </w:numPr>
        <w:wordWrap w:val="0"/>
        <w:topLinePunct/>
        <w:spacing w:line="360" w:lineRule="auto"/>
        <w:ind w:firstLine="482" w:firstLineChars="200"/>
        <w:jc w:val="center"/>
        <w:outlineLvl w:val="9"/>
        <w:rPr>
          <w:rFonts w:hint="eastAsia" w:ascii="宋体" w:hAnsi="宋体" w:cs="宋体"/>
          <w:b/>
          <w:bCs/>
          <w:sz w:val="24"/>
          <w:szCs w:val="24"/>
        </w:rPr>
      </w:pPr>
    </w:p>
    <w:p w14:paraId="6C11883A">
      <w:pPr>
        <w:numPr>
          <w:ilvl w:val="1"/>
          <w:numId w:val="0"/>
        </w:numPr>
        <w:wordWrap w:val="0"/>
        <w:topLinePunct/>
        <w:spacing w:line="360" w:lineRule="auto"/>
        <w:ind w:firstLine="482" w:firstLineChars="200"/>
        <w:jc w:val="center"/>
        <w:outlineLvl w:val="9"/>
        <w:rPr>
          <w:rFonts w:hint="eastAsia" w:ascii="宋体" w:hAnsi="宋体" w:cs="宋体"/>
          <w:b/>
          <w:bCs/>
          <w:sz w:val="24"/>
          <w:szCs w:val="24"/>
        </w:rPr>
      </w:pPr>
    </w:p>
    <w:p w14:paraId="443BF5BA">
      <w:pPr>
        <w:numPr>
          <w:ilvl w:val="1"/>
          <w:numId w:val="0"/>
        </w:numPr>
        <w:wordWrap w:val="0"/>
        <w:topLinePunct/>
        <w:spacing w:line="360" w:lineRule="auto"/>
        <w:ind w:firstLine="482" w:firstLineChars="200"/>
        <w:jc w:val="center"/>
        <w:outlineLvl w:val="9"/>
        <w:rPr>
          <w:rFonts w:hint="eastAsia" w:ascii="宋体" w:hAnsi="宋体" w:cs="宋体"/>
          <w:b/>
          <w:bCs/>
          <w:sz w:val="24"/>
          <w:szCs w:val="24"/>
        </w:rPr>
      </w:pPr>
    </w:p>
    <w:p w14:paraId="0144FF71">
      <w:pPr>
        <w:numPr>
          <w:ilvl w:val="1"/>
          <w:numId w:val="0"/>
        </w:numPr>
        <w:wordWrap w:val="0"/>
        <w:topLinePunct/>
        <w:spacing w:line="360" w:lineRule="auto"/>
        <w:ind w:firstLine="482" w:firstLineChars="200"/>
        <w:jc w:val="center"/>
        <w:outlineLvl w:val="9"/>
        <w:rPr>
          <w:rFonts w:ascii="宋体" w:hAnsi="宋体" w:cs="宋体"/>
          <w:b/>
          <w:bCs/>
          <w:spacing w:val="6"/>
          <w:sz w:val="24"/>
          <w:szCs w:val="24"/>
        </w:rPr>
      </w:pPr>
      <w:r>
        <w:rPr>
          <w:rFonts w:hint="eastAsia" w:ascii="宋体" w:hAnsi="宋体" w:cs="宋体"/>
          <w:b/>
          <w:bCs/>
          <w:sz w:val="24"/>
          <w:szCs w:val="24"/>
        </w:rPr>
        <w:t>残疾人福利性单位声明函</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14:paraId="3B85B1B0">
      <w:pPr>
        <w:spacing w:line="360" w:lineRule="auto"/>
        <w:ind w:firstLine="504" w:firstLineChars="200"/>
        <w:rPr>
          <w:rFonts w:ascii="宋体" w:hAnsi="宋体" w:cs="宋体"/>
          <w:spacing w:val="6"/>
          <w:sz w:val="24"/>
          <w:szCs w:val="24"/>
        </w:rPr>
      </w:pPr>
      <w:r>
        <w:rPr>
          <w:rFonts w:hint="eastAsia" w:ascii="宋体" w:hAnsi="宋体" w:cs="宋体"/>
          <w:spacing w:val="6"/>
          <w:sz w:val="24"/>
          <w:szCs w:val="24"/>
        </w:rPr>
        <w:t>本单位郑重声明，根据《财政部 民政部 中国残疾人联合会关于促进残疾人就业政府采购政策的通知》（财库</w:t>
      </w:r>
      <w:r>
        <w:rPr>
          <w:rFonts w:hint="eastAsia" w:ascii="宋体" w:hAnsi="宋体" w:cs="宋体"/>
          <w:sz w:val="24"/>
          <w:szCs w:val="24"/>
        </w:rPr>
        <w:t>〔2017〕141</w:t>
      </w:r>
      <w:r>
        <w:rPr>
          <w:rFonts w:hint="eastAsia" w:ascii="宋体" w:hAnsi="宋体" w:cs="宋体"/>
          <w:spacing w:val="6"/>
          <w:sz w:val="24"/>
          <w:szCs w:val="24"/>
        </w:rPr>
        <w:t>号）的规定，本单位为符合条件的残疾人福利性单位，且本单位参加</w:t>
      </w:r>
      <w:r>
        <w:rPr>
          <w:rFonts w:hint="eastAsia" w:ascii="宋体" w:hAnsi="宋体" w:cs="宋体"/>
          <w:spacing w:val="6"/>
          <w:sz w:val="24"/>
          <w:szCs w:val="24"/>
          <w:u w:val="single"/>
        </w:rPr>
        <w:t xml:space="preserve">       </w:t>
      </w:r>
      <w:r>
        <w:rPr>
          <w:rFonts w:hint="eastAsia" w:ascii="宋体" w:hAnsi="宋体" w:cs="宋体"/>
          <w:spacing w:val="6"/>
          <w:sz w:val="24"/>
          <w:szCs w:val="24"/>
        </w:rPr>
        <w:t>单位的</w:t>
      </w:r>
      <w:r>
        <w:rPr>
          <w:rFonts w:hint="eastAsia" w:ascii="宋体" w:hAnsi="宋体" w:cs="宋体"/>
          <w:spacing w:val="6"/>
          <w:sz w:val="24"/>
          <w:szCs w:val="24"/>
          <w:u w:val="single"/>
        </w:rPr>
        <w:t xml:space="preserve">      </w:t>
      </w:r>
      <w:r>
        <w:rPr>
          <w:rFonts w:hint="eastAsia" w:ascii="宋体" w:hAnsi="宋体" w:cs="宋体"/>
          <w:spacing w:val="6"/>
          <w:sz w:val="24"/>
          <w:szCs w:val="24"/>
        </w:rPr>
        <w:t>项目采购活动提供本单位制造的货物（由本单位承担工程/提供服务），或者提供其他残疾人福利性单位制造的货物（不包括使用非残疾人福利性单位注册商标的货物）。</w:t>
      </w:r>
    </w:p>
    <w:p w14:paraId="71EE23F8">
      <w:pPr>
        <w:spacing w:line="360" w:lineRule="auto"/>
        <w:ind w:firstLine="504" w:firstLineChars="200"/>
        <w:rPr>
          <w:rFonts w:ascii="宋体" w:hAnsi="宋体" w:cs="宋体"/>
          <w:spacing w:val="6"/>
          <w:sz w:val="24"/>
          <w:szCs w:val="24"/>
        </w:rPr>
      </w:pPr>
      <w:r>
        <w:rPr>
          <w:rFonts w:hint="eastAsia" w:ascii="宋体" w:hAnsi="宋体" w:cs="宋体"/>
          <w:spacing w:val="6"/>
          <w:sz w:val="24"/>
          <w:szCs w:val="24"/>
        </w:rPr>
        <w:t>本单位对上述声明的真实性负责。如有虚假，将依法承担相应责任。</w:t>
      </w:r>
    </w:p>
    <w:p w14:paraId="30EEA6D0">
      <w:pPr>
        <w:spacing w:line="360" w:lineRule="auto"/>
        <w:ind w:firstLine="504" w:firstLineChars="200"/>
        <w:rPr>
          <w:rFonts w:ascii="宋体" w:hAnsi="宋体" w:cs="宋体"/>
          <w:spacing w:val="6"/>
          <w:sz w:val="24"/>
          <w:szCs w:val="24"/>
        </w:rPr>
      </w:pPr>
    </w:p>
    <w:p w14:paraId="59B1C83D">
      <w:pPr>
        <w:tabs>
          <w:tab w:val="left" w:pos="4860"/>
        </w:tabs>
        <w:spacing w:line="360" w:lineRule="auto"/>
        <w:ind w:firstLine="504" w:firstLineChars="200"/>
        <w:jc w:val="center"/>
        <w:rPr>
          <w:rFonts w:ascii="宋体" w:hAnsi="宋体" w:cs="宋体"/>
          <w:spacing w:val="6"/>
          <w:sz w:val="24"/>
          <w:szCs w:val="24"/>
          <w:u w:val="single"/>
        </w:rPr>
      </w:pPr>
      <w:r>
        <w:rPr>
          <w:rFonts w:hint="eastAsia" w:ascii="宋体" w:hAnsi="宋体" w:cs="宋体"/>
          <w:spacing w:val="6"/>
          <w:sz w:val="24"/>
          <w:szCs w:val="24"/>
        </w:rPr>
        <w:t xml:space="preserve">               单位名称（盖章）：</w:t>
      </w:r>
      <w:r>
        <w:rPr>
          <w:rFonts w:hint="eastAsia" w:ascii="宋体" w:hAnsi="宋体" w:cs="宋体"/>
          <w:spacing w:val="6"/>
          <w:sz w:val="24"/>
          <w:szCs w:val="24"/>
          <w:u w:val="single"/>
        </w:rPr>
        <w:t xml:space="preserve">                </w:t>
      </w:r>
    </w:p>
    <w:p w14:paraId="701A20E8">
      <w:pPr>
        <w:tabs>
          <w:tab w:val="left" w:pos="4860"/>
        </w:tabs>
        <w:spacing w:line="360" w:lineRule="auto"/>
        <w:ind w:firstLine="504" w:firstLineChars="200"/>
        <w:jc w:val="center"/>
        <w:rPr>
          <w:rFonts w:ascii="宋体" w:hAnsi="宋体" w:cs="宋体"/>
          <w:spacing w:val="6"/>
          <w:sz w:val="24"/>
          <w:szCs w:val="24"/>
        </w:rPr>
      </w:pPr>
      <w:r>
        <w:rPr>
          <w:rFonts w:hint="eastAsia" w:ascii="宋体" w:hAnsi="宋体" w:cs="宋体"/>
          <w:spacing w:val="6"/>
          <w:sz w:val="24"/>
          <w:szCs w:val="24"/>
        </w:rPr>
        <w:t xml:space="preserve">       日  期：</w:t>
      </w:r>
    </w:p>
    <w:p w14:paraId="1759A1B4">
      <w:pPr>
        <w:widowControl/>
        <w:spacing w:line="360" w:lineRule="auto"/>
        <w:ind w:firstLine="482" w:firstLineChars="200"/>
        <w:rPr>
          <w:rFonts w:ascii="宋体" w:hAnsi="宋体" w:cs="宋体"/>
          <w:b/>
          <w:sz w:val="24"/>
          <w:szCs w:val="24"/>
        </w:rPr>
      </w:pPr>
      <w:r>
        <w:rPr>
          <w:rFonts w:hint="eastAsia" w:ascii="宋体" w:hAnsi="宋体" w:cs="宋体"/>
          <w:b/>
          <w:sz w:val="24"/>
          <w:szCs w:val="24"/>
        </w:rPr>
        <w:t>（提醒：如果供应商</w:t>
      </w:r>
      <w:r>
        <w:rPr>
          <w:rFonts w:hint="eastAsia" w:ascii="宋体" w:hAnsi="宋体" w:cs="宋体"/>
          <w:b/>
          <w:spacing w:val="10"/>
          <w:kern w:val="0"/>
          <w:sz w:val="24"/>
          <w:szCs w:val="24"/>
        </w:rPr>
        <w:t>不是残疾人福利性单位</w:t>
      </w:r>
      <w:r>
        <w:rPr>
          <w:rFonts w:hint="eastAsia" w:ascii="宋体" w:hAnsi="宋体" w:cs="宋体"/>
          <w:b/>
          <w:sz w:val="24"/>
          <w:szCs w:val="24"/>
        </w:rPr>
        <w:t>，则不需要提供《残疾人福利性单位声明函》。否则，因此导致虚假投标的后果由供应商自行承担。）</w:t>
      </w:r>
    </w:p>
    <w:p w14:paraId="27CC3EAD">
      <w:pPr>
        <w:spacing w:line="360" w:lineRule="auto"/>
        <w:ind w:firstLine="480" w:firstLineChars="200"/>
        <w:rPr>
          <w:rFonts w:ascii="宋体" w:hAnsi="宋体" w:cs="宋体"/>
          <w:sz w:val="24"/>
          <w:szCs w:val="24"/>
        </w:rPr>
      </w:pPr>
      <w:r>
        <w:rPr>
          <w:rFonts w:hint="eastAsia" w:ascii="宋体" w:hAnsi="宋体" w:cs="宋体"/>
          <w:sz w:val="24"/>
          <w:szCs w:val="24"/>
        </w:rPr>
        <w:t>《财政部民政部中国残疾人联合会关于促进残疾人就业政府采购政策的通知》（财库2017〔141〕号）的规定：</w:t>
      </w:r>
    </w:p>
    <w:p w14:paraId="1F8AFA33">
      <w:pPr>
        <w:spacing w:line="360" w:lineRule="auto"/>
        <w:ind w:firstLine="480" w:firstLineChars="200"/>
        <w:rPr>
          <w:rFonts w:ascii="宋体" w:hAnsi="宋体" w:cs="宋体"/>
          <w:sz w:val="24"/>
          <w:szCs w:val="24"/>
        </w:rPr>
      </w:pPr>
      <w:r>
        <w:rPr>
          <w:rFonts w:hint="eastAsia" w:ascii="宋体" w:hAnsi="宋体" w:cs="宋体"/>
          <w:sz w:val="24"/>
          <w:szCs w:val="24"/>
        </w:rPr>
        <w:t>1. 享受政府采购支持政策的残疾人福利性单位应当同时满足以下条件：</w:t>
      </w:r>
    </w:p>
    <w:p w14:paraId="7C9015EE">
      <w:pPr>
        <w:spacing w:line="360" w:lineRule="auto"/>
        <w:ind w:firstLine="480" w:firstLineChars="200"/>
        <w:rPr>
          <w:rFonts w:ascii="宋体" w:hAnsi="宋体" w:cs="宋体"/>
          <w:sz w:val="24"/>
          <w:szCs w:val="24"/>
        </w:rPr>
      </w:pPr>
      <w:r>
        <w:rPr>
          <w:rFonts w:hint="eastAsia" w:ascii="宋体" w:hAnsi="宋体" w:cs="宋体"/>
          <w:sz w:val="24"/>
          <w:szCs w:val="24"/>
        </w:rPr>
        <w:t>（1）安置的残疾人占本单位在职职工人数的比例不低于25%（含25%），并且安置的残疾人人数不少于10人（含10人）；</w:t>
      </w:r>
    </w:p>
    <w:p w14:paraId="70575CB0">
      <w:pPr>
        <w:spacing w:line="360" w:lineRule="auto"/>
        <w:ind w:firstLine="480" w:firstLineChars="200"/>
        <w:rPr>
          <w:rFonts w:ascii="宋体" w:hAnsi="宋体" w:cs="宋体"/>
          <w:sz w:val="24"/>
          <w:szCs w:val="24"/>
        </w:rPr>
      </w:pPr>
      <w:r>
        <w:rPr>
          <w:rFonts w:hint="eastAsia" w:ascii="宋体" w:hAnsi="宋体" w:cs="宋体"/>
          <w:sz w:val="24"/>
          <w:szCs w:val="24"/>
        </w:rPr>
        <w:t>（2）依法与安置的每位残疾人签订了一年以上（含一年）的劳动合同或服务协议；</w:t>
      </w:r>
    </w:p>
    <w:p w14:paraId="5E8615B5">
      <w:pPr>
        <w:spacing w:line="360" w:lineRule="auto"/>
        <w:ind w:firstLine="480" w:firstLineChars="200"/>
        <w:rPr>
          <w:rFonts w:ascii="宋体" w:hAnsi="宋体" w:cs="宋体"/>
          <w:sz w:val="24"/>
          <w:szCs w:val="24"/>
        </w:rPr>
      </w:pPr>
      <w:r>
        <w:rPr>
          <w:rFonts w:hint="eastAsia" w:ascii="宋体" w:hAnsi="宋体" w:cs="宋体"/>
          <w:sz w:val="24"/>
          <w:szCs w:val="24"/>
        </w:rPr>
        <w:t>（3）为安置的每位残疾人按月足额缴纳了基本养老保险、基本医疗保险、失业保险、工伤保险和生育保险等社会保险费；</w:t>
      </w:r>
    </w:p>
    <w:p w14:paraId="64D07E8F">
      <w:pPr>
        <w:spacing w:line="360" w:lineRule="auto"/>
        <w:ind w:firstLine="480" w:firstLineChars="200"/>
        <w:rPr>
          <w:rFonts w:ascii="宋体" w:hAnsi="宋体" w:cs="宋体"/>
          <w:sz w:val="24"/>
          <w:szCs w:val="24"/>
        </w:rPr>
      </w:pPr>
      <w:r>
        <w:rPr>
          <w:rFonts w:hint="eastAsia" w:ascii="宋体" w:hAnsi="宋体" w:cs="宋体"/>
          <w:sz w:val="24"/>
          <w:szCs w:val="24"/>
        </w:rPr>
        <w:t>（4）通过银行等金融机构向安置的每位残疾人，按月支付了不低于单位所在区县适用的经省级人民政府批准的月最低工资标准的工资；</w:t>
      </w:r>
    </w:p>
    <w:p w14:paraId="716F2AD8">
      <w:pPr>
        <w:spacing w:line="360" w:lineRule="auto"/>
        <w:ind w:firstLine="480" w:firstLineChars="200"/>
        <w:rPr>
          <w:rFonts w:ascii="宋体" w:hAnsi="宋体" w:cs="宋体"/>
          <w:sz w:val="24"/>
          <w:szCs w:val="24"/>
        </w:rPr>
      </w:pPr>
      <w:r>
        <w:rPr>
          <w:rFonts w:hint="eastAsia" w:ascii="宋体" w:hAnsi="宋体" w:cs="宋体"/>
          <w:sz w:val="24"/>
          <w:szCs w:val="24"/>
        </w:rPr>
        <w:t>（5）提供本单位制造的货物、承担的工程或者服务（以下简称产品），或者提供其他残疾人福利性单位制造的货物（不包括使用非残疾人福利性单位注册商标的货物）。</w:t>
      </w:r>
    </w:p>
    <w:p w14:paraId="4CECF76F">
      <w:pPr>
        <w:spacing w:line="360" w:lineRule="auto"/>
        <w:ind w:firstLine="480" w:firstLineChars="200"/>
        <w:rPr>
          <w:rFonts w:ascii="Calibri" w:hAnsi="Calibri"/>
          <w:szCs w:val="24"/>
        </w:rPr>
      </w:pPr>
      <w:r>
        <w:rPr>
          <w:rFonts w:hint="eastAsia" w:ascii="宋体" w:hAnsi="宋体" w:cs="宋体"/>
          <w:sz w:val="24"/>
          <w:szCs w:val="24"/>
        </w:rPr>
        <w:t xml:space="preserve">2. 成交人为残疾人福利性单位的，采购人或者其委托的采购代理机构应当随成交、成交结果同时公告其《残疾人福利性单位声明函》，接受社会监督。   </w:t>
      </w:r>
    </w:p>
    <w:p w14:paraId="3F44EE8D">
      <w:pPr>
        <w:numPr>
          <w:ilvl w:val="1"/>
          <w:numId w:val="0"/>
        </w:numPr>
        <w:wordWrap w:val="0"/>
        <w:topLinePunct/>
        <w:spacing w:line="360" w:lineRule="auto"/>
        <w:ind w:firstLine="643" w:firstLineChars="200"/>
        <w:jc w:val="center"/>
        <w:outlineLvl w:val="9"/>
        <w:rPr>
          <w:rFonts w:ascii="宋体" w:hAnsi="宋体" w:cs="宋体"/>
          <w:b/>
          <w:bCs/>
          <w:sz w:val="32"/>
          <w:szCs w:val="24"/>
        </w:rPr>
      </w:pPr>
      <w:bookmarkStart w:id="420" w:name="_Toc12130"/>
      <w:bookmarkStart w:id="421" w:name="_Toc28942"/>
      <w:bookmarkStart w:id="422" w:name="_Toc2763"/>
      <w:bookmarkStart w:id="423" w:name="_Toc27334"/>
      <w:r>
        <w:rPr>
          <w:rFonts w:hint="eastAsia" w:ascii="宋体" w:hAnsi="宋体" w:cs="宋体"/>
          <w:b/>
          <w:bCs/>
          <w:sz w:val="32"/>
          <w:szCs w:val="24"/>
        </w:rPr>
        <w:t>监狱企业证明文件</w:t>
      </w:r>
      <w:bookmarkEnd w:id="420"/>
      <w:bookmarkEnd w:id="421"/>
      <w:bookmarkEnd w:id="422"/>
      <w:bookmarkEnd w:id="423"/>
    </w:p>
    <w:p w14:paraId="2B40DCCE">
      <w:r>
        <w:rPr>
          <w:rFonts w:hint="eastAsia" w:ascii="宋体" w:hAnsi="宋体" w:cs="宋体"/>
          <w:szCs w:val="22"/>
        </w:rPr>
        <w:t>（监狱企业参加政府采购活动时，应当提供由省级以上监狱管理局、戒毒管理局(含新疆生产建设兵团)出具的属于监狱企业的证明文件。</w:t>
      </w:r>
    </w:p>
    <w:p w14:paraId="050DC6AA"/>
    <w:sectPr>
      <w:headerReference r:id="rId6" w:type="default"/>
      <w:footerReference r:id="rId7"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2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_5b8b_4f53">
    <w:altName w:val="Times New Roman"/>
    <w:panose1 w:val="00000000000000000000"/>
    <w:charset w:val="00"/>
    <w:family w:val="auto"/>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angal">
    <w:altName w:val="DejaVu Math TeX Gyre"/>
    <w:panose1 w:val="02040503050203030202"/>
    <w:charset w:val="00"/>
    <w:family w:val="roman"/>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3FD76">
    <w:pPr>
      <w:jc w:val="center"/>
    </w:pPr>
  </w:p>
  <w:p w14:paraId="123145D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C2232">
    <w:pP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5255" cy="162560"/>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35255" cy="162560"/>
                      </a:xfrm>
                      <a:prstGeom prst="rect">
                        <a:avLst/>
                      </a:prstGeom>
                      <a:noFill/>
                      <a:ln>
                        <a:noFill/>
                      </a:ln>
                    </wps:spPr>
                    <wps:txbx>
                      <w:txbxContent>
                        <w:p w14:paraId="2F2DB3D8">
                          <w:pPr>
                            <w:jc w:val="center"/>
                          </w:pPr>
                          <w:r>
                            <w:fldChar w:fldCharType="begin"/>
                          </w:r>
                          <w:r>
                            <w:instrText xml:space="preserve">PAGE   \* MERGEFORMAT</w:instrText>
                          </w:r>
                          <w:r>
                            <w:fldChar w:fldCharType="separate"/>
                          </w:r>
                          <w:r>
                            <w:rPr>
                              <w:lang w:val="zh-CN"/>
                            </w:rPr>
                            <w:t>37</w:t>
                          </w:r>
                          <w:r>
                            <w:rPr>
                              <w:lang w:val="zh-CN"/>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8pt;width:10.65pt;mso-position-horizontal:center;mso-position-horizontal-relative:margin;mso-wrap-style:none;z-index:251659264;mso-width-relative:page;mso-height-relative:page;" filled="f" stroked="f" coordsize="21600,21600" o:gfxdata="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f/RzB0QAAAAMBAAAPAAAAAAAAAAEAIAAAACIAAABkcnMv&#10;ZG93bnJldi54bWxQSwECFAAUAAAACACHTuJAaJgonQoCAAACBAAADgAAAAAAAAABACAAAAAgAQAA&#10;ZHJzL2Uyb0RvYy54bWxQSwUGAAAAAAYABgBZAQAAnAUAAAAA&#10;">
              <v:fill on="f" focussize="0,0"/>
              <v:stroke on="f"/>
              <v:imagedata o:title=""/>
              <o:lock v:ext="edit" aspectratio="f"/>
              <v:textbox inset="0mm,0mm,0mm,0mm" style="mso-fit-shape-to-text:t;">
                <w:txbxContent>
                  <w:p w14:paraId="2F2DB3D8">
                    <w:pPr>
                      <w:jc w:val="center"/>
                    </w:pPr>
                    <w:r>
                      <w:fldChar w:fldCharType="begin"/>
                    </w:r>
                    <w:r>
                      <w:instrText xml:space="preserve">PAGE   \* MERGEFORMAT</w:instrText>
                    </w:r>
                    <w:r>
                      <w:fldChar w:fldCharType="separate"/>
                    </w:r>
                    <w:r>
                      <w:rPr>
                        <w:lang w:val="zh-CN"/>
                      </w:rPr>
                      <w:t>37</w:t>
                    </w:r>
                    <w:r>
                      <w:rPr>
                        <w:lang w:val="zh-CN"/>
                      </w:rPr>
                      <w:fldChar w:fldCharType="end"/>
                    </w:r>
                  </w:p>
                </w:txbxContent>
              </v:textbox>
            </v:shape>
          </w:pict>
        </mc:Fallback>
      </mc:AlternateContent>
    </w:r>
    <w:r>
      <w:rPr>
        <w:rFonts w:hint="eastAsia"/>
      </w:rPr>
      <w:t xml:space="preserve"> </w:t>
    </w:r>
  </w:p>
  <w:p w14:paraId="550357C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E28D6">
    <w:pPr>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35255" cy="16256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35255" cy="162560"/>
                      </a:xfrm>
                      <a:prstGeom prst="rect">
                        <a:avLst/>
                      </a:prstGeom>
                      <a:noFill/>
                      <a:ln>
                        <a:noFill/>
                      </a:ln>
                    </wps:spPr>
                    <wps:txbx>
                      <w:txbxContent>
                        <w:p w14:paraId="352F1F0A">
                          <w:pPr>
                            <w:jc w:val="center"/>
                          </w:pPr>
                          <w:r>
                            <w:fldChar w:fldCharType="begin"/>
                          </w:r>
                          <w:r>
                            <w:instrText xml:space="preserve">PAGE   \* MERGEFORMAT</w:instrText>
                          </w:r>
                          <w:r>
                            <w:fldChar w:fldCharType="separate"/>
                          </w:r>
                          <w:r>
                            <w:rPr>
                              <w:lang w:val="zh-CN"/>
                            </w:rPr>
                            <w:t>48</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8pt;width:10.65pt;mso-position-horizontal:center;mso-position-horizontal-relative:margin;mso-wrap-style:none;z-index:251660288;mso-width-relative:page;mso-height-relative:page;" filled="f" stroked="f" coordsize="21600,21600" o:gfxdata="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9HMHRAAAAAwEAAA8AAAAAAAAAAQAgAAAAIgAAAGRycy9k&#10;b3ducmV2LnhtbFBLAQIUABQAAAAIAIdO4kA5IfDJCQIAAAIEAAAOAAAAAAAAAAEAIAAAACABAABk&#10;cnMvZTJvRG9jLnhtbFBLBQYAAAAABgAGAFkBAACbBQAAAAA=&#10;">
              <v:fill on="f" focussize="0,0"/>
              <v:stroke on="f"/>
              <v:imagedata o:title=""/>
              <o:lock v:ext="edit" aspectratio="f"/>
              <v:textbox inset="0mm,0mm,0mm,0mm" style="mso-fit-shape-to-text:t;">
                <w:txbxContent>
                  <w:p w14:paraId="352F1F0A">
                    <w:pPr>
                      <w:jc w:val="center"/>
                    </w:pPr>
                    <w:r>
                      <w:fldChar w:fldCharType="begin"/>
                    </w:r>
                    <w:r>
                      <w:instrText xml:space="preserve">PAGE   \* MERGEFORMAT</w:instrText>
                    </w:r>
                    <w:r>
                      <w:fldChar w:fldCharType="separate"/>
                    </w:r>
                    <w:r>
                      <w:rPr>
                        <w:lang w:val="zh-CN"/>
                      </w:rPr>
                      <w:t>48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532BE">
    <w:pPr>
      <w:ind w:firstLine="480"/>
      <w:rPr>
        <w:color w:val="80808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44117"/>
  <w:p w14:paraId="054FBB7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60F0B1"/>
    <w:multiLevelType w:val="singleLevel"/>
    <w:tmpl w:val="AE60F0B1"/>
    <w:lvl w:ilvl="0" w:tentative="0">
      <w:start w:val="4"/>
      <w:numFmt w:val="decimal"/>
      <w:suff w:val="nothing"/>
      <w:lvlText w:val="%1、"/>
      <w:lvlJc w:val="left"/>
    </w:lvl>
  </w:abstractNum>
  <w:abstractNum w:abstractNumId="1">
    <w:nsid w:val="4169253D"/>
    <w:multiLevelType w:val="multilevel"/>
    <w:tmpl w:val="4169253D"/>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BA6F06"/>
    <w:rsid w:val="1A8B6099"/>
    <w:rsid w:val="1F7774AB"/>
    <w:rsid w:val="38227225"/>
    <w:rsid w:val="61BA6F06"/>
    <w:rsid w:val="64F2381E"/>
    <w:rsid w:val="65A243C2"/>
    <w:rsid w:val="75E959CD"/>
    <w:rsid w:val="7A1D4E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keepLines/>
      <w:spacing w:before="120" w:after="120"/>
      <w:ind w:firstLine="480"/>
      <w:outlineLvl w:val="2"/>
    </w:pPr>
    <w:rPr>
      <w:b/>
      <w:bCs/>
      <w:sz w:val="24"/>
      <w:szCs w:val="24"/>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99"/>
    <w:pPr>
      <w:snapToGrid w:val="0"/>
      <w:spacing w:line="360" w:lineRule="auto"/>
    </w:pPr>
    <w:rPr>
      <w:kern w:val="0"/>
      <w:sz w:val="24"/>
      <w:szCs w:val="24"/>
    </w:rPr>
  </w:style>
  <w:style w:type="paragraph" w:styleId="4">
    <w:name w:val="Balloon Text"/>
    <w:basedOn w:val="1"/>
    <w:semiHidden/>
    <w:unhideWhenUsed/>
    <w:qFormat/>
    <w:uiPriority w:val="99"/>
    <w:rPr>
      <w:sz w:val="18"/>
      <w:szCs w:val="18"/>
    </w:rPr>
  </w:style>
  <w:style w:type="paragraph" w:styleId="5">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semiHidden/>
    <w:unhideWhenUsed/>
    <w:qFormat/>
    <w:uiPriority w:val="99"/>
    <w:rPr>
      <w:color w:val="0000FF"/>
      <w:u w:val="none"/>
    </w:rPr>
  </w:style>
  <w:style w:type="paragraph" w:customStyle="1" w:styleId="10">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黑体"/>
      <w:shd w:val="pct20" w:color="auto" w:fill="auto"/>
    </w:rPr>
  </w:style>
  <w:style w:type="paragraph" w:customStyle="1" w:styleId="11">
    <w:name w:val="样式 标题 3 + (中文) 黑体 小四 非加粗 段前: 7.8 磅 段后: 0 磅 行距: 固定值 20 磅"/>
    <w:basedOn w:val="2"/>
    <w:qFormat/>
    <w:uiPriority w:val="0"/>
    <w:pPr>
      <w:spacing w:before="0" w:after="0" w:line="400" w:lineRule="exact"/>
      <w:ind w:firstLine="0"/>
    </w:pPr>
    <w:rPr>
      <w:rFonts w:eastAsia="黑体" w:cs="宋体"/>
      <w:b w:val="0"/>
      <w:bCs w:val="0"/>
    </w:rPr>
  </w:style>
  <w:style w:type="paragraph" w:customStyle="1" w:styleId="12">
    <w:name w:val="正文_1"/>
    <w:basedOn w:val="1"/>
    <w:qFormat/>
    <w:uiPriority w:val="0"/>
    <w:rPr>
      <w:rFonts w:ascii="Calibri" w:hAnsi="Calibri" w:cs="Calibri"/>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15785</Words>
  <Characters>17743</Characters>
  <Lines>0</Lines>
  <Paragraphs>0</Paragraphs>
  <TotalTime>232</TotalTime>
  <ScaleCrop>false</ScaleCrop>
  <LinksUpToDate>false</LinksUpToDate>
  <CharactersWithSpaces>17941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2025-09-16T07:05:00Z</dcterms:created>
  <dc:creator>龙年吉祥</dc:creator>
  <cp:lastModifiedBy>pc</cp:lastModifiedBy>
  <dcterms:modified xsi:type="dcterms:W3CDTF">2025-09-22T07:20:15Z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6145B5C6E84B46E4BB527BA1DF63CD6E_11</vt:lpwstr>
  </property>
  <property fmtid="{D5CDD505-2E9C-101B-9397-08002B2CF9AE}" pid="4" name="KSOTemplateDocerSaveRecord">
    <vt:lpwstr>eyJoZGlkIjoiOTA4NjZkNTBiZjA5YzBmMDNiZmJlMjAxNzI1NWY3Y2IiLCJ1c2VySWQiOiIxNjA1ODczMjMyIn0=</vt:lpwstr>
  </property>
</Properties>
</file>