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40" w:lineRule="exact"/>
        <w:jc w:val="center"/>
        <w:rPr>
          <w:rFonts w:hint="eastAsia" w:ascii="仿宋" w:hAnsi="仿宋" w:eastAsia="仿宋" w:cs="仿宋"/>
          <w:color w:val="auto"/>
          <w:sz w:val="36"/>
          <w:szCs w:val="36"/>
        </w:rPr>
      </w:pPr>
      <w:bookmarkStart w:id="72" w:name="_GoBack"/>
      <w:bookmarkEnd w:id="72"/>
    </w:p>
    <w:p>
      <w:pPr>
        <w:autoSpaceDE w:val="0"/>
        <w:autoSpaceDN w:val="0"/>
        <w:adjustRightInd w:val="0"/>
        <w:spacing w:line="360" w:lineRule="auto"/>
        <w:jc w:val="center"/>
        <w:rPr>
          <w:rFonts w:hint="eastAsia" w:ascii="仿宋" w:hAnsi="仿宋" w:eastAsia="仿宋" w:cs="仿宋"/>
          <w:b/>
          <w:color w:val="auto"/>
          <w:sz w:val="44"/>
          <w:szCs w:val="44"/>
          <w:lang w:bidi="ar"/>
        </w:rPr>
      </w:pPr>
      <w:r>
        <w:rPr>
          <w:rFonts w:hint="eastAsia" w:ascii="仿宋" w:hAnsi="仿宋" w:eastAsia="仿宋" w:cs="仿宋"/>
          <w:b/>
          <w:color w:val="auto"/>
          <w:sz w:val="44"/>
          <w:szCs w:val="44"/>
          <w:lang w:bidi="ar"/>
        </w:rPr>
        <w:t>三门峡市县一体化购买新型智慧城市建设</w:t>
      </w:r>
    </w:p>
    <w:p>
      <w:pPr>
        <w:autoSpaceDE w:val="0"/>
        <w:autoSpaceDN w:val="0"/>
        <w:adjustRightInd w:val="0"/>
        <w:spacing w:line="360" w:lineRule="auto"/>
        <w:jc w:val="center"/>
        <w:rPr>
          <w:rFonts w:hint="eastAsia" w:ascii="仿宋" w:hAnsi="仿宋" w:eastAsia="仿宋" w:cs="仿宋"/>
          <w:b/>
          <w:color w:val="auto"/>
          <w:sz w:val="44"/>
          <w:szCs w:val="44"/>
          <w:lang w:bidi="ar"/>
        </w:rPr>
      </w:pPr>
      <w:r>
        <w:rPr>
          <w:rFonts w:hint="eastAsia" w:ascii="仿宋" w:hAnsi="仿宋" w:eastAsia="仿宋" w:cs="仿宋"/>
          <w:b/>
          <w:color w:val="auto"/>
          <w:sz w:val="44"/>
          <w:szCs w:val="44"/>
          <w:lang w:bidi="ar"/>
        </w:rPr>
        <w:t>（三期）服务项目</w:t>
      </w:r>
    </w:p>
    <w:p>
      <w:pPr>
        <w:autoSpaceDE w:val="0"/>
        <w:autoSpaceDN w:val="0"/>
        <w:adjustRightInd w:val="0"/>
        <w:spacing w:line="360" w:lineRule="auto"/>
        <w:jc w:val="center"/>
        <w:rPr>
          <w:rFonts w:hint="eastAsia" w:ascii="仿宋" w:hAnsi="仿宋" w:eastAsia="仿宋" w:cs="仿宋"/>
          <w:b/>
          <w:color w:val="auto"/>
          <w:sz w:val="72"/>
          <w:szCs w:val="72"/>
          <w:lang w:bidi="ar"/>
        </w:rPr>
      </w:pPr>
    </w:p>
    <w:p>
      <w:pPr>
        <w:autoSpaceDE w:val="0"/>
        <w:autoSpaceDN w:val="0"/>
        <w:adjustRightInd w:val="0"/>
        <w:spacing w:line="360" w:lineRule="auto"/>
        <w:jc w:val="center"/>
        <w:rPr>
          <w:rFonts w:hint="eastAsia" w:ascii="仿宋" w:hAnsi="仿宋" w:eastAsia="仿宋" w:cs="仿宋"/>
          <w:b/>
          <w:color w:val="auto"/>
          <w:sz w:val="72"/>
          <w:szCs w:val="72"/>
        </w:rPr>
      </w:pPr>
      <w:r>
        <w:rPr>
          <w:rFonts w:hint="eastAsia" w:ascii="仿宋" w:hAnsi="仿宋" w:eastAsia="仿宋" w:cs="仿宋"/>
          <w:b/>
          <w:color w:val="auto"/>
          <w:sz w:val="72"/>
          <w:szCs w:val="72"/>
          <w:lang w:bidi="ar"/>
        </w:rPr>
        <w:t>单一来源采购文件</w:t>
      </w:r>
    </w:p>
    <w:p>
      <w:pPr>
        <w:autoSpaceDE w:val="0"/>
        <w:autoSpaceDN w:val="0"/>
        <w:adjustRightInd w:val="0"/>
        <w:spacing w:line="360" w:lineRule="auto"/>
        <w:jc w:val="center"/>
        <w:rPr>
          <w:rFonts w:hint="eastAsia" w:ascii="仿宋" w:hAnsi="仿宋" w:eastAsia="仿宋" w:cs="仿宋"/>
          <w:b/>
          <w:color w:val="auto"/>
          <w:szCs w:val="21"/>
        </w:rPr>
      </w:pPr>
      <w:r>
        <w:rPr>
          <w:rFonts w:hint="eastAsia" w:ascii="仿宋" w:hAnsi="仿宋" w:eastAsia="仿宋" w:cs="仿宋"/>
          <w:b/>
          <w:color w:val="auto"/>
          <w:szCs w:val="21"/>
          <w:lang w:bidi="ar"/>
        </w:rPr>
        <w:t xml:space="preserve"> </w:t>
      </w:r>
    </w:p>
    <w:p>
      <w:pPr>
        <w:autoSpaceDE w:val="0"/>
        <w:autoSpaceDN w:val="0"/>
        <w:adjustRightInd w:val="0"/>
        <w:spacing w:line="360" w:lineRule="auto"/>
        <w:ind w:firstLine="2108" w:firstLineChars="700"/>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项目编号：三财单一采购-2023-6</w:t>
      </w:r>
    </w:p>
    <w:p>
      <w:pPr>
        <w:autoSpaceDE w:val="0"/>
        <w:autoSpaceDN w:val="0"/>
        <w:adjustRightInd w:val="0"/>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lang w:bidi="ar"/>
        </w:rPr>
        <w:t xml:space="preserve"> </w:t>
      </w:r>
    </w:p>
    <w:p>
      <w:pPr>
        <w:autoSpaceDE w:val="0"/>
        <w:autoSpaceDN w:val="0"/>
        <w:adjustRightInd w:val="0"/>
        <w:spacing w:line="360" w:lineRule="auto"/>
        <w:ind w:firstLine="803" w:firstLineChars="250"/>
        <w:jc w:val="left"/>
        <w:rPr>
          <w:rFonts w:hint="eastAsia" w:ascii="仿宋" w:hAnsi="仿宋" w:eastAsia="仿宋" w:cs="仿宋"/>
          <w:b/>
          <w:color w:val="auto"/>
          <w:sz w:val="32"/>
          <w:szCs w:val="32"/>
        </w:rPr>
      </w:pPr>
      <w:r>
        <w:rPr>
          <w:rFonts w:hint="eastAsia" w:ascii="仿宋" w:hAnsi="仿宋" w:eastAsia="仿宋" w:cs="仿宋"/>
          <w:b/>
          <w:color w:val="auto"/>
          <w:sz w:val="32"/>
          <w:szCs w:val="32"/>
          <w:lang w:bidi="ar"/>
        </w:rPr>
        <w:t xml:space="preserve"> </w:t>
      </w:r>
    </w:p>
    <w:p>
      <w:pPr>
        <w:autoSpaceDE w:val="0"/>
        <w:autoSpaceDN w:val="0"/>
        <w:adjustRightInd w:val="0"/>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lang w:bidi="ar"/>
        </w:rPr>
        <w:t xml:space="preserve"> </w:t>
      </w:r>
    </w:p>
    <w:p>
      <w:pPr>
        <w:autoSpaceDE w:val="0"/>
        <w:autoSpaceDN w:val="0"/>
        <w:adjustRightInd w:val="0"/>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lang w:bidi="ar"/>
        </w:rPr>
        <w:t xml:space="preserve"> </w:t>
      </w:r>
    </w:p>
    <w:p>
      <w:pPr>
        <w:autoSpaceDE w:val="0"/>
        <w:autoSpaceDN w:val="0"/>
        <w:adjustRightInd w:val="0"/>
        <w:spacing w:line="360" w:lineRule="auto"/>
        <w:jc w:val="center"/>
        <w:rPr>
          <w:rFonts w:hint="eastAsia" w:ascii="仿宋" w:hAnsi="仿宋" w:eastAsia="仿宋" w:cs="仿宋"/>
          <w:b/>
          <w:color w:val="auto"/>
          <w:sz w:val="30"/>
          <w:szCs w:val="30"/>
          <w:lang w:bidi="ar"/>
        </w:rPr>
      </w:pPr>
    </w:p>
    <w:p>
      <w:pPr>
        <w:autoSpaceDE w:val="0"/>
        <w:autoSpaceDN w:val="0"/>
        <w:adjustRightInd w:val="0"/>
        <w:spacing w:line="360" w:lineRule="auto"/>
        <w:jc w:val="center"/>
        <w:rPr>
          <w:rFonts w:hint="eastAsia" w:ascii="仿宋" w:hAnsi="仿宋" w:eastAsia="仿宋" w:cs="仿宋"/>
          <w:b/>
          <w:color w:val="auto"/>
          <w:sz w:val="30"/>
          <w:szCs w:val="30"/>
          <w:lang w:bidi="ar"/>
        </w:rPr>
      </w:pPr>
    </w:p>
    <w:p>
      <w:pPr>
        <w:autoSpaceDE w:val="0"/>
        <w:autoSpaceDN w:val="0"/>
        <w:adjustRightInd w:val="0"/>
        <w:spacing w:line="360" w:lineRule="auto"/>
        <w:jc w:val="center"/>
        <w:rPr>
          <w:rFonts w:hint="eastAsia" w:ascii="仿宋" w:hAnsi="仿宋" w:eastAsia="仿宋" w:cs="仿宋"/>
          <w:b/>
          <w:color w:val="auto"/>
          <w:sz w:val="30"/>
          <w:szCs w:val="30"/>
          <w:lang w:bidi="ar"/>
        </w:rPr>
      </w:pPr>
    </w:p>
    <w:p>
      <w:pPr>
        <w:autoSpaceDE w:val="0"/>
        <w:autoSpaceDN w:val="0"/>
        <w:adjustRightInd w:val="0"/>
        <w:spacing w:line="360" w:lineRule="auto"/>
        <w:jc w:val="center"/>
        <w:rPr>
          <w:rFonts w:hint="eastAsia" w:ascii="仿宋" w:hAnsi="仿宋" w:eastAsia="仿宋" w:cs="仿宋"/>
          <w:b/>
          <w:color w:val="auto"/>
          <w:sz w:val="30"/>
          <w:szCs w:val="30"/>
          <w:lang w:bidi="ar"/>
        </w:rPr>
      </w:pPr>
    </w:p>
    <w:p>
      <w:pPr>
        <w:autoSpaceDE w:val="0"/>
        <w:autoSpaceDN w:val="0"/>
        <w:adjustRightInd w:val="0"/>
        <w:spacing w:line="360" w:lineRule="auto"/>
        <w:jc w:val="center"/>
        <w:rPr>
          <w:rFonts w:hint="eastAsia" w:ascii="仿宋" w:hAnsi="仿宋" w:eastAsia="仿宋" w:cs="仿宋"/>
          <w:b/>
          <w:color w:val="auto"/>
          <w:sz w:val="30"/>
          <w:szCs w:val="30"/>
          <w:lang w:bidi="ar"/>
        </w:rPr>
      </w:pPr>
    </w:p>
    <w:p>
      <w:pPr>
        <w:autoSpaceDE w:val="0"/>
        <w:autoSpaceDN w:val="0"/>
        <w:adjustRightInd w:val="0"/>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bidi="ar"/>
        </w:rPr>
        <w:t xml:space="preserve"> </w:t>
      </w:r>
    </w:p>
    <w:p>
      <w:pPr>
        <w:autoSpaceDE w:val="0"/>
        <w:autoSpaceDN w:val="0"/>
        <w:adjustRightInd w:val="0"/>
        <w:spacing w:line="360" w:lineRule="auto"/>
        <w:jc w:val="center"/>
        <w:rPr>
          <w:rFonts w:hint="eastAsia" w:ascii="仿宋" w:hAnsi="仿宋" w:eastAsia="仿宋" w:cs="仿宋"/>
          <w:b/>
          <w:color w:val="auto"/>
          <w:sz w:val="30"/>
          <w:szCs w:val="30"/>
          <w:lang w:bidi="ar"/>
        </w:rPr>
      </w:pPr>
      <w:r>
        <w:rPr>
          <w:rFonts w:hint="eastAsia" w:ascii="仿宋" w:hAnsi="仿宋" w:eastAsia="仿宋" w:cs="仿宋"/>
          <w:b/>
          <w:color w:val="auto"/>
          <w:sz w:val="30"/>
          <w:szCs w:val="30"/>
          <w:lang w:bidi="ar"/>
        </w:rPr>
        <w:t xml:space="preserve"> </w:t>
      </w:r>
    </w:p>
    <w:p>
      <w:pPr>
        <w:autoSpaceDE w:val="0"/>
        <w:autoSpaceDN w:val="0"/>
        <w:adjustRightInd w:val="0"/>
        <w:spacing w:line="360" w:lineRule="auto"/>
        <w:jc w:val="center"/>
        <w:rPr>
          <w:rFonts w:hint="eastAsia" w:ascii="仿宋" w:hAnsi="仿宋" w:eastAsia="仿宋" w:cs="仿宋"/>
          <w:b/>
          <w:color w:val="auto"/>
          <w:sz w:val="30"/>
          <w:szCs w:val="30"/>
        </w:rPr>
      </w:pPr>
    </w:p>
    <w:p>
      <w:pPr>
        <w:autoSpaceDE w:val="0"/>
        <w:autoSpaceDN w:val="0"/>
        <w:adjustRightInd w:val="0"/>
        <w:spacing w:line="360" w:lineRule="auto"/>
        <w:ind w:firstLine="803" w:firstLineChars="250"/>
        <w:rPr>
          <w:rFonts w:hint="eastAsia" w:ascii="仿宋" w:hAnsi="仿宋" w:eastAsia="仿宋" w:cs="仿宋"/>
          <w:b/>
          <w:color w:val="auto"/>
          <w:sz w:val="32"/>
          <w:szCs w:val="32"/>
        </w:rPr>
      </w:pPr>
      <w:r>
        <w:rPr>
          <w:rFonts w:hint="eastAsia" w:ascii="仿宋" w:hAnsi="仿宋" w:eastAsia="仿宋" w:cs="仿宋"/>
          <w:b/>
          <w:color w:val="auto"/>
          <w:sz w:val="32"/>
          <w:szCs w:val="32"/>
          <w:lang w:bidi="ar"/>
        </w:rPr>
        <w:t>采   购   人：三门峡市政务服务和大数据管理局</w:t>
      </w:r>
    </w:p>
    <w:p>
      <w:pPr>
        <w:autoSpaceDE w:val="0"/>
        <w:autoSpaceDN w:val="0"/>
        <w:adjustRightInd w:val="0"/>
        <w:ind w:firstLine="842" w:firstLineChars="262"/>
        <w:jc w:val="left"/>
        <w:rPr>
          <w:rFonts w:hint="eastAsia" w:ascii="仿宋" w:hAnsi="仿宋" w:eastAsia="仿宋" w:cs="仿宋"/>
          <w:b/>
          <w:color w:val="auto"/>
          <w:sz w:val="32"/>
          <w:szCs w:val="32"/>
        </w:rPr>
      </w:pPr>
      <w:r>
        <w:rPr>
          <w:rFonts w:hint="eastAsia" w:ascii="仿宋" w:hAnsi="仿宋" w:eastAsia="仿宋" w:cs="仿宋"/>
          <w:b/>
          <w:color w:val="auto"/>
          <w:sz w:val="32"/>
          <w:szCs w:val="32"/>
          <w:lang w:bidi="ar"/>
        </w:rPr>
        <w:t>采购代理机构：河南尚正管理咨询有限公司</w:t>
      </w:r>
    </w:p>
    <w:p>
      <w:pPr>
        <w:pStyle w:val="8"/>
        <w:widowControl/>
        <w:spacing w:line="360" w:lineRule="auto"/>
        <w:ind w:firstLine="842" w:firstLineChars="262"/>
        <w:jc w:val="both"/>
        <w:rPr>
          <w:rFonts w:hint="eastAsia" w:ascii="仿宋" w:hAnsi="仿宋" w:eastAsia="仿宋" w:cs="仿宋"/>
          <w:b/>
          <w:color w:val="auto"/>
          <w:kern w:val="2"/>
          <w:sz w:val="32"/>
          <w:szCs w:val="32"/>
          <w:lang w:bidi="ar"/>
        </w:rPr>
      </w:pPr>
      <w:r>
        <w:rPr>
          <w:rFonts w:hint="eastAsia" w:ascii="仿宋" w:hAnsi="仿宋" w:eastAsia="仿宋" w:cs="仿宋"/>
          <w:b/>
          <w:color w:val="auto"/>
          <w:kern w:val="2"/>
          <w:sz w:val="32"/>
          <w:szCs w:val="32"/>
          <w:lang w:bidi="ar"/>
        </w:rPr>
        <w:t>日        期：</w:t>
      </w:r>
      <w:r>
        <w:rPr>
          <w:rFonts w:hint="eastAsia" w:ascii="仿宋" w:hAnsi="仿宋" w:eastAsia="仿宋" w:cs="仿宋"/>
          <w:b/>
          <w:bCs/>
          <w:color w:val="auto"/>
          <w:sz w:val="32"/>
          <w:szCs w:val="32"/>
        </w:rPr>
        <w:t>二零二三年十二月</w:t>
      </w:r>
    </w:p>
    <w:p>
      <w:pPr>
        <w:pStyle w:val="13"/>
        <w:jc w:val="center"/>
        <w:rPr>
          <w:rFonts w:hint="eastAsia" w:ascii="仿宋" w:hAnsi="仿宋" w:eastAsia="仿宋" w:cs="仿宋"/>
          <w:color w:val="auto"/>
          <w:sz w:val="40"/>
          <w:szCs w:val="40"/>
        </w:rPr>
      </w:pPr>
      <w:bookmarkStart w:id="0" w:name="_Toc11472"/>
      <w:r>
        <w:rPr>
          <w:rFonts w:hint="eastAsia" w:ascii="仿宋" w:hAnsi="仿宋" w:eastAsia="仿宋" w:cs="仿宋"/>
          <w:color w:val="auto"/>
          <w:sz w:val="40"/>
          <w:szCs w:val="40"/>
          <w:lang w:val="zh-CN"/>
        </w:rPr>
        <w:t>目  录</w:t>
      </w:r>
      <w:bookmarkEnd w:id="0"/>
    </w:p>
    <w:p>
      <w:pPr>
        <w:pStyle w:val="8"/>
        <w:tabs>
          <w:tab w:val="right" w:leader="dot" w:pos="8306"/>
        </w:tabs>
        <w:spacing w:line="360" w:lineRule="auto"/>
        <w:rPr>
          <w:rFonts w:hint="eastAsia" w:ascii="仿宋" w:hAnsi="仿宋" w:eastAsia="仿宋" w:cs="仿宋"/>
          <w:color w:val="auto"/>
        </w:rPr>
      </w:pPr>
      <w:r>
        <w:rPr>
          <w:rFonts w:hint="eastAsia" w:ascii="仿宋" w:hAnsi="仿宋" w:eastAsia="仿宋" w:cs="仿宋"/>
          <w:color w:val="auto"/>
        </w:rPr>
        <w:fldChar w:fldCharType="begin"/>
      </w:r>
      <w:r>
        <w:rPr>
          <w:rFonts w:hint="eastAsia" w:ascii="仿宋" w:hAnsi="仿宋" w:eastAsia="仿宋" w:cs="仿宋"/>
          <w:color w:val="auto"/>
        </w:rPr>
        <w:instrText xml:space="preserve"> TOC \o "1-3" \h \z \u </w:instrText>
      </w:r>
      <w:r>
        <w:rPr>
          <w:rFonts w:hint="eastAsia" w:ascii="仿宋" w:hAnsi="仿宋" w:eastAsia="仿宋" w:cs="仿宋"/>
          <w:color w:val="auto"/>
        </w:rPr>
        <w:fldChar w:fldCharType="separate"/>
      </w:r>
    </w:p>
    <w:p>
      <w:pPr>
        <w:pStyle w:val="8"/>
        <w:tabs>
          <w:tab w:val="right" w:leader="dot" w:pos="8306"/>
        </w:tabs>
        <w:spacing w:line="600" w:lineRule="auto"/>
        <w:rPr>
          <w:rFonts w:hint="eastAsia" w:ascii="仿宋" w:hAnsi="仿宋" w:eastAsia="仿宋" w:cs="仿宋"/>
          <w:color w:val="auto"/>
        </w:rPr>
      </w:pPr>
      <w:r>
        <w:rPr>
          <w:rFonts w:hint="eastAsia" w:ascii="仿宋" w:hAnsi="仿宋" w:eastAsia="仿宋" w:cs="仿宋"/>
          <w:bCs/>
          <w:color w:val="auto"/>
          <w:lang w:val="zh-CN"/>
        </w:rPr>
        <w:fldChar w:fldCharType="begin"/>
      </w:r>
      <w:r>
        <w:rPr>
          <w:rFonts w:hint="eastAsia" w:ascii="仿宋" w:hAnsi="仿宋" w:eastAsia="仿宋" w:cs="仿宋"/>
          <w:bCs/>
          <w:color w:val="auto"/>
          <w:lang w:val="zh-CN"/>
        </w:rPr>
        <w:instrText xml:space="preserve"> HYPERLINK \l _Toc20454 </w:instrText>
      </w:r>
      <w:r>
        <w:rPr>
          <w:rFonts w:hint="eastAsia" w:ascii="仿宋" w:hAnsi="仿宋" w:eastAsia="仿宋" w:cs="仿宋"/>
          <w:bCs/>
          <w:color w:val="auto"/>
          <w:lang w:val="zh-CN"/>
        </w:rPr>
        <w:fldChar w:fldCharType="separate"/>
      </w:r>
      <w:r>
        <w:rPr>
          <w:rFonts w:hint="eastAsia" w:ascii="仿宋" w:hAnsi="仿宋" w:eastAsia="仿宋" w:cs="仿宋"/>
          <w:color w:val="auto"/>
          <w:lang w:bidi="ar"/>
        </w:rPr>
        <w:t>第一章 单一来源采购公示、公告</w:t>
      </w:r>
      <w:r>
        <w:rPr>
          <w:rFonts w:hint="eastAsia" w:ascii="仿宋" w:hAnsi="仿宋" w:eastAsia="仿宋" w:cs="仿宋"/>
          <w:color w:val="auto"/>
        </w:rPr>
        <w:tab/>
      </w:r>
      <w:r>
        <w:rPr>
          <w:rFonts w:hint="eastAsia" w:ascii="仿宋" w:hAnsi="仿宋" w:eastAsia="仿宋" w:cs="仿宋"/>
          <w:color w:val="auto"/>
        </w:rPr>
        <w:fldChar w:fldCharType="begin"/>
      </w:r>
      <w:r>
        <w:rPr>
          <w:rFonts w:hint="eastAsia" w:ascii="仿宋" w:hAnsi="仿宋" w:eastAsia="仿宋" w:cs="仿宋"/>
          <w:color w:val="auto"/>
        </w:rPr>
        <w:instrText xml:space="preserve"> PAGEREF _Toc20454 </w:instrText>
      </w:r>
      <w:r>
        <w:rPr>
          <w:rFonts w:hint="eastAsia" w:ascii="仿宋" w:hAnsi="仿宋" w:eastAsia="仿宋" w:cs="仿宋"/>
          <w:color w:val="auto"/>
        </w:rPr>
        <w:fldChar w:fldCharType="separate"/>
      </w:r>
      <w:r>
        <w:rPr>
          <w:rFonts w:hint="eastAsia" w:ascii="仿宋" w:hAnsi="仿宋" w:eastAsia="仿宋" w:cs="仿宋"/>
          <w:color w:val="auto"/>
        </w:rPr>
        <w:t>3</w:t>
      </w:r>
      <w:r>
        <w:rPr>
          <w:rFonts w:hint="eastAsia" w:ascii="仿宋" w:hAnsi="仿宋" w:eastAsia="仿宋" w:cs="仿宋"/>
          <w:color w:val="auto"/>
        </w:rPr>
        <w:fldChar w:fldCharType="end"/>
      </w:r>
      <w:r>
        <w:rPr>
          <w:rFonts w:hint="eastAsia" w:ascii="仿宋" w:hAnsi="仿宋" w:eastAsia="仿宋" w:cs="仿宋"/>
          <w:bCs/>
          <w:color w:val="auto"/>
          <w:lang w:val="zh-CN"/>
        </w:rPr>
        <w:fldChar w:fldCharType="end"/>
      </w:r>
    </w:p>
    <w:p>
      <w:pPr>
        <w:pStyle w:val="8"/>
        <w:tabs>
          <w:tab w:val="right" w:leader="dot" w:pos="8306"/>
        </w:tabs>
        <w:spacing w:line="600" w:lineRule="auto"/>
        <w:rPr>
          <w:rFonts w:hint="eastAsia" w:ascii="仿宋" w:hAnsi="仿宋" w:eastAsia="仿宋" w:cs="仿宋"/>
          <w:color w:val="auto"/>
        </w:rPr>
      </w:pPr>
      <w:r>
        <w:rPr>
          <w:rFonts w:hint="eastAsia" w:ascii="仿宋" w:hAnsi="仿宋" w:eastAsia="仿宋" w:cs="仿宋"/>
          <w:bCs/>
          <w:color w:val="auto"/>
          <w:lang w:val="zh-CN"/>
        </w:rPr>
        <w:fldChar w:fldCharType="begin"/>
      </w:r>
      <w:r>
        <w:rPr>
          <w:rFonts w:hint="eastAsia" w:ascii="仿宋" w:hAnsi="仿宋" w:eastAsia="仿宋" w:cs="仿宋"/>
          <w:bCs/>
          <w:color w:val="auto"/>
          <w:lang w:val="zh-CN"/>
        </w:rPr>
        <w:instrText xml:space="preserve"> HYPERLINK \l _Toc32451 </w:instrText>
      </w:r>
      <w:r>
        <w:rPr>
          <w:rFonts w:hint="eastAsia" w:ascii="仿宋" w:hAnsi="仿宋" w:eastAsia="仿宋" w:cs="仿宋"/>
          <w:bCs/>
          <w:color w:val="auto"/>
          <w:lang w:val="zh-CN"/>
        </w:rPr>
        <w:fldChar w:fldCharType="separate"/>
      </w:r>
      <w:r>
        <w:rPr>
          <w:rFonts w:hint="eastAsia" w:ascii="仿宋" w:hAnsi="仿宋" w:eastAsia="仿宋" w:cs="仿宋"/>
          <w:color w:val="auto"/>
          <w:lang w:bidi="ar"/>
        </w:rPr>
        <w:t>第二章 供应商须知及前附表</w:t>
      </w:r>
      <w:r>
        <w:rPr>
          <w:rFonts w:hint="eastAsia" w:ascii="仿宋" w:hAnsi="仿宋" w:eastAsia="仿宋" w:cs="仿宋"/>
          <w:color w:val="auto"/>
        </w:rPr>
        <w:tab/>
      </w:r>
      <w:r>
        <w:rPr>
          <w:rFonts w:hint="eastAsia" w:ascii="仿宋" w:hAnsi="仿宋" w:eastAsia="仿宋" w:cs="仿宋"/>
          <w:bCs/>
          <w:color w:val="auto"/>
          <w:lang w:val="zh-CN"/>
        </w:rPr>
        <w:fldChar w:fldCharType="end"/>
      </w:r>
      <w:r>
        <w:rPr>
          <w:rFonts w:hint="eastAsia" w:ascii="仿宋" w:hAnsi="仿宋" w:eastAsia="仿宋" w:cs="仿宋"/>
          <w:color w:val="auto"/>
        </w:rPr>
        <w:t>7</w:t>
      </w:r>
    </w:p>
    <w:p>
      <w:pPr>
        <w:pStyle w:val="8"/>
        <w:tabs>
          <w:tab w:val="right" w:leader="dot" w:pos="8306"/>
        </w:tabs>
        <w:spacing w:line="600" w:lineRule="auto"/>
        <w:rPr>
          <w:rFonts w:ascii="仿宋" w:hAnsi="仿宋" w:eastAsia="仿宋" w:cs="仿宋"/>
          <w:color w:val="auto"/>
        </w:rPr>
      </w:pPr>
      <w:r>
        <w:rPr>
          <w:rFonts w:hint="eastAsia" w:ascii="仿宋" w:hAnsi="仿宋" w:eastAsia="仿宋" w:cs="仿宋"/>
          <w:bCs/>
          <w:color w:val="auto"/>
          <w:lang w:val="zh-CN"/>
        </w:rPr>
        <w:fldChar w:fldCharType="begin"/>
      </w:r>
      <w:r>
        <w:rPr>
          <w:rFonts w:hint="eastAsia" w:ascii="仿宋" w:hAnsi="仿宋" w:eastAsia="仿宋" w:cs="仿宋"/>
          <w:bCs/>
          <w:color w:val="auto"/>
          <w:lang w:val="zh-CN"/>
        </w:rPr>
        <w:instrText xml:space="preserve"> HYPERLINK \l _Toc2627 </w:instrText>
      </w:r>
      <w:r>
        <w:rPr>
          <w:rFonts w:hint="eastAsia" w:ascii="仿宋" w:hAnsi="仿宋" w:eastAsia="仿宋" w:cs="仿宋"/>
          <w:bCs/>
          <w:color w:val="auto"/>
          <w:lang w:val="zh-CN"/>
        </w:rPr>
        <w:fldChar w:fldCharType="separate"/>
      </w:r>
      <w:r>
        <w:rPr>
          <w:rFonts w:hint="eastAsia" w:ascii="仿宋" w:hAnsi="仿宋" w:eastAsia="仿宋" w:cs="仿宋"/>
          <w:bCs/>
          <w:color w:val="auto"/>
          <w:lang w:bidi="ar"/>
        </w:rPr>
        <w:t>第三章 服务内容及要求</w:t>
      </w:r>
      <w:r>
        <w:rPr>
          <w:rFonts w:hint="eastAsia" w:ascii="仿宋" w:hAnsi="仿宋" w:eastAsia="仿宋" w:cs="仿宋"/>
          <w:color w:val="auto"/>
        </w:rPr>
        <w:tab/>
      </w:r>
      <w:r>
        <w:rPr>
          <w:rFonts w:hint="eastAsia" w:ascii="仿宋" w:hAnsi="仿宋" w:eastAsia="仿宋" w:cs="仿宋"/>
          <w:bCs/>
          <w:color w:val="auto"/>
          <w:lang w:val="zh-CN"/>
        </w:rPr>
        <w:fldChar w:fldCharType="end"/>
      </w:r>
      <w:r>
        <w:rPr>
          <w:rFonts w:hint="eastAsia" w:ascii="仿宋" w:hAnsi="仿宋" w:eastAsia="仿宋" w:cs="仿宋"/>
          <w:color w:val="auto"/>
        </w:rPr>
        <w:t>20</w:t>
      </w:r>
    </w:p>
    <w:p>
      <w:pPr>
        <w:pStyle w:val="8"/>
        <w:tabs>
          <w:tab w:val="right" w:leader="dot" w:pos="8306"/>
        </w:tabs>
        <w:spacing w:line="600" w:lineRule="auto"/>
        <w:rPr>
          <w:rFonts w:ascii="仿宋" w:hAnsi="仿宋" w:eastAsia="仿宋" w:cs="仿宋"/>
          <w:color w:val="auto"/>
        </w:rPr>
      </w:pPr>
      <w:r>
        <w:rPr>
          <w:rFonts w:hint="eastAsia" w:ascii="仿宋" w:hAnsi="仿宋" w:eastAsia="仿宋" w:cs="仿宋"/>
          <w:bCs/>
          <w:color w:val="auto"/>
          <w:lang w:val="zh-CN"/>
        </w:rPr>
        <w:fldChar w:fldCharType="begin"/>
      </w:r>
      <w:r>
        <w:rPr>
          <w:rFonts w:hint="eastAsia" w:ascii="仿宋" w:hAnsi="仿宋" w:eastAsia="仿宋" w:cs="仿宋"/>
          <w:bCs/>
          <w:color w:val="auto"/>
          <w:lang w:val="zh-CN"/>
        </w:rPr>
        <w:instrText xml:space="preserve"> HYPERLINK \l _Toc9791 </w:instrText>
      </w:r>
      <w:r>
        <w:rPr>
          <w:rFonts w:hint="eastAsia" w:ascii="仿宋" w:hAnsi="仿宋" w:eastAsia="仿宋" w:cs="仿宋"/>
          <w:bCs/>
          <w:color w:val="auto"/>
          <w:lang w:val="zh-CN"/>
        </w:rPr>
        <w:fldChar w:fldCharType="separate"/>
      </w:r>
      <w:r>
        <w:rPr>
          <w:rFonts w:hint="eastAsia" w:ascii="仿宋" w:hAnsi="仿宋" w:eastAsia="仿宋" w:cs="仿宋"/>
          <w:color w:val="auto"/>
        </w:rPr>
        <w:t>第四章 合同条款及格式</w:t>
      </w:r>
      <w:r>
        <w:rPr>
          <w:rFonts w:hint="eastAsia" w:ascii="仿宋" w:hAnsi="仿宋" w:eastAsia="仿宋" w:cs="仿宋"/>
          <w:color w:val="auto"/>
        </w:rPr>
        <w:tab/>
      </w:r>
      <w:r>
        <w:rPr>
          <w:rFonts w:hint="eastAsia" w:ascii="仿宋" w:hAnsi="仿宋" w:eastAsia="仿宋" w:cs="仿宋"/>
          <w:bCs/>
          <w:color w:val="auto"/>
          <w:lang w:val="zh-CN"/>
        </w:rPr>
        <w:fldChar w:fldCharType="end"/>
      </w:r>
      <w:r>
        <w:rPr>
          <w:rFonts w:hint="eastAsia" w:ascii="仿宋" w:hAnsi="仿宋" w:eastAsia="仿宋" w:cs="仿宋"/>
          <w:color w:val="auto"/>
        </w:rPr>
        <w:t>90</w:t>
      </w:r>
    </w:p>
    <w:p>
      <w:pPr>
        <w:pStyle w:val="8"/>
        <w:tabs>
          <w:tab w:val="right" w:leader="dot" w:pos="8306"/>
        </w:tabs>
        <w:spacing w:line="600" w:lineRule="auto"/>
        <w:rPr>
          <w:rFonts w:hint="eastAsia" w:ascii="仿宋" w:hAnsi="仿宋" w:eastAsia="仿宋" w:cs="仿宋"/>
          <w:color w:val="auto"/>
        </w:rPr>
      </w:pPr>
      <w:r>
        <w:rPr>
          <w:rFonts w:hint="eastAsia" w:ascii="仿宋" w:hAnsi="仿宋" w:eastAsia="仿宋" w:cs="仿宋"/>
          <w:bCs/>
          <w:color w:val="auto"/>
          <w:lang w:val="zh-CN"/>
        </w:rPr>
        <w:fldChar w:fldCharType="begin"/>
      </w:r>
      <w:r>
        <w:rPr>
          <w:rFonts w:hint="eastAsia" w:ascii="仿宋" w:hAnsi="仿宋" w:eastAsia="仿宋" w:cs="仿宋"/>
          <w:bCs/>
          <w:color w:val="auto"/>
          <w:lang w:val="zh-CN"/>
        </w:rPr>
        <w:instrText xml:space="preserve"> HYPERLINK \l _Toc27209 </w:instrText>
      </w:r>
      <w:r>
        <w:rPr>
          <w:rFonts w:hint="eastAsia" w:ascii="仿宋" w:hAnsi="仿宋" w:eastAsia="仿宋" w:cs="仿宋"/>
          <w:bCs/>
          <w:color w:val="auto"/>
          <w:lang w:val="zh-CN"/>
        </w:rPr>
        <w:fldChar w:fldCharType="separate"/>
      </w:r>
      <w:r>
        <w:rPr>
          <w:rFonts w:hint="eastAsia" w:ascii="仿宋" w:hAnsi="仿宋" w:eastAsia="仿宋" w:cs="仿宋"/>
          <w:color w:val="auto"/>
          <w:lang w:bidi="ar"/>
        </w:rPr>
        <w:t>第五章 单一来源响应文件格式</w:t>
      </w:r>
      <w:r>
        <w:rPr>
          <w:rFonts w:hint="eastAsia" w:ascii="仿宋" w:hAnsi="仿宋" w:eastAsia="仿宋" w:cs="仿宋"/>
          <w:color w:val="auto"/>
        </w:rPr>
        <w:tab/>
      </w:r>
      <w:r>
        <w:rPr>
          <w:rFonts w:hint="eastAsia" w:ascii="仿宋" w:hAnsi="仿宋" w:eastAsia="仿宋" w:cs="仿宋"/>
          <w:color w:val="auto"/>
        </w:rPr>
        <w:t>9</w:t>
      </w:r>
      <w:r>
        <w:rPr>
          <w:rFonts w:hint="eastAsia" w:ascii="仿宋" w:hAnsi="仿宋" w:eastAsia="仿宋" w:cs="仿宋"/>
          <w:bCs/>
          <w:color w:val="auto"/>
          <w:lang w:val="zh-CN"/>
        </w:rPr>
        <w:fldChar w:fldCharType="end"/>
      </w:r>
      <w:r>
        <w:rPr>
          <w:rFonts w:hint="eastAsia" w:ascii="仿宋" w:hAnsi="仿宋" w:eastAsia="仿宋" w:cs="仿宋"/>
          <w:color w:val="auto"/>
        </w:rPr>
        <w:t>3</w:t>
      </w:r>
    </w:p>
    <w:p>
      <w:pPr>
        <w:spacing w:line="360" w:lineRule="auto"/>
        <w:rPr>
          <w:rFonts w:hint="eastAsia" w:ascii="仿宋" w:hAnsi="仿宋" w:eastAsia="仿宋" w:cs="仿宋"/>
          <w:color w:val="auto"/>
        </w:rPr>
      </w:pPr>
      <w:r>
        <w:rPr>
          <w:rFonts w:hint="eastAsia" w:ascii="仿宋" w:hAnsi="仿宋" w:eastAsia="仿宋" w:cs="仿宋"/>
          <w:b/>
          <w:bCs/>
          <w:color w:val="auto"/>
          <w:sz w:val="24"/>
          <w:lang w:val="zh-CN"/>
        </w:rPr>
        <w:fldChar w:fldCharType="end"/>
      </w:r>
    </w:p>
    <w:p>
      <w:pPr>
        <w:rPr>
          <w:rFonts w:hint="eastAsia" w:ascii="仿宋" w:hAnsi="仿宋" w:eastAsia="仿宋" w:cs="仿宋"/>
          <w:color w:val="auto"/>
        </w:rPr>
      </w:pPr>
    </w:p>
    <w:p>
      <w:pPr>
        <w:rPr>
          <w:rFonts w:hint="eastAsia" w:ascii="仿宋" w:hAnsi="仿宋" w:eastAsia="仿宋" w:cs="仿宋"/>
          <w:color w:val="auto"/>
        </w:rPr>
      </w:pPr>
    </w:p>
    <w:p>
      <w:pPr>
        <w:jc w:val="center"/>
        <w:rPr>
          <w:rFonts w:hint="eastAsia" w:ascii="仿宋" w:hAnsi="仿宋" w:eastAsia="仿宋" w:cs="仿宋"/>
          <w:b/>
          <w:color w:val="auto"/>
          <w:sz w:val="32"/>
          <w:szCs w:val="32"/>
        </w:rPr>
      </w:pPr>
      <w:r>
        <w:rPr>
          <w:rFonts w:hint="eastAsia" w:ascii="仿宋" w:hAnsi="仿宋" w:eastAsia="仿宋" w:cs="仿宋"/>
          <w:color w:val="auto"/>
        </w:rPr>
        <w:br w:type="page"/>
      </w:r>
      <w:bookmarkStart w:id="1" w:name="_Toc20454"/>
      <w:bookmarkStart w:id="2" w:name="_Toc65168281"/>
      <w:r>
        <w:rPr>
          <w:rFonts w:hint="eastAsia" w:ascii="仿宋" w:hAnsi="仿宋" w:eastAsia="仿宋" w:cs="仿宋"/>
          <w:b/>
          <w:color w:val="auto"/>
          <w:sz w:val="32"/>
          <w:szCs w:val="32"/>
          <w:lang w:bidi="ar"/>
        </w:rPr>
        <w:t>第一章 单一来源采购公示、公告</w:t>
      </w:r>
      <w:bookmarkEnd w:id="1"/>
      <w:bookmarkEnd w:id="2"/>
    </w:p>
    <w:p>
      <w:pPr>
        <w:autoSpaceDE w:val="0"/>
        <w:autoSpaceDN w:val="0"/>
        <w:adjustRightInd w:val="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三门峡市县一体化购买新型智慧城市建设(三期)服务项目</w:t>
      </w:r>
    </w:p>
    <w:p>
      <w:pPr>
        <w:autoSpaceDE w:val="0"/>
        <w:autoSpaceDN w:val="0"/>
        <w:adjustRightInd w:val="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单一来源公示</w:t>
      </w:r>
    </w:p>
    <w:p>
      <w:pPr>
        <w:autoSpaceDE w:val="0"/>
        <w:autoSpaceDN w:val="0"/>
        <w:adjustRightInd w:val="0"/>
        <w:spacing w:line="240" w:lineRule="exact"/>
        <w:jc w:val="center"/>
        <w:rPr>
          <w:rFonts w:hint="eastAsia" w:ascii="仿宋" w:hAnsi="仿宋" w:eastAsia="仿宋" w:cs="仿宋"/>
          <w:color w:val="auto"/>
          <w:kern w:val="0"/>
          <w:sz w:val="32"/>
          <w:szCs w:val="32"/>
        </w:rPr>
      </w:pP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一、项目信息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1.项目名称：三门峡市县一体化购买新型智慧城市建设(三期)服务项目</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2.拟采购的货物或服务的预算金额：101946000元</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3.单一来源原因及相关说明</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根据三门峡新型智慧城市建设技术架构设计，为实现系统互联互通和集约化建设，降低建设成本，项目的技术标准必须统一，技术中台、业务中台、数据中台等通用基础组件和中间件必须一体复用，各业务系统接口必须做到无缝对接，故对该项目采取单一来源方式采购，拟采用供应商为三门峡崤云信息服务股份有限公司。</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二、拟定供应商信息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1.名称：三门峡崤云信息服务股份有限公司</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2.地址：三门峡市经济技术开发区五原西路传媒大厦11楼</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三、专家论证意见（不少于三名行业技术专家）</w:t>
      </w:r>
    </w:p>
    <w:tbl>
      <w:tblPr>
        <w:tblStyle w:val="10"/>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2945"/>
        <w:gridCol w:w="1711"/>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专家姓名</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工作单位</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职务（职称）</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论证意见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赵明刚</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三门峡陕州一高</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计算机中级</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sz w:val="24"/>
                <w:shd w:val="clear" w:color="auto" w:fill="F9F9F9"/>
              </w:rPr>
              <w:t>见专家论证意见附件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王振民</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三门峡市供水集团</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高工</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sz w:val="24"/>
                <w:shd w:val="clear" w:color="auto" w:fill="F9F9F9"/>
              </w:rPr>
              <w:t>见专家论证意见附件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陈勇</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三门峡市第三高级中学</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计算机中级</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sz w:val="24"/>
                <w:shd w:val="clear" w:color="auto" w:fill="F9F9F9"/>
              </w:rPr>
              <w:t>见专家论证意见附件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魏雁天</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三门峡职业技术学院</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副高</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sz w:val="24"/>
                <w:shd w:val="clear" w:color="auto" w:fill="F9F9F9"/>
              </w:rPr>
              <w:t>见专家论证意见附件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张棒</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陕州区中专</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讲师</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sz w:val="24"/>
                <w:shd w:val="clear" w:color="auto" w:fill="F9F9F9"/>
              </w:rPr>
              <w:t>见专家论证意见附件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张应洲</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三门峡市政务服务和大数据管理局</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科长</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sz w:val="24"/>
                <w:shd w:val="clear" w:color="auto" w:fill="F9F9F9"/>
              </w:rPr>
              <w:t>见专家论证意见附件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高银娜</w:t>
            </w:r>
          </w:p>
        </w:tc>
        <w:tc>
          <w:tcPr>
            <w:tcW w:w="294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三门峡市政务服务和大数据管理局</w:t>
            </w:r>
          </w:p>
        </w:tc>
        <w:tc>
          <w:tcPr>
            <w:tcW w:w="1711"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科长</w:t>
            </w:r>
          </w:p>
        </w:tc>
        <w:tc>
          <w:tcPr>
            <w:tcW w:w="2385" w:type="dxa"/>
            <w:noWrap w:val="0"/>
            <w:vAlign w:val="center"/>
          </w:tcPr>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sz w:val="24"/>
                <w:shd w:val="clear" w:color="auto" w:fill="F9F9F9"/>
              </w:rPr>
              <w:t>见专家论证意见附件</w:t>
            </w:r>
          </w:p>
        </w:tc>
      </w:tr>
    </w:tbl>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四、公示期限</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2021年01月20日08时00分至2021年01月26日17时30分（北京时间，法定节假日除外。）</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五、异议反馈时限</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2021年01月20日08时00分至2021年01月26日17时30分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六、其他需要公示内容</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有关单位和当事人对该项目拟采用单一来源采购方式及其理由和相关需求有异议的，可以自本公示发出之日起五个工作日内，以书面形式向三门峡市政务服务和大数据管理局、河南尚正管理咨询有限公司提出意见（必须携带单位法人营业执照副本、代理人身份证、法人授权委托书、书面意见及证明材料）。</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七、联系方式</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1. 采购人信息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名称：三门峡市政务服务和大数据管理局</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地址：三门峡市五原路西段传媒大厦12楼</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联系人：高女士</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联系方式：0398-2260112</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2.采购代理机构信息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名称：河南尚正管理咨询有限公司</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地址：三门峡市五原路西段工商联大厦B座807室</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联系人：李先生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t>联系方式：0398-3190898</w:t>
      </w:r>
    </w:p>
    <w:p>
      <w:pPr>
        <w:autoSpaceDE w:val="0"/>
        <w:autoSpaceDN w:val="0"/>
        <w:adjustRightInd w:val="0"/>
        <w:spacing w:line="360" w:lineRule="auto"/>
        <w:ind w:firstLine="484" w:firstLineChars="202"/>
        <w:jc w:val="left"/>
        <w:rPr>
          <w:rFonts w:hint="eastAsia" w:ascii="仿宋" w:hAnsi="仿宋" w:eastAsia="仿宋" w:cs="仿宋"/>
          <w:color w:val="auto"/>
          <w:kern w:val="0"/>
          <w:sz w:val="24"/>
          <w:szCs w:val="28"/>
        </w:rPr>
      </w:pPr>
      <w:r>
        <w:rPr>
          <w:rFonts w:hint="eastAsia" w:ascii="仿宋" w:hAnsi="仿宋" w:eastAsia="仿宋" w:cs="仿宋"/>
          <w:color w:val="auto"/>
          <w:kern w:val="0"/>
          <w:sz w:val="24"/>
          <w:szCs w:val="28"/>
        </w:rPr>
        <w:br w:type="page"/>
      </w:r>
    </w:p>
    <w:p>
      <w:pPr>
        <w:autoSpaceDE w:val="0"/>
        <w:autoSpaceDN w:val="0"/>
        <w:adjustRightInd w:val="0"/>
        <w:spacing w:line="360" w:lineRule="auto"/>
        <w:jc w:val="left"/>
        <w:rPr>
          <w:rFonts w:hint="eastAsia" w:ascii="仿宋" w:hAnsi="仿宋" w:eastAsia="仿宋" w:cs="仿宋"/>
          <w:color w:val="auto"/>
          <w:kern w:val="0"/>
          <w:sz w:val="24"/>
          <w:lang w:bidi="ar"/>
        </w:rPr>
      </w:pPr>
      <w:r>
        <w:rPr>
          <w:rFonts w:hint="eastAsia" w:ascii="仿宋" w:hAnsi="仿宋" w:eastAsia="仿宋" w:cs="仿宋"/>
          <w:color w:val="auto"/>
        </w:rPr>
        <w:drawing>
          <wp:inline distT="0" distB="0" distL="114300" distR="114300">
            <wp:extent cx="5675630" cy="7717790"/>
            <wp:effectExtent l="0" t="0" r="127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675630" cy="7717790"/>
                    </a:xfrm>
                    <a:prstGeom prst="rect">
                      <a:avLst/>
                    </a:prstGeom>
                    <a:noFill/>
                    <a:ln>
                      <a:noFill/>
                    </a:ln>
                  </pic:spPr>
                </pic:pic>
              </a:graphicData>
            </a:graphic>
          </wp:inline>
        </w:drawing>
      </w:r>
      <w:r>
        <w:rPr>
          <w:rFonts w:hint="eastAsia" w:ascii="仿宋" w:hAnsi="仿宋" w:eastAsia="仿宋" w:cs="仿宋"/>
          <w:color w:val="auto"/>
        </w:rPr>
        <w:t xml:space="preserve"> </w:t>
      </w:r>
      <w:r>
        <w:rPr>
          <w:rFonts w:hint="eastAsia" w:ascii="仿宋" w:hAnsi="仿宋" w:eastAsia="仿宋" w:cs="仿宋"/>
          <w:color w:val="auto"/>
        </w:rPr>
        <w:drawing>
          <wp:inline distT="0" distB="0" distL="114300" distR="114300">
            <wp:extent cx="5401945" cy="7576820"/>
            <wp:effectExtent l="0" t="0" r="825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401945" cy="7576820"/>
                    </a:xfrm>
                    <a:prstGeom prst="rect">
                      <a:avLst/>
                    </a:prstGeom>
                    <a:noFill/>
                    <a:ln>
                      <a:noFill/>
                    </a:ln>
                  </pic:spPr>
                </pic:pic>
              </a:graphicData>
            </a:graphic>
          </wp:inline>
        </w:drawing>
      </w:r>
    </w:p>
    <w:p>
      <w:pPr>
        <w:autoSpaceDE w:val="0"/>
        <w:autoSpaceDN w:val="0"/>
        <w:adjustRightInd w:val="0"/>
        <w:spacing w:line="360" w:lineRule="auto"/>
        <w:jc w:val="left"/>
        <w:rPr>
          <w:rFonts w:hint="eastAsia" w:ascii="仿宋" w:hAnsi="仿宋" w:eastAsia="仿宋" w:cs="仿宋"/>
          <w:color w:val="auto"/>
          <w:kern w:val="0"/>
          <w:sz w:val="24"/>
          <w:lang w:bidi="ar"/>
        </w:rPr>
      </w:pPr>
    </w:p>
    <w:p>
      <w:pPr>
        <w:autoSpaceDE w:val="0"/>
        <w:autoSpaceDN w:val="0"/>
        <w:adjustRightInd w:val="0"/>
        <w:spacing w:line="360" w:lineRule="auto"/>
        <w:jc w:val="left"/>
        <w:rPr>
          <w:rFonts w:hint="eastAsia" w:ascii="仿宋" w:hAnsi="仿宋" w:eastAsia="仿宋" w:cs="仿宋"/>
          <w:color w:val="auto"/>
          <w:kern w:val="0"/>
          <w:sz w:val="24"/>
          <w:lang w:bidi="ar"/>
        </w:rPr>
      </w:pPr>
    </w:p>
    <w:p>
      <w:pPr>
        <w:autoSpaceDE w:val="0"/>
        <w:autoSpaceDN w:val="0"/>
        <w:adjustRightInd w:val="0"/>
        <w:spacing w:line="360" w:lineRule="auto"/>
        <w:jc w:val="left"/>
        <w:rPr>
          <w:rFonts w:hint="eastAsia" w:ascii="仿宋" w:hAnsi="仿宋" w:eastAsia="仿宋" w:cs="仿宋"/>
          <w:color w:val="auto"/>
          <w:kern w:val="0"/>
          <w:sz w:val="24"/>
          <w:lang w:bidi="ar"/>
        </w:rPr>
      </w:pPr>
    </w:p>
    <w:p>
      <w:pPr>
        <w:autoSpaceDE w:val="0"/>
        <w:autoSpaceDN w:val="0"/>
        <w:adjustRightIn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三门峡市县一体化购买新型智慧城市建设(三期)服务项目</w:t>
      </w:r>
    </w:p>
    <w:p>
      <w:pPr>
        <w:autoSpaceDE w:val="0"/>
        <w:autoSpaceDN w:val="0"/>
        <w:adjustRightIn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单一来源公告</w:t>
      </w:r>
    </w:p>
    <w:p>
      <w:pPr>
        <w:autoSpaceDE w:val="0"/>
        <w:autoSpaceDN w:val="0"/>
        <w:adjustRightInd w:val="0"/>
        <w:spacing w:line="240" w:lineRule="exact"/>
        <w:jc w:val="center"/>
        <w:rPr>
          <w:rFonts w:hint="eastAsia" w:ascii="仿宋" w:hAnsi="仿宋" w:eastAsia="仿宋" w:cs="仿宋"/>
          <w:b/>
          <w:color w:val="auto"/>
          <w:kern w:val="0"/>
          <w:sz w:val="32"/>
          <w:szCs w:val="32"/>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一、采购项目名称：三门峡市县一体化购买新型智慧城市建设(三期)服务项目</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二、采购项目编号：三财单一采购-2023-6</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三、项目预算金额：84930820.45元</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四、采购需求（包括目标、标准、数量、规格、服务要求、验收标准等）</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服务内容：本项目共划分四个标包，A包主要服务内容包含互联网+监管服务、工业互联网平台服务、智慧不动产登记综合管理平台服务、数据中台服务、公共安全视频图像系统基础数据平台升级服务、普惠金融平台服务；B包主要服务内容包含甘棠政务服务、政府集约化网站服务；C包主要服务内容包含互联网+放管服系统服务、互联网+营商环境系统服务；D包主要服务内容包含应急指挥平台服务、15个路口信号控制及电子警察服务。每标包具体内容及要求详见单一来源采购文件。</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2.招标控制价:84930820.45元（A包：37072373.24元；B包为16209414.04元；C包：17717864.71元；D包13931168.46元）</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3.资金来源：财政资金，已落实。</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4.服务质量：合格，满足采购人需求。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5.服务期限：三年。</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6.服务地点：采购人指定地点。</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五、拟定单一来源供应商名称及地址</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1.供应商名称：三门峡崤云信息服务股份有限公司</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2.供应商地址：三门峡市经济技术开发区五原西路传媒大厦11楼</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六、供应商资格要求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1.满足《中华人民共和国政府采购法》第二十二条规定，提供供应商承诺书；</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2.有效的营业执照；</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3.本企业无商业贿赂和不正当竞争行为承诺书；</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中国执行信息公开网（http://zxgk.court.gov.cn/）关于“失信被执行人”查询截图；信用中国(www.creditchina.gov.cn）关于“重大税收违法失信主体”查询截图；中国政府采购网（www.ccgp.gov.cn）关于“政府采购严重违法失信行为记录名单”查询截图，查询日期自公告发布之日起，查询截止时间为采购截止时间止。</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七、获取单一来源文件</w:t>
      </w:r>
    </w:p>
    <w:p>
      <w:pPr>
        <w:spacing w:line="360" w:lineRule="auto"/>
        <w:ind w:firstLine="566" w:firstLineChars="236"/>
        <w:rPr>
          <w:rFonts w:hint="eastAsia" w:ascii="仿宋" w:hAnsi="仿宋" w:eastAsia="仿宋" w:cs="仿宋"/>
          <w:color w:val="auto"/>
          <w:sz w:val="24"/>
        </w:rPr>
      </w:pPr>
      <w:r>
        <w:rPr>
          <w:rFonts w:hint="eastAsia" w:ascii="仿宋" w:hAnsi="仿宋" w:eastAsia="仿宋" w:cs="仿宋"/>
          <w:color w:val="auto"/>
          <w:sz w:val="24"/>
        </w:rPr>
        <w:t>1.时间：2023年12月19日至2023年12月25日，每天上午08:00至12:00，下午14:30至17:30（北京时间，法定节假日除外。）</w:t>
      </w:r>
    </w:p>
    <w:p>
      <w:pPr>
        <w:spacing w:line="360" w:lineRule="auto"/>
        <w:ind w:firstLine="566" w:firstLineChars="236"/>
        <w:rPr>
          <w:rFonts w:hint="eastAsia" w:ascii="仿宋" w:hAnsi="仿宋" w:eastAsia="仿宋" w:cs="仿宋"/>
          <w:color w:val="auto"/>
          <w:sz w:val="24"/>
        </w:rPr>
      </w:pPr>
      <w:r>
        <w:rPr>
          <w:rFonts w:hint="eastAsia" w:ascii="仿宋" w:hAnsi="仿宋" w:eastAsia="仿宋" w:cs="仿宋"/>
          <w:color w:val="auto"/>
          <w:sz w:val="24"/>
        </w:rPr>
        <w:t>2.地点：三门峡市五原路西段工商联大厦B座807室</w:t>
      </w:r>
    </w:p>
    <w:p>
      <w:pPr>
        <w:spacing w:line="360" w:lineRule="auto"/>
        <w:ind w:firstLine="566" w:firstLineChars="236"/>
        <w:jc w:val="left"/>
        <w:rPr>
          <w:rStyle w:val="12"/>
          <w:rFonts w:hint="eastAsia" w:ascii="仿宋" w:hAnsi="仿宋" w:eastAsia="仿宋" w:cs="仿宋"/>
          <w:color w:val="auto"/>
          <w:sz w:val="24"/>
        </w:rPr>
      </w:pPr>
      <w:r>
        <w:rPr>
          <w:rFonts w:hint="eastAsia" w:ascii="仿宋" w:hAnsi="仿宋" w:eastAsia="仿宋" w:cs="仿宋"/>
          <w:color w:val="auto"/>
          <w:sz w:val="24"/>
        </w:rPr>
        <w:t>3.方式：购买单一来源采购文件时须携带（1）法定代表人身份证明或其法人授权委托书及法人、委托代理人身份证明；（2）“六、供应商资格要求”中的资料。以上资料提交复印件叁份并加盖单位公章，原件核对后现场退还。</w:t>
      </w:r>
    </w:p>
    <w:p>
      <w:pPr>
        <w:spacing w:line="360" w:lineRule="auto"/>
        <w:ind w:firstLine="566" w:firstLineChars="236"/>
        <w:rPr>
          <w:rFonts w:hint="eastAsia" w:ascii="仿宋" w:hAnsi="仿宋" w:eastAsia="仿宋" w:cs="仿宋"/>
          <w:color w:val="auto"/>
          <w:sz w:val="24"/>
        </w:rPr>
      </w:pPr>
      <w:r>
        <w:rPr>
          <w:rFonts w:hint="eastAsia" w:ascii="仿宋" w:hAnsi="仿宋" w:eastAsia="仿宋" w:cs="仿宋"/>
          <w:color w:val="auto"/>
          <w:sz w:val="24"/>
        </w:rPr>
        <w:t>4.售价：500元</w:t>
      </w:r>
    </w:p>
    <w:p>
      <w:pPr>
        <w:numPr>
          <w:ilvl w:val="0"/>
          <w:numId w:val="1"/>
        </w:num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响应文件提交的截止时间及地点</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1.时间：2023年12月26日15时00分。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2.地点：三门峡市国际文博城会展中心二楼2-3会议室。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九、发布公告的媒介：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本次公告在《河南省政府采购网》《采购与招标网》《河南省电子招标投标公共服务平台》上同时发布。公告期限为五个工作日。</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十、联系方式</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1.采 购 人：三门峡市政务服务和大数据管理局</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    址：三门峡市五原路西段传媒大厦1209室</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lang w:eastAsia="zh-CN"/>
        </w:rPr>
        <w:t>宁</w:t>
      </w:r>
      <w:r>
        <w:rPr>
          <w:rFonts w:hint="eastAsia" w:ascii="仿宋" w:hAnsi="仿宋" w:eastAsia="仿宋" w:cs="仿宋"/>
          <w:color w:val="auto"/>
          <w:sz w:val="24"/>
        </w:rPr>
        <w:t>女士</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联系方式：0398-2260112</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2.政府采购监督管理处：三门峡市财政局政府采购监督管理科</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地址：三门峡市崤山西路</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联系人：王先生</w:t>
      </w:r>
    </w:p>
    <w:p>
      <w:pPr>
        <w:pStyle w:val="2"/>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联系方式：0398－2608915</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3.采购代理机构：河南尚正管理咨询有限公司</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地址：三门峡市五原路西段工商联大厦B座807室</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联系人：李先生</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联系方式：0398-3190898</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4.项目联系方式</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联系人：李先生</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联系方式：0398-3190898</w:t>
      </w:r>
    </w:p>
    <w:p>
      <w:pPr>
        <w:autoSpaceDE w:val="0"/>
        <w:autoSpaceDN w:val="0"/>
        <w:adjustRightInd w:val="0"/>
        <w:spacing w:line="360" w:lineRule="auto"/>
        <w:ind w:firstLine="360" w:firstLineChars="150"/>
        <w:jc w:val="left"/>
        <w:rPr>
          <w:rFonts w:hint="eastAsia" w:ascii="仿宋" w:hAnsi="仿宋" w:eastAsia="仿宋" w:cs="仿宋"/>
          <w:color w:val="auto"/>
          <w:sz w:val="24"/>
          <w:szCs w:val="28"/>
        </w:rPr>
      </w:pPr>
    </w:p>
    <w:p>
      <w:pPr>
        <w:autoSpaceDE w:val="0"/>
        <w:autoSpaceDN w:val="0"/>
        <w:adjustRightInd w:val="0"/>
        <w:spacing w:line="360" w:lineRule="auto"/>
        <w:jc w:val="center"/>
        <w:rPr>
          <w:rFonts w:hint="eastAsia" w:ascii="仿宋" w:hAnsi="仿宋" w:eastAsia="仿宋" w:cs="仿宋"/>
          <w:b/>
          <w:color w:val="auto"/>
          <w:sz w:val="32"/>
          <w:szCs w:val="32"/>
        </w:rPr>
      </w:pPr>
      <w:r>
        <w:rPr>
          <w:rFonts w:hint="eastAsia" w:ascii="仿宋" w:hAnsi="仿宋" w:eastAsia="仿宋" w:cs="仿宋"/>
          <w:color w:val="auto"/>
        </w:rPr>
        <w:br w:type="page"/>
      </w:r>
      <w:bookmarkStart w:id="3" w:name="_Toc32451"/>
      <w:bookmarkStart w:id="4" w:name="_Toc65168282"/>
      <w:r>
        <w:rPr>
          <w:rFonts w:hint="eastAsia" w:ascii="仿宋" w:hAnsi="仿宋" w:eastAsia="仿宋" w:cs="仿宋"/>
          <w:b/>
          <w:color w:val="auto"/>
          <w:sz w:val="32"/>
          <w:szCs w:val="32"/>
          <w:lang w:bidi="ar"/>
        </w:rPr>
        <w:t>第二章 供应商须知及前附表</w:t>
      </w:r>
      <w:bookmarkEnd w:id="3"/>
      <w:bookmarkEnd w:id="4"/>
    </w:p>
    <w:p>
      <w:pPr>
        <w:autoSpaceDE w:val="0"/>
        <w:autoSpaceDN w:val="0"/>
        <w:adjustRightInd w:val="0"/>
        <w:spacing w:line="360" w:lineRule="auto"/>
        <w:jc w:val="left"/>
        <w:rPr>
          <w:rFonts w:hint="eastAsia" w:ascii="仿宋" w:hAnsi="仿宋" w:eastAsia="仿宋" w:cs="仿宋"/>
          <w:color w:val="auto"/>
        </w:rPr>
      </w:pPr>
      <w:r>
        <w:rPr>
          <w:rFonts w:hint="eastAsia" w:ascii="仿宋" w:hAnsi="仿宋" w:eastAsia="仿宋" w:cs="仿宋"/>
          <w:b/>
          <w:color w:val="auto"/>
          <w:kern w:val="0"/>
          <w:sz w:val="24"/>
          <w:lang w:bidi="ar"/>
        </w:rPr>
        <w:t>供应商须知前附表</w:t>
      </w:r>
    </w:p>
    <w:tbl>
      <w:tblPr>
        <w:tblStyle w:val="10"/>
        <w:tblW w:w="9977" w:type="dxa"/>
        <w:jc w:val="center"/>
        <w:tblLayout w:type="fixed"/>
        <w:tblCellMar>
          <w:top w:w="0" w:type="dxa"/>
          <w:left w:w="108" w:type="dxa"/>
          <w:bottom w:w="0" w:type="dxa"/>
          <w:right w:w="108" w:type="dxa"/>
        </w:tblCellMar>
      </w:tblPr>
      <w:tblGrid>
        <w:gridCol w:w="999"/>
        <w:gridCol w:w="2150"/>
        <w:gridCol w:w="6828"/>
      </w:tblGrid>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条款号</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条款名称</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编列内容</w:t>
            </w:r>
          </w:p>
        </w:tc>
      </w:tr>
      <w:tr>
        <w:tblPrEx>
          <w:tblCellMar>
            <w:top w:w="0" w:type="dxa"/>
            <w:left w:w="108" w:type="dxa"/>
            <w:bottom w:w="0" w:type="dxa"/>
            <w:right w:w="108" w:type="dxa"/>
          </w:tblCellMar>
        </w:tblPrEx>
        <w:trPr>
          <w:trHeight w:val="567" w:hRule="atLeast"/>
          <w:jc w:val="center"/>
        </w:trPr>
        <w:tc>
          <w:tcPr>
            <w:tcW w:w="999" w:type="dxa"/>
            <w:vMerge w:val="restart"/>
            <w:tcBorders>
              <w:top w:val="nil"/>
              <w:left w:val="single" w:color="auto" w:sz="4" w:space="0"/>
              <w:bottom w:val="nil"/>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1.1</w:t>
            </w:r>
          </w:p>
        </w:tc>
        <w:tc>
          <w:tcPr>
            <w:tcW w:w="2150" w:type="dxa"/>
            <w:vMerge w:val="restart"/>
            <w:tcBorders>
              <w:top w:val="nil"/>
              <w:left w:val="nil"/>
              <w:bottom w:val="nil"/>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采购人</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名称：三门峡市政务服务和大数据管理局 </w:t>
            </w:r>
          </w:p>
        </w:tc>
      </w:tr>
      <w:tr>
        <w:tblPrEx>
          <w:tblCellMar>
            <w:top w:w="0" w:type="dxa"/>
            <w:left w:w="108" w:type="dxa"/>
            <w:bottom w:w="0" w:type="dxa"/>
            <w:right w:w="108" w:type="dxa"/>
          </w:tblCellMar>
        </w:tblPrEx>
        <w:trPr>
          <w:trHeight w:val="567" w:hRule="atLeast"/>
          <w:jc w:val="center"/>
        </w:trPr>
        <w:tc>
          <w:tcPr>
            <w:tcW w:w="999" w:type="dxa"/>
            <w:vMerge w:val="continue"/>
            <w:tcBorders>
              <w:top w:val="nil"/>
              <w:left w:val="single" w:color="auto" w:sz="4" w:space="0"/>
              <w:bottom w:val="nil"/>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p>
        </w:tc>
        <w:tc>
          <w:tcPr>
            <w:tcW w:w="2150" w:type="dxa"/>
            <w:vMerge w:val="continue"/>
            <w:tcBorders>
              <w:top w:val="nil"/>
              <w:left w:val="nil"/>
              <w:bottom w:val="nil"/>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 xml:space="preserve">  地址：三门峡市五原路西段传媒大厦1209室</w:t>
            </w:r>
          </w:p>
        </w:tc>
      </w:tr>
      <w:tr>
        <w:tblPrEx>
          <w:tblCellMar>
            <w:top w:w="0" w:type="dxa"/>
            <w:left w:w="108" w:type="dxa"/>
            <w:bottom w:w="0" w:type="dxa"/>
            <w:right w:w="108" w:type="dxa"/>
          </w:tblCellMar>
        </w:tblPrEx>
        <w:trPr>
          <w:trHeight w:val="567" w:hRule="atLeast"/>
          <w:jc w:val="center"/>
        </w:trPr>
        <w:tc>
          <w:tcPr>
            <w:tcW w:w="999" w:type="dxa"/>
            <w:vMerge w:val="continue"/>
            <w:tcBorders>
              <w:top w:val="nil"/>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color w:val="auto"/>
                <w:sz w:val="20"/>
                <w:szCs w:val="20"/>
              </w:rPr>
            </w:pPr>
          </w:p>
        </w:tc>
        <w:tc>
          <w:tcPr>
            <w:tcW w:w="2150" w:type="dxa"/>
            <w:vMerge w:val="continue"/>
            <w:tcBorders>
              <w:top w:val="nil"/>
              <w:left w:val="nil"/>
              <w:bottom w:val="single" w:color="auto" w:sz="4" w:space="0"/>
              <w:right w:val="single" w:color="auto" w:sz="4" w:space="0"/>
            </w:tcBorders>
            <w:noWrap w:val="0"/>
            <w:vAlign w:val="center"/>
          </w:tcPr>
          <w:p>
            <w:pPr>
              <w:spacing w:line="460" w:lineRule="exact"/>
              <w:rPr>
                <w:rFonts w:hint="eastAsia" w:ascii="仿宋" w:hAnsi="仿宋" w:eastAsia="仿宋" w:cs="仿宋"/>
                <w:color w:val="auto"/>
                <w:sz w:val="20"/>
                <w:szCs w:val="20"/>
              </w:rPr>
            </w:pPr>
          </w:p>
        </w:tc>
        <w:tc>
          <w:tcPr>
            <w:tcW w:w="6828" w:type="dxa"/>
            <w:tcBorders>
              <w:top w:val="single" w:color="auto" w:sz="4" w:space="0"/>
              <w:left w:val="nil"/>
              <w:bottom w:val="single" w:color="auto" w:sz="4" w:space="0"/>
              <w:right w:val="single" w:color="auto" w:sz="4" w:space="0"/>
            </w:tcBorders>
            <w:noWrap w:val="0"/>
            <w:vAlign w:val="center"/>
          </w:tcPr>
          <w:p>
            <w:pPr>
              <w:pStyle w:val="9"/>
              <w:spacing w:line="460" w:lineRule="exact"/>
              <w:rPr>
                <w:rFonts w:ascii="仿宋" w:hAnsi="仿宋" w:eastAsia="仿宋" w:cs="仿宋"/>
                <w:color w:val="auto"/>
              </w:rPr>
            </w:pPr>
            <w:r>
              <w:rPr>
                <w:rFonts w:ascii="仿宋" w:hAnsi="仿宋" w:eastAsia="仿宋" w:cs="仿宋"/>
                <w:color w:val="auto"/>
              </w:rPr>
              <w:t xml:space="preserve">  联系人：</w:t>
            </w:r>
            <w:r>
              <w:rPr>
                <w:rFonts w:ascii="仿宋" w:hAnsi="仿宋" w:eastAsia="仿宋" w:cs="仿宋"/>
                <w:color w:val="auto"/>
                <w:szCs w:val="28"/>
              </w:rPr>
              <w:t>高女士（0398-2260112）</w:t>
            </w:r>
          </w:p>
        </w:tc>
      </w:tr>
      <w:tr>
        <w:tblPrEx>
          <w:tblCellMar>
            <w:top w:w="0" w:type="dxa"/>
            <w:left w:w="108" w:type="dxa"/>
            <w:bottom w:w="0" w:type="dxa"/>
            <w:right w:w="108" w:type="dxa"/>
          </w:tblCellMar>
        </w:tblPrEx>
        <w:trPr>
          <w:trHeight w:val="567" w:hRule="atLeast"/>
          <w:jc w:val="center"/>
        </w:trPr>
        <w:tc>
          <w:tcPr>
            <w:tcW w:w="99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1.2</w:t>
            </w:r>
          </w:p>
        </w:tc>
        <w:tc>
          <w:tcPr>
            <w:tcW w:w="215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采购代理机构</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名称：河南尚正管理咨询有限公司</w:t>
            </w:r>
          </w:p>
        </w:tc>
      </w:tr>
      <w:tr>
        <w:tblPrEx>
          <w:tblCellMar>
            <w:top w:w="0" w:type="dxa"/>
            <w:left w:w="108" w:type="dxa"/>
            <w:bottom w:w="0" w:type="dxa"/>
            <w:right w:w="108" w:type="dxa"/>
          </w:tblCellMar>
        </w:tblPrEx>
        <w:trPr>
          <w:trHeight w:val="567" w:hRule="atLeast"/>
          <w:jc w:val="center"/>
        </w:trPr>
        <w:tc>
          <w:tcPr>
            <w:tcW w:w="99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color w:val="auto"/>
                <w:sz w:val="20"/>
                <w:szCs w:val="20"/>
              </w:rPr>
            </w:pPr>
          </w:p>
        </w:tc>
        <w:tc>
          <w:tcPr>
            <w:tcW w:w="215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color w:val="auto"/>
                <w:sz w:val="20"/>
                <w:szCs w:val="20"/>
              </w:rPr>
            </w:pP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地址：三门峡市五原路西段工商联大厦B座807室</w:t>
            </w:r>
          </w:p>
        </w:tc>
      </w:tr>
      <w:tr>
        <w:tblPrEx>
          <w:tblCellMar>
            <w:top w:w="0" w:type="dxa"/>
            <w:left w:w="108" w:type="dxa"/>
            <w:bottom w:w="0" w:type="dxa"/>
            <w:right w:w="108" w:type="dxa"/>
          </w:tblCellMar>
        </w:tblPrEx>
        <w:trPr>
          <w:trHeight w:val="567" w:hRule="atLeast"/>
          <w:jc w:val="center"/>
        </w:trPr>
        <w:tc>
          <w:tcPr>
            <w:tcW w:w="99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color w:val="auto"/>
                <w:sz w:val="20"/>
                <w:szCs w:val="20"/>
              </w:rPr>
            </w:pPr>
          </w:p>
        </w:tc>
        <w:tc>
          <w:tcPr>
            <w:tcW w:w="215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仿宋" w:hAnsi="仿宋" w:eastAsia="仿宋" w:cs="仿宋"/>
                <w:color w:val="auto"/>
                <w:sz w:val="20"/>
                <w:szCs w:val="20"/>
              </w:rPr>
            </w:pP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联系人：李先生（0398－3190898）</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1.3</w:t>
            </w:r>
          </w:p>
        </w:tc>
        <w:tc>
          <w:tcPr>
            <w:tcW w:w="2150"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项目名称</w:t>
            </w:r>
          </w:p>
        </w:tc>
        <w:tc>
          <w:tcPr>
            <w:tcW w:w="6828" w:type="dxa"/>
            <w:tcBorders>
              <w:top w:val="nil"/>
              <w:left w:val="nil"/>
              <w:bottom w:val="single" w:color="auto" w:sz="4" w:space="0"/>
              <w:right w:val="single" w:color="auto" w:sz="4" w:space="0"/>
            </w:tcBorders>
            <w:noWrap w:val="0"/>
            <w:vAlign w:val="center"/>
          </w:tcPr>
          <w:p>
            <w:pPr>
              <w:autoSpaceDE w:val="0"/>
              <w:autoSpaceDN w:val="0"/>
              <w:adjustRightInd w:val="0"/>
              <w:spacing w:line="460" w:lineRule="exact"/>
              <w:jc w:val="left"/>
              <w:rPr>
                <w:rFonts w:hint="eastAsia" w:ascii="仿宋" w:hAnsi="仿宋" w:eastAsia="仿宋" w:cs="仿宋"/>
                <w:color w:val="auto"/>
                <w:shd w:val="clear" w:color="auto" w:fill="FFFFFF"/>
              </w:rPr>
            </w:pPr>
            <w:r>
              <w:rPr>
                <w:rFonts w:hint="eastAsia" w:ascii="仿宋" w:hAnsi="仿宋" w:eastAsia="仿宋" w:cs="仿宋"/>
                <w:color w:val="auto"/>
                <w:kern w:val="0"/>
                <w:sz w:val="24"/>
                <w:lang w:bidi="ar"/>
              </w:rPr>
              <w:t xml:space="preserve">  三门峡市县一体化购买新型智慧城市建设(三期)服务项目</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1.4</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预算金额</w:t>
            </w:r>
          </w:p>
        </w:tc>
        <w:tc>
          <w:tcPr>
            <w:tcW w:w="6828" w:type="dxa"/>
            <w:tcBorders>
              <w:top w:val="nil"/>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 xml:space="preserve">  </w:t>
            </w:r>
            <w:r>
              <w:rPr>
                <w:rFonts w:hint="eastAsia" w:ascii="仿宋" w:hAnsi="仿宋" w:eastAsia="仿宋" w:cs="仿宋"/>
                <w:color w:val="auto"/>
                <w:sz w:val="24"/>
              </w:rPr>
              <w:t>84930820.45元（A包：37072373.24元；B包为16209414.04元；C包：17717864.71元；D包13931168.46元）</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1.5</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服务地点</w:t>
            </w:r>
          </w:p>
        </w:tc>
        <w:tc>
          <w:tcPr>
            <w:tcW w:w="6828" w:type="dxa"/>
            <w:tcBorders>
              <w:top w:val="nil"/>
              <w:left w:val="nil"/>
              <w:bottom w:val="single" w:color="auto" w:sz="4" w:space="0"/>
              <w:right w:val="single" w:color="auto" w:sz="4" w:space="0"/>
            </w:tcBorders>
            <w:noWrap w:val="0"/>
            <w:vAlign w:val="center"/>
          </w:tcPr>
          <w:p>
            <w:pPr>
              <w:widowControl/>
              <w:autoSpaceDE w:val="0"/>
              <w:autoSpaceDN w:val="0"/>
              <w:adjustRightInd w:val="0"/>
              <w:spacing w:line="460" w:lineRule="exact"/>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 xml:space="preserve">  采购人指定服务地点。</w:t>
            </w:r>
          </w:p>
        </w:tc>
      </w:tr>
      <w:tr>
        <w:tblPrEx>
          <w:tblCellMar>
            <w:top w:w="0" w:type="dxa"/>
            <w:left w:w="108" w:type="dxa"/>
            <w:bottom w:w="0" w:type="dxa"/>
            <w:right w:w="108" w:type="dxa"/>
          </w:tblCellMar>
        </w:tblPrEx>
        <w:trPr>
          <w:trHeight w:val="567" w:hRule="atLeast"/>
          <w:jc w:val="center"/>
        </w:trPr>
        <w:tc>
          <w:tcPr>
            <w:tcW w:w="999" w:type="dxa"/>
            <w:tcBorders>
              <w:top w:val="nil"/>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1.6</w:t>
            </w:r>
          </w:p>
        </w:tc>
        <w:tc>
          <w:tcPr>
            <w:tcW w:w="2150" w:type="dxa"/>
            <w:tcBorders>
              <w:top w:val="nil"/>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资金来源及落实情况</w:t>
            </w:r>
          </w:p>
        </w:tc>
        <w:tc>
          <w:tcPr>
            <w:tcW w:w="6828" w:type="dxa"/>
            <w:tcBorders>
              <w:top w:val="nil"/>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财政资金，</w:t>
            </w:r>
            <w:r>
              <w:rPr>
                <w:rFonts w:ascii="仿宋" w:hAnsi="仿宋" w:eastAsia="仿宋" w:cs="仿宋"/>
                <w:color w:val="auto"/>
              </w:rPr>
              <w:t>已落实</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1.7</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服务期限</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三年。</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1.8</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质量要求</w:t>
            </w:r>
          </w:p>
        </w:tc>
        <w:tc>
          <w:tcPr>
            <w:tcW w:w="6828" w:type="dxa"/>
            <w:tcBorders>
              <w:top w:val="single" w:color="auto" w:sz="4" w:space="0"/>
              <w:left w:val="nil"/>
              <w:bottom w:val="single" w:color="auto" w:sz="4" w:space="0"/>
              <w:right w:val="single" w:color="auto" w:sz="4" w:space="0"/>
            </w:tcBorders>
            <w:noWrap w:val="0"/>
            <w:vAlign w:val="center"/>
          </w:tcPr>
          <w:p>
            <w:pPr>
              <w:pStyle w:val="9"/>
              <w:spacing w:line="460" w:lineRule="exact"/>
              <w:rPr>
                <w:rFonts w:ascii="仿宋" w:hAnsi="仿宋" w:eastAsia="仿宋" w:cs="仿宋"/>
                <w:color w:val="auto"/>
              </w:rPr>
            </w:pPr>
            <w:r>
              <w:rPr>
                <w:rFonts w:ascii="仿宋" w:hAnsi="仿宋" w:eastAsia="仿宋" w:cs="仿宋"/>
                <w:color w:val="auto"/>
              </w:rPr>
              <w:t xml:space="preserve">  合格，满足采购人需求。</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1.9</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服务内容</w:t>
            </w:r>
          </w:p>
        </w:tc>
        <w:tc>
          <w:tcPr>
            <w:tcW w:w="6828" w:type="dxa"/>
            <w:tcBorders>
              <w:top w:val="single" w:color="auto" w:sz="4" w:space="0"/>
              <w:left w:val="nil"/>
              <w:bottom w:val="single" w:color="auto" w:sz="4" w:space="0"/>
              <w:right w:val="single" w:color="auto" w:sz="4" w:space="0"/>
            </w:tcBorders>
            <w:noWrap w:val="0"/>
            <w:vAlign w:val="center"/>
          </w:tcPr>
          <w:p>
            <w:pPr>
              <w:pStyle w:val="9"/>
              <w:spacing w:line="460" w:lineRule="exact"/>
              <w:ind w:firstLine="240" w:firstLineChars="100"/>
              <w:rPr>
                <w:rFonts w:ascii="仿宋" w:hAnsi="仿宋" w:eastAsia="仿宋" w:cs="仿宋"/>
                <w:color w:val="auto"/>
                <w:shd w:val="clear" w:color="auto" w:fill="FFFFFF"/>
              </w:rPr>
            </w:pPr>
            <w:r>
              <w:rPr>
                <w:rFonts w:ascii="仿宋" w:hAnsi="仿宋" w:eastAsia="仿宋" w:cs="仿宋"/>
                <w:color w:val="auto"/>
              </w:rPr>
              <w:t>本项目共划分四个标包，A包主要服务内容包含互联网+监管服务、工业互联网平台服务、智慧不动产登记综合管理平台服务、数据中台服务、公共安全视频图像系统基础数据平台升级服务、普惠金融平台服务；B包主要服务内容包含甘棠政务服务、政府集约化网站服务；C包主要服务内容包含互联网+放管服系统服务、互联网+营商环境系统服务；D包主要服务内容包含应急指挥平台服务、15个路口信号控制及电子警察服务。每标包具体内容及要求详见单一来源采购文件第三章。</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2.0</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供应商资格要求</w:t>
            </w:r>
          </w:p>
        </w:tc>
        <w:tc>
          <w:tcPr>
            <w:tcW w:w="6828" w:type="dxa"/>
            <w:tcBorders>
              <w:top w:val="single" w:color="auto" w:sz="4" w:space="0"/>
              <w:left w:val="nil"/>
              <w:bottom w:val="single" w:color="auto" w:sz="4" w:space="0"/>
              <w:right w:val="single" w:color="auto" w:sz="4" w:space="0"/>
            </w:tcBorders>
            <w:noWrap w:val="0"/>
            <w:vAlign w:val="center"/>
          </w:tcPr>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1.满足《中华人民共和国政府采购法》第二十二条规定，提供供应商承诺书；</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2.有效的营业执照；</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3.本企业无商业贿赂和不正当竞争行为承诺书；</w:t>
            </w:r>
          </w:p>
          <w:p>
            <w:pPr>
              <w:spacing w:line="360" w:lineRule="auto"/>
              <w:ind w:firstLine="480" w:firstLineChars="200"/>
              <w:rPr>
                <w:rFonts w:ascii="仿宋" w:hAnsi="仿宋" w:eastAsia="仿宋" w:cs="仿宋"/>
                <w:color w:val="auto"/>
                <w:shd w:val="clear" w:color="auto" w:fill="FFFFFF"/>
              </w:rPr>
            </w:pPr>
            <w:r>
              <w:rPr>
                <w:rFonts w:hint="eastAsia" w:ascii="仿宋" w:hAnsi="仿宋" w:eastAsia="仿宋" w:cs="仿宋"/>
                <w:color w:val="auto"/>
                <w:sz w:val="24"/>
              </w:rPr>
              <w:t>4.中国执行信息公开网（http://zxgk.court.gov.cn/）关于“失信被执行人”查询截图；信用中国(www.creditchina.gov.cn）关于“重大税收违法失信主体”查询截图；中国政府采购网（www.ccgp.gov.cn）关于“政府采购严重违法失信行为记录名单”查询截图，查询日期自公告发布之日起，查询截止时间为采购截止时间止。</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2.1</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供应商提出问题的截止时间</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递交单一来源响应文件截止之日3日前</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2.2</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采购人书面澄清</w:t>
            </w:r>
          </w:p>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的时间</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递交单一来源响应文件截止之日2日前</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2.3</w:t>
            </w:r>
          </w:p>
        </w:tc>
        <w:tc>
          <w:tcPr>
            <w:tcW w:w="215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center"/>
              <w:textAlignment w:val="baseline"/>
              <w:rPr>
                <w:rFonts w:hint="eastAsia" w:ascii="仿宋" w:hAnsi="仿宋" w:eastAsia="仿宋" w:cs="仿宋"/>
                <w:color w:val="auto"/>
              </w:rPr>
            </w:pPr>
            <w:r>
              <w:rPr>
                <w:rFonts w:hint="eastAsia" w:ascii="仿宋" w:hAnsi="仿宋" w:eastAsia="仿宋" w:cs="仿宋"/>
                <w:color w:val="auto"/>
                <w:sz w:val="24"/>
                <w:lang w:bidi="ar"/>
              </w:rPr>
              <w:t>分包</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ind w:firstLine="240" w:firstLineChars="100"/>
              <w:textAlignment w:val="baseline"/>
              <w:rPr>
                <w:rFonts w:hint="eastAsia" w:ascii="仿宋" w:hAnsi="仿宋" w:eastAsia="仿宋" w:cs="仿宋"/>
                <w:color w:val="auto"/>
              </w:rPr>
            </w:pPr>
            <w:r>
              <w:rPr>
                <w:rFonts w:hint="eastAsia" w:ascii="仿宋" w:hAnsi="仿宋" w:eastAsia="仿宋" w:cs="仿宋"/>
                <w:color w:val="auto"/>
                <w:sz w:val="24"/>
                <w:lang w:bidi="ar"/>
              </w:rPr>
              <w:t>不允许</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2.4</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构成单一来源采购</w:t>
            </w:r>
          </w:p>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文件的其他材料</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答疑纪要、单一采购文件的补充和修改文件（如有）</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2.5</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单一来源采购</w:t>
            </w:r>
          </w:p>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有效期</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60天</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2.6</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近年完成的类似项目的年份要求</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ind w:firstLine="240" w:firstLineChars="100"/>
              <w:jc w:val="left"/>
              <w:rPr>
                <w:rFonts w:hint="eastAsia" w:ascii="仿宋" w:hAnsi="仿宋" w:eastAsia="仿宋" w:cs="仿宋"/>
                <w:color w:val="auto"/>
              </w:rPr>
            </w:pPr>
            <w:r>
              <w:rPr>
                <w:rFonts w:hint="eastAsia" w:ascii="仿宋" w:hAnsi="仿宋" w:eastAsia="仿宋" w:cs="仿宋"/>
                <w:color w:val="auto"/>
                <w:kern w:val="0"/>
                <w:sz w:val="24"/>
                <w:lang w:bidi="ar"/>
              </w:rPr>
              <w:t>2020年1月1日以来</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2.7</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签字或盖章要求</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每标包单一来源响应文件应用不褪色的材料书写或打印，并由供应商的法定代表人或其委托代理人签字或盖单位公章。委托代理人签字的，单一来源响应文件应附法定代表人签署的授权委托书。单一来源响应文件应尽量避免涂改、行间插字或删除。如果出现上述情况，改动之处应加盖投标单位公章或由供应商的法定代表人或其授权的代理人签字确认。</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2.8</w:t>
            </w:r>
          </w:p>
        </w:tc>
        <w:tc>
          <w:tcPr>
            <w:tcW w:w="215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单一来源响应文件</w:t>
            </w:r>
          </w:p>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份数</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每标包单一来源响应文件壹式柒份，壹正陆副，封面标明正本或副本。电子版（U盘）一份。</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2.9</w:t>
            </w:r>
          </w:p>
        </w:tc>
        <w:tc>
          <w:tcPr>
            <w:tcW w:w="215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装订要求</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使用无线胶装，必须保证单一来源响应文件装订牢固，不得采用活页装订。</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3.0</w:t>
            </w:r>
          </w:p>
        </w:tc>
        <w:tc>
          <w:tcPr>
            <w:tcW w:w="215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封套上写明</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采购人名称：                       </w:t>
            </w:r>
          </w:p>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项目名称：                             </w:t>
            </w:r>
          </w:p>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采购编号：                     </w:t>
            </w:r>
          </w:p>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供应商名称：                            （盖章）</w:t>
            </w:r>
          </w:p>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供应商法定代表人或其委托代理人：  （签字或盖章）             </w:t>
            </w:r>
          </w:p>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在××年×月×日×时×分（投标截止时间）前不得启封。</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3.1</w:t>
            </w:r>
          </w:p>
        </w:tc>
        <w:tc>
          <w:tcPr>
            <w:tcW w:w="215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递交单一来源响应文件地点和时间</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地点：</w:t>
            </w:r>
            <w:r>
              <w:rPr>
                <w:rFonts w:hint="eastAsia" w:ascii="仿宋" w:hAnsi="仿宋" w:eastAsia="仿宋" w:cs="仿宋"/>
                <w:color w:val="auto"/>
                <w:sz w:val="24"/>
              </w:rPr>
              <w:t>三门峡市国际文博城会展中心二楼2-3会议室</w:t>
            </w:r>
            <w:r>
              <w:rPr>
                <w:rFonts w:hint="eastAsia" w:ascii="仿宋" w:hAnsi="仿宋" w:eastAsia="仿宋" w:cs="仿宋"/>
                <w:color w:val="auto"/>
                <w:kern w:val="0"/>
                <w:sz w:val="24"/>
                <w:lang w:bidi="ar"/>
              </w:rPr>
              <w:t>。</w:t>
            </w:r>
          </w:p>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color w:val="auto"/>
                <w:sz w:val="24"/>
                <w:lang w:bidi="ar"/>
              </w:rPr>
              <w:t>时间：2023年12月26日15时00分。</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3.2</w:t>
            </w:r>
          </w:p>
        </w:tc>
        <w:tc>
          <w:tcPr>
            <w:tcW w:w="215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是否退还单一来源</w:t>
            </w:r>
          </w:p>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响应文件</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否</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3.3</w:t>
            </w:r>
          </w:p>
        </w:tc>
        <w:tc>
          <w:tcPr>
            <w:tcW w:w="215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单一来源采购会议</w:t>
            </w:r>
          </w:p>
          <w:p>
            <w:pPr>
              <w:autoSpaceDE w:val="0"/>
              <w:autoSpaceDN w:val="0"/>
              <w:adjustRightInd w:val="0"/>
              <w:spacing w:line="460" w:lineRule="exact"/>
              <w:jc w:val="center"/>
              <w:rPr>
                <w:rFonts w:hint="eastAsia" w:ascii="仿宋" w:hAnsi="仿宋" w:eastAsia="仿宋" w:cs="仿宋"/>
                <w:color w:val="auto"/>
                <w:kern w:val="44"/>
              </w:rPr>
            </w:pPr>
            <w:r>
              <w:rPr>
                <w:rFonts w:hint="eastAsia" w:ascii="仿宋" w:hAnsi="仿宋" w:eastAsia="仿宋" w:cs="仿宋"/>
                <w:color w:val="auto"/>
                <w:kern w:val="0"/>
                <w:sz w:val="24"/>
                <w:lang w:bidi="ar"/>
              </w:rPr>
              <w:t>时间和地点</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时间：2023年12月26日15时00分。</w:t>
            </w:r>
          </w:p>
          <w:p>
            <w:pPr>
              <w:autoSpaceDE w:val="0"/>
              <w:autoSpaceDN w:val="0"/>
              <w:adjustRightInd w:val="0"/>
              <w:spacing w:line="460" w:lineRule="exact"/>
              <w:jc w:val="left"/>
              <w:rPr>
                <w:rFonts w:hint="eastAsia" w:ascii="仿宋" w:hAnsi="仿宋" w:eastAsia="仿宋" w:cs="仿宋"/>
                <w:color w:val="auto"/>
                <w:kern w:val="44"/>
              </w:rPr>
            </w:pPr>
            <w:r>
              <w:rPr>
                <w:rFonts w:hint="eastAsia" w:ascii="仿宋" w:hAnsi="仿宋" w:eastAsia="仿宋" w:cs="仿宋"/>
                <w:color w:val="auto"/>
                <w:kern w:val="0"/>
                <w:sz w:val="24"/>
                <w:lang w:bidi="ar"/>
              </w:rPr>
              <w:t xml:space="preserve">  地点：</w:t>
            </w:r>
            <w:r>
              <w:rPr>
                <w:rFonts w:hint="eastAsia" w:ascii="仿宋" w:hAnsi="仿宋" w:eastAsia="仿宋" w:cs="仿宋"/>
                <w:color w:val="auto"/>
                <w:sz w:val="24"/>
              </w:rPr>
              <w:t>三门峡市国际文博城会展中心二楼2-3会议室</w:t>
            </w:r>
            <w:r>
              <w:rPr>
                <w:rFonts w:hint="eastAsia" w:ascii="仿宋" w:hAnsi="仿宋" w:eastAsia="仿宋" w:cs="仿宋"/>
                <w:color w:val="auto"/>
                <w:kern w:val="0"/>
                <w:sz w:val="24"/>
                <w:lang w:bidi="ar"/>
              </w:rPr>
              <w:t>。</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3.4</w:t>
            </w:r>
          </w:p>
        </w:tc>
        <w:tc>
          <w:tcPr>
            <w:tcW w:w="2150"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承包方式</w:t>
            </w:r>
          </w:p>
        </w:tc>
        <w:tc>
          <w:tcPr>
            <w:tcW w:w="6828"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固定单价合同</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3.5</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单一来源采购</w:t>
            </w:r>
          </w:p>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小组的组建</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60" w:lineRule="exact"/>
              <w:textAlignment w:val="baseline"/>
              <w:rPr>
                <w:rFonts w:hint="eastAsia" w:ascii="仿宋" w:hAnsi="仿宋" w:eastAsia="仿宋" w:cs="仿宋"/>
                <w:color w:val="auto"/>
              </w:rPr>
            </w:pPr>
            <w:r>
              <w:rPr>
                <w:rFonts w:hint="eastAsia" w:ascii="仿宋" w:hAnsi="仿宋" w:eastAsia="仿宋" w:cs="仿宋"/>
                <w:color w:val="auto"/>
                <w:kern w:val="0"/>
                <w:sz w:val="24"/>
                <w:lang w:bidi="ar"/>
              </w:rPr>
              <w:t xml:space="preserve">  单一来源采购小组成员为7人，采购人代表2人，其余评审专家5人从</w:t>
            </w:r>
            <w:r>
              <w:rPr>
                <w:rFonts w:hint="eastAsia" w:ascii="仿宋" w:hAnsi="仿宋" w:eastAsia="仿宋" w:cs="仿宋"/>
                <w:color w:val="auto"/>
                <w:sz w:val="24"/>
                <w:lang w:bidi="ar"/>
              </w:rPr>
              <w:t>相关评标专家库中随机抽取。</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3.6</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44"/>
              </w:rPr>
            </w:pPr>
            <w:r>
              <w:rPr>
                <w:rFonts w:hint="eastAsia" w:ascii="仿宋" w:hAnsi="仿宋" w:eastAsia="仿宋" w:cs="仿宋"/>
                <w:color w:val="auto"/>
                <w:kern w:val="44"/>
                <w:sz w:val="24"/>
                <w:lang w:bidi="ar"/>
              </w:rPr>
              <w:t>是否授权</w:t>
            </w:r>
            <w:r>
              <w:rPr>
                <w:rFonts w:hint="eastAsia" w:ascii="仿宋" w:hAnsi="仿宋" w:eastAsia="仿宋" w:cs="仿宋"/>
                <w:color w:val="auto"/>
                <w:kern w:val="0"/>
                <w:sz w:val="24"/>
                <w:lang w:bidi="ar"/>
              </w:rPr>
              <w:t>单一来源</w:t>
            </w:r>
          </w:p>
          <w:p>
            <w:pPr>
              <w:widowControl/>
              <w:autoSpaceDE w:val="0"/>
              <w:autoSpaceDN w:val="0"/>
              <w:adjustRightInd w:val="0"/>
              <w:spacing w:line="460" w:lineRule="exact"/>
              <w:jc w:val="center"/>
              <w:rPr>
                <w:rFonts w:hint="eastAsia" w:ascii="仿宋" w:hAnsi="仿宋" w:eastAsia="仿宋" w:cs="仿宋"/>
                <w:color w:val="auto"/>
                <w:kern w:val="44"/>
              </w:rPr>
            </w:pPr>
            <w:r>
              <w:rPr>
                <w:rFonts w:hint="eastAsia" w:ascii="仿宋" w:hAnsi="仿宋" w:eastAsia="仿宋" w:cs="仿宋"/>
                <w:color w:val="auto"/>
                <w:kern w:val="44"/>
                <w:sz w:val="24"/>
                <w:lang w:bidi="ar"/>
              </w:rPr>
              <w:t>小组确定成交供应商</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kern w:val="44"/>
              </w:rPr>
            </w:pPr>
            <w:r>
              <w:rPr>
                <w:rFonts w:hint="eastAsia" w:ascii="仿宋" w:hAnsi="仿宋" w:eastAsia="仿宋" w:cs="仿宋"/>
                <w:color w:val="auto"/>
                <w:kern w:val="44"/>
                <w:sz w:val="24"/>
                <w:lang w:bidi="ar"/>
              </w:rPr>
              <w:t xml:space="preserve">  是</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3.7</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付款方式</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left"/>
              <w:rPr>
                <w:rFonts w:hint="eastAsia" w:ascii="仿宋" w:hAnsi="仿宋" w:eastAsia="仿宋" w:cs="仿宋"/>
                <w:color w:val="auto"/>
              </w:rPr>
            </w:pPr>
            <w:r>
              <w:rPr>
                <w:rFonts w:hint="eastAsia" w:ascii="仿宋" w:hAnsi="仿宋" w:eastAsia="仿宋" w:cs="仿宋"/>
                <w:color w:val="auto"/>
                <w:kern w:val="0"/>
                <w:sz w:val="24"/>
                <w:lang w:bidi="ar"/>
              </w:rPr>
              <w:t> 签订合同时，双方另行协商。</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3.8</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kern w:val="44"/>
                <w:sz w:val="24"/>
                <w:lang w:bidi="ar"/>
              </w:rPr>
            </w:pPr>
            <w:r>
              <w:rPr>
                <w:rFonts w:hint="eastAsia" w:ascii="仿宋" w:hAnsi="仿宋" w:eastAsia="仿宋" w:cs="仿宋"/>
                <w:color w:val="auto"/>
                <w:kern w:val="44"/>
                <w:sz w:val="24"/>
                <w:lang w:bidi="ar"/>
              </w:rPr>
              <w:t>招标控制价</w:t>
            </w:r>
          </w:p>
        </w:tc>
        <w:tc>
          <w:tcPr>
            <w:tcW w:w="6828"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ind w:firstLine="240" w:firstLineChars="100"/>
              <w:jc w:val="left"/>
              <w:rPr>
                <w:rFonts w:hint="eastAsia" w:ascii="仿宋" w:hAnsi="仿宋" w:eastAsia="仿宋" w:cs="仿宋"/>
                <w:color w:val="auto"/>
                <w:kern w:val="44"/>
                <w:sz w:val="24"/>
                <w:lang w:bidi="ar"/>
              </w:rPr>
            </w:pPr>
            <w:r>
              <w:rPr>
                <w:rFonts w:hint="eastAsia" w:ascii="仿宋" w:hAnsi="仿宋" w:eastAsia="仿宋" w:cs="仿宋"/>
                <w:color w:val="auto"/>
                <w:kern w:val="44"/>
                <w:sz w:val="24"/>
                <w:lang w:bidi="ar"/>
              </w:rPr>
              <w:t>本项目招标控制价A包为37072373.24元；B包为16209414.04元；C包为17717864.71元；D包为13931168.46元。凡响应供应商报价超出“招标控制价”的，该响应供应商的单一来源响应文件应作无效标处理。</w:t>
            </w:r>
          </w:p>
        </w:tc>
      </w:tr>
      <w:tr>
        <w:tblPrEx>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rPr>
            </w:pPr>
            <w:r>
              <w:rPr>
                <w:rFonts w:hint="eastAsia" w:ascii="仿宋" w:hAnsi="仿宋" w:eastAsia="仿宋" w:cs="仿宋"/>
                <w:color w:val="auto"/>
                <w:kern w:val="0"/>
                <w:sz w:val="24"/>
                <w:lang w:bidi="ar"/>
              </w:rPr>
              <w:t>3.9</w:t>
            </w:r>
          </w:p>
        </w:tc>
        <w:tc>
          <w:tcPr>
            <w:tcW w:w="2150" w:type="dxa"/>
            <w:tcBorders>
              <w:top w:val="single" w:color="auto" w:sz="4" w:space="0"/>
              <w:left w:val="nil"/>
              <w:bottom w:val="single" w:color="auto" w:sz="4" w:space="0"/>
              <w:right w:val="single" w:color="auto" w:sz="4" w:space="0"/>
            </w:tcBorders>
            <w:noWrap w:val="0"/>
            <w:vAlign w:val="center"/>
          </w:tcPr>
          <w:p>
            <w:pPr>
              <w:widowControl/>
              <w:autoSpaceDE w:val="0"/>
              <w:autoSpaceDN w:val="0"/>
              <w:adjustRightInd w:val="0"/>
              <w:spacing w:line="460" w:lineRule="exact"/>
              <w:jc w:val="center"/>
              <w:rPr>
                <w:rFonts w:hint="eastAsia" w:ascii="仿宋" w:hAnsi="仿宋" w:eastAsia="仿宋" w:cs="仿宋"/>
                <w:color w:val="auto"/>
                <w:sz w:val="24"/>
              </w:rPr>
            </w:pPr>
            <w:r>
              <w:rPr>
                <w:rFonts w:hint="eastAsia" w:ascii="仿宋" w:hAnsi="仿宋" w:eastAsia="仿宋" w:cs="仿宋"/>
                <w:color w:val="auto"/>
                <w:kern w:val="0"/>
                <w:sz w:val="24"/>
                <w:lang w:bidi="ar"/>
              </w:rPr>
              <w:t>成交服务费</w:t>
            </w:r>
          </w:p>
        </w:tc>
        <w:tc>
          <w:tcPr>
            <w:tcW w:w="68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60" w:lineRule="exact"/>
              <w:jc w:val="left"/>
              <w:rPr>
                <w:rFonts w:hint="eastAsia" w:ascii="仿宋" w:hAnsi="仿宋" w:eastAsia="仿宋" w:cs="仿宋"/>
                <w:color w:val="auto"/>
                <w:sz w:val="24"/>
              </w:rPr>
            </w:pPr>
            <w:r>
              <w:rPr>
                <w:rFonts w:hint="eastAsia" w:ascii="仿宋" w:hAnsi="仿宋" w:eastAsia="仿宋" w:cs="仿宋"/>
                <w:color w:val="auto"/>
                <w:kern w:val="0"/>
                <w:sz w:val="24"/>
                <w:lang w:bidi="ar"/>
              </w:rPr>
              <w:t xml:space="preserve">  参考河南省招标代理服务收费指导意见（豫招协[2023]002号）规定的收费标准计算</w:t>
            </w:r>
            <w:r>
              <w:rPr>
                <w:rFonts w:hint="eastAsia" w:ascii="仿宋" w:hAnsi="仿宋" w:eastAsia="仿宋" w:cs="仿宋"/>
                <w:color w:val="auto"/>
                <w:sz w:val="24"/>
              </w:rPr>
              <w:t>，由成交供应商支付。</w:t>
            </w:r>
          </w:p>
        </w:tc>
      </w:tr>
    </w:tbl>
    <w:p>
      <w:pPr>
        <w:autoSpaceDE w:val="0"/>
        <w:autoSpaceDN w:val="0"/>
        <w:adjustRightInd w:val="0"/>
        <w:spacing w:line="480" w:lineRule="exact"/>
        <w:jc w:val="left"/>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一、总则</w:t>
      </w:r>
    </w:p>
    <w:p>
      <w:pPr>
        <w:shd w:val="solid" w:color="FFFFFF" w:fill="auto"/>
        <w:autoSpaceDN w:val="0"/>
        <w:spacing w:line="440" w:lineRule="exact"/>
        <w:ind w:firstLine="482" w:firstLineChars="200"/>
        <w:jc w:val="left"/>
        <w:rPr>
          <w:rFonts w:hint="eastAsia" w:ascii="仿宋" w:hAnsi="仿宋" w:eastAsia="仿宋" w:cs="仿宋"/>
          <w:b/>
          <w:color w:val="auto"/>
          <w:kern w:val="0"/>
          <w:sz w:val="24"/>
          <w:lang w:bidi="ar"/>
        </w:rPr>
      </w:pPr>
      <w:r>
        <w:rPr>
          <w:rFonts w:hint="eastAsia" w:ascii="仿宋" w:hAnsi="仿宋" w:eastAsia="仿宋" w:cs="仿宋"/>
          <w:b/>
          <w:color w:val="auto"/>
          <w:kern w:val="0"/>
          <w:sz w:val="24"/>
          <w:lang w:bidi="ar"/>
        </w:rPr>
        <w:t>1.项目基本情况</w:t>
      </w:r>
    </w:p>
    <w:p>
      <w:pPr>
        <w:shd w:val="solid" w:color="FFFFFF" w:fill="auto"/>
        <w:autoSpaceDN w:val="0"/>
        <w:spacing w:line="440" w:lineRule="exact"/>
        <w:ind w:firstLine="482" w:firstLineChars="200"/>
        <w:jc w:val="left"/>
        <w:rPr>
          <w:rFonts w:hint="eastAsia" w:ascii="仿宋" w:hAnsi="仿宋" w:eastAsia="仿宋" w:cs="仿宋"/>
          <w:bCs/>
          <w:color w:val="auto"/>
          <w:sz w:val="24"/>
          <w:szCs w:val="22"/>
        </w:rPr>
      </w:pPr>
      <w:r>
        <w:rPr>
          <w:rFonts w:hint="eastAsia" w:ascii="仿宋" w:hAnsi="仿宋" w:eastAsia="仿宋" w:cs="仿宋"/>
          <w:b/>
          <w:color w:val="auto"/>
          <w:kern w:val="0"/>
          <w:sz w:val="24"/>
          <w:lang w:bidi="ar"/>
        </w:rPr>
        <w:t xml:space="preserve">1.1 </w:t>
      </w:r>
      <w:r>
        <w:rPr>
          <w:rFonts w:hint="eastAsia" w:ascii="仿宋" w:hAnsi="仿宋" w:eastAsia="仿宋" w:cs="仿宋"/>
          <w:bCs/>
          <w:color w:val="auto"/>
          <w:sz w:val="24"/>
          <w:szCs w:val="22"/>
        </w:rPr>
        <w:t>服务内容：本项目共划分四个标包，A包主要服务内容包含互联网+监管服务、工业互联网平台服务、智慧不动产登记综合管理平台服务、数据中台服务、公共安全视频图像系统基础数据平台升级服务、普惠金融平台服务；B包主要服务内容包含甘棠政务服务、政府集约化网站服务；C包主要服务内容包含互联网+放管服系统服务、互联网+营商环境系统服务；D包主要服务内容包含应急指挥平台服务、15个路口信号控制及电子警察服务。每标包具体内容及要求详见单一来源采购文件第三章。</w:t>
      </w:r>
    </w:p>
    <w:p>
      <w:pPr>
        <w:shd w:val="solid" w:color="FFFFFF" w:fill="auto"/>
        <w:autoSpaceDN w:val="0"/>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 xml:space="preserve">1.2 </w:t>
      </w:r>
      <w:r>
        <w:rPr>
          <w:rFonts w:hint="eastAsia" w:ascii="仿宋" w:hAnsi="仿宋" w:eastAsia="仿宋" w:cs="仿宋"/>
          <w:color w:val="auto"/>
          <w:sz w:val="24"/>
        </w:rPr>
        <w:t>预算金额：84930820.45元（A包：37072373.24元；B包为16209414.04元；C包：17717864.71元；D包13931168.46元）</w:t>
      </w:r>
    </w:p>
    <w:p>
      <w:pPr>
        <w:shd w:val="solid" w:color="FFFFFF" w:fill="auto"/>
        <w:autoSpaceDN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1.3 </w:t>
      </w:r>
      <w:r>
        <w:rPr>
          <w:rFonts w:hint="eastAsia" w:ascii="仿宋" w:hAnsi="仿宋" w:eastAsia="仿宋" w:cs="仿宋"/>
          <w:color w:val="auto"/>
          <w:kern w:val="44"/>
          <w:sz w:val="24"/>
          <w:lang w:bidi="ar"/>
        </w:rPr>
        <w:t>招标控制价：</w:t>
      </w:r>
      <w:r>
        <w:rPr>
          <w:rFonts w:hint="eastAsia" w:ascii="仿宋" w:hAnsi="仿宋" w:eastAsia="仿宋" w:cs="仿宋"/>
          <w:color w:val="auto"/>
          <w:sz w:val="24"/>
        </w:rPr>
        <w:t>84930820.45元（A包：37072373.24元；B包为16209414.04元；C包：17717864.71元；D包13931168.46元）</w:t>
      </w:r>
    </w:p>
    <w:p>
      <w:pPr>
        <w:shd w:val="solid" w:color="FFFFFF" w:fill="auto"/>
        <w:autoSpaceDN w:val="0"/>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 xml:space="preserve">1.4 </w:t>
      </w:r>
      <w:r>
        <w:rPr>
          <w:rFonts w:hint="eastAsia" w:ascii="仿宋" w:hAnsi="仿宋" w:eastAsia="仿宋" w:cs="仿宋"/>
          <w:color w:val="auto"/>
          <w:sz w:val="24"/>
        </w:rPr>
        <w:t>资金来源：财政资金，已落实。</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1.5</w:t>
      </w:r>
      <w:r>
        <w:rPr>
          <w:rFonts w:hint="eastAsia" w:ascii="仿宋" w:hAnsi="仿宋" w:eastAsia="仿宋" w:cs="仿宋"/>
          <w:color w:val="auto"/>
          <w:sz w:val="24"/>
          <w:szCs w:val="22"/>
        </w:rPr>
        <w:t>服务质量：合格，满足采购人需求。</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1.6</w:t>
      </w:r>
      <w:r>
        <w:rPr>
          <w:rFonts w:hint="eastAsia" w:ascii="仿宋" w:hAnsi="仿宋" w:eastAsia="仿宋" w:cs="仿宋"/>
          <w:color w:val="auto"/>
          <w:sz w:val="24"/>
        </w:rPr>
        <w:t>服务期限：三年</w:t>
      </w:r>
    </w:p>
    <w:p>
      <w:pPr>
        <w:autoSpaceDE w:val="0"/>
        <w:autoSpaceDN w:val="0"/>
        <w:adjustRightInd w:val="0"/>
        <w:spacing w:line="480" w:lineRule="exact"/>
        <w:ind w:firstLine="424" w:firstLineChars="176"/>
        <w:jc w:val="left"/>
        <w:rPr>
          <w:rFonts w:hint="eastAsia" w:ascii="仿宋" w:hAnsi="仿宋" w:eastAsia="仿宋" w:cs="仿宋"/>
          <w:b/>
          <w:color w:val="auto"/>
        </w:rPr>
      </w:pPr>
      <w:r>
        <w:rPr>
          <w:rFonts w:hint="eastAsia" w:ascii="仿宋" w:hAnsi="仿宋" w:eastAsia="仿宋" w:cs="仿宋"/>
          <w:b/>
          <w:color w:val="auto"/>
          <w:kern w:val="0"/>
          <w:sz w:val="24"/>
          <w:lang w:bidi="ar"/>
        </w:rPr>
        <w:t>2.单一来源采购费用</w:t>
      </w:r>
    </w:p>
    <w:p>
      <w:pPr>
        <w:autoSpaceDE w:val="0"/>
        <w:autoSpaceDN w:val="0"/>
        <w:adjustRightInd w:val="0"/>
        <w:spacing w:line="480" w:lineRule="exact"/>
        <w:ind w:firstLine="472" w:firstLineChars="196"/>
        <w:jc w:val="left"/>
        <w:rPr>
          <w:rFonts w:hint="eastAsia" w:ascii="仿宋" w:hAnsi="仿宋" w:eastAsia="仿宋" w:cs="仿宋"/>
          <w:color w:val="auto"/>
        </w:rPr>
      </w:pPr>
      <w:r>
        <w:rPr>
          <w:rFonts w:hint="eastAsia" w:ascii="仿宋" w:hAnsi="仿宋" w:eastAsia="仿宋" w:cs="仿宋"/>
          <w:b/>
          <w:color w:val="auto"/>
          <w:kern w:val="0"/>
          <w:sz w:val="24"/>
          <w:shd w:val="clear" w:color="auto" w:fill="FFFFFF"/>
          <w:lang w:bidi="ar"/>
        </w:rPr>
        <w:t xml:space="preserve">2.1 </w:t>
      </w:r>
      <w:r>
        <w:rPr>
          <w:rFonts w:hint="eastAsia" w:ascii="仿宋" w:hAnsi="仿宋" w:eastAsia="仿宋" w:cs="仿宋"/>
          <w:color w:val="auto"/>
          <w:kern w:val="0"/>
          <w:sz w:val="24"/>
          <w:shd w:val="clear" w:color="auto" w:fill="FFFFFF"/>
          <w:lang w:bidi="ar"/>
        </w:rPr>
        <w:t>供应商</w:t>
      </w:r>
      <w:r>
        <w:rPr>
          <w:rFonts w:hint="eastAsia" w:ascii="仿宋" w:hAnsi="仿宋" w:eastAsia="仿宋" w:cs="仿宋"/>
          <w:color w:val="auto"/>
          <w:kern w:val="0"/>
          <w:sz w:val="24"/>
          <w:lang w:bidi="ar"/>
        </w:rPr>
        <w:t>应承担其编制响应文件以及投标过程中所发生的一切费用。在任何情况下采购人和采购代理机构对上述费用均不负担任何责任。</w:t>
      </w:r>
    </w:p>
    <w:p>
      <w:pPr>
        <w:autoSpaceDE w:val="0"/>
        <w:autoSpaceDN w:val="0"/>
        <w:adjustRightInd w:val="0"/>
        <w:spacing w:line="480" w:lineRule="exact"/>
        <w:jc w:val="left"/>
        <w:rPr>
          <w:rFonts w:hint="eastAsia" w:ascii="仿宋" w:hAnsi="仿宋" w:eastAsia="仿宋" w:cs="仿宋"/>
          <w:b/>
          <w:color w:val="auto"/>
        </w:rPr>
      </w:pPr>
      <w:r>
        <w:rPr>
          <w:rFonts w:hint="eastAsia" w:ascii="仿宋" w:hAnsi="仿宋" w:eastAsia="仿宋" w:cs="仿宋"/>
          <w:b/>
          <w:color w:val="auto"/>
          <w:kern w:val="0"/>
          <w:sz w:val="24"/>
          <w:lang w:bidi="ar"/>
        </w:rPr>
        <w:t xml:space="preserve">    3.保证</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3.1 </w:t>
      </w:r>
      <w:r>
        <w:rPr>
          <w:rFonts w:hint="eastAsia" w:ascii="仿宋" w:hAnsi="仿宋" w:eastAsia="仿宋" w:cs="仿宋"/>
          <w:color w:val="auto"/>
          <w:kern w:val="0"/>
          <w:sz w:val="24"/>
          <w:lang w:bidi="ar"/>
        </w:rPr>
        <w:t>供应商应保证在单一来源响应文件中所提交的资料和数据是真实的。</w:t>
      </w:r>
    </w:p>
    <w:p>
      <w:pPr>
        <w:autoSpaceDE w:val="0"/>
        <w:autoSpaceDN w:val="0"/>
        <w:adjustRightInd w:val="0"/>
        <w:spacing w:line="480" w:lineRule="exact"/>
        <w:ind w:firstLine="678" w:firstLineChars="225"/>
        <w:jc w:val="center"/>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二、单一来源采购文件</w:t>
      </w:r>
    </w:p>
    <w:p>
      <w:pPr>
        <w:autoSpaceDE w:val="0"/>
        <w:autoSpaceDN w:val="0"/>
        <w:adjustRightInd w:val="0"/>
        <w:spacing w:line="480" w:lineRule="exact"/>
        <w:ind w:firstLine="424" w:firstLineChars="176"/>
        <w:jc w:val="left"/>
        <w:rPr>
          <w:rFonts w:hint="eastAsia" w:ascii="仿宋" w:hAnsi="仿宋" w:eastAsia="仿宋" w:cs="仿宋"/>
          <w:b/>
          <w:color w:val="auto"/>
        </w:rPr>
      </w:pPr>
      <w:r>
        <w:rPr>
          <w:rFonts w:hint="eastAsia" w:ascii="仿宋" w:hAnsi="仿宋" w:eastAsia="仿宋" w:cs="仿宋"/>
          <w:b/>
          <w:color w:val="auto"/>
          <w:kern w:val="0"/>
          <w:sz w:val="24"/>
          <w:lang w:bidi="ar"/>
        </w:rPr>
        <w:t>4.单一来源采购文件的组成</w:t>
      </w:r>
    </w:p>
    <w:p>
      <w:pPr>
        <w:autoSpaceDE w:val="0"/>
        <w:autoSpaceDN w:val="0"/>
        <w:adjustRightInd w:val="0"/>
        <w:spacing w:line="480" w:lineRule="exact"/>
        <w:ind w:firstLine="424" w:firstLineChars="176"/>
        <w:jc w:val="left"/>
        <w:rPr>
          <w:rFonts w:hint="eastAsia" w:ascii="仿宋" w:hAnsi="仿宋" w:eastAsia="仿宋" w:cs="仿宋"/>
          <w:color w:val="auto"/>
        </w:rPr>
      </w:pPr>
      <w:r>
        <w:rPr>
          <w:rFonts w:hint="eastAsia" w:ascii="仿宋" w:hAnsi="仿宋" w:eastAsia="仿宋" w:cs="仿宋"/>
          <w:b/>
          <w:color w:val="auto"/>
          <w:kern w:val="0"/>
          <w:sz w:val="24"/>
          <w:lang w:bidi="ar"/>
        </w:rPr>
        <w:t>4.1</w:t>
      </w:r>
      <w:r>
        <w:rPr>
          <w:rFonts w:hint="eastAsia" w:ascii="仿宋" w:hAnsi="仿宋" w:eastAsia="仿宋" w:cs="仿宋"/>
          <w:color w:val="auto"/>
          <w:kern w:val="0"/>
          <w:sz w:val="24"/>
          <w:lang w:bidi="ar"/>
        </w:rPr>
        <w:t xml:space="preserve">单一来源采购文件包含以下内容：   </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第一章  单一来源采购公示、公告       </w:t>
      </w:r>
    </w:p>
    <w:p>
      <w:pPr>
        <w:autoSpaceDE w:val="0"/>
        <w:autoSpaceDN w:val="0"/>
        <w:adjustRightInd w:val="0"/>
        <w:spacing w:line="480" w:lineRule="exact"/>
        <w:ind w:firstLine="600" w:firstLineChars="250"/>
        <w:jc w:val="left"/>
        <w:rPr>
          <w:rFonts w:hint="eastAsia" w:ascii="仿宋" w:hAnsi="仿宋" w:eastAsia="仿宋" w:cs="仿宋"/>
          <w:color w:val="auto"/>
        </w:rPr>
      </w:pPr>
      <w:r>
        <w:rPr>
          <w:rFonts w:hint="eastAsia" w:ascii="仿宋" w:hAnsi="仿宋" w:eastAsia="仿宋" w:cs="仿宋"/>
          <w:color w:val="auto"/>
          <w:kern w:val="0"/>
          <w:sz w:val="24"/>
          <w:lang w:bidi="ar"/>
        </w:rPr>
        <w:t>第二章  供应商须知及前附表</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供应商须知前附表</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一、  总则</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二、  单一来源采购文件</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三、  单一来源响应文件的编制</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四、  单一来源响应文件的递交</w:t>
      </w:r>
    </w:p>
    <w:p>
      <w:pPr>
        <w:autoSpaceDE w:val="0"/>
        <w:adjustRightInd w:val="0"/>
        <w:spacing w:line="480" w:lineRule="exact"/>
        <w:rPr>
          <w:rFonts w:hint="eastAsia" w:ascii="仿宋" w:hAnsi="仿宋" w:eastAsia="仿宋" w:cs="仿宋"/>
          <w:color w:val="auto"/>
        </w:rPr>
      </w:pPr>
      <w:r>
        <w:rPr>
          <w:rFonts w:hint="eastAsia" w:ascii="仿宋" w:hAnsi="仿宋" w:eastAsia="仿宋" w:cs="仿宋"/>
          <w:color w:val="auto"/>
          <w:kern w:val="0"/>
          <w:sz w:val="24"/>
          <w:lang w:bidi="ar"/>
        </w:rPr>
        <w:t xml:space="preserve">          五、  谈判</w:t>
      </w:r>
    </w:p>
    <w:p>
      <w:pPr>
        <w:autoSpaceDE w:val="0"/>
        <w:adjustRightInd w:val="0"/>
        <w:spacing w:line="480" w:lineRule="exact"/>
        <w:rPr>
          <w:rFonts w:hint="eastAsia" w:ascii="仿宋" w:hAnsi="仿宋" w:eastAsia="仿宋" w:cs="仿宋"/>
          <w:color w:val="auto"/>
        </w:rPr>
      </w:pPr>
      <w:r>
        <w:rPr>
          <w:rFonts w:hint="eastAsia" w:ascii="仿宋" w:hAnsi="仿宋" w:eastAsia="仿宋" w:cs="仿宋"/>
          <w:color w:val="auto"/>
          <w:kern w:val="0"/>
          <w:sz w:val="24"/>
          <w:lang w:bidi="ar"/>
        </w:rPr>
        <w:t xml:space="preserve">          六、  成交</w:t>
      </w:r>
    </w:p>
    <w:p>
      <w:pPr>
        <w:autoSpaceDE w:val="0"/>
        <w:adjustRightInd w:val="0"/>
        <w:spacing w:line="480" w:lineRule="exact"/>
        <w:rPr>
          <w:rFonts w:hint="eastAsia" w:ascii="仿宋" w:hAnsi="仿宋" w:eastAsia="仿宋" w:cs="仿宋"/>
          <w:color w:val="auto"/>
        </w:rPr>
      </w:pPr>
      <w:r>
        <w:rPr>
          <w:rFonts w:hint="eastAsia" w:ascii="仿宋" w:hAnsi="仿宋" w:eastAsia="仿宋" w:cs="仿宋"/>
          <w:color w:val="auto"/>
          <w:kern w:val="0"/>
          <w:sz w:val="24"/>
          <w:lang w:bidi="ar"/>
        </w:rPr>
        <w:t xml:space="preserve">          七、  其他</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第三章  服务内容及要求</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第四章  合同条款及格式</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第五章  单一来源响应文件格式</w:t>
      </w:r>
    </w:p>
    <w:p>
      <w:pPr>
        <w:autoSpaceDE w:val="0"/>
        <w:autoSpaceDN w:val="0"/>
        <w:adjustRightInd w:val="0"/>
        <w:spacing w:line="480" w:lineRule="exact"/>
        <w:ind w:firstLine="465"/>
        <w:jc w:val="left"/>
        <w:rPr>
          <w:rFonts w:hint="eastAsia" w:ascii="仿宋" w:hAnsi="仿宋" w:eastAsia="仿宋" w:cs="仿宋"/>
          <w:color w:val="auto"/>
        </w:rPr>
      </w:pPr>
      <w:r>
        <w:rPr>
          <w:rFonts w:hint="eastAsia" w:ascii="仿宋" w:hAnsi="仿宋" w:eastAsia="仿宋" w:cs="仿宋"/>
          <w:b/>
          <w:color w:val="auto"/>
          <w:kern w:val="0"/>
          <w:sz w:val="24"/>
          <w:lang w:bidi="ar"/>
        </w:rPr>
        <w:t>4.2</w:t>
      </w:r>
      <w:r>
        <w:rPr>
          <w:rFonts w:hint="eastAsia" w:ascii="仿宋" w:hAnsi="仿宋" w:eastAsia="仿宋" w:cs="仿宋"/>
          <w:color w:val="auto"/>
          <w:kern w:val="0"/>
          <w:sz w:val="24"/>
          <w:lang w:bidi="ar"/>
        </w:rPr>
        <w:t>供应商应详细阅读单一来源采购文件中的所有条款内容、格式、表格和所涉及的相关规范。如有残缺，应在获得单一来源采购文件后向采购人提出。否则，因此引起的损失由供应商自己承担。</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5.单一来源采购文件的澄清及答疑</w:t>
      </w:r>
    </w:p>
    <w:p>
      <w:pPr>
        <w:autoSpaceDE w:val="0"/>
        <w:autoSpaceDN w:val="0"/>
        <w:adjustRightInd w:val="0"/>
        <w:spacing w:line="480" w:lineRule="exact"/>
        <w:ind w:firstLine="570"/>
        <w:jc w:val="left"/>
        <w:rPr>
          <w:rFonts w:hint="eastAsia" w:ascii="仿宋" w:hAnsi="仿宋" w:eastAsia="仿宋" w:cs="仿宋"/>
          <w:color w:val="auto"/>
        </w:rPr>
      </w:pPr>
      <w:r>
        <w:rPr>
          <w:rFonts w:hint="eastAsia" w:ascii="仿宋" w:hAnsi="仿宋" w:eastAsia="仿宋" w:cs="仿宋"/>
          <w:b/>
          <w:color w:val="auto"/>
          <w:kern w:val="0"/>
          <w:sz w:val="24"/>
          <w:lang w:bidi="ar"/>
        </w:rPr>
        <w:t>5.1</w:t>
      </w:r>
      <w:r>
        <w:rPr>
          <w:rFonts w:hint="eastAsia" w:ascii="仿宋" w:hAnsi="仿宋" w:eastAsia="仿宋" w:cs="仿宋"/>
          <w:color w:val="auto"/>
          <w:kern w:val="0"/>
          <w:sz w:val="24"/>
          <w:lang w:bidi="ar"/>
        </w:rPr>
        <w:t>供应商在获得单一来源采购文件后，如有问题需要采购人澄清和解答，应在单一来源采购截止时间前将需澄清及答疑内容以书面形式并加盖单位公章提交至采购代理机构。采购人只对书面问题做出答复。</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6.单一来源采购文件的修改</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6.l</w:t>
      </w:r>
      <w:r>
        <w:rPr>
          <w:rFonts w:hint="eastAsia" w:ascii="仿宋" w:hAnsi="仿宋" w:eastAsia="仿宋" w:cs="仿宋"/>
          <w:color w:val="auto"/>
          <w:kern w:val="0"/>
          <w:sz w:val="24"/>
          <w:lang w:bidi="ar"/>
        </w:rPr>
        <w:t>开标2日前，采购人可以用补充文件的方式修改单一来源采购文件。补充文件将作为单一来源采购文件组成部分，具有约束作用。</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6.2</w:t>
      </w:r>
      <w:r>
        <w:rPr>
          <w:rFonts w:hint="eastAsia" w:ascii="仿宋" w:hAnsi="仿宋" w:eastAsia="仿宋" w:cs="仿宋"/>
          <w:color w:val="auto"/>
          <w:kern w:val="0"/>
          <w:sz w:val="24"/>
          <w:lang w:bidi="ar"/>
        </w:rPr>
        <w:t>单一来源采购文件、修改补充通知、答疑等均以书面明确的内容为准，当单一来源采购文件、修改补充通知、答疑等在同一内容的表述上不一致时，以最后发出的通知（文件）为准。</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6.3</w:t>
      </w:r>
      <w:r>
        <w:rPr>
          <w:rFonts w:hint="eastAsia" w:ascii="仿宋" w:hAnsi="仿宋" w:eastAsia="仿宋" w:cs="仿宋"/>
          <w:color w:val="auto"/>
          <w:kern w:val="0"/>
          <w:sz w:val="24"/>
          <w:lang w:bidi="ar"/>
        </w:rPr>
        <w:t>所有的补充文件都将以书面形式发给供应商，供应商应以书面形式确认收到的每一份补充文件。</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6.4</w:t>
      </w:r>
      <w:r>
        <w:rPr>
          <w:rFonts w:hint="eastAsia" w:ascii="仿宋" w:hAnsi="仿宋" w:eastAsia="仿宋" w:cs="仿宋"/>
          <w:color w:val="auto"/>
          <w:kern w:val="0"/>
          <w:sz w:val="24"/>
          <w:lang w:bidi="ar"/>
        </w:rPr>
        <w:t>为了给供应商合理的时间，使其在编制单一来源响应文件时把补充文件内容考虑进去，采购人可以酌情延长投标截止时间,并将此变更通知供应商。</w:t>
      </w:r>
    </w:p>
    <w:p>
      <w:pPr>
        <w:autoSpaceDE w:val="0"/>
        <w:autoSpaceDN w:val="0"/>
        <w:adjustRightInd w:val="0"/>
        <w:spacing w:line="480" w:lineRule="exact"/>
        <w:jc w:val="center"/>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三、单一来源响应文件的编制</w:t>
      </w:r>
    </w:p>
    <w:p>
      <w:pPr>
        <w:autoSpaceDE w:val="0"/>
        <w:autoSpaceDN w:val="0"/>
        <w:adjustRightInd w:val="0"/>
        <w:spacing w:line="480" w:lineRule="exact"/>
        <w:jc w:val="left"/>
        <w:rPr>
          <w:rFonts w:hint="eastAsia" w:ascii="仿宋" w:hAnsi="仿宋" w:eastAsia="仿宋" w:cs="仿宋"/>
          <w:b/>
          <w:color w:val="auto"/>
        </w:rPr>
      </w:pPr>
      <w:r>
        <w:rPr>
          <w:rFonts w:hint="eastAsia" w:ascii="仿宋" w:hAnsi="仿宋" w:eastAsia="仿宋" w:cs="仿宋"/>
          <w:b/>
          <w:color w:val="auto"/>
          <w:kern w:val="0"/>
          <w:sz w:val="24"/>
          <w:lang w:bidi="ar"/>
        </w:rPr>
        <w:t xml:space="preserve">    7.单一来源响应文件编制及要求</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7.1</w:t>
      </w:r>
      <w:r>
        <w:rPr>
          <w:rFonts w:hint="eastAsia" w:ascii="仿宋" w:hAnsi="仿宋" w:eastAsia="仿宋" w:cs="仿宋"/>
          <w:color w:val="auto"/>
          <w:kern w:val="0"/>
          <w:sz w:val="24"/>
          <w:lang w:bidi="ar"/>
        </w:rPr>
        <w:t>供应商应当按照单一来源文件的要求编制单一来源响应文件，单一来源响应文件应当对单一来源文件提出的要求和条件作出实质性应答。</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7.2</w:t>
      </w:r>
      <w:r>
        <w:rPr>
          <w:rFonts w:hint="eastAsia" w:ascii="仿宋" w:hAnsi="仿宋" w:eastAsia="仿宋" w:cs="仿宋"/>
          <w:color w:val="auto"/>
          <w:kern w:val="0"/>
          <w:sz w:val="24"/>
          <w:lang w:bidi="ar"/>
        </w:rPr>
        <w:t>单一来源响应供应商提交的单一来源响应文件应包括但不限于以下资料：</w:t>
      </w:r>
    </w:p>
    <w:p>
      <w:pPr>
        <w:autoSpaceDE w:val="0"/>
        <w:autoSpaceDN w:val="0"/>
        <w:adjustRightInd w:val="0"/>
        <w:spacing w:line="480" w:lineRule="exact"/>
        <w:ind w:firstLine="482" w:firstLineChars="200"/>
        <w:jc w:val="left"/>
        <w:rPr>
          <w:rFonts w:hint="eastAsia" w:ascii="仿宋" w:hAnsi="仿宋" w:eastAsia="仿宋" w:cs="仿宋"/>
          <w:b/>
          <w:color w:val="auto"/>
          <w:kern w:val="0"/>
          <w:sz w:val="24"/>
          <w:lang w:bidi="ar"/>
        </w:rPr>
      </w:pPr>
      <w:r>
        <w:rPr>
          <w:rFonts w:hint="eastAsia" w:ascii="仿宋" w:hAnsi="仿宋" w:eastAsia="仿宋" w:cs="仿宋"/>
          <w:b/>
          <w:color w:val="auto"/>
          <w:kern w:val="0"/>
          <w:sz w:val="24"/>
          <w:lang w:bidi="ar"/>
        </w:rPr>
        <w:t>7.2.1综合标</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（1）法定代表人身份证明书</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（2）响应函</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（3）首次报价一览表</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（4）单一来源承诺函</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（5）无商业贿赂及不正当竞争行为承诺书</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（6）响应供应商基本情况表</w:t>
      </w:r>
    </w:p>
    <w:p>
      <w:pPr>
        <w:autoSpaceDE w:val="0"/>
        <w:autoSpaceDN w:val="0"/>
        <w:adjustRightInd w:val="0"/>
        <w:spacing w:line="500" w:lineRule="exact"/>
        <w:ind w:firstLine="566" w:firstLineChars="235"/>
        <w:jc w:val="left"/>
        <w:rPr>
          <w:rFonts w:hint="eastAsia" w:ascii="仿宋" w:hAnsi="仿宋" w:eastAsia="仿宋" w:cs="仿宋"/>
          <w:b/>
          <w:color w:val="auto"/>
          <w:kern w:val="0"/>
          <w:sz w:val="24"/>
        </w:rPr>
      </w:pPr>
      <w:r>
        <w:rPr>
          <w:rFonts w:hint="eastAsia" w:ascii="仿宋" w:hAnsi="仿宋" w:eastAsia="仿宋" w:cs="仿宋"/>
          <w:b/>
          <w:bCs/>
          <w:color w:val="auto"/>
          <w:kern w:val="0"/>
          <w:sz w:val="24"/>
        </w:rPr>
        <w:t>7.2.2</w:t>
      </w:r>
      <w:r>
        <w:rPr>
          <w:rFonts w:hint="eastAsia" w:ascii="仿宋" w:hAnsi="仿宋" w:eastAsia="仿宋" w:cs="仿宋"/>
          <w:b/>
          <w:color w:val="auto"/>
          <w:kern w:val="0"/>
          <w:sz w:val="24"/>
        </w:rPr>
        <w:t>技术标</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（7）服务方案</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（8）项目管理机构</w:t>
      </w:r>
    </w:p>
    <w:p>
      <w:pPr>
        <w:autoSpaceDE w:val="0"/>
        <w:autoSpaceDN w:val="0"/>
        <w:adjustRightInd w:val="0"/>
        <w:spacing w:line="500" w:lineRule="exact"/>
        <w:ind w:firstLine="564" w:firstLineChars="235"/>
        <w:jc w:val="left"/>
        <w:rPr>
          <w:rFonts w:hint="eastAsia" w:ascii="仿宋" w:hAnsi="仿宋" w:eastAsia="仿宋" w:cs="仿宋"/>
          <w:color w:val="auto"/>
          <w:kern w:val="0"/>
          <w:sz w:val="24"/>
        </w:rPr>
      </w:pPr>
      <w:r>
        <w:rPr>
          <w:rFonts w:hint="eastAsia" w:ascii="仿宋" w:hAnsi="仿宋" w:eastAsia="仿宋" w:cs="仿宋"/>
          <w:color w:val="auto"/>
          <w:kern w:val="0"/>
          <w:sz w:val="24"/>
        </w:rPr>
        <w:t>（9）响应供应商可提交的其他资料</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7.3投标报价</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7.3.1 </w:t>
      </w:r>
      <w:r>
        <w:rPr>
          <w:rFonts w:hint="eastAsia" w:ascii="仿宋" w:hAnsi="仿宋" w:eastAsia="仿宋" w:cs="仿宋"/>
          <w:color w:val="auto"/>
          <w:kern w:val="0"/>
          <w:sz w:val="24"/>
          <w:lang w:bidi="ar"/>
        </w:rPr>
        <w:t>供应商应根据采购人提供的项目内容资料及技术资料，自主报价。</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7.3.2 </w:t>
      </w:r>
      <w:r>
        <w:rPr>
          <w:rFonts w:hint="eastAsia" w:ascii="仿宋" w:hAnsi="仿宋" w:eastAsia="仿宋" w:cs="仿宋"/>
          <w:color w:val="auto"/>
          <w:kern w:val="0"/>
          <w:sz w:val="24"/>
          <w:lang w:bidi="ar"/>
        </w:rPr>
        <w:t>本次采购为单一来源采购，允许二次报价。</w:t>
      </w:r>
    </w:p>
    <w:p>
      <w:pPr>
        <w:autoSpaceDE w:val="0"/>
        <w:autoSpaceDN w:val="0"/>
        <w:adjustRightInd w:val="0"/>
        <w:spacing w:line="480" w:lineRule="exact"/>
        <w:jc w:val="left"/>
        <w:rPr>
          <w:rFonts w:hint="eastAsia" w:ascii="仿宋" w:hAnsi="仿宋" w:eastAsia="仿宋" w:cs="仿宋"/>
          <w:b/>
          <w:color w:val="auto"/>
        </w:rPr>
      </w:pPr>
      <w:r>
        <w:rPr>
          <w:rFonts w:hint="eastAsia" w:ascii="仿宋" w:hAnsi="仿宋" w:eastAsia="仿宋" w:cs="仿宋"/>
          <w:b/>
          <w:color w:val="auto"/>
          <w:kern w:val="0"/>
          <w:sz w:val="24"/>
          <w:lang w:bidi="ar"/>
        </w:rPr>
        <w:t xml:space="preserve">    8.单一来源采购有效期</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    8.1</w:t>
      </w:r>
      <w:r>
        <w:rPr>
          <w:rFonts w:hint="eastAsia" w:ascii="仿宋" w:hAnsi="仿宋" w:eastAsia="仿宋" w:cs="仿宋"/>
          <w:color w:val="auto"/>
          <w:kern w:val="0"/>
          <w:sz w:val="24"/>
          <w:lang w:bidi="ar"/>
        </w:rPr>
        <w:t>单一来源响应文件从开标之时起开始生效，单一来源采购有效期为60天。</w:t>
      </w:r>
    </w:p>
    <w:p>
      <w:pPr>
        <w:autoSpaceDE w:val="0"/>
        <w:autoSpaceDN w:val="0"/>
        <w:adjustRightInd w:val="0"/>
        <w:spacing w:line="480" w:lineRule="exact"/>
        <w:ind w:firstLine="480"/>
        <w:jc w:val="left"/>
        <w:rPr>
          <w:rFonts w:hint="eastAsia" w:ascii="仿宋" w:hAnsi="仿宋" w:eastAsia="仿宋" w:cs="仿宋"/>
          <w:color w:val="auto"/>
          <w:kern w:val="0"/>
          <w:sz w:val="24"/>
          <w:lang w:bidi="ar"/>
        </w:rPr>
      </w:pPr>
      <w:r>
        <w:rPr>
          <w:rFonts w:hint="eastAsia" w:ascii="仿宋" w:hAnsi="仿宋" w:eastAsia="仿宋" w:cs="仿宋"/>
          <w:b/>
          <w:color w:val="auto"/>
          <w:kern w:val="0"/>
          <w:sz w:val="24"/>
          <w:lang w:bidi="ar"/>
        </w:rPr>
        <w:t>8.2</w:t>
      </w:r>
      <w:r>
        <w:rPr>
          <w:rFonts w:hint="eastAsia" w:ascii="仿宋" w:hAnsi="仿宋" w:eastAsia="仿宋" w:cs="仿宋"/>
          <w:color w:val="auto"/>
          <w:kern w:val="0"/>
          <w:sz w:val="24"/>
          <w:lang w:bidi="ar"/>
        </w:rPr>
        <w:t>在特殊情况下，采购人可征求供应商同意延长单一来源采购有效期，这种要求和答复均应以信函、传真等书面形式提交。</w:t>
      </w:r>
    </w:p>
    <w:p>
      <w:pPr>
        <w:autoSpaceDE w:val="0"/>
        <w:autoSpaceDN w:val="0"/>
        <w:adjustRightInd w:val="0"/>
        <w:spacing w:line="480" w:lineRule="exact"/>
        <w:ind w:firstLine="480"/>
        <w:jc w:val="left"/>
        <w:rPr>
          <w:rFonts w:hint="eastAsia" w:ascii="仿宋" w:hAnsi="仿宋" w:eastAsia="仿宋" w:cs="仿宋"/>
          <w:b/>
          <w:color w:val="auto"/>
        </w:rPr>
      </w:pPr>
      <w:r>
        <w:rPr>
          <w:rFonts w:hint="eastAsia" w:ascii="仿宋" w:hAnsi="仿宋" w:eastAsia="仿宋" w:cs="仿宋"/>
          <w:b/>
          <w:color w:val="auto"/>
          <w:kern w:val="0"/>
          <w:sz w:val="24"/>
          <w:lang w:bidi="ar"/>
        </w:rPr>
        <w:t>9.单一来源采购保证金</w:t>
      </w:r>
    </w:p>
    <w:p>
      <w:pPr>
        <w:spacing w:line="500" w:lineRule="exact"/>
        <w:ind w:firstLine="426" w:firstLineChars="177"/>
        <w:rPr>
          <w:rFonts w:hint="eastAsia" w:ascii="仿宋" w:hAnsi="仿宋" w:eastAsia="仿宋" w:cs="仿宋"/>
          <w:color w:val="auto"/>
          <w:kern w:val="0"/>
          <w:sz w:val="24"/>
          <w:lang w:val="zh-CN"/>
        </w:rPr>
      </w:pPr>
      <w:r>
        <w:rPr>
          <w:rFonts w:hint="eastAsia" w:ascii="仿宋" w:hAnsi="仿宋" w:eastAsia="仿宋" w:cs="仿宋"/>
          <w:b/>
          <w:color w:val="auto"/>
          <w:kern w:val="0"/>
          <w:sz w:val="24"/>
          <w:lang w:bidi="ar"/>
        </w:rPr>
        <w:t>9.1</w:t>
      </w:r>
      <w:r>
        <w:rPr>
          <w:rFonts w:hint="eastAsia" w:ascii="仿宋" w:hAnsi="仿宋" w:eastAsia="仿宋" w:cs="仿宋"/>
          <w:color w:val="auto"/>
          <w:kern w:val="0"/>
          <w:sz w:val="24"/>
        </w:rPr>
        <w:t>根据《河南省财政厅关于优化政府采购营商环境有关问题的通知》（豫财购【2019】4号）第6条的规定，投标保证金不再收取，需提供投标承诺函（详见</w:t>
      </w:r>
      <w:r>
        <w:rPr>
          <w:rFonts w:hint="eastAsia" w:ascii="仿宋" w:hAnsi="仿宋" w:eastAsia="仿宋" w:cs="仿宋"/>
          <w:bCs/>
          <w:color w:val="auto"/>
          <w:kern w:val="0"/>
          <w:sz w:val="24"/>
        </w:rPr>
        <w:t>电子化投标文件格式</w:t>
      </w:r>
      <w:r>
        <w:rPr>
          <w:rFonts w:hint="eastAsia" w:ascii="仿宋" w:hAnsi="仿宋" w:eastAsia="仿宋" w:cs="仿宋"/>
          <w:color w:val="auto"/>
          <w:kern w:val="0"/>
          <w:sz w:val="24"/>
        </w:rPr>
        <w:t>）</w:t>
      </w:r>
      <w:r>
        <w:rPr>
          <w:rFonts w:hint="eastAsia" w:ascii="仿宋" w:hAnsi="仿宋" w:eastAsia="仿宋" w:cs="仿宋"/>
          <w:color w:val="auto"/>
          <w:kern w:val="0"/>
          <w:sz w:val="24"/>
          <w:lang w:bidi="ar"/>
        </w:rPr>
        <w:t>。</w:t>
      </w:r>
    </w:p>
    <w:p>
      <w:pPr>
        <w:autoSpaceDE w:val="0"/>
        <w:autoSpaceDN w:val="0"/>
        <w:adjustRightInd w:val="0"/>
        <w:spacing w:line="480" w:lineRule="exact"/>
        <w:jc w:val="left"/>
        <w:rPr>
          <w:rFonts w:hint="eastAsia" w:ascii="仿宋" w:hAnsi="仿宋" w:eastAsia="仿宋" w:cs="仿宋"/>
          <w:b/>
          <w:color w:val="auto"/>
        </w:rPr>
      </w:pPr>
      <w:r>
        <w:rPr>
          <w:rFonts w:hint="eastAsia" w:ascii="仿宋" w:hAnsi="仿宋" w:eastAsia="仿宋" w:cs="仿宋"/>
          <w:b/>
          <w:color w:val="auto"/>
          <w:kern w:val="0"/>
          <w:sz w:val="24"/>
          <w:lang w:bidi="ar"/>
        </w:rPr>
        <w:t xml:space="preserve">    10.单一来源响应文件的签署及规定</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10.1</w:t>
      </w:r>
      <w:r>
        <w:rPr>
          <w:rFonts w:hint="eastAsia" w:ascii="仿宋" w:hAnsi="仿宋" w:eastAsia="仿宋" w:cs="仿宋"/>
          <w:color w:val="auto"/>
          <w:kern w:val="0"/>
          <w:sz w:val="24"/>
          <w:lang w:bidi="ar"/>
        </w:rPr>
        <w:t>供应商应提交每标包响应文件一份正本和陆份副本，正本与副本应装入一个包装袋内，加贴封条,并在封套的封口处加盖供应商单位公章。单一来源响应文件电子版U盘单独密封放入一个密封袋中，加盖供应商单位公章，在封套上标记“响应文件电子版”。</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10.2</w:t>
      </w:r>
      <w:r>
        <w:rPr>
          <w:rFonts w:hint="eastAsia" w:ascii="仿宋" w:hAnsi="仿宋" w:eastAsia="仿宋" w:cs="仿宋"/>
          <w:color w:val="auto"/>
          <w:kern w:val="0"/>
          <w:sz w:val="24"/>
          <w:lang w:bidi="ar"/>
        </w:rPr>
        <w:t>单一来源响应文件封面、响应书均应加盖供应商公章并经法定代表人或其委托代理人签字或盖章。由委托代理人签字或盖章的单一来源响应文件中须同时提交单一来源响应文件签署授权委托书。</w:t>
      </w:r>
    </w:p>
    <w:p>
      <w:pPr>
        <w:autoSpaceDE w:val="0"/>
        <w:autoSpaceDN w:val="0"/>
        <w:adjustRightInd w:val="0"/>
        <w:spacing w:line="480" w:lineRule="exact"/>
        <w:ind w:firstLine="602" w:firstLineChars="250"/>
        <w:jc w:val="left"/>
        <w:rPr>
          <w:rFonts w:hint="eastAsia" w:ascii="仿宋" w:hAnsi="仿宋" w:eastAsia="仿宋" w:cs="仿宋"/>
          <w:color w:val="auto"/>
        </w:rPr>
      </w:pPr>
      <w:r>
        <w:rPr>
          <w:rFonts w:hint="eastAsia" w:ascii="仿宋" w:hAnsi="仿宋" w:eastAsia="仿宋" w:cs="仿宋"/>
          <w:b/>
          <w:color w:val="auto"/>
          <w:kern w:val="0"/>
          <w:sz w:val="24"/>
          <w:lang w:bidi="ar"/>
        </w:rPr>
        <w:t>10.3</w:t>
      </w:r>
      <w:r>
        <w:rPr>
          <w:rFonts w:hint="eastAsia" w:ascii="仿宋" w:hAnsi="仿宋" w:eastAsia="仿宋" w:cs="仿宋"/>
          <w:color w:val="auto"/>
          <w:kern w:val="0"/>
          <w:sz w:val="24"/>
          <w:lang w:bidi="ar"/>
        </w:rPr>
        <w:t>单一来源响应文件中不应有加行、涂抹或改写。如有修改错漏处，必须由供应商法定代表人或其委托代理人签字并加盖单位公章。</w:t>
      </w:r>
    </w:p>
    <w:p>
      <w:pPr>
        <w:numPr>
          <w:ilvl w:val="0"/>
          <w:numId w:val="2"/>
        </w:numPr>
        <w:autoSpaceDE w:val="0"/>
        <w:autoSpaceDN w:val="0"/>
        <w:adjustRightInd w:val="0"/>
        <w:spacing w:line="480" w:lineRule="exact"/>
        <w:ind w:firstLine="151" w:firstLineChars="50"/>
        <w:jc w:val="center"/>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单一来源响应文件的递交</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11.单一来源响应文件的密封和标记</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11.1</w:t>
      </w:r>
      <w:r>
        <w:rPr>
          <w:rFonts w:hint="eastAsia" w:ascii="仿宋" w:hAnsi="仿宋" w:eastAsia="仿宋" w:cs="仿宋"/>
          <w:color w:val="auto"/>
          <w:kern w:val="0"/>
          <w:sz w:val="24"/>
          <w:lang w:bidi="ar"/>
        </w:rPr>
        <w:t>密封袋外面注明“于2023年12月26日15时00分”前不得启封”的字样。如果供应商未按照上述要求密封和标记单一来源响应文件，采购人对此单一来源响应文件提前拆封不负责任。</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11.2</w:t>
      </w:r>
      <w:r>
        <w:rPr>
          <w:rFonts w:hint="eastAsia" w:ascii="仿宋" w:hAnsi="仿宋" w:eastAsia="仿宋" w:cs="仿宋"/>
          <w:color w:val="auto"/>
          <w:kern w:val="0"/>
          <w:sz w:val="24"/>
          <w:lang w:bidi="ar"/>
        </w:rPr>
        <w:t>供应商应将单一来源响应文件按单一来源采购文件中的规定进行密封和标记后，并于开标截止时间前送交到开标地点。</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11.3</w:t>
      </w:r>
      <w:r>
        <w:rPr>
          <w:rFonts w:hint="eastAsia" w:ascii="仿宋" w:hAnsi="仿宋" w:eastAsia="仿宋" w:cs="仿宋"/>
          <w:color w:val="auto"/>
          <w:kern w:val="0"/>
          <w:sz w:val="24"/>
          <w:lang w:bidi="ar"/>
        </w:rPr>
        <w:t>供应商未按时参加开标会议的，按自动放弃开标资格处理。</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12.单一来源响应文件的提交</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12.1</w:t>
      </w:r>
      <w:r>
        <w:rPr>
          <w:rFonts w:hint="eastAsia" w:ascii="仿宋" w:hAnsi="仿宋" w:eastAsia="仿宋" w:cs="仿宋"/>
          <w:color w:val="auto"/>
          <w:kern w:val="0"/>
          <w:sz w:val="24"/>
          <w:lang w:bidi="ar"/>
        </w:rPr>
        <w:t>供应商应按本须知前附表规定的地点、截止时间提交单一来源响应文件。</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13.单一来源响应文件提交的截止时间</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13.1</w:t>
      </w:r>
      <w:r>
        <w:rPr>
          <w:rFonts w:hint="eastAsia" w:ascii="仿宋" w:hAnsi="仿宋" w:eastAsia="仿宋" w:cs="仿宋"/>
          <w:color w:val="auto"/>
          <w:kern w:val="0"/>
          <w:sz w:val="24"/>
          <w:lang w:bidi="ar"/>
        </w:rPr>
        <w:t>单一来源响应文件的截止时间见本须知前附表。</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13.2</w:t>
      </w:r>
      <w:r>
        <w:rPr>
          <w:rFonts w:hint="eastAsia" w:ascii="仿宋" w:hAnsi="仿宋" w:eastAsia="仿宋" w:cs="仿宋"/>
          <w:color w:val="auto"/>
          <w:kern w:val="0"/>
          <w:sz w:val="24"/>
          <w:lang w:bidi="ar"/>
        </w:rPr>
        <w:t>采购人可按本须知第6条规定以修改补充通知的方式，酌情延长提交单一来源响应文件的截止时间。在此情况下，供应商的所有权利和义务以及供应商受制约的截止时间，均以延长后新的投标截止时间为准。</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14.迟交的单一来源响应文件</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14.1</w:t>
      </w:r>
      <w:r>
        <w:rPr>
          <w:rFonts w:hint="eastAsia" w:ascii="仿宋" w:hAnsi="仿宋" w:eastAsia="仿宋" w:cs="仿宋"/>
          <w:color w:val="auto"/>
          <w:kern w:val="0"/>
          <w:sz w:val="24"/>
          <w:lang w:bidi="ar"/>
        </w:rPr>
        <w:t>本须知前附表规定的投标截止时间后单一来源响应文件不予接收。</w:t>
      </w:r>
    </w:p>
    <w:p>
      <w:pPr>
        <w:autoSpaceDE w:val="0"/>
        <w:autoSpaceDN w:val="0"/>
        <w:adjustRightInd w:val="0"/>
        <w:spacing w:line="480" w:lineRule="exact"/>
        <w:ind w:firstLine="482" w:firstLineChars="200"/>
        <w:jc w:val="left"/>
        <w:rPr>
          <w:rFonts w:hint="eastAsia" w:ascii="仿宋" w:hAnsi="仿宋" w:eastAsia="仿宋" w:cs="仿宋"/>
          <w:b/>
          <w:color w:val="auto"/>
        </w:rPr>
      </w:pPr>
      <w:r>
        <w:rPr>
          <w:rFonts w:hint="eastAsia" w:ascii="仿宋" w:hAnsi="仿宋" w:eastAsia="仿宋" w:cs="仿宋"/>
          <w:b/>
          <w:color w:val="auto"/>
          <w:kern w:val="0"/>
          <w:sz w:val="24"/>
          <w:lang w:bidi="ar"/>
        </w:rPr>
        <w:t>15.单一来源响应文件的补充、修改与撤回:</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15.1</w:t>
      </w:r>
      <w:r>
        <w:rPr>
          <w:rFonts w:hint="eastAsia" w:ascii="仿宋" w:hAnsi="仿宋" w:eastAsia="仿宋" w:cs="仿宋"/>
          <w:color w:val="auto"/>
          <w:kern w:val="0"/>
          <w:sz w:val="24"/>
          <w:lang w:bidi="ar"/>
        </w:rPr>
        <w:t>供应商在提交单一来源响应文件以后，在规定的投标截止时间之前，可以以书面形式补充、修改或撤回单一来源响应文件，并书面通知采购人。补充、修改的内容为单一来源响应文件的组成部分。</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15.2</w:t>
      </w:r>
      <w:r>
        <w:rPr>
          <w:rFonts w:hint="eastAsia" w:ascii="仿宋" w:hAnsi="仿宋" w:eastAsia="仿宋" w:cs="仿宋"/>
          <w:color w:val="auto"/>
          <w:kern w:val="0"/>
          <w:sz w:val="24"/>
          <w:lang w:bidi="ar"/>
        </w:rPr>
        <w:t>供应商对单一来源响应文件的补充、修改，应在本须知前附表规定时间前按有关规定密封、标记和提交，并在其密封袋上清楚标明“补充、修改”字样。</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15.3</w:t>
      </w:r>
      <w:r>
        <w:rPr>
          <w:rFonts w:hint="eastAsia" w:ascii="仿宋" w:hAnsi="仿宋" w:eastAsia="仿宋" w:cs="仿宋"/>
          <w:color w:val="auto"/>
          <w:kern w:val="0"/>
          <w:sz w:val="24"/>
          <w:lang w:bidi="ar"/>
        </w:rPr>
        <w:t>在投标截止时间后，供应商不得补充、修改单一来源响应文件。</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15.4</w:t>
      </w:r>
      <w:r>
        <w:rPr>
          <w:rFonts w:hint="eastAsia" w:ascii="仿宋" w:hAnsi="仿宋" w:eastAsia="仿宋" w:cs="仿宋"/>
          <w:color w:val="auto"/>
          <w:kern w:val="0"/>
          <w:sz w:val="24"/>
          <w:lang w:bidi="ar"/>
        </w:rPr>
        <w:t>在投标截止时间与原投标有效期或根据本须知第8条延长的投标有效期终止日之间，供应商不能撤回其单一来源响应文件。</w:t>
      </w:r>
    </w:p>
    <w:p>
      <w:pPr>
        <w:numPr>
          <w:ilvl w:val="0"/>
          <w:numId w:val="2"/>
        </w:numPr>
        <w:autoSpaceDE w:val="0"/>
        <w:autoSpaceDN w:val="0"/>
        <w:adjustRightInd w:val="0"/>
        <w:spacing w:line="480" w:lineRule="exact"/>
        <w:ind w:firstLine="151" w:firstLineChars="50"/>
        <w:jc w:val="center"/>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谈判</w:t>
      </w:r>
    </w:p>
    <w:p>
      <w:pPr>
        <w:autoSpaceDE w:val="0"/>
        <w:autoSpaceDN w:val="0"/>
        <w:adjustRightInd w:val="0"/>
        <w:spacing w:line="480" w:lineRule="exact"/>
        <w:ind w:firstLine="482" w:firstLineChars="200"/>
        <w:rPr>
          <w:rFonts w:hint="eastAsia" w:ascii="仿宋" w:hAnsi="仿宋" w:eastAsia="仿宋" w:cs="仿宋"/>
          <w:b/>
          <w:color w:val="auto"/>
        </w:rPr>
      </w:pPr>
      <w:r>
        <w:rPr>
          <w:rFonts w:hint="eastAsia" w:ascii="仿宋" w:hAnsi="仿宋" w:eastAsia="仿宋" w:cs="仿宋"/>
          <w:b/>
          <w:color w:val="auto"/>
          <w:kern w:val="0"/>
          <w:sz w:val="24"/>
          <w:lang w:bidi="ar"/>
        </w:rPr>
        <w:t>16.谈判</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16.1</w:t>
      </w:r>
      <w:r>
        <w:rPr>
          <w:rFonts w:hint="eastAsia" w:ascii="仿宋" w:hAnsi="仿宋" w:eastAsia="仿宋" w:cs="仿宋"/>
          <w:color w:val="auto"/>
          <w:kern w:val="0"/>
          <w:sz w:val="24"/>
          <w:lang w:bidi="ar"/>
        </w:rPr>
        <w:t>采购人按本须知前附表规定的时间和地点谈判，并邀请供应商参加。</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16.2</w:t>
      </w:r>
      <w:r>
        <w:rPr>
          <w:rFonts w:hint="eastAsia" w:ascii="仿宋" w:hAnsi="仿宋" w:eastAsia="仿宋" w:cs="仿宋"/>
          <w:color w:val="auto"/>
          <w:kern w:val="0"/>
          <w:sz w:val="24"/>
          <w:lang w:bidi="ar"/>
        </w:rPr>
        <w:t>供应商的法定代表人（或委托代理人）必须持法定代表人身份证原件（或授权委托书、委托代理人身份证原件）参加谈判会议。谈判时法定代表人或委托代理人未到场或未按上述要求出示证件原件的视为自动弃标。</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16.3</w:t>
      </w:r>
      <w:r>
        <w:rPr>
          <w:rFonts w:hint="eastAsia" w:ascii="仿宋" w:hAnsi="仿宋" w:eastAsia="仿宋" w:cs="仿宋"/>
          <w:color w:val="auto"/>
          <w:kern w:val="0"/>
          <w:sz w:val="24"/>
          <w:lang w:bidi="ar"/>
        </w:rPr>
        <w:t>单一来源响应文件有下列情况之一的,采购人将不予接收：</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16.3.1</w:t>
      </w:r>
      <w:r>
        <w:rPr>
          <w:rFonts w:hint="eastAsia" w:ascii="仿宋" w:hAnsi="仿宋" w:eastAsia="仿宋" w:cs="仿宋"/>
          <w:color w:val="auto"/>
          <w:kern w:val="0"/>
          <w:sz w:val="24"/>
          <w:lang w:bidi="ar"/>
        </w:rPr>
        <w:t>投标截止时间后送达的；</w:t>
      </w:r>
    </w:p>
    <w:p>
      <w:pPr>
        <w:autoSpaceDE w:val="0"/>
        <w:autoSpaceDN w:val="0"/>
        <w:adjustRightInd w:val="0"/>
        <w:spacing w:line="480" w:lineRule="exact"/>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lang w:bidi="ar"/>
        </w:rPr>
        <w:t>16.3.2</w:t>
      </w:r>
      <w:r>
        <w:rPr>
          <w:rFonts w:hint="eastAsia" w:ascii="仿宋" w:hAnsi="仿宋" w:eastAsia="仿宋" w:cs="仿宋"/>
          <w:color w:val="auto"/>
          <w:kern w:val="0"/>
          <w:sz w:val="24"/>
          <w:lang w:bidi="ar"/>
        </w:rPr>
        <w:t>未按单一来源采购文件要求密封的。</w:t>
      </w:r>
    </w:p>
    <w:p>
      <w:pPr>
        <w:autoSpaceDE w:val="0"/>
        <w:autoSpaceDN w:val="0"/>
        <w:adjustRightInd w:val="0"/>
        <w:spacing w:line="480" w:lineRule="exact"/>
        <w:ind w:firstLine="480"/>
        <w:jc w:val="left"/>
        <w:rPr>
          <w:rFonts w:hint="eastAsia" w:ascii="仿宋" w:hAnsi="仿宋" w:eastAsia="仿宋" w:cs="仿宋"/>
          <w:b/>
          <w:color w:val="auto"/>
          <w:kern w:val="0"/>
          <w:sz w:val="24"/>
          <w:lang w:bidi="ar"/>
        </w:rPr>
      </w:pPr>
      <w:r>
        <w:rPr>
          <w:rFonts w:hint="eastAsia" w:ascii="仿宋" w:hAnsi="仿宋" w:eastAsia="仿宋" w:cs="仿宋"/>
          <w:b/>
          <w:color w:val="auto"/>
          <w:kern w:val="0"/>
          <w:sz w:val="24"/>
          <w:lang w:bidi="ar"/>
        </w:rPr>
        <w:t>17.谈判程序</w:t>
      </w:r>
    </w:p>
    <w:p>
      <w:pPr>
        <w:autoSpaceDE w:val="0"/>
        <w:autoSpaceDN w:val="0"/>
        <w:adjustRightInd w:val="0"/>
        <w:spacing w:line="480" w:lineRule="exact"/>
        <w:ind w:firstLine="480" w:firstLineChars="200"/>
        <w:jc w:val="left"/>
        <w:rPr>
          <w:rFonts w:hint="eastAsia" w:ascii="仿宋" w:hAnsi="仿宋" w:eastAsia="仿宋" w:cs="仿宋"/>
          <w:color w:val="auto"/>
        </w:rPr>
      </w:pPr>
      <w:bookmarkStart w:id="5" w:name="_Toc19062"/>
      <w:bookmarkEnd w:id="5"/>
      <w:r>
        <w:rPr>
          <w:rFonts w:hint="eastAsia" w:ascii="仿宋" w:hAnsi="仿宋" w:eastAsia="仿宋" w:cs="仿宋"/>
          <w:color w:val="auto"/>
          <w:sz w:val="24"/>
          <w:lang w:bidi="ar"/>
        </w:rPr>
        <w:t>主持人按下列程序进行开标：</w:t>
      </w:r>
    </w:p>
    <w:p>
      <w:pPr>
        <w:autoSpaceDE w:val="0"/>
        <w:autoSpaceDN w:val="0"/>
        <w:adjustRightInd w:val="0"/>
        <w:spacing w:line="480" w:lineRule="exact"/>
        <w:ind w:firstLine="410" w:firstLineChars="171"/>
        <w:jc w:val="left"/>
        <w:rPr>
          <w:rFonts w:hint="eastAsia" w:ascii="仿宋" w:hAnsi="仿宋" w:eastAsia="仿宋" w:cs="仿宋"/>
          <w:color w:val="auto"/>
        </w:rPr>
      </w:pPr>
      <w:r>
        <w:rPr>
          <w:rFonts w:hint="eastAsia" w:ascii="仿宋" w:hAnsi="仿宋" w:eastAsia="仿宋" w:cs="仿宋"/>
          <w:color w:val="auto"/>
          <w:sz w:val="24"/>
          <w:lang w:bidi="ar"/>
        </w:rPr>
        <w:t>（1）宣布谈判纪律；</w:t>
      </w:r>
    </w:p>
    <w:p>
      <w:pPr>
        <w:autoSpaceDE w:val="0"/>
        <w:autoSpaceDN w:val="0"/>
        <w:adjustRightInd w:val="0"/>
        <w:spacing w:line="480" w:lineRule="exact"/>
        <w:ind w:firstLine="410" w:firstLineChars="171"/>
        <w:jc w:val="left"/>
        <w:rPr>
          <w:rFonts w:hint="eastAsia" w:ascii="仿宋" w:hAnsi="仿宋" w:eastAsia="仿宋" w:cs="仿宋"/>
          <w:color w:val="auto"/>
        </w:rPr>
      </w:pPr>
      <w:r>
        <w:rPr>
          <w:rFonts w:hint="eastAsia" w:ascii="仿宋" w:hAnsi="仿宋" w:eastAsia="仿宋" w:cs="仿宋"/>
          <w:color w:val="auto"/>
          <w:sz w:val="24"/>
          <w:lang w:bidi="ar"/>
        </w:rPr>
        <w:t>（2）宣布参加谈判的单位及人员；</w:t>
      </w:r>
    </w:p>
    <w:p>
      <w:pPr>
        <w:autoSpaceDE w:val="0"/>
        <w:autoSpaceDN w:val="0"/>
        <w:adjustRightInd w:val="0"/>
        <w:spacing w:line="480" w:lineRule="exact"/>
        <w:ind w:firstLine="410" w:firstLineChars="171"/>
        <w:jc w:val="left"/>
        <w:rPr>
          <w:rFonts w:hint="eastAsia" w:ascii="仿宋" w:hAnsi="仿宋" w:eastAsia="仿宋" w:cs="仿宋"/>
          <w:color w:val="auto"/>
        </w:rPr>
      </w:pPr>
      <w:r>
        <w:rPr>
          <w:rFonts w:hint="eastAsia" w:ascii="仿宋" w:hAnsi="仿宋" w:eastAsia="仿宋" w:cs="仿宋"/>
          <w:color w:val="auto"/>
          <w:sz w:val="24"/>
          <w:lang w:bidi="ar"/>
        </w:rPr>
        <w:t>（3）按照供应商须知前附表规定检查单一来源响应文件的密封情况，并宣读结果；</w:t>
      </w:r>
    </w:p>
    <w:p>
      <w:pPr>
        <w:autoSpaceDE w:val="0"/>
        <w:autoSpaceDN w:val="0"/>
        <w:adjustRightInd w:val="0"/>
        <w:spacing w:line="480" w:lineRule="exact"/>
        <w:ind w:firstLine="410" w:firstLineChars="171"/>
        <w:jc w:val="left"/>
        <w:rPr>
          <w:rFonts w:hint="eastAsia" w:ascii="仿宋" w:hAnsi="仿宋" w:eastAsia="仿宋" w:cs="仿宋"/>
          <w:color w:val="auto"/>
        </w:rPr>
      </w:pPr>
      <w:r>
        <w:rPr>
          <w:rFonts w:hint="eastAsia" w:ascii="仿宋" w:hAnsi="仿宋" w:eastAsia="仿宋" w:cs="仿宋"/>
          <w:color w:val="auto"/>
          <w:sz w:val="24"/>
          <w:lang w:bidi="ar"/>
        </w:rPr>
        <w:t>（5）开标，公布供应商名称、投标报价、服务期限及其他内容，并进行文字记录；</w:t>
      </w:r>
    </w:p>
    <w:p>
      <w:pPr>
        <w:autoSpaceDE w:val="0"/>
        <w:autoSpaceDN w:val="0"/>
        <w:adjustRightInd w:val="0"/>
        <w:spacing w:line="480" w:lineRule="exact"/>
        <w:ind w:firstLine="410" w:firstLineChars="171"/>
        <w:jc w:val="left"/>
        <w:rPr>
          <w:rFonts w:hint="eastAsia" w:ascii="仿宋" w:hAnsi="仿宋" w:eastAsia="仿宋" w:cs="仿宋"/>
          <w:color w:val="auto"/>
        </w:rPr>
      </w:pPr>
      <w:r>
        <w:rPr>
          <w:rFonts w:hint="eastAsia" w:ascii="仿宋" w:hAnsi="仿宋" w:eastAsia="仿宋" w:cs="仿宋"/>
          <w:color w:val="auto"/>
          <w:sz w:val="24"/>
          <w:lang w:bidi="ar"/>
        </w:rPr>
        <w:t>（7）唱标人、记录人、监督人、采购人代表、供应商的法定代表人或其委托代理人等有关人员在开标记录上签字确认。</w:t>
      </w:r>
    </w:p>
    <w:p>
      <w:pPr>
        <w:autoSpaceDE w:val="0"/>
        <w:autoSpaceDN w:val="0"/>
        <w:adjustRightInd w:val="0"/>
        <w:spacing w:line="480" w:lineRule="exact"/>
        <w:ind w:firstLine="480"/>
        <w:jc w:val="left"/>
        <w:rPr>
          <w:rFonts w:hint="eastAsia" w:ascii="仿宋" w:hAnsi="仿宋" w:eastAsia="仿宋" w:cs="仿宋"/>
          <w:b/>
          <w:color w:val="auto"/>
        </w:rPr>
      </w:pPr>
      <w:r>
        <w:rPr>
          <w:rFonts w:hint="eastAsia" w:ascii="仿宋" w:hAnsi="仿宋" w:eastAsia="仿宋" w:cs="仿宋"/>
          <w:b/>
          <w:color w:val="auto"/>
          <w:kern w:val="0"/>
          <w:sz w:val="24"/>
          <w:lang w:bidi="ar"/>
        </w:rPr>
        <w:t>18.单一来源采购小组</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18.1</w:t>
      </w:r>
      <w:r>
        <w:rPr>
          <w:rFonts w:hint="eastAsia" w:ascii="仿宋" w:hAnsi="仿宋" w:eastAsia="仿宋" w:cs="仿宋"/>
          <w:color w:val="auto"/>
          <w:kern w:val="0"/>
          <w:sz w:val="24"/>
          <w:lang w:bidi="ar"/>
        </w:rPr>
        <w:t>单一来源采购小组由7人组成：采购人代表2名和有关技术、经济等方面的专家5名。</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18.2</w:t>
      </w:r>
      <w:r>
        <w:rPr>
          <w:rFonts w:hint="eastAsia" w:ascii="仿宋" w:hAnsi="仿宋" w:eastAsia="仿宋" w:cs="仿宋"/>
          <w:color w:val="auto"/>
          <w:kern w:val="0"/>
          <w:sz w:val="24"/>
          <w:lang w:bidi="ar"/>
        </w:rPr>
        <w:t>单一来源采购小组由采购人在开标前从相关评标专家库中随机抽取。与供应商有利害关系的人不得进入。</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b/>
          <w:color w:val="auto"/>
          <w:kern w:val="0"/>
          <w:sz w:val="24"/>
          <w:lang w:bidi="ar"/>
        </w:rPr>
        <w:t>18.3</w:t>
      </w:r>
      <w:r>
        <w:rPr>
          <w:rFonts w:hint="eastAsia" w:ascii="仿宋" w:hAnsi="仿宋" w:eastAsia="仿宋" w:cs="仿宋"/>
          <w:color w:val="auto"/>
          <w:kern w:val="0"/>
          <w:sz w:val="24"/>
          <w:lang w:bidi="ar"/>
        </w:rPr>
        <w:t>单一来源采购小组按照单一来源响应文件就本项目服务内容、报价等与单一来源响应供应商进行谈判。经过商务谈判时不能达成谈判目标时，应暂停谈判，谈判小组分析具体原因，然后再进行下一轮谈判。必要时，进行多轮谈判。</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b/>
          <w:color w:val="auto"/>
          <w:kern w:val="0"/>
          <w:sz w:val="24"/>
          <w:lang w:bidi="ar"/>
        </w:rPr>
        <w:t>18.4</w:t>
      </w:r>
      <w:r>
        <w:rPr>
          <w:rFonts w:hint="eastAsia" w:ascii="仿宋" w:hAnsi="仿宋" w:eastAsia="仿宋" w:cs="仿宋"/>
          <w:color w:val="auto"/>
          <w:kern w:val="0"/>
          <w:sz w:val="24"/>
          <w:lang w:bidi="ar"/>
        </w:rPr>
        <w:t>单一来源采购小组将根据符合单一来源文件需求、报价合理且不超过招标控制价的原则确定成交供应商。</w:t>
      </w:r>
    </w:p>
    <w:p>
      <w:pPr>
        <w:autoSpaceDE w:val="0"/>
        <w:autoSpaceDN w:val="0"/>
        <w:adjustRightInd w:val="0"/>
        <w:spacing w:line="480" w:lineRule="exact"/>
        <w:ind w:firstLine="480"/>
        <w:jc w:val="left"/>
        <w:rPr>
          <w:rFonts w:hint="eastAsia" w:ascii="仿宋" w:hAnsi="仿宋" w:eastAsia="仿宋" w:cs="仿宋"/>
          <w:b/>
          <w:color w:val="auto"/>
        </w:rPr>
      </w:pPr>
      <w:r>
        <w:rPr>
          <w:rFonts w:hint="eastAsia" w:ascii="仿宋" w:hAnsi="仿宋" w:eastAsia="仿宋" w:cs="仿宋"/>
          <w:b/>
          <w:color w:val="auto"/>
          <w:kern w:val="0"/>
          <w:sz w:val="24"/>
          <w:lang w:bidi="ar"/>
        </w:rPr>
        <w:t>19.单一来源响应文件的初步评审</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19.1 </w:t>
      </w:r>
      <w:r>
        <w:rPr>
          <w:rFonts w:hint="eastAsia" w:ascii="仿宋" w:hAnsi="仿宋" w:eastAsia="仿宋" w:cs="仿宋"/>
          <w:color w:val="auto"/>
          <w:kern w:val="0"/>
          <w:sz w:val="24"/>
          <w:lang w:bidi="ar"/>
        </w:rPr>
        <w:t>评审时，单一来源采购小组将首先对供应商的符合性进行评审，符合性评审</w:t>
      </w:r>
      <w:r>
        <w:rPr>
          <w:rFonts w:hint="eastAsia" w:ascii="仿宋" w:hAnsi="仿宋" w:eastAsia="仿宋" w:cs="仿宋"/>
          <w:color w:val="auto"/>
          <w:kern w:val="0"/>
          <w:sz w:val="24"/>
          <w:u w:val="none"/>
          <w:lang w:eastAsia="zh-CN" w:bidi="ar"/>
        </w:rPr>
        <w:t>是指</w:t>
      </w:r>
      <w:r>
        <w:rPr>
          <w:rFonts w:hint="eastAsia" w:ascii="仿宋" w:hAnsi="仿宋" w:eastAsia="仿宋" w:cs="仿宋"/>
          <w:color w:val="auto"/>
          <w:kern w:val="0"/>
          <w:sz w:val="24"/>
          <w:lang w:bidi="ar"/>
        </w:rPr>
        <w:t>单一来源采购小组</w:t>
      </w:r>
      <w:r>
        <w:rPr>
          <w:rFonts w:hint="eastAsia" w:ascii="仿宋" w:hAnsi="仿宋" w:eastAsia="仿宋" w:cs="仿宋"/>
          <w:color w:val="auto"/>
          <w:sz w:val="24"/>
        </w:rPr>
        <w:t>按照19.2的要求对供应商进行审查。</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19.2 </w:t>
      </w:r>
      <w:r>
        <w:rPr>
          <w:rFonts w:hint="eastAsia" w:ascii="仿宋" w:hAnsi="仿宋" w:eastAsia="仿宋" w:cs="仿宋"/>
          <w:color w:val="auto"/>
          <w:kern w:val="0"/>
          <w:sz w:val="24"/>
          <w:lang w:bidi="ar"/>
        </w:rPr>
        <w:t>单一来源响应文件有下列情形之一的，由单一来源采购小组初审后按无效标处理：</w:t>
      </w:r>
    </w:p>
    <w:p>
      <w:pPr>
        <w:autoSpaceDE w:val="0"/>
        <w:autoSpaceDN w:val="0"/>
        <w:adjustRightInd w:val="0"/>
        <w:spacing w:line="480" w:lineRule="exact"/>
        <w:ind w:firstLine="460" w:firstLineChars="192"/>
        <w:jc w:val="left"/>
        <w:rPr>
          <w:rFonts w:hint="eastAsia" w:ascii="仿宋" w:hAnsi="仿宋" w:eastAsia="仿宋" w:cs="仿宋"/>
          <w:color w:val="auto"/>
        </w:rPr>
      </w:pPr>
      <w:r>
        <w:rPr>
          <w:rFonts w:hint="eastAsia" w:ascii="仿宋" w:hAnsi="仿宋" w:eastAsia="仿宋" w:cs="仿宋"/>
          <w:color w:val="auto"/>
          <w:kern w:val="0"/>
          <w:sz w:val="24"/>
          <w:lang w:bidi="ar"/>
        </w:rPr>
        <w:t>（1）没有按照单一来源采购文件要求提供单一来源承诺函；</w:t>
      </w:r>
    </w:p>
    <w:p>
      <w:pPr>
        <w:autoSpaceDE w:val="0"/>
        <w:autoSpaceDN w:val="0"/>
        <w:adjustRightInd w:val="0"/>
        <w:spacing w:line="480" w:lineRule="exact"/>
        <w:ind w:firstLine="460" w:firstLineChars="192"/>
        <w:jc w:val="left"/>
        <w:rPr>
          <w:rFonts w:hint="eastAsia" w:ascii="仿宋" w:hAnsi="仿宋" w:eastAsia="仿宋" w:cs="仿宋"/>
          <w:color w:val="auto"/>
        </w:rPr>
      </w:pPr>
      <w:r>
        <w:rPr>
          <w:rFonts w:hint="eastAsia" w:ascii="仿宋" w:hAnsi="仿宋" w:eastAsia="仿宋" w:cs="仿宋"/>
          <w:color w:val="auto"/>
          <w:kern w:val="0"/>
          <w:sz w:val="24"/>
          <w:lang w:bidi="ar"/>
        </w:rPr>
        <w:t>（2）单一来源响应文件附有采购人不能接受的条件的；</w:t>
      </w:r>
    </w:p>
    <w:p>
      <w:pPr>
        <w:autoSpaceDE w:val="0"/>
        <w:autoSpaceDN w:val="0"/>
        <w:adjustRightInd w:val="0"/>
        <w:spacing w:line="480" w:lineRule="exact"/>
        <w:ind w:firstLine="460" w:firstLineChars="192"/>
        <w:jc w:val="left"/>
        <w:rPr>
          <w:rFonts w:hint="eastAsia" w:ascii="仿宋" w:hAnsi="仿宋" w:eastAsia="仿宋" w:cs="仿宋"/>
          <w:color w:val="auto"/>
        </w:rPr>
      </w:pPr>
      <w:r>
        <w:rPr>
          <w:rFonts w:hint="eastAsia" w:ascii="仿宋" w:hAnsi="仿宋" w:eastAsia="仿宋" w:cs="仿宋"/>
          <w:color w:val="auto"/>
          <w:kern w:val="0"/>
          <w:sz w:val="24"/>
          <w:lang w:bidi="ar"/>
        </w:rPr>
        <w:t>（3）以他人的名义投标、串通投标、以行贿手段谋取成交或者以其他弄虚作假方式投标的；</w:t>
      </w:r>
    </w:p>
    <w:p>
      <w:pPr>
        <w:autoSpaceDE w:val="0"/>
        <w:autoSpaceDN w:val="0"/>
        <w:adjustRightInd w:val="0"/>
        <w:spacing w:line="480" w:lineRule="exact"/>
        <w:ind w:firstLine="460" w:firstLineChars="192"/>
        <w:jc w:val="left"/>
        <w:rPr>
          <w:rFonts w:hint="eastAsia" w:ascii="仿宋" w:hAnsi="仿宋" w:eastAsia="仿宋" w:cs="仿宋"/>
          <w:color w:val="auto"/>
        </w:rPr>
      </w:pPr>
      <w:r>
        <w:rPr>
          <w:rFonts w:hint="eastAsia" w:ascii="仿宋" w:hAnsi="仿宋" w:eastAsia="仿宋" w:cs="仿宋"/>
          <w:color w:val="auto"/>
          <w:kern w:val="0"/>
          <w:sz w:val="24"/>
          <w:lang w:bidi="ar"/>
        </w:rPr>
        <w:t>（4）采取不正当手段谋取成交的。</w:t>
      </w:r>
    </w:p>
    <w:p>
      <w:pPr>
        <w:autoSpaceDE w:val="0"/>
        <w:autoSpaceDN w:val="0"/>
        <w:adjustRightInd w:val="0"/>
        <w:spacing w:line="480" w:lineRule="exact"/>
        <w:ind w:firstLine="465"/>
        <w:jc w:val="left"/>
        <w:rPr>
          <w:rFonts w:hint="eastAsia" w:ascii="仿宋" w:hAnsi="仿宋" w:eastAsia="仿宋" w:cs="仿宋"/>
          <w:b/>
          <w:color w:val="auto"/>
        </w:rPr>
      </w:pPr>
      <w:r>
        <w:rPr>
          <w:rFonts w:hint="eastAsia" w:ascii="仿宋" w:hAnsi="仿宋" w:eastAsia="仿宋" w:cs="仿宋"/>
          <w:b/>
          <w:color w:val="auto"/>
          <w:kern w:val="0"/>
          <w:sz w:val="24"/>
          <w:lang w:bidi="ar"/>
        </w:rPr>
        <w:t>20.谈判过程的保密</w:t>
      </w:r>
    </w:p>
    <w:p>
      <w:pPr>
        <w:autoSpaceDE w:val="0"/>
        <w:autoSpaceDN w:val="0"/>
        <w:adjustRightInd w:val="0"/>
        <w:spacing w:line="480" w:lineRule="exact"/>
        <w:ind w:firstLine="465"/>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20.1 </w:t>
      </w:r>
      <w:r>
        <w:rPr>
          <w:rFonts w:hint="eastAsia" w:ascii="仿宋" w:hAnsi="仿宋" w:eastAsia="仿宋" w:cs="仿宋"/>
          <w:color w:val="auto"/>
          <w:kern w:val="0"/>
          <w:sz w:val="24"/>
          <w:lang w:bidi="ar"/>
        </w:rPr>
        <w:t>谈判后，直至授予成交供应商合同为止，凡属于对单一来源响应文件的审查、澄清、评价和比较有关的资料及其他任何与谈判有关的情况均应严格保密。</w:t>
      </w:r>
    </w:p>
    <w:p>
      <w:pPr>
        <w:autoSpaceDE w:val="0"/>
        <w:autoSpaceDN w:val="0"/>
        <w:adjustRightInd w:val="0"/>
        <w:spacing w:line="480" w:lineRule="exact"/>
        <w:ind w:firstLine="465"/>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20.2 </w:t>
      </w:r>
      <w:r>
        <w:rPr>
          <w:rFonts w:hint="eastAsia" w:ascii="仿宋" w:hAnsi="仿宋" w:eastAsia="仿宋" w:cs="仿宋"/>
          <w:color w:val="auto"/>
          <w:kern w:val="0"/>
          <w:sz w:val="24"/>
          <w:lang w:bidi="ar"/>
        </w:rPr>
        <w:t>在单一来源响应文件的评审及授予合同的过程中，供应商向采购人和单一来源采购小组施加影响的任何行为，都将会导致其响应被拒绝。</w:t>
      </w:r>
    </w:p>
    <w:p>
      <w:pPr>
        <w:autoSpaceDE w:val="0"/>
        <w:autoSpaceDN w:val="0"/>
        <w:adjustRightInd w:val="0"/>
        <w:spacing w:line="480" w:lineRule="exact"/>
        <w:ind w:firstLine="465"/>
        <w:jc w:val="left"/>
        <w:rPr>
          <w:rFonts w:hint="eastAsia" w:ascii="仿宋" w:hAnsi="仿宋" w:eastAsia="仿宋" w:cs="仿宋"/>
          <w:b/>
          <w:color w:val="auto"/>
        </w:rPr>
      </w:pPr>
      <w:r>
        <w:rPr>
          <w:rFonts w:hint="eastAsia" w:ascii="仿宋" w:hAnsi="仿宋" w:eastAsia="仿宋" w:cs="仿宋"/>
          <w:b/>
          <w:color w:val="auto"/>
          <w:kern w:val="0"/>
          <w:sz w:val="24"/>
          <w:lang w:bidi="ar"/>
        </w:rPr>
        <w:t>21.单一来源响应文件的澄清</w:t>
      </w:r>
    </w:p>
    <w:p>
      <w:pPr>
        <w:autoSpaceDE w:val="0"/>
        <w:autoSpaceDN w:val="0"/>
        <w:adjustRightInd w:val="0"/>
        <w:spacing w:line="480" w:lineRule="exact"/>
        <w:ind w:firstLine="465"/>
        <w:jc w:val="left"/>
        <w:rPr>
          <w:rFonts w:hint="eastAsia" w:ascii="仿宋" w:hAnsi="仿宋" w:eastAsia="仿宋" w:cs="仿宋"/>
          <w:b/>
          <w:color w:val="auto"/>
        </w:rPr>
      </w:pPr>
      <w:r>
        <w:rPr>
          <w:rFonts w:hint="eastAsia" w:ascii="仿宋" w:hAnsi="仿宋" w:eastAsia="仿宋" w:cs="仿宋"/>
          <w:b/>
          <w:color w:val="auto"/>
          <w:kern w:val="0"/>
          <w:sz w:val="24"/>
          <w:lang w:bidi="ar"/>
        </w:rPr>
        <w:t>21.1</w:t>
      </w:r>
      <w:r>
        <w:rPr>
          <w:rFonts w:hint="eastAsia" w:ascii="仿宋" w:hAnsi="仿宋" w:eastAsia="仿宋" w:cs="仿宋"/>
          <w:color w:val="auto"/>
          <w:kern w:val="0"/>
          <w:sz w:val="24"/>
          <w:lang w:bidi="ar"/>
        </w:rPr>
        <w:t xml:space="preserve"> 为有助于单一来源响应文件的审查、评价，单一来源采购小组可以要求供应商对单一来源响应文件含义不明确的内容作必要的澄清或说明，供应商应进行澄清或说明，但不得超出单一来源响应文件的范围或改变单一来源响应文件的实质性内容。</w:t>
      </w:r>
    </w:p>
    <w:p>
      <w:pPr>
        <w:autoSpaceDE w:val="0"/>
        <w:autoSpaceDN w:val="0"/>
        <w:adjustRightInd w:val="0"/>
        <w:spacing w:line="480" w:lineRule="exact"/>
        <w:ind w:firstLine="480"/>
        <w:jc w:val="left"/>
        <w:rPr>
          <w:rFonts w:hint="eastAsia" w:ascii="仿宋" w:hAnsi="仿宋" w:eastAsia="仿宋" w:cs="仿宋"/>
          <w:b/>
          <w:color w:val="auto"/>
        </w:rPr>
      </w:pPr>
      <w:r>
        <w:rPr>
          <w:rFonts w:hint="eastAsia" w:ascii="仿宋" w:hAnsi="仿宋" w:eastAsia="仿宋" w:cs="仿宋"/>
          <w:b/>
          <w:color w:val="auto"/>
          <w:kern w:val="0"/>
          <w:sz w:val="24"/>
          <w:lang w:bidi="ar"/>
        </w:rPr>
        <w:t>22.单一来源响应文件计算错误的修正</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22.1</w:t>
      </w:r>
      <w:r>
        <w:rPr>
          <w:rFonts w:hint="eastAsia" w:ascii="仿宋" w:hAnsi="仿宋" w:eastAsia="仿宋" w:cs="仿宋"/>
          <w:color w:val="auto"/>
          <w:kern w:val="0"/>
          <w:sz w:val="24"/>
          <w:lang w:bidi="ar"/>
        </w:rPr>
        <w:t>单一来源采购小组将对确定为实质上响应单一来源采购文件要求的单一来源响应文件进行校核，看其是否有计算或表达上的错误，修正错误的原则如下：</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22.1.1</w:t>
      </w:r>
      <w:r>
        <w:rPr>
          <w:rFonts w:hint="eastAsia" w:ascii="仿宋" w:hAnsi="仿宋" w:eastAsia="仿宋" w:cs="仿宋"/>
          <w:color w:val="auto"/>
          <w:kern w:val="0"/>
          <w:sz w:val="24"/>
          <w:lang w:bidi="ar"/>
        </w:rPr>
        <w:t>单一来源响应文件中的大写金额和小写金额不一致的，以大写金额为准；</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22.1.2</w:t>
      </w:r>
      <w:r>
        <w:rPr>
          <w:rFonts w:hint="eastAsia" w:ascii="仿宋" w:hAnsi="仿宋" w:eastAsia="仿宋" w:cs="仿宋"/>
          <w:color w:val="auto"/>
          <w:kern w:val="0"/>
          <w:sz w:val="24"/>
          <w:lang w:bidi="ar"/>
        </w:rPr>
        <w:t>对不同文字文本单一来源响应文件的解释发生异议的，以中文文本为准。</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22.2</w:t>
      </w:r>
      <w:r>
        <w:rPr>
          <w:rFonts w:hint="eastAsia" w:ascii="仿宋" w:hAnsi="仿宋" w:eastAsia="仿宋" w:cs="仿宋"/>
          <w:color w:val="auto"/>
          <w:kern w:val="0"/>
          <w:sz w:val="24"/>
          <w:lang w:bidi="ar"/>
        </w:rPr>
        <w:t>按上述修正错误的原则及方法调整或修正单一来源响应文件的投标报价，供应商同意后，调整后的投标报价对供应商起约束作用。</w:t>
      </w:r>
    </w:p>
    <w:p>
      <w:pPr>
        <w:autoSpaceDE w:val="0"/>
        <w:autoSpaceDN w:val="0"/>
        <w:adjustRightInd w:val="0"/>
        <w:spacing w:line="480" w:lineRule="exact"/>
        <w:ind w:firstLine="480"/>
        <w:jc w:val="left"/>
        <w:rPr>
          <w:rFonts w:hint="eastAsia" w:ascii="仿宋" w:hAnsi="仿宋" w:eastAsia="仿宋" w:cs="仿宋"/>
          <w:b/>
          <w:color w:val="auto"/>
        </w:rPr>
      </w:pPr>
      <w:r>
        <w:rPr>
          <w:rFonts w:hint="eastAsia" w:ascii="仿宋" w:hAnsi="仿宋" w:eastAsia="仿宋" w:cs="仿宋"/>
          <w:b/>
          <w:color w:val="auto"/>
          <w:kern w:val="0"/>
          <w:sz w:val="24"/>
          <w:lang w:bidi="ar"/>
        </w:rPr>
        <w:t>23.单一来源响应文件的评审和否决</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23.1</w:t>
      </w:r>
      <w:r>
        <w:rPr>
          <w:rFonts w:hint="eastAsia" w:ascii="仿宋" w:hAnsi="仿宋" w:eastAsia="仿宋" w:cs="仿宋"/>
          <w:color w:val="auto"/>
          <w:kern w:val="0"/>
          <w:sz w:val="24"/>
          <w:lang w:bidi="ar"/>
        </w:rPr>
        <w:t>单一来源采购小组将按照单一来源采购文件的规定，仅对在实质上响应单一来源采购文件要求的单一来源响应文件进行评审。</w:t>
      </w:r>
    </w:p>
    <w:p>
      <w:pPr>
        <w:autoSpaceDE w:val="0"/>
        <w:autoSpaceDN w:val="0"/>
        <w:adjustRightInd w:val="0"/>
        <w:spacing w:line="480" w:lineRule="exact"/>
        <w:ind w:firstLine="480"/>
        <w:jc w:val="left"/>
        <w:rPr>
          <w:rFonts w:hint="eastAsia" w:ascii="仿宋" w:hAnsi="仿宋" w:eastAsia="仿宋" w:cs="仿宋"/>
          <w:color w:val="auto"/>
        </w:rPr>
      </w:pPr>
      <w:r>
        <w:rPr>
          <w:rFonts w:hint="eastAsia" w:ascii="仿宋" w:hAnsi="仿宋" w:eastAsia="仿宋" w:cs="仿宋"/>
          <w:b/>
          <w:color w:val="auto"/>
          <w:kern w:val="0"/>
          <w:sz w:val="24"/>
          <w:lang w:bidi="ar"/>
        </w:rPr>
        <w:t>23.2</w:t>
      </w:r>
      <w:r>
        <w:rPr>
          <w:rFonts w:hint="eastAsia" w:ascii="仿宋" w:hAnsi="仿宋" w:eastAsia="仿宋" w:cs="仿宋"/>
          <w:color w:val="auto"/>
          <w:kern w:val="0"/>
          <w:sz w:val="24"/>
          <w:lang w:bidi="ar"/>
        </w:rPr>
        <w:t>根据相关法律法规规定，结合本项目具体情况，制定本次评审标准。并按照“公平、公正、科学、择优”的原则进行评审。</w:t>
      </w:r>
    </w:p>
    <w:p>
      <w:pPr>
        <w:autoSpaceDE w:val="0"/>
        <w:autoSpaceDN w:val="0"/>
        <w:adjustRightInd w:val="0"/>
        <w:spacing w:line="480" w:lineRule="exact"/>
        <w:jc w:val="center"/>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六、成交</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b/>
          <w:color w:val="auto"/>
          <w:kern w:val="0"/>
          <w:sz w:val="24"/>
          <w:lang w:bidi="ar"/>
        </w:rPr>
        <w:t xml:space="preserve">    24.授予合同</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b/>
          <w:color w:val="auto"/>
          <w:kern w:val="0"/>
          <w:sz w:val="24"/>
          <w:lang w:bidi="ar"/>
        </w:rPr>
        <w:t>24.1</w:t>
      </w:r>
      <w:r>
        <w:rPr>
          <w:rFonts w:hint="eastAsia" w:ascii="仿宋" w:hAnsi="仿宋" w:eastAsia="仿宋" w:cs="仿宋"/>
          <w:color w:val="auto"/>
          <w:kern w:val="0"/>
          <w:sz w:val="24"/>
          <w:lang w:bidi="ar"/>
        </w:rPr>
        <w:t>成交通知书将授予由单一来源采购小组推荐且经采购人确认的成交供应商。</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b/>
          <w:color w:val="auto"/>
          <w:kern w:val="0"/>
          <w:sz w:val="24"/>
          <w:lang w:bidi="ar"/>
        </w:rPr>
        <w:t>24.2</w:t>
      </w:r>
      <w:r>
        <w:rPr>
          <w:rFonts w:hint="eastAsia" w:ascii="仿宋" w:hAnsi="仿宋" w:eastAsia="仿宋" w:cs="仿宋"/>
          <w:color w:val="auto"/>
          <w:kern w:val="0"/>
          <w:sz w:val="24"/>
          <w:lang w:bidi="ar"/>
        </w:rPr>
        <w:t>在单一来源采购有效期内，成交结果将在发布本项目单一来源采购公告的媒介上发布成交公告。</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b/>
          <w:color w:val="auto"/>
          <w:kern w:val="0"/>
          <w:sz w:val="24"/>
          <w:lang w:bidi="ar"/>
        </w:rPr>
        <w:t>24.3</w:t>
      </w:r>
      <w:r>
        <w:rPr>
          <w:rFonts w:hint="eastAsia" w:ascii="仿宋" w:hAnsi="仿宋" w:eastAsia="仿宋" w:cs="仿宋"/>
          <w:color w:val="auto"/>
          <w:kern w:val="0"/>
          <w:sz w:val="24"/>
          <w:lang w:bidi="ar"/>
        </w:rPr>
        <w:t>成交供应商应在自收到成交通知书之日起30日内与采购人签订合同。</w:t>
      </w:r>
    </w:p>
    <w:p>
      <w:pPr>
        <w:autoSpaceDE w:val="0"/>
        <w:autoSpaceDN w:val="0"/>
        <w:adjustRightInd w:val="0"/>
        <w:spacing w:line="480" w:lineRule="exact"/>
        <w:ind w:firstLine="480"/>
        <w:jc w:val="left"/>
        <w:rPr>
          <w:rFonts w:hint="eastAsia" w:ascii="仿宋" w:hAnsi="仿宋" w:eastAsia="仿宋" w:cs="仿宋"/>
          <w:color w:val="auto"/>
          <w:kern w:val="0"/>
          <w:sz w:val="24"/>
          <w:lang w:bidi="ar"/>
        </w:rPr>
      </w:pPr>
      <w:r>
        <w:rPr>
          <w:rFonts w:hint="eastAsia" w:ascii="仿宋" w:hAnsi="仿宋" w:eastAsia="仿宋" w:cs="仿宋"/>
          <w:b/>
          <w:color w:val="auto"/>
          <w:kern w:val="0"/>
          <w:sz w:val="24"/>
          <w:lang w:bidi="ar"/>
        </w:rPr>
        <w:t>24.4</w:t>
      </w:r>
      <w:r>
        <w:rPr>
          <w:rFonts w:hint="eastAsia" w:ascii="仿宋" w:hAnsi="仿宋" w:eastAsia="仿宋" w:cs="仿宋"/>
          <w:color w:val="auto"/>
          <w:kern w:val="0"/>
          <w:sz w:val="24"/>
          <w:lang w:bidi="ar"/>
        </w:rPr>
        <w:t>单一来源采购文件、成交供应商单一来源响应文件以及成交供应商在谈判时澄清问题的答复内容等均作为合同的不可分割的组成部分。</w:t>
      </w:r>
    </w:p>
    <w:p>
      <w:pPr>
        <w:autoSpaceDE w:val="0"/>
        <w:autoSpaceDN w:val="0"/>
        <w:adjustRightInd w:val="0"/>
        <w:spacing w:line="480" w:lineRule="exact"/>
        <w:jc w:val="left"/>
        <w:rPr>
          <w:rFonts w:hint="eastAsia" w:ascii="仿宋" w:hAnsi="仿宋" w:eastAsia="仿宋" w:cs="仿宋"/>
          <w:color w:val="auto"/>
          <w:sz w:val="30"/>
          <w:szCs w:val="30"/>
        </w:rPr>
      </w:pPr>
      <w:r>
        <w:rPr>
          <w:rFonts w:hint="eastAsia" w:ascii="仿宋" w:hAnsi="仿宋" w:eastAsia="仿宋" w:cs="仿宋"/>
          <w:b/>
          <w:color w:val="auto"/>
          <w:kern w:val="0"/>
          <w:sz w:val="36"/>
          <w:szCs w:val="36"/>
          <w:lang w:bidi="ar"/>
        </w:rPr>
        <w:t xml:space="preserve">                    </w:t>
      </w:r>
      <w:r>
        <w:rPr>
          <w:rFonts w:hint="eastAsia" w:ascii="仿宋" w:hAnsi="仿宋" w:eastAsia="仿宋" w:cs="仿宋"/>
          <w:b/>
          <w:color w:val="auto"/>
          <w:kern w:val="0"/>
          <w:sz w:val="30"/>
          <w:szCs w:val="30"/>
          <w:lang w:bidi="ar"/>
        </w:rPr>
        <w:t>七、其他</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b/>
          <w:color w:val="auto"/>
          <w:kern w:val="0"/>
          <w:sz w:val="24"/>
          <w:lang w:bidi="ar"/>
        </w:rPr>
        <w:t>25.</w:t>
      </w:r>
      <w:r>
        <w:rPr>
          <w:rFonts w:hint="eastAsia" w:ascii="仿宋" w:hAnsi="仿宋" w:eastAsia="仿宋" w:cs="仿宋"/>
          <w:color w:val="auto"/>
          <w:kern w:val="0"/>
          <w:sz w:val="24"/>
          <w:lang w:bidi="ar"/>
        </w:rPr>
        <w:t>未尽事宜按国家有关规定执行。</w:t>
      </w:r>
    </w:p>
    <w:p>
      <w:pPr>
        <w:autoSpaceDE w:val="0"/>
        <w:autoSpaceDN w:val="0"/>
        <w:adjustRightInd w:val="0"/>
        <w:spacing w:line="480" w:lineRule="exact"/>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r>
        <w:rPr>
          <w:rFonts w:hint="eastAsia" w:ascii="仿宋" w:hAnsi="仿宋" w:eastAsia="仿宋" w:cs="仿宋"/>
          <w:b/>
          <w:color w:val="auto"/>
          <w:kern w:val="0"/>
          <w:sz w:val="24"/>
          <w:lang w:bidi="ar"/>
        </w:rPr>
        <w:t>26.</w:t>
      </w:r>
      <w:r>
        <w:rPr>
          <w:rFonts w:hint="eastAsia" w:ascii="仿宋" w:hAnsi="仿宋" w:eastAsia="仿宋" w:cs="仿宋"/>
          <w:color w:val="auto"/>
          <w:kern w:val="0"/>
          <w:sz w:val="24"/>
          <w:lang w:bidi="ar"/>
        </w:rPr>
        <w:t>本单一来源采购文件最终解释权归采购人。</w:t>
      </w:r>
    </w:p>
    <w:p>
      <w:pPr>
        <w:autoSpaceDE w:val="0"/>
        <w:autoSpaceDN w:val="0"/>
        <w:adjustRightInd w:val="0"/>
        <w:spacing w:line="480" w:lineRule="exact"/>
        <w:jc w:val="left"/>
        <w:rPr>
          <w:rFonts w:hint="eastAsia" w:ascii="仿宋" w:hAnsi="仿宋" w:eastAsia="仿宋" w:cs="仿宋"/>
          <w:color w:val="auto"/>
        </w:rPr>
      </w:pPr>
    </w:p>
    <w:p>
      <w:pPr>
        <w:autoSpaceDE w:val="0"/>
        <w:autoSpaceDN w:val="0"/>
        <w:adjustRightInd w:val="0"/>
        <w:spacing w:line="480" w:lineRule="exact"/>
        <w:jc w:val="left"/>
        <w:rPr>
          <w:rFonts w:hint="eastAsia" w:ascii="仿宋" w:hAnsi="仿宋" w:eastAsia="仿宋" w:cs="仿宋"/>
          <w:color w:val="auto"/>
        </w:rPr>
      </w:pPr>
    </w:p>
    <w:p>
      <w:pPr>
        <w:autoSpaceDE w:val="0"/>
        <w:autoSpaceDN w:val="0"/>
        <w:adjustRightInd w:val="0"/>
        <w:spacing w:line="480" w:lineRule="exact"/>
        <w:jc w:val="left"/>
        <w:rPr>
          <w:rFonts w:hint="eastAsia" w:ascii="仿宋" w:hAnsi="仿宋" w:eastAsia="仿宋" w:cs="仿宋"/>
          <w:color w:val="auto"/>
        </w:rPr>
      </w:pPr>
    </w:p>
    <w:p>
      <w:pPr>
        <w:autoSpaceDE w:val="0"/>
        <w:autoSpaceDN w:val="0"/>
        <w:adjustRightInd w:val="0"/>
        <w:spacing w:line="480" w:lineRule="exact"/>
        <w:jc w:val="left"/>
        <w:rPr>
          <w:rFonts w:hint="eastAsia" w:ascii="仿宋" w:hAnsi="仿宋" w:eastAsia="仿宋" w:cs="仿宋"/>
          <w:color w:val="auto"/>
        </w:rPr>
      </w:pPr>
    </w:p>
    <w:p>
      <w:pPr>
        <w:autoSpaceDE w:val="0"/>
        <w:autoSpaceDN w:val="0"/>
        <w:adjustRightInd w:val="0"/>
        <w:spacing w:line="480" w:lineRule="exact"/>
        <w:jc w:val="left"/>
        <w:rPr>
          <w:rFonts w:hint="eastAsia" w:ascii="仿宋" w:hAnsi="仿宋" w:eastAsia="仿宋" w:cs="仿宋"/>
          <w:color w:val="auto"/>
        </w:rPr>
      </w:pPr>
    </w:p>
    <w:p>
      <w:pPr>
        <w:autoSpaceDE w:val="0"/>
        <w:autoSpaceDN w:val="0"/>
        <w:adjustRightInd w:val="0"/>
        <w:spacing w:line="480" w:lineRule="exact"/>
        <w:jc w:val="left"/>
        <w:rPr>
          <w:rFonts w:hint="eastAsia" w:ascii="仿宋" w:hAnsi="仿宋" w:eastAsia="仿宋" w:cs="仿宋"/>
          <w:color w:val="auto"/>
        </w:rPr>
      </w:pPr>
    </w:p>
    <w:p>
      <w:pPr>
        <w:pStyle w:val="5"/>
        <w:rPr>
          <w:rFonts w:hint="eastAsia" w:ascii="仿宋" w:hAnsi="仿宋" w:eastAsia="仿宋" w:cs="仿宋"/>
          <w:b/>
          <w:bCs w:val="0"/>
          <w:color w:val="auto"/>
          <w:sz w:val="32"/>
          <w:lang w:bidi="ar"/>
        </w:rPr>
      </w:pPr>
      <w:bookmarkStart w:id="6" w:name="_Toc2627"/>
      <w:bookmarkStart w:id="7" w:name="_Toc65168283"/>
      <w:r>
        <w:rPr>
          <w:rFonts w:hint="eastAsia" w:ascii="仿宋" w:hAnsi="仿宋" w:eastAsia="仿宋" w:cs="仿宋"/>
          <w:b/>
          <w:bCs w:val="0"/>
          <w:color w:val="auto"/>
          <w:sz w:val="32"/>
          <w:lang w:bidi="ar"/>
        </w:rPr>
        <w:t>第三章 服务内容及要求</w:t>
      </w:r>
      <w:bookmarkEnd w:id="6"/>
      <w:bookmarkEnd w:id="7"/>
    </w:p>
    <w:p>
      <w:pPr>
        <w:pStyle w:val="6"/>
        <w:spacing w:before="0" w:after="0"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一、项目整体概述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1、建设背景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新型智慧城市是以创新引领城市发展转型，全面推进新一代信息通信技术与新型城镇化发展战略深度融合，提高城市治理能力现代化水平，实现城市可持续发展的新路径、新模式、新形态，也是落实国家新型城镇化发展战略，提升人民群众幸福感和满意度，促进城市发展方式转型升级的系统工程。</w:t>
      </w:r>
    </w:p>
    <w:p>
      <w:pPr>
        <w:autoSpaceDE w:val="0"/>
        <w:autoSpaceDN w:val="0"/>
        <w:adjustRightInd w:val="0"/>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十三五”时期，三门峡市初步形成了以新型智慧城市建设为统领、以政务信息化为重点的数字化发展格局。确定了“一体两翼”的战略布局,建成了“两平台、三中心、三联网、多应用”的新型智慧城市应用体系，探索走出了一条“自主、可控、可持续”的市县一体化新型智慧城市建设新路子，并以此为依托，积极推进传统产业智慧化、数字化改造，全市信息化建设取得了一定成效。</w:t>
      </w:r>
    </w:p>
    <w:p>
      <w:pPr>
        <w:autoSpaceDE w:val="0"/>
        <w:autoSpaceDN w:val="0"/>
        <w:adjustRightInd w:val="0"/>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本项目结合《三门峡新型智慧城市顶层设计》要求及三门峡发展实际，提出甘棠政务（一期）服务、互联网+监管（一期）服务、工业互联网（一期）服务、智慧不动产登记综合服务管理平台（二期）服务、普惠金融（一、二期）服务、应急指挥平台（硬件）一期服务、市区15个路口信号控制及电子警察服务、公共安全视频图像系统基础数据平台升级服务、政府网站集约化建设（一期）服务、互联网+放管服系统（一期）服务、互联网+营商环境系统（一期）服务、数据中台（一期）项服务十二项内容的采购。</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2、总体思路</w:t>
      </w:r>
    </w:p>
    <w:p>
      <w:pPr>
        <w:autoSpaceDE w:val="0"/>
        <w:autoSpaceDN w:val="0"/>
        <w:adjustRightInd w:val="0"/>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以习近平新时代中国特色社会主义思想为引导，全面贯彻党的二十大会议精神，牢固树立五大发展理念，深入落实习近平总书记视察河南重要讲话精神，贯彻落实中省关于网络强国、数字政府、数字经济、智慧社会的战略部署，以国民经济和社会数字化高质量发展为目标，以数字化驱动城市发展方式创新变革为主线，以争创河南省新型智慧城市示范市为突破口，以“新基建”为支撑，推进新一代信息技术与经济社会深度融合，推动政务服务、社会治理、民生服务、生态宜居、产业发展等领域数字化转型与高质量发展，把三门峡建成中西部信息化建设先行区、全省信息化建设领先市，为高质量建设区域中心城市提供坚实保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3、项目目标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到2025年，构建形成政务服务透明高效、城市治理模式创新、信息服务均等普惠、生态环境宜居智能、数字经济实力领先、数据资源体系完善、数字基础设施支撑有力的新型智慧城市体系框架。到2024年，把三门峡打造成以高效、宜居、创新为主要特征，全省领先的新型智慧城市示范市；到2025年，市县一体化的智慧三门峡达到全国一流水平。</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智慧应用覆盖率大幅度提高。政务服务、城市治理、民生服务、生态宜居、产业发展等领域一体化应用覆盖率达到80%，行政许可网上办理率达到90%，全域网格化服务管理覆盖全市人口，电子健康档案覆盖率达到100%，成为中西部地区环境最优、效率最高、活力最足的城市之一。</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“数字大脑”赋能作用效果显著。重点领域政务数据开放率达到90%以上，大数据发展水平全省领先，人工智能、大数据、区块链、物联网等技术成为提升城市治理能力和服务水平的中枢。</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网络安全体系自主可控。网络安全综合治理能力显著增强，城市网络安全态势总体可信、可靠、可控，设备和数据领域安全监控与预警、网络安全应急处置能力明显增强。</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4、基本要求</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统筹规划，一体建设。以“政用、民用、商用”为主线，以“优政、惠民、兴业”为目标，坚持地下地上一体推进、线上线下一体推进，打造全市联通“一张网”、数字空间“一张图”等，形成软硬结合、远近结合、四位一体、系统完备的新型智慧城市建设体系。</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以人为本，高效务实。以保障和改善民生作为三门峡新型智慧城市建设的出发点和落脚点，以居民群众、企事业单位和社会各方最关心最现实的重点难点问题为导向，统筹整合基础设施、数据信息等资源，推进跨部门、跨层级、跨行业的集约化建设，务实推动新型智慧城市健康有序发展，有效增强群众获得感，使全市人民共享新型智慧城市建设成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自主可控，安全可靠。落实国家信息安全等级保护制度，强化网络和信息安全管理，健全网络和信息安全标准体系，注重数据安全和个人隐私保护，加强关键信息系统和信息基础设施安全保障，确保安全可控。</w:t>
      </w:r>
    </w:p>
    <w:p>
      <w:pPr>
        <w:rPr>
          <w:rFonts w:hint="eastAsia"/>
          <w:color w:val="auto"/>
        </w:rPr>
      </w:pPr>
      <w:r>
        <w:rPr>
          <w:rFonts w:hint="eastAsia" w:ascii="仿宋" w:hAnsi="仿宋" w:eastAsia="仿宋" w:cs="仿宋"/>
          <w:color w:val="auto"/>
          <w:kern w:val="0"/>
          <w:sz w:val="24"/>
        </w:rPr>
        <w:t>针对以上建设规模与内容，在具体实施过程中采购方有权根据实际实施规划和使用需求进行调整。</w:t>
      </w:r>
    </w:p>
    <w:p>
      <w:pPr>
        <w:pStyle w:val="6"/>
        <w:spacing w:before="156" w:beforeLines="50" w:after="156" w:afterLines="50" w:line="360" w:lineRule="auto"/>
        <w:rPr>
          <w:rFonts w:hint="eastAsia" w:ascii="仿宋" w:hAnsi="仿宋" w:eastAsia="仿宋" w:cs="仿宋"/>
          <w:b/>
          <w:color w:val="auto"/>
          <w:sz w:val="28"/>
          <w:szCs w:val="28"/>
        </w:rPr>
      </w:pPr>
      <w:bookmarkStart w:id="8" w:name="_Toc65168284"/>
      <w:bookmarkStart w:id="9" w:name="_Toc510088882"/>
      <w:bookmarkStart w:id="10" w:name="_Toc15916"/>
      <w:r>
        <w:rPr>
          <w:rFonts w:hint="eastAsia" w:ascii="仿宋" w:hAnsi="仿宋" w:eastAsia="仿宋" w:cs="仿宋"/>
          <w:b/>
          <w:color w:val="auto"/>
          <w:sz w:val="28"/>
          <w:szCs w:val="28"/>
        </w:rPr>
        <w:t>A包：包含互联网+监管服务、工业互联网平台服务、智慧不动产登记综合管理平台服务、数据中台服务、公共安全视频图像系统基础数据平台升级服务、普惠金融平台服务</w:t>
      </w:r>
    </w:p>
    <w:p>
      <w:pPr>
        <w:pStyle w:val="6"/>
        <w:spacing w:before="0" w:after="0"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一、项目服务要求</w:t>
      </w:r>
    </w:p>
    <w:p>
      <w:pPr>
        <w:autoSpaceDE w:val="0"/>
        <w:autoSpaceDN w:val="0"/>
        <w:adjustRightInd w:val="0"/>
        <w:spacing w:line="360" w:lineRule="auto"/>
        <w:ind w:firstLine="420"/>
        <w:jc w:val="left"/>
        <w:outlineLvl w:val="3"/>
        <w:rPr>
          <w:rFonts w:hint="eastAsia" w:ascii="仿宋" w:hAnsi="仿宋" w:eastAsia="仿宋" w:cs="仿宋"/>
          <w:b/>
          <w:bCs/>
          <w:color w:val="auto"/>
          <w:sz w:val="24"/>
        </w:rPr>
      </w:pPr>
      <w:r>
        <w:rPr>
          <w:rFonts w:hint="eastAsia" w:ascii="仿宋" w:hAnsi="仿宋" w:eastAsia="仿宋" w:cs="仿宋"/>
          <w:bCs/>
          <w:color w:val="auto"/>
          <w:sz w:val="24"/>
        </w:rPr>
        <w:t>1</w:t>
      </w:r>
      <w:r>
        <w:rPr>
          <w:rFonts w:hint="eastAsia" w:ascii="仿宋" w:hAnsi="仿宋" w:eastAsia="仿宋" w:cs="仿宋"/>
          <w:bCs/>
          <w:color w:val="auto"/>
          <w:sz w:val="24"/>
          <w:lang w:val="en-US" w:eastAsia="zh-CN"/>
        </w:rPr>
        <w:t>.</w:t>
      </w:r>
      <w:r>
        <w:rPr>
          <w:rFonts w:hint="eastAsia" w:ascii="仿宋" w:hAnsi="仿宋" w:eastAsia="仿宋" w:cs="仿宋"/>
          <w:b/>
          <w:bCs/>
          <w:color w:val="auto"/>
          <w:sz w:val="24"/>
        </w:rPr>
        <w:t>互联网+监管服务</w:t>
      </w:r>
    </w:p>
    <w:p>
      <w:pPr>
        <w:keepNext/>
        <w:keepLines/>
        <w:spacing w:line="360" w:lineRule="auto"/>
        <w:ind w:firstLine="482" w:firstLineChars="200"/>
        <w:outlineLvl w:val="4"/>
        <w:rPr>
          <w:rFonts w:hint="eastAsia" w:ascii="仿宋" w:hAnsi="仿宋" w:eastAsia="仿宋" w:cs="仿宋"/>
          <w:b/>
          <w:bCs/>
          <w:color w:val="auto"/>
          <w:sz w:val="24"/>
        </w:rPr>
      </w:pPr>
      <w:r>
        <w:rPr>
          <w:rFonts w:hint="eastAsia" w:ascii="仿宋" w:hAnsi="仿宋" w:eastAsia="仿宋" w:cs="仿宋"/>
          <w:b/>
          <w:bCs/>
          <w:color w:val="auto"/>
          <w:sz w:val="24"/>
        </w:rPr>
        <w:t>1.1项目概述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党中央、国务院高度重视创新监管理念和监管方式，对做好“互联网+监管”工作提出了明确要求。习近平总书记在党的十九大报告中强调，要转变政府职能，深化简政放权，创新监管方式，增强政府公信力和执行力，建设人民满意的服务型政府。要推进跨部门联合监管和“互联网+监管”，实现从职能部门“单打独斗”转变为综合监管、“智慧监管”。</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2018年8月《国务院办公厅关于印发全国深化“放管服”改革转变政府职能电视电会议重点任务分工方案的通知》（国办发〔2018〕79号）中提出了构建“互联网+监管”系统的目标任务。国务院办公厅电子政务办公室组织编制了《国家“互联网+监管”系统建设方案》，并广泛听取了有关地方部门和院士专家的意见，进行了修改完善。2018年10月22日，国务院常务会议听取了关于《国家“互联网+监管”系统建设方案》的汇报</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会议决定，为完善事中事后监管，加强和创新“双随机、一公开”等监管方式，依托国家政务服务平台建设“互联网+监管”系统，强化对地方和部门监管工作的监督，实现对监管的“监管”，并通过归集共享各类相关数据，及时发现防范苗头性和跨行业跨区域风险，促进政府监管规范化、精准化、智能化。同时根据《河南省人民政府办公厅关于做好政务服务平台和“互联网+监管”系统建设对接工作的通知》（豫政办明电〔2019〕7号）相关文件指导精神，加快“互联网+监管”系统建设。</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三门峡市结合自身实际情况出发，从响应国家“放管服”号召到建设三门峡市“互联网+政务”平台一直积极主动不断摸索、创新打造三门峡市亮点特色，走在全省前列。本次结合国家</w:t>
      </w:r>
      <w:r>
        <w:rPr>
          <w:rFonts w:hint="eastAsia" w:ascii="仿宋" w:hAnsi="仿宋" w:eastAsia="仿宋" w:cs="仿宋"/>
          <w:color w:val="auto"/>
          <w:kern w:val="0"/>
          <w:sz w:val="24"/>
          <w:lang w:eastAsia="zh-CN"/>
        </w:rPr>
        <w:t>、省</w:t>
      </w:r>
      <w:r>
        <w:rPr>
          <w:rFonts w:hint="eastAsia" w:ascii="仿宋" w:hAnsi="仿宋" w:eastAsia="仿宋" w:cs="仿宋"/>
          <w:color w:val="auto"/>
          <w:kern w:val="0"/>
          <w:sz w:val="24"/>
        </w:rPr>
        <w:t>在“互联网+监管”系统总体建设的要求以及指导下，建设三门峡市“互联网+监管”系统。</w:t>
      </w:r>
    </w:p>
    <w:p>
      <w:pPr>
        <w:keepNext/>
        <w:keepLines/>
        <w:spacing w:line="360" w:lineRule="auto"/>
        <w:ind w:firstLine="562"/>
        <w:outlineLvl w:val="4"/>
        <w:rPr>
          <w:rFonts w:hint="eastAsia" w:ascii="仿宋" w:hAnsi="仿宋" w:eastAsia="仿宋" w:cs="仿宋"/>
          <w:b/>
          <w:bCs/>
          <w:color w:val="auto"/>
          <w:sz w:val="24"/>
        </w:rPr>
      </w:pPr>
      <w:r>
        <w:rPr>
          <w:rFonts w:hint="eastAsia" w:ascii="仿宋" w:hAnsi="仿宋" w:eastAsia="仿宋" w:cs="仿宋"/>
          <w:b/>
          <w:bCs/>
          <w:color w:val="auto"/>
          <w:sz w:val="24"/>
        </w:rPr>
        <w:t>1.2项目服务目标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三门峡市“互联网+监管”系统将依托于三门峡市“互联网+政务”服务平台，按照国家、省级“互联网+监管”相关标准规范要求，以“监管数据共享”为核心，以归集、共享、分析应用各地方各部门、第三方机构、重点领域等监管数据为思路，建设以统一监管事项目录清单和统一数据标准的“互联网+监管”大数据中心为基础的“互联网+监管”系统，以信息化手段实现监管事项全覆盖、监管过程全记录、监管数据可共享，为“双随机、一公开”监管、重点监管、信用监管和综合监管、协同监管、“智慧监管”提供强有力的平台支撑。同时实现与河南省“互联网+监管”系统的对接，实现与省级系统的数据交互共享。</w:t>
      </w:r>
    </w:p>
    <w:p>
      <w:pPr>
        <w:keepNext/>
        <w:keepLines/>
        <w:spacing w:line="360" w:lineRule="auto"/>
        <w:ind w:firstLine="562"/>
        <w:outlineLvl w:val="4"/>
        <w:rPr>
          <w:rFonts w:hint="eastAsia" w:ascii="仿宋" w:hAnsi="仿宋" w:eastAsia="仿宋" w:cs="仿宋"/>
          <w:b/>
          <w:bCs/>
          <w:color w:val="auto"/>
          <w:sz w:val="24"/>
        </w:rPr>
      </w:pPr>
      <w:r>
        <w:rPr>
          <w:rFonts w:hint="eastAsia" w:ascii="仿宋" w:hAnsi="仿宋" w:eastAsia="仿宋" w:cs="仿宋"/>
          <w:b/>
          <w:bCs/>
          <w:color w:val="auto"/>
          <w:sz w:val="24"/>
        </w:rPr>
        <w:t>1.3服务范围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市本级、义马市、渑池县、湖滨区、陕州区、灵宝市、卢氏县、开发区、城乡一体化示范区、现代服务业开发区。</w:t>
      </w:r>
    </w:p>
    <w:p>
      <w:pPr>
        <w:keepNext/>
        <w:keepLines/>
        <w:spacing w:line="360" w:lineRule="auto"/>
        <w:ind w:firstLine="482" w:firstLineChars="200"/>
        <w:outlineLvl w:val="4"/>
        <w:rPr>
          <w:rFonts w:hint="eastAsia" w:ascii="仿宋" w:hAnsi="仿宋" w:eastAsia="仿宋" w:cs="仿宋"/>
          <w:b/>
          <w:bCs/>
          <w:color w:val="auto"/>
          <w:sz w:val="24"/>
        </w:rPr>
      </w:pPr>
      <w:r>
        <w:rPr>
          <w:rFonts w:hint="eastAsia" w:ascii="仿宋" w:hAnsi="仿宋" w:eastAsia="仿宋" w:cs="仿宋"/>
          <w:b/>
          <w:bCs/>
          <w:color w:val="auto"/>
          <w:sz w:val="24"/>
        </w:rPr>
        <w:t>1.4服务内容要求</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1.4.1监管事项应用配置管理系统</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监管事项目录清单动态管理系统依托于河南省级统建的监管事项目录动态管理系统，为三门峡市各部门、下属地区提供监管事项入库、汇聚、管理、更新、统计等功能，规范三门峡市监管事项的发布、运行，实现监管事项的动态化、标准化管理。</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1.4.2 监管数据资源中心</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数据中心管理系统采集监管数据，通过数据清洗和比对，对三门峡市监管部门的监管过程记录数据进行处理，并集中存储，进行多源数据的汇总、融合、关联、分析，及时掌握市场主体经营行为、规律与特征，对市场主体的各类监管业务风险情况进行整理和研判。系统实现对监管对象事前、事中、事后监管全过程、全领域的监管记录，建立多维度、全生命周期的监管数据库，为三门峡市各地区、部门提供数据支撑。</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1.4.3 监管工作界面</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三门峡市“互联网+监管”系统监管工作界面是为领导同志、各单位提供信息展示、互动交流、数据推送等服务，具体包括监管事项目录清单动态管理、风险预警数据展示、协同监管任务发起和跟踪、监管数据受理服务、投诉举报受理转办、监管效能评估评价、知识共享、综合信息服务等功能，领导同志、各单位人员登录后，可查阅权限范围内的通 知公告、可视化数据信息，以及权限范围内的服务功能。</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1.4.4 公众服务界面</w:t>
      </w:r>
    </w:p>
    <w:p>
      <w:pPr>
        <w:autoSpaceDE w:val="0"/>
        <w:autoSpaceDN w:val="0"/>
        <w:adjustRightInd w:val="0"/>
        <w:spacing w:line="360" w:lineRule="auto"/>
        <w:ind w:firstLine="425"/>
        <w:jc w:val="left"/>
        <w:rPr>
          <w:rFonts w:hint="eastAsia" w:ascii="仿宋" w:hAnsi="仿宋" w:eastAsia="仿宋" w:cs="仿宋"/>
          <w:color w:val="auto"/>
          <w:kern w:val="0"/>
          <w:sz w:val="24"/>
        </w:rPr>
      </w:pPr>
      <w:r>
        <w:rPr>
          <w:rFonts w:hint="eastAsia" w:ascii="仿宋" w:hAnsi="仿宋" w:eastAsia="仿宋" w:cs="仿宋"/>
          <w:color w:val="auto"/>
          <w:kern w:val="0"/>
          <w:sz w:val="24"/>
        </w:rPr>
        <w:t>三门峡市“互联网+监管”系统服务界面为社会公众提供监管相关信息服务，主要包 括全市监管事项目录清单查询，监管投诉举报受理，监管投诉举报处理过程和结果反馈，法律法规、案例等知识库信息查询。丰富了“互联网+监管”系统监管渠道，同时也为河南省“互联网+监管”系统对我市监管工作的评判提供依据。</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1.4.5 行政执法监管系统</w:t>
      </w:r>
    </w:p>
    <w:p>
      <w:pPr>
        <w:autoSpaceDE w:val="0"/>
        <w:autoSpaceDN w:val="0"/>
        <w:adjustRightInd w:val="0"/>
        <w:spacing w:line="360" w:lineRule="auto"/>
        <w:ind w:firstLine="426"/>
        <w:jc w:val="left"/>
        <w:rPr>
          <w:rFonts w:hint="eastAsia" w:ascii="仿宋" w:hAnsi="仿宋" w:eastAsia="仿宋" w:cs="仿宋"/>
          <w:color w:val="auto"/>
          <w:kern w:val="0"/>
          <w:sz w:val="24"/>
        </w:rPr>
      </w:pPr>
      <w:r>
        <w:rPr>
          <w:rFonts w:hint="eastAsia" w:ascii="仿宋" w:hAnsi="仿宋" w:eastAsia="仿宋" w:cs="仿宋"/>
          <w:color w:val="auto"/>
          <w:kern w:val="0"/>
          <w:sz w:val="24"/>
        </w:rPr>
        <w:t>行政执法监管系统基于三门峡市“互联网+监管”系统汇聚、采集的执法对象、执法人员、信用信息、监管事项等监管数据，开展满足三门峡市实际业务需求的监管事项目录清单动态管理，双随机、一公开，非现场监管，联合监管，信用联合奖惩、投诉举报处理等各类执法监管业务，实现三门峡市各类执法监管业务的互联网在线办理、全过程信息化记录和管理，从而加大监管力度，提高监管效力，提升监管成效。</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1.4.6 监管风险预警系统</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分析历史事故内在联系，提供监管大数据分析模型。政府侧分析模型，监管对象的信用情况、奖惩情况、承担风险能力等。市场侧分析模型，获取综合性风险点预测、区域性风险点预测和企业风险点预测。</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1.4.7 监管效能评估评价系统</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监管效能评估评价系统通过获取大数据中心中从各个渠道、多路径汇聚到的评估评价关键数据，为效能评估评价提供评估评价数据基础。建立监管评估评价体系，根据评估评价结果经验和反馈，不断更新优化评估评价指标体系，推动监管工作效能提升。监管效能评估评价系统主要有两个建设任务：监管指标体系建设和监管评估评价系统建设。</w:t>
      </w:r>
    </w:p>
    <w:p>
      <w:pPr>
        <w:keepNext/>
        <w:keepLines/>
        <w:spacing w:line="360" w:lineRule="auto"/>
        <w:ind w:firstLine="482" w:firstLineChars="200"/>
        <w:outlineLvl w:val="5"/>
        <w:rPr>
          <w:rFonts w:hint="eastAsia" w:ascii="仿宋" w:hAnsi="仿宋" w:eastAsia="仿宋" w:cs="仿宋"/>
          <w:b/>
          <w:bCs/>
          <w:color w:val="auto"/>
          <w:sz w:val="24"/>
        </w:rPr>
      </w:pPr>
      <w:r>
        <w:rPr>
          <w:rFonts w:hint="eastAsia" w:ascii="仿宋" w:hAnsi="仿宋" w:eastAsia="仿宋" w:cs="仿宋"/>
          <w:b/>
          <w:bCs/>
          <w:color w:val="auto"/>
          <w:sz w:val="24"/>
        </w:rPr>
        <w:t>1.4.8 综合分析系统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实现对重大事件的监管和数据汇集分析展示，聚焦本地区重点监管事件。通过图、表等多种形式，展示监管事项、监管过程、监管行为等数据资源及相互关系，全面展示监管业务情况，实现监管过程和监管结果的可视化。</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2</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工业互联网服务</w:t>
      </w:r>
    </w:p>
    <w:p>
      <w:pPr>
        <w:keepNext/>
        <w:keepLines/>
        <w:spacing w:line="360" w:lineRule="auto"/>
        <w:ind w:firstLine="562"/>
        <w:outlineLvl w:val="4"/>
        <w:rPr>
          <w:rFonts w:hint="eastAsia" w:ascii="仿宋" w:hAnsi="仿宋" w:eastAsia="仿宋" w:cs="仿宋"/>
          <w:b/>
          <w:bCs/>
          <w:color w:val="auto"/>
          <w:sz w:val="24"/>
        </w:rPr>
      </w:pPr>
      <w:r>
        <w:rPr>
          <w:rFonts w:hint="eastAsia" w:ascii="仿宋" w:hAnsi="仿宋" w:eastAsia="仿宋" w:cs="仿宋"/>
          <w:b/>
          <w:bCs/>
          <w:color w:val="auto"/>
          <w:sz w:val="24"/>
        </w:rPr>
        <w:t>2.1项目概述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作为工业互联网三大要素，工业互联网平台是工业全要素链接的枢纽，是工业资源配置的核心，承载着数以亿计的设备、系统、工艺参数、软件工具、企业业务需求和制造能力，也是企业间实现网络化协同优化的关键。通过建设发展工业互联网平台，能够有效的采集和汇聚企业生产经营各环节和方面的数据，通过分析和反馈在以下四个方面进行优化：</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一是面向工业现场的生产过程优化，利用平台采集汇聚的设备运行数据、工艺参数、质量检测数据、物料配送数据和进度管理数据等生产现场数据，在制造工艺、生产流程、质量管理、设备维护和能耗管理等具体场景，利用寻找最优参数、提升排产管理准确性、运用专家知识系统评估、对“人机料法环”进行关联性分析、设备预测性维护、对能效使用进行合理规划等方法，实现设备使用率和产品质量提高、科学高效排产和减少能耗等效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二是面向企业运营的管理决策优化，利用平台打通生产现场数据、企业管理数据和供应链数据，提升决策效率，实现更加精准与透明的企业管理，其具体场景包括供应链管理优化、生产管控一体化、企业决策管理等，可实现有效降低库存成本，实现企业管理和现场生产的协同优化，针对市场变化做出有效快速最优决策等效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三是面向社会化生产的资源优化配置与协同，利用平台制造企业与外部用户需求、创新资源、生产能力的全面对接，推动设计、制造、供应和服务环节的并行组织和协同优化，具体场景包括协同制造、制造能力交易与个性化定制等，实现设计与生产的并行实施、缩短研发设计与生产周期、降低成本、提高生产效率、便于企业融资等效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四是面向产品全生命周期的管理与服务优化，利用平台将产品设计、生产、运行和服务数据进行全面集成，实现可制造性预测、产品健康管理、改进产品设计等效果。</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2.2项目服务目标</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为更好的服务三门峡市重点规模以上企业和中小工业企业的数字化、智能化发展。本项目计划建设目标为：</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第一，建设工业资源的汇聚共享平台，通过工业互联网平台的集聚效应，承载海量设备、应用系统、工艺参数、软件工具、企业业务需求和制造能力等工业资源。</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第二，建设新型协同优化的工业云平台，通过工业互联网平台连接海量设备，承载工业经验与知识模型，对接工业优化应用，实现三门峡市域内企业内部和企业间的网络协同优化。</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第三，建设工业新业态催生平台，通过工业互联网平台凝聚生产企业、工业软件开发企业、工业园区、高校和科研院所等单位，催生三门峡市域内制造业的众包众创、协同制造、智能服务等一系列互联网新模式新业态。</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2.4服务内容要求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2.4.1 SaaS应用服务</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设计制造类，需提供的软件包括：CAD设计软件、CAE软件、CAM软件等。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企业管理类，需提供的软件包括：协同办公、人力资源管理、客户关系管理、设备管理、项目管理、财务管理等使用率最高的管理软件为用户提供统一服务。</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企业推广类，需提供的软件包括：企业营销、企业建站、网站优化等。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供应链，需提供的软件包括：ERP、进销存、采购管理等。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赋能创新，需提供的软件包括：工业安全类、智能管控类、IOT等。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其他工具，需提供的软件包括：文档处理工具、图形图像工具、3D展示等。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2.4.2工业互联网门户需求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门户首页，对三门峡工业互联网的各类资源进行整合，强化政企通道、软件服务、工业品发布、供需对接、工业资源库等功能，为企业提供更为便捷的服务。</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软件超市栏目，实现在线注册、开通、下载、试用、精品推荐等，可按软件点击率排序，可查看软件的详细产品介绍，包括文字、图片、视频等多种方式，可对产品指南进行下载。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解决方案栏目，支持word、pdf等解决方案文档的快速上传和展示。涵盖不同分类的方案，支持方案在线阅读及下载。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供需对接栏目，接入并改造第三方众包平台，实现供需信息的线上发布，需求对接等。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工业资源库栏目，提供海量工业领域的模型、文献、标准等设计资源，构建本地工业零件库。</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工业品发布栏目，支持发布本企业的产品，包括：企业注册、企业介绍、企业产品分类、企业产品发布、企业产品展示、联系方式、相关资质等的后台录入及前台展示。</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开发者中心栏目，开发者中心栏目需要为这些合作伙伴提供各种资源的获取途径，如开发文档、开发工具、接入工具、部署测试工具，实现开发者自主上传、开通。</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政企通道栏目</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（1）集成经济运行监测系统，包含企业数据采集入口、大屏展示、政府监控功能；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（2）展示项目资金申报系统，可发布申报信息，提供企业、政府注册登录入口；</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（3）提供网上办事指南查询；</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（4）客服模块：支持用户随时随地咨询平台使用问题，建立实时沟通交流的工具。</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人才对接栏目，集成人才对接类软件，实现信息的互动。包含注册，投递简历，人才招聘功能。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银企对接栏目，集成三门峡市普惠金融平台。帮助企业直接对接金融服务资源，力促银企精准对接。</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2.4.2.1面向政府企业的大数据展现模块要求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区域监测要求，支持展示全市工业经济概况、区域运行分析、先行指标分析等。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行业产业监测要求，对行业按照41大工业门类，轻重工，“565”现代产业体系进行分类汇总统计分析，以图表形式展示。</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投资监测要求，对全市、各区县的工业投资、技改投资数据的展示，实现全市、区县投资情况监控。</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园区监测要求，分析全市园区的总产值、工业增加值，营业收入，实缴税金、基础设施建设本年投资额素等重要主题。</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企业监测要求，包含企业直报数据以及重大企业监测功能。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产品监测要求，分析规模以上工业主要产品产量情况和趋势。</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主题数据库要求，包含企业库、项目库、园区库，并支持对三个库的管理、批量增删改查功能。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数据采集要求，支持报表在线填报功能以及excel导入功能。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报表要求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（1）支持企业所填报告申请修改和打回功能；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（2）支持报表弱审核功能；支持统计报表填报及报送；</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（3）支持查看期限内所填报报表功能，支持GIS地图展示、数据下钻；</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大数据展示要求，支持可视化展示市级重要工业经济相关指标、重要工业投资情况、本地区不同园区运行情况。</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系统管理及其他要求，系统管理模块包含菜单管理、机构管理、权限管理、用户管理、代码库管理、报表设置，同时还包括报表催报、日志管理、问题反馈、下载专区等功能。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2.4.3运维管理平台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2.4.3.1资源管理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1、模块管理：包含资源池中所有模块的部署、修改、升级、删除等功能。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2、模板管理：包含模板的构建组装、模板的发布等功能。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3、模块类型管理、模板类型管理。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2.4.3.2租户管理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1、修改系统信息：开通状态、到期时间、重要程度等。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2、租户查询：根据系统提供数据项查询。</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3、删除系统：删除租户系统信息。</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2.4.3.3用户管理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1、支持对系统的实时在线人数和历史在线人数的监控。</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2、支持统计用户登录和退出的日志记录，并进行用户使用系统的相关统计。</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3、支持异常信息管理，供管理人员查看并及时处理异常情况。</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2.4.3.4运营管理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1、企业认证审核、个人认证审核。</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2、平台所有发布内容、重要系统开通审核等。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3、SaaS应用上架审核、订单查询。</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2.4.3.5运营统计分析</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支持功能包含：活跃租户排名、活跃用户排名、新增用户统计、活跃用户统计、租户开通数统计、第三方软件开通数统计、ISV审核、SaaS应用开通系统统计、需求审核、附加模块审核、运维监控系统。</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提供独立于平台的各个应用和服务的HTTP日常监控和预警提醒；提供独立的docker容器平台的CPU、内存、磁盘、网络的日常监控和可视化展示。</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2.4.4部署升级</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云端有大量的服务器，服务器资源池中有很多软件资源，这些资源在使用过程中要不断部署升级；还有一些新开发的软件系统或模块要部署到服务器中去；同时还要更新大量租户系统的数据软件；要侦测资源池、租户系统的软件和数据状态，以及他们的差异，自动的部署或升级已经存在的组件或系统。</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云端服务的部署升级是一个量大高频、高质量、高重复、高精细的工作，手工工作容易出错，需提供一个自动化的部署升级工具，批量、定时、准确的部署和升级云端服务，需包括以下功能：服务打包、服务上传、服务探测、租户系统服务和数据识别、启动部署升级、出错回滚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2.4.5企业服务</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切实解决企业生产经营和发展中存在的困难和问题，积极帮助企业破瓶颈、解难题、拓市场。使单位与企业交流、互动的渠道更加畅通，服务企业的载体更加丰富、规范，可以更加高效地为企业提供全方位、高品质、低成本的公共服务。通过企业服务平台，可以健全企业问题收集、处理、反馈制度，使企业反映的困难和问题得到及时、有效地解决。</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2.4.6诊断需求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设置企业自诊断中需要检测的题库内容，可设置单选、多选、文本等多种模式题型，每种选项可设置分值，用于企业评估时自动计算分值，题库中的所有题型要分类管理，根据企业经营的不同层面，囊括能够诊断企业健康情况的所有指标参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系统管理人员在系统中配置不同类型的企业诊断模板，模板中包含题库中不同的题型，同时支持在模板中根据要求新增题型，每个题目可自由拖动调整显示顺序，模板可根据类型进行分类，设置完模板后即可将模板发布出去，供企业进行自诊断。</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2.4.7用工对接</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针对企业来说，用工人才是企业的核心问题，目前大部分用工平台都只限于平台的品牌推广，没有针对企业自己的宣传工具，为了能够让本单位发布的招聘职位得到比较好的宣传，为企业提供有效招聘渠道，企业可借助各种有效传播途径来推广宣传企业及招聘职位信息，降低企业成本。</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2.4.8资金申报</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根据地方政策，可以定向发送给符合政策的企业，同时相关的资金申报政策、细则法规以及申请材料等都可以作为通知发送给企业，申请材料等填报表单可以以附件的形式发送给企业，供企业提交申请时使用。</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2.4.9集成平台</w:t>
      </w:r>
    </w:p>
    <w:p>
      <w:pPr>
        <w:autoSpaceDE w:val="0"/>
        <w:autoSpaceDN w:val="0"/>
        <w:adjustRightInd w:val="0"/>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kern w:val="0"/>
          <w:sz w:val="24"/>
        </w:rPr>
        <w:t>预留第三方数据接口，与第三方平台进行系统对接。</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3. 智慧不动产登记综合服务管理平台（二期）服务</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3.1项目概述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自三门峡市实施不动产统一登记工作以来，通过一系列的举措，不动产登记在信息化方面取得了不少成效，但部分工作仍存在明显的不足，根据国务院、省政府、市政府的要求，不动产登记需进一步压缩办理时间。目前三门峡市不动产登记仍存在以下问题：一是与省级平台未完成对接，无法实现全省范围的“全豫通办”和政务网业务申请办理，二是不动产登记收件材料中涉及其他政府部门的数据成果未实现共享利用，导致群众及企业为收集大量的收件材料在多部门之间往返跑趟，三是不动产登记便民体系不完整，无法通过互联网实现查询、缴费等功能，仍有很多不利于群众业务办理的地方需要改进升级。</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为贯彻落实国务院、河南省政府等相关文件要求，结合三门峡市不动产登记工作现状，构建“全豫通办”、便捷高效、便民利民的不动产登记工作体系，加强部门协作，确保不动产登记相关信息按时实现互通共享，压缩不动产登记办理时限，最大程度提升企业和群众的满足感和获得感，开展智慧不动产登记综合服务管理势在必行。</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3.2项目服务目标</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3.2.1不动产登记“全豫通办”（实现《关于做好接入省“全豫通办”系统体系相关工作的通知》文件要求）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建设不动产登记“全豫通办”服务平台，统一事项库、统一申请材料清单、统一申请表单、统一数据交互标准和统一业务编号规则，实现不动产登记异地受理、属地办理，业务受理信息和办理信息互通共享，企业和群众不动产登记异地办、就近办、“全豫通办”。</w:t>
      </w:r>
    </w:p>
    <w:tbl>
      <w:tblPr>
        <w:tblStyle w:val="10"/>
        <w:tblW w:w="4948"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629"/>
        <w:gridCol w:w="5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b/>
                <w:bCs/>
                <w:color w:val="auto"/>
                <w:kern w:val="0"/>
                <w:sz w:val="22"/>
                <w:szCs w:val="22"/>
              </w:rPr>
            </w:pPr>
            <w:r>
              <w:rPr>
                <w:rFonts w:hint="eastAsia" w:ascii="仿宋" w:hAnsi="仿宋" w:eastAsia="仿宋" w:cs="仿宋"/>
                <w:b/>
                <w:bCs/>
                <w:color w:val="auto"/>
                <w:kern w:val="0"/>
                <w:sz w:val="22"/>
                <w:szCs w:val="22"/>
              </w:rPr>
              <w:t>序号</w:t>
            </w:r>
          </w:p>
        </w:tc>
        <w:tc>
          <w:tcPr>
            <w:tcW w:w="1558"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42"/>
              <w:rPr>
                <w:rFonts w:hint="eastAsia" w:ascii="仿宋" w:hAnsi="仿宋" w:eastAsia="仿宋" w:cs="仿宋"/>
                <w:b/>
                <w:bCs/>
                <w:color w:val="auto"/>
                <w:kern w:val="0"/>
                <w:sz w:val="22"/>
                <w:szCs w:val="22"/>
              </w:rPr>
            </w:pPr>
            <w:r>
              <w:rPr>
                <w:rFonts w:hint="eastAsia" w:ascii="仿宋" w:hAnsi="仿宋" w:eastAsia="仿宋" w:cs="仿宋"/>
                <w:b/>
                <w:bCs/>
                <w:color w:val="auto"/>
                <w:kern w:val="0"/>
                <w:sz w:val="22"/>
                <w:szCs w:val="22"/>
              </w:rPr>
              <w:t>系统功能</w:t>
            </w:r>
          </w:p>
        </w:tc>
        <w:tc>
          <w:tcPr>
            <w:tcW w:w="3017"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99" w:firstLineChars="90"/>
              <w:jc w:val="center"/>
              <w:rPr>
                <w:rFonts w:hint="eastAsia" w:ascii="仿宋" w:hAnsi="仿宋" w:eastAsia="仿宋" w:cs="仿宋"/>
                <w:b/>
                <w:bCs/>
                <w:color w:val="auto"/>
                <w:kern w:val="0"/>
                <w:sz w:val="22"/>
                <w:szCs w:val="22"/>
              </w:rPr>
            </w:pPr>
            <w:r>
              <w:rPr>
                <w:rFonts w:hint="eastAsia" w:ascii="仿宋" w:hAnsi="仿宋" w:eastAsia="仿宋" w:cs="仿宋"/>
                <w:b/>
                <w:bCs/>
                <w:color w:val="auto"/>
                <w:kern w:val="0"/>
                <w:sz w:val="22"/>
                <w:szCs w:val="22"/>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3"/>
              </w:numPr>
              <w:spacing w:line="360" w:lineRule="auto"/>
              <w:ind w:firstLineChars="0"/>
              <w:jc w:val="center"/>
              <w:rPr>
                <w:rFonts w:hint="eastAsia" w:ascii="仿宋" w:hAnsi="仿宋" w:eastAsia="仿宋" w:cs="仿宋"/>
                <w:b/>
                <w:bCs/>
                <w:color w:val="auto"/>
                <w:sz w:val="22"/>
                <w:szCs w:val="22"/>
              </w:rPr>
            </w:pPr>
          </w:p>
        </w:tc>
        <w:tc>
          <w:tcPr>
            <w:tcW w:w="1558"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2"/>
                <w:szCs w:val="22"/>
              </w:rPr>
            </w:pPr>
            <w:r>
              <w:rPr>
                <w:rFonts w:hint="eastAsia" w:ascii="仿宋" w:hAnsi="仿宋" w:eastAsia="仿宋" w:cs="仿宋"/>
                <w:color w:val="auto"/>
                <w:kern w:val="0"/>
                <w:sz w:val="22"/>
                <w:szCs w:val="22"/>
              </w:rPr>
              <w:t>与省政务服务平台“统一受理”系统对接</w:t>
            </w:r>
          </w:p>
        </w:tc>
        <w:tc>
          <w:tcPr>
            <w:tcW w:w="3017"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收件分发</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受理信息推送接口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环节信息推送接口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办结信息推送接口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补齐补正开始信息分发接口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补齐补正开始信息推送接口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补齐补正结束信息推送接口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特别程序开始接口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特别程序结束接口</w:t>
            </w:r>
          </w:p>
          <w:p>
            <w:pPr>
              <w:pStyle w:val="14"/>
              <w:widowControl/>
              <w:numPr>
                <w:ilvl w:val="0"/>
                <w:numId w:val="4"/>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其他接口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3"/>
              </w:numPr>
              <w:spacing w:line="360" w:lineRule="auto"/>
              <w:ind w:firstLineChars="0"/>
              <w:jc w:val="center"/>
              <w:rPr>
                <w:rFonts w:hint="eastAsia" w:ascii="仿宋" w:hAnsi="仿宋" w:eastAsia="仿宋" w:cs="仿宋"/>
                <w:b/>
                <w:bCs/>
                <w:color w:val="auto"/>
                <w:sz w:val="22"/>
                <w:szCs w:val="22"/>
              </w:rPr>
            </w:pPr>
          </w:p>
        </w:tc>
        <w:tc>
          <w:tcPr>
            <w:tcW w:w="1558"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2"/>
                <w:szCs w:val="22"/>
              </w:rPr>
            </w:pPr>
            <w:r>
              <w:rPr>
                <w:rFonts w:hint="eastAsia" w:ascii="仿宋" w:hAnsi="仿宋" w:eastAsia="仿宋" w:cs="仿宋"/>
                <w:color w:val="auto"/>
                <w:kern w:val="0"/>
                <w:sz w:val="22"/>
                <w:szCs w:val="22"/>
              </w:rPr>
              <w:t>与省“全豫通办”系统对接</w:t>
            </w:r>
          </w:p>
        </w:tc>
        <w:tc>
          <w:tcPr>
            <w:tcW w:w="3017"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产权信息查询接口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登记办理限制查询接口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登记办理基础项信息查询接口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受理信息接收接口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电子档案查询接口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房屋交易合同信息查询接口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完税信息查询接口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业务号生成接口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办理进度信息接收接口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全豫通办登记机构获取接口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属地信息查询接口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受理信息接收接口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办理进度信息接收接口</w:t>
            </w:r>
          </w:p>
          <w:p>
            <w:pPr>
              <w:pStyle w:val="14"/>
              <w:widowControl/>
              <w:numPr>
                <w:ilvl w:val="0"/>
                <w:numId w:val="5"/>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业务号生成代理接口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3"/>
              </w:numPr>
              <w:spacing w:line="360" w:lineRule="auto"/>
              <w:ind w:firstLineChars="0"/>
              <w:jc w:val="center"/>
              <w:rPr>
                <w:rFonts w:hint="eastAsia" w:ascii="仿宋" w:hAnsi="仿宋" w:eastAsia="仿宋" w:cs="仿宋"/>
                <w:b/>
                <w:bCs/>
                <w:color w:val="auto"/>
                <w:sz w:val="22"/>
                <w:szCs w:val="22"/>
              </w:rPr>
            </w:pPr>
          </w:p>
        </w:tc>
        <w:tc>
          <w:tcPr>
            <w:tcW w:w="1558"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2"/>
                <w:szCs w:val="22"/>
              </w:rPr>
            </w:pPr>
            <w:r>
              <w:rPr>
                <w:rFonts w:hint="eastAsia" w:ascii="仿宋" w:hAnsi="仿宋" w:eastAsia="仿宋" w:cs="仿宋"/>
                <w:color w:val="auto"/>
                <w:kern w:val="0"/>
                <w:sz w:val="22"/>
                <w:szCs w:val="22"/>
              </w:rPr>
              <w:t>不动产登记数据接入上报系统改造</w:t>
            </w:r>
          </w:p>
        </w:tc>
        <w:tc>
          <w:tcPr>
            <w:tcW w:w="3017"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业务受理信息上报</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业务审核环节信息上报</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业务办结信息上报</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补齐补正受理信息上报</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补齐补正完成信息上报</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业务挂起、解除挂起、延长审批、停办等特别程序上报</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用户认证服务</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业务数据上报服务改造</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文件上报服务改造</w:t>
            </w:r>
          </w:p>
          <w:p>
            <w:pPr>
              <w:pStyle w:val="14"/>
              <w:widowControl/>
              <w:numPr>
                <w:ilvl w:val="0"/>
                <w:numId w:val="6"/>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受理、审核、办结、特别程序等信息补充上报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3"/>
              </w:numPr>
              <w:spacing w:line="360" w:lineRule="auto"/>
              <w:ind w:firstLineChars="0"/>
              <w:jc w:val="center"/>
              <w:rPr>
                <w:rFonts w:hint="eastAsia" w:ascii="仿宋" w:hAnsi="仿宋" w:eastAsia="仿宋" w:cs="仿宋"/>
                <w:b/>
                <w:bCs/>
                <w:color w:val="auto"/>
                <w:sz w:val="22"/>
                <w:szCs w:val="22"/>
              </w:rPr>
            </w:pPr>
          </w:p>
        </w:tc>
        <w:tc>
          <w:tcPr>
            <w:tcW w:w="1558"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2"/>
                <w:szCs w:val="22"/>
              </w:rPr>
            </w:pPr>
            <w:r>
              <w:rPr>
                <w:rFonts w:hint="eastAsia" w:ascii="仿宋" w:hAnsi="仿宋" w:eastAsia="仿宋" w:cs="仿宋"/>
                <w:color w:val="auto"/>
                <w:kern w:val="0"/>
                <w:sz w:val="22"/>
                <w:szCs w:val="22"/>
              </w:rPr>
              <w:t>不动产登记系统预审核管理</w:t>
            </w:r>
          </w:p>
        </w:tc>
        <w:tc>
          <w:tcPr>
            <w:tcW w:w="3017"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7"/>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不动产全业务案卷预受理</w:t>
            </w:r>
          </w:p>
          <w:p>
            <w:pPr>
              <w:pStyle w:val="14"/>
              <w:widowControl/>
              <w:numPr>
                <w:ilvl w:val="0"/>
                <w:numId w:val="7"/>
              </w:numPr>
              <w:tabs>
                <w:tab w:val="left" w:pos="387"/>
              </w:tabs>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不动产全业务案卷预审核、预登簿、核验登簿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423" w:type="pct"/>
            <w:tcBorders>
              <w:top w:val="single" w:color="auto" w:sz="4" w:space="0"/>
              <w:left w:val="single" w:color="auto" w:sz="4" w:space="0"/>
              <w:right w:val="single" w:color="auto" w:sz="4" w:space="0"/>
            </w:tcBorders>
            <w:noWrap w:val="0"/>
            <w:vAlign w:val="center"/>
          </w:tcPr>
          <w:p>
            <w:pPr>
              <w:pStyle w:val="14"/>
              <w:widowControl/>
              <w:numPr>
                <w:ilvl w:val="0"/>
                <w:numId w:val="3"/>
              </w:numPr>
              <w:spacing w:line="360" w:lineRule="auto"/>
              <w:ind w:firstLineChars="0"/>
              <w:jc w:val="center"/>
              <w:rPr>
                <w:rFonts w:hint="eastAsia" w:ascii="仿宋" w:hAnsi="仿宋" w:eastAsia="仿宋" w:cs="仿宋"/>
                <w:b/>
                <w:bCs/>
                <w:color w:val="auto"/>
                <w:sz w:val="22"/>
                <w:szCs w:val="22"/>
              </w:rPr>
            </w:pPr>
          </w:p>
        </w:tc>
        <w:tc>
          <w:tcPr>
            <w:tcW w:w="1558" w:type="pct"/>
            <w:tcBorders>
              <w:top w:val="single" w:color="auto" w:sz="4" w:space="0"/>
              <w:left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2"/>
                <w:szCs w:val="22"/>
              </w:rPr>
            </w:pPr>
            <w:r>
              <w:rPr>
                <w:rFonts w:hint="eastAsia" w:ascii="仿宋" w:hAnsi="仿宋" w:eastAsia="仿宋" w:cs="仿宋"/>
                <w:color w:val="auto"/>
                <w:kern w:val="0"/>
                <w:sz w:val="22"/>
                <w:szCs w:val="22"/>
              </w:rPr>
              <w:t>“统一受理”、“全豫通办”业务案卷受理监管分析</w:t>
            </w:r>
          </w:p>
        </w:tc>
        <w:tc>
          <w:tcPr>
            <w:tcW w:w="3017" w:type="pct"/>
            <w:tcBorders>
              <w:top w:val="single" w:color="auto" w:sz="4" w:space="0"/>
              <w:left w:val="single" w:color="auto" w:sz="4" w:space="0"/>
              <w:right w:val="single" w:color="auto" w:sz="4" w:space="0"/>
            </w:tcBorders>
            <w:noWrap w:val="0"/>
            <w:vAlign w:val="center"/>
          </w:tcPr>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业务网点受理量对比（PC端）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业务网点预审量对比（手机端）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受理人员绩效分析（PC端）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受理人员绩效分析（手机端）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合格率对比分析（PC端）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合格率对比分析（手机端）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受理超时告警（PC端）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受理超时告警（手机端）</w:t>
            </w:r>
          </w:p>
          <w:p>
            <w:pPr>
              <w:pStyle w:val="14"/>
              <w:widowControl/>
              <w:numPr>
                <w:ilvl w:val="0"/>
                <w:numId w:val="8"/>
              </w:numPr>
              <w:spacing w:line="360" w:lineRule="auto"/>
              <w:ind w:firstLineChars="0"/>
              <w:jc w:val="left"/>
              <w:rPr>
                <w:rFonts w:hint="eastAsia" w:ascii="仿宋" w:hAnsi="仿宋" w:eastAsia="仿宋" w:cs="仿宋"/>
                <w:color w:val="auto"/>
                <w:sz w:val="22"/>
                <w:szCs w:val="22"/>
              </w:rPr>
            </w:pPr>
            <w:r>
              <w:rPr>
                <w:rFonts w:hint="eastAsia" w:ascii="仿宋" w:hAnsi="仿宋" w:eastAsia="仿宋" w:cs="仿宋"/>
                <w:color w:val="auto"/>
                <w:sz w:val="22"/>
                <w:szCs w:val="22"/>
              </w:rPr>
              <w:t>数据上报监管分析</w:t>
            </w:r>
          </w:p>
        </w:tc>
      </w:tr>
    </w:tbl>
    <w:p>
      <w:pPr>
        <w:autoSpaceDE w:val="0"/>
        <w:autoSpaceDN w:val="0"/>
        <w:adjustRightInd w:val="0"/>
        <w:spacing w:line="360" w:lineRule="auto"/>
        <w:ind w:firstLine="484" w:firstLineChars="202"/>
        <w:jc w:val="left"/>
        <w:rPr>
          <w:rFonts w:hint="eastAsia" w:ascii="仿宋" w:hAnsi="仿宋" w:eastAsia="仿宋" w:cs="仿宋"/>
          <w:bCs/>
          <w:color w:val="auto"/>
          <w:kern w:val="0"/>
          <w:sz w:val="24"/>
        </w:rPr>
      </w:pPr>
      <w:r>
        <w:rPr>
          <w:rFonts w:hint="eastAsia" w:ascii="仿宋" w:hAnsi="仿宋" w:eastAsia="仿宋" w:cs="仿宋"/>
          <w:bCs/>
          <w:color w:val="auto"/>
          <w:kern w:val="0"/>
          <w:sz w:val="24"/>
        </w:rPr>
        <w:t>3.2.2数据信息的互通共享，精简不动产登记申请材料</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实现与外部16局委数据共享，包括公安部门的户籍人口基本信息，市场监管部门的营业执照信息，机构编制部门的机关、群团、事业单位统一社会信用代码信息，住房城乡建设（房管）部门的竣工验收备案等信息，税务部门的税收信息，法院的司法判决信息，民政部门的婚姻登记、涉及人员单位的地名地址等信息，公证机构的公证书信息，卫生健康部门的死亡医学证明、出生医学证明信息等多项数据及材料，在不动产登记业务办理中对相关材料、信息进行自动提取、核验，精简相关申请材料，不再要求申请人重复提交。</w:t>
      </w:r>
    </w:p>
    <w:tbl>
      <w:tblPr>
        <w:tblStyle w:val="10"/>
        <w:tblW w:w="494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543"/>
        <w:gridCol w:w="5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510"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42"/>
              <w:rPr>
                <w:rFonts w:hint="eastAsia" w:ascii="仿宋" w:hAnsi="仿宋" w:eastAsia="仿宋" w:cs="仿宋"/>
                <w:b/>
                <w:bCs/>
                <w:color w:val="auto"/>
                <w:kern w:val="0"/>
                <w:sz w:val="24"/>
              </w:rPr>
            </w:pPr>
            <w:r>
              <w:rPr>
                <w:rFonts w:hint="eastAsia" w:ascii="仿宋" w:hAnsi="仿宋" w:eastAsia="仿宋" w:cs="仿宋"/>
                <w:b/>
                <w:bCs/>
                <w:color w:val="auto"/>
                <w:kern w:val="0"/>
                <w:sz w:val="24"/>
              </w:rPr>
              <w:t>系统功能</w:t>
            </w:r>
          </w:p>
        </w:tc>
        <w:tc>
          <w:tcPr>
            <w:tcW w:w="3033"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42"/>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56"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9"/>
              </w:numPr>
              <w:spacing w:line="360" w:lineRule="auto"/>
              <w:ind w:firstLineChars="0"/>
              <w:jc w:val="center"/>
              <w:rPr>
                <w:rFonts w:hint="eastAsia" w:ascii="仿宋" w:hAnsi="仿宋" w:eastAsia="仿宋" w:cs="仿宋"/>
                <w:b/>
                <w:bCs/>
                <w:color w:val="auto"/>
                <w:sz w:val="24"/>
                <w:szCs w:val="24"/>
              </w:rPr>
            </w:pPr>
          </w:p>
        </w:tc>
        <w:tc>
          <w:tcPr>
            <w:tcW w:w="1510"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接口系统框架搭建</w:t>
            </w:r>
          </w:p>
        </w:tc>
        <w:tc>
          <w:tcPr>
            <w:tcW w:w="303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数据安全管理</w:t>
            </w:r>
          </w:p>
          <w:p>
            <w:pPr>
              <w:pStyle w:val="14"/>
              <w:widowControl/>
              <w:numPr>
                <w:ilvl w:val="0"/>
                <w:numId w:val="1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共享接口基础框架建设</w:t>
            </w:r>
          </w:p>
          <w:p>
            <w:pPr>
              <w:pStyle w:val="14"/>
              <w:widowControl/>
              <w:numPr>
                <w:ilvl w:val="0"/>
                <w:numId w:val="1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数据资源管理</w:t>
            </w:r>
          </w:p>
          <w:p>
            <w:pPr>
              <w:pStyle w:val="14"/>
              <w:widowControl/>
              <w:numPr>
                <w:ilvl w:val="0"/>
                <w:numId w:val="1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数据中心建设</w:t>
            </w:r>
          </w:p>
          <w:p>
            <w:pPr>
              <w:pStyle w:val="14"/>
              <w:widowControl/>
              <w:numPr>
                <w:ilvl w:val="0"/>
                <w:numId w:val="1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高并发微服务管理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456"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9"/>
              </w:numPr>
              <w:spacing w:line="360" w:lineRule="auto"/>
              <w:ind w:firstLineChars="0"/>
              <w:jc w:val="center"/>
              <w:rPr>
                <w:rFonts w:hint="eastAsia" w:ascii="仿宋" w:hAnsi="仿宋" w:eastAsia="仿宋" w:cs="仿宋"/>
                <w:b/>
                <w:bCs/>
                <w:color w:val="auto"/>
                <w:sz w:val="24"/>
                <w:szCs w:val="24"/>
              </w:rPr>
            </w:pPr>
          </w:p>
        </w:tc>
        <w:tc>
          <w:tcPr>
            <w:tcW w:w="1510"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16局委共享数据接入管理系统</w:t>
            </w:r>
          </w:p>
        </w:tc>
        <w:tc>
          <w:tcPr>
            <w:tcW w:w="303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业务数据接入规则管理</w:t>
            </w:r>
          </w:p>
          <w:p>
            <w:pPr>
              <w:pStyle w:val="14"/>
              <w:widowControl/>
              <w:numPr>
                <w:ilvl w:val="0"/>
                <w:numId w:val="1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电子文件接入规则管理</w:t>
            </w:r>
          </w:p>
          <w:p>
            <w:pPr>
              <w:pStyle w:val="14"/>
              <w:widowControl/>
              <w:numPr>
                <w:ilvl w:val="0"/>
                <w:numId w:val="1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16局委共享数据接口建设</w:t>
            </w:r>
          </w:p>
          <w:p>
            <w:pPr>
              <w:pStyle w:val="14"/>
              <w:widowControl/>
              <w:numPr>
                <w:ilvl w:val="0"/>
                <w:numId w:val="1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数据质量检查管理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9"/>
              </w:numPr>
              <w:spacing w:line="360" w:lineRule="auto"/>
              <w:ind w:firstLineChars="0"/>
              <w:jc w:val="center"/>
              <w:rPr>
                <w:rFonts w:hint="eastAsia" w:ascii="仿宋" w:hAnsi="仿宋" w:eastAsia="仿宋" w:cs="仿宋"/>
                <w:b/>
                <w:bCs/>
                <w:color w:val="auto"/>
                <w:sz w:val="24"/>
                <w:szCs w:val="24"/>
              </w:rPr>
            </w:pPr>
          </w:p>
        </w:tc>
        <w:tc>
          <w:tcPr>
            <w:tcW w:w="1510" w:type="pct"/>
            <w:tcBorders>
              <w:top w:val="single" w:color="auto" w:sz="4" w:space="0"/>
              <w:left w:val="single" w:color="auto" w:sz="4" w:space="0"/>
              <w:bottom w:val="single" w:color="auto" w:sz="4" w:space="0"/>
              <w:right w:val="single" w:color="auto" w:sz="4" w:space="0"/>
            </w:tcBorders>
            <w:noWrap w:val="0"/>
            <w:vAlign w:val="center"/>
          </w:tcPr>
          <w:p>
            <w:pPr>
              <w:pStyle w:val="14"/>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不动产共享服务总线建设</w:t>
            </w:r>
          </w:p>
        </w:tc>
        <w:tc>
          <w:tcPr>
            <w:tcW w:w="303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2"/>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安全认证管理</w:t>
            </w:r>
          </w:p>
          <w:p>
            <w:pPr>
              <w:pStyle w:val="14"/>
              <w:widowControl/>
              <w:numPr>
                <w:ilvl w:val="0"/>
                <w:numId w:val="12"/>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共享数据公共服务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56"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9"/>
              </w:numPr>
              <w:spacing w:line="360" w:lineRule="auto"/>
              <w:ind w:firstLineChars="0"/>
              <w:jc w:val="center"/>
              <w:rPr>
                <w:rFonts w:hint="eastAsia" w:ascii="仿宋" w:hAnsi="仿宋" w:eastAsia="仿宋" w:cs="仿宋"/>
                <w:b/>
                <w:bCs/>
                <w:color w:val="auto"/>
                <w:sz w:val="24"/>
                <w:szCs w:val="24"/>
              </w:rPr>
            </w:pPr>
          </w:p>
        </w:tc>
        <w:tc>
          <w:tcPr>
            <w:tcW w:w="1510"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数据共享安全监控</w:t>
            </w:r>
          </w:p>
        </w:tc>
        <w:tc>
          <w:tcPr>
            <w:tcW w:w="3033"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3"/>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数据运维监控</w:t>
            </w:r>
          </w:p>
          <w:p>
            <w:pPr>
              <w:pStyle w:val="14"/>
              <w:widowControl/>
              <w:numPr>
                <w:ilvl w:val="0"/>
                <w:numId w:val="13"/>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数据采集监控</w:t>
            </w:r>
          </w:p>
          <w:p>
            <w:pPr>
              <w:pStyle w:val="14"/>
              <w:widowControl/>
              <w:numPr>
                <w:ilvl w:val="0"/>
                <w:numId w:val="13"/>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数据质量监控</w:t>
            </w:r>
          </w:p>
          <w:p>
            <w:pPr>
              <w:pStyle w:val="14"/>
              <w:widowControl/>
              <w:numPr>
                <w:ilvl w:val="0"/>
                <w:numId w:val="13"/>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数据日志监控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456" w:type="pct"/>
            <w:tcBorders>
              <w:top w:val="single" w:color="auto" w:sz="4" w:space="0"/>
              <w:left w:val="single" w:color="auto" w:sz="4" w:space="0"/>
              <w:right w:val="single" w:color="auto" w:sz="4" w:space="0"/>
            </w:tcBorders>
            <w:noWrap w:val="0"/>
            <w:vAlign w:val="center"/>
          </w:tcPr>
          <w:p>
            <w:pPr>
              <w:pStyle w:val="14"/>
              <w:spacing w:line="360" w:lineRule="auto"/>
              <w:ind w:left="278" w:firstLine="0" w:firstLineChars="0"/>
              <w:rPr>
                <w:rFonts w:hint="eastAsia" w:ascii="仿宋" w:hAnsi="仿宋" w:eastAsia="仿宋" w:cs="仿宋"/>
                <w:b/>
                <w:bCs/>
                <w:color w:val="auto"/>
                <w:sz w:val="24"/>
                <w:szCs w:val="24"/>
              </w:rPr>
            </w:pPr>
            <w:r>
              <w:rPr>
                <w:rFonts w:hint="eastAsia" w:ascii="仿宋" w:hAnsi="仿宋" w:eastAsia="仿宋" w:cs="仿宋"/>
                <w:b/>
                <w:bCs/>
                <w:color w:val="auto"/>
                <w:sz w:val="24"/>
                <w:szCs w:val="24"/>
              </w:rPr>
              <w:t>5</w:t>
            </w:r>
          </w:p>
        </w:tc>
        <w:tc>
          <w:tcPr>
            <w:tcW w:w="1510" w:type="pct"/>
            <w:tcBorders>
              <w:top w:val="single" w:color="auto" w:sz="4" w:space="0"/>
              <w:left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共享信息集成利用业务表单升级</w:t>
            </w:r>
          </w:p>
        </w:tc>
        <w:tc>
          <w:tcPr>
            <w:tcW w:w="3033" w:type="pct"/>
            <w:tcBorders>
              <w:top w:val="single" w:color="auto" w:sz="4" w:space="0"/>
              <w:left w:val="single" w:color="auto" w:sz="4" w:space="0"/>
              <w:right w:val="single" w:color="auto" w:sz="4" w:space="0"/>
            </w:tcBorders>
            <w:noWrap w:val="0"/>
            <w:vAlign w:val="center"/>
          </w:tcPr>
          <w:p>
            <w:pPr>
              <w:pStyle w:val="14"/>
              <w:widowControl/>
              <w:numPr>
                <w:ilvl w:val="0"/>
                <w:numId w:val="1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业务表单类别升级</w:t>
            </w:r>
          </w:p>
          <w:p>
            <w:pPr>
              <w:pStyle w:val="14"/>
              <w:widowControl/>
              <w:numPr>
                <w:ilvl w:val="0"/>
                <w:numId w:val="1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共享信息查询</w:t>
            </w:r>
          </w:p>
          <w:p>
            <w:pPr>
              <w:pStyle w:val="14"/>
              <w:widowControl/>
              <w:numPr>
                <w:ilvl w:val="0"/>
                <w:numId w:val="1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共享信息提取</w:t>
            </w:r>
          </w:p>
          <w:p>
            <w:pPr>
              <w:pStyle w:val="14"/>
              <w:widowControl/>
              <w:numPr>
                <w:ilvl w:val="0"/>
                <w:numId w:val="1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共享信息校验</w:t>
            </w:r>
          </w:p>
          <w:p>
            <w:pPr>
              <w:pStyle w:val="14"/>
              <w:widowControl/>
              <w:numPr>
                <w:ilvl w:val="0"/>
                <w:numId w:val="1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自定义表单管理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456" w:type="pct"/>
            <w:tcBorders>
              <w:top w:val="single" w:color="auto" w:sz="4" w:space="0"/>
              <w:left w:val="single" w:color="auto" w:sz="4" w:space="0"/>
              <w:right w:val="single" w:color="auto" w:sz="4" w:space="0"/>
            </w:tcBorders>
            <w:shd w:val="clear" w:color="auto" w:fill="auto"/>
            <w:noWrap w:val="0"/>
            <w:vAlign w:val="center"/>
          </w:tcPr>
          <w:p>
            <w:pPr>
              <w:pStyle w:val="14"/>
              <w:spacing w:line="360" w:lineRule="auto"/>
              <w:ind w:left="278" w:firstLine="0" w:firstLineChars="0"/>
              <w:rPr>
                <w:rFonts w:hint="eastAsia" w:ascii="仿宋" w:hAnsi="仿宋" w:eastAsia="仿宋" w:cs="仿宋"/>
                <w:b/>
                <w:bCs/>
                <w:color w:val="auto"/>
                <w:sz w:val="24"/>
                <w:szCs w:val="24"/>
              </w:rPr>
            </w:pPr>
            <w:r>
              <w:rPr>
                <w:rFonts w:hint="eastAsia" w:ascii="仿宋" w:hAnsi="仿宋" w:eastAsia="仿宋" w:cs="仿宋"/>
                <w:b/>
                <w:bCs/>
                <w:color w:val="auto"/>
                <w:sz w:val="24"/>
                <w:szCs w:val="24"/>
              </w:rPr>
              <w:t>6</w:t>
            </w:r>
          </w:p>
        </w:tc>
        <w:tc>
          <w:tcPr>
            <w:tcW w:w="1510" w:type="pct"/>
            <w:tcBorders>
              <w:top w:val="single" w:color="auto" w:sz="4" w:space="0"/>
              <w:left w:val="single" w:color="auto" w:sz="4" w:space="0"/>
              <w:right w:val="single" w:color="auto" w:sz="4" w:space="0"/>
            </w:tcBorders>
            <w:shd w:val="clear" w:color="auto" w:fill="FFFFFF"/>
            <w:noWrap w:val="0"/>
            <w:vAlign w:val="center"/>
          </w:tcPr>
          <w:p>
            <w:pPr>
              <w:spacing w:line="360" w:lineRule="auto"/>
              <w:rPr>
                <w:rFonts w:hint="eastAsia" w:ascii="仿宋" w:hAnsi="仿宋" w:eastAsia="仿宋" w:cs="仿宋"/>
                <w:color w:val="auto"/>
                <w:kern w:val="0"/>
                <w:sz w:val="24"/>
                <w:highlight w:val="yellow"/>
              </w:rPr>
            </w:pPr>
            <w:r>
              <w:rPr>
                <w:rFonts w:hint="eastAsia" w:ascii="仿宋" w:hAnsi="仿宋" w:eastAsia="仿宋" w:cs="仿宋"/>
                <w:color w:val="auto"/>
                <w:kern w:val="0"/>
                <w:sz w:val="24"/>
              </w:rPr>
              <w:t>业务审批工作流升级</w:t>
            </w:r>
          </w:p>
        </w:tc>
        <w:tc>
          <w:tcPr>
            <w:tcW w:w="3033" w:type="pct"/>
            <w:tcBorders>
              <w:top w:val="single" w:color="auto" w:sz="4" w:space="0"/>
              <w:left w:val="single" w:color="auto" w:sz="4" w:space="0"/>
              <w:right w:val="single" w:color="auto" w:sz="4" w:space="0"/>
            </w:tcBorders>
            <w:shd w:val="clear" w:color="auto" w:fill="FFFFFF"/>
            <w:noWrap w:val="0"/>
            <w:vAlign w:val="center"/>
          </w:tcPr>
          <w:p>
            <w:pPr>
              <w:pStyle w:val="14"/>
              <w:widowControl/>
              <w:numPr>
                <w:ilvl w:val="0"/>
                <w:numId w:val="1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案卷分发管理</w:t>
            </w:r>
          </w:p>
          <w:p>
            <w:pPr>
              <w:pStyle w:val="14"/>
              <w:widowControl/>
              <w:numPr>
                <w:ilvl w:val="0"/>
                <w:numId w:val="1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登记申请预受理</w:t>
            </w:r>
          </w:p>
          <w:p>
            <w:pPr>
              <w:pStyle w:val="14"/>
              <w:widowControl/>
              <w:numPr>
                <w:ilvl w:val="0"/>
                <w:numId w:val="1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申请审批表管理</w:t>
            </w:r>
          </w:p>
          <w:p>
            <w:pPr>
              <w:pStyle w:val="14"/>
              <w:widowControl/>
              <w:numPr>
                <w:ilvl w:val="0"/>
                <w:numId w:val="1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网络预审核</w:t>
            </w:r>
          </w:p>
          <w:p>
            <w:pPr>
              <w:pStyle w:val="14"/>
              <w:widowControl/>
              <w:numPr>
                <w:ilvl w:val="0"/>
                <w:numId w:val="1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现场核验自动登簿</w:t>
            </w:r>
          </w:p>
          <w:p>
            <w:pPr>
              <w:pStyle w:val="14"/>
              <w:widowControl/>
              <w:numPr>
                <w:ilvl w:val="0"/>
                <w:numId w:val="1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证书证明预览</w:t>
            </w:r>
          </w:p>
          <w:p>
            <w:pPr>
              <w:pStyle w:val="14"/>
              <w:widowControl/>
              <w:numPr>
                <w:ilvl w:val="0"/>
                <w:numId w:val="1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审核结果自动推送</w:t>
            </w:r>
          </w:p>
          <w:p>
            <w:pPr>
              <w:pStyle w:val="14"/>
              <w:spacing w:line="360" w:lineRule="auto"/>
              <w:ind w:firstLine="0" w:firstLineChars="0"/>
              <w:rPr>
                <w:rFonts w:hint="eastAsia" w:ascii="仿宋" w:hAnsi="仿宋" w:eastAsia="仿宋" w:cs="仿宋"/>
                <w:color w:val="auto"/>
                <w:sz w:val="24"/>
                <w:szCs w:val="24"/>
                <w:highlight w:val="yellow"/>
              </w:rPr>
            </w:pPr>
            <w:r>
              <w:rPr>
                <w:rFonts w:hint="eastAsia" w:ascii="仿宋" w:hAnsi="仿宋" w:eastAsia="仿宋" w:cs="仿宋"/>
                <w:color w:val="auto"/>
                <w:sz w:val="24"/>
                <w:szCs w:val="24"/>
              </w:rPr>
              <w:t>8） 工作流引擎升级优化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456" w:type="pct"/>
            <w:tcBorders>
              <w:top w:val="single" w:color="auto" w:sz="4" w:space="0"/>
              <w:left w:val="single" w:color="auto" w:sz="4" w:space="0"/>
              <w:right w:val="single" w:color="auto" w:sz="4" w:space="0"/>
            </w:tcBorders>
            <w:noWrap w:val="0"/>
            <w:vAlign w:val="center"/>
          </w:tcPr>
          <w:p>
            <w:pPr>
              <w:pStyle w:val="14"/>
              <w:spacing w:line="360" w:lineRule="auto"/>
              <w:ind w:left="278" w:firstLine="0" w:firstLineChars="0"/>
              <w:rPr>
                <w:rFonts w:hint="eastAsia" w:ascii="仿宋" w:hAnsi="仿宋" w:eastAsia="仿宋" w:cs="仿宋"/>
                <w:b/>
                <w:bCs/>
                <w:color w:val="auto"/>
                <w:sz w:val="24"/>
                <w:szCs w:val="24"/>
              </w:rPr>
            </w:pPr>
            <w:r>
              <w:rPr>
                <w:rFonts w:hint="eastAsia" w:ascii="仿宋" w:hAnsi="仿宋" w:eastAsia="仿宋" w:cs="仿宋"/>
                <w:b/>
                <w:bCs/>
                <w:color w:val="auto"/>
                <w:sz w:val="24"/>
                <w:szCs w:val="24"/>
              </w:rPr>
              <w:t>7</w:t>
            </w:r>
          </w:p>
        </w:tc>
        <w:tc>
          <w:tcPr>
            <w:tcW w:w="1510" w:type="pct"/>
            <w:tcBorders>
              <w:top w:val="single" w:color="auto" w:sz="4" w:space="0"/>
              <w:left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数据质量检验服务升级</w:t>
            </w:r>
          </w:p>
        </w:tc>
        <w:tc>
          <w:tcPr>
            <w:tcW w:w="3033" w:type="pct"/>
            <w:tcBorders>
              <w:top w:val="single" w:color="auto" w:sz="4" w:space="0"/>
              <w:left w:val="single" w:color="auto" w:sz="4" w:space="0"/>
              <w:right w:val="single" w:color="auto" w:sz="4" w:space="0"/>
            </w:tcBorders>
            <w:noWrap w:val="0"/>
            <w:vAlign w:val="center"/>
          </w:tcPr>
          <w:p>
            <w:pPr>
              <w:pStyle w:val="14"/>
              <w:widowControl/>
              <w:numPr>
                <w:ilvl w:val="0"/>
                <w:numId w:val="16"/>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数据补录质量校验升级</w:t>
            </w:r>
          </w:p>
          <w:p>
            <w:pPr>
              <w:pStyle w:val="14"/>
              <w:widowControl/>
              <w:numPr>
                <w:ilvl w:val="0"/>
                <w:numId w:val="16"/>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登记申请数据校验升级</w:t>
            </w:r>
          </w:p>
          <w:p>
            <w:pPr>
              <w:pStyle w:val="14"/>
              <w:widowControl/>
              <w:numPr>
                <w:ilvl w:val="0"/>
                <w:numId w:val="16"/>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上报数据规则校验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456" w:type="pct"/>
            <w:tcBorders>
              <w:top w:val="single" w:color="auto" w:sz="4" w:space="0"/>
              <w:left w:val="single" w:color="auto" w:sz="4" w:space="0"/>
              <w:right w:val="single" w:color="auto" w:sz="4" w:space="0"/>
            </w:tcBorders>
            <w:noWrap w:val="0"/>
            <w:vAlign w:val="center"/>
          </w:tcPr>
          <w:p>
            <w:pPr>
              <w:pStyle w:val="14"/>
              <w:spacing w:line="360" w:lineRule="auto"/>
              <w:ind w:left="278" w:firstLine="0" w:firstLineChars="0"/>
              <w:rPr>
                <w:rFonts w:hint="eastAsia" w:ascii="仿宋" w:hAnsi="仿宋" w:eastAsia="仿宋" w:cs="仿宋"/>
                <w:b/>
                <w:bCs/>
                <w:color w:val="auto"/>
                <w:sz w:val="24"/>
                <w:szCs w:val="24"/>
              </w:rPr>
            </w:pPr>
            <w:r>
              <w:rPr>
                <w:rFonts w:hint="eastAsia" w:ascii="仿宋" w:hAnsi="仿宋" w:eastAsia="仿宋" w:cs="仿宋"/>
                <w:b/>
                <w:bCs/>
                <w:color w:val="auto"/>
                <w:sz w:val="24"/>
                <w:szCs w:val="24"/>
              </w:rPr>
              <w:t>8</w:t>
            </w:r>
          </w:p>
        </w:tc>
        <w:tc>
          <w:tcPr>
            <w:tcW w:w="1510" w:type="pct"/>
            <w:tcBorders>
              <w:top w:val="single" w:color="auto" w:sz="4" w:space="0"/>
              <w:left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业务监管分析子系统建设</w:t>
            </w:r>
          </w:p>
        </w:tc>
        <w:tc>
          <w:tcPr>
            <w:tcW w:w="3033" w:type="pct"/>
            <w:tcBorders>
              <w:top w:val="single" w:color="auto" w:sz="4" w:space="0"/>
              <w:left w:val="single" w:color="auto" w:sz="4" w:space="0"/>
              <w:right w:val="single" w:color="auto" w:sz="4" w:space="0"/>
            </w:tcBorders>
            <w:noWrap w:val="0"/>
            <w:vAlign w:val="center"/>
          </w:tcPr>
          <w:p>
            <w:pPr>
              <w:pStyle w:val="14"/>
              <w:widowControl/>
              <w:numPr>
                <w:ilvl w:val="0"/>
                <w:numId w:val="17"/>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业务综合管理统计分析</w:t>
            </w:r>
          </w:p>
          <w:p>
            <w:pPr>
              <w:pStyle w:val="14"/>
              <w:widowControl/>
              <w:numPr>
                <w:ilvl w:val="0"/>
                <w:numId w:val="17"/>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互联网业务办理分析</w:t>
            </w:r>
          </w:p>
          <w:p>
            <w:pPr>
              <w:pStyle w:val="14"/>
              <w:widowControl/>
              <w:numPr>
                <w:ilvl w:val="0"/>
                <w:numId w:val="17"/>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业务绩效统计分析</w:t>
            </w:r>
          </w:p>
          <w:p>
            <w:pPr>
              <w:pStyle w:val="14"/>
              <w:widowControl/>
              <w:numPr>
                <w:ilvl w:val="0"/>
                <w:numId w:val="17"/>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不动产市场变化趋势分析</w:t>
            </w:r>
          </w:p>
        </w:tc>
      </w:tr>
    </w:tbl>
    <w:p>
      <w:pPr>
        <w:autoSpaceDE w:val="0"/>
        <w:autoSpaceDN w:val="0"/>
        <w:adjustRightInd w:val="0"/>
        <w:spacing w:line="360" w:lineRule="auto"/>
        <w:ind w:firstLine="484" w:firstLineChars="202"/>
        <w:jc w:val="left"/>
        <w:rPr>
          <w:rFonts w:hint="eastAsia" w:ascii="仿宋" w:hAnsi="仿宋" w:eastAsia="仿宋" w:cs="仿宋"/>
          <w:bCs/>
          <w:color w:val="auto"/>
          <w:kern w:val="0"/>
          <w:sz w:val="24"/>
        </w:rPr>
      </w:pPr>
      <w:r>
        <w:rPr>
          <w:rFonts w:hint="eastAsia" w:ascii="仿宋" w:hAnsi="仿宋" w:eastAsia="仿宋" w:cs="仿宋"/>
          <w:bCs/>
          <w:color w:val="auto"/>
          <w:kern w:val="0"/>
          <w:sz w:val="24"/>
        </w:rPr>
        <w:t>3.2.3扩展便民服务功能，推进不动产登记不见面审批</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推行“政务+金融”合作模式，金融机构部署远程报卷系统，实现不动产登记向银行延伸，多项抵押业务直接在银行完成受理申请。进一步完善线上查询服务，实现不动产查询证明、不动产档案在线查询，集成电子签章技术与人证活体识别技术，输出电子查询证明及电子档案，支持在线预览、下载及打印。实现让信息多跑路，群众少跑腿，登记、审批全程不见面。</w:t>
      </w:r>
    </w:p>
    <w:tbl>
      <w:tblPr>
        <w:tblStyle w:val="10"/>
        <w:tblW w:w="4781"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525"/>
        <w:gridCol w:w="4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42"/>
              <w:rPr>
                <w:rFonts w:hint="eastAsia" w:ascii="仿宋" w:hAnsi="仿宋" w:eastAsia="仿宋" w:cs="仿宋"/>
                <w:b/>
                <w:bCs/>
                <w:color w:val="auto"/>
                <w:kern w:val="0"/>
                <w:sz w:val="24"/>
              </w:rPr>
            </w:pPr>
            <w:r>
              <w:rPr>
                <w:rFonts w:hint="eastAsia" w:ascii="仿宋" w:hAnsi="仿宋" w:eastAsia="仿宋" w:cs="仿宋"/>
                <w:b/>
                <w:bCs/>
                <w:color w:val="auto"/>
                <w:kern w:val="0"/>
                <w:sz w:val="24"/>
              </w:rPr>
              <w:t>系统功能</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b/>
                <w:bCs/>
                <w:color w:val="auto"/>
                <w:kern w:val="0"/>
                <w:sz w:val="24"/>
              </w:rPr>
            </w:pPr>
            <w:r>
              <w:rPr>
                <w:rFonts w:hint="eastAsia" w:ascii="仿宋" w:hAnsi="仿宋" w:eastAsia="仿宋" w:cs="仿宋"/>
                <w:color w:val="auto"/>
                <w:kern w:val="0"/>
                <w:sz w:val="24"/>
              </w:rPr>
              <w:t>金融机构远程报卷系统</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spacing w:line="360" w:lineRule="auto"/>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 批量预告抵押申请</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2) 现房抵押申请</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3) 现房抵押注销申请</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4) 预购商品房抵押申请</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5) 预购商品房抵押注销申请</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6) 联合抵押申请</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7) 联合抵押注销申请</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8) 贷后监管</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9) 已受理业务查询</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10) 不动产权属状态查询</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12) 登记进度查询</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12) 未缴费查询</w:t>
            </w:r>
          </w:p>
          <w:p>
            <w:pPr>
              <w:pStyle w:val="14"/>
              <w:widowControl/>
              <w:spacing w:line="360" w:lineRule="auto"/>
              <w:ind w:left="425" w:hanging="425"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13) 已缴费查询</w:t>
            </w:r>
          </w:p>
          <w:p>
            <w:pPr>
              <w:pStyle w:val="14"/>
              <w:widowControl/>
              <w:spacing w:line="360" w:lineRule="auto"/>
              <w:ind w:left="425" w:hanging="425" w:firstLineChars="0"/>
              <w:jc w:val="left"/>
              <w:rPr>
                <w:rFonts w:hint="eastAsia" w:ascii="仿宋" w:hAnsi="仿宋" w:eastAsia="仿宋" w:cs="仿宋"/>
                <w:b/>
                <w:bCs/>
                <w:color w:val="auto"/>
                <w:sz w:val="24"/>
                <w:szCs w:val="24"/>
              </w:rPr>
            </w:pPr>
            <w:r>
              <w:rPr>
                <w:rFonts w:hint="eastAsia" w:ascii="仿宋" w:hAnsi="仿宋" w:eastAsia="仿宋" w:cs="仿宋"/>
                <w:color w:val="auto"/>
                <w:sz w:val="24"/>
                <w:szCs w:val="24"/>
              </w:rPr>
              <w:t>14) 电子证明查看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16" w:firstLineChars="90"/>
              <w:rPr>
                <w:rFonts w:hint="eastAsia" w:ascii="仿宋" w:hAnsi="仿宋" w:eastAsia="仿宋" w:cs="仿宋"/>
                <w:color w:val="auto"/>
                <w:kern w:val="0"/>
                <w:sz w:val="24"/>
              </w:rPr>
            </w:pPr>
            <w:r>
              <w:rPr>
                <w:rFonts w:hint="eastAsia" w:ascii="仿宋" w:hAnsi="仿宋" w:eastAsia="仿宋" w:cs="仿宋"/>
                <w:color w:val="auto"/>
                <w:kern w:val="0"/>
                <w:sz w:val="24"/>
              </w:rPr>
              <w:t>开发商端</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预告登记申请</w:t>
            </w:r>
          </w:p>
          <w:p>
            <w:pPr>
              <w:pStyle w:val="14"/>
              <w:widowControl/>
              <w:numPr>
                <w:ilvl w:val="0"/>
                <w:numId w:val="1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首次登记申请</w:t>
            </w:r>
          </w:p>
          <w:p>
            <w:pPr>
              <w:pStyle w:val="14"/>
              <w:widowControl/>
              <w:numPr>
                <w:ilvl w:val="0"/>
                <w:numId w:val="1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转移登记申请</w:t>
            </w:r>
          </w:p>
          <w:p>
            <w:pPr>
              <w:pStyle w:val="14"/>
              <w:widowControl/>
              <w:numPr>
                <w:ilvl w:val="0"/>
                <w:numId w:val="1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电子证明查看下载</w:t>
            </w:r>
          </w:p>
          <w:p>
            <w:pPr>
              <w:pStyle w:val="14"/>
              <w:widowControl/>
              <w:numPr>
                <w:ilvl w:val="0"/>
                <w:numId w:val="1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电子签章（电子登记申请表）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登记费在线支付系统</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缴费大厅</w:t>
            </w:r>
          </w:p>
          <w:p>
            <w:pPr>
              <w:pStyle w:val="14"/>
              <w:widowControl/>
              <w:numPr>
                <w:ilvl w:val="0"/>
                <w:numId w:val="2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缴费约束</w:t>
            </w:r>
          </w:p>
          <w:p>
            <w:pPr>
              <w:pStyle w:val="14"/>
              <w:widowControl/>
              <w:numPr>
                <w:ilvl w:val="0"/>
                <w:numId w:val="2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财政系统对接</w:t>
            </w:r>
          </w:p>
          <w:p>
            <w:pPr>
              <w:pStyle w:val="14"/>
              <w:widowControl/>
              <w:numPr>
                <w:ilvl w:val="0"/>
                <w:numId w:val="2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数据同步服务</w:t>
            </w:r>
          </w:p>
          <w:p>
            <w:pPr>
              <w:pStyle w:val="14"/>
              <w:widowControl/>
              <w:numPr>
                <w:ilvl w:val="0"/>
                <w:numId w:val="2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支付API对接</w:t>
            </w:r>
          </w:p>
          <w:p>
            <w:pPr>
              <w:pStyle w:val="14"/>
              <w:widowControl/>
              <w:numPr>
                <w:ilvl w:val="0"/>
                <w:numId w:val="2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订单管理</w:t>
            </w:r>
          </w:p>
          <w:p>
            <w:pPr>
              <w:pStyle w:val="14"/>
              <w:widowControl/>
              <w:numPr>
                <w:ilvl w:val="0"/>
                <w:numId w:val="2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对账管理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证书邮寄系统</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邮寄申请</w:t>
            </w:r>
          </w:p>
          <w:p>
            <w:pPr>
              <w:pStyle w:val="14"/>
              <w:widowControl/>
              <w:numPr>
                <w:ilvl w:val="0"/>
                <w:numId w:val="2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邮寄约束</w:t>
            </w:r>
          </w:p>
          <w:p>
            <w:pPr>
              <w:pStyle w:val="14"/>
              <w:widowControl/>
              <w:numPr>
                <w:ilvl w:val="0"/>
                <w:numId w:val="2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用户信息管理</w:t>
            </w:r>
          </w:p>
          <w:p>
            <w:pPr>
              <w:pStyle w:val="14"/>
              <w:widowControl/>
              <w:numPr>
                <w:ilvl w:val="0"/>
                <w:numId w:val="2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快递系统对接</w:t>
            </w:r>
          </w:p>
          <w:p>
            <w:pPr>
              <w:pStyle w:val="14"/>
              <w:widowControl/>
              <w:numPr>
                <w:ilvl w:val="0"/>
                <w:numId w:val="2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数据同步服务</w:t>
            </w:r>
          </w:p>
          <w:p>
            <w:pPr>
              <w:pStyle w:val="14"/>
              <w:widowControl/>
              <w:numPr>
                <w:ilvl w:val="0"/>
                <w:numId w:val="21"/>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支付API对接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权籍申请功能</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2"/>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权籍调查申请</w:t>
            </w:r>
          </w:p>
          <w:p>
            <w:pPr>
              <w:pStyle w:val="14"/>
              <w:widowControl/>
              <w:numPr>
                <w:ilvl w:val="0"/>
                <w:numId w:val="22"/>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数据同步服务</w:t>
            </w:r>
          </w:p>
          <w:p>
            <w:pPr>
              <w:pStyle w:val="14"/>
              <w:widowControl/>
              <w:numPr>
                <w:ilvl w:val="0"/>
                <w:numId w:val="22"/>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办理进度查询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首登查询功能</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3"/>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首登查询申请</w:t>
            </w:r>
          </w:p>
          <w:p>
            <w:pPr>
              <w:pStyle w:val="14"/>
              <w:widowControl/>
              <w:numPr>
                <w:ilvl w:val="0"/>
                <w:numId w:val="23"/>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数据同步服务</w:t>
            </w:r>
          </w:p>
          <w:p>
            <w:pPr>
              <w:pStyle w:val="14"/>
              <w:widowControl/>
              <w:numPr>
                <w:ilvl w:val="0"/>
                <w:numId w:val="23"/>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敏感信息处理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人脸活体识别统一认证系统</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人脸信息库及活体识别服务</w:t>
            </w:r>
          </w:p>
          <w:p>
            <w:pPr>
              <w:pStyle w:val="14"/>
              <w:widowControl/>
              <w:numPr>
                <w:ilvl w:val="0"/>
                <w:numId w:val="2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对接公安人脸识别系统</w:t>
            </w:r>
          </w:p>
          <w:p>
            <w:pPr>
              <w:pStyle w:val="14"/>
              <w:widowControl/>
              <w:numPr>
                <w:ilvl w:val="0"/>
                <w:numId w:val="2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微信端人脸识别认证对接</w:t>
            </w:r>
          </w:p>
          <w:p>
            <w:pPr>
              <w:pStyle w:val="14"/>
              <w:widowControl/>
              <w:numPr>
                <w:ilvl w:val="0"/>
                <w:numId w:val="24"/>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签名认证管理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业务评价子系统</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评价模式管理</w:t>
            </w:r>
          </w:p>
          <w:p>
            <w:pPr>
              <w:pStyle w:val="14"/>
              <w:widowControl/>
              <w:numPr>
                <w:ilvl w:val="0"/>
                <w:numId w:val="2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多途径评价管理</w:t>
            </w:r>
          </w:p>
          <w:p>
            <w:pPr>
              <w:pStyle w:val="14"/>
              <w:widowControl/>
              <w:numPr>
                <w:ilvl w:val="0"/>
                <w:numId w:val="2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评价统计分析</w:t>
            </w:r>
          </w:p>
          <w:p>
            <w:pPr>
              <w:pStyle w:val="14"/>
              <w:widowControl/>
              <w:numPr>
                <w:ilvl w:val="0"/>
                <w:numId w:val="25"/>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省政务服务平台“好差评”系统对接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18"/>
              </w:numPr>
              <w:spacing w:line="360" w:lineRule="auto"/>
              <w:ind w:firstLineChars="0"/>
              <w:jc w:val="center"/>
              <w:rPr>
                <w:rFonts w:hint="eastAsia" w:ascii="仿宋" w:hAnsi="仿宋" w:eastAsia="仿宋" w:cs="仿宋"/>
                <w:b/>
                <w:bCs/>
                <w:color w:val="auto"/>
                <w:sz w:val="24"/>
                <w:szCs w:val="24"/>
              </w:rPr>
            </w:pP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不动产登记查询证明网上自助系统</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6"/>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自助查询申请管理</w:t>
            </w:r>
          </w:p>
          <w:p>
            <w:pPr>
              <w:pStyle w:val="14"/>
              <w:widowControl/>
              <w:numPr>
                <w:ilvl w:val="0"/>
                <w:numId w:val="26"/>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不动产权属信息查询管理</w:t>
            </w:r>
          </w:p>
          <w:p>
            <w:pPr>
              <w:pStyle w:val="14"/>
              <w:widowControl/>
              <w:numPr>
                <w:ilvl w:val="0"/>
                <w:numId w:val="26"/>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不动产电子查询证明管理</w:t>
            </w:r>
          </w:p>
          <w:p>
            <w:pPr>
              <w:pStyle w:val="14"/>
              <w:widowControl/>
              <w:numPr>
                <w:ilvl w:val="0"/>
                <w:numId w:val="26"/>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查询证明认证服务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spacing w:line="360" w:lineRule="auto"/>
              <w:ind w:left="0"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10</w:t>
            </w: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个人端</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7"/>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个人业务申请、电子证照查询</w:t>
            </w:r>
          </w:p>
          <w:p>
            <w:pPr>
              <w:pStyle w:val="14"/>
              <w:widowControl/>
              <w:numPr>
                <w:ilvl w:val="0"/>
                <w:numId w:val="27"/>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对接线上三门峡App、微信公众号、支付宝、豫事办App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spacing w:line="360" w:lineRule="auto"/>
              <w:ind w:left="0"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11</w:t>
            </w: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不动产登记电子档案网上自助查询系统</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8"/>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自助查询申请管理</w:t>
            </w:r>
          </w:p>
          <w:p>
            <w:pPr>
              <w:pStyle w:val="14"/>
              <w:widowControl/>
              <w:numPr>
                <w:ilvl w:val="0"/>
                <w:numId w:val="28"/>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档案查询管理</w:t>
            </w:r>
          </w:p>
          <w:p>
            <w:pPr>
              <w:pStyle w:val="14"/>
              <w:widowControl/>
              <w:numPr>
                <w:ilvl w:val="0"/>
                <w:numId w:val="28"/>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档案打印下载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spacing w:line="360" w:lineRule="auto"/>
              <w:ind w:left="0"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12</w:t>
            </w: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16" w:firstLineChars="90"/>
              <w:rPr>
                <w:rFonts w:hint="eastAsia" w:ascii="仿宋" w:hAnsi="仿宋" w:eastAsia="仿宋" w:cs="仿宋"/>
                <w:color w:val="auto"/>
                <w:kern w:val="0"/>
                <w:sz w:val="24"/>
              </w:rPr>
            </w:pPr>
            <w:r>
              <w:rPr>
                <w:rFonts w:hint="eastAsia" w:ascii="仿宋" w:hAnsi="仿宋" w:eastAsia="仿宋" w:cs="仿宋"/>
                <w:color w:val="auto"/>
                <w:kern w:val="0"/>
                <w:sz w:val="24"/>
              </w:rPr>
              <w:t>自助查询接口</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2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查询不动产单元实体（包括土地和房屋）</w:t>
            </w:r>
          </w:p>
          <w:p>
            <w:pPr>
              <w:pStyle w:val="14"/>
              <w:widowControl/>
              <w:numPr>
                <w:ilvl w:val="0"/>
                <w:numId w:val="2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查询不动产登记信息</w:t>
            </w:r>
          </w:p>
          <w:p>
            <w:pPr>
              <w:pStyle w:val="14"/>
              <w:widowControl/>
              <w:numPr>
                <w:ilvl w:val="0"/>
                <w:numId w:val="2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查询宗地图</w:t>
            </w:r>
          </w:p>
          <w:p>
            <w:pPr>
              <w:pStyle w:val="14"/>
              <w:widowControl/>
              <w:numPr>
                <w:ilvl w:val="0"/>
                <w:numId w:val="29"/>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返回信息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1" w:type="pct"/>
            <w:tcBorders>
              <w:top w:val="single" w:color="auto" w:sz="4" w:space="0"/>
              <w:left w:val="single" w:color="auto" w:sz="4" w:space="0"/>
              <w:bottom w:val="single" w:color="auto" w:sz="4" w:space="0"/>
              <w:right w:val="single" w:color="auto" w:sz="4" w:space="0"/>
            </w:tcBorders>
            <w:noWrap w:val="0"/>
            <w:vAlign w:val="center"/>
          </w:tcPr>
          <w:p>
            <w:pPr>
              <w:pStyle w:val="14"/>
              <w:widowControl/>
              <w:spacing w:line="360" w:lineRule="auto"/>
              <w:ind w:left="0"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13</w:t>
            </w:r>
          </w:p>
        </w:tc>
        <w:tc>
          <w:tcPr>
            <w:tcW w:w="15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自助打证接口</w:t>
            </w:r>
          </w:p>
        </w:tc>
        <w:tc>
          <w:tcPr>
            <w:tcW w:w="2949" w:type="pct"/>
            <w:tcBorders>
              <w:top w:val="single" w:color="auto" w:sz="4" w:space="0"/>
              <w:left w:val="single" w:color="auto" w:sz="4" w:space="0"/>
              <w:bottom w:val="single" w:color="auto" w:sz="4" w:space="0"/>
              <w:right w:val="single" w:color="auto" w:sz="4" w:space="0"/>
            </w:tcBorders>
            <w:noWrap w:val="0"/>
            <w:vAlign w:val="center"/>
          </w:tcPr>
          <w:p>
            <w:pPr>
              <w:pStyle w:val="14"/>
              <w:widowControl/>
              <w:numPr>
                <w:ilvl w:val="0"/>
                <w:numId w:val="3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证书/证明列表接口</w:t>
            </w:r>
          </w:p>
          <w:p>
            <w:pPr>
              <w:pStyle w:val="14"/>
              <w:widowControl/>
              <w:numPr>
                <w:ilvl w:val="0"/>
                <w:numId w:val="3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证书/证明详情接口</w:t>
            </w:r>
          </w:p>
          <w:p>
            <w:pPr>
              <w:pStyle w:val="14"/>
              <w:widowControl/>
              <w:numPr>
                <w:ilvl w:val="0"/>
                <w:numId w:val="3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打印状态更新接口</w:t>
            </w:r>
          </w:p>
          <w:p>
            <w:pPr>
              <w:pStyle w:val="14"/>
              <w:widowControl/>
              <w:numPr>
                <w:ilvl w:val="0"/>
                <w:numId w:val="3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领证信息更新接口</w:t>
            </w:r>
          </w:p>
          <w:p>
            <w:pPr>
              <w:pStyle w:val="14"/>
              <w:widowControl/>
              <w:numPr>
                <w:ilvl w:val="0"/>
                <w:numId w:val="3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领证信息更新接口</w:t>
            </w:r>
          </w:p>
          <w:p>
            <w:pPr>
              <w:pStyle w:val="14"/>
              <w:widowControl/>
              <w:numPr>
                <w:ilvl w:val="0"/>
                <w:numId w:val="3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缴费是否成功查询</w:t>
            </w:r>
          </w:p>
          <w:p>
            <w:pPr>
              <w:pStyle w:val="14"/>
              <w:widowControl/>
              <w:numPr>
                <w:ilvl w:val="0"/>
                <w:numId w:val="30"/>
              </w:numPr>
              <w:spacing w:line="360" w:lineRule="auto"/>
              <w:ind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查询房产分户图、幢宗地图</w:t>
            </w:r>
          </w:p>
        </w:tc>
      </w:tr>
    </w:tbl>
    <w:p>
      <w:pPr>
        <w:pStyle w:val="2"/>
        <w:spacing w:after="0" w:line="360" w:lineRule="auto"/>
        <w:ind w:firstLine="240"/>
        <w:rPr>
          <w:rFonts w:hint="eastAsia" w:ascii="仿宋" w:hAnsi="仿宋" w:eastAsia="仿宋" w:cs="仿宋"/>
          <w:color w:val="auto"/>
          <w:sz w:val="24"/>
          <w:szCs w:val="24"/>
        </w:rPr>
      </w:pPr>
      <w:r>
        <w:rPr>
          <w:rFonts w:hint="eastAsia" w:ascii="仿宋" w:hAnsi="仿宋" w:eastAsia="仿宋" w:cs="仿宋"/>
          <w:color w:val="auto"/>
          <w:sz w:val="24"/>
          <w:szCs w:val="24"/>
        </w:rPr>
        <w:t>3.2.4自助设备</w:t>
      </w:r>
    </w:p>
    <w:p>
      <w:pPr>
        <w:pStyle w:val="2"/>
        <w:widowControl/>
        <w:spacing w:after="0" w:line="360" w:lineRule="auto"/>
        <w:ind w:firstLine="24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1、自助查询机4台。查询相关证明和信息</w:t>
      </w:r>
    </w:p>
    <w:p>
      <w:pPr>
        <w:pStyle w:val="2"/>
        <w:widowControl/>
        <w:spacing w:after="0" w:line="360" w:lineRule="auto"/>
        <w:ind w:firstLine="24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2、自助打证机1台。打印不动产证书</w:t>
      </w:r>
    </w:p>
    <w:p>
      <w:pPr>
        <w:pStyle w:val="2"/>
        <w:spacing w:after="0" w:line="360" w:lineRule="auto"/>
        <w:ind w:firstLine="240"/>
        <w:rPr>
          <w:rFonts w:hint="eastAsia" w:ascii="仿宋" w:hAnsi="仿宋" w:eastAsia="仿宋" w:cs="仿宋"/>
          <w:color w:val="auto"/>
          <w:sz w:val="24"/>
          <w:szCs w:val="24"/>
        </w:rPr>
      </w:pPr>
      <w:r>
        <w:rPr>
          <w:rFonts w:hint="eastAsia" w:ascii="仿宋" w:hAnsi="仿宋" w:eastAsia="仿宋" w:cs="仿宋"/>
          <w:color w:val="auto"/>
          <w:sz w:val="24"/>
          <w:szCs w:val="24"/>
        </w:rPr>
        <w:t>3.2.5数据汇交和历史数据治理</w:t>
      </w:r>
    </w:p>
    <w:p>
      <w:pPr>
        <w:pStyle w:val="2"/>
        <w:widowControl/>
        <w:spacing w:after="0" w:line="360" w:lineRule="auto"/>
        <w:ind w:firstLine="24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1、数据治理。有规律的问题批量处理；无规律的问题发现后和不动产协商解决办法，包含人员运维处理、功能开发处理等。</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3.3服务范围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3.4服务内容要求</w:t>
      </w:r>
    </w:p>
    <w:p>
      <w:pPr>
        <w:autoSpaceDE w:val="0"/>
        <w:autoSpaceDN w:val="0"/>
        <w:adjustRightInd w:val="0"/>
        <w:spacing w:line="360" w:lineRule="auto"/>
        <w:ind w:firstLine="484" w:firstLineChars="202"/>
        <w:jc w:val="left"/>
        <w:rPr>
          <w:rFonts w:hint="eastAsia" w:ascii="仿宋" w:hAnsi="仿宋" w:eastAsia="仿宋" w:cs="仿宋"/>
          <w:bCs/>
          <w:color w:val="auto"/>
          <w:kern w:val="0"/>
          <w:sz w:val="24"/>
        </w:rPr>
      </w:pPr>
      <w:r>
        <w:rPr>
          <w:rFonts w:hint="eastAsia" w:ascii="仿宋" w:hAnsi="仿宋" w:eastAsia="仿宋" w:cs="仿宋"/>
          <w:bCs/>
          <w:color w:val="auto"/>
          <w:kern w:val="0"/>
          <w:sz w:val="24"/>
        </w:rPr>
        <w:t>3.4.1 与省“全豫通办”平台对接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该系统是实现“全豫通办”跨市县协作和线上线下融合的中枢系统。主要功能包括：一是提供异地登记业务受理服务，满足“全豫通办”业务申请信息录入、申请材料数字化采集提交、共享数据获取及提交材料核验、人脸核验、电子签名、涉税申报信息采集、水电气暖联动办理信息采集、询问记录和受理回执打印等窗口受理需要；二是提供属地登记数据提取和核验、业务向属地提交、属地办理进度查询等服务；三是提供网上“一窗办事”平台网上申请数据获取利用、并向网上“一窗办事”平台反馈登记业务进度和结果等功能；四是与 “一窗受理”系统对接，提供“全豫通办”涉房屋交易的受理信息向住建系统分发并获取住建交易备案审核结果的功能；五是与不动产登记系统对接，提供“全豫通办”业务向属地登记系统转发办理功能，并提供在线缴税、缴费数据推送、通知和结果反馈等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3.4.2建立不动产登记网上“一窗办事”平台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在现有便民服务平台基础上，改造扩展实现“全豫通办”业务支持，通过接口导航和链接导航方式集成到省网上“一窗办事”平台，并纳入全国网上“一窗办事”平台，形成全国上下联动、部门协同、属地优先、省级统筹、国家支持，基于信息共享集成的“互联网+不动产登记”服务体系。</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3.4.3改造不动产登记系统及“一窗受理”系统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现有不动产登记系统进行升级，在现有基础上改造实现“全豫通办”业务支持，及省级共享平台数据的交换和共享，建立不动产登记网上“一窗办事”平台与不动产登记系统之间数据双向互推信息通道，实现全业务的异地申请的受理、补正、退卷等业务，并对系统待办案卷、已办案卷、业务审批流程、短信提醒、税费缴纳、登记费用缴纳、证书邮寄等模块进行升级，兼容异地受理案卷的办理，并实时推送案卷受理、补正、退卷、办理进度等业务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3.4.4升级综合监管系统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业务办理时限、人员办理绩效、业务办理分类统计分析、系统综合监管分析报告等进行升级，改造扩展实现“全豫通办”业务支持，可对异地申请案卷进行综合监管分析，全面准确体现登记工作在“一窗办事”平台的开展情况。</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3.4.5 16局委业务及档案数据共享管理系统</w:t>
      </w:r>
    </w:p>
    <w:p>
      <w:pPr>
        <w:autoSpaceDE w:val="0"/>
        <w:autoSpaceDN w:val="0"/>
        <w:adjustRightInd w:val="0"/>
        <w:spacing w:line="360" w:lineRule="auto"/>
        <w:ind w:firstLine="484" w:firstLineChars="202"/>
        <w:jc w:val="left"/>
        <w:rPr>
          <w:rFonts w:hint="eastAsia" w:ascii="仿宋" w:hAnsi="仿宋" w:eastAsia="仿宋" w:cs="仿宋"/>
          <w:bCs/>
          <w:color w:val="auto"/>
          <w:kern w:val="0"/>
          <w:sz w:val="24"/>
        </w:rPr>
      </w:pPr>
      <w:r>
        <w:rPr>
          <w:rFonts w:hint="eastAsia" w:ascii="仿宋" w:hAnsi="仿宋" w:eastAsia="仿宋" w:cs="仿宋"/>
          <w:color w:val="auto"/>
          <w:kern w:val="0"/>
          <w:sz w:val="24"/>
        </w:rPr>
        <w:t>按照谁建设系统、谁负责对接的原则，各级政务部门加快改造自有的跨层级垂直业务信息系统，并与市政务服务和大数据管理局一体化平台对接，实现跨层级、跨地域、跨系统、跨部门、跨业务数据互联互通，避免数据和业务“两张皮”，减少在不同系统中重复录入，提高窗口工作效率。</w:t>
      </w:r>
    </w:p>
    <w:p>
      <w:pPr>
        <w:autoSpaceDE w:val="0"/>
        <w:autoSpaceDN w:val="0"/>
        <w:adjustRightInd w:val="0"/>
        <w:spacing w:line="360" w:lineRule="auto"/>
        <w:ind w:firstLine="484" w:firstLineChars="202"/>
        <w:jc w:val="left"/>
        <w:rPr>
          <w:rFonts w:hint="eastAsia" w:ascii="仿宋" w:hAnsi="仿宋" w:eastAsia="仿宋" w:cs="仿宋"/>
          <w:bCs/>
          <w:color w:val="auto"/>
          <w:kern w:val="0"/>
          <w:sz w:val="24"/>
        </w:rPr>
      </w:pPr>
      <w:r>
        <w:rPr>
          <w:rFonts w:hint="eastAsia" w:ascii="仿宋" w:hAnsi="仿宋" w:eastAsia="仿宋" w:cs="仿宋"/>
          <w:bCs/>
          <w:color w:val="auto"/>
          <w:kern w:val="0"/>
          <w:sz w:val="24"/>
        </w:rPr>
        <w:t>3.4.5.1共享集成数据内容</w:t>
      </w:r>
    </w:p>
    <w:p>
      <w:pPr>
        <w:autoSpaceDE w:val="0"/>
        <w:autoSpaceDN w:val="0"/>
        <w:adjustRightInd w:val="0"/>
        <w:spacing w:line="360" w:lineRule="auto"/>
        <w:ind w:firstLine="484" w:firstLineChars="202"/>
        <w:jc w:val="left"/>
        <w:rPr>
          <w:rFonts w:hint="eastAsia" w:ascii="仿宋" w:hAnsi="仿宋" w:eastAsia="仿宋" w:cs="仿宋"/>
          <w:bCs/>
          <w:color w:val="auto"/>
          <w:kern w:val="0"/>
          <w:sz w:val="24"/>
        </w:rPr>
      </w:pPr>
      <w:r>
        <w:rPr>
          <w:rFonts w:hint="eastAsia" w:ascii="仿宋" w:hAnsi="仿宋" w:eastAsia="仿宋" w:cs="仿宋"/>
          <w:bCs/>
          <w:color w:val="auto"/>
          <w:kern w:val="0"/>
          <w:sz w:val="24"/>
        </w:rPr>
        <w:t>3.4.5.1.1基础数据分类</w:t>
      </w:r>
    </w:p>
    <w:p>
      <w:pPr>
        <w:autoSpaceDE w:val="0"/>
        <w:autoSpaceDN w:val="0"/>
        <w:adjustRightInd w:val="0"/>
        <w:spacing w:line="360" w:lineRule="auto"/>
        <w:jc w:val="center"/>
        <w:rPr>
          <w:rFonts w:hint="eastAsia" w:ascii="仿宋" w:hAnsi="仿宋" w:eastAsia="仿宋" w:cs="仿宋"/>
          <w:bCs/>
          <w:color w:val="auto"/>
          <w:kern w:val="0"/>
          <w:sz w:val="24"/>
        </w:rPr>
      </w:pPr>
      <w:r>
        <w:rPr>
          <w:rFonts w:hint="eastAsia" w:ascii="仿宋" w:hAnsi="仿宋" w:eastAsia="仿宋" w:cs="仿宋"/>
          <w:bCs/>
          <w:color w:val="auto"/>
          <w:kern w:val="0"/>
          <w:sz w:val="24"/>
        </w:rPr>
        <w:t>表 数据共享接入局委及数据分类表</w:t>
      </w:r>
    </w:p>
    <w:tbl>
      <w:tblPr>
        <w:tblStyle w:val="10"/>
        <w:tblW w:w="5261"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04"/>
        <w:gridCol w:w="2758"/>
        <w:gridCol w:w="3199"/>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数据分类名称</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数据类型</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资源类型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重点工程竣工验收报告</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2</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工程竣工验收备案表</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3</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不动产改制过户信息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2条数据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不动产划转信息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4</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婚姻信息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数据接口+加盖电子签证电子文件（数据不足）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城镇道路街巷的标准名称信息（含变更信息）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民办非企业的信息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5</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出生证明</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死亡医学证明</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无数据（卫健委无系统）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6</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非税收入征缴信息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数据接口+电子缴费凭证</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新非税收入征缴信息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数据接口+电子缴费凭证</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7</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金融许可证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银监拒绝给金融局提供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8</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公证书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9</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房屋买卖合同</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数据接口+加盖电子签章电子合同</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分层分户平面图</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DWG电子文件</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网签和合同备案结果信息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政策性住房交易审核结果</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商品房预售许可证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房屋面积测绘报告</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10</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契税完税凭证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耕地占用税完税凭证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免税证明</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土地增值税完税凭证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11</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营业执照</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12</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个人身份证明</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门牌号编制对照表</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出入境管理机构发放的有效证件信息及证照版式文书、签章印模</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目前无数据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13</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强制转移民事判决书、执行裁定书、协助执行通知书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2个字段数据，无法使用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继承权归属判决书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继承权、析产调解书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继承权认定文书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破产裁定书、终结书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执行裁定书和协助执行通知书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没收、罚没机关委托拍卖的相关文件（包括：委托书、拍卖公告、拍卖成交确认书）</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14</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机关事业单位土地房屋资产调拨信息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机关无系统和数据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15</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统一社会信用代码信息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数据接口+电子证照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restart"/>
            <w:tcBorders>
              <w:top w:val="single" w:color="auto" w:sz="4" w:space="0"/>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16</w:t>
            </w: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土地出让</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土地测绘</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土地规划</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土地划拨</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建设项目选址意见书信息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建设用地规划许可证信息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建设工程规划许可证信息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规划处罚信息</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规划编制</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乡村建设规划许可证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建设用地规划许可证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93" w:type="pct"/>
            <w:vMerge w:val="continue"/>
            <w:tcBorders>
              <w:left w:val="single" w:color="auto" w:sz="4" w:space="0"/>
              <w:bottom w:val="single" w:color="auto" w:sz="4" w:space="0"/>
              <w:right w:val="single" w:color="auto" w:sz="4" w:space="0"/>
            </w:tcBorders>
            <w:shd w:val="clear" w:color="auto" w:fill="FFFFFF"/>
            <w:noWrap w:val="0"/>
            <w:vAlign w:val="center"/>
          </w:tcPr>
          <w:p>
            <w:pPr>
              <w:spacing w:line="360" w:lineRule="auto"/>
              <w:jc w:val="center"/>
              <w:rPr>
                <w:rFonts w:ascii="仿宋" w:hAnsi="仿宋" w:eastAsia="仿宋" w:cs="仿宋"/>
                <w:bCs/>
                <w:color w:val="auto"/>
                <w:sz w:val="24"/>
              </w:rPr>
            </w:pPr>
          </w:p>
        </w:tc>
        <w:tc>
          <w:tcPr>
            <w:tcW w:w="1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建设工程规划核实合格证</w:t>
            </w:r>
          </w:p>
        </w:tc>
        <w:tc>
          <w:tcPr>
            <w:tcW w:w="1783"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数据接口+加盖电子签证电子文书</w:t>
            </w:r>
          </w:p>
        </w:tc>
        <w:tc>
          <w:tcPr>
            <w:tcW w:w="1285" w:type="pc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数据接口+加盖电子签证电子文件</w:t>
            </w:r>
          </w:p>
        </w:tc>
      </w:tr>
    </w:tbl>
    <w:p>
      <w:pPr>
        <w:autoSpaceDE w:val="0"/>
        <w:autoSpaceDN w:val="0"/>
        <w:adjustRightInd w:val="0"/>
        <w:spacing w:line="360" w:lineRule="auto"/>
        <w:jc w:val="center"/>
        <w:rPr>
          <w:rFonts w:hint="eastAsia" w:ascii="仿宋" w:hAnsi="仿宋" w:eastAsia="仿宋" w:cs="仿宋"/>
          <w:bCs/>
          <w:color w:val="auto"/>
          <w:kern w:val="0"/>
          <w:sz w:val="24"/>
        </w:rPr>
      </w:pPr>
    </w:p>
    <w:p>
      <w:pPr>
        <w:autoSpaceDE w:val="0"/>
        <w:autoSpaceDN w:val="0"/>
        <w:adjustRightInd w:val="0"/>
        <w:spacing w:line="360" w:lineRule="auto"/>
        <w:jc w:val="left"/>
        <w:rPr>
          <w:rFonts w:hint="eastAsia" w:ascii="仿宋" w:hAnsi="仿宋" w:eastAsia="仿宋" w:cs="仿宋"/>
          <w:bCs/>
          <w:color w:val="auto"/>
          <w:kern w:val="0"/>
          <w:sz w:val="24"/>
        </w:rPr>
      </w:pPr>
      <w:r>
        <w:rPr>
          <w:rFonts w:hint="eastAsia" w:ascii="仿宋" w:hAnsi="仿宋" w:eastAsia="仿宋" w:cs="仿宋"/>
          <w:bCs/>
          <w:color w:val="auto"/>
          <w:kern w:val="0"/>
          <w:sz w:val="24"/>
        </w:rPr>
        <w:t>3.4.5.1.2集成数据细项确认</w:t>
      </w:r>
    </w:p>
    <w:p>
      <w:pPr>
        <w:autoSpaceDE w:val="0"/>
        <w:autoSpaceDN w:val="0"/>
        <w:adjustRightInd w:val="0"/>
        <w:spacing w:line="360" w:lineRule="auto"/>
        <w:jc w:val="center"/>
        <w:rPr>
          <w:rFonts w:hint="eastAsia" w:ascii="仿宋" w:hAnsi="仿宋" w:eastAsia="仿宋" w:cs="仿宋"/>
          <w:bCs/>
          <w:color w:val="auto"/>
          <w:kern w:val="0"/>
          <w:sz w:val="24"/>
        </w:rPr>
      </w:pPr>
      <w:r>
        <w:rPr>
          <w:rFonts w:hint="eastAsia" w:ascii="仿宋" w:hAnsi="仿宋" w:eastAsia="仿宋" w:cs="仿宋"/>
          <w:bCs/>
          <w:color w:val="auto"/>
          <w:kern w:val="0"/>
          <w:sz w:val="24"/>
        </w:rPr>
        <w:t>表 数据接入细项分类表</w:t>
      </w:r>
    </w:p>
    <w:tbl>
      <w:tblPr>
        <w:tblStyle w:val="10"/>
        <w:tblW w:w="9056"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87"/>
        <w:gridCol w:w="2394"/>
        <w:gridCol w:w="2384"/>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687" w:type="dxa"/>
            <w:shd w:val="clear" w:color="auto" w:fill="FFFFFF"/>
            <w:noWrap w:val="0"/>
            <w:vAlign w:val="center"/>
          </w:tcPr>
          <w:p>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2394" w:type="dxa"/>
            <w:shd w:val="clear" w:color="auto" w:fill="FFFFFF"/>
            <w:noWrap w:val="0"/>
            <w:vAlign w:val="center"/>
          </w:tcPr>
          <w:p>
            <w:pPr>
              <w:spacing w:line="360" w:lineRule="auto"/>
              <w:rPr>
                <w:rFonts w:ascii="仿宋" w:hAnsi="仿宋" w:eastAsia="仿宋" w:cs="仿宋"/>
                <w:b/>
                <w:bCs/>
                <w:color w:val="auto"/>
                <w:sz w:val="24"/>
              </w:rPr>
            </w:pPr>
            <w:r>
              <w:rPr>
                <w:rFonts w:hint="eastAsia" w:ascii="仿宋" w:hAnsi="仿宋" w:eastAsia="仿宋" w:cs="仿宋"/>
                <w:b/>
                <w:bCs/>
                <w:color w:val="auto"/>
                <w:sz w:val="24"/>
              </w:rPr>
              <w:t>信息资源名称</w:t>
            </w:r>
          </w:p>
        </w:tc>
        <w:tc>
          <w:tcPr>
            <w:tcW w:w="2384" w:type="dxa"/>
            <w:shd w:val="clear" w:color="auto" w:fill="FFFFFF"/>
            <w:noWrap w:val="0"/>
            <w:vAlign w:val="center"/>
          </w:tcPr>
          <w:p>
            <w:pPr>
              <w:spacing w:line="360" w:lineRule="auto"/>
              <w:rPr>
                <w:rFonts w:ascii="仿宋" w:hAnsi="仿宋" w:eastAsia="仿宋" w:cs="仿宋"/>
                <w:b/>
                <w:bCs/>
                <w:color w:val="auto"/>
                <w:sz w:val="24"/>
              </w:rPr>
            </w:pPr>
            <w:r>
              <w:rPr>
                <w:rFonts w:hint="eastAsia" w:ascii="仿宋" w:hAnsi="仿宋" w:eastAsia="仿宋" w:cs="仿宋"/>
                <w:b/>
                <w:bCs/>
                <w:color w:val="auto"/>
                <w:sz w:val="24"/>
              </w:rPr>
              <w:t>业务系统使用场景</w:t>
            </w:r>
          </w:p>
        </w:tc>
        <w:tc>
          <w:tcPr>
            <w:tcW w:w="3591" w:type="dxa"/>
            <w:shd w:val="clear" w:color="auto" w:fill="FFFFFF"/>
            <w:noWrap w:val="0"/>
            <w:vAlign w:val="center"/>
          </w:tcPr>
          <w:p>
            <w:pPr>
              <w:spacing w:line="360" w:lineRule="auto"/>
              <w:rPr>
                <w:rFonts w:ascii="仿宋" w:hAnsi="仿宋" w:eastAsia="仿宋" w:cs="仿宋"/>
                <w:b/>
                <w:bCs/>
                <w:color w:val="auto"/>
                <w:sz w:val="24"/>
              </w:rPr>
            </w:pPr>
            <w:r>
              <w:rPr>
                <w:rFonts w:hint="eastAsia" w:ascii="仿宋" w:hAnsi="仿宋" w:eastAsia="仿宋" w:cs="仿宋"/>
                <w:b/>
                <w:bCs/>
                <w:color w:val="auto"/>
                <w:sz w:val="24"/>
              </w:rPr>
              <w:t>业务属性要求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重点工程竣工验收报告</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首次登记</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单位工程名称</w:t>
            </w:r>
            <w:r>
              <w:rPr>
                <w:rFonts w:hint="eastAsia" w:ascii="仿宋" w:hAnsi="仿宋" w:eastAsia="仿宋" w:cs="仿宋"/>
                <w:color w:val="auto"/>
                <w:sz w:val="24"/>
              </w:rPr>
              <w:br w:type="textWrapping"/>
            </w:r>
            <w:r>
              <w:rPr>
                <w:rFonts w:hint="eastAsia" w:ascii="仿宋" w:hAnsi="仿宋" w:eastAsia="仿宋" w:cs="仿宋"/>
                <w:color w:val="auto"/>
                <w:sz w:val="24"/>
              </w:rPr>
              <w:t>建设单位名称</w:t>
            </w:r>
            <w:r>
              <w:rPr>
                <w:rFonts w:hint="eastAsia" w:ascii="仿宋" w:hAnsi="仿宋" w:eastAsia="仿宋" w:cs="仿宋"/>
                <w:color w:val="auto"/>
                <w:sz w:val="24"/>
              </w:rPr>
              <w:br w:type="textWrapping"/>
            </w:r>
            <w:r>
              <w:rPr>
                <w:rFonts w:hint="eastAsia" w:ascii="仿宋" w:hAnsi="仿宋" w:eastAsia="仿宋" w:cs="仿宋"/>
                <w:color w:val="auto"/>
                <w:sz w:val="24"/>
              </w:rPr>
              <w:t>建设单位统一社会信用代码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建筑面积</w:t>
            </w:r>
            <w:r>
              <w:rPr>
                <w:rFonts w:hint="eastAsia" w:ascii="仿宋" w:hAnsi="仿宋" w:eastAsia="仿宋" w:cs="仿宋"/>
                <w:color w:val="auto"/>
                <w:sz w:val="24"/>
              </w:rPr>
              <w:br w:type="textWrapping"/>
            </w:r>
            <w:r>
              <w:rPr>
                <w:rFonts w:hint="eastAsia" w:ascii="仿宋" w:hAnsi="仿宋" w:eastAsia="仿宋" w:cs="仿宋"/>
                <w:color w:val="auto"/>
                <w:sz w:val="24"/>
              </w:rPr>
              <w:t>工程造价</w:t>
            </w:r>
            <w:r>
              <w:rPr>
                <w:rFonts w:hint="eastAsia" w:ascii="仿宋" w:hAnsi="仿宋" w:eastAsia="仿宋" w:cs="仿宋"/>
                <w:color w:val="auto"/>
                <w:sz w:val="24"/>
              </w:rPr>
              <w:br w:type="textWrapping"/>
            </w:r>
            <w:r>
              <w:rPr>
                <w:rFonts w:hint="eastAsia" w:ascii="仿宋" w:hAnsi="仿宋" w:eastAsia="仿宋" w:cs="仿宋"/>
                <w:color w:val="auto"/>
                <w:sz w:val="24"/>
              </w:rPr>
              <w:t>结构类型</w:t>
            </w:r>
            <w:r>
              <w:rPr>
                <w:rFonts w:hint="eastAsia" w:ascii="仿宋" w:hAnsi="仿宋" w:eastAsia="仿宋" w:cs="仿宋"/>
                <w:color w:val="auto"/>
                <w:sz w:val="24"/>
              </w:rPr>
              <w:br w:type="textWrapping"/>
            </w:r>
            <w:r>
              <w:rPr>
                <w:rFonts w:hint="eastAsia" w:ascii="仿宋" w:hAnsi="仿宋" w:eastAsia="仿宋" w:cs="仿宋"/>
                <w:color w:val="auto"/>
                <w:sz w:val="24"/>
              </w:rPr>
              <w:t>实际开工日期</w:t>
            </w:r>
            <w:r>
              <w:rPr>
                <w:rFonts w:hint="eastAsia" w:ascii="仿宋" w:hAnsi="仿宋" w:eastAsia="仿宋" w:cs="仿宋"/>
                <w:color w:val="auto"/>
                <w:sz w:val="24"/>
              </w:rPr>
              <w:br w:type="textWrapping"/>
            </w:r>
            <w:r>
              <w:rPr>
                <w:rFonts w:hint="eastAsia" w:ascii="仿宋" w:hAnsi="仿宋" w:eastAsia="仿宋" w:cs="仿宋"/>
                <w:color w:val="auto"/>
                <w:sz w:val="24"/>
              </w:rPr>
              <w:t>实际竣工日期</w:t>
            </w:r>
            <w:r>
              <w:rPr>
                <w:rFonts w:hint="eastAsia" w:ascii="仿宋" w:hAnsi="仿宋" w:eastAsia="仿宋" w:cs="仿宋"/>
                <w:color w:val="auto"/>
                <w:sz w:val="24"/>
              </w:rPr>
              <w:br w:type="textWrapping"/>
            </w:r>
            <w:r>
              <w:rPr>
                <w:rFonts w:hint="eastAsia" w:ascii="仿宋" w:hAnsi="仿宋" w:eastAsia="仿宋" w:cs="仿宋"/>
                <w:color w:val="auto"/>
                <w:sz w:val="24"/>
              </w:rPr>
              <w:t>竣工验收时间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工程竣工验收备案表</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首次登记</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备案编号</w:t>
            </w:r>
            <w:r>
              <w:rPr>
                <w:rFonts w:hint="eastAsia" w:ascii="仿宋" w:hAnsi="仿宋" w:eastAsia="仿宋" w:cs="仿宋"/>
                <w:color w:val="auto"/>
                <w:sz w:val="24"/>
              </w:rPr>
              <w:br w:type="textWrapping"/>
            </w:r>
            <w:r>
              <w:rPr>
                <w:rFonts w:hint="eastAsia" w:ascii="仿宋" w:hAnsi="仿宋" w:eastAsia="仿宋" w:cs="仿宋"/>
                <w:color w:val="auto"/>
                <w:sz w:val="24"/>
              </w:rPr>
              <w:t>单位工程名称</w:t>
            </w:r>
            <w:r>
              <w:rPr>
                <w:rFonts w:hint="eastAsia" w:ascii="仿宋" w:hAnsi="仿宋" w:eastAsia="仿宋" w:cs="仿宋"/>
                <w:color w:val="auto"/>
                <w:sz w:val="24"/>
              </w:rPr>
              <w:br w:type="textWrapping"/>
            </w:r>
            <w:r>
              <w:rPr>
                <w:rFonts w:hint="eastAsia" w:ascii="仿宋" w:hAnsi="仿宋" w:eastAsia="仿宋" w:cs="仿宋"/>
                <w:color w:val="auto"/>
                <w:sz w:val="24"/>
              </w:rPr>
              <w:t>建设单位名称</w:t>
            </w:r>
            <w:r>
              <w:rPr>
                <w:rFonts w:hint="eastAsia" w:ascii="仿宋" w:hAnsi="仿宋" w:eastAsia="仿宋" w:cs="仿宋"/>
                <w:color w:val="auto"/>
                <w:sz w:val="24"/>
              </w:rPr>
              <w:br w:type="textWrapping"/>
            </w:r>
            <w:r>
              <w:rPr>
                <w:rFonts w:hint="eastAsia" w:ascii="仿宋" w:hAnsi="仿宋" w:eastAsia="仿宋" w:cs="仿宋"/>
                <w:color w:val="auto"/>
                <w:sz w:val="24"/>
              </w:rPr>
              <w:t>建设单位统一社会信用代码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建筑面积</w:t>
            </w:r>
            <w:r>
              <w:rPr>
                <w:rFonts w:hint="eastAsia" w:ascii="仿宋" w:hAnsi="仿宋" w:eastAsia="仿宋" w:cs="仿宋"/>
                <w:color w:val="auto"/>
                <w:sz w:val="24"/>
              </w:rPr>
              <w:br w:type="textWrapping"/>
            </w:r>
            <w:r>
              <w:rPr>
                <w:rFonts w:hint="eastAsia" w:ascii="仿宋" w:hAnsi="仿宋" w:eastAsia="仿宋" w:cs="仿宋"/>
                <w:color w:val="auto"/>
                <w:sz w:val="24"/>
              </w:rPr>
              <w:t>工程造价</w:t>
            </w:r>
            <w:r>
              <w:rPr>
                <w:rFonts w:hint="eastAsia" w:ascii="仿宋" w:hAnsi="仿宋" w:eastAsia="仿宋" w:cs="仿宋"/>
                <w:color w:val="auto"/>
                <w:sz w:val="24"/>
              </w:rPr>
              <w:br w:type="textWrapping"/>
            </w:r>
            <w:r>
              <w:rPr>
                <w:rFonts w:hint="eastAsia" w:ascii="仿宋" w:hAnsi="仿宋" w:eastAsia="仿宋" w:cs="仿宋"/>
                <w:color w:val="auto"/>
                <w:sz w:val="24"/>
              </w:rPr>
              <w:t>结构类型</w:t>
            </w:r>
            <w:r>
              <w:rPr>
                <w:rFonts w:hint="eastAsia" w:ascii="仿宋" w:hAnsi="仿宋" w:eastAsia="仿宋" w:cs="仿宋"/>
                <w:color w:val="auto"/>
                <w:sz w:val="24"/>
              </w:rPr>
              <w:br w:type="textWrapping"/>
            </w:r>
            <w:r>
              <w:rPr>
                <w:rFonts w:hint="eastAsia" w:ascii="仿宋" w:hAnsi="仿宋" w:eastAsia="仿宋" w:cs="仿宋"/>
                <w:color w:val="auto"/>
                <w:sz w:val="24"/>
              </w:rPr>
              <w:t>规划许可证号</w:t>
            </w:r>
            <w:r>
              <w:rPr>
                <w:rFonts w:hint="eastAsia" w:ascii="仿宋" w:hAnsi="仿宋" w:eastAsia="仿宋" w:cs="仿宋"/>
                <w:color w:val="auto"/>
                <w:sz w:val="24"/>
              </w:rPr>
              <w:br w:type="textWrapping"/>
            </w:r>
            <w:r>
              <w:rPr>
                <w:rFonts w:hint="eastAsia" w:ascii="仿宋" w:hAnsi="仿宋" w:eastAsia="仿宋" w:cs="仿宋"/>
                <w:color w:val="auto"/>
                <w:sz w:val="24"/>
              </w:rPr>
              <w:t>实际开工日期</w:t>
            </w:r>
            <w:r>
              <w:rPr>
                <w:rFonts w:hint="eastAsia" w:ascii="仿宋" w:hAnsi="仿宋" w:eastAsia="仿宋" w:cs="仿宋"/>
                <w:color w:val="auto"/>
                <w:sz w:val="24"/>
              </w:rPr>
              <w:br w:type="textWrapping"/>
            </w:r>
            <w:r>
              <w:rPr>
                <w:rFonts w:hint="eastAsia" w:ascii="仿宋" w:hAnsi="仿宋" w:eastAsia="仿宋" w:cs="仿宋"/>
                <w:color w:val="auto"/>
                <w:sz w:val="24"/>
              </w:rPr>
              <w:t>实际竣工日期</w:t>
            </w:r>
            <w:r>
              <w:rPr>
                <w:rFonts w:hint="eastAsia" w:ascii="仿宋" w:hAnsi="仿宋" w:eastAsia="仿宋" w:cs="仿宋"/>
                <w:color w:val="auto"/>
                <w:sz w:val="24"/>
              </w:rPr>
              <w:br w:type="textWrapping"/>
            </w:r>
            <w:r>
              <w:rPr>
                <w:rFonts w:hint="eastAsia" w:ascii="仿宋" w:hAnsi="仿宋" w:eastAsia="仿宋" w:cs="仿宋"/>
                <w:color w:val="auto"/>
                <w:sz w:val="24"/>
              </w:rPr>
              <w:t>竣工验收时间</w:t>
            </w:r>
            <w:r>
              <w:rPr>
                <w:rFonts w:hint="eastAsia" w:ascii="仿宋" w:hAnsi="仿宋" w:eastAsia="仿宋" w:cs="仿宋"/>
                <w:color w:val="auto"/>
                <w:sz w:val="24"/>
              </w:rPr>
              <w:br w:type="textWrapping"/>
            </w:r>
            <w:r>
              <w:rPr>
                <w:rFonts w:hint="eastAsia" w:ascii="仿宋" w:hAnsi="仿宋" w:eastAsia="仿宋" w:cs="仿宋"/>
                <w:color w:val="auto"/>
                <w:sz w:val="24"/>
              </w:rPr>
              <w:t>备案日期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不动产划转信息、不动产改制过户信息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变更登记、转移登记</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婚姻信息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所有转移登记业务</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结婚证字号</w:t>
            </w:r>
            <w:r>
              <w:rPr>
                <w:rFonts w:hint="eastAsia" w:ascii="仿宋" w:hAnsi="仿宋" w:eastAsia="仿宋" w:cs="仿宋"/>
                <w:color w:val="auto"/>
                <w:sz w:val="24"/>
              </w:rPr>
              <w:br w:type="textWrapping"/>
            </w:r>
            <w:r>
              <w:rPr>
                <w:rFonts w:hint="eastAsia" w:ascii="仿宋" w:hAnsi="仿宋" w:eastAsia="仿宋" w:cs="仿宋"/>
                <w:color w:val="auto"/>
                <w:sz w:val="24"/>
              </w:rPr>
              <w:t>男方姓名</w:t>
            </w:r>
            <w:r>
              <w:rPr>
                <w:rFonts w:hint="eastAsia" w:ascii="仿宋" w:hAnsi="仿宋" w:eastAsia="仿宋" w:cs="仿宋"/>
                <w:color w:val="auto"/>
                <w:sz w:val="24"/>
              </w:rPr>
              <w:br w:type="textWrapping"/>
            </w:r>
            <w:r>
              <w:rPr>
                <w:rFonts w:hint="eastAsia" w:ascii="仿宋" w:hAnsi="仿宋" w:eastAsia="仿宋" w:cs="仿宋"/>
                <w:color w:val="auto"/>
                <w:sz w:val="24"/>
              </w:rPr>
              <w:t>男方身份类别</w:t>
            </w:r>
            <w:r>
              <w:rPr>
                <w:rFonts w:hint="eastAsia" w:ascii="仿宋" w:hAnsi="仿宋" w:eastAsia="仿宋" w:cs="仿宋"/>
                <w:color w:val="auto"/>
                <w:sz w:val="24"/>
              </w:rPr>
              <w:br w:type="textWrapping"/>
            </w:r>
            <w:r>
              <w:rPr>
                <w:rFonts w:hint="eastAsia" w:ascii="仿宋" w:hAnsi="仿宋" w:eastAsia="仿宋" w:cs="仿宋"/>
                <w:color w:val="auto"/>
                <w:sz w:val="24"/>
              </w:rPr>
              <w:t>男方国籍</w:t>
            </w:r>
            <w:r>
              <w:rPr>
                <w:rFonts w:hint="eastAsia" w:ascii="仿宋" w:hAnsi="仿宋" w:eastAsia="仿宋" w:cs="仿宋"/>
                <w:color w:val="auto"/>
                <w:sz w:val="24"/>
              </w:rPr>
              <w:br w:type="textWrapping"/>
            </w:r>
            <w:r>
              <w:rPr>
                <w:rFonts w:hint="eastAsia" w:ascii="仿宋" w:hAnsi="仿宋" w:eastAsia="仿宋" w:cs="仿宋"/>
                <w:color w:val="auto"/>
                <w:sz w:val="24"/>
              </w:rPr>
              <w:t>男方证件类型</w:t>
            </w:r>
            <w:r>
              <w:rPr>
                <w:rFonts w:hint="eastAsia" w:ascii="仿宋" w:hAnsi="仿宋" w:eastAsia="仿宋" w:cs="仿宋"/>
                <w:color w:val="auto"/>
                <w:sz w:val="24"/>
              </w:rPr>
              <w:br w:type="textWrapping"/>
            </w:r>
            <w:r>
              <w:rPr>
                <w:rFonts w:hint="eastAsia" w:ascii="仿宋" w:hAnsi="仿宋" w:eastAsia="仿宋" w:cs="仿宋"/>
                <w:color w:val="auto"/>
                <w:sz w:val="24"/>
              </w:rPr>
              <w:t>男方身份证号</w:t>
            </w:r>
            <w:r>
              <w:rPr>
                <w:rFonts w:hint="eastAsia" w:ascii="仿宋" w:hAnsi="仿宋" w:eastAsia="仿宋" w:cs="仿宋"/>
                <w:color w:val="auto"/>
                <w:sz w:val="24"/>
              </w:rPr>
              <w:br w:type="textWrapping"/>
            </w:r>
            <w:r>
              <w:rPr>
                <w:rFonts w:hint="eastAsia" w:ascii="仿宋" w:hAnsi="仿宋" w:eastAsia="仿宋" w:cs="仿宋"/>
                <w:color w:val="auto"/>
                <w:sz w:val="24"/>
              </w:rPr>
              <w:t>男方出生日期</w:t>
            </w:r>
            <w:r>
              <w:rPr>
                <w:rFonts w:hint="eastAsia" w:ascii="仿宋" w:hAnsi="仿宋" w:eastAsia="仿宋" w:cs="仿宋"/>
                <w:color w:val="auto"/>
                <w:sz w:val="24"/>
              </w:rPr>
              <w:br w:type="textWrapping"/>
            </w:r>
            <w:r>
              <w:rPr>
                <w:rFonts w:hint="eastAsia" w:ascii="仿宋" w:hAnsi="仿宋" w:eastAsia="仿宋" w:cs="仿宋"/>
                <w:color w:val="auto"/>
                <w:sz w:val="24"/>
              </w:rPr>
              <w:t>男方民族</w:t>
            </w:r>
            <w:r>
              <w:rPr>
                <w:rFonts w:hint="eastAsia" w:ascii="仿宋" w:hAnsi="仿宋" w:eastAsia="仿宋" w:cs="仿宋"/>
                <w:color w:val="auto"/>
                <w:sz w:val="24"/>
              </w:rPr>
              <w:br w:type="textWrapping"/>
            </w:r>
            <w:r>
              <w:rPr>
                <w:rFonts w:hint="eastAsia" w:ascii="仿宋" w:hAnsi="仿宋" w:eastAsia="仿宋" w:cs="仿宋"/>
                <w:color w:val="auto"/>
                <w:sz w:val="24"/>
              </w:rPr>
              <w:t>男方婚姻状况</w:t>
            </w:r>
            <w:r>
              <w:rPr>
                <w:rFonts w:hint="eastAsia" w:ascii="仿宋" w:hAnsi="仿宋" w:eastAsia="仿宋" w:cs="仿宋"/>
                <w:color w:val="auto"/>
                <w:sz w:val="24"/>
              </w:rPr>
              <w:br w:type="textWrapping"/>
            </w:r>
            <w:r>
              <w:rPr>
                <w:rFonts w:hint="eastAsia" w:ascii="仿宋" w:hAnsi="仿宋" w:eastAsia="仿宋" w:cs="仿宋"/>
                <w:color w:val="auto"/>
                <w:sz w:val="24"/>
              </w:rPr>
              <w:t>女方姓名</w:t>
            </w:r>
            <w:r>
              <w:rPr>
                <w:rFonts w:hint="eastAsia" w:ascii="仿宋" w:hAnsi="仿宋" w:eastAsia="仿宋" w:cs="仿宋"/>
                <w:color w:val="auto"/>
                <w:sz w:val="24"/>
              </w:rPr>
              <w:br w:type="textWrapping"/>
            </w:r>
            <w:r>
              <w:rPr>
                <w:rFonts w:hint="eastAsia" w:ascii="仿宋" w:hAnsi="仿宋" w:eastAsia="仿宋" w:cs="仿宋"/>
                <w:color w:val="auto"/>
                <w:sz w:val="24"/>
              </w:rPr>
              <w:t>女方身份类别</w:t>
            </w:r>
            <w:r>
              <w:rPr>
                <w:rFonts w:hint="eastAsia" w:ascii="仿宋" w:hAnsi="仿宋" w:eastAsia="仿宋" w:cs="仿宋"/>
                <w:color w:val="auto"/>
                <w:sz w:val="24"/>
              </w:rPr>
              <w:br w:type="textWrapping"/>
            </w:r>
            <w:r>
              <w:rPr>
                <w:rFonts w:hint="eastAsia" w:ascii="仿宋" w:hAnsi="仿宋" w:eastAsia="仿宋" w:cs="仿宋"/>
                <w:color w:val="auto"/>
                <w:sz w:val="24"/>
              </w:rPr>
              <w:t>女方国籍</w:t>
            </w:r>
            <w:r>
              <w:rPr>
                <w:rFonts w:hint="eastAsia" w:ascii="仿宋" w:hAnsi="仿宋" w:eastAsia="仿宋" w:cs="仿宋"/>
                <w:color w:val="auto"/>
                <w:sz w:val="24"/>
              </w:rPr>
              <w:br w:type="textWrapping"/>
            </w:r>
            <w:r>
              <w:rPr>
                <w:rFonts w:hint="eastAsia" w:ascii="仿宋" w:hAnsi="仿宋" w:eastAsia="仿宋" w:cs="仿宋"/>
                <w:color w:val="auto"/>
                <w:sz w:val="24"/>
              </w:rPr>
              <w:t>女方证件类型</w:t>
            </w:r>
            <w:r>
              <w:rPr>
                <w:rFonts w:hint="eastAsia" w:ascii="仿宋" w:hAnsi="仿宋" w:eastAsia="仿宋" w:cs="仿宋"/>
                <w:color w:val="auto"/>
                <w:sz w:val="24"/>
              </w:rPr>
              <w:br w:type="textWrapping"/>
            </w:r>
            <w:r>
              <w:rPr>
                <w:rFonts w:hint="eastAsia" w:ascii="仿宋" w:hAnsi="仿宋" w:eastAsia="仿宋" w:cs="仿宋"/>
                <w:color w:val="auto"/>
                <w:sz w:val="24"/>
              </w:rPr>
              <w:t>女方身份证号</w:t>
            </w:r>
            <w:r>
              <w:rPr>
                <w:rFonts w:hint="eastAsia" w:ascii="仿宋" w:hAnsi="仿宋" w:eastAsia="仿宋" w:cs="仿宋"/>
                <w:color w:val="auto"/>
                <w:sz w:val="24"/>
              </w:rPr>
              <w:br w:type="textWrapping"/>
            </w:r>
            <w:r>
              <w:rPr>
                <w:rFonts w:hint="eastAsia" w:ascii="仿宋" w:hAnsi="仿宋" w:eastAsia="仿宋" w:cs="仿宋"/>
                <w:color w:val="auto"/>
                <w:sz w:val="24"/>
              </w:rPr>
              <w:t>女方出生日期</w:t>
            </w:r>
            <w:r>
              <w:rPr>
                <w:rFonts w:hint="eastAsia" w:ascii="仿宋" w:hAnsi="仿宋" w:eastAsia="仿宋" w:cs="仿宋"/>
                <w:color w:val="auto"/>
                <w:sz w:val="24"/>
              </w:rPr>
              <w:br w:type="textWrapping"/>
            </w:r>
            <w:r>
              <w:rPr>
                <w:rFonts w:hint="eastAsia" w:ascii="仿宋" w:hAnsi="仿宋" w:eastAsia="仿宋" w:cs="仿宋"/>
                <w:color w:val="auto"/>
                <w:sz w:val="24"/>
              </w:rPr>
              <w:t>女方民族</w:t>
            </w:r>
            <w:r>
              <w:rPr>
                <w:rFonts w:hint="eastAsia" w:ascii="仿宋" w:hAnsi="仿宋" w:eastAsia="仿宋" w:cs="仿宋"/>
                <w:color w:val="auto"/>
                <w:sz w:val="24"/>
              </w:rPr>
              <w:br w:type="textWrapping"/>
            </w:r>
            <w:r>
              <w:rPr>
                <w:rFonts w:hint="eastAsia" w:ascii="仿宋" w:hAnsi="仿宋" w:eastAsia="仿宋" w:cs="仿宋"/>
                <w:color w:val="auto"/>
                <w:sz w:val="24"/>
              </w:rPr>
              <w:t>女方婚姻状况</w:t>
            </w:r>
            <w:r>
              <w:rPr>
                <w:rFonts w:hint="eastAsia" w:ascii="仿宋" w:hAnsi="仿宋" w:eastAsia="仿宋" w:cs="仿宋"/>
                <w:color w:val="auto"/>
                <w:sz w:val="24"/>
              </w:rPr>
              <w:br w:type="textWrapping"/>
            </w:r>
            <w:r>
              <w:rPr>
                <w:rFonts w:hint="eastAsia" w:ascii="仿宋" w:hAnsi="仿宋" w:eastAsia="仿宋" w:cs="仿宋"/>
                <w:color w:val="auto"/>
                <w:sz w:val="24"/>
              </w:rPr>
              <w:t>是否为补办结婚登记</w:t>
            </w:r>
            <w:r>
              <w:rPr>
                <w:rFonts w:hint="eastAsia" w:ascii="仿宋" w:hAnsi="仿宋" w:eastAsia="仿宋" w:cs="仿宋"/>
                <w:color w:val="auto"/>
                <w:sz w:val="24"/>
              </w:rPr>
              <w:br w:type="textWrapping"/>
            </w:r>
            <w:r>
              <w:rPr>
                <w:rFonts w:hint="eastAsia" w:ascii="仿宋" w:hAnsi="仿宋" w:eastAsia="仿宋" w:cs="仿宋"/>
                <w:color w:val="auto"/>
                <w:sz w:val="24"/>
              </w:rPr>
              <w:t>是否为复婚</w:t>
            </w:r>
            <w:r>
              <w:rPr>
                <w:rFonts w:hint="eastAsia" w:ascii="仿宋" w:hAnsi="仿宋" w:eastAsia="仿宋" w:cs="仿宋"/>
                <w:color w:val="auto"/>
                <w:sz w:val="24"/>
              </w:rPr>
              <w:br w:type="textWrapping"/>
            </w:r>
            <w:r>
              <w:rPr>
                <w:rFonts w:hint="eastAsia" w:ascii="仿宋" w:hAnsi="仿宋" w:eastAsia="仿宋" w:cs="仿宋"/>
                <w:color w:val="auto"/>
                <w:sz w:val="24"/>
              </w:rPr>
              <w:t>结婚登记日期</w:t>
            </w:r>
            <w:r>
              <w:rPr>
                <w:rFonts w:hint="eastAsia" w:ascii="仿宋" w:hAnsi="仿宋" w:eastAsia="仿宋" w:cs="仿宋"/>
                <w:color w:val="auto"/>
                <w:sz w:val="24"/>
              </w:rPr>
              <w:br w:type="textWrapping"/>
            </w:r>
            <w:r>
              <w:rPr>
                <w:rFonts w:hint="eastAsia" w:ascii="仿宋" w:hAnsi="仿宋" w:eastAsia="仿宋" w:cs="仿宋"/>
                <w:color w:val="auto"/>
                <w:sz w:val="24"/>
              </w:rPr>
              <w:t>证字号</w:t>
            </w:r>
            <w:r>
              <w:rPr>
                <w:rFonts w:hint="eastAsia" w:ascii="仿宋" w:hAnsi="仿宋" w:eastAsia="仿宋" w:cs="仿宋"/>
                <w:color w:val="auto"/>
                <w:sz w:val="24"/>
              </w:rPr>
              <w:br w:type="textWrapping"/>
            </w:r>
            <w:r>
              <w:rPr>
                <w:rFonts w:hint="eastAsia" w:ascii="仿宋" w:hAnsi="仿宋" w:eastAsia="仿宋" w:cs="仿宋"/>
                <w:color w:val="auto"/>
                <w:sz w:val="24"/>
              </w:rPr>
              <w:t>照片</w:t>
            </w:r>
            <w:r>
              <w:rPr>
                <w:rFonts w:hint="eastAsia" w:ascii="仿宋" w:hAnsi="仿宋" w:eastAsia="仿宋" w:cs="仿宋"/>
                <w:color w:val="auto"/>
                <w:sz w:val="24"/>
              </w:rPr>
              <w:br w:type="textWrapping"/>
            </w:r>
            <w:r>
              <w:rPr>
                <w:rFonts w:hint="eastAsia" w:ascii="仿宋" w:hAnsi="仿宋" w:eastAsia="仿宋" w:cs="仿宋"/>
                <w:color w:val="auto"/>
                <w:sz w:val="24"/>
              </w:rPr>
              <w:t>登记机关</w:t>
            </w:r>
            <w:r>
              <w:rPr>
                <w:rFonts w:hint="eastAsia" w:ascii="仿宋" w:hAnsi="仿宋" w:eastAsia="仿宋" w:cs="仿宋"/>
                <w:color w:val="auto"/>
                <w:sz w:val="24"/>
              </w:rPr>
              <w:br w:type="textWrapping"/>
            </w:r>
            <w:r>
              <w:rPr>
                <w:rFonts w:hint="eastAsia" w:ascii="仿宋" w:hAnsi="仿宋" w:eastAsia="仿宋" w:cs="仿宋"/>
                <w:color w:val="auto"/>
                <w:sz w:val="24"/>
              </w:rPr>
              <w:t>登记机关统一社会信用代码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登记机关单位代码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城镇道路街巷的标准名称信息（含变更信息）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首次登记</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道路名称</w:t>
            </w:r>
            <w:r>
              <w:rPr>
                <w:rFonts w:hint="eastAsia" w:ascii="仿宋" w:hAnsi="仿宋" w:eastAsia="仿宋" w:cs="仿宋"/>
                <w:color w:val="auto"/>
                <w:sz w:val="24"/>
              </w:rPr>
              <w:br w:type="textWrapping"/>
            </w:r>
            <w:r>
              <w:rPr>
                <w:rFonts w:hint="eastAsia" w:ascii="仿宋" w:hAnsi="仿宋" w:eastAsia="仿宋" w:cs="仿宋"/>
                <w:color w:val="auto"/>
                <w:sz w:val="24"/>
              </w:rPr>
              <w:t>命名时间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民办非企业的信息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转移、变更、抵押、更正、预告、在建、首登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出生证明</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转移、变更、更正、预告</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出生证明编号</w:t>
            </w:r>
            <w:r>
              <w:rPr>
                <w:rFonts w:hint="eastAsia" w:ascii="仿宋" w:hAnsi="仿宋" w:eastAsia="仿宋" w:cs="仿宋"/>
                <w:color w:val="auto"/>
                <w:sz w:val="24"/>
              </w:rPr>
              <w:br w:type="textWrapping"/>
            </w:r>
            <w:r>
              <w:rPr>
                <w:rFonts w:hint="eastAsia" w:ascii="仿宋" w:hAnsi="仿宋" w:eastAsia="仿宋" w:cs="仿宋"/>
                <w:color w:val="auto"/>
                <w:sz w:val="24"/>
              </w:rPr>
              <w:t>接生机构名称</w:t>
            </w:r>
            <w:r>
              <w:rPr>
                <w:rFonts w:hint="eastAsia" w:ascii="仿宋" w:hAnsi="仿宋" w:eastAsia="仿宋" w:cs="仿宋"/>
                <w:color w:val="auto"/>
                <w:sz w:val="24"/>
              </w:rPr>
              <w:br w:type="textWrapping"/>
            </w:r>
            <w:r>
              <w:rPr>
                <w:rFonts w:hint="eastAsia" w:ascii="仿宋" w:hAnsi="仿宋" w:eastAsia="仿宋" w:cs="仿宋"/>
                <w:color w:val="auto"/>
                <w:sz w:val="24"/>
              </w:rPr>
              <w:t>接生机构组织机构代码</w:t>
            </w:r>
            <w:r>
              <w:rPr>
                <w:rFonts w:hint="eastAsia" w:ascii="仿宋" w:hAnsi="仿宋" w:eastAsia="仿宋" w:cs="仿宋"/>
                <w:color w:val="auto"/>
                <w:sz w:val="24"/>
              </w:rPr>
              <w:br w:type="textWrapping"/>
            </w:r>
            <w:r>
              <w:rPr>
                <w:rFonts w:hint="eastAsia" w:ascii="仿宋" w:hAnsi="仿宋" w:eastAsia="仿宋" w:cs="仿宋"/>
                <w:color w:val="auto"/>
                <w:sz w:val="24"/>
              </w:rPr>
              <w:t>发证日期</w:t>
            </w:r>
            <w:r>
              <w:rPr>
                <w:rFonts w:hint="eastAsia" w:ascii="仿宋" w:hAnsi="仿宋" w:eastAsia="仿宋" w:cs="仿宋"/>
                <w:color w:val="auto"/>
                <w:sz w:val="24"/>
              </w:rPr>
              <w:br w:type="textWrapping"/>
            </w:r>
            <w:r>
              <w:rPr>
                <w:rFonts w:hint="eastAsia" w:ascii="仿宋" w:hAnsi="仿宋" w:eastAsia="仿宋" w:cs="仿宋"/>
                <w:color w:val="auto"/>
                <w:sz w:val="24"/>
              </w:rPr>
              <w:t>发证单位组织机构代码</w:t>
            </w:r>
            <w:r>
              <w:rPr>
                <w:rFonts w:hint="eastAsia" w:ascii="仿宋" w:hAnsi="仿宋" w:eastAsia="仿宋" w:cs="仿宋"/>
                <w:color w:val="auto"/>
                <w:sz w:val="24"/>
              </w:rPr>
              <w:br w:type="textWrapping"/>
            </w:r>
            <w:r>
              <w:rPr>
                <w:rFonts w:hint="eastAsia" w:ascii="仿宋" w:hAnsi="仿宋" w:eastAsia="仿宋" w:cs="仿宋"/>
                <w:color w:val="auto"/>
                <w:sz w:val="24"/>
              </w:rPr>
              <w:t>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trPr>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死亡医学证明</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姓名</w:t>
            </w:r>
            <w:r>
              <w:rPr>
                <w:rFonts w:hint="eastAsia" w:ascii="仿宋" w:hAnsi="仿宋" w:eastAsia="仿宋" w:cs="仿宋"/>
                <w:color w:val="auto"/>
                <w:sz w:val="24"/>
              </w:rPr>
              <w:br w:type="textWrapping"/>
            </w:r>
            <w:r>
              <w:rPr>
                <w:rFonts w:hint="eastAsia" w:ascii="仿宋" w:hAnsi="仿宋" w:eastAsia="仿宋" w:cs="仿宋"/>
                <w:color w:val="auto"/>
                <w:sz w:val="24"/>
              </w:rPr>
              <w:t>性别</w:t>
            </w:r>
            <w:r>
              <w:rPr>
                <w:rFonts w:hint="eastAsia" w:ascii="仿宋" w:hAnsi="仿宋" w:eastAsia="仿宋" w:cs="仿宋"/>
                <w:color w:val="auto"/>
                <w:sz w:val="24"/>
              </w:rPr>
              <w:br w:type="textWrapping"/>
            </w:r>
            <w:r>
              <w:rPr>
                <w:rFonts w:hint="eastAsia" w:ascii="仿宋" w:hAnsi="仿宋" w:eastAsia="仿宋" w:cs="仿宋"/>
                <w:color w:val="auto"/>
                <w:sz w:val="24"/>
              </w:rPr>
              <w:t>民族</w:t>
            </w:r>
            <w:r>
              <w:rPr>
                <w:rFonts w:hint="eastAsia" w:ascii="仿宋" w:hAnsi="仿宋" w:eastAsia="仿宋" w:cs="仿宋"/>
                <w:color w:val="auto"/>
                <w:sz w:val="24"/>
              </w:rPr>
              <w:br w:type="textWrapping"/>
            </w:r>
            <w:r>
              <w:rPr>
                <w:rFonts w:hint="eastAsia" w:ascii="仿宋" w:hAnsi="仿宋" w:eastAsia="仿宋" w:cs="仿宋"/>
                <w:color w:val="auto"/>
                <w:sz w:val="24"/>
              </w:rPr>
              <w:t>身份证编号</w:t>
            </w:r>
            <w:r>
              <w:rPr>
                <w:rFonts w:hint="eastAsia" w:ascii="仿宋" w:hAnsi="仿宋" w:eastAsia="仿宋" w:cs="仿宋"/>
                <w:color w:val="auto"/>
                <w:sz w:val="24"/>
              </w:rPr>
              <w:br w:type="textWrapping"/>
            </w:r>
            <w:r>
              <w:rPr>
                <w:rFonts w:hint="eastAsia" w:ascii="仿宋" w:hAnsi="仿宋" w:eastAsia="仿宋" w:cs="仿宋"/>
                <w:color w:val="auto"/>
                <w:sz w:val="24"/>
              </w:rPr>
              <w:t>常住户口地址</w:t>
            </w:r>
            <w:r>
              <w:rPr>
                <w:rFonts w:hint="eastAsia" w:ascii="仿宋" w:hAnsi="仿宋" w:eastAsia="仿宋" w:cs="仿宋"/>
                <w:color w:val="auto"/>
                <w:sz w:val="24"/>
              </w:rPr>
              <w:br w:type="textWrapping"/>
            </w:r>
            <w:r>
              <w:rPr>
                <w:rFonts w:hint="eastAsia" w:ascii="仿宋" w:hAnsi="仿宋" w:eastAsia="仿宋" w:cs="仿宋"/>
                <w:color w:val="auto"/>
                <w:sz w:val="24"/>
              </w:rPr>
              <w:t>婚姻状况</w:t>
            </w:r>
            <w:r>
              <w:rPr>
                <w:rFonts w:hint="eastAsia" w:ascii="仿宋" w:hAnsi="仿宋" w:eastAsia="仿宋" w:cs="仿宋"/>
                <w:color w:val="auto"/>
                <w:sz w:val="24"/>
              </w:rPr>
              <w:br w:type="textWrapping"/>
            </w:r>
            <w:r>
              <w:rPr>
                <w:rFonts w:hint="eastAsia" w:ascii="仿宋" w:hAnsi="仿宋" w:eastAsia="仿宋" w:cs="仿宋"/>
                <w:color w:val="auto"/>
                <w:sz w:val="24"/>
              </w:rPr>
              <w:t>死亡日期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非税收入征缴信息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新非税收入征缴信息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金融许可证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抵押更正、抵押转移、抵押变更、抵押注销、在建抵押、在建抵押变更、在建抵押更正、在建抵押注销、在建抵押转移、预抵、预抵更正、预抵变更、预抵更正、预抵注销</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机构名称</w:t>
            </w:r>
            <w:r>
              <w:rPr>
                <w:rFonts w:hint="eastAsia" w:ascii="仿宋" w:hAnsi="仿宋" w:eastAsia="仿宋" w:cs="仿宋"/>
                <w:color w:val="auto"/>
                <w:sz w:val="24"/>
              </w:rPr>
              <w:br w:type="textWrapping"/>
            </w:r>
            <w:r>
              <w:rPr>
                <w:rFonts w:hint="eastAsia" w:ascii="仿宋" w:hAnsi="仿宋" w:eastAsia="仿宋" w:cs="仿宋"/>
                <w:color w:val="auto"/>
                <w:sz w:val="24"/>
              </w:rPr>
              <w:t>简称</w:t>
            </w:r>
            <w:r>
              <w:rPr>
                <w:rFonts w:hint="eastAsia" w:ascii="仿宋" w:hAnsi="仿宋" w:eastAsia="仿宋" w:cs="仿宋"/>
                <w:color w:val="auto"/>
                <w:sz w:val="24"/>
              </w:rPr>
              <w:br w:type="textWrapping"/>
            </w:r>
            <w:r>
              <w:rPr>
                <w:rFonts w:hint="eastAsia" w:ascii="仿宋" w:hAnsi="仿宋" w:eastAsia="仿宋" w:cs="仿宋"/>
                <w:color w:val="auto"/>
                <w:sz w:val="24"/>
              </w:rPr>
              <w:t>英文名称</w:t>
            </w:r>
            <w:r>
              <w:rPr>
                <w:rFonts w:hint="eastAsia" w:ascii="仿宋" w:hAnsi="仿宋" w:eastAsia="仿宋" w:cs="仿宋"/>
                <w:color w:val="auto"/>
                <w:sz w:val="24"/>
              </w:rPr>
              <w:br w:type="textWrapping"/>
            </w:r>
            <w:r>
              <w:rPr>
                <w:rFonts w:hint="eastAsia" w:ascii="仿宋" w:hAnsi="仿宋" w:eastAsia="仿宋" w:cs="仿宋"/>
                <w:color w:val="auto"/>
                <w:sz w:val="24"/>
              </w:rPr>
              <w:t>批准成立日期</w:t>
            </w:r>
            <w:r>
              <w:rPr>
                <w:rFonts w:hint="eastAsia" w:ascii="仿宋" w:hAnsi="仿宋" w:eastAsia="仿宋" w:cs="仿宋"/>
                <w:color w:val="auto"/>
                <w:sz w:val="24"/>
              </w:rPr>
              <w:br w:type="textWrapping"/>
            </w:r>
            <w:r>
              <w:rPr>
                <w:rFonts w:hint="eastAsia" w:ascii="仿宋" w:hAnsi="仿宋" w:eastAsia="仿宋" w:cs="仿宋"/>
                <w:color w:val="auto"/>
                <w:sz w:val="24"/>
              </w:rPr>
              <w:t>住所</w:t>
            </w:r>
            <w:r>
              <w:rPr>
                <w:rFonts w:hint="eastAsia" w:ascii="仿宋" w:hAnsi="仿宋" w:eastAsia="仿宋" w:cs="仿宋"/>
                <w:color w:val="auto"/>
                <w:sz w:val="24"/>
              </w:rPr>
              <w:br w:type="textWrapping"/>
            </w:r>
            <w:r>
              <w:rPr>
                <w:rFonts w:hint="eastAsia" w:ascii="仿宋" w:hAnsi="仿宋" w:eastAsia="仿宋" w:cs="仿宋"/>
                <w:color w:val="auto"/>
                <w:sz w:val="24"/>
              </w:rPr>
              <w:t>机构编号</w:t>
            </w:r>
            <w:r>
              <w:rPr>
                <w:rFonts w:hint="eastAsia" w:ascii="仿宋" w:hAnsi="仿宋" w:eastAsia="仿宋" w:cs="仿宋"/>
                <w:color w:val="auto"/>
                <w:sz w:val="24"/>
              </w:rPr>
              <w:br w:type="textWrapping"/>
            </w:r>
            <w:r>
              <w:rPr>
                <w:rFonts w:hint="eastAsia" w:ascii="仿宋" w:hAnsi="仿宋" w:eastAsia="仿宋" w:cs="仿宋"/>
                <w:color w:val="auto"/>
                <w:sz w:val="24"/>
              </w:rPr>
              <w:t>发证机关</w:t>
            </w:r>
            <w:r>
              <w:rPr>
                <w:rFonts w:hint="eastAsia" w:ascii="仿宋" w:hAnsi="仿宋" w:eastAsia="仿宋" w:cs="仿宋"/>
                <w:color w:val="auto"/>
                <w:sz w:val="24"/>
              </w:rPr>
              <w:br w:type="textWrapping"/>
            </w:r>
            <w:r>
              <w:rPr>
                <w:rFonts w:hint="eastAsia" w:ascii="仿宋" w:hAnsi="仿宋" w:eastAsia="仿宋" w:cs="仿宋"/>
                <w:color w:val="auto"/>
                <w:sz w:val="24"/>
              </w:rPr>
              <w:t>发证日期</w:t>
            </w:r>
            <w:r>
              <w:rPr>
                <w:rFonts w:hint="eastAsia" w:ascii="仿宋" w:hAnsi="仿宋" w:eastAsia="仿宋" w:cs="仿宋"/>
                <w:color w:val="auto"/>
                <w:sz w:val="24"/>
              </w:rPr>
              <w:br w:type="textWrapping"/>
            </w:r>
            <w:r>
              <w:rPr>
                <w:rFonts w:hint="eastAsia" w:ascii="仿宋" w:hAnsi="仿宋" w:eastAsia="仿宋" w:cs="仿宋"/>
                <w:color w:val="auto"/>
                <w:sz w:val="24"/>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公证书</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存量房因继承（受遗赠）转移登记、因夫妻离婚析产的转移登记、因私有房屋赠与、抵押</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公证书编号</w:t>
            </w:r>
            <w:r>
              <w:rPr>
                <w:rFonts w:hint="eastAsia" w:ascii="仿宋" w:hAnsi="仿宋" w:eastAsia="仿宋" w:cs="仿宋"/>
                <w:color w:val="auto"/>
                <w:sz w:val="24"/>
              </w:rPr>
              <w:br w:type="textWrapping"/>
            </w:r>
            <w:r>
              <w:rPr>
                <w:rFonts w:hint="eastAsia" w:ascii="仿宋" w:hAnsi="仿宋" w:eastAsia="仿宋" w:cs="仿宋"/>
                <w:color w:val="auto"/>
                <w:sz w:val="24"/>
              </w:rPr>
              <w:t>当事人姓名</w:t>
            </w:r>
            <w:r>
              <w:rPr>
                <w:rFonts w:hint="eastAsia" w:ascii="仿宋" w:hAnsi="仿宋" w:eastAsia="仿宋" w:cs="仿宋"/>
                <w:color w:val="auto"/>
                <w:sz w:val="24"/>
              </w:rPr>
              <w:br w:type="textWrapping"/>
            </w:r>
            <w:r>
              <w:rPr>
                <w:rFonts w:hint="eastAsia" w:ascii="仿宋" w:hAnsi="仿宋" w:eastAsia="仿宋" w:cs="仿宋"/>
                <w:color w:val="auto"/>
                <w:sz w:val="24"/>
              </w:rPr>
              <w:t>当事人证件类型</w:t>
            </w:r>
            <w:r>
              <w:rPr>
                <w:rFonts w:hint="eastAsia" w:ascii="仿宋" w:hAnsi="仿宋" w:eastAsia="仿宋" w:cs="仿宋"/>
                <w:color w:val="auto"/>
                <w:sz w:val="24"/>
              </w:rPr>
              <w:br w:type="textWrapping"/>
            </w:r>
            <w:r>
              <w:rPr>
                <w:rFonts w:hint="eastAsia" w:ascii="仿宋" w:hAnsi="仿宋" w:eastAsia="仿宋" w:cs="仿宋"/>
                <w:color w:val="auto"/>
                <w:sz w:val="24"/>
              </w:rPr>
              <w:t>当事人证件号码</w:t>
            </w:r>
            <w:r>
              <w:rPr>
                <w:rFonts w:hint="eastAsia" w:ascii="仿宋" w:hAnsi="仿宋" w:eastAsia="仿宋" w:cs="仿宋"/>
                <w:color w:val="auto"/>
                <w:sz w:val="24"/>
              </w:rPr>
              <w:br w:type="textWrapping"/>
            </w:r>
            <w:r>
              <w:rPr>
                <w:rFonts w:hint="eastAsia" w:ascii="仿宋" w:hAnsi="仿宋" w:eastAsia="仿宋" w:cs="仿宋"/>
                <w:color w:val="auto"/>
                <w:sz w:val="24"/>
              </w:rPr>
              <w:t>当事人电话号码</w:t>
            </w:r>
            <w:r>
              <w:rPr>
                <w:rFonts w:hint="eastAsia" w:ascii="仿宋" w:hAnsi="仿宋" w:eastAsia="仿宋" w:cs="仿宋"/>
                <w:color w:val="auto"/>
                <w:sz w:val="24"/>
              </w:rPr>
              <w:br w:type="textWrapping"/>
            </w:r>
            <w:r>
              <w:rPr>
                <w:rFonts w:hint="eastAsia" w:ascii="仿宋" w:hAnsi="仿宋" w:eastAsia="仿宋" w:cs="仿宋"/>
                <w:color w:val="auto"/>
                <w:sz w:val="24"/>
              </w:rPr>
              <w:t>公证员姓名</w:t>
            </w:r>
            <w:r>
              <w:rPr>
                <w:rFonts w:hint="eastAsia" w:ascii="仿宋" w:hAnsi="仿宋" w:eastAsia="仿宋" w:cs="仿宋"/>
                <w:color w:val="auto"/>
                <w:sz w:val="24"/>
              </w:rPr>
              <w:br w:type="textWrapping"/>
            </w:r>
            <w:r>
              <w:rPr>
                <w:rFonts w:hint="eastAsia" w:ascii="仿宋" w:hAnsi="仿宋" w:eastAsia="仿宋" w:cs="仿宋"/>
                <w:color w:val="auto"/>
                <w:sz w:val="24"/>
              </w:rPr>
              <w:t>公证处名称</w:t>
            </w:r>
            <w:r>
              <w:rPr>
                <w:rFonts w:hint="eastAsia" w:ascii="仿宋" w:hAnsi="仿宋" w:eastAsia="仿宋" w:cs="仿宋"/>
                <w:color w:val="auto"/>
                <w:sz w:val="24"/>
              </w:rPr>
              <w:br w:type="textWrapping"/>
            </w:r>
            <w:r>
              <w:rPr>
                <w:rFonts w:hint="eastAsia" w:ascii="仿宋" w:hAnsi="仿宋" w:eastAsia="仿宋" w:cs="仿宋"/>
                <w:color w:val="auto"/>
                <w:sz w:val="24"/>
              </w:rPr>
              <w:t>出证日期</w:t>
            </w:r>
            <w:r>
              <w:rPr>
                <w:rFonts w:hint="eastAsia" w:ascii="仿宋" w:hAnsi="仿宋" w:eastAsia="仿宋" w:cs="仿宋"/>
                <w:color w:val="auto"/>
                <w:sz w:val="24"/>
              </w:rPr>
              <w:br w:type="textWrapping"/>
            </w:r>
            <w:r>
              <w:rPr>
                <w:rFonts w:hint="eastAsia" w:ascii="仿宋" w:hAnsi="仿宋" w:eastAsia="仿宋" w:cs="仿宋"/>
                <w:color w:val="auto"/>
                <w:sz w:val="24"/>
              </w:rPr>
              <w:t>公证证明对象</w:t>
            </w:r>
            <w:r>
              <w:rPr>
                <w:rFonts w:hint="eastAsia" w:ascii="仿宋" w:hAnsi="仿宋" w:eastAsia="仿宋" w:cs="仿宋"/>
                <w:color w:val="auto"/>
                <w:sz w:val="24"/>
              </w:rPr>
              <w:br w:type="textWrapping"/>
            </w:r>
            <w:r>
              <w:rPr>
                <w:rFonts w:hint="eastAsia" w:ascii="仿宋" w:hAnsi="仿宋" w:eastAsia="仿宋" w:cs="仿宋"/>
                <w:color w:val="auto"/>
                <w:sz w:val="24"/>
              </w:rPr>
              <w:t>公证证明内容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房屋买卖合同</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不动产转移登记业务</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分层分户平面图</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不动产转移登记业务贴图、变更登记贴图、更正登记贴图、补换证登记贴图</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房产坐落</w:t>
            </w:r>
            <w:r>
              <w:rPr>
                <w:rFonts w:hint="eastAsia" w:ascii="仿宋" w:hAnsi="仿宋" w:eastAsia="仿宋" w:cs="仿宋"/>
                <w:color w:val="auto"/>
                <w:sz w:val="24"/>
              </w:rPr>
              <w:br w:type="textWrapping"/>
            </w:r>
            <w:r>
              <w:rPr>
                <w:rFonts w:hint="eastAsia" w:ascii="仿宋" w:hAnsi="仿宋" w:eastAsia="仿宋" w:cs="仿宋"/>
                <w:color w:val="auto"/>
                <w:sz w:val="24"/>
              </w:rPr>
              <w:t>房屋唯一号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网签和合同备案结果信息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转移登记、预告登记</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政策性住房交易审核结果</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经适房转移、经适房变更商品房、房改房补差变更商品房</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商品房预售许可证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转移登记、预告登记</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房屋面积测绘报告</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转移（买受）、变更（面积变更）</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测绘登记编号</w:t>
            </w:r>
            <w:r>
              <w:rPr>
                <w:rFonts w:hint="eastAsia" w:ascii="仿宋" w:hAnsi="仿宋" w:eastAsia="仿宋" w:cs="仿宋"/>
                <w:color w:val="auto"/>
                <w:sz w:val="24"/>
              </w:rPr>
              <w:br w:type="textWrapping"/>
            </w:r>
            <w:r>
              <w:rPr>
                <w:rFonts w:hint="eastAsia" w:ascii="仿宋" w:hAnsi="仿宋" w:eastAsia="仿宋" w:cs="仿宋"/>
                <w:color w:val="auto"/>
                <w:sz w:val="24"/>
              </w:rPr>
              <w:t>产别</w:t>
            </w:r>
            <w:r>
              <w:rPr>
                <w:rFonts w:hint="eastAsia" w:ascii="仿宋" w:hAnsi="仿宋" w:eastAsia="仿宋" w:cs="仿宋"/>
                <w:color w:val="auto"/>
                <w:sz w:val="24"/>
              </w:rPr>
              <w:br w:type="textWrapping"/>
            </w:r>
            <w:r>
              <w:rPr>
                <w:rFonts w:hint="eastAsia" w:ascii="仿宋" w:hAnsi="仿宋" w:eastAsia="仿宋" w:cs="仿宋"/>
                <w:color w:val="auto"/>
                <w:sz w:val="24"/>
              </w:rPr>
              <w:t>房产坐落</w:t>
            </w:r>
            <w:r>
              <w:rPr>
                <w:rFonts w:hint="eastAsia" w:ascii="仿宋" w:hAnsi="仿宋" w:eastAsia="仿宋" w:cs="仿宋"/>
                <w:color w:val="auto"/>
                <w:sz w:val="24"/>
              </w:rPr>
              <w:br w:type="textWrapping"/>
            </w:r>
            <w:r>
              <w:rPr>
                <w:rFonts w:hint="eastAsia" w:ascii="仿宋" w:hAnsi="仿宋" w:eastAsia="仿宋" w:cs="仿宋"/>
                <w:color w:val="auto"/>
                <w:sz w:val="24"/>
              </w:rPr>
              <w:t>测绘幢号</w:t>
            </w:r>
            <w:r>
              <w:rPr>
                <w:rFonts w:hint="eastAsia" w:ascii="仿宋" w:hAnsi="仿宋" w:eastAsia="仿宋" w:cs="仿宋"/>
                <w:color w:val="auto"/>
                <w:sz w:val="24"/>
              </w:rPr>
              <w:br w:type="textWrapping"/>
            </w:r>
            <w:r>
              <w:rPr>
                <w:rFonts w:hint="eastAsia" w:ascii="仿宋" w:hAnsi="仿宋" w:eastAsia="仿宋" w:cs="仿宋"/>
                <w:color w:val="auto"/>
                <w:sz w:val="24"/>
              </w:rPr>
              <w:t>图幅号</w:t>
            </w:r>
            <w:r>
              <w:rPr>
                <w:rFonts w:hint="eastAsia" w:ascii="仿宋" w:hAnsi="仿宋" w:eastAsia="仿宋" w:cs="仿宋"/>
                <w:color w:val="auto"/>
                <w:sz w:val="24"/>
              </w:rPr>
              <w:br w:type="textWrapping"/>
            </w:r>
            <w:r>
              <w:rPr>
                <w:rFonts w:hint="eastAsia" w:ascii="仿宋" w:hAnsi="仿宋" w:eastAsia="仿宋" w:cs="仿宋"/>
                <w:color w:val="auto"/>
                <w:sz w:val="24"/>
              </w:rPr>
              <w:t>街坊号</w:t>
            </w:r>
            <w:r>
              <w:rPr>
                <w:rFonts w:hint="eastAsia" w:ascii="仿宋" w:hAnsi="仿宋" w:eastAsia="仿宋" w:cs="仿宋"/>
                <w:color w:val="auto"/>
                <w:sz w:val="24"/>
              </w:rPr>
              <w:br w:type="textWrapping"/>
            </w:r>
            <w:r>
              <w:rPr>
                <w:rFonts w:hint="eastAsia" w:ascii="仿宋" w:hAnsi="仿宋" w:eastAsia="仿宋" w:cs="仿宋"/>
                <w:color w:val="auto"/>
                <w:sz w:val="24"/>
              </w:rPr>
              <w:t>房屋唯一号</w:t>
            </w:r>
            <w:r>
              <w:rPr>
                <w:rFonts w:hint="eastAsia" w:ascii="仿宋" w:hAnsi="仿宋" w:eastAsia="仿宋" w:cs="仿宋"/>
                <w:color w:val="auto"/>
                <w:sz w:val="24"/>
              </w:rPr>
              <w:br w:type="textWrapping"/>
            </w:r>
            <w:r>
              <w:rPr>
                <w:rFonts w:hint="eastAsia" w:ascii="仿宋" w:hAnsi="仿宋" w:eastAsia="仿宋" w:cs="仿宋"/>
                <w:color w:val="auto"/>
                <w:sz w:val="24"/>
              </w:rPr>
              <w:t>申请人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契税完税凭证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转移（买受）、首登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纳税人识别号</w:t>
            </w:r>
            <w:r>
              <w:rPr>
                <w:rFonts w:hint="eastAsia" w:ascii="仿宋" w:hAnsi="仿宋" w:eastAsia="仿宋" w:cs="仿宋"/>
                <w:color w:val="auto"/>
                <w:sz w:val="24"/>
              </w:rPr>
              <w:br w:type="textWrapping"/>
            </w:r>
            <w:r>
              <w:rPr>
                <w:rFonts w:hint="eastAsia" w:ascii="仿宋" w:hAnsi="仿宋" w:eastAsia="仿宋" w:cs="仿宋"/>
                <w:color w:val="auto"/>
                <w:sz w:val="24"/>
              </w:rPr>
              <w:t>纳税人名称</w:t>
            </w:r>
            <w:r>
              <w:rPr>
                <w:rFonts w:hint="eastAsia" w:ascii="仿宋" w:hAnsi="仿宋" w:eastAsia="仿宋" w:cs="仿宋"/>
                <w:color w:val="auto"/>
                <w:sz w:val="24"/>
              </w:rPr>
              <w:br w:type="textWrapping"/>
            </w:r>
            <w:r>
              <w:rPr>
                <w:rFonts w:hint="eastAsia" w:ascii="仿宋" w:hAnsi="仿宋" w:eastAsia="仿宋" w:cs="仿宋"/>
                <w:color w:val="auto"/>
                <w:sz w:val="24"/>
              </w:rPr>
              <w:t>房屋（土地）地址</w:t>
            </w:r>
            <w:r>
              <w:rPr>
                <w:rFonts w:hint="eastAsia" w:ascii="仿宋" w:hAnsi="仿宋" w:eastAsia="仿宋" w:cs="仿宋"/>
                <w:color w:val="auto"/>
                <w:sz w:val="24"/>
              </w:rPr>
              <w:br w:type="textWrapping"/>
            </w:r>
            <w:r>
              <w:rPr>
                <w:rFonts w:hint="eastAsia" w:ascii="仿宋" w:hAnsi="仿宋" w:eastAsia="仿宋" w:cs="仿宋"/>
                <w:color w:val="auto"/>
                <w:sz w:val="24"/>
              </w:rPr>
              <w:t>面积</w:t>
            </w:r>
            <w:r>
              <w:rPr>
                <w:rFonts w:hint="eastAsia" w:ascii="仿宋" w:hAnsi="仿宋" w:eastAsia="仿宋" w:cs="仿宋"/>
                <w:color w:val="auto"/>
                <w:sz w:val="24"/>
              </w:rPr>
              <w:br w:type="textWrapping"/>
            </w:r>
            <w:r>
              <w:rPr>
                <w:rFonts w:hint="eastAsia" w:ascii="仿宋" w:hAnsi="仿宋" w:eastAsia="仿宋" w:cs="仿宋"/>
                <w:color w:val="auto"/>
                <w:sz w:val="24"/>
              </w:rPr>
              <w:t>房屋（土地）交易总额</w:t>
            </w:r>
            <w:r>
              <w:rPr>
                <w:rFonts w:hint="eastAsia" w:ascii="仿宋" w:hAnsi="仿宋" w:eastAsia="仿宋" w:cs="仿宋"/>
                <w:color w:val="auto"/>
                <w:sz w:val="24"/>
              </w:rPr>
              <w:br w:type="textWrapping"/>
            </w:r>
            <w:r>
              <w:rPr>
                <w:rFonts w:hint="eastAsia" w:ascii="仿宋" w:hAnsi="仿宋" w:eastAsia="仿宋" w:cs="仿宋"/>
                <w:color w:val="auto"/>
                <w:sz w:val="24"/>
              </w:rPr>
              <w:t>应纳契税金额</w:t>
            </w:r>
            <w:r>
              <w:rPr>
                <w:rFonts w:hint="eastAsia" w:ascii="仿宋" w:hAnsi="仿宋" w:eastAsia="仿宋" w:cs="仿宋"/>
                <w:color w:val="auto"/>
                <w:sz w:val="24"/>
              </w:rPr>
              <w:br w:type="textWrapping"/>
            </w:r>
            <w:r>
              <w:rPr>
                <w:rFonts w:hint="eastAsia" w:ascii="仿宋" w:hAnsi="仿宋" w:eastAsia="仿宋" w:cs="仿宋"/>
                <w:color w:val="auto"/>
                <w:sz w:val="24"/>
              </w:rPr>
              <w:t>合同号</w:t>
            </w:r>
            <w:r>
              <w:rPr>
                <w:rFonts w:hint="eastAsia" w:ascii="仿宋" w:hAnsi="仿宋" w:eastAsia="仿宋" w:cs="仿宋"/>
                <w:color w:val="auto"/>
                <w:sz w:val="24"/>
              </w:rPr>
              <w:br w:type="textWrapping"/>
            </w:r>
            <w:r>
              <w:rPr>
                <w:rFonts w:hint="eastAsia" w:ascii="仿宋" w:hAnsi="仿宋" w:eastAsia="仿宋" w:cs="仿宋"/>
                <w:color w:val="auto"/>
                <w:sz w:val="24"/>
              </w:rPr>
              <w:t>纳税时间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耕地占用税完税凭证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土地转移、土地首登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免税证明</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编号</w:t>
            </w:r>
            <w:r>
              <w:rPr>
                <w:rFonts w:hint="eastAsia" w:ascii="仿宋" w:hAnsi="仿宋" w:eastAsia="仿宋" w:cs="仿宋"/>
                <w:color w:val="auto"/>
                <w:sz w:val="24"/>
              </w:rPr>
              <w:br w:type="textWrapping"/>
            </w:r>
            <w:r>
              <w:rPr>
                <w:rFonts w:hint="eastAsia" w:ascii="仿宋" w:hAnsi="仿宋" w:eastAsia="仿宋" w:cs="仿宋"/>
                <w:color w:val="auto"/>
                <w:sz w:val="24"/>
              </w:rPr>
              <w:t>事由</w:t>
            </w:r>
            <w:r>
              <w:rPr>
                <w:rFonts w:hint="eastAsia" w:ascii="仿宋" w:hAnsi="仿宋" w:eastAsia="仿宋" w:cs="仿宋"/>
                <w:color w:val="auto"/>
                <w:sz w:val="24"/>
              </w:rPr>
              <w:br w:type="textWrapping"/>
            </w:r>
            <w:r>
              <w:rPr>
                <w:rFonts w:hint="eastAsia" w:ascii="仿宋" w:hAnsi="仿宋" w:eastAsia="仿宋" w:cs="仿宋"/>
                <w:color w:val="auto"/>
                <w:sz w:val="24"/>
              </w:rPr>
              <w:t>申请人</w:t>
            </w:r>
            <w:r>
              <w:rPr>
                <w:rFonts w:hint="eastAsia" w:ascii="仿宋" w:hAnsi="仿宋" w:eastAsia="仿宋" w:cs="仿宋"/>
                <w:color w:val="auto"/>
                <w:sz w:val="24"/>
              </w:rPr>
              <w:br w:type="textWrapping"/>
            </w:r>
            <w:r>
              <w:rPr>
                <w:rFonts w:hint="eastAsia" w:ascii="仿宋" w:hAnsi="仿宋" w:eastAsia="仿宋" w:cs="仿宋"/>
                <w:color w:val="auto"/>
                <w:sz w:val="24"/>
              </w:rPr>
              <w:t>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合同号</w:t>
            </w:r>
            <w:r>
              <w:rPr>
                <w:rFonts w:hint="eastAsia" w:ascii="仿宋" w:hAnsi="仿宋" w:eastAsia="仿宋" w:cs="仿宋"/>
                <w:color w:val="auto"/>
                <w:sz w:val="24"/>
              </w:rPr>
              <w:br w:type="textWrapping"/>
            </w:r>
            <w:r>
              <w:rPr>
                <w:rFonts w:hint="eastAsia" w:ascii="仿宋" w:hAnsi="仿宋" w:eastAsia="仿宋" w:cs="仿宋"/>
                <w:color w:val="auto"/>
                <w:sz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土地增值税完税凭证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土地转移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营业执照</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首次转移登记、企业信息变更、抵押、企业信息更正、预告、在建、首登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企业（机构）名称</w:t>
            </w:r>
            <w:r>
              <w:rPr>
                <w:rFonts w:hint="eastAsia" w:ascii="仿宋" w:hAnsi="仿宋" w:eastAsia="仿宋" w:cs="仿宋"/>
                <w:color w:val="auto"/>
                <w:sz w:val="24"/>
              </w:rPr>
              <w:br w:type="textWrapping"/>
            </w:r>
            <w:r>
              <w:rPr>
                <w:rFonts w:hint="eastAsia" w:ascii="仿宋" w:hAnsi="仿宋" w:eastAsia="仿宋" w:cs="仿宋"/>
                <w:color w:val="auto"/>
                <w:sz w:val="24"/>
              </w:rPr>
              <w:t>住所所在行政区划</w:t>
            </w:r>
            <w:r>
              <w:rPr>
                <w:rFonts w:hint="eastAsia" w:ascii="仿宋" w:hAnsi="仿宋" w:eastAsia="仿宋" w:cs="仿宋"/>
                <w:color w:val="auto"/>
                <w:sz w:val="24"/>
              </w:rPr>
              <w:br w:type="textWrapping"/>
            </w:r>
            <w:r>
              <w:rPr>
                <w:rFonts w:hint="eastAsia" w:ascii="仿宋" w:hAnsi="仿宋" w:eastAsia="仿宋" w:cs="仿宋"/>
                <w:color w:val="auto"/>
                <w:sz w:val="24"/>
              </w:rPr>
              <w:t>行业代码</w:t>
            </w:r>
            <w:r>
              <w:rPr>
                <w:rFonts w:hint="eastAsia" w:ascii="仿宋" w:hAnsi="仿宋" w:eastAsia="仿宋" w:cs="仿宋"/>
                <w:color w:val="auto"/>
                <w:sz w:val="24"/>
              </w:rPr>
              <w:br w:type="textWrapping"/>
            </w:r>
            <w:r>
              <w:rPr>
                <w:rFonts w:hint="eastAsia" w:ascii="仿宋" w:hAnsi="仿宋" w:eastAsia="仿宋" w:cs="仿宋"/>
                <w:color w:val="auto"/>
                <w:sz w:val="24"/>
              </w:rPr>
              <w:t>行业门类</w:t>
            </w:r>
            <w:r>
              <w:rPr>
                <w:rFonts w:hint="eastAsia" w:ascii="仿宋" w:hAnsi="仿宋" w:eastAsia="仿宋" w:cs="仿宋"/>
                <w:color w:val="auto"/>
                <w:sz w:val="24"/>
              </w:rPr>
              <w:br w:type="textWrapping"/>
            </w:r>
            <w:r>
              <w:rPr>
                <w:rFonts w:hint="eastAsia" w:ascii="仿宋" w:hAnsi="仿宋" w:eastAsia="仿宋" w:cs="仿宋"/>
                <w:color w:val="auto"/>
                <w:sz w:val="24"/>
              </w:rPr>
              <w:t>经营范围</w:t>
            </w:r>
            <w:r>
              <w:rPr>
                <w:rFonts w:hint="eastAsia" w:ascii="仿宋" w:hAnsi="仿宋" w:eastAsia="仿宋" w:cs="仿宋"/>
                <w:color w:val="auto"/>
                <w:sz w:val="24"/>
              </w:rPr>
              <w:br w:type="textWrapping"/>
            </w:r>
            <w:r>
              <w:rPr>
                <w:rFonts w:hint="eastAsia" w:ascii="仿宋" w:hAnsi="仿宋" w:eastAsia="仿宋" w:cs="仿宋"/>
                <w:color w:val="auto"/>
                <w:sz w:val="24"/>
              </w:rPr>
              <w:t>成立日期</w:t>
            </w:r>
            <w:r>
              <w:rPr>
                <w:rFonts w:hint="eastAsia" w:ascii="仿宋" w:hAnsi="仿宋" w:eastAsia="仿宋" w:cs="仿宋"/>
                <w:color w:val="auto"/>
                <w:sz w:val="24"/>
              </w:rPr>
              <w:br w:type="textWrapping"/>
            </w:r>
            <w:r>
              <w:rPr>
                <w:rFonts w:hint="eastAsia" w:ascii="仿宋" w:hAnsi="仿宋" w:eastAsia="仿宋" w:cs="仿宋"/>
                <w:color w:val="auto"/>
                <w:sz w:val="24"/>
              </w:rPr>
              <w:t>法定代表人</w:t>
            </w:r>
            <w:r>
              <w:rPr>
                <w:rFonts w:hint="eastAsia" w:ascii="仿宋" w:hAnsi="仿宋" w:eastAsia="仿宋" w:cs="仿宋"/>
                <w:color w:val="auto"/>
                <w:sz w:val="24"/>
              </w:rPr>
              <w:br w:type="textWrapping"/>
            </w:r>
            <w:r>
              <w:rPr>
                <w:rFonts w:hint="eastAsia" w:ascii="仿宋" w:hAnsi="仿宋" w:eastAsia="仿宋" w:cs="仿宋"/>
                <w:color w:val="auto"/>
                <w:sz w:val="24"/>
              </w:rPr>
              <w:t>经营状态</w:t>
            </w:r>
            <w:r>
              <w:rPr>
                <w:rFonts w:hint="eastAsia" w:ascii="仿宋" w:hAnsi="仿宋" w:eastAsia="仿宋" w:cs="仿宋"/>
                <w:color w:val="auto"/>
                <w:sz w:val="24"/>
              </w:rPr>
              <w:br w:type="textWrapping"/>
            </w:r>
            <w:r>
              <w:rPr>
                <w:rFonts w:hint="eastAsia" w:ascii="仿宋" w:hAnsi="仿宋" w:eastAsia="仿宋" w:cs="仿宋"/>
                <w:color w:val="auto"/>
                <w:sz w:val="24"/>
              </w:rPr>
              <w:t>登记状态</w:t>
            </w:r>
            <w:r>
              <w:rPr>
                <w:rFonts w:hint="eastAsia" w:ascii="仿宋" w:hAnsi="仿宋" w:eastAsia="仿宋" w:cs="仿宋"/>
                <w:color w:val="auto"/>
                <w:sz w:val="24"/>
              </w:rPr>
              <w:br w:type="textWrapping"/>
            </w:r>
            <w:r>
              <w:rPr>
                <w:rFonts w:hint="eastAsia" w:ascii="仿宋" w:hAnsi="仿宋" w:eastAsia="仿宋" w:cs="仿宋"/>
                <w:color w:val="auto"/>
                <w:sz w:val="24"/>
              </w:rPr>
              <w:t>经营(驻在)期限自</w:t>
            </w:r>
            <w:r>
              <w:rPr>
                <w:rFonts w:hint="eastAsia" w:ascii="仿宋" w:hAnsi="仿宋" w:eastAsia="仿宋" w:cs="仿宋"/>
                <w:color w:val="auto"/>
                <w:sz w:val="24"/>
              </w:rPr>
              <w:br w:type="textWrapping"/>
            </w:r>
            <w:r>
              <w:rPr>
                <w:rFonts w:hint="eastAsia" w:ascii="仿宋" w:hAnsi="仿宋" w:eastAsia="仿宋" w:cs="仿宋"/>
                <w:color w:val="auto"/>
                <w:sz w:val="24"/>
              </w:rPr>
              <w:t>经营(驻在)期限至</w:t>
            </w:r>
            <w:r>
              <w:rPr>
                <w:rFonts w:hint="eastAsia" w:ascii="仿宋" w:hAnsi="仿宋" w:eastAsia="仿宋" w:cs="仿宋"/>
                <w:color w:val="auto"/>
                <w:sz w:val="24"/>
              </w:rPr>
              <w:br w:type="textWrapping"/>
            </w:r>
            <w:r>
              <w:rPr>
                <w:rFonts w:hint="eastAsia" w:ascii="仿宋" w:hAnsi="仿宋" w:eastAsia="仿宋" w:cs="仿宋"/>
                <w:color w:val="auto"/>
                <w:sz w:val="24"/>
              </w:rPr>
              <w:t>登记机关</w:t>
            </w:r>
            <w:r>
              <w:rPr>
                <w:rFonts w:hint="eastAsia" w:ascii="仿宋" w:hAnsi="仿宋" w:eastAsia="仿宋" w:cs="仿宋"/>
                <w:color w:val="auto"/>
                <w:sz w:val="24"/>
              </w:rPr>
              <w:br w:type="textWrapping"/>
            </w:r>
            <w:r>
              <w:rPr>
                <w:rFonts w:hint="eastAsia" w:ascii="仿宋" w:hAnsi="仿宋" w:eastAsia="仿宋" w:cs="仿宋"/>
                <w:color w:val="auto"/>
                <w:sz w:val="24"/>
              </w:rPr>
              <w:t>注册资本(金)</w:t>
            </w:r>
            <w:r>
              <w:rPr>
                <w:rFonts w:hint="eastAsia" w:ascii="仿宋" w:hAnsi="仿宋" w:eastAsia="仿宋" w:cs="仿宋"/>
                <w:color w:val="auto"/>
                <w:sz w:val="24"/>
              </w:rPr>
              <w:br w:type="textWrapping"/>
            </w:r>
            <w:r>
              <w:rPr>
                <w:rFonts w:hint="eastAsia" w:ascii="仿宋" w:hAnsi="仿宋" w:eastAsia="仿宋" w:cs="仿宋"/>
                <w:color w:val="auto"/>
                <w:sz w:val="24"/>
              </w:rPr>
              <w:t>注册资本币种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bCs/>
                <w:color w:val="auto"/>
                <w:sz w:val="24"/>
              </w:rPr>
            </w:pPr>
            <w:r>
              <w:rPr>
                <w:rFonts w:hint="eastAsia" w:ascii="仿宋" w:hAnsi="仿宋" w:eastAsia="仿宋" w:cs="仿宋"/>
                <w:bCs/>
                <w:color w:val="auto"/>
                <w:sz w:val="24"/>
              </w:rPr>
              <w:t>个人身份证明</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转移、变更、抵押、更正、预告</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姓名</w:t>
            </w:r>
            <w:r>
              <w:rPr>
                <w:rFonts w:hint="eastAsia" w:ascii="仿宋" w:hAnsi="仿宋" w:eastAsia="仿宋" w:cs="仿宋"/>
                <w:color w:val="auto"/>
                <w:sz w:val="24"/>
              </w:rPr>
              <w:br w:type="textWrapping"/>
            </w:r>
            <w:r>
              <w:rPr>
                <w:rFonts w:hint="eastAsia" w:ascii="仿宋" w:hAnsi="仿宋" w:eastAsia="仿宋" w:cs="仿宋"/>
                <w:color w:val="auto"/>
                <w:sz w:val="24"/>
              </w:rPr>
              <w:t>性别</w:t>
            </w:r>
            <w:r>
              <w:rPr>
                <w:rFonts w:hint="eastAsia" w:ascii="仿宋" w:hAnsi="仿宋" w:eastAsia="仿宋" w:cs="仿宋"/>
                <w:color w:val="auto"/>
                <w:sz w:val="24"/>
              </w:rPr>
              <w:br w:type="textWrapping"/>
            </w:r>
            <w:r>
              <w:rPr>
                <w:rFonts w:hint="eastAsia" w:ascii="仿宋" w:hAnsi="仿宋" w:eastAsia="仿宋" w:cs="仿宋"/>
                <w:color w:val="auto"/>
                <w:sz w:val="24"/>
              </w:rPr>
              <w:t>曾用名</w:t>
            </w:r>
            <w:r>
              <w:rPr>
                <w:rFonts w:hint="eastAsia" w:ascii="仿宋" w:hAnsi="仿宋" w:eastAsia="仿宋" w:cs="仿宋"/>
                <w:color w:val="auto"/>
                <w:sz w:val="24"/>
              </w:rPr>
              <w:br w:type="textWrapping"/>
            </w:r>
            <w:r>
              <w:rPr>
                <w:rFonts w:hint="eastAsia" w:ascii="仿宋" w:hAnsi="仿宋" w:eastAsia="仿宋" w:cs="仿宋"/>
                <w:color w:val="auto"/>
                <w:sz w:val="24"/>
              </w:rPr>
              <w:t>身份证号码</w:t>
            </w:r>
            <w:r>
              <w:rPr>
                <w:rFonts w:hint="eastAsia" w:ascii="仿宋" w:hAnsi="仿宋" w:eastAsia="仿宋" w:cs="仿宋"/>
                <w:color w:val="auto"/>
                <w:sz w:val="24"/>
              </w:rPr>
              <w:br w:type="textWrapping"/>
            </w:r>
            <w:r>
              <w:rPr>
                <w:rFonts w:hint="eastAsia" w:ascii="仿宋" w:hAnsi="仿宋" w:eastAsia="仿宋" w:cs="仿宋"/>
                <w:color w:val="auto"/>
                <w:sz w:val="24"/>
              </w:rPr>
              <w:t>所属省市县区</w:t>
            </w:r>
            <w:r>
              <w:rPr>
                <w:rFonts w:hint="eastAsia" w:ascii="仿宋" w:hAnsi="仿宋" w:eastAsia="仿宋" w:cs="仿宋"/>
                <w:color w:val="auto"/>
                <w:sz w:val="24"/>
              </w:rPr>
              <w:br w:type="textWrapping"/>
            </w:r>
            <w:r>
              <w:rPr>
                <w:rFonts w:hint="eastAsia" w:ascii="仿宋" w:hAnsi="仿宋" w:eastAsia="仿宋" w:cs="仿宋"/>
                <w:color w:val="auto"/>
                <w:sz w:val="24"/>
              </w:rPr>
              <w:t>户号</w:t>
            </w:r>
            <w:r>
              <w:rPr>
                <w:rFonts w:hint="eastAsia" w:ascii="仿宋" w:hAnsi="仿宋" w:eastAsia="仿宋" w:cs="仿宋"/>
                <w:color w:val="auto"/>
                <w:sz w:val="24"/>
              </w:rPr>
              <w:br w:type="textWrapping"/>
            </w:r>
            <w:r>
              <w:rPr>
                <w:rFonts w:hint="eastAsia" w:ascii="仿宋" w:hAnsi="仿宋" w:eastAsia="仿宋" w:cs="仿宋"/>
                <w:color w:val="auto"/>
                <w:sz w:val="24"/>
              </w:rPr>
              <w:t>门牌号</w:t>
            </w:r>
            <w:r>
              <w:rPr>
                <w:rFonts w:hint="eastAsia" w:ascii="仿宋" w:hAnsi="仿宋" w:eastAsia="仿宋" w:cs="仿宋"/>
                <w:color w:val="auto"/>
                <w:sz w:val="24"/>
              </w:rPr>
              <w:br w:type="textWrapping"/>
            </w:r>
            <w:r>
              <w:rPr>
                <w:rFonts w:hint="eastAsia" w:ascii="仿宋" w:hAnsi="仿宋" w:eastAsia="仿宋" w:cs="仿宋"/>
                <w:color w:val="auto"/>
                <w:sz w:val="24"/>
              </w:rPr>
              <w:t>住址详细地址</w:t>
            </w:r>
            <w:r>
              <w:rPr>
                <w:rFonts w:hint="eastAsia" w:ascii="仿宋" w:hAnsi="仿宋" w:eastAsia="仿宋" w:cs="仿宋"/>
                <w:color w:val="auto"/>
                <w:sz w:val="24"/>
              </w:rPr>
              <w:br w:type="textWrapping"/>
            </w:r>
            <w:r>
              <w:rPr>
                <w:rFonts w:hint="eastAsia" w:ascii="仿宋" w:hAnsi="仿宋" w:eastAsia="仿宋" w:cs="仿宋"/>
                <w:color w:val="auto"/>
                <w:sz w:val="24"/>
              </w:rPr>
              <w:t>籍贯户籍</w:t>
            </w:r>
            <w:r>
              <w:rPr>
                <w:rFonts w:hint="eastAsia" w:ascii="仿宋" w:hAnsi="仿宋" w:eastAsia="仿宋" w:cs="仿宋"/>
                <w:color w:val="auto"/>
                <w:sz w:val="24"/>
              </w:rPr>
              <w:br w:type="textWrapping"/>
            </w:r>
            <w:r>
              <w:rPr>
                <w:rFonts w:hint="eastAsia" w:ascii="仿宋" w:hAnsi="仿宋" w:eastAsia="仿宋" w:cs="仿宋"/>
                <w:color w:val="auto"/>
                <w:sz w:val="24"/>
              </w:rPr>
              <w:t>身份证有效期起</w:t>
            </w:r>
            <w:r>
              <w:rPr>
                <w:rFonts w:hint="eastAsia" w:ascii="仿宋" w:hAnsi="仿宋" w:eastAsia="仿宋" w:cs="仿宋"/>
                <w:color w:val="auto"/>
                <w:sz w:val="24"/>
              </w:rPr>
              <w:br w:type="textWrapping"/>
            </w:r>
            <w:r>
              <w:rPr>
                <w:rFonts w:hint="eastAsia" w:ascii="仿宋" w:hAnsi="仿宋" w:eastAsia="仿宋" w:cs="仿宋"/>
                <w:color w:val="auto"/>
                <w:sz w:val="24"/>
              </w:rPr>
              <w:t>身份证有效期止</w:t>
            </w:r>
            <w:r>
              <w:rPr>
                <w:rFonts w:hint="eastAsia" w:ascii="仿宋" w:hAnsi="仿宋" w:eastAsia="仿宋" w:cs="仿宋"/>
                <w:color w:val="auto"/>
                <w:sz w:val="24"/>
              </w:rPr>
              <w:br w:type="textWrapping"/>
            </w:r>
            <w:r>
              <w:rPr>
                <w:rFonts w:hint="eastAsia" w:ascii="仿宋" w:hAnsi="仿宋" w:eastAsia="仿宋" w:cs="仿宋"/>
                <w:color w:val="auto"/>
                <w:sz w:val="24"/>
              </w:rPr>
              <w:t>身份证签发机关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门牌号编制对照表</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原地址</w:t>
            </w:r>
            <w:r>
              <w:rPr>
                <w:rFonts w:hint="eastAsia" w:ascii="仿宋" w:hAnsi="仿宋" w:eastAsia="仿宋" w:cs="仿宋"/>
                <w:color w:val="auto"/>
                <w:sz w:val="24"/>
              </w:rPr>
              <w:br w:type="textWrapping"/>
            </w:r>
            <w:r>
              <w:rPr>
                <w:rFonts w:hint="eastAsia" w:ascii="仿宋" w:hAnsi="仿宋" w:eastAsia="仿宋" w:cs="仿宋"/>
                <w:color w:val="auto"/>
                <w:sz w:val="24"/>
              </w:rPr>
              <w:t>现地址</w:t>
            </w:r>
            <w:r>
              <w:rPr>
                <w:rFonts w:hint="eastAsia" w:ascii="仿宋" w:hAnsi="仿宋" w:eastAsia="仿宋" w:cs="仿宋"/>
                <w:color w:val="auto"/>
                <w:sz w:val="24"/>
              </w:rPr>
              <w:br w:type="textWrapping"/>
            </w:r>
            <w:r>
              <w:rPr>
                <w:rFonts w:hint="eastAsia" w:ascii="仿宋" w:hAnsi="仿宋" w:eastAsia="仿宋" w:cs="仿宋"/>
                <w:color w:val="auto"/>
                <w:sz w:val="24"/>
              </w:rPr>
              <w:t>户型</w:t>
            </w:r>
            <w:r>
              <w:rPr>
                <w:rFonts w:hint="eastAsia" w:ascii="仿宋" w:hAnsi="仿宋" w:eastAsia="仿宋" w:cs="仿宋"/>
                <w:color w:val="auto"/>
                <w:sz w:val="24"/>
              </w:rPr>
              <w:br w:type="textWrapping"/>
            </w:r>
            <w:r>
              <w:rPr>
                <w:rFonts w:hint="eastAsia" w:ascii="仿宋" w:hAnsi="仿宋" w:eastAsia="仿宋" w:cs="仿宋"/>
                <w:color w:val="auto"/>
                <w:sz w:val="24"/>
              </w:rPr>
              <w:t>项目名称</w:t>
            </w:r>
            <w:r>
              <w:rPr>
                <w:rFonts w:hint="eastAsia" w:ascii="仿宋" w:hAnsi="仿宋" w:eastAsia="仿宋" w:cs="仿宋"/>
                <w:color w:val="auto"/>
                <w:sz w:val="24"/>
              </w:rPr>
              <w:br w:type="textWrapping"/>
            </w:r>
            <w:r>
              <w:rPr>
                <w:rFonts w:hint="eastAsia" w:ascii="仿宋" w:hAnsi="仿宋" w:eastAsia="仿宋" w:cs="仿宋"/>
                <w:color w:val="auto"/>
                <w:sz w:val="24"/>
              </w:rPr>
              <w:t>房屋坐落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出入境管理机构发放的有效证件信息及证照版式文件、签章印模</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转移（买受）、权利人名称变更、更正、预告</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出入境证编号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强制转移民事调解书或民事判决书、执行裁定书、协助执行通知书</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法院强制转移、法院强制预告转移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裁定案号</w:t>
            </w:r>
            <w:r>
              <w:rPr>
                <w:rFonts w:hint="eastAsia" w:ascii="仿宋" w:hAnsi="仿宋" w:eastAsia="仿宋" w:cs="仿宋"/>
                <w:color w:val="auto"/>
                <w:sz w:val="24"/>
              </w:rPr>
              <w:br w:type="textWrapping"/>
            </w:r>
            <w:r>
              <w:rPr>
                <w:rFonts w:hint="eastAsia" w:ascii="仿宋" w:hAnsi="仿宋" w:eastAsia="仿宋" w:cs="仿宋"/>
                <w:color w:val="auto"/>
                <w:sz w:val="24"/>
              </w:rPr>
              <w:t>执行文号</w:t>
            </w:r>
            <w:r>
              <w:rPr>
                <w:rFonts w:hint="eastAsia" w:ascii="仿宋" w:hAnsi="仿宋" w:eastAsia="仿宋" w:cs="仿宋"/>
                <w:color w:val="auto"/>
                <w:sz w:val="24"/>
              </w:rPr>
              <w:br w:type="textWrapping"/>
            </w:r>
            <w:r>
              <w:rPr>
                <w:rFonts w:hint="eastAsia" w:ascii="仿宋" w:hAnsi="仿宋" w:eastAsia="仿宋" w:cs="仿宋"/>
                <w:color w:val="auto"/>
                <w:sz w:val="24"/>
              </w:rPr>
              <w:t>裁定文号</w:t>
            </w:r>
            <w:r>
              <w:rPr>
                <w:rFonts w:hint="eastAsia" w:ascii="仿宋" w:hAnsi="仿宋" w:eastAsia="仿宋" w:cs="仿宋"/>
                <w:color w:val="auto"/>
                <w:sz w:val="24"/>
              </w:rPr>
              <w:br w:type="textWrapping"/>
            </w:r>
            <w:r>
              <w:rPr>
                <w:rFonts w:hint="eastAsia" w:ascii="仿宋" w:hAnsi="仿宋" w:eastAsia="仿宋" w:cs="仿宋"/>
                <w:color w:val="auto"/>
                <w:sz w:val="24"/>
              </w:rPr>
              <w:t>裁定内容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继承权归属判决书、调解书</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法院强制转移、法院强制预告转移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裁定案号</w:t>
            </w:r>
            <w:r>
              <w:rPr>
                <w:rFonts w:hint="eastAsia" w:ascii="仿宋" w:hAnsi="仿宋" w:eastAsia="仿宋" w:cs="仿宋"/>
                <w:color w:val="auto"/>
                <w:sz w:val="24"/>
              </w:rPr>
              <w:br w:type="textWrapping"/>
            </w:r>
            <w:r>
              <w:rPr>
                <w:rFonts w:hint="eastAsia" w:ascii="仿宋" w:hAnsi="仿宋" w:eastAsia="仿宋" w:cs="仿宋"/>
                <w:color w:val="auto"/>
                <w:sz w:val="24"/>
              </w:rPr>
              <w:t>执行文号</w:t>
            </w:r>
            <w:r>
              <w:rPr>
                <w:rFonts w:hint="eastAsia" w:ascii="仿宋" w:hAnsi="仿宋" w:eastAsia="仿宋" w:cs="仿宋"/>
                <w:color w:val="auto"/>
                <w:sz w:val="24"/>
              </w:rPr>
              <w:br w:type="textWrapping"/>
            </w:r>
            <w:r>
              <w:rPr>
                <w:rFonts w:hint="eastAsia" w:ascii="仿宋" w:hAnsi="仿宋" w:eastAsia="仿宋" w:cs="仿宋"/>
                <w:color w:val="auto"/>
                <w:sz w:val="24"/>
              </w:rPr>
              <w:t>裁定文号</w:t>
            </w:r>
            <w:r>
              <w:rPr>
                <w:rFonts w:hint="eastAsia" w:ascii="仿宋" w:hAnsi="仿宋" w:eastAsia="仿宋" w:cs="仿宋"/>
                <w:color w:val="auto"/>
                <w:sz w:val="24"/>
              </w:rPr>
              <w:br w:type="textWrapping"/>
            </w:r>
            <w:r>
              <w:rPr>
                <w:rFonts w:hint="eastAsia" w:ascii="仿宋" w:hAnsi="仿宋" w:eastAsia="仿宋" w:cs="仿宋"/>
                <w:color w:val="auto"/>
                <w:sz w:val="24"/>
              </w:rPr>
              <w:t>裁定内容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继承权认定文书</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转移（继承）、法院强制预告转移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公证文号</w:t>
            </w:r>
            <w:r>
              <w:rPr>
                <w:rFonts w:hint="eastAsia" w:ascii="仿宋" w:hAnsi="仿宋" w:eastAsia="仿宋" w:cs="仿宋"/>
                <w:color w:val="auto"/>
                <w:sz w:val="24"/>
              </w:rPr>
              <w:br w:type="textWrapping"/>
            </w:r>
            <w:r>
              <w:rPr>
                <w:rFonts w:hint="eastAsia" w:ascii="仿宋" w:hAnsi="仿宋" w:eastAsia="仿宋" w:cs="仿宋"/>
                <w:color w:val="auto"/>
                <w:sz w:val="24"/>
              </w:rPr>
              <w:t>公证人名称</w:t>
            </w:r>
            <w:r>
              <w:rPr>
                <w:rFonts w:hint="eastAsia" w:ascii="仿宋" w:hAnsi="仿宋" w:eastAsia="仿宋" w:cs="仿宋"/>
                <w:color w:val="auto"/>
                <w:sz w:val="24"/>
              </w:rPr>
              <w:br w:type="textWrapping"/>
            </w:r>
            <w:r>
              <w:rPr>
                <w:rFonts w:hint="eastAsia" w:ascii="仿宋" w:hAnsi="仿宋" w:eastAsia="仿宋" w:cs="仿宋"/>
                <w:color w:val="auto"/>
                <w:sz w:val="24"/>
              </w:rPr>
              <w:t>继承人姓名</w:t>
            </w:r>
            <w:r>
              <w:rPr>
                <w:rFonts w:hint="eastAsia" w:ascii="仿宋" w:hAnsi="仿宋" w:eastAsia="仿宋" w:cs="仿宋"/>
                <w:color w:val="auto"/>
                <w:sz w:val="24"/>
              </w:rPr>
              <w:br w:type="textWrapping"/>
            </w:r>
            <w:r>
              <w:rPr>
                <w:rFonts w:hint="eastAsia" w:ascii="仿宋" w:hAnsi="仿宋" w:eastAsia="仿宋" w:cs="仿宋"/>
                <w:color w:val="auto"/>
                <w:sz w:val="24"/>
              </w:rPr>
              <w:t>继承人身份号</w:t>
            </w:r>
            <w:r>
              <w:rPr>
                <w:rFonts w:hint="eastAsia" w:ascii="仿宋" w:hAnsi="仿宋" w:eastAsia="仿宋" w:cs="仿宋"/>
                <w:color w:val="auto"/>
                <w:sz w:val="24"/>
              </w:rPr>
              <w:br w:type="textWrapping"/>
            </w:r>
            <w:r>
              <w:rPr>
                <w:rFonts w:hint="eastAsia" w:ascii="仿宋" w:hAnsi="仿宋" w:eastAsia="仿宋" w:cs="仿宋"/>
                <w:color w:val="auto"/>
                <w:sz w:val="24"/>
              </w:rPr>
              <w:t>被继承人姓名</w:t>
            </w:r>
            <w:r>
              <w:rPr>
                <w:rFonts w:hint="eastAsia" w:ascii="仿宋" w:hAnsi="仿宋" w:eastAsia="仿宋" w:cs="仿宋"/>
                <w:color w:val="auto"/>
                <w:sz w:val="24"/>
              </w:rPr>
              <w:br w:type="textWrapping"/>
            </w:r>
            <w:r>
              <w:rPr>
                <w:rFonts w:hint="eastAsia" w:ascii="仿宋" w:hAnsi="仿宋" w:eastAsia="仿宋" w:cs="仿宋"/>
                <w:color w:val="auto"/>
                <w:sz w:val="24"/>
              </w:rPr>
              <w:t>被继承人身份号</w:t>
            </w:r>
            <w:r>
              <w:rPr>
                <w:rFonts w:hint="eastAsia" w:ascii="仿宋" w:hAnsi="仿宋" w:eastAsia="仿宋" w:cs="仿宋"/>
                <w:color w:val="auto"/>
                <w:sz w:val="24"/>
              </w:rPr>
              <w:br w:type="textWrapping"/>
            </w:r>
            <w:r>
              <w:rPr>
                <w:rFonts w:hint="eastAsia" w:ascii="仿宋" w:hAnsi="仿宋" w:eastAsia="仿宋" w:cs="仿宋"/>
                <w:color w:val="auto"/>
                <w:sz w:val="24"/>
              </w:rPr>
              <w:t>被继承人产权证号</w:t>
            </w:r>
            <w:r>
              <w:rPr>
                <w:rFonts w:hint="eastAsia" w:ascii="仿宋" w:hAnsi="仿宋" w:eastAsia="仿宋" w:cs="仿宋"/>
                <w:color w:val="auto"/>
                <w:sz w:val="24"/>
              </w:rPr>
              <w:br w:type="textWrapping"/>
            </w:r>
            <w:r>
              <w:rPr>
                <w:rFonts w:hint="eastAsia" w:ascii="仿宋" w:hAnsi="仿宋" w:eastAsia="仿宋" w:cs="仿宋"/>
                <w:color w:val="auto"/>
                <w:sz w:val="24"/>
              </w:rPr>
              <w:t>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破产裁定书、终结书</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转移、变更、更正、预告</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执行文号</w:t>
            </w:r>
            <w:r>
              <w:rPr>
                <w:rFonts w:hint="eastAsia" w:ascii="仿宋" w:hAnsi="仿宋" w:eastAsia="仿宋" w:cs="仿宋"/>
                <w:color w:val="auto"/>
                <w:sz w:val="24"/>
              </w:rPr>
              <w:br w:type="textWrapping"/>
            </w:r>
            <w:r>
              <w:rPr>
                <w:rFonts w:hint="eastAsia" w:ascii="仿宋" w:hAnsi="仿宋" w:eastAsia="仿宋" w:cs="仿宋"/>
                <w:color w:val="auto"/>
                <w:sz w:val="24"/>
              </w:rPr>
              <w:t>企业（机构）名称</w:t>
            </w:r>
            <w:r>
              <w:rPr>
                <w:rFonts w:hint="eastAsia" w:ascii="仿宋" w:hAnsi="仿宋" w:eastAsia="仿宋" w:cs="仿宋"/>
                <w:color w:val="auto"/>
                <w:sz w:val="24"/>
              </w:rPr>
              <w:br w:type="textWrapping"/>
            </w:r>
            <w:r>
              <w:rPr>
                <w:rFonts w:hint="eastAsia" w:ascii="仿宋" w:hAnsi="仿宋" w:eastAsia="仿宋" w:cs="仿宋"/>
                <w:color w:val="auto"/>
                <w:sz w:val="24"/>
              </w:rPr>
              <w:t>组织机构代码</w:t>
            </w:r>
            <w:r>
              <w:rPr>
                <w:rFonts w:hint="eastAsia" w:ascii="仿宋" w:hAnsi="仿宋" w:eastAsia="仿宋" w:cs="仿宋"/>
                <w:color w:val="auto"/>
                <w:sz w:val="24"/>
              </w:rPr>
              <w:br w:type="textWrapping"/>
            </w:r>
            <w:r>
              <w:rPr>
                <w:rFonts w:hint="eastAsia" w:ascii="仿宋" w:hAnsi="仿宋" w:eastAsia="仿宋" w:cs="仿宋"/>
                <w:color w:val="auto"/>
                <w:sz w:val="24"/>
              </w:rPr>
              <w:t>裁定文号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执行裁定书和协助执行通知书</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转移（买受）、法院强制预告转移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执行文号</w:t>
            </w:r>
            <w:r>
              <w:rPr>
                <w:rFonts w:hint="eastAsia" w:ascii="仿宋" w:hAnsi="仿宋" w:eastAsia="仿宋" w:cs="仿宋"/>
                <w:color w:val="auto"/>
                <w:sz w:val="24"/>
              </w:rPr>
              <w:br w:type="textWrapping"/>
            </w:r>
            <w:r>
              <w:rPr>
                <w:rFonts w:hint="eastAsia" w:ascii="仿宋" w:hAnsi="仿宋" w:eastAsia="仿宋" w:cs="仿宋"/>
                <w:color w:val="auto"/>
                <w:sz w:val="24"/>
              </w:rPr>
              <w:t>裁定文号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没收、罚没机关委托拍卖的相关文件（包括：委托书、拍卖公告、拍卖成交确认书）</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转移（买受）、法院强制预告转移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买受人姓名</w:t>
            </w:r>
            <w:r>
              <w:rPr>
                <w:rFonts w:hint="eastAsia" w:ascii="仿宋" w:hAnsi="仿宋" w:eastAsia="仿宋" w:cs="仿宋"/>
                <w:color w:val="auto"/>
                <w:sz w:val="24"/>
              </w:rPr>
              <w:br w:type="textWrapping"/>
            </w:r>
            <w:r>
              <w:rPr>
                <w:rFonts w:hint="eastAsia" w:ascii="仿宋" w:hAnsi="仿宋" w:eastAsia="仿宋" w:cs="仿宋"/>
                <w:color w:val="auto"/>
                <w:sz w:val="24"/>
              </w:rPr>
              <w:t>买受人证件号</w:t>
            </w:r>
            <w:r>
              <w:rPr>
                <w:rFonts w:hint="eastAsia" w:ascii="仿宋" w:hAnsi="仿宋" w:eastAsia="仿宋" w:cs="仿宋"/>
                <w:color w:val="auto"/>
                <w:sz w:val="24"/>
              </w:rPr>
              <w:br w:type="textWrapping"/>
            </w:r>
            <w:r>
              <w:rPr>
                <w:rFonts w:hint="eastAsia" w:ascii="仿宋" w:hAnsi="仿宋" w:eastAsia="仿宋" w:cs="仿宋"/>
                <w:color w:val="auto"/>
                <w:sz w:val="24"/>
              </w:rPr>
              <w:t>拍卖产权的产权证件号</w:t>
            </w:r>
            <w:r>
              <w:rPr>
                <w:rFonts w:hint="eastAsia" w:ascii="仿宋" w:hAnsi="仿宋" w:eastAsia="仿宋" w:cs="仿宋"/>
                <w:color w:val="auto"/>
                <w:sz w:val="24"/>
              </w:rPr>
              <w:br w:type="textWrapping"/>
            </w:r>
            <w:r>
              <w:rPr>
                <w:rFonts w:hint="eastAsia" w:ascii="仿宋" w:hAnsi="仿宋" w:eastAsia="仿宋" w:cs="仿宋"/>
                <w:color w:val="auto"/>
                <w:sz w:val="24"/>
              </w:rPr>
              <w:t>协助执行文号</w:t>
            </w:r>
            <w:r>
              <w:rPr>
                <w:rFonts w:hint="eastAsia" w:ascii="仿宋" w:hAnsi="仿宋" w:eastAsia="仿宋" w:cs="仿宋"/>
                <w:color w:val="auto"/>
                <w:sz w:val="24"/>
              </w:rPr>
              <w:br w:type="textWrapping"/>
            </w:r>
            <w:r>
              <w:rPr>
                <w:rFonts w:hint="eastAsia" w:ascii="仿宋" w:hAnsi="仿宋" w:eastAsia="仿宋" w:cs="仿宋"/>
                <w:color w:val="auto"/>
                <w:sz w:val="24"/>
              </w:rPr>
              <w:t>执行文号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9" w:hRule="atLeast"/>
        </w:trPr>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机关事业单位土地房屋资产调拨信息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转移（买受）、变更、更正、首登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原使用单位</w:t>
            </w:r>
            <w:r>
              <w:rPr>
                <w:rFonts w:hint="eastAsia" w:ascii="仿宋" w:hAnsi="仿宋" w:eastAsia="仿宋" w:cs="仿宋"/>
                <w:color w:val="auto"/>
                <w:sz w:val="24"/>
              </w:rPr>
              <w:br w:type="textWrapping"/>
            </w:r>
            <w:r>
              <w:rPr>
                <w:rFonts w:hint="eastAsia" w:ascii="仿宋" w:hAnsi="仿宋" w:eastAsia="仿宋" w:cs="仿宋"/>
                <w:color w:val="auto"/>
                <w:sz w:val="24"/>
              </w:rPr>
              <w:t>原单位统一社会信用代码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现使用单位</w:t>
            </w:r>
            <w:r>
              <w:rPr>
                <w:rFonts w:hint="eastAsia" w:ascii="仿宋" w:hAnsi="仿宋" w:eastAsia="仿宋" w:cs="仿宋"/>
                <w:color w:val="auto"/>
                <w:sz w:val="24"/>
              </w:rPr>
              <w:br w:type="textWrapping"/>
            </w:r>
            <w:r>
              <w:rPr>
                <w:rFonts w:hint="eastAsia" w:ascii="仿宋" w:hAnsi="仿宋" w:eastAsia="仿宋" w:cs="仿宋"/>
                <w:color w:val="auto"/>
                <w:sz w:val="24"/>
              </w:rPr>
              <w:t>现单位统一社会信用代码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土地使用证号</w:t>
            </w:r>
            <w:r>
              <w:rPr>
                <w:rFonts w:hint="eastAsia" w:ascii="仿宋" w:hAnsi="仿宋" w:eastAsia="仿宋" w:cs="仿宋"/>
                <w:color w:val="auto"/>
                <w:sz w:val="24"/>
              </w:rPr>
              <w:br w:type="textWrapping"/>
            </w:r>
            <w:r>
              <w:rPr>
                <w:rFonts w:hint="eastAsia" w:ascii="仿宋" w:hAnsi="仿宋" w:eastAsia="仿宋" w:cs="仿宋"/>
                <w:color w:val="auto"/>
                <w:sz w:val="24"/>
              </w:rPr>
              <w:t>土地面积（平方米）</w:t>
            </w:r>
            <w:r>
              <w:rPr>
                <w:rFonts w:hint="eastAsia" w:ascii="仿宋" w:hAnsi="仿宋" w:eastAsia="仿宋" w:cs="仿宋"/>
                <w:color w:val="auto"/>
                <w:sz w:val="24"/>
              </w:rPr>
              <w:br w:type="textWrapping"/>
            </w:r>
            <w:r>
              <w:rPr>
                <w:rFonts w:hint="eastAsia" w:ascii="仿宋" w:hAnsi="仿宋" w:eastAsia="仿宋" w:cs="仿宋"/>
                <w:color w:val="auto"/>
                <w:sz w:val="24"/>
              </w:rPr>
              <w:t>土地用途</w:t>
            </w:r>
            <w:r>
              <w:rPr>
                <w:rFonts w:hint="eastAsia" w:ascii="仿宋" w:hAnsi="仿宋" w:eastAsia="仿宋" w:cs="仿宋"/>
                <w:color w:val="auto"/>
                <w:sz w:val="24"/>
              </w:rPr>
              <w:br w:type="textWrapping"/>
            </w:r>
            <w:r>
              <w:rPr>
                <w:rFonts w:hint="eastAsia" w:ascii="仿宋" w:hAnsi="仿宋" w:eastAsia="仿宋" w:cs="仿宋"/>
                <w:color w:val="auto"/>
                <w:sz w:val="24"/>
              </w:rPr>
              <w:t>房屋坐落</w:t>
            </w:r>
            <w:r>
              <w:rPr>
                <w:rFonts w:hint="eastAsia" w:ascii="仿宋" w:hAnsi="仿宋" w:eastAsia="仿宋" w:cs="仿宋"/>
                <w:color w:val="auto"/>
                <w:sz w:val="24"/>
              </w:rPr>
              <w:br w:type="textWrapping"/>
            </w:r>
            <w:r>
              <w:rPr>
                <w:rFonts w:hint="eastAsia" w:ascii="仿宋" w:hAnsi="仿宋" w:eastAsia="仿宋" w:cs="仿宋"/>
                <w:color w:val="auto"/>
                <w:sz w:val="24"/>
              </w:rPr>
              <w:t>区划名称</w:t>
            </w:r>
            <w:r>
              <w:rPr>
                <w:rFonts w:hint="eastAsia" w:ascii="仿宋" w:hAnsi="仿宋" w:eastAsia="仿宋" w:cs="仿宋"/>
                <w:color w:val="auto"/>
                <w:sz w:val="24"/>
              </w:rPr>
              <w:br w:type="textWrapping"/>
            </w:r>
            <w:r>
              <w:rPr>
                <w:rFonts w:hint="eastAsia" w:ascii="仿宋" w:hAnsi="仿宋" w:eastAsia="仿宋" w:cs="仿宋"/>
                <w:color w:val="auto"/>
                <w:sz w:val="24"/>
              </w:rPr>
              <w:t>房屋所有权证号</w:t>
            </w:r>
            <w:r>
              <w:rPr>
                <w:rFonts w:hint="eastAsia" w:ascii="仿宋" w:hAnsi="仿宋" w:eastAsia="仿宋" w:cs="仿宋"/>
                <w:color w:val="auto"/>
                <w:sz w:val="24"/>
              </w:rPr>
              <w:br w:type="textWrapping"/>
            </w:r>
            <w:r>
              <w:rPr>
                <w:rFonts w:hint="eastAsia" w:ascii="仿宋" w:hAnsi="仿宋" w:eastAsia="仿宋" w:cs="仿宋"/>
                <w:color w:val="auto"/>
                <w:sz w:val="24"/>
              </w:rPr>
              <w:t>不动产登记证号</w:t>
            </w:r>
            <w:r>
              <w:rPr>
                <w:rFonts w:hint="eastAsia" w:ascii="仿宋" w:hAnsi="仿宋" w:eastAsia="仿宋" w:cs="仿宋"/>
                <w:color w:val="auto"/>
                <w:sz w:val="24"/>
              </w:rPr>
              <w:br w:type="textWrapping"/>
            </w:r>
            <w:r>
              <w:rPr>
                <w:rFonts w:hint="eastAsia" w:ascii="仿宋" w:hAnsi="仿宋" w:eastAsia="仿宋" w:cs="仿宋"/>
                <w:color w:val="auto"/>
                <w:sz w:val="24"/>
              </w:rPr>
              <w:t>证书类别</w:t>
            </w:r>
            <w:r>
              <w:rPr>
                <w:rFonts w:hint="eastAsia" w:ascii="仿宋" w:hAnsi="仿宋" w:eastAsia="仿宋" w:cs="仿宋"/>
                <w:color w:val="auto"/>
                <w:sz w:val="24"/>
              </w:rPr>
              <w:br w:type="textWrapping"/>
            </w:r>
            <w:r>
              <w:rPr>
                <w:rFonts w:hint="eastAsia" w:ascii="仿宋" w:hAnsi="仿宋" w:eastAsia="仿宋" w:cs="仿宋"/>
                <w:color w:val="auto"/>
                <w:sz w:val="24"/>
              </w:rPr>
              <w:t>调拨时间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trPr>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统一社会信用代码信息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首次转移、变更、更正、首登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统一社会信用代码</w:t>
            </w:r>
            <w:r>
              <w:rPr>
                <w:rFonts w:hint="eastAsia" w:ascii="仿宋" w:hAnsi="仿宋" w:eastAsia="仿宋" w:cs="仿宋"/>
                <w:color w:val="auto"/>
                <w:sz w:val="24"/>
              </w:rPr>
              <w:br w:type="textWrapping"/>
            </w:r>
            <w:r>
              <w:rPr>
                <w:rFonts w:hint="eastAsia" w:ascii="仿宋" w:hAnsi="仿宋" w:eastAsia="仿宋" w:cs="仿宋"/>
                <w:color w:val="auto"/>
                <w:sz w:val="24"/>
              </w:rPr>
              <w:t>机构名称</w:t>
            </w:r>
            <w:r>
              <w:rPr>
                <w:rFonts w:hint="eastAsia" w:ascii="仿宋" w:hAnsi="仿宋" w:eastAsia="仿宋" w:cs="仿宋"/>
                <w:color w:val="auto"/>
                <w:sz w:val="24"/>
              </w:rPr>
              <w:br w:type="textWrapping"/>
            </w:r>
            <w:r>
              <w:rPr>
                <w:rFonts w:hint="eastAsia" w:ascii="仿宋" w:hAnsi="仿宋" w:eastAsia="仿宋" w:cs="仿宋"/>
                <w:color w:val="auto"/>
                <w:sz w:val="24"/>
              </w:rPr>
              <w:t>机构性质</w:t>
            </w:r>
            <w:r>
              <w:rPr>
                <w:rFonts w:hint="eastAsia" w:ascii="仿宋" w:hAnsi="仿宋" w:eastAsia="仿宋" w:cs="仿宋"/>
                <w:color w:val="auto"/>
                <w:sz w:val="24"/>
              </w:rPr>
              <w:br w:type="textWrapping"/>
            </w:r>
            <w:r>
              <w:rPr>
                <w:rFonts w:hint="eastAsia" w:ascii="仿宋" w:hAnsi="仿宋" w:eastAsia="仿宋" w:cs="仿宋"/>
                <w:color w:val="auto"/>
                <w:sz w:val="24"/>
              </w:rPr>
              <w:t>机构地址</w:t>
            </w:r>
            <w:r>
              <w:rPr>
                <w:rFonts w:hint="eastAsia" w:ascii="仿宋" w:hAnsi="仿宋" w:eastAsia="仿宋" w:cs="仿宋"/>
                <w:color w:val="auto"/>
                <w:sz w:val="24"/>
              </w:rPr>
              <w:br w:type="textWrapping"/>
            </w:r>
            <w:r>
              <w:rPr>
                <w:rFonts w:hint="eastAsia" w:ascii="仿宋" w:hAnsi="仿宋" w:eastAsia="仿宋" w:cs="仿宋"/>
                <w:color w:val="auto"/>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土地出让</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土地测绘</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土地规划</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土地划拨</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建设项目选址意见书信息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建设用地规划许可证信息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建设工程规划许可证信息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规划处罚信息</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规划编制</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乡村建设规划许可证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建设用地规划许可证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shd w:val="clear" w:color="auto" w:fill="FFFFFF"/>
            <w:noWrap w:val="0"/>
            <w:vAlign w:val="center"/>
          </w:tcPr>
          <w:p>
            <w:pPr>
              <w:numPr>
                <w:ilvl w:val="0"/>
                <w:numId w:val="31"/>
              </w:numPr>
              <w:spacing w:line="360" w:lineRule="auto"/>
              <w:jc w:val="center"/>
              <w:rPr>
                <w:rFonts w:ascii="仿宋" w:hAnsi="仿宋" w:eastAsia="仿宋" w:cs="仿宋"/>
                <w:color w:val="auto"/>
                <w:sz w:val="24"/>
              </w:rPr>
            </w:pPr>
          </w:p>
        </w:tc>
        <w:tc>
          <w:tcPr>
            <w:tcW w:w="239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建设工程规划核实合格证</w:t>
            </w:r>
          </w:p>
        </w:tc>
        <w:tc>
          <w:tcPr>
            <w:tcW w:w="2384" w:type="dxa"/>
            <w:shd w:val="clear" w:color="auto" w:fill="FFFFFF"/>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首次转移</w:t>
            </w:r>
          </w:p>
        </w:tc>
        <w:tc>
          <w:tcPr>
            <w:tcW w:w="3591" w:type="dxa"/>
            <w:shd w:val="clear" w:color="auto" w:fill="FFFFFF"/>
            <w:noWrap w:val="0"/>
            <w:vAlign w:val="center"/>
          </w:tcPr>
          <w:p>
            <w:pPr>
              <w:spacing w:line="360" w:lineRule="auto"/>
              <w:rPr>
                <w:rFonts w:ascii="仿宋" w:hAnsi="仿宋" w:eastAsia="仿宋" w:cs="仿宋"/>
                <w:color w:val="auto"/>
                <w:sz w:val="24"/>
              </w:rPr>
            </w:pPr>
          </w:p>
        </w:tc>
      </w:tr>
    </w:tbl>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3.4.6不动产登记系统升级</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3.4.6.1共享信息集成利用业务表单升级</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通过与其他局委进行共享，实现数据的自动提取与业务核验。有效利用共享数据，实现对16个局委的信息查询、电子文书或电子证照的自动提取及业务核验功能。需对不动产预告登记、首次登记、转移登记、抵押登记、查封登记、异议登记等6项登记大类，56项业务子类受理功能进行升级。</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3.4.6.2业务审批工作流升级</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改造业务审批流程，新增网络预审核、预登簿功能，实现压缩办结时限，减少跑趟的目的。对通过网上申请的包括不动产首次登记、预告登记、转移登记（离婚析产、继承）、抵押登记、变更登记、补换证登记的业务进行流程升级改造，实现信息自动提取、批量报卷与分发、提前审核、审核结果自动推送、现场核验、自动登簿办结功能。为群众提供多渠道、多层次的不动产登记服务。主要功能包含：信息自动提取、批量报卷与分发、审核结果自动推动、自动登簿办结。</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3.4.6.3业务安全系统约束升级</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为保障登记业务安全，重新梳理不动产审批系统各业务之间的关系，升级不动产审批系统限制功能。主要包含以下业务相关的约束：</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增加拆迁限制、行政限制、国有建设用地使用权限制功能。约束限制权限登记高于查封登记，确保对不动产单元进行约束不能办理处置类业务，只能办理如：抵押注销、异议注销等业务。主要业务约束如下：</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宗地限制业务附件上传保存，并禁止该宗地及宗地上不动产单元的一切业务办理。</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对预告预抵合并办理过程进行系列约束控制，降低登记风险。</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对法院强制转移相关业务进行约束升级改造，实现包括不动产解查封、不动产限制、不动产转移、不动产解押、不动产解限制等的约束校验。</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3.4.6.4数据质量检验服务升级</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为优化登记审批系统，实现上报字段的必填控制，增加对必填字段校验，确保数据完整性。保证补录数据有效、登记数据质量和上报数据的完整性。梳理全部九十多项登记业务对历史补录数据、登记数据、上报数据按照登记要求进行全面的校验。</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主要包含功能：历史补录数据的有效性校验、登记业务必填字段校验、上报数据完整性校验。通过控制关键字段、结合移交数据，优化程序对历史批量补录的数据进行有效性校验，对于不合格数据进行批量处理。梳理多项业务的必填字段，优化程序对必填字段进行控制，并进行明显标识。</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3.4.6.5业务监管分析子系统建设</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对不动产各大厅的业务办理情况、互联网的业务申请情况，依据不同业务类型进行统计分析，自动生成综合分析报告。对各大厅各人员的绩效进行统计及对各科室进行的数据汇总，形成三门峡市本级不动产交易登记的趋势图。</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3.4.7金融机构远程报卷系统</w:t>
      </w:r>
    </w:p>
    <w:p>
      <w:pPr>
        <w:autoSpaceDE w:val="0"/>
        <w:autoSpaceDN w:val="0"/>
        <w:adjustRightInd w:val="0"/>
        <w:spacing w:line="360" w:lineRule="auto"/>
        <w:ind w:firstLine="424" w:firstLineChars="177"/>
        <w:jc w:val="left"/>
        <w:rPr>
          <w:rFonts w:hint="eastAsia" w:ascii="仿宋" w:hAnsi="仿宋" w:eastAsia="仿宋" w:cs="仿宋"/>
          <w:color w:val="auto"/>
          <w:kern w:val="0"/>
          <w:sz w:val="24"/>
        </w:rPr>
      </w:pPr>
      <w:r>
        <w:rPr>
          <w:rFonts w:hint="eastAsia" w:ascii="仿宋" w:hAnsi="仿宋" w:eastAsia="仿宋" w:cs="仿宋"/>
          <w:color w:val="auto"/>
          <w:kern w:val="0"/>
          <w:sz w:val="24"/>
        </w:rPr>
        <w:t>提供抵押相关功能，金融机构通过远程报卷让信息多跑路，群众少跑腿，实现登记、审批不见面。包括：批量预告抵押申请、现房抵押申请、现房抵押注销申请、预购商品房抵押申请、预购商品房抵押注销申请、联合抵押申请、联合抵押注销申请、贷后监管、已受理业务查询、不动产权属状态查询、登记进度查询、未缴费查询、已缴费查询、电子证明查看。</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3.4.8登记费在线支付系统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3.4.8.1缴费大厅</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实现扫码缴费功能。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3.4.8.2缴费约束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实现对线上、线下缴费订单的约束，避免重复缴费。</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3.4.8.3用户中心</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实现用户认证及订单管理。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3.4.8.4不动产登记平台集成</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通过数据同步服务，实现支付信息及时同步。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3.4.8.5财政系统对接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通过api接口实现与财政系统对接；用户支付后，支付金额自动计算，实时到账。</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3.4.8.6数据同步服务</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通过数据同步服务实现网上办事大厅、不动产登记系统和财政系统数据的无缝对接。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3.4.9证书邮寄系统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3.4.9.1邮寄申请</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权利人业务受理后，扫码发起邮寄申请，通过短信对申请人身份验证，完善寄送地址缴费后提交邮寄申请。</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3.4.9.2邮寄约束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对邮寄申请人身份信息校验及邮费缴纳订单校验。</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3.4.9.3用户信息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对申请人身份信息留存。</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3.4.9.4邮政EMS对接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与中国邮政系统对接，邮寄时直接调用邮寄接口，实现订单生成、快递运输信息实时获取、快递费用缴纳、短信通知等。</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3.4.9.4.1数据同步服务</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通过数据同步服务实现网上办事大厅、不动产登记系统和邮政系统数据的无缝对接。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3.4.9.4.2邮寄服务管理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对邮寄订单、对账、通知等管理。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3.4.10权籍申请功能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提供互联网权籍调查申请功能，支持通过产权证号及权利人身份信息等查询是否完成权籍调查及申请权籍调查。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3.4.10.1权籍调查信息查询</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对申请人的房产证号及产权证书的权利人信息校验，申请人可自助查询其房屋是否已完成权籍调查。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3.4.10.2权籍调查网上申请</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对未进行权籍调查的不动产单元，申请人可通过微信公众服务上传产权证信息，进行网上查询申请。</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3.4.10.3权籍调查申请任务分发</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系统将通过互联网申请的权籍调查自动同步至内网，登记中心工作人员对网上申请的权籍调查向权籍调查单位进行任务分发。</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3.4.10.4权籍成果数据上传</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权籍调查单位在完成权籍调查工作后可对权籍调查成果进行上传。</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3.4.10.5权籍调查成果审核</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登记中心工作人员对权籍调查单位完成的调查成果进行审核。</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3.4.11首登查询功能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根据合同号、权利人相关信息等对不动产登记办理进度进行查询与展示，让群众实时掌握产权办理进度。</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3.4.11.1首登申请及权利人身份验证</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提供申请人在线申请功能，依据申请人录入的信息与合同信息、预告登记等信息进行验证，确定权利是否具有查询资格。</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3.4.11.2合同备案进度查询</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依据申请人录入的申请信息与合同网签备案信息进行比对，并查询备案进度。</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3.4.11.3预告、预抵押登记进度查询</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依据申请人录入的申请信息，通过预告及预抵押信息与合同网签信息进行关联比对，查询预告及预抵押进度。</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3.4.11.4首次登记进度查询</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依据申请人录入的申请信息，通过首次登记信息与合同网签信息进行关联比对，查询首次登记进度。</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3.4.12人脸活体识别统一认证系统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活体认证主要对服务申请人身份进行验证，通过人脸辨识认证，语音辨识认证，电子签名等方式对业务中需要确认身份的人员进行活体辨识。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3.4.13业务评价子系统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建立服务于广大群众的业务评价系统实现业务办理的满意度评价。包括：线上评价、扫码评价、评价统计监管、登记系统评价二维码管理等。</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3.4.14不动产登记查询证明网上自助系统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研发不动产登记查询证明网上自助服务子系统实现《不动产查询证明》的电子化。</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3.4.15不动产登记电子档案网上查询系统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不动产登记电子档案网上自助查询系统</w:t>
      </w:r>
      <w:r>
        <w:rPr>
          <w:rFonts w:hint="eastAsia" w:ascii="仿宋" w:hAnsi="仿宋" w:eastAsia="仿宋" w:cs="仿宋"/>
          <w:color w:val="auto"/>
          <w:kern w:val="0"/>
          <w:sz w:val="24"/>
        </w:rPr>
        <w:tab/>
      </w:r>
      <w:r>
        <w:rPr>
          <w:rFonts w:hint="eastAsia" w:ascii="仿宋" w:hAnsi="仿宋" w:eastAsia="仿宋" w:cs="仿宋"/>
          <w:color w:val="auto"/>
          <w:kern w:val="0"/>
          <w:sz w:val="24"/>
        </w:rPr>
        <w:t>实现通过互联网平台调用不动产历史档案，实现预览、下载、打印等功能。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3.4.16自助查询接口</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3.4.16.1查询不动产单元实体</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通过权利人身份证号、权利人姓名获取不动产单元实体（房屋）信息，通过不动产宗地代码获取不动产单元实体（土地）信息。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3.4.16.2查询不动产登记信息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通过权不动产单元号获取房屋的产权、预告、抵押、查封等不动产登记信息。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3.4.16.3查询宗地图</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通过不动产单元号查询房屋所属土地的宗地图信息，返回base64位数据格式。</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3.4.17自助打证接口</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3.4.17.1证书/证明列表接口</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通过权利人身份证号、权利人姓名获取可打印不动产证书/证明信息。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3.4.17.2证书/证明详情接口</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通过权利人证件号、不动产权证号、不动产登记业务号获取不动产权证书/证明详细信息。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3.4.17.3打印状态更新接口</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打证机进行打印操作时需要同步更新实时打印状态，防止同时、重复打印。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3.4.17.4领证信息更新接口</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证书/证明打印成功后更新领证人姓名,领证人证件号码,领证日期、印刷序列号等信息。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3.4.17.5缴费是否成功查询</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通过不动产登记受理编辑号/业务号查询登记缴费状态，已缴费方可打印，未缴费需要先进行缴费。</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3.4.17.6查询房产分户图、幢宗地图</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通过不动产登记业务号查询房产分户图、幢宗地图信息，返回base64位数据格式或者返回房产分户图、幢宗地图二维码，扫二维码查看。</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4.普惠金融（一、二期）服务</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4.1项目概述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近年来,我国越来越重视解决中小企业融资难的问题,并实施积极的中小企业金融支持政策,且已初见成效。党中央、国务院高度重视小微企业等实体经济金融服务工作</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中小微企业、“三农”等作为实体经济的重要组成部分，历来是金融服务的薄弱环节。对中小微企业加大普惠金融的支持力度，全面提升金融服务效率与水平，切实符合十九大任务要求。</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为响应党中央、国务院关于解决民营中小微企业“融资难、融资贵、融资繁”问题，推进三门峡市普惠金融发展，聚合金融行业合力，优化城市营商环境，服务实体经济，2019年，三门峡市开发建设了服务小微企业融资的三门峡市普惠金融服务平台。为更好的服务于三门峡市中小微企业，拟通过平台二次升级，优化平台功能，增加金融产品，提升用户使用友好度。</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4.2项目服务目标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通过信用信息的深度加工和应用，搭建一个主要服务于经济活动领域信用体系建设的全省乃至全国一流的综合性信用信息共享应用平台，为争取全国信用体系建设示范城市试点资格创造条件。</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有效解决信息不对称问题，促进信用信息的共建共享和互联互通，提高市场主体的信用意识；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最大限度地发挥信用即是财富的价值，构建新型银企关系，拓宽融资渠道，创新融资产品，提高融资效率，降低融资风险；</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为主管部门快速有效进行信息（企业）查询、数据统计、行业监管、制定政策等提供信息支撑。</w:t>
      </w:r>
    </w:p>
    <w:p>
      <w:pPr>
        <w:autoSpaceDE w:val="0"/>
        <w:autoSpaceDN w:val="0"/>
        <w:adjustRightInd w:val="0"/>
        <w:spacing w:line="360" w:lineRule="auto"/>
        <w:ind w:firstLine="487" w:firstLineChars="202"/>
        <w:jc w:val="left"/>
        <w:rPr>
          <w:rFonts w:hint="eastAsia" w:ascii="仿宋" w:hAnsi="仿宋" w:eastAsia="仿宋" w:cs="仿宋"/>
          <w:b/>
          <w:bCs/>
          <w:color w:val="auto"/>
          <w:sz w:val="24"/>
        </w:rPr>
      </w:pPr>
      <w:r>
        <w:rPr>
          <w:rFonts w:hint="eastAsia" w:ascii="仿宋" w:hAnsi="仿宋" w:eastAsia="仿宋" w:cs="仿宋"/>
          <w:b/>
          <w:bCs/>
          <w:color w:val="auto"/>
          <w:sz w:val="24"/>
        </w:rPr>
        <w:t>4.3服务范围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4.4服务内容要求</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依托互联网建立三门峡中小企业信用融资平台建设平台，以银行业金融机构、准金融机构、中介（信用）服务机构、行政服务中心为载体建立三门峡市金融服务中心，形成以金融服务中心、“一网四库”服务平台为核心，线上线下、互动互补、融合发展的大格局。</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4.4.1公众网</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通过中小企业信用信息综合服务网面向企业、金融机构、社会公众等提供专项或综合信用服务。以信用服务运营为导向，需要开展信息发布、产品展示、信用信息统计等服务。</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信息发布：政府相关政策、金融资讯等相关信用信息进行权威发布。</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金融产品：产品展示是指根据金融机构开发和设计的金融产品进行说明和分析，满足企业的了解需求并提供融资参考。</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信息统计：信用信息统计服务提供各类信用信息统计和下载服务等。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4.4.2企业系统</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企业系统是金融机构提供普惠服务的重要工具和平台。这些系统涵盖了从贷款申请、贷款审批、风控管理、放款管理、还款管理等完整信贷环节的管理功能。</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贷款申请：企业可以通过公众网浏览金融产品，申请与自己情况符合的金融产品，提交至金融产品发布的金融机构。</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贷款审批：金融机构收到企业的贷款申请后，根据企业的基本信息和全面的信息进行尽调查询、审批授信等操作。</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放款管理：金融机构对企业授信成功后，可以给企业放款，企业可在平台查询金融机构的放款记录，可以在平台添加自己的还款记录。</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4.4.3金融信息产品库</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建立金融信息展示平台，提供银行、证券、保险等类型金融信息，实现金融机构金融产品的销售和投资者购买需求的对接，有效引导需求，释放需求。</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银行产品：银行机构发布自己行内的金融产品信息。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证券产品：证券机构发布自己机构的金融产品信息。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保险产品：保险机构发布自己机构的金融产品信息。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4.4.4融资系统</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建立金融信息展示平台，提供银行、证券、保险、基金、信托、期货等类型金融信息，实现金融机构金融产品的销售和投资者购买需求的对接，有效引导需求，释放需求。</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融资对接：企业针对银行发布的金融产品提交申请，银行机构根据企业的信息进行调查审批授信和放款等相关的操作，引导企业对接需求、释放需求。</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证券产品：企业申请证券机构发布的金融产品。证券机构引导企业对接需求、释放需求。</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保险产品：企业申请保险机构发布自己行内的金融产品信息。保险机构引导企业对接需求、释放需求。</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4.4.5政府系统</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政府系统包括信息发布、业务跟踪、信息审核、数据对接、平台管理等方面的管理和服务。</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信息发布：政府管理员和操作员选择对应的金融政策、法律法规以及金融类的新闻，在政府系统内编辑整理、发布至公众网，面向可以访问公众网的所有公众用户。</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业务跟踪：相关部门负责人对平台的融资对接业务进行全流程的跟踪和监督，方便掌握整个平台的融资对接信息。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信息审核：政府管理员和操作员对金融机构发布的信息进行审核、上架、下架等操作。</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数据对接：政府系统对接相关业务部门的政务数据。</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4.4.6门户网站</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在普惠金融中，门户网站扮演着重要的角色。门户网站是普惠金融的重要窗口，可以提供丰富的金融信息和服务，帮助用户更好地了解和使用普惠金融服务。</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首页：门户网站入口，展示平台的宣传图片、相关快速链接、各端口登录入口、运营数据统计、热门金融产品、成果展示、置顶政策和新闻、合作机构、平台版权和备案信息等。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找资金：金融机构发布的产品信息列表，提供贷款额度、贷款期限、银行类型、担保方式等快速筛选功能。可以快速定位到对应的产品详细信息页面。可以快速跳转至不同的产品分类，比如：个人贷款产品、保险产品、担保产品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找项目：展示企业发布的公开需求，金融机构可以在这里挑选自己合适的企业进行主动与企业进行对接。</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政策动态：展示平台发布的政策法规，最新动态等信息。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中心简介：展示金融服务中心的基本信息介绍、中心特点、服务定位以及工作成果等信息。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4.4.7企业端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普惠金融中的企业端指的是面向当地所有市场主体的用户注册、实名认证、完善信息、发布融资的系统，市场主体信息主要包括中小微企业、个体工商户、农业合作社等。企业端的主要功能有：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注册登录：提供手机号快速注册、账号密码登录功能；</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账号管理：修改手机号、修改密码等功能；</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实名认证：对用户填写的主体信息进行实名认证、包括企业基本信息四要素（企业名称、统一社会信用代码、法定代表人姓名、法定代表人身份证号）和运营商三要素信息（法定代表人姓名+法定代表人身份证号+法定代表人实名认证手机号）进行双重实名认证及校验。</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完善信息：实名认证成功之后，对企业内的信息进行完善、比如：开户行信息、推荐银行信息、行业信息、上下游合作伙伴信息、平台外融资纪录信息等。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发布融资：企业选择和自己匹配的金融产品，提交融资需求至金融产品发布的金融机构。或者企业发布公开的融资需求至项目大厅，待金融机构主动从项目大厅寻找项目。</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4.4.8银行端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普惠金融中的银行端指的是提供普惠金融服务的银行机构。这些银行机构包括国有大型银行、股份制银行、城市商业银行、农村商业银行等。为贷款人员提供金融服务。</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工作台：展示银行待办的各项业务以及统计信息。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融资对接：银行对企业发布的融资需求进行对接，尽职调查、合同签订、审批授信、发放贷款等操作。</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找项目：银行从项目大厅选择需求资金的企业进行主动对接。</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信息查看：银行对接企业融资后，可查看企业的详细信息，包括基本信息、工商信息、失信信息等。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账号管理：添加分支机构、修改登录账号、修改密码等。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4.4.9担保端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在普惠金融中，担保端扮演着重要的角色。担保端的作用主要是为普惠金融的借款方提供担保，以提高借款方的信用等级，降低借款风险。</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工作台：展示担保机构待办的各项业务。</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对接管理：担保机构对企业发布的担保需求进行对接。</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担保管理：担保机构对银行转担保流程进行对接。</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信息查看：担保机构对接企业后，可查看企业的详细信息，包括基本信息、工商信息、失信信息等。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账号管理：添加分支机构、修改登录账号、修改密码等。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4.4.10保险端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普惠金融中的保险端主要提供的是保险服务，为借款方提供保障，降低借款风险。主要有如下功能：</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工作台：展示保险机构待办的各项业务。</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对接管理：保险机构对企业提交的需求进行对接。</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信息查看：保险机构对接企业后，可查看企业的详细信息，包括基本信息、工商信息、失信信息等。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账号管理：添加分支机构、修改登录账号、修改密码等。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4.4.11证券端</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在普惠金融中，证券端指的是提供证券服务的机构或平台。主要有如下功能：</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工作台：展示证券机构待办的各项业务。</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对接管理：证券机构对企业提交的需求进行对接。</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信息查看：证券机构对接企业后，可查看企业的详细信息，包括基本信息、工商信息、失信信息等。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账号管理：添加分支机构、修改登录账号、修改密码等。</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4.4.12政府端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在普惠金融中，政府端也扮演着重要的角色。政府通过制定政策、提供财政支持、监管市场等方式，促进普惠金融的发展。政府端主要包括信息发布、业务跟踪、信息审核、数据对接、平台管理等方面的管理和服务。</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信息发布：政府管理员和操作员选择对应的金融政策、法律法规以及金融类的新闻，在政府系统内编辑整理、发布至公众网，面向可以访问公众网的所有公众用户。</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业务跟踪：相关部门负责人对平台的融资对接业务进行全流程的跟踪和监督，方便掌握整个平台的融资对接信息。</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信息审核：政府管理员和操作员对金融机构发布的信息进行审核、上架、下架等操作。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数据对接：政府系统对接相关业务部门的政务数据。</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5.公共安全视频图像系统基础数据平台升级服务</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5.1项目概述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目前我市公安“天网覆盖”系统已初具规模，同时在打击违法犯罪、维护社会稳定等方面也发挥了巨大的作用，为进一步提升公安局视频资源的联网整合、智能分析、开放共享、统筹规划能力</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为实现城市已建视频资源的充分联网整合，并对新建视频资源进行统筹规划，搭建城市统一的视频能力服务平台，推动城市视频资源的共享共用。利用大数据、人工智能等技术挖掘城市视频数据资源价值，现需对公安局现有视频网平台进行升级改造，提升数据处理能力以满足目前的业务需求。</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5.2项目服务目标</w:t>
      </w:r>
    </w:p>
    <w:p>
      <w:pPr>
        <w:spacing w:line="360" w:lineRule="auto"/>
        <w:ind w:firstLine="484" w:firstLineChars="202"/>
        <w:rPr>
          <w:rFonts w:ascii="仿宋" w:hAnsi="仿宋" w:eastAsia="仿宋" w:cs="仿宋"/>
          <w:color w:val="auto"/>
          <w:sz w:val="24"/>
        </w:rPr>
      </w:pPr>
      <w:r>
        <w:rPr>
          <w:rFonts w:hint="eastAsia" w:ascii="仿宋" w:hAnsi="仿宋" w:eastAsia="仿宋" w:cs="仿宋"/>
          <w:color w:val="auto"/>
          <w:kern w:val="0"/>
          <w:sz w:val="24"/>
        </w:rPr>
        <w:t>根据河南省公安厅《全省公安视频图像基础数据治理工作方案》文件要求，为巩固全省重点视频图像治理专项行动成效，提升视频监控和人车卡口数据联网应用水平，全面夯实视频图像基础性工作，省公安厅决定在全省公安机关开展视频图像基础数据治理工作，加强视频监控、人像和车辆卡口联网应用,集中解决视频图像信息不准确、不规范、不完善等问题，推进中央、省“十三五”公共安全视频监控建设联网应用目标任务实现，为开展视频图像智能化建设应用奠定坚实基础，有力支撑公安实战。</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5.3服务范围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5.4服务内容要求</w:t>
      </w:r>
    </w:p>
    <w:p>
      <w:pPr>
        <w:spacing w:line="360" w:lineRule="auto"/>
        <w:ind w:firstLine="484" w:firstLineChars="202"/>
        <w:rPr>
          <w:rFonts w:hint="eastAsia" w:ascii="仿宋" w:hAnsi="仿宋" w:eastAsia="仿宋" w:cs="仿宋"/>
          <w:color w:val="auto"/>
          <w:kern w:val="0"/>
          <w:sz w:val="24"/>
        </w:rPr>
      </w:pPr>
      <w:r>
        <w:rPr>
          <w:rFonts w:hint="eastAsia" w:ascii="仿宋" w:hAnsi="仿宋" w:eastAsia="仿宋" w:cs="仿宋"/>
          <w:color w:val="auto"/>
          <w:kern w:val="0"/>
          <w:sz w:val="24"/>
        </w:rPr>
        <w:t>公共安全视频图像系统基础数据平台由“终端产品（如4G智能执法记录仪、移动视频传输设备、无人机、车载终端、固定监控）+系统平台+智能应用（派遣单等）”组成，是一个集“快速响应、平战结合、视频高清、通讯畅通、指挥有力”的具备扩展性好、全方位、立体化、形象直观、全面协调的指挥调度系统，真正做到，平时：防患于未然，战时：运筹帷幄，决胜千里。</w:t>
      </w:r>
    </w:p>
    <w:p>
      <w:pPr>
        <w:spacing w:line="360" w:lineRule="auto"/>
        <w:ind w:firstLine="484" w:firstLineChars="202"/>
        <w:rPr>
          <w:rFonts w:hint="eastAsia" w:ascii="仿宋" w:hAnsi="仿宋" w:eastAsia="仿宋" w:cs="仿宋"/>
          <w:color w:val="auto"/>
          <w:kern w:val="0"/>
          <w:sz w:val="24"/>
        </w:rPr>
      </w:pPr>
      <w:r>
        <w:rPr>
          <w:rFonts w:hint="eastAsia" w:ascii="仿宋" w:hAnsi="仿宋" w:eastAsia="仿宋" w:cs="仿宋"/>
          <w:color w:val="auto"/>
          <w:kern w:val="0"/>
          <w:sz w:val="24"/>
        </w:rPr>
        <w:t>在日常工作中，通过派遣单任务下发、视频通话、拨打电话、集群对讲实现上下级纵向沟通和同级横向协调，终端拍摄的视频、图片自动上传到存储服务器中，分类存储、分时间存储，形成大数据。系统自动对大数据挖掘和运用，从而推动执法工作科技信息化提档升级 。</w:t>
      </w:r>
    </w:p>
    <w:p>
      <w:pPr>
        <w:spacing w:line="360" w:lineRule="auto"/>
        <w:ind w:firstLine="484" w:firstLineChars="202"/>
        <w:rPr>
          <w:rFonts w:hint="eastAsia" w:ascii="仿宋" w:hAnsi="仿宋" w:eastAsia="仿宋" w:cs="仿宋"/>
          <w:color w:val="auto"/>
          <w:kern w:val="0"/>
          <w:sz w:val="24"/>
        </w:rPr>
      </w:pPr>
      <w:r>
        <w:rPr>
          <w:rFonts w:hint="eastAsia" w:ascii="仿宋" w:hAnsi="仿宋" w:eastAsia="仿宋" w:cs="仿宋"/>
          <w:color w:val="auto"/>
          <w:kern w:val="0"/>
          <w:sz w:val="24"/>
        </w:rPr>
        <w:t>在突发事件时，通过一键SOS,现场实时回传，语音集群对讲指挥，实现现场与后方应急指挥中心的高清音视频、数据等多媒体业务的实时同步传输，实现可视化快速应急的精准调度与各级高效协同。重大事件实时视频同步推送到领导手机，打造“领导永远在一线” 。</w:t>
      </w:r>
    </w:p>
    <w:p>
      <w:pPr>
        <w:spacing w:line="360" w:lineRule="auto"/>
        <w:ind w:firstLine="484" w:firstLineChars="202"/>
        <w:rPr>
          <w:rFonts w:hint="eastAsia" w:ascii="仿宋" w:hAnsi="仿宋" w:eastAsia="仿宋" w:cs="仿宋"/>
          <w:color w:val="auto"/>
          <w:kern w:val="0"/>
          <w:sz w:val="24"/>
        </w:rPr>
      </w:pPr>
      <w:r>
        <w:rPr>
          <w:rFonts w:hint="eastAsia" w:ascii="仿宋" w:hAnsi="仿宋" w:eastAsia="仿宋" w:cs="仿宋"/>
          <w:color w:val="auto"/>
          <w:kern w:val="0"/>
          <w:sz w:val="24"/>
        </w:rPr>
        <w:t>系统自动对大数据的挖掘和运用，“小智慧在终端，大智慧在云端”。</w:t>
      </w:r>
    </w:p>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5452745" cy="3570605"/>
            <wp:effectExtent l="0" t="0" r="1460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452745" cy="3570605"/>
                    </a:xfrm>
                    <a:prstGeom prst="rect">
                      <a:avLst/>
                    </a:prstGeom>
                    <a:noFill/>
                    <a:ln>
                      <a:noFill/>
                    </a:ln>
                  </pic:spPr>
                </pic:pic>
              </a:graphicData>
            </a:graphic>
          </wp:inline>
        </w:drawing>
      </w:r>
    </w:p>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网络架构图</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根据建设目标要求，确保将建成一个技术先进、使用方便、工作稳定可靠、性价比高、可扩展性和可升级性良好、高度集成的现代化系统平台。</w:t>
      </w:r>
      <w:r>
        <w:rPr>
          <w:rFonts w:hint="eastAsia" w:ascii="仿宋" w:hAnsi="仿宋" w:eastAsia="仿宋" w:cs="仿宋"/>
          <w:color w:val="auto"/>
          <w:kern w:val="0"/>
          <w:sz w:val="24"/>
        </w:rPr>
        <w:drawing>
          <wp:inline distT="0" distB="0" distL="114300" distR="114300">
            <wp:extent cx="5594350" cy="6509385"/>
            <wp:effectExtent l="0" t="0" r="6350" b="5715"/>
            <wp:docPr id="4" name="图片 4" descr="C:\Users\Administrator\Desktop\微信图片_20180428130126.png微信图片_201804281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微信图片_20180428130126.png微信图片_20180428130126"/>
                    <pic:cNvPicPr>
                      <a:picLocks noChangeAspect="1"/>
                    </pic:cNvPicPr>
                  </pic:nvPicPr>
                  <pic:blipFill>
                    <a:blip r:embed="rId8"/>
                    <a:stretch>
                      <a:fillRect/>
                    </a:stretch>
                  </pic:blipFill>
                  <pic:spPr>
                    <a:xfrm>
                      <a:off x="0" y="0"/>
                      <a:ext cx="5594350" cy="6509385"/>
                    </a:xfrm>
                    <a:prstGeom prst="rect">
                      <a:avLst/>
                    </a:prstGeom>
                    <a:noFill/>
                    <a:ln>
                      <a:noFill/>
                    </a:ln>
                  </pic:spPr>
                </pic:pic>
              </a:graphicData>
            </a:graphic>
          </wp:inline>
        </w:drawing>
      </w:r>
    </w:p>
    <w:p>
      <w:pPr>
        <w:autoSpaceDE w:val="0"/>
        <w:autoSpaceDN w:val="0"/>
        <w:adjustRightInd w:val="0"/>
        <w:spacing w:line="360" w:lineRule="auto"/>
        <w:jc w:val="left"/>
        <w:rPr>
          <w:rFonts w:hint="eastAsia"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5166995" cy="3299460"/>
            <wp:effectExtent l="0" t="0" r="14605" b="1524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5166995" cy="3299460"/>
                    </a:xfrm>
                    <a:prstGeom prst="rect">
                      <a:avLst/>
                    </a:prstGeom>
                    <a:noFill/>
                    <a:ln>
                      <a:noFill/>
                    </a:ln>
                  </pic:spPr>
                </pic:pic>
              </a:graphicData>
            </a:graphic>
          </wp:inline>
        </w:drawing>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公安视频专网与公安信息网的组网方式，在视频专网内，将视频应用平台系统与视频共享平台系统级联对接，实现从共享平台中获取基础视频监控资源，该环节需对接第三方系统来获得必要的业务数据，以支持平台功能的正常运行，其中需要对接的第三方系统有：视频联网平台/视频共享平台、PGIS、卡口系统、接处警系统、警务综合平台、人口信息系统、车管库、350M数字集群等。</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本次系统平台升级主要包括以下几个方面：</w:t>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加强重点视频图像库管理维护</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加强重点视频图像专题库点位日常管理维护，确保视频拍摄位置和角度符合标准，在线率100%。</w:t>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加强视频点位联网推送管理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将本地建设联网的视频监控、人像和车辆卡口点位全量推送至省厅，点位变更、删除应提前向省厅报备，相关操作应做好日志记录。</w:t>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规范视频图像信息联网汇聚</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按照“同级整合，上下级联”工作思路，规范完善省、市、区县三级视频图像信息联网汇聚。实现信息共享、资源最大化利用，以便高效、便捷地处理警情事件。</w:t>
      </w:r>
    </w:p>
    <w:p>
      <w:pPr>
        <w:autoSpaceDE w:val="0"/>
        <w:autoSpaceDN w:val="0"/>
        <w:adjustRightInd w:val="0"/>
        <w:spacing w:line="360" w:lineRule="auto"/>
        <w:jc w:val="left"/>
        <w:rPr>
          <w:rFonts w:hint="eastAsia"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5240020" cy="2922905"/>
            <wp:effectExtent l="0" t="0" r="17780" b="10795"/>
            <wp:docPr id="2" name="图片 6" descr="C:\Users\Administrator\Desktop\微信图片_20180428134910.png微信图片_2018042813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Users\Administrator\Desktop\微信图片_20180428134910.png微信图片_20180428134910"/>
                    <pic:cNvPicPr>
                      <a:picLocks noChangeAspect="1"/>
                    </pic:cNvPicPr>
                  </pic:nvPicPr>
                  <pic:blipFill>
                    <a:blip r:embed="rId10"/>
                    <a:stretch>
                      <a:fillRect/>
                    </a:stretch>
                  </pic:blipFill>
                  <pic:spPr>
                    <a:xfrm>
                      <a:off x="0" y="0"/>
                      <a:ext cx="5240020" cy="2922905"/>
                    </a:xfrm>
                    <a:prstGeom prst="rect">
                      <a:avLst/>
                    </a:prstGeom>
                    <a:noFill/>
                    <a:ln>
                      <a:noFill/>
                    </a:ln>
                  </pic:spPr>
                </pic:pic>
              </a:graphicData>
            </a:graphic>
          </wp:inline>
        </w:drawing>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完成重点视频图像补点建设</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在完成9大类重点视频图像的目录梳理和规范标注的基础上，开展党委政府、高速公路出入口和4A级及以上景区等重点部位视频补点工作，确保覆盖率100%。</w:t>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规范视频点位信息标注</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各省辖市要按照《视频图像文字标注规范》（GA/T 751）规范中的要求，对视频点位、人像卡口和车辆卡口的字符进行规范性标注。</w:t>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建立人、车数据跨级查询机制</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省级视综平台根据查询条件向市级人像、车辆卡口平台转发或分发查询指令，并汇总查询结果。市级平台应支持跨级查询功能，及时反馈查询结果。</w:t>
      </w:r>
    </w:p>
    <w:p>
      <w:pPr>
        <w:autoSpaceDE w:val="0"/>
        <w:autoSpaceDN w:val="0"/>
        <w:adjustRightInd w:val="0"/>
        <w:spacing w:line="360" w:lineRule="auto"/>
        <w:jc w:val="left"/>
        <w:rPr>
          <w:rFonts w:hint="eastAsia" w:ascii="仿宋" w:hAnsi="仿宋" w:eastAsia="仿宋" w:cs="仿宋"/>
          <w:color w:val="auto"/>
          <w:kern w:val="0"/>
          <w:sz w:val="24"/>
        </w:rPr>
      </w:pPr>
      <w:r>
        <w:rPr>
          <w:rFonts w:hint="eastAsia" w:ascii="仿宋" w:hAnsi="仿宋" w:eastAsia="仿宋" w:cs="仿宋"/>
          <w:color w:val="auto"/>
          <w:kern w:val="0"/>
          <w:sz w:val="24"/>
        </w:rPr>
        <w:drawing>
          <wp:inline distT="0" distB="0" distL="114300" distR="114300">
            <wp:extent cx="5262245" cy="3030220"/>
            <wp:effectExtent l="0" t="0" r="14605" b="17780"/>
            <wp:docPr id="1"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图片4"/>
                    <pic:cNvPicPr>
                      <a:picLocks noChangeAspect="1"/>
                    </pic:cNvPicPr>
                  </pic:nvPicPr>
                  <pic:blipFill>
                    <a:blip r:embed="rId11"/>
                    <a:stretch>
                      <a:fillRect/>
                    </a:stretch>
                  </pic:blipFill>
                  <pic:spPr>
                    <a:xfrm>
                      <a:off x="0" y="0"/>
                      <a:ext cx="5262245" cy="3030220"/>
                    </a:xfrm>
                    <a:prstGeom prst="rect">
                      <a:avLst/>
                    </a:prstGeom>
                    <a:noFill/>
                    <a:ln>
                      <a:noFill/>
                    </a:ln>
                  </pic:spPr>
                </pic:pic>
              </a:graphicData>
            </a:graphic>
          </wp:inline>
        </w:drawing>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建设完善视频专网“一机一档”系统</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各级公安机关负责本级“一机一档”系统建设和数据填报，通过数据上报接口与上级系统对接。</w:t>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统一视频点位设备编码</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按照GB/T 28181要求，规范视频监控、人像和车辆卡口设备编码，确保“同一台设备、同一个编码”，实现同一设备视频流和抓拍图片的相互关联，支持抓拍图片前后10秒内的视频图像回放查看。</w:t>
      </w:r>
    </w:p>
    <w:p>
      <w:pPr>
        <w:numPr>
          <w:ilvl w:val="0"/>
          <w:numId w:val="32"/>
        </w:numPr>
        <w:autoSpaceDE w:val="0"/>
        <w:autoSpaceDN w:val="0"/>
        <w:adjustRightInd w:val="0"/>
        <w:spacing w:line="360" w:lineRule="auto"/>
        <w:jc w:val="left"/>
        <w:rPr>
          <w:rFonts w:hint="eastAsia" w:ascii="仿宋" w:hAnsi="仿宋" w:eastAsia="仿宋" w:cs="仿宋"/>
          <w:b/>
          <w:color w:val="auto"/>
          <w:kern w:val="0"/>
          <w:sz w:val="24"/>
        </w:rPr>
      </w:pPr>
      <w:r>
        <w:rPr>
          <w:rFonts w:hint="eastAsia" w:ascii="仿宋" w:hAnsi="仿宋" w:eastAsia="仿宋" w:cs="仿宋"/>
          <w:b/>
          <w:color w:val="auto"/>
          <w:kern w:val="0"/>
          <w:sz w:val="24"/>
        </w:rPr>
        <w:t>建立全省视频专网统一校时体系</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全省视频专网统一校时体系采用省市县三级建设，市、区县负责本级视频专网校时系统建设，并实现与上级系统级联对接。</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6.数据中台</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6.1项目概述</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随着社会经济的发展，各行业对资源利用的触角已经深入数据领域，政务数据作为其重要组成部分，对产业推动影响至深，数据共享开放已成必然趋势。国家因此密集出台各类政策，要求各地市遵照执行。三门峡市作为较早一批开展大数据建设的城市，虽然取得了一些成效，但随着企业和群众诉求日益多元化，对公共服务的形式、内容、质量提出更新更高要求。近些年来全国各地市大数据工作发展迅速，各级政府发布的系统建设规范、数据安全规范、平台运维规范日新月异。为加快三门峡市政府数字化转型，大力提升政府科学决策、社会治理、网上服务等方面能力，结合本市实际情况建设数据中台。</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6.2项目服务目标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本项目旨在进一步完善全市数据资源体系建设，以公共服务大数据为引领，数据驱动业务为抓手，加快推进数据中台应用落地，全面建成完备的大数据制度标准规范体系，市级网上政务服务支撑能力大幅提升，使三门峡数字政府建设整体水平迈入全省先进行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项目通过对数据的“归集、治理、资产管理、研发、应用、创新”的全流程管控，建成后将实现以下具体建设目标：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1）建成以政策法规与标准规范为核心的大数据制度体系。围绕国务院及河南省数字政府建设总体规划和顶层设计，形成平台建设、数据资产、安全防控、数据开放、数据创新等领域的一些列制度标准规范。</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建成以三门峡市政务服务和大数据管理局为底座的高效政务应用支撑体系。在三门峡市数据中心已有ODS层后，延长数据管理链路，同步开展数据湖、数据仓库建设，充分发挥数据湖的灵活性和数据仓库的高效性，让存量数据更好用、业务单位更愿用，数据价值落在实处。</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3）建成以数据就是生产资料为目标的数据资产管理体系。依据“onedata、oneid、oneservice”的数据治理理念，将多部门、多维度、异构数据加工后，生成干净的数据资产，落实“一数一源”要求。向上赋能多样化业务场景，向下屏蔽复杂的技术细节，充分发挥中台作用，为政务服务提供简单易用的数据支撑。</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4）建成以技术创新带动业务创新、以后台数据支撑推动体制机制改革为抓手的数据创新体系。充分运用大数据、云计算、人工智能等新技术，利用数据挖掘技术发现数据“金矿”，开展专项数据分析、预测和评估，结合可视化技术，建设“领导驾驶舱”，充分发挥大数据在辅助决策方面的重要作用；利用AI技术的认知感知特点解放人力，优化流程；进一步推进政务数据开放和应用，完善基础库、主题库、特色专题库；逐步形成数据中枢、AI中枢、计算中枢，全面提升政府科学决策水平。</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5）进一步完善已有数据支撑体系。统一三门峡市级数据资源目录，实现资源订阅、审核全程网办，强化数据资源目录动态管理，做到国家、省、市三级平台目录联动，确保数据准确、权威。改造市级共享交换平台，按照统一的数据采集与交换标准，提供更为灵活的对接方式和数据服务形式，实现与国家数据、省级数据、各地数据、各部门数据共享交换，加速数据流动。加强数据开放服务，构建开放机制、模式和渠道，激活数据资产。</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6.3服务范围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6.4服务内容要求</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6.4.1数据集成平台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据集成平台作为底层基础支撑性服务，是平台体系的基础组成部分。通过提供多种数据集成能力，将政府各部门和来自互联网的结构化和非结构化的数据进行统一的汇聚接入，存储到大数据存储组件，并支持数据的预处理，为数据中台提供原始数据支撑。</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6.4.2数据共享平台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lang w:eastAsia="zh-CN"/>
        </w:rPr>
        <w:t>通</w:t>
      </w:r>
      <w:r>
        <w:rPr>
          <w:rFonts w:hint="eastAsia" w:ascii="仿宋" w:hAnsi="仿宋" w:eastAsia="仿宋" w:cs="仿宋"/>
          <w:color w:val="auto"/>
          <w:kern w:val="0"/>
          <w:sz w:val="24"/>
        </w:rPr>
        <w:t>过建立统一的数据共享平台，实现不同部门、不同格式的相互共享，以及异构系统之间、新老系统之间的信息的透明交换，以达到政府各部门网内共享互通的效果。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6.4.3数据交换平台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在数据共享的基础上建立个人工作平台，实现个人待办事项的及时处理，各类数据共享使用信息的监控，以达到个人工作准确高效处理的结果。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6.4.4大数据存储计算平台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以图表的方式可视化展示集群状态总览信息，展示内容包括集群主机、仪表盘、配置记录、重点关注服务和告警记录，支持多集群管理，通过切换集群可查看和管理不同集群环境中主机、仪表盘、配置记录、重点关注服务和告警记录等信息，集群主机包括主机信息、监控项数量、服务数量、告警数量和主机数量等，操作查看更多按钮，链接至集群主机管理界面，对集群主机进行管理操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6.4.5数据治理平台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数据治理平台发现问题数据、清洗转换数据，实现达到规范数据的生成、持续改进数据质量、最大化数据价值的目标。以及掌握对数据质量的分析以及数据清洗转换分析。</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6.4.6数据开发平台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展现任务名称、任务编码、更新时间、任务分类、任务类型、业务分类、引用作业、任务状态、活动实例等信息，支持新建、启用、停用和删除等操作。支持查看离线任务被作业引用的详细情况，支持查看离线任务的活动实例信息，可根据输入的参数信息执行任务。支持脚本的版本管理，包括历史版本查看、版本比对、版本回退等功能，同时在脚本开发过程中，支持参数的使用。</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6.4.7实时计算平台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支持对数据库连接参数进行配置，如数据源名称、数据源类型、数据库IP，端口等。</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6.4.8数据资源目录系统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目录管理系统参考国家政务信息资源相关标准中对数据信息资源的采集工作要求，从目录分类创建、目录编制、目录审核到目录发布，构建数据中台统一的资源目录采集标准体系，适用于各政务类、行业类等多种类型业务方向，帮助业务方实现内部数据的“底数”明确，“资源”清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6.4.9数据资产管理系统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据资产平台基于数据目录盘点数据资源，以统一数据标准为基础，规范元数据和主数据管理。围绕数据资产盘点、数据标准管理、元数据管理、数据资源管理、主数据管理等主要功能，实现“盘点数据资源，规范数据资产，发挥数据价值”的数据管理目标，为政府、企业或组织提供一站式数据管理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6.4.10数据安全平台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数据安全平台从数据全生命周期管理角度出发，重点聚焦于数据采集、数据存储、数据使用、数据共享等阶段的安全要求，为应用系统提供安全能力和安全监控。实现“可防、可视、可控”的安全目标。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6.4.11数据运维监控平台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对数据中台全生命周期运行情况进行监控，结合可视化分析技术，将平台中涉及的关键指标数据信息，以图表可视化结合的方式进行集中展示。</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6.4.12可视化分析平台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可配置图形分析工具的应用，使得数据分析结果能够以更为简洁的方式进行展现。可视化工具能够绘制出常见的图形，如折线图、柱状图、条形图、饼状图、表格等。图形中的维度可以进行任意调整，图形中的被衡量的数据也可进行调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6.4.13数据供需协同系统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数据提供部门基于数据责任清单，进行数据资源目录编制发布，完成对数据责任单的处理、办结，完善本部门可共享数据资源，并支持依据需求名称、需求提出部门的需求检索及目录链接查看。</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6.4.14领导驾驶舱</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对数据归集环节中的归集到的数据情况进行分析并以图表可视化的方式展示出来。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6.4.15评估考核系统</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根据考核方案的需求灵活配置考核对象，包括评估对象分类的新增、修改、删除，以及对分类下的评估对象进行新增、修改、删除等配置管理工作。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6.4.16基础支撑平台</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建设多样化的手段，是提升业务系统安全性与灵活性的关键举措。提供统一消息中心、统一用户中心、统一身份认证等功能。</w:t>
      </w:r>
    </w:p>
    <w:p>
      <w:pPr>
        <w:spacing w:line="360" w:lineRule="auto"/>
        <w:rPr>
          <w:rFonts w:hint="eastAsia" w:ascii="仿宋" w:hAnsi="仿宋" w:eastAsia="仿宋" w:cs="仿宋"/>
          <w:b/>
          <w:bCs/>
          <w:color w:val="auto"/>
          <w:kern w:val="0"/>
          <w:sz w:val="28"/>
          <w:szCs w:val="28"/>
        </w:rPr>
      </w:pPr>
    </w:p>
    <w:p>
      <w:pPr>
        <w:spacing w:before="156" w:beforeLines="50" w:after="156" w:afterLines="50" w:line="360" w:lineRule="auto"/>
        <w:outlineLvl w:val="1"/>
        <w:rPr>
          <w:rFonts w:hint="eastAsia" w:ascii="仿宋" w:hAnsi="仿宋" w:eastAsia="仿宋" w:cs="仿宋"/>
          <w:b/>
          <w:bCs/>
          <w:color w:val="auto"/>
          <w:kern w:val="0"/>
          <w:sz w:val="28"/>
          <w:szCs w:val="28"/>
        </w:rPr>
      </w:pPr>
      <w:r>
        <w:rPr>
          <w:rFonts w:hint="eastAsia" w:ascii="仿宋" w:hAnsi="仿宋" w:eastAsia="仿宋" w:cs="仿宋"/>
          <w:b/>
          <w:bCs/>
          <w:color w:val="auto"/>
          <w:kern w:val="0"/>
          <w:sz w:val="28"/>
          <w:szCs w:val="28"/>
        </w:rPr>
        <w:t>B包主要服务内容包含甘棠政务服务、政府集约化网站服务</w:t>
      </w:r>
    </w:p>
    <w:p>
      <w:pPr>
        <w:pStyle w:val="6"/>
        <w:spacing w:before="0" w:after="0" w:line="360" w:lineRule="auto"/>
        <w:rPr>
          <w:rFonts w:hint="eastAsia" w:ascii="仿宋" w:hAnsi="仿宋" w:eastAsia="仿宋" w:cs="仿宋"/>
          <w:b/>
          <w:bCs/>
          <w:color w:val="auto"/>
          <w:sz w:val="24"/>
          <w:szCs w:val="24"/>
        </w:rPr>
      </w:pPr>
      <w:r>
        <w:rPr>
          <w:rFonts w:hint="eastAsia" w:ascii="仿宋" w:hAnsi="仿宋" w:eastAsia="仿宋" w:cs="仿宋"/>
          <w:b/>
          <w:color w:val="auto"/>
          <w:sz w:val="24"/>
          <w:szCs w:val="24"/>
        </w:rPr>
        <w:t>一、</w:t>
      </w:r>
      <w:r>
        <w:rPr>
          <w:rFonts w:hint="eastAsia" w:ascii="仿宋" w:hAnsi="仿宋" w:eastAsia="仿宋" w:cs="仿宋"/>
          <w:b/>
          <w:bCs/>
          <w:color w:val="auto"/>
          <w:sz w:val="24"/>
          <w:szCs w:val="24"/>
        </w:rPr>
        <w:t>项目服务要求</w:t>
      </w:r>
    </w:p>
    <w:p>
      <w:pPr>
        <w:keepNext/>
        <w:keepLines/>
        <w:spacing w:line="360" w:lineRule="auto"/>
        <w:ind w:firstLine="480" w:firstLineChars="200"/>
        <w:outlineLvl w:val="3"/>
        <w:rPr>
          <w:rFonts w:hint="eastAsia" w:ascii="仿宋" w:hAnsi="仿宋" w:eastAsia="仿宋" w:cs="仿宋"/>
          <w:bCs/>
          <w:color w:val="auto"/>
          <w:sz w:val="24"/>
        </w:rPr>
      </w:pPr>
      <w:r>
        <w:rPr>
          <w:rFonts w:hint="eastAsia" w:ascii="仿宋" w:hAnsi="仿宋" w:eastAsia="仿宋" w:cs="仿宋"/>
          <w:bCs/>
          <w:color w:val="auto"/>
          <w:sz w:val="24"/>
        </w:rPr>
        <w:t>1、甘棠政务服务</w:t>
      </w:r>
    </w:p>
    <w:p>
      <w:pPr>
        <w:keepNext/>
        <w:keepLines/>
        <w:spacing w:line="360" w:lineRule="auto"/>
        <w:ind w:firstLine="480" w:firstLineChars="200"/>
        <w:outlineLvl w:val="4"/>
        <w:rPr>
          <w:rFonts w:hint="eastAsia" w:ascii="仿宋" w:hAnsi="仿宋" w:eastAsia="仿宋" w:cs="仿宋"/>
          <w:bCs/>
          <w:color w:val="auto"/>
          <w:sz w:val="24"/>
        </w:rPr>
      </w:pPr>
      <w:r>
        <w:rPr>
          <w:rFonts w:hint="eastAsia" w:ascii="仿宋" w:hAnsi="仿宋" w:eastAsia="仿宋" w:cs="仿宋"/>
          <w:bCs/>
          <w:color w:val="auto"/>
          <w:sz w:val="24"/>
        </w:rPr>
        <w:t>1.1项目概述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中共中央关于制定国民经济和社会发展第十四个五年规划和二〇三五年远景目标的建议》提出：“加强数字社会、数字政府建设，提升公共服务、社会治理等数字化智能化水平”。习近平总书记强调：“要以推行电子政务、建设新型智慧城市为抓手，以数据集中和共享为途径，建设全国一体化的国家大数据中心，推进技术融合、业务融合、数据融合，实现跨层级、跨地域、跨系统、跨部门、跨业务的协同管理和服务”。政府治理现代化是国家治理现代化的核心所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数字政府建设是实现政府治理现代化的重要支撑。</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互联网+政务”是数字政府建设中的重要一环，“互联网+政务”有助于提高行政效率、降低行政成本，为政府实现信息化管理和服务提供了便利条件。首先，“互联网+政务”有助于政府内部组织结构和工作流程的优化重组，超越时间、空间和部门分隔的制约，建成一个精简、高效、廉洁、公平的政府运作模式。其次，通过“互联网+政务”的开展，推进行政服务事项网上办理，提升了行政效率，提高了行政服务质量。最后，行政管理和行政服务的信息化，推进了政府机构和人员精简，极大降低了行政管理中的人力成本和时间成本。</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基于大数据和人工智能的智慧政务系统甘棠政务的研究与开发顺应了时代的发展，能够更好的支持地方政府职能部门的日常办公，为“放管服”数字大脑提供坚实保障，打造了“互联互通、联网审批、安全集成、智慧决策”的政务环境，支持向智慧服务型政府的改革。</w:t>
      </w:r>
    </w:p>
    <w:p>
      <w:pPr>
        <w:keepNext/>
        <w:keepLines/>
        <w:spacing w:line="360" w:lineRule="auto"/>
        <w:ind w:firstLine="561"/>
        <w:outlineLvl w:val="4"/>
        <w:rPr>
          <w:rFonts w:hint="eastAsia" w:ascii="仿宋" w:hAnsi="仿宋" w:eastAsia="仿宋" w:cs="仿宋"/>
          <w:b/>
          <w:bCs/>
          <w:color w:val="auto"/>
          <w:sz w:val="24"/>
        </w:rPr>
      </w:pPr>
      <w:r>
        <w:rPr>
          <w:rFonts w:hint="eastAsia" w:ascii="仿宋" w:hAnsi="仿宋" w:eastAsia="仿宋" w:cs="仿宋"/>
          <w:b/>
          <w:bCs/>
          <w:color w:val="auto"/>
          <w:sz w:val="24"/>
        </w:rPr>
        <w:t>1.2项目服务目标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甘棠政务产品主要致力于实现四个目标：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一是成为高效办公的“第一载体”。通过使用甘棠政务办公平台，不仅可以利用碎片化时间，打破时空限制，随时随地线上办公，根本解决办公不便捷问题，还可以实现政务信息实时提醒、工作任务一键部署、跨区域跨部门高效协同，构建集约、高效、安全的办公新模式，全面提升办公效能，极大提升工作效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二是成为改进作风的“第一利剑”。形式主义、官僚主义突出问题是工作不“出清”、行为不透明。通过使用甘棠政务平台，让行政行为流程化管理、数据化记录，实现“线上办事、限时办结、处处留痕、随时排名”，不仅能够约束公务员按章办事，让工作过程和结果清清楚楚，明明白白，无法造假，无法糊弄，还能够帮助领导干部摸清实情，有效解决脱离基层、脱离实际、脱离群众的问题，让形式主义、官僚主义没有市场、无处躲藏，进一步改进工作作风。</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三是成为科学决策的“第一参谋”。通过使用甘棠政务平台，可以将12345政府服务热线、智慧城管、互联网+政务服务等平台接入，实时收集各类业务大数据，定期向领导推送大数据分析报告，为领导决策提供坚实数据支撑。</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四是成为公务人员的“第一帮手”。通过使用甘棠政务平台，可以把公务人员从一些无谓的低效劳动中解放出来，从文山会海、跑前跑后中解放出来，从重复繁琐的工作中解放出来，让他们有更多时间和精力做直接为经济社会发展和为群众服务的事情，提高工作时间办文、办会、办事效率，尽量不加班、少加班，切实成为公务人员的喜爱。</w:t>
      </w:r>
    </w:p>
    <w:p>
      <w:pPr>
        <w:keepNext/>
        <w:keepLines/>
        <w:spacing w:line="360" w:lineRule="auto"/>
        <w:ind w:firstLine="561"/>
        <w:outlineLvl w:val="4"/>
        <w:rPr>
          <w:rFonts w:hint="eastAsia" w:ascii="仿宋" w:hAnsi="仿宋" w:eastAsia="仿宋" w:cs="仿宋"/>
          <w:b/>
          <w:bCs/>
          <w:color w:val="auto"/>
          <w:sz w:val="24"/>
        </w:rPr>
      </w:pPr>
      <w:r>
        <w:rPr>
          <w:rFonts w:hint="eastAsia" w:ascii="仿宋" w:hAnsi="仿宋" w:eastAsia="仿宋" w:cs="仿宋"/>
          <w:b/>
          <w:bCs/>
          <w:color w:val="auto"/>
          <w:sz w:val="24"/>
        </w:rPr>
        <w:t>1.3服务范围</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市（县、区）党委、人大、政府、政协、纪委监委、法院、检察院及其直属各部门，法律法规授权具有管理公共事务职能的事业单位和社会组织，以及政府派驻外地办事机构。</w:t>
      </w:r>
    </w:p>
    <w:p>
      <w:pPr>
        <w:keepNext/>
        <w:keepLines/>
        <w:spacing w:line="360" w:lineRule="auto"/>
        <w:ind w:firstLine="482" w:firstLineChars="200"/>
        <w:outlineLvl w:val="4"/>
        <w:rPr>
          <w:rFonts w:hint="eastAsia" w:ascii="仿宋" w:hAnsi="仿宋" w:eastAsia="仿宋" w:cs="仿宋"/>
          <w:b/>
          <w:bCs/>
          <w:color w:val="auto"/>
          <w:sz w:val="24"/>
        </w:rPr>
      </w:pPr>
      <w:r>
        <w:rPr>
          <w:rFonts w:hint="eastAsia" w:ascii="仿宋" w:hAnsi="仿宋" w:eastAsia="仿宋" w:cs="仿宋"/>
          <w:b/>
          <w:bCs/>
          <w:color w:val="auto"/>
          <w:sz w:val="24"/>
        </w:rPr>
        <w:t>1.4服务内容要求</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1.4.1 公文模块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该功能模块主要实现了内部公文管理电子化，由电子行文代替手工行文解决公文传递慢及成本高，信息不及时、不同步，不易于查阅等问题。有发文办理、收文办理、公文流转、公文起草、手写签批、公文审核等子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1.4.2 会议模块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会议管理系统是甘棠政务另一个核心功能。会议管理模块包括议题管理、会议室管理、会议通知和会议材料管理。用户可以在会议管理模块中进行会议发起、参会人员选定及会议签到的操作。</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1.4.3 工作圈模块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甘棠政务采用独特的工作圈模块进行政务分享，通过预设与政府工作相关的主题，支持各部门将工作成果进行展示，实现了各单位之间工作内容的互相了解。同时，基于主题的工作圈查看，支持对特定主题下的工作建设进行时间维度的回溯，实现了重大项目的进度跟踪。</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1.4.4 甘棠说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甘棠说功能模块主要是用户政务信息阅读的场所，整合了系统用户所涉及的部门信息、动态、工作成果等内容，通过收集、撰写使各部门之间的信息做到互联互通，实现内部信息的透明化。</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1.4.5 消息通知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甘棠政务系统在使用过程中的关键节点，会发布短信通知至账户关联手机号中，其中包含不限于，公文待接收或待批复等待处理动作发生时；会议通知或即将开始时等。</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1.4.6 信息简报</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信息简报模块用于在政务系统中分发特定格式的简报信息，可按照用户所在业务线场景进行分类显示，例如工作简版、政务信息快报、专项报告等，信息管理人员通过电脑端进行文本编辑上传和发布等动作，可点对点发布给阅读者，阅读者通过移动端可随时进行碎片化阅读，摆脱时间空间限制，提高信息效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1.4.7 用户中心</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甘棠政务的用户中心包含个人信息、已发布工作圈、账号密码管理、版本管理和意见反馈等功能；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其中个人信息包含组织管理员加入用户时的行政职务、个性化可更换头像等；</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已发布工作圈可查看用户账号过往发布工作圈内容；</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账号密码管理中除了可修改密码外，还可绑定微信，使用第三方方式登陆；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版本管理中可查看当前版本，并随时升级到最新版本；</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对于软件使用的任何意见可通过意见反馈传达给客服人员以便改进。</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1.4.8消息模块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消息模块是一种用于处理和管理不同类型消息的模块化系统。它支持订阅和发布消息，可以根据预设的路由规则将消息自动分发到相应的处理模块或人员，并支持对消息的查看、删除、导出等操作。此外，消息模块还提供安全控制机制，如身份验证、加密传输等，以确保消息的安全性和隐私保护。</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1.4.9文件模块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文件模块是一种用于管理和操作文件的模块化系统。它的主要功能包括文件的创建、读取、写入、修改和删除等操作，以及文件的路径管理、权限管理、版本控制等。</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1.4.10构建流水线</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流水线是一种软件开发实践，它将软件开发过程分解为一系列连续的阶段，每个阶段都有明确的输入和输出。构建流水线的目的是提高开发效率，减少错误，保证软件质量。在构建流水线中，每个阶段都可以看作是一个“流水线”上的节点，每个节点都有一个或多个任务需要完成。当一个任务完成后，它的输出就会成为下一个任务的输入。通过这种方式，可以确保软件开发过程的连续性和一致性。</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1.4.11微服务治理</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微服务是一种将单一应用程序划分为一组小的服务的方法，每个服务运行在其自身的进程中，服务之间通过HTTP的RESTful API或者轻量级的消息传递机制进行通信。微服务治理是指对这组服务的管理和控制，包括服务的发现、路由、负载均衡、故障恢复、安全控制等。微服务治理的目标是确保服务的可用性、可靠性、可扩展性和安全性。</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1.4.12接口授权模块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接口授权模块是用于控制谁可以访问和使用某个接口的一种机制。它包括用户认证（确认用户的身份）和权限验证（确定用户是否有权访问某个接口）。接口授权模块可以防止未经授权的用户访问敏感数据或执行重要操作，从而保护系统的安全。</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1.4.13数据授权模块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数据授权模块是用于控制谁可以访问和使用某些数据的机制。它包括用户认证和权限验证，以及更复杂的角色和规则管理。数据授权模块可以防止未经授权的用户访问敏感数据，从而保护数据的安全。</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1.4.14接口加密模块</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接口加密模块是用于保护接口通信安全的机制。它可以通过对接口的请求和响应进行加密，防止数据在传输过程中被截获或篡改。接口加密模块使用SSL/TLS协议来实现，这是一种在互联网上广泛使用的加密通信协议。</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1.4.15 对接与开发</w:t>
      </w:r>
    </w:p>
    <w:p>
      <w:pPr>
        <w:keepNext/>
        <w:keepLines/>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预留第三方数据接口，与第三方平台进行系统对接。</w:t>
      </w:r>
    </w:p>
    <w:p>
      <w:pPr>
        <w:keepNext/>
        <w:keepLines/>
        <w:spacing w:line="360" w:lineRule="auto"/>
        <w:ind w:firstLine="482" w:firstLineChars="200"/>
        <w:outlineLvl w:val="3"/>
        <w:rPr>
          <w:rFonts w:hint="eastAsia" w:ascii="仿宋" w:hAnsi="仿宋" w:eastAsia="仿宋" w:cs="仿宋"/>
          <w:b/>
          <w:color w:val="auto"/>
          <w:sz w:val="24"/>
        </w:rPr>
      </w:pPr>
      <w:r>
        <w:rPr>
          <w:rFonts w:hint="eastAsia" w:ascii="仿宋" w:hAnsi="仿宋" w:eastAsia="仿宋" w:cs="仿宋"/>
          <w:b/>
          <w:bCs/>
          <w:color w:val="auto"/>
          <w:sz w:val="24"/>
        </w:rPr>
        <w:t>2.政府网站集约化建设服务</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2.1项目概述</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政府网站集约化建设是基于政府网站的集约、日常运行和系统维护、安全服务、开办关停、日常安全监测，提供网站的全生命周期管理，建设集云、网、端、安全于一体的政府网站体系，帮助提升政府网站集约化治理水平。</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2.2项目服务目标</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政府网站集约化建设是基于政府网站的集约、日常运行和系统维护、安全服务、开办关停、日常安全监测，提供网站的全生命周期管理，建设集云、网、端、安全于一体的政府网站体系，帮助提升政府网站集约化治理水平。</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通过政府网站集约化体系建设，信息数据集中管理，内容服务集中提供，实现政府网站资源优化融合、平台整合安全、管理统筹规范、服务便捷高效的目的，实现统一标准体系，统一技术平台，统一运维监管，统一安全防护，最终达到建设集约化平台、形成标准规范、构建信息资源库、提供一体化服务、强化安全保障的工作目标。</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2.3服务范围</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7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序号</w:t>
            </w:r>
          </w:p>
        </w:tc>
        <w:tc>
          <w:tcPr>
            <w:tcW w:w="7517"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网站名称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卢氏县人民政府门户网站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三门峡国资委门户网站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三门峡市财政局门户网站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4</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三门峡市城市管理局门户网站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5</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三门峡市城乡一体化示范区门户网站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6</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三门峡市促贸会门户网站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7</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三门峡市发展和改革委员会门户网站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8</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w:t>
            </w:r>
            <w:r>
              <w:rPr>
                <w:rFonts w:hint="eastAsia" w:ascii="仿宋" w:hAnsi="仿宋" w:eastAsia="仿宋" w:cs="仿宋"/>
                <w:color w:val="auto"/>
                <w:kern w:val="0"/>
                <w:sz w:val="24"/>
                <w:lang w:eastAsia="zh-CN" w:bidi="ar"/>
              </w:rPr>
              <w:t>乡村振兴局</w:t>
            </w:r>
            <w:r>
              <w:rPr>
                <w:rFonts w:hint="eastAsia" w:ascii="仿宋" w:hAnsi="仿宋" w:eastAsia="仿宋" w:cs="仿宋"/>
                <w:color w:val="auto"/>
                <w:kern w:val="0"/>
                <w:sz w:val="24"/>
                <w:lang w:bidi="ar"/>
              </w:rPr>
              <w:t>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9</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三门峡市工业和信息化局门户网站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10</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三门峡市公安局门户网站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11</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三门峡市公积金管理中心门户网站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12</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三门峡市交通运输局门户网站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13</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三门峡市教育局门户网站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14</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三门峡市金融局门户网站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15</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三门峡市科学技术局门户网站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16</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三门峡市林业局门户网站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17</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三门峡市民政局门户网站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18</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三门峡市民族宗教管理局门户网站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19</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三门峡市农业农村局门户网站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20</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三门峡市人力资源和社会保障局门户网站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21</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三门峡市人民政府中文门户网站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22</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三门峡市人民政府英文门户网站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23</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三门峡市商务局门户网站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24</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三门峡市审计局门户网站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25</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三门峡市生态环境局门户网站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26</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三门峡市市场监督管理局门户网站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27</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三门峡市水利局门户网站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28</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三门峡市司法局门户网站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29</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三门峡市体育局门户网站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30</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三门峡市统计局门户网站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31</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三门峡市统计局</w:t>
            </w:r>
            <w:r>
              <w:rPr>
                <w:rFonts w:hint="eastAsia" w:ascii="仿宋" w:hAnsi="仿宋" w:eastAsia="仿宋" w:cs="仿宋"/>
                <w:color w:val="auto"/>
                <w:kern w:val="0"/>
                <w:sz w:val="24"/>
              </w:rPr>
              <w:t>-内部门户网站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32</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三门峡市退役军人事务局门户网站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33</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三门峡市卫生健康委员会门户网站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34</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三门峡市信访局门户网站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35</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三门峡市医疗保障局门户网站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36</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三门峡市应急管理局门户网站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37</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三门峡市政务服务和大数据管理局门户网站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38</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三门峡市住房和城乡建设局门户网站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5" w:type="dxa"/>
            <w:noWrap w:val="0"/>
            <w:vAlign w:val="center"/>
          </w:tcPr>
          <w:p>
            <w:pPr>
              <w:widowControl/>
              <w:autoSpaceDE w:val="0"/>
              <w:autoSpaceDN w:val="0"/>
              <w:adjustRightInd w:val="0"/>
              <w:spacing w:line="360" w:lineRule="auto"/>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39</w:t>
            </w:r>
          </w:p>
        </w:tc>
        <w:tc>
          <w:tcPr>
            <w:tcW w:w="7517" w:type="dxa"/>
            <w:noWrap w:val="0"/>
            <w:vAlign w:val="center"/>
          </w:tcPr>
          <w:p>
            <w:pPr>
              <w:widowControl/>
              <w:autoSpaceDE w:val="0"/>
              <w:autoSpaceDN w:val="0"/>
              <w:adjustRightInd w:val="0"/>
              <w:spacing w:line="360" w:lineRule="auto"/>
              <w:jc w:val="left"/>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bidi="ar"/>
              </w:rPr>
              <w:t>三门峡市自然资源和规划局门户网站</w:t>
            </w:r>
          </w:p>
        </w:tc>
      </w:tr>
    </w:tbl>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2.4服务内容要求</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2.4.1用户登录功能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系统开发完成后保障系统稳定登录，可以满足人员登录，错误弹窗，登录账号密码记忆，确认登录信息，验证码登录等。</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2.4.2修改密码功能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根据个人需求，进行对应密码修改，进行密码验证、密码输入、确认信息、取消/确认信修改信息等功能。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2.4.3平台管理功能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针对网站后台进行信息管理，包含角色管理、站点管理、信息修改。</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2.4.4内容管理功能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保障系统可进行专栏管理、文章管理、互动交流、工作管理、文件管理等功能。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2.4.5信息公开功能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保障系统可以进行信息公开、公开信息管理等功能。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2.4.6IPV6改造功能</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政府网站的IPv6改造是指原本仅支持用户通过IPv4协议访问并获取服务的网站经过技术升级或者改造后，能够支持用户通过IPv6协议访问并获取服务。集约化平台通过网络地址/协议翻译（NAT/PT）技术将内部IPv4网站资源转换为IPv6资源提供服务。NAT/PT技术是在IPv6和IPv4网络节点之间部署一个协议转换设备，在IPv6和IPv4之间建立网络层地址和协议端口的映射关系，以实现透明的IPv6和IPv4互访问。</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2.4.7定制化开发功能</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支持以上局委进行定制化首页、列表页、详情页、特色页面、栏目导航等列表开发。</w:t>
      </w:r>
    </w:p>
    <w:p>
      <w:pPr>
        <w:pStyle w:val="6"/>
        <w:autoSpaceDE/>
        <w:autoSpaceDN/>
        <w:spacing w:before="156" w:beforeLines="50" w:after="156" w:afterLines="50"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C包：包含互联网+放管服系统服务、互联网+营商环境系统服务</w:t>
      </w:r>
    </w:p>
    <w:p>
      <w:pPr>
        <w:pStyle w:val="6"/>
        <w:spacing w:before="0" w:after="0" w:line="360" w:lineRule="auto"/>
        <w:rPr>
          <w:rFonts w:hint="eastAsia" w:ascii="仿宋" w:hAnsi="仿宋" w:eastAsia="仿宋" w:cs="仿宋"/>
          <w:b/>
          <w:bCs/>
          <w:color w:val="auto"/>
          <w:sz w:val="24"/>
          <w:szCs w:val="24"/>
        </w:rPr>
      </w:pPr>
      <w:r>
        <w:rPr>
          <w:rFonts w:hint="eastAsia" w:ascii="仿宋" w:hAnsi="仿宋" w:eastAsia="仿宋" w:cs="仿宋"/>
          <w:b/>
          <w:color w:val="auto"/>
          <w:sz w:val="24"/>
          <w:szCs w:val="24"/>
        </w:rPr>
        <w:t>一、</w:t>
      </w:r>
      <w:r>
        <w:rPr>
          <w:rFonts w:hint="eastAsia" w:ascii="仿宋" w:hAnsi="仿宋" w:eastAsia="仿宋" w:cs="仿宋"/>
          <w:b/>
          <w:bCs/>
          <w:color w:val="auto"/>
          <w:sz w:val="24"/>
          <w:szCs w:val="24"/>
        </w:rPr>
        <w:t>项目服务要求</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1.互联网+放管服系统服务</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1.1项目概述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推进“数字政府”建设，提升政务服务水平，是深化“放管服”改革，优化营商环境的重要举措。按照《2020年网上办公网上审批网上服务工作目标和工作要点》（豫“放管服”组办〔2020〕2号）、《河南省人民政府推进政府职能转变和“放管服”改革协调小组办公室关于推进政务服务标准化和政务流程再造的通知》（豫“放管服”组办〔2020〕6号）、《河南省优化营商环境三年行动方案(2018-2020年)》和《三门峡市数字化支撑营商环境体制改革实施方案》要求，数字政府的建设以“互联网+放管服系统”和“互联网+营商环境系统”为主体，以“放管服”数字大脑为载体，加快推进网上办公、网上审批、网上服务，建立健全三门峡市营商环境评价考核体系，进一步完善营商环境工作督办机制，实现优化营商环境工作抓铁有痕，激发全体公务人员工作活力，提升营商环境工作服务质量，推动完成政务服务事项“一网通办”前提下“最多跑一次”、不见面审批、“一窗受理”、“全省通办”、“一件事”集成办理和“一证通办”等多项任务指标，确保我市政务服务能力进入全省第一梯队，推动三门峡市营商环境进入全省先进行列。</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1.2项目服务目标</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以“互联网+放管服系统服务”和“互联网+营商环境系统服务”为主体，以数字化基础设施建设推动我市“放管服”改革提速提质提效。利用数据交互共享和创新应用开发，促进政府部门工作协同，推动实现政务服务事项全程网上办，增强群众办事便捷度，提高我市政务服务水平，提升“放管服”改革整体效能。</w:t>
      </w:r>
    </w:p>
    <w:p>
      <w:pPr>
        <w:autoSpaceDE w:val="0"/>
        <w:autoSpaceDN w:val="0"/>
        <w:adjustRightInd w:val="0"/>
        <w:spacing w:line="360" w:lineRule="auto"/>
        <w:ind w:firstLine="420"/>
        <w:jc w:val="left"/>
        <w:rPr>
          <w:rFonts w:hint="eastAsia" w:ascii="仿宋" w:hAnsi="仿宋" w:eastAsia="仿宋" w:cs="仿宋"/>
          <w:color w:val="auto"/>
          <w:kern w:val="0"/>
          <w:sz w:val="24"/>
        </w:rPr>
      </w:pPr>
      <w:r>
        <w:rPr>
          <w:rFonts w:hint="eastAsia" w:ascii="仿宋" w:hAnsi="仿宋" w:eastAsia="仿宋" w:cs="仿宋"/>
          <w:color w:val="auto"/>
          <w:kern w:val="0"/>
          <w:sz w:val="24"/>
        </w:rPr>
        <w:t>破除各种不合理门槛和限制，营造公平竞争市场环境；推动提升外商投资和贸易便利化；持续提升审批服务质量，提高办事效率；加强和规范事中事后监管，维护良好市场秩序；畅通政企沟通渠道，提高涉企政策科学化水平。</w:t>
      </w:r>
    </w:p>
    <w:p>
      <w:pPr>
        <w:keepNext/>
        <w:keepLines/>
        <w:spacing w:line="360" w:lineRule="auto"/>
        <w:ind w:firstLine="482"/>
        <w:outlineLvl w:val="4"/>
        <w:rPr>
          <w:rFonts w:hint="eastAsia" w:ascii="仿宋" w:hAnsi="仿宋" w:eastAsia="仿宋" w:cs="仿宋"/>
          <w:b/>
          <w:color w:val="auto"/>
          <w:sz w:val="24"/>
        </w:rPr>
      </w:pPr>
      <w:r>
        <w:rPr>
          <w:rFonts w:hint="eastAsia" w:ascii="仿宋" w:hAnsi="仿宋" w:eastAsia="仿宋" w:cs="仿宋"/>
          <w:b/>
          <w:bCs/>
          <w:color w:val="auto"/>
          <w:sz w:val="24"/>
        </w:rPr>
        <w:t>1.3服务范围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1.4服务内容要求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1.4.1“放管服”改革督办平台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在深化“放管服”改革、优化营商环境工作推进过程中，任务下达不落实或打折扣落实的现象普遍存在，严重影响了改革进度和质量。究其原因，一是执行方与监管方沟通不顺畅严重降低了工作效率；二是“放管服”改革和营商环境涉及工作面广，监管人员不足；三是监管力度不够，执行方重视程度不足。</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为解决工作推进中存在的各类问题，建设“放管服”改革督办平台。平台系统主要包含任务及问题的归集和取证，工单派单交办和催办，“放管服”全类型问题的派单处理；工单分解和处理，责任分解，工单的全流程可见；长期任务分解为周期计划逐一落实；工单处理结果取证验证，工单的办结评价等功能，助推“放管服”各类问题清零。</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1.4.2 CA数字认证平台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1.4.2.1总体要求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CA数字证书遵循国家相关标准，通过数字信封、数字签名等非对称加密技术，支持数字身份标识、认证、访问控制、机密性、完整性、抗抵赖等安全服务，可以实现对用户身份的认证、审核、授权等功能，实现数字身份认证与管理的安全产品，支持集成多应用系统，满足三门峡市对数字证书的发放管理要求，需要对接获得电子认证服务资质、电子政务电子认证服务资质的第三方电子认证服务机构运营的电子认证服务系统。</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系统可满足以下要求：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1.实现证书注册系统（RA）管理：能够添加、停用和恢复RA受理系统的接入。</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 实现证书业务管理：能够统计证书发行数据、业务受理数据、人员操作数据。并能够对数据汇总报表。</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3.自主管理证书策略：能够提供友好的界面定制模板、能够将定制的模板导出为RA系统可理解格式、能够动态管理系统内的证书模板。</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4.日志管理功能：能够就日志的格式、内容、等级等进行配置；能够对日志进行查询和统计；能够对日志进行归档操作。</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5.实现证书签发、更新、下载等证书生命周期管理功能；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6.证书状态变更功能包括：</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证书撤销、冻结、解冻；改变证书状态；</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7.证书保存功能：将签发的证书保存到数据库，根据证书的变更请求变更数据库内证书的状态；</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8.实现CRL和证书发布和管理；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9.实现证书状态查询功能；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10.密钥申请：双证书签发时申请密钥；</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密钥恢复：加密证书密钥恢复时，能恢复密钥并重新签发加密证书。</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1.4.3电子材料平台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电子材料平台主要以电子材料方式推动数据共享合法合规，实现“五减一优”减材料，有效补充三门峡“一网通办”、“一证通办”及“一件事”短板。电子材料平台的设计主要参考国家相关标准，在满足国家及省平台具体要求的前提下，补充和完善三门峡市实际业务需求。建设成为满足业务需求的材料电子化平台，包括电子材料综合管理平台、电子材料颁发系统、电子材料应用系统、电子材料共享服务接口。</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（1）综合管理平台，主要用于对电子材料模板、电子材料基本要素及系统访问权限的配置等，是电子材料的后台管理部分。</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（2）颁发签发系统，主要用于电子材料的颁发签发，包括信息填写、签章，生成文件等功能。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（3）应用系统，主要实现电子材料的检索、验证、下载等功能。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（4）共享服务接口主要为三方业务系统提供能力支撑，实现在三方业务系统进行电子材料的检索、验证、下载等功能。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1.4.4 行政职权和公共服务事项填报平台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按照国家关于“互联网+政务服务”和“互联网+监管”等相关标准规范要求，梳理符合政务业务事项的统一标准，建设集政务服务事项、监管事项于一体的事项管理系统，主要用于事项信息的维护审核。</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1.4.5 局委办定制化业务信息管理平台（无系统单位，按3个考虑）</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根据“放管服”改革工作的实际需要，实现政务部门数据跨部门、跨层级实时共享，在信息化建设阶段，仍存在少数单位未建设信息化系统，使用原始的Excel台账方式整理数据资源，大大增加了数据汇聚的难度，严重制约数据资源的共享和应用。因此结合局委需求，建设信息管理平台，让各部门通过信息管理平台，对原始数据进行标准化管理，为深化“放管服”改革提供数据支撑，解决当前面临的数据共享不及时、信息安全无保障、数据汇聚难度大等问题。</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1.4.6 政务电子签章平台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电子印章是可靠电子签名的可视化表现形式，以密码技术为核心，将数字证书、签名密钥与实物印章图像有效绑定，用于实现各类电子文档完整性、真实性和不可抵赖性的图形化电子签名制作数据，具有高效便捷、管理轻松等优点。电子签章系统实现印章的申请、制作、发放、授权、更新、挂失及注销全生命周期管理，实现数据电文进行电子签章、多个印章的联合签章与验证，并与省电子签章系统平台完成技术对接、与国办电子签章系统完成技术对接，满足电子印章全国互通互认。</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2.互联网+营商环境系统服务</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2.1项目概述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推进“数字政府”建设，提升政务服务水平，是深化“放管服”改革，优化营商环境的重要举措。按照《2020年网上办公网上审批网上服务工作目标和工作要点》（豫“放管服”组办〔2020〕2号）、《河南省人民政府推进政府职能转变和“放管服”改革协调小组办公室关于推进政务服务标准化和政务流程再造的通知》（豫“放管服”组办〔2020〕6 号）、《河南省优化营商环境三年行动方案(2018-2020年)》和《三门峡市数字化支撑营商环境体制改革实施方案》要求，数字政府的建设以“互联网+放管服系统”和“互联网+营商环境系统”为主体，以“放管服”数字大脑为载体，加快推进网上办公、网上审批、网上服务，建立健全三门峡市营商环境评价考核体系，进一步完善营商环境工作督办机制，实现优化营商环境工作抓铁有痕，激发全体公务人员工作活力，提升营商环境工作服务质量，推动完成政务服务事项“一网通办”前提下“最多跑一次”、不见面审批、“一窗受理”、“全省通办”、“一件事”集成办理和“一证通办”等多项任务指标，确保我市政务服务能力进入全省第一梯队，推动三门峡市营商环境进入全省先进行列。</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2.2项目服务目标</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以“互联网+放管服系统服务”和“互联网+营商环境系统服务”为主体，以数字化基础设施建设推动我市“放管服”改革提速提质提效。利用数据交互共享和创新应用开发，促进政府部门工作协同，推动实现政务服务事项全程网上办，增强群众办事便捷度，提高我市政务服务水平，提升“放管服”改革整体效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破除各种不合理门槛和限制，营造公平竞争市场环境；推动提升外商投资和贸易便利化；持续提升审批服务质量，提高办事效率；加强和规范事中事后监管，维护良好市场秩序；畅通政企沟通渠道，提高涉企政策科学化水平。</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2.4服务内容要求</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2.4.1数字化营商环境管理平台</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提高营商环境网上服务能力，在细节处把控全局，建立数字化营商环境管理平台，通过信息化手段动态监控营商环境的各项评价指标，第一时间了解最新数据，为三门峡政府领导决策提供数据支撑，实现持续抓好整改提升工作。</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坚持对标一流。立足三门峡实际，对标世界银行营商环境评价指标体系、国务院大督查营商环境的做法，借鉴北京、上海等世行参评城市的实践，建立三门峡市营商环境评价指标体系，实现与国际国内先进可比。</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坚持问题导向。将市场主体企业对营商环境的满意度和获得感作为营商环境评价的重要内容，聚焦市场主体企业和群众在创新创业过程中最关注的法治、成本、便利化等问题，对标国际国内先进做法设计评价指标和评价办法，实现以评促改。</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坚持实事求是。根据各指标涉及的市县两级事权不同的实际，建设评价指标体系。坚持多维度数据采集和校核印证，力求评价结果更精准。</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坚持协同推进。健全营商环境评价工作协同推进机制，加强责任落实、业务协同。梳理总结评价中发现的首创经验，研究解决评价中发现的共性问题，推动“最多跑一次”改革进一步深化。</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（1）数据整合，对政务数据、各部门相关业务数据、第三方评估数据、世界银行评估数据进行整合。</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（2）指标管理，结合三门峡实际，采用10+N的指标模型体系，10个世界银行指标和N个区域特色指标组成。</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（3）大数据决策分析，借助大数据等信息化手段，对营商环境基础数据、过程数据等进行融合分析，揭示营商环境过程的具体问题。</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2.4.2政务数据查询核验平台</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按照市委市政府深化“放管服”改革、优化营商环境的要求，为切实打破“信息孤岛”，促进政府部门间信息共享，实现跨层级、跨部门、跨平台的业务协同，政务数据查询核验系统依托市数据共享交换平台，将后台的数据接口和库表转换为前台可见的使用界面，使各单位只要接入电子政务外网，经过相应的申请和授权，就可以通过网页形式查询其他部门的共享数据，查询结果可以下载保存或打印，在其他系统中需要使用共享数据时，可以导入上传查询结果表单，作为共享数据查询依据，不需要进行系统对接，有效降低数据共享应用门槛，提高共享数据应用效果。</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政务数据查询核验平台整合了省数据共享平台下放的数据接口、各局委业务系统及省平台推送的库表数据，为各局委业务系统提供接口服务，为各局委业务人员提供查询核验页面功能。</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2.4.3政务业务咨询和“好差评”热线服务平台</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为了配合营商环境优化，提升“放管服”能力，利用信息化手段提供便捷化、精准化的政务业务政策和法规解答、政务业务咨询及智能引导、政务业务办件进度查询及人工客服等服务。在提供政务业务咨询服务的基础上，进一步为能够全面及时准确了解企业和群众对政务服务的感受和诉求，同时接受社会监督，有针对性地改进服务，提升政府工作效能，落实国务院关于政务服务“好差评”制度的建设要求，将政务业务咨询与“好差评”热线服务工作协同建设。</w:t>
      </w:r>
    </w:p>
    <w:p>
      <w:pPr>
        <w:widowControl/>
        <w:shd w:val="clear" w:color="auto" w:fill="FFFFFF"/>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政务服务“好差评”的评价制度需要运行在统一的事项清单目录、明确的评价范围、规范的服务指南规范、统一的评价内容基础上。需要对评价范围、评价事项、服务标准、评价内容、运行管理制度制定相应的标准规范；相应的，对咨询投诉举报的运行制度、咨询投诉举报渠道等制定对应的标准规范。</w:t>
      </w:r>
    </w:p>
    <w:p>
      <w:pPr>
        <w:spacing w:line="360" w:lineRule="auto"/>
        <w:rPr>
          <w:rFonts w:hint="eastAsia" w:ascii="仿宋" w:hAnsi="仿宋" w:eastAsia="仿宋" w:cs="仿宋"/>
          <w:color w:val="auto"/>
          <w:sz w:val="24"/>
        </w:rPr>
      </w:pPr>
    </w:p>
    <w:bookmarkEnd w:id="8"/>
    <w:bookmarkEnd w:id="9"/>
    <w:bookmarkEnd w:id="10"/>
    <w:p>
      <w:pPr>
        <w:pStyle w:val="15"/>
        <w:spacing w:line="360" w:lineRule="auto"/>
        <w:ind w:firstLine="0"/>
        <w:outlineLvl w:val="1"/>
        <w:rPr>
          <w:rFonts w:hint="eastAsia" w:ascii="仿宋" w:hAnsi="仿宋" w:eastAsia="仿宋" w:cs="仿宋"/>
          <w:b/>
          <w:bCs/>
          <w:color w:val="auto"/>
        </w:rPr>
      </w:pPr>
      <w:bookmarkStart w:id="11" w:name="_Toc65168286"/>
      <w:bookmarkStart w:id="12" w:name="_Toc9791"/>
      <w:r>
        <w:rPr>
          <w:rFonts w:hint="eastAsia" w:ascii="仿宋" w:hAnsi="仿宋" w:eastAsia="仿宋" w:cs="仿宋"/>
          <w:b/>
          <w:bCs/>
          <w:color w:val="auto"/>
        </w:rPr>
        <w:t>D包：包含应急指挥平台服务、15个路口信号控制及电子警察服务</w:t>
      </w:r>
    </w:p>
    <w:p>
      <w:pPr>
        <w:pStyle w:val="6"/>
        <w:spacing w:before="0" w:after="0"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一、项目服务要求</w:t>
      </w: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1.应急指挥平台（硬件）一期服务</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1.1项目概述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贯彻落实党的</w:t>
      </w:r>
      <w:r>
        <w:rPr>
          <w:rFonts w:hint="eastAsia" w:ascii="仿宋" w:hAnsi="仿宋" w:eastAsia="仿宋" w:cs="仿宋"/>
          <w:color w:val="auto"/>
          <w:kern w:val="0"/>
          <w:sz w:val="24"/>
          <w:lang w:eastAsia="zh-CN"/>
        </w:rPr>
        <w:t>二十</w:t>
      </w:r>
      <w:r>
        <w:rPr>
          <w:rFonts w:hint="eastAsia" w:ascii="仿宋" w:hAnsi="仿宋" w:eastAsia="仿宋" w:cs="仿宋"/>
          <w:color w:val="auto"/>
          <w:kern w:val="0"/>
          <w:sz w:val="24"/>
        </w:rPr>
        <w:t>大会议精神，以习近平新时代中国特色社会主义思想为指引，牢固树立总体国家安全观，坚持以人民为中心的发展思想，坚持以防为主、防抗救相结合，坚持常态救灾和非常态救灾相统一，紧紧围绕新时代应急管理工作的新形式新任务新要求，全面加强应急管理信息化建设与应用，以信息化推进应急管理能力现代化，为形成“统一指挥、专常兼备、反应灵敏、上下联动、平战结合”的中国特色应急管理体制、建立高效科学的自然灾害防治体系和安全生产事故预防体系提供基础性、综合性、战略性保障支撑。</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根据河南省应急管理厅下发的《应急管理信息化近期重点建设内容指导意见》（豫应急办〔2019〕31号）、《河南省市、县应急指挥平台（硬件）建设方案》和《三门峡市人民政府关于改革完善应急管理体系的通知》（三政〔2019〕9号）等文件，三门峡应急管理局积极响应应急管理部、省应急管理厅相关指导意见，充分运用大数据、云计算、物联网、网络通信、自动化、视频监控、人工智能等先进技术，规划建设应急管理指挥中心和应急指挥平台，力求提升三门峡市应急管理局对紧急、突发事件的快速反应和指挥救援能力。</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1.2项目服务目标</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根据《2019年地方应急管理信息化实施指南》的要求，充分运用大数据、云计算、物联网、网络通信、自动化、视频监控、人工智能等先进技术，建设应急指挥信息基础系统，有效支撑值班值守、突发事件接报、协同会上、辅助决策、指挥调度、应急演练等业务职能。</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1.以实现“看得见，听得到，连得通，叫的应”为基本建设目标；</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2.确保重大活动和处置重大突发事件时应急指挥、决策信息能够即时传输；</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3.满足多部门协同作战，处置重大灾害事故的协调指挥和指挥中心日常工作的需要；</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1.3服务范围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1.4服务内容要求</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三门峡市应急指挥平台（硬件）一期服务项目主要根据省应急管理厅对市级应急指挥场所建设系统的要求进行设计。指挥中心系统的建设内容清单如表</w:t>
      </w:r>
    </w:p>
    <w:p>
      <w:pPr>
        <w:autoSpaceDE w:val="0"/>
        <w:autoSpaceDN w:val="0"/>
        <w:adjustRightInd w:val="0"/>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应急指挥平台建设内容清单</w:t>
      </w:r>
    </w:p>
    <w:tbl>
      <w:tblPr>
        <w:tblStyle w:val="10"/>
        <w:tblW w:w="5000" w:type="pct"/>
        <w:jc w:val="center"/>
        <w:tblLayout w:type="autofit"/>
        <w:tblCellMar>
          <w:top w:w="0" w:type="dxa"/>
          <w:left w:w="108" w:type="dxa"/>
          <w:bottom w:w="0" w:type="dxa"/>
          <w:right w:w="108" w:type="dxa"/>
        </w:tblCellMar>
      </w:tblPr>
      <w:tblGrid>
        <w:gridCol w:w="3102"/>
        <w:gridCol w:w="5420"/>
      </w:tblGrid>
      <w:tr>
        <w:tblPrEx>
          <w:tblCellMar>
            <w:top w:w="0" w:type="dxa"/>
            <w:left w:w="108" w:type="dxa"/>
            <w:bottom w:w="0" w:type="dxa"/>
            <w:right w:w="108" w:type="dxa"/>
          </w:tblCellMar>
        </w:tblPrEx>
        <w:trPr>
          <w:cantSplit/>
          <w:trHeight w:val="260" w:hRule="atLeast"/>
          <w:tblHeader/>
          <w:jc w:val="center"/>
        </w:trPr>
        <w:tc>
          <w:tcPr>
            <w:tcW w:w="1820"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内容</w:t>
            </w:r>
          </w:p>
        </w:tc>
        <w:tc>
          <w:tcPr>
            <w:tcW w:w="3179" w:type="pct"/>
            <w:tcBorders>
              <w:top w:val="single" w:color="auto" w:sz="4" w:space="0"/>
              <w:left w:val="nil"/>
              <w:bottom w:val="single" w:color="auto" w:sz="4" w:space="0"/>
              <w:right w:val="single" w:color="auto" w:sz="4" w:space="0"/>
            </w:tcBorders>
            <w:noWrap w:val="0"/>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说明</w:t>
            </w:r>
          </w:p>
        </w:tc>
      </w:tr>
      <w:tr>
        <w:tblPrEx>
          <w:tblCellMar>
            <w:top w:w="0" w:type="dxa"/>
            <w:left w:w="108" w:type="dxa"/>
            <w:bottom w:w="0" w:type="dxa"/>
            <w:right w:w="108" w:type="dxa"/>
          </w:tblCellMar>
        </w:tblPrEx>
        <w:trPr>
          <w:trHeight w:val="290" w:hRule="atLeast"/>
          <w:jc w:val="center"/>
        </w:trPr>
        <w:tc>
          <w:tcPr>
            <w:tcW w:w="1820" w:type="pct"/>
            <w:tcBorders>
              <w:top w:val="nil"/>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综合显示系统</w:t>
            </w:r>
          </w:p>
        </w:tc>
        <w:tc>
          <w:tcPr>
            <w:tcW w:w="3179" w:type="pct"/>
            <w:tcBorders>
              <w:top w:val="nil"/>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LED拼接大屏显示系统和分布式集中控制系统</w:t>
            </w:r>
          </w:p>
          <w:p>
            <w:pPr>
              <w:spacing w:line="360" w:lineRule="auto"/>
              <w:rPr>
                <w:rFonts w:ascii="仿宋" w:hAnsi="仿宋" w:eastAsia="仿宋" w:cs="仿宋"/>
                <w:color w:val="auto"/>
                <w:sz w:val="24"/>
              </w:rPr>
            </w:pPr>
            <w:r>
              <w:rPr>
                <w:rFonts w:hint="eastAsia" w:ascii="仿宋" w:hAnsi="仿宋" w:eastAsia="仿宋" w:cs="仿宋"/>
                <w:color w:val="auto"/>
                <w:sz w:val="24"/>
              </w:rPr>
              <w:t>音频系统、无纸化会议系统</w:t>
            </w:r>
          </w:p>
        </w:tc>
      </w:tr>
      <w:tr>
        <w:tblPrEx>
          <w:tblCellMar>
            <w:top w:w="0" w:type="dxa"/>
            <w:left w:w="108" w:type="dxa"/>
            <w:bottom w:w="0" w:type="dxa"/>
            <w:right w:w="108" w:type="dxa"/>
          </w:tblCellMar>
        </w:tblPrEx>
        <w:trPr>
          <w:trHeight w:val="290" w:hRule="atLeast"/>
          <w:jc w:val="center"/>
        </w:trPr>
        <w:tc>
          <w:tcPr>
            <w:tcW w:w="1820" w:type="pct"/>
            <w:tcBorders>
              <w:top w:val="nil"/>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综合音频系统</w:t>
            </w:r>
          </w:p>
        </w:tc>
        <w:tc>
          <w:tcPr>
            <w:tcW w:w="3179" w:type="pct"/>
            <w:tcBorders>
              <w:top w:val="nil"/>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综合音频系统是指集成了多种音频处理功能和设备的系统，旨在提供高质量、全面、灵活的音频解决方案。这种系统包括音频输入/输出设备、音频处理设备、信号传输设备、音频记录设备等，可以满足各种音频应用的需求。</w:t>
            </w:r>
          </w:p>
        </w:tc>
      </w:tr>
      <w:tr>
        <w:tblPrEx>
          <w:tblCellMar>
            <w:top w:w="0" w:type="dxa"/>
            <w:left w:w="108" w:type="dxa"/>
            <w:bottom w:w="0" w:type="dxa"/>
            <w:right w:w="108" w:type="dxa"/>
          </w:tblCellMar>
        </w:tblPrEx>
        <w:trPr>
          <w:trHeight w:val="290" w:hRule="atLeast"/>
          <w:jc w:val="center"/>
        </w:trPr>
        <w:tc>
          <w:tcPr>
            <w:tcW w:w="1820" w:type="pct"/>
            <w:tcBorders>
              <w:top w:val="nil"/>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分布式管控系统</w:t>
            </w:r>
          </w:p>
        </w:tc>
        <w:tc>
          <w:tcPr>
            <w:tcW w:w="3179" w:type="pct"/>
            <w:tcBorders>
              <w:top w:val="nil"/>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融合接入语言、视频、移动通信、卫星、集群通信等通信手段，实现统一调度和资源分配</w:t>
            </w:r>
          </w:p>
        </w:tc>
      </w:tr>
      <w:tr>
        <w:tblPrEx>
          <w:tblCellMar>
            <w:top w:w="0" w:type="dxa"/>
            <w:left w:w="108" w:type="dxa"/>
            <w:bottom w:w="0" w:type="dxa"/>
            <w:right w:w="108" w:type="dxa"/>
          </w:tblCellMar>
        </w:tblPrEx>
        <w:trPr>
          <w:trHeight w:val="290" w:hRule="atLeast"/>
          <w:jc w:val="center"/>
        </w:trPr>
        <w:tc>
          <w:tcPr>
            <w:tcW w:w="1820" w:type="pct"/>
            <w:tcBorders>
              <w:top w:val="nil"/>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lang w:val="zh-CN"/>
              </w:rPr>
            </w:pPr>
            <w:r>
              <w:rPr>
                <w:rFonts w:hint="eastAsia" w:ascii="仿宋" w:hAnsi="仿宋" w:eastAsia="仿宋" w:cs="仿宋"/>
                <w:color w:val="auto"/>
                <w:sz w:val="24"/>
                <w:lang w:val="zh-CN"/>
              </w:rPr>
              <w:t>指挥融合统信系统</w:t>
            </w:r>
          </w:p>
        </w:tc>
        <w:tc>
          <w:tcPr>
            <w:tcW w:w="3179" w:type="pct"/>
            <w:tcBorders>
              <w:top w:val="nil"/>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融合接入语言、视频、移动通信、卫星、集群通信等通信手段，实现统一调度和资源分配</w:t>
            </w:r>
          </w:p>
        </w:tc>
      </w:tr>
      <w:tr>
        <w:tblPrEx>
          <w:tblCellMar>
            <w:top w:w="0" w:type="dxa"/>
            <w:left w:w="108" w:type="dxa"/>
            <w:bottom w:w="0" w:type="dxa"/>
            <w:right w:w="108" w:type="dxa"/>
          </w:tblCellMar>
        </w:tblPrEx>
        <w:trPr>
          <w:trHeight w:val="290" w:hRule="atLeast"/>
          <w:jc w:val="center"/>
        </w:trPr>
        <w:tc>
          <w:tcPr>
            <w:tcW w:w="182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指挥视频会议系统</w:t>
            </w:r>
          </w:p>
        </w:tc>
        <w:tc>
          <w:tcPr>
            <w:tcW w:w="3179" w:type="pct"/>
            <w:tcBorders>
              <w:top w:val="single" w:color="auto" w:sz="4" w:space="0"/>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视频会议终端、视频会议服务器，实现横向连通、纵向贯通</w:t>
            </w:r>
          </w:p>
        </w:tc>
      </w:tr>
      <w:tr>
        <w:tblPrEx>
          <w:tblCellMar>
            <w:top w:w="0" w:type="dxa"/>
            <w:left w:w="108" w:type="dxa"/>
            <w:bottom w:w="0" w:type="dxa"/>
            <w:right w:w="108" w:type="dxa"/>
          </w:tblCellMar>
        </w:tblPrEx>
        <w:trPr>
          <w:trHeight w:val="290" w:hRule="atLeast"/>
          <w:jc w:val="center"/>
        </w:trPr>
        <w:tc>
          <w:tcPr>
            <w:tcW w:w="182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指挥网络安全系统</w:t>
            </w:r>
          </w:p>
        </w:tc>
        <w:tc>
          <w:tcPr>
            <w:tcW w:w="3179" w:type="pct"/>
            <w:tcBorders>
              <w:top w:val="single" w:color="auto" w:sz="4" w:space="0"/>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防火墙、漏洞扫描、防毒墙、日志审计、堡垒机等</w:t>
            </w:r>
          </w:p>
        </w:tc>
      </w:tr>
      <w:tr>
        <w:tblPrEx>
          <w:tblCellMar>
            <w:top w:w="0" w:type="dxa"/>
            <w:left w:w="108" w:type="dxa"/>
            <w:bottom w:w="0" w:type="dxa"/>
            <w:right w:w="108" w:type="dxa"/>
          </w:tblCellMar>
        </w:tblPrEx>
        <w:trPr>
          <w:trHeight w:val="290" w:hRule="atLeast"/>
          <w:jc w:val="center"/>
        </w:trPr>
        <w:tc>
          <w:tcPr>
            <w:tcW w:w="182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卫星通信系统</w:t>
            </w:r>
          </w:p>
        </w:tc>
        <w:tc>
          <w:tcPr>
            <w:tcW w:w="3179" w:type="pct"/>
            <w:tcBorders>
              <w:top w:val="single" w:color="auto" w:sz="4" w:space="0"/>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VSAT便携式远端接入站、天通终端</w:t>
            </w:r>
          </w:p>
        </w:tc>
      </w:tr>
      <w:tr>
        <w:tblPrEx>
          <w:tblCellMar>
            <w:top w:w="0" w:type="dxa"/>
            <w:left w:w="108" w:type="dxa"/>
            <w:bottom w:w="0" w:type="dxa"/>
            <w:right w:w="108" w:type="dxa"/>
          </w:tblCellMar>
        </w:tblPrEx>
        <w:trPr>
          <w:trHeight w:val="290" w:hRule="atLeast"/>
          <w:jc w:val="center"/>
        </w:trPr>
        <w:tc>
          <w:tcPr>
            <w:tcW w:w="182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配套设施</w:t>
            </w:r>
          </w:p>
        </w:tc>
        <w:tc>
          <w:tcPr>
            <w:tcW w:w="3179" w:type="pct"/>
            <w:tcBorders>
              <w:top w:val="single" w:color="auto" w:sz="4" w:space="0"/>
              <w:left w:val="nil"/>
              <w:bottom w:val="single" w:color="auto" w:sz="4" w:space="0"/>
              <w:right w:val="single" w:color="auto" w:sz="4" w:space="0"/>
            </w:tcBorders>
            <w:noWrap w:val="0"/>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供配电、UPS、安防门禁报警系统、空调新风系统、消防设施等</w:t>
            </w:r>
          </w:p>
        </w:tc>
      </w:tr>
    </w:tbl>
    <w:p>
      <w:pPr>
        <w:autoSpaceDE w:val="0"/>
        <w:autoSpaceDN w:val="0"/>
        <w:adjustRightInd w:val="0"/>
        <w:spacing w:line="360" w:lineRule="auto"/>
        <w:jc w:val="center"/>
        <w:rPr>
          <w:rFonts w:hint="eastAsia" w:ascii="仿宋" w:hAnsi="仿宋" w:eastAsia="仿宋" w:cs="仿宋"/>
          <w:color w:val="auto"/>
          <w:kern w:val="0"/>
          <w:sz w:val="24"/>
        </w:rPr>
      </w:pPr>
    </w:p>
    <w:p>
      <w:pPr>
        <w:keepNext/>
        <w:keepLines/>
        <w:spacing w:line="360" w:lineRule="auto"/>
        <w:ind w:firstLine="482" w:firstLineChars="200"/>
        <w:outlineLvl w:val="3"/>
        <w:rPr>
          <w:rFonts w:hint="eastAsia" w:ascii="仿宋" w:hAnsi="仿宋" w:eastAsia="仿宋" w:cs="仿宋"/>
          <w:b/>
          <w:bCs/>
          <w:color w:val="auto"/>
          <w:sz w:val="24"/>
        </w:rPr>
      </w:pPr>
      <w:r>
        <w:rPr>
          <w:rFonts w:hint="eastAsia" w:ascii="仿宋" w:hAnsi="仿宋" w:eastAsia="仿宋" w:cs="仿宋"/>
          <w:b/>
          <w:bCs/>
          <w:color w:val="auto"/>
          <w:sz w:val="24"/>
        </w:rPr>
        <w:t>2.市区15个路口信号控制及电子警察服务</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2.1项目概述</w:t>
      </w:r>
    </w:p>
    <w:p>
      <w:pPr>
        <w:autoSpaceDE w:val="0"/>
        <w:autoSpaceDN w:val="0"/>
        <w:adjustRightIn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随着城市经济的发展，车辆剧增，出现的交通阻塞，交通事故发生频率高，交通环境污染，交通治安混乱等一系列问题，严重影响着当前城市经济的发展和人民的生活，而同时交通设施的建设存在普遍滞后的状况，解决这些问题是当前所需，也是刻不容缓的。从系统、整体的范畴考虑，将交通中的各要素综合考虑，做到人、路、车三者的有机结合，充分应用电子警察系统使交通监控真正实现"智能化"，极大地提高交通管理的效率，确保交通安全。</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2.2项目服务目标</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闯红灯违章是造成当今社会交通事故的主要隐患之一。电子警察系统可以广泛应用在无人值守的路口、单行线、禁行、限时道路、限车型车道、主辅路进出口、公交专用道、违章超速、压线、变道等。利用科技手段实现对这一违章行为进行有力的治理，既能有效的防止此类交通违章行为，减少由此引起的事故，又能对违章的驾驶员起到很大的威慑作用，促进交通秩序向良性循环，同时能将部分交警从岗亭上解放下来，在一定程度上缓解警力不足的矛盾，真正体现向科学技术要警力的无穷力量。这一系统解决了无人值守路口无法对闯红灯车辆进行处罚的问题，同时也为交通管理部门执法提供了科学依据。</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2.3服务范围</w:t>
      </w:r>
    </w:p>
    <w:p>
      <w:pPr>
        <w:autoSpaceDE w:val="0"/>
        <w:autoSpaceDN w:val="0"/>
        <w:adjustRightInd w:val="0"/>
        <w:spacing w:line="360" w:lineRule="auto"/>
        <w:ind w:firstLine="484" w:firstLineChars="202"/>
        <w:jc w:val="left"/>
        <w:rPr>
          <w:rFonts w:hint="eastAsia" w:ascii="仿宋" w:hAnsi="仿宋" w:eastAsia="仿宋" w:cs="仿宋"/>
          <w:color w:val="auto"/>
          <w:kern w:val="0"/>
          <w:sz w:val="24"/>
        </w:rPr>
      </w:pPr>
      <w:r>
        <w:rPr>
          <w:rFonts w:hint="eastAsia" w:ascii="仿宋" w:hAnsi="仿宋" w:eastAsia="仿宋" w:cs="仿宋"/>
          <w:color w:val="auto"/>
          <w:kern w:val="0"/>
          <w:sz w:val="24"/>
        </w:rPr>
        <w:t>市本级。</w:t>
      </w:r>
    </w:p>
    <w:p>
      <w:pPr>
        <w:keepNext/>
        <w:keepLines/>
        <w:spacing w:line="360" w:lineRule="auto"/>
        <w:ind w:firstLine="482"/>
        <w:outlineLvl w:val="4"/>
        <w:rPr>
          <w:rFonts w:hint="eastAsia" w:ascii="仿宋" w:hAnsi="仿宋" w:eastAsia="仿宋" w:cs="仿宋"/>
          <w:b/>
          <w:bCs/>
          <w:color w:val="auto"/>
          <w:sz w:val="24"/>
        </w:rPr>
      </w:pPr>
      <w:r>
        <w:rPr>
          <w:rFonts w:hint="eastAsia" w:ascii="仿宋" w:hAnsi="仿宋" w:eastAsia="仿宋" w:cs="仿宋"/>
          <w:b/>
          <w:bCs/>
          <w:color w:val="auto"/>
          <w:sz w:val="24"/>
        </w:rPr>
        <w:t>2.4服务内容要求</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本服务方案应采用高清电子警察系统。该系统应采用纯视频检测方式，自动对视频流图像中的运动物体进行实时逐帧检测、锁定、跟踪，根据车辆运动轨迹判断车辆是否违章，无须破坏路面埋设线圈；采用视频检测识别红绿灯信号，无须接入红绿灯信号，消除施工困难；采用500万CMOS高清晰网络摄像机作为图像采集主体，单台摄像机覆盖单向2-3车道；采用LED冷光灯作为夜间补光灯，降低对人眼的刺激；采用DSP嵌入式控制主机，有独立的操作系统，设备稳定；系统结构简单，便于安装维护，立杆上只需一根网线和电源线即可，每方向设备：1（摄像机）+1(补光灯每条车道)+1(控制器)。</w:t>
      </w:r>
    </w:p>
    <w:p>
      <w:pPr>
        <w:pStyle w:val="2"/>
        <w:ind w:firstLine="240"/>
        <w:rPr>
          <w:rFonts w:hint="eastAsia" w:ascii="仿宋" w:hAnsi="仿宋" w:eastAsia="仿宋" w:cs="仿宋"/>
          <w:color w:val="auto"/>
          <w:sz w:val="24"/>
        </w:rPr>
      </w:pPr>
      <w:r>
        <w:rPr>
          <w:rFonts w:hint="eastAsia" w:ascii="仿宋" w:hAnsi="仿宋" w:eastAsia="仿宋" w:cs="仿宋"/>
          <w:color w:val="auto"/>
          <w:sz w:val="24"/>
        </w:rPr>
        <w:t>2.4.1业务需求</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交叉口作为城市交通的重要节点，承担着汇聚不同方向车流的重要作用，其重</w:t>
      </w:r>
      <w:r>
        <w:rPr>
          <w:rFonts w:hint="eastAsia" w:ascii="仿宋" w:hAnsi="仿宋" w:eastAsia="仿宋" w:cs="仿宋"/>
          <w:color w:val="auto"/>
          <w:kern w:val="0"/>
          <w:sz w:val="24"/>
        </w:rPr>
        <w:t>要性不言而喻。因此作为交通管理者的交警部门一方面需要针对交叉口的多种违法行为特别是机动车闯红灯行为进行监管和处罚，保证交叉口的交通通行安全，加强交通参与者交通安全意识；另一方面，交管部门需要充分掌握交叉口交通运行情况，对交通流进行合理的组织疏导，保证交叉口的交通通畅。同时，随着环保理念日渐深入人心，补光灯产生的光污染问题需要得到控制或治理。</w:t>
      </w:r>
    </w:p>
    <w:p>
      <w:pPr>
        <w:pStyle w:val="2"/>
        <w:ind w:firstLine="240"/>
        <w:rPr>
          <w:rFonts w:hint="eastAsia" w:ascii="仿宋" w:hAnsi="仿宋" w:eastAsia="仿宋" w:cs="仿宋"/>
          <w:color w:val="auto"/>
          <w:sz w:val="24"/>
          <w:szCs w:val="24"/>
        </w:rPr>
      </w:pPr>
      <w:r>
        <w:rPr>
          <w:rFonts w:hint="eastAsia" w:ascii="仿宋" w:hAnsi="仿宋" w:eastAsia="仿宋" w:cs="仿宋"/>
          <w:color w:val="auto"/>
          <w:sz w:val="24"/>
          <w:szCs w:val="24"/>
        </w:rPr>
        <w:t>2.4.2系统需求</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为了满足针对交叉口的违章处罚和精细化交通管理的需求，系统须具备以下功能：</w:t>
      </w:r>
    </w:p>
    <w:p>
      <w:pPr>
        <w:numPr>
          <w:ilvl w:val="0"/>
          <w:numId w:val="33"/>
        </w:numPr>
        <w:spacing w:line="300" w:lineRule="auto"/>
        <w:rPr>
          <w:rFonts w:hint="eastAsia" w:ascii="仿宋" w:hAnsi="仿宋" w:eastAsia="仿宋" w:cs="仿宋"/>
          <w:color w:val="auto"/>
          <w:sz w:val="24"/>
          <w:lang w:val="zh-CN"/>
        </w:rPr>
      </w:pPr>
      <w:r>
        <w:rPr>
          <w:rFonts w:hint="eastAsia" w:ascii="仿宋" w:hAnsi="仿宋" w:eastAsia="仿宋" w:cs="仿宋"/>
          <w:color w:val="auto"/>
          <w:sz w:val="24"/>
          <w:lang w:val="zh-CN"/>
        </w:rPr>
        <w:t>闯红灯自动识别和记录的功能，并符合取证的规范性；</w:t>
      </w:r>
    </w:p>
    <w:p>
      <w:pPr>
        <w:numPr>
          <w:ilvl w:val="0"/>
          <w:numId w:val="33"/>
        </w:numPr>
        <w:spacing w:line="300" w:lineRule="auto"/>
        <w:rPr>
          <w:rFonts w:hint="eastAsia" w:ascii="仿宋" w:hAnsi="仿宋" w:eastAsia="仿宋" w:cs="仿宋"/>
          <w:color w:val="auto"/>
          <w:sz w:val="24"/>
          <w:lang w:val="zh-CN"/>
        </w:rPr>
      </w:pPr>
      <w:r>
        <w:rPr>
          <w:rFonts w:hint="eastAsia" w:ascii="仿宋" w:hAnsi="仿宋" w:eastAsia="仿宋" w:cs="仿宋"/>
          <w:color w:val="auto"/>
          <w:sz w:val="24"/>
          <w:lang w:val="zh-CN"/>
        </w:rPr>
        <w:t>能够记录正常的过车信息和图片；</w:t>
      </w:r>
    </w:p>
    <w:p>
      <w:pPr>
        <w:numPr>
          <w:ilvl w:val="0"/>
          <w:numId w:val="33"/>
        </w:numPr>
        <w:spacing w:line="300" w:lineRule="auto"/>
        <w:rPr>
          <w:rFonts w:hint="eastAsia" w:ascii="仿宋" w:hAnsi="仿宋" w:eastAsia="仿宋" w:cs="仿宋"/>
          <w:color w:val="auto"/>
          <w:sz w:val="24"/>
          <w:lang w:val="zh-CN"/>
        </w:rPr>
      </w:pPr>
      <w:r>
        <w:rPr>
          <w:rFonts w:hint="eastAsia" w:ascii="仿宋" w:hAnsi="仿宋" w:eastAsia="仿宋" w:cs="仿宋"/>
          <w:color w:val="auto"/>
          <w:sz w:val="24"/>
          <w:lang w:val="zh-CN"/>
        </w:rPr>
        <w:t>满足《闯红灯自动记录系统通用技术条件》（GA/T496-2014）的要求，当部署捕获车辆正面图像的设备时，能够抓拍一张不小于50*50像素的驾驶人人脸图片；</w:t>
      </w:r>
    </w:p>
    <w:p>
      <w:pPr>
        <w:numPr>
          <w:ilvl w:val="0"/>
          <w:numId w:val="33"/>
        </w:numPr>
        <w:spacing w:line="300" w:lineRule="auto"/>
        <w:rPr>
          <w:rFonts w:hint="eastAsia" w:ascii="仿宋" w:hAnsi="仿宋" w:eastAsia="仿宋" w:cs="仿宋"/>
          <w:color w:val="auto"/>
          <w:sz w:val="24"/>
          <w:lang w:val="zh-CN"/>
        </w:rPr>
      </w:pPr>
      <w:r>
        <w:rPr>
          <w:rFonts w:hint="eastAsia" w:ascii="仿宋" w:hAnsi="仿宋" w:eastAsia="仿宋" w:cs="仿宋"/>
          <w:color w:val="auto"/>
          <w:sz w:val="24"/>
          <w:lang w:val="zh-CN"/>
        </w:rPr>
        <w:t>为满足《道路交通安全违法行为图像取证技术规范》（GA/T832-2014）的要求，在记录违法行为的同时，能够关联违法片段的录像；</w:t>
      </w:r>
    </w:p>
    <w:p>
      <w:pPr>
        <w:numPr>
          <w:ilvl w:val="0"/>
          <w:numId w:val="33"/>
        </w:numPr>
        <w:spacing w:line="300" w:lineRule="auto"/>
        <w:rPr>
          <w:rFonts w:hint="eastAsia" w:ascii="仿宋" w:hAnsi="仿宋" w:eastAsia="仿宋" w:cs="仿宋"/>
          <w:color w:val="auto"/>
          <w:sz w:val="24"/>
          <w:lang w:val="zh-CN"/>
        </w:rPr>
      </w:pPr>
      <w:r>
        <w:rPr>
          <w:rFonts w:hint="eastAsia" w:ascii="仿宋" w:hAnsi="仿宋" w:eastAsia="仿宋" w:cs="仿宋"/>
          <w:color w:val="auto"/>
          <w:sz w:val="24"/>
          <w:lang w:val="zh-CN"/>
        </w:rPr>
        <w:t>系统应具备良好的补光措施，保证夜间使用，并减少光污染；</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除闯红灯自动识别和记录功能以外，应同时具备其他违法行为的检测记录功能，保证系统的高可复用性。</w:t>
      </w:r>
    </w:p>
    <w:p>
      <w:pPr>
        <w:pStyle w:val="2"/>
        <w:ind w:firstLine="240"/>
        <w:rPr>
          <w:rFonts w:hint="eastAsia" w:ascii="仿宋" w:hAnsi="仿宋" w:eastAsia="仿宋" w:cs="仿宋"/>
          <w:color w:val="auto"/>
          <w:sz w:val="24"/>
          <w:szCs w:val="24"/>
        </w:rPr>
      </w:pPr>
      <w:r>
        <w:rPr>
          <w:rFonts w:hint="eastAsia" w:ascii="仿宋" w:hAnsi="仿宋" w:eastAsia="仿宋" w:cs="仿宋"/>
          <w:color w:val="auto"/>
          <w:sz w:val="24"/>
          <w:szCs w:val="24"/>
        </w:rPr>
        <w:t>2.4.3市区15个路口信号控制及电子警察</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个路口包含五原路向青路、甘棠路河堤北路、五原路上阳路、五原路永安街、文明路茅津路、上官路上青路、上官路和平路、黄河路上官路、黄河路经二路、建工路六峰路、黄河路崤山路、向青路草堂路、虢国路永安街、黄河路火车站、分陕路三门路</w:t>
      </w:r>
    </w:p>
    <w:p>
      <w:pPr>
        <w:pStyle w:val="15"/>
        <w:spacing w:line="360" w:lineRule="auto"/>
        <w:ind w:firstLine="0"/>
        <w:jc w:val="center"/>
        <w:rPr>
          <w:rFonts w:hint="eastAsia" w:ascii="仿宋" w:hAnsi="仿宋" w:eastAsia="仿宋" w:cs="仿宋"/>
          <w:b/>
          <w:bCs/>
          <w:color w:val="auto"/>
          <w:sz w:val="32"/>
          <w:szCs w:val="32"/>
        </w:rPr>
      </w:pPr>
    </w:p>
    <w:p>
      <w:pPr>
        <w:pStyle w:val="15"/>
        <w:spacing w:line="360" w:lineRule="auto"/>
        <w:ind w:firstLine="0"/>
        <w:jc w:val="center"/>
        <w:rPr>
          <w:rFonts w:hint="eastAsia" w:ascii="仿宋" w:hAnsi="仿宋" w:eastAsia="仿宋" w:cs="仿宋"/>
          <w:b/>
          <w:bCs/>
          <w:color w:val="auto"/>
          <w:sz w:val="32"/>
          <w:szCs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p>
    <w:p>
      <w:pPr>
        <w:pStyle w:val="15"/>
        <w:spacing w:line="360" w:lineRule="auto"/>
        <w:ind w:firstLine="0"/>
        <w:jc w:val="center"/>
        <w:rPr>
          <w:rFonts w:hint="eastAsia" w:ascii="仿宋" w:hAnsi="仿宋" w:eastAsia="仿宋" w:cs="仿宋"/>
          <w:b/>
          <w:color w:val="auto"/>
          <w:sz w:val="32"/>
        </w:rPr>
      </w:pPr>
      <w:r>
        <w:rPr>
          <w:rFonts w:hint="eastAsia" w:ascii="仿宋" w:hAnsi="仿宋" w:eastAsia="仿宋" w:cs="仿宋"/>
          <w:b/>
          <w:color w:val="auto"/>
          <w:sz w:val="32"/>
        </w:rPr>
        <w:t>第四章  合同条款及格式</w:t>
      </w:r>
      <w:bookmarkEnd w:id="11"/>
      <w:bookmarkEnd w:id="12"/>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szCs w:val="21"/>
        </w:rPr>
      </w:pPr>
    </w:p>
    <w:p>
      <w:pPr>
        <w:autoSpaceDE w:val="0"/>
        <w:autoSpaceDN w:val="0"/>
        <w:adjustRightInd w:val="0"/>
        <w:spacing w:line="500" w:lineRule="exact"/>
        <w:ind w:firstLine="2160" w:firstLineChars="90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 xml:space="preserve">     项目名称：</w:t>
      </w:r>
    </w:p>
    <w:p>
      <w:pPr>
        <w:autoSpaceDE w:val="0"/>
        <w:autoSpaceDN w:val="0"/>
        <w:adjustRightInd w:val="0"/>
        <w:spacing w:line="500" w:lineRule="exact"/>
        <w:ind w:firstLine="2160" w:firstLineChars="90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 xml:space="preserve">     项目编号：</w:t>
      </w:r>
    </w:p>
    <w:p>
      <w:pPr>
        <w:autoSpaceDE w:val="0"/>
        <w:autoSpaceDN w:val="0"/>
        <w:adjustRightInd w:val="0"/>
        <w:spacing w:line="500" w:lineRule="exact"/>
        <w:ind w:firstLine="2160" w:firstLineChars="90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 xml:space="preserve">     合同编号：</w:t>
      </w:r>
    </w:p>
    <w:p>
      <w:pPr>
        <w:spacing w:line="500" w:lineRule="exact"/>
        <w:ind w:firstLine="400" w:firstLineChars="200"/>
        <w:rPr>
          <w:rFonts w:hint="eastAsia" w:ascii="仿宋" w:hAnsi="仿宋" w:eastAsia="仿宋" w:cs="仿宋"/>
          <w:color w:val="auto"/>
          <w:kern w:val="0"/>
          <w:sz w:val="20"/>
          <w:szCs w:val="21"/>
        </w:rPr>
      </w:pPr>
    </w:p>
    <w:p>
      <w:pPr>
        <w:spacing w:line="500" w:lineRule="exact"/>
        <w:ind w:firstLine="400" w:firstLineChars="200"/>
        <w:rPr>
          <w:rFonts w:hint="eastAsia" w:ascii="仿宋" w:hAnsi="仿宋" w:eastAsia="仿宋" w:cs="仿宋"/>
          <w:color w:val="auto"/>
          <w:kern w:val="0"/>
          <w:sz w:val="20"/>
          <w:szCs w:val="21"/>
        </w:rPr>
      </w:pPr>
    </w:p>
    <w:p>
      <w:pPr>
        <w:spacing w:line="500" w:lineRule="exact"/>
        <w:ind w:firstLine="400" w:firstLineChars="200"/>
        <w:rPr>
          <w:rFonts w:hint="eastAsia" w:ascii="仿宋" w:hAnsi="仿宋" w:eastAsia="仿宋" w:cs="仿宋"/>
          <w:color w:val="auto"/>
          <w:kern w:val="0"/>
          <w:sz w:val="20"/>
          <w:szCs w:val="21"/>
        </w:rPr>
      </w:pPr>
    </w:p>
    <w:p>
      <w:pPr>
        <w:autoSpaceDE w:val="0"/>
        <w:autoSpaceDN w:val="0"/>
        <w:adjustRightInd w:val="0"/>
        <w:ind w:firstLine="400" w:firstLineChars="200"/>
        <w:jc w:val="left"/>
        <w:rPr>
          <w:rFonts w:hint="eastAsia" w:ascii="仿宋" w:hAnsi="仿宋" w:eastAsia="仿宋" w:cs="仿宋"/>
          <w:color w:val="auto"/>
          <w:kern w:val="0"/>
          <w:sz w:val="20"/>
          <w:szCs w:val="21"/>
        </w:rPr>
      </w:pPr>
    </w:p>
    <w:p>
      <w:pPr>
        <w:spacing w:line="500" w:lineRule="exact"/>
        <w:ind w:firstLine="400" w:firstLineChars="200"/>
        <w:rPr>
          <w:rFonts w:hint="eastAsia" w:ascii="仿宋" w:hAnsi="仿宋" w:eastAsia="仿宋" w:cs="仿宋"/>
          <w:color w:val="auto"/>
          <w:kern w:val="0"/>
          <w:sz w:val="20"/>
          <w:szCs w:val="21"/>
        </w:rPr>
      </w:pPr>
    </w:p>
    <w:p>
      <w:pPr>
        <w:autoSpaceDE w:val="0"/>
        <w:autoSpaceDN w:val="0"/>
        <w:adjustRightInd w:val="0"/>
        <w:spacing w:line="500" w:lineRule="exact"/>
        <w:jc w:val="left"/>
        <w:rPr>
          <w:rFonts w:hint="eastAsia" w:ascii="仿宋" w:hAnsi="仿宋" w:eastAsia="仿宋" w:cs="仿宋"/>
          <w:color w:val="auto"/>
          <w:kern w:val="0"/>
          <w:sz w:val="24"/>
        </w:rPr>
      </w:pPr>
    </w:p>
    <w:p>
      <w:pPr>
        <w:autoSpaceDE w:val="0"/>
        <w:autoSpaceDN w:val="0"/>
        <w:adjustRightInd w:val="0"/>
        <w:spacing w:after="120"/>
        <w:jc w:val="left"/>
        <w:rPr>
          <w:rFonts w:hint="eastAsia" w:ascii="仿宋" w:hAnsi="仿宋" w:eastAsia="仿宋" w:cs="仿宋"/>
          <w:color w:val="auto"/>
          <w:kern w:val="0"/>
          <w:sz w:val="24"/>
        </w:rPr>
      </w:pPr>
    </w:p>
    <w:p>
      <w:pPr>
        <w:tabs>
          <w:tab w:val="left" w:pos="2377"/>
        </w:tabs>
        <w:autoSpaceDE w:val="0"/>
        <w:autoSpaceDN w:val="0"/>
        <w:adjustRightInd w:val="0"/>
        <w:spacing w:line="500" w:lineRule="exact"/>
        <w:jc w:val="left"/>
        <w:rPr>
          <w:rFonts w:hint="eastAsia" w:ascii="仿宋" w:hAnsi="仿宋" w:eastAsia="仿宋" w:cs="仿宋"/>
          <w:color w:val="auto"/>
          <w:kern w:val="0"/>
          <w:sz w:val="24"/>
        </w:rPr>
      </w:pPr>
    </w:p>
    <w:p>
      <w:pPr>
        <w:autoSpaceDE w:val="0"/>
        <w:autoSpaceDN w:val="0"/>
        <w:adjustRightInd w:val="0"/>
        <w:spacing w:line="500" w:lineRule="exact"/>
        <w:ind w:firstLine="1320" w:firstLineChars="55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采购人（甲方）：</w:t>
      </w:r>
    </w:p>
    <w:p>
      <w:pPr>
        <w:autoSpaceDE w:val="0"/>
        <w:autoSpaceDN w:val="0"/>
        <w:adjustRightInd w:val="0"/>
        <w:spacing w:line="500" w:lineRule="exact"/>
        <w:ind w:firstLine="1320" w:firstLineChars="55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成交供应商（乙方）：</w:t>
      </w:r>
    </w:p>
    <w:p>
      <w:pPr>
        <w:autoSpaceDE w:val="0"/>
        <w:autoSpaceDN w:val="0"/>
        <w:adjustRightInd w:val="0"/>
        <w:spacing w:line="500" w:lineRule="exact"/>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br w:type="page"/>
      </w:r>
      <w:r>
        <w:rPr>
          <w:rFonts w:hint="eastAsia" w:ascii="仿宋" w:hAnsi="仿宋" w:eastAsia="仿宋" w:cs="仿宋"/>
          <w:color w:val="auto"/>
          <w:kern w:val="0"/>
          <w:sz w:val="24"/>
        </w:rPr>
        <w:t>甲方：</w:t>
      </w:r>
      <w:r>
        <w:rPr>
          <w:rFonts w:hint="eastAsia" w:ascii="仿宋" w:hAnsi="仿宋" w:eastAsia="仿宋" w:cs="仿宋"/>
          <w:color w:val="auto"/>
          <w:kern w:val="0"/>
          <w:sz w:val="24"/>
          <w:u w:val="single"/>
        </w:rPr>
        <w:t xml:space="preserve">    （采购人）</w:t>
      </w:r>
    </w:p>
    <w:p>
      <w:pPr>
        <w:autoSpaceDE w:val="0"/>
        <w:autoSpaceDN w:val="0"/>
        <w:adjustRightInd w:val="0"/>
        <w:spacing w:line="50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乙方：</w:t>
      </w:r>
      <w:r>
        <w:rPr>
          <w:rFonts w:hint="eastAsia" w:ascii="仿宋" w:hAnsi="仿宋" w:eastAsia="仿宋" w:cs="仿宋"/>
          <w:color w:val="auto"/>
          <w:kern w:val="0"/>
          <w:sz w:val="24"/>
          <w:u w:val="single"/>
        </w:rPr>
        <w:t>（成交供应商）</w:t>
      </w:r>
    </w:p>
    <w:p>
      <w:pPr>
        <w:autoSpaceDE w:val="0"/>
        <w:autoSpaceDN w:val="0"/>
        <w:adjustRightInd w:val="0"/>
        <w:spacing w:line="500" w:lineRule="exact"/>
        <w:jc w:val="left"/>
        <w:rPr>
          <w:rFonts w:hint="eastAsia" w:ascii="仿宋" w:hAnsi="仿宋" w:eastAsia="仿宋" w:cs="仿宋"/>
          <w:b/>
          <w:color w:val="auto"/>
          <w:kern w:val="0"/>
          <w:sz w:val="24"/>
          <w:u w:val="single"/>
        </w:rPr>
      </w:pPr>
      <w:r>
        <w:rPr>
          <w:rFonts w:hint="eastAsia" w:ascii="仿宋" w:hAnsi="仿宋" w:eastAsia="仿宋" w:cs="仿宋"/>
          <w:color w:val="auto"/>
          <w:kern w:val="0"/>
          <w:sz w:val="24"/>
        </w:rPr>
        <w:t xml:space="preserve">    根据</w:t>
      </w:r>
      <w:r>
        <w:rPr>
          <w:rFonts w:hint="eastAsia" w:ascii="仿宋" w:hAnsi="仿宋" w:eastAsia="仿宋" w:cs="仿宋"/>
          <w:color w:val="auto"/>
          <w:kern w:val="0"/>
          <w:sz w:val="24"/>
          <w:u w:val="single"/>
        </w:rPr>
        <w:t>三门峡市县一体化购买新型智慧城市建设(三期)服务项目</w:t>
      </w:r>
      <w:r>
        <w:rPr>
          <w:rFonts w:hint="eastAsia" w:ascii="仿宋" w:hAnsi="仿宋" w:eastAsia="仿宋" w:cs="仿宋"/>
          <w:color w:val="auto"/>
          <w:kern w:val="0"/>
          <w:sz w:val="24"/>
        </w:rPr>
        <w:t>的采购结果，按照《中华人民共和国政府采购法》、《合同法》规定，经双方协商，本着平等互利和诚实信用的原则，一致同意签订本合同如下。</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一、合同金额</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szCs w:val="22"/>
        </w:rPr>
      </w:pPr>
      <w:r>
        <w:rPr>
          <w:rFonts w:hint="eastAsia" w:ascii="仿宋" w:hAnsi="仿宋" w:eastAsia="仿宋" w:cs="仿宋"/>
          <w:color w:val="auto"/>
          <w:kern w:val="0"/>
          <w:sz w:val="24"/>
          <w:szCs w:val="22"/>
        </w:rPr>
        <w:t xml:space="preserve">合同金额（大写）：    </w:t>
      </w:r>
    </w:p>
    <w:p>
      <w:pPr>
        <w:autoSpaceDE w:val="0"/>
        <w:autoSpaceDN w:val="0"/>
        <w:adjustRightInd w:val="0"/>
        <w:spacing w:line="500" w:lineRule="exact"/>
        <w:ind w:firstLine="1440" w:firstLineChars="600"/>
        <w:jc w:val="left"/>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36"/>
          <w:sz w:val="24"/>
        </w:rPr>
        <w:t>小写</w:t>
      </w:r>
      <w:r>
        <w:rPr>
          <w:rFonts w:hint="eastAsia" w:ascii="仿宋" w:hAnsi="仿宋" w:eastAsia="仿宋" w:cs="仿宋"/>
          <w:color w:val="auto"/>
          <w:kern w:val="0"/>
          <w:sz w:val="24"/>
        </w:rPr>
        <w:t>）：      元</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二、合同形式:固定单价合同</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三、服务范围</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甲方聘请乙方提供以下服务：</w:t>
      </w:r>
    </w:p>
    <w:p>
      <w:pPr>
        <w:autoSpaceDE w:val="0"/>
        <w:autoSpaceDN w:val="0"/>
        <w:adjustRightInd w:val="0"/>
        <w:spacing w:line="500" w:lineRule="exact"/>
        <w:ind w:firstLine="480" w:firstLineChars="200"/>
        <w:jc w:val="left"/>
        <w:rPr>
          <w:rFonts w:hint="eastAsia" w:ascii="仿宋" w:hAnsi="仿宋" w:eastAsia="仿宋" w:cs="仿宋"/>
          <w:b/>
          <w:color w:val="auto"/>
          <w:kern w:val="0"/>
          <w:sz w:val="24"/>
          <w:u w:val="single"/>
        </w:rPr>
      </w:pPr>
      <w:r>
        <w:rPr>
          <w:rFonts w:hint="eastAsia" w:ascii="仿宋" w:hAnsi="仿宋" w:eastAsia="仿宋" w:cs="仿宋"/>
          <w:color w:val="auto"/>
          <w:kern w:val="0"/>
          <w:sz w:val="24"/>
        </w:rPr>
        <w:t>本合同项下的服务指</w:t>
      </w:r>
      <w:r>
        <w:rPr>
          <w:rFonts w:hint="eastAsia" w:ascii="仿宋" w:hAnsi="仿宋" w:eastAsia="仿宋" w:cs="仿宋"/>
          <w:bCs/>
          <w:color w:val="auto"/>
          <w:kern w:val="0"/>
          <w:sz w:val="24"/>
          <w:u w:val="single"/>
        </w:rPr>
        <w:t xml:space="preserve">                                    </w:t>
      </w:r>
      <w:r>
        <w:rPr>
          <w:rFonts w:hint="eastAsia" w:ascii="仿宋" w:hAnsi="仿宋" w:eastAsia="仿宋" w:cs="仿宋"/>
          <w:color w:val="auto"/>
          <w:kern w:val="0"/>
          <w:sz w:val="24"/>
          <w:u w:val="single"/>
        </w:rPr>
        <w:t>。</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四、甲方乙方的权利和义务</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（一）甲方的权利和义务：</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（二）乙方的权利和义务：</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五、服务期间（项目完成期限）</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委托服务期间自  年   月  日至   年   月   日止。</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六、付款方式：</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签订合同时，双方另行协商。</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七、违约责任与赔偿缺失</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1）乙方提供的服务有不符合采购文件、报价文件或本合同规定的，甲方有权拒收，并且乙方须向甲方支付本合同总价5%违约金。</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2）乙方未能合同规定的交货时间提供服务，从逾期之日起每日按本合同总价的3‰的数额向甲方支付违约金；逾期半个月以上的，甲方有权终止合同，由此造成的甲方经济损失由乙方承担。</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3）其它违约责任按《中华人民共和国合同法》处理。</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八、争端的解决</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合同执行过程中发生的任何争议，如双方不能通过友好协商解决，按相关法律法规处理。</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九、不可抗力:任何一方由于不可抗力原因不能履行合同时，应在不可抗力事件结束后1日内向双方通报，以减轻可能给双方造成的损失，在取得有关机构的不可抗力证明或双方谅解确认后，允许延期履行或修订合同，并根据情况可部分或全部免于承担违约责任。</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十、税费：在中国境内、外发生的与本合同执行有关的一切税费均由乙方负担。</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十一、其它</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1）本合同所有附件、单一来源采购文件、单一来源响应文件、成交通知书均为合同的有效组成部分，与本合同具有同等法律效力。</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2）在执行本合同的过程中，所有经双方签署确认的文件（包括会议纪要、补充协议、往来信函）即成为本合同的有效组成部分。</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3）如一方地址、电话、传真号码有变更，应在变更当日内书面通知对方，否则，应承担相应责任。</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4）除甲方事先书面同意外，乙方不得部分或全部转让其应履行的合同项下的义务。</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十二、合同生效：</w:t>
      </w:r>
    </w:p>
    <w:p>
      <w:pPr>
        <w:autoSpaceDE w:val="0"/>
        <w:autoSpaceDN w:val="0"/>
        <w:adjustRightInd w:val="0"/>
        <w:spacing w:line="50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1）代表或其授权代表签字盖章后生效。</w:t>
      </w:r>
    </w:p>
    <w:p>
      <w:pPr>
        <w:kinsoku w:val="0"/>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2）本合同一式两份，双方各执一份。</w:t>
      </w:r>
    </w:p>
    <w:p>
      <w:pPr>
        <w:autoSpaceDE w:val="0"/>
        <w:autoSpaceDN w:val="0"/>
        <w:adjustRightInd w:val="0"/>
        <w:spacing w:line="500" w:lineRule="exact"/>
        <w:jc w:val="left"/>
        <w:rPr>
          <w:rFonts w:hint="eastAsia" w:ascii="仿宋" w:hAnsi="仿宋" w:eastAsia="仿宋" w:cs="仿宋"/>
          <w:color w:val="auto"/>
          <w:kern w:val="0"/>
          <w:sz w:val="24"/>
        </w:rPr>
      </w:pPr>
    </w:p>
    <w:p>
      <w:pPr>
        <w:widowControl/>
        <w:autoSpaceDE w:val="0"/>
        <w:autoSpaceDN w:val="0"/>
        <w:adjustRightInd w:val="0"/>
        <w:snapToGri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甲方：                                    乙方：</w:t>
      </w:r>
    </w:p>
    <w:p>
      <w:pPr>
        <w:widowControl/>
        <w:autoSpaceDE w:val="0"/>
        <w:autoSpaceDN w:val="0"/>
        <w:adjustRightInd w:val="0"/>
        <w:snapToGri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单位地址：                                单位地址：</w:t>
      </w:r>
    </w:p>
    <w:p>
      <w:pPr>
        <w:widowControl/>
        <w:autoSpaceDE w:val="0"/>
        <w:autoSpaceDN w:val="0"/>
        <w:adjustRightInd w:val="0"/>
        <w:snapToGri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法定代表人：                              法定代表人：</w:t>
      </w:r>
    </w:p>
    <w:p>
      <w:pPr>
        <w:widowControl/>
        <w:autoSpaceDE w:val="0"/>
        <w:autoSpaceDN w:val="0"/>
        <w:adjustRightInd w:val="0"/>
        <w:snapToGri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委托代理人：                              委托代理人：</w:t>
      </w:r>
    </w:p>
    <w:p>
      <w:pPr>
        <w:widowControl/>
        <w:autoSpaceDE w:val="0"/>
        <w:autoSpaceDN w:val="0"/>
        <w:adjustRightInd w:val="0"/>
        <w:snapToGri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电话：                                    电话：</w:t>
      </w:r>
    </w:p>
    <w:p>
      <w:pPr>
        <w:widowControl/>
        <w:autoSpaceDE w:val="0"/>
        <w:autoSpaceDN w:val="0"/>
        <w:adjustRightInd w:val="0"/>
        <w:snapToGrid w:val="0"/>
        <w:spacing w:line="500" w:lineRule="exact"/>
        <w:ind w:firstLine="5040" w:firstLineChars="2100"/>
        <w:jc w:val="left"/>
        <w:rPr>
          <w:rFonts w:hint="eastAsia" w:ascii="仿宋" w:hAnsi="仿宋" w:eastAsia="仿宋" w:cs="仿宋"/>
          <w:color w:val="auto"/>
          <w:kern w:val="0"/>
          <w:sz w:val="24"/>
        </w:rPr>
      </w:pPr>
      <w:r>
        <w:rPr>
          <w:rFonts w:hint="eastAsia" w:ascii="仿宋" w:hAnsi="仿宋" w:eastAsia="仿宋" w:cs="仿宋"/>
          <w:color w:val="auto"/>
          <w:kern w:val="0"/>
          <w:sz w:val="24"/>
        </w:rPr>
        <w:t>签订日期：      年  月  日</w:t>
      </w:r>
    </w:p>
    <w:p>
      <w:pPr>
        <w:widowControl/>
        <w:autoSpaceDE w:val="0"/>
        <w:autoSpaceDN w:val="0"/>
        <w:adjustRightInd w:val="0"/>
        <w:snapToGrid w:val="0"/>
        <w:spacing w:line="500" w:lineRule="exact"/>
        <w:rPr>
          <w:rFonts w:hint="eastAsia" w:ascii="仿宋" w:hAnsi="仿宋" w:eastAsia="仿宋" w:cs="仿宋"/>
          <w:color w:val="auto"/>
          <w:kern w:val="0"/>
          <w:sz w:val="24"/>
        </w:rPr>
      </w:pPr>
    </w:p>
    <w:p>
      <w:pPr>
        <w:widowControl/>
        <w:autoSpaceDE w:val="0"/>
        <w:autoSpaceDN w:val="0"/>
        <w:adjustRightInd w:val="0"/>
        <w:snapToGrid w:val="0"/>
        <w:spacing w:line="500" w:lineRule="exact"/>
        <w:jc w:val="center"/>
        <w:rPr>
          <w:rFonts w:hint="eastAsia" w:ascii="仿宋" w:hAnsi="仿宋" w:eastAsia="仿宋" w:cs="仿宋"/>
          <w:b/>
          <w:color w:val="auto"/>
          <w:sz w:val="32"/>
          <w:szCs w:val="32"/>
        </w:rPr>
      </w:pPr>
      <w:bookmarkStart w:id="13" w:name="_Toc27209"/>
      <w:bookmarkStart w:id="14" w:name="_Toc65168287"/>
      <w:r>
        <w:rPr>
          <w:rFonts w:hint="eastAsia" w:ascii="仿宋" w:hAnsi="仿宋" w:eastAsia="仿宋" w:cs="仿宋"/>
          <w:b/>
          <w:color w:val="auto"/>
          <w:sz w:val="32"/>
          <w:szCs w:val="32"/>
          <w:lang w:bidi="ar"/>
        </w:rPr>
        <w:t>第五章  单一来源响应文件格式</w:t>
      </w:r>
      <w:bookmarkEnd w:id="13"/>
      <w:bookmarkEnd w:id="14"/>
    </w:p>
    <w:p>
      <w:pPr>
        <w:pStyle w:val="15"/>
        <w:widowControl/>
        <w:spacing w:line="360" w:lineRule="auto"/>
        <w:ind w:firstLine="0"/>
        <w:jc w:val="center"/>
        <w:rPr>
          <w:rFonts w:hint="eastAsia" w:ascii="仿宋" w:hAnsi="仿宋" w:eastAsia="仿宋" w:cs="仿宋"/>
          <w:b/>
          <w:color w:val="auto"/>
          <w:sz w:val="24"/>
          <w:szCs w:val="24"/>
        </w:rPr>
      </w:pPr>
      <w:bookmarkStart w:id="15" w:name="_Toc171073042"/>
      <w:bookmarkEnd w:id="15"/>
      <w:bookmarkStart w:id="16" w:name="_Toc169921407"/>
      <w:bookmarkEnd w:id="16"/>
      <w:bookmarkStart w:id="17" w:name="_Toc171073207"/>
      <w:bookmarkEnd w:id="17"/>
      <w:bookmarkStart w:id="18" w:name="_Toc223432387"/>
      <w:r>
        <w:rPr>
          <w:rFonts w:hint="eastAsia" w:ascii="仿宋" w:hAnsi="仿宋" w:eastAsia="仿宋" w:cs="仿宋"/>
          <w:b/>
          <w:color w:val="auto"/>
          <w:sz w:val="24"/>
          <w:szCs w:val="24"/>
        </w:rPr>
        <w:t>（此格式仅供参考）</w:t>
      </w:r>
      <w:bookmarkEnd w:id="18"/>
    </w:p>
    <w:p>
      <w:pPr>
        <w:pStyle w:val="15"/>
        <w:widowControl/>
        <w:spacing w:line="360" w:lineRule="auto"/>
        <w:ind w:firstLine="0"/>
        <w:jc w:val="both"/>
        <w:rPr>
          <w:rFonts w:hint="eastAsia" w:ascii="仿宋" w:hAnsi="仿宋" w:eastAsia="仿宋" w:cs="仿宋"/>
          <w:b/>
          <w:color w:val="auto"/>
          <w:sz w:val="32"/>
          <w:szCs w:val="32"/>
        </w:rPr>
      </w:pPr>
      <w:r>
        <w:rPr>
          <w:rFonts w:hint="eastAsia" w:ascii="仿宋" w:hAnsi="仿宋" w:eastAsia="仿宋" w:cs="仿宋"/>
          <w:b/>
          <w:color w:val="auto"/>
          <w:sz w:val="32"/>
          <w:szCs w:val="32"/>
        </w:rPr>
        <w:t xml:space="preserve"> </w:t>
      </w:r>
    </w:p>
    <w:p>
      <w:pPr>
        <w:widowControl/>
        <w:autoSpaceDE w:val="0"/>
        <w:autoSpaceDN w:val="0"/>
        <w:adjustRightInd w:val="0"/>
        <w:spacing w:line="360" w:lineRule="auto"/>
        <w:jc w:val="center"/>
        <w:rPr>
          <w:rFonts w:hint="eastAsia" w:ascii="仿宋" w:hAnsi="仿宋" w:eastAsia="仿宋" w:cs="仿宋"/>
          <w:b/>
          <w:color w:val="auto"/>
          <w:sz w:val="44"/>
          <w:szCs w:val="44"/>
          <w:lang w:bidi="ar"/>
        </w:rPr>
      </w:pPr>
      <w:r>
        <w:rPr>
          <w:rFonts w:hint="eastAsia" w:ascii="仿宋" w:hAnsi="仿宋" w:eastAsia="仿宋" w:cs="仿宋"/>
          <w:b/>
          <w:color w:val="auto"/>
          <w:sz w:val="44"/>
          <w:szCs w:val="44"/>
          <w:lang w:bidi="ar"/>
        </w:rPr>
        <w:t>三门峡市县一体化购买新型智慧城市建设</w:t>
      </w:r>
    </w:p>
    <w:p>
      <w:pPr>
        <w:widowControl/>
        <w:autoSpaceDE w:val="0"/>
        <w:autoSpaceDN w:val="0"/>
        <w:adjustRightInd w:val="0"/>
        <w:spacing w:line="360" w:lineRule="auto"/>
        <w:jc w:val="center"/>
        <w:rPr>
          <w:rFonts w:hint="eastAsia" w:ascii="仿宋" w:hAnsi="仿宋" w:eastAsia="仿宋" w:cs="仿宋"/>
          <w:b/>
          <w:color w:val="auto"/>
          <w:kern w:val="0"/>
          <w:sz w:val="28"/>
          <w:szCs w:val="28"/>
          <w:lang w:bidi="ar"/>
        </w:rPr>
      </w:pPr>
      <w:r>
        <w:rPr>
          <w:rFonts w:hint="eastAsia" w:ascii="仿宋" w:hAnsi="仿宋" w:eastAsia="仿宋" w:cs="仿宋"/>
          <w:b/>
          <w:color w:val="auto"/>
          <w:sz w:val="44"/>
          <w:szCs w:val="44"/>
          <w:lang w:bidi="ar"/>
        </w:rPr>
        <w:t>(三期)服务项目</w:t>
      </w:r>
      <w:r>
        <w:rPr>
          <w:rFonts w:hint="eastAsia" w:ascii="仿宋" w:hAnsi="仿宋" w:eastAsia="仿宋" w:cs="仿宋"/>
          <w:b/>
          <w:color w:val="auto"/>
          <w:sz w:val="44"/>
          <w:szCs w:val="44"/>
          <w:u w:val="single"/>
          <w:lang w:bidi="ar"/>
        </w:rPr>
        <w:t xml:space="preserve">   </w:t>
      </w:r>
      <w:r>
        <w:rPr>
          <w:rFonts w:hint="eastAsia" w:ascii="仿宋" w:hAnsi="仿宋" w:eastAsia="仿宋" w:cs="仿宋"/>
          <w:b/>
          <w:color w:val="auto"/>
          <w:sz w:val="44"/>
          <w:szCs w:val="44"/>
          <w:lang w:bidi="ar"/>
        </w:rPr>
        <w:t>包</w:t>
      </w:r>
      <w:r>
        <w:rPr>
          <w:rFonts w:hint="eastAsia" w:ascii="仿宋" w:hAnsi="仿宋" w:eastAsia="仿宋" w:cs="仿宋"/>
          <w:b/>
          <w:color w:val="auto"/>
          <w:kern w:val="0"/>
          <w:sz w:val="28"/>
          <w:szCs w:val="28"/>
          <w:lang w:bidi="ar"/>
        </w:rPr>
        <w:t xml:space="preserve"> </w:t>
      </w:r>
    </w:p>
    <w:p>
      <w:pPr>
        <w:widowControl/>
        <w:autoSpaceDE w:val="0"/>
        <w:autoSpaceDN w:val="0"/>
        <w:adjustRightInd w:val="0"/>
        <w:spacing w:line="360" w:lineRule="auto"/>
        <w:jc w:val="center"/>
        <w:rPr>
          <w:rFonts w:hint="eastAsia" w:ascii="仿宋" w:hAnsi="仿宋" w:eastAsia="仿宋" w:cs="仿宋"/>
          <w:b/>
          <w:color w:val="auto"/>
          <w:kern w:val="0"/>
          <w:sz w:val="28"/>
          <w:szCs w:val="28"/>
          <w:lang w:bidi="ar"/>
        </w:rPr>
      </w:pPr>
    </w:p>
    <w:p>
      <w:pPr>
        <w:widowControl/>
        <w:autoSpaceDE w:val="0"/>
        <w:autoSpaceDN w:val="0"/>
        <w:adjustRightInd w:val="0"/>
        <w:spacing w:line="360" w:lineRule="auto"/>
        <w:jc w:val="center"/>
        <w:rPr>
          <w:rFonts w:hint="eastAsia" w:ascii="仿宋" w:hAnsi="仿宋" w:eastAsia="仿宋" w:cs="仿宋"/>
          <w:b/>
          <w:color w:val="auto"/>
          <w:sz w:val="72"/>
          <w:szCs w:val="72"/>
        </w:rPr>
      </w:pPr>
      <w:r>
        <w:rPr>
          <w:rFonts w:hint="eastAsia" w:ascii="仿宋" w:hAnsi="仿宋" w:eastAsia="仿宋" w:cs="仿宋"/>
          <w:b/>
          <w:color w:val="auto"/>
          <w:kern w:val="0"/>
          <w:sz w:val="72"/>
          <w:szCs w:val="72"/>
          <w:lang w:bidi="ar"/>
        </w:rPr>
        <w:t>单一来源响应文件</w:t>
      </w:r>
    </w:p>
    <w:p>
      <w:pPr>
        <w:widowControl/>
        <w:autoSpaceDE w:val="0"/>
        <w:autoSpaceDN w:val="0"/>
        <w:adjustRightInd w:val="0"/>
        <w:spacing w:line="360" w:lineRule="auto"/>
        <w:jc w:val="center"/>
        <w:rPr>
          <w:rFonts w:hint="eastAsia" w:ascii="仿宋" w:hAnsi="仿宋" w:eastAsia="仿宋" w:cs="仿宋"/>
          <w:b/>
          <w:color w:val="auto"/>
        </w:rPr>
      </w:pPr>
      <w:r>
        <w:rPr>
          <w:rFonts w:hint="eastAsia" w:ascii="仿宋" w:hAnsi="仿宋" w:eastAsia="仿宋" w:cs="仿宋"/>
          <w:b/>
          <w:color w:val="auto"/>
          <w:kern w:val="0"/>
          <w:sz w:val="24"/>
          <w:lang w:bidi="ar"/>
        </w:rPr>
        <w:t xml:space="preserve"> </w:t>
      </w:r>
    </w:p>
    <w:p>
      <w:pPr>
        <w:autoSpaceDE w:val="0"/>
        <w:autoSpaceDN w:val="0"/>
        <w:adjustRightInd w:val="0"/>
        <w:spacing w:line="360" w:lineRule="auto"/>
        <w:ind w:left="735" w:leftChars="350" w:firstLine="1664" w:firstLineChars="592"/>
        <w:jc w:val="left"/>
        <w:rPr>
          <w:rFonts w:hint="eastAsia" w:ascii="仿宋" w:hAnsi="仿宋" w:eastAsia="仿宋" w:cs="仿宋"/>
          <w:color w:val="auto"/>
          <w:sz w:val="32"/>
          <w:szCs w:val="32"/>
        </w:rPr>
      </w:pPr>
      <w:r>
        <w:rPr>
          <w:rFonts w:hint="eastAsia" w:ascii="仿宋" w:hAnsi="仿宋" w:eastAsia="仿宋" w:cs="仿宋"/>
          <w:b/>
          <w:color w:val="auto"/>
          <w:kern w:val="0"/>
          <w:sz w:val="28"/>
          <w:szCs w:val="28"/>
          <w:lang w:bidi="ar"/>
        </w:rPr>
        <w:t>项目编号：三财单一采购-2023-6</w:t>
      </w:r>
      <w:r>
        <w:rPr>
          <w:rFonts w:hint="eastAsia" w:ascii="仿宋" w:hAnsi="仿宋" w:eastAsia="仿宋" w:cs="仿宋"/>
          <w:color w:val="auto"/>
          <w:kern w:val="0"/>
          <w:sz w:val="32"/>
          <w:szCs w:val="32"/>
          <w:lang w:bidi="ar"/>
        </w:rPr>
        <w:t xml:space="preserve"> </w:t>
      </w:r>
    </w:p>
    <w:p>
      <w:pPr>
        <w:autoSpaceDE w:val="0"/>
        <w:autoSpaceDN w:val="0"/>
        <w:adjustRightInd w:val="0"/>
        <w:spacing w:line="360" w:lineRule="auto"/>
        <w:ind w:left="735" w:leftChars="350" w:firstLine="614" w:firstLineChars="192"/>
        <w:jc w:val="left"/>
        <w:rPr>
          <w:rFonts w:hint="eastAsia" w:ascii="仿宋" w:hAnsi="仿宋" w:eastAsia="仿宋" w:cs="仿宋"/>
          <w:color w:val="auto"/>
          <w:sz w:val="32"/>
          <w:szCs w:val="32"/>
        </w:rPr>
      </w:pPr>
      <w:r>
        <w:rPr>
          <w:rFonts w:hint="eastAsia" w:ascii="仿宋" w:hAnsi="仿宋" w:eastAsia="仿宋" w:cs="仿宋"/>
          <w:color w:val="auto"/>
          <w:kern w:val="0"/>
          <w:sz w:val="32"/>
          <w:szCs w:val="32"/>
          <w:lang w:bidi="ar"/>
        </w:rPr>
        <w:t xml:space="preserve"> </w:t>
      </w:r>
    </w:p>
    <w:p>
      <w:pPr>
        <w:autoSpaceDE w:val="0"/>
        <w:autoSpaceDN w:val="0"/>
        <w:adjustRightInd w:val="0"/>
        <w:spacing w:line="360" w:lineRule="auto"/>
        <w:ind w:left="735" w:leftChars="350" w:firstLine="614" w:firstLineChars="192"/>
        <w:jc w:val="left"/>
        <w:rPr>
          <w:rFonts w:hint="eastAsia" w:ascii="仿宋" w:hAnsi="仿宋" w:eastAsia="仿宋" w:cs="仿宋"/>
          <w:color w:val="auto"/>
          <w:sz w:val="32"/>
          <w:szCs w:val="32"/>
        </w:rPr>
      </w:pPr>
      <w:r>
        <w:rPr>
          <w:rFonts w:hint="eastAsia" w:ascii="仿宋" w:hAnsi="仿宋" w:eastAsia="仿宋" w:cs="仿宋"/>
          <w:color w:val="auto"/>
          <w:kern w:val="0"/>
          <w:sz w:val="32"/>
          <w:szCs w:val="32"/>
          <w:lang w:bidi="ar"/>
        </w:rPr>
        <w:t xml:space="preserve"> </w:t>
      </w:r>
    </w:p>
    <w:p>
      <w:pPr>
        <w:autoSpaceDE w:val="0"/>
        <w:autoSpaceDN w:val="0"/>
        <w:adjustRightInd w:val="0"/>
        <w:spacing w:line="360" w:lineRule="auto"/>
        <w:ind w:left="735" w:leftChars="350" w:firstLine="614" w:firstLineChars="192"/>
        <w:jc w:val="left"/>
        <w:rPr>
          <w:rFonts w:hint="eastAsia" w:ascii="仿宋" w:hAnsi="仿宋" w:eastAsia="仿宋" w:cs="仿宋"/>
          <w:color w:val="auto"/>
          <w:kern w:val="0"/>
          <w:sz w:val="32"/>
          <w:szCs w:val="32"/>
          <w:lang w:bidi="ar"/>
        </w:rPr>
      </w:pPr>
      <w:r>
        <w:rPr>
          <w:rFonts w:hint="eastAsia" w:ascii="仿宋" w:hAnsi="仿宋" w:eastAsia="仿宋" w:cs="仿宋"/>
          <w:color w:val="auto"/>
          <w:kern w:val="0"/>
          <w:sz w:val="32"/>
          <w:szCs w:val="32"/>
          <w:lang w:bidi="ar"/>
        </w:rPr>
        <w:t xml:space="preserve"> </w:t>
      </w:r>
    </w:p>
    <w:p>
      <w:pPr>
        <w:autoSpaceDE w:val="0"/>
        <w:autoSpaceDN w:val="0"/>
        <w:adjustRightInd w:val="0"/>
        <w:spacing w:line="360" w:lineRule="auto"/>
        <w:ind w:left="735" w:leftChars="350" w:firstLine="614" w:firstLineChars="192"/>
        <w:jc w:val="left"/>
        <w:rPr>
          <w:rFonts w:hint="eastAsia" w:ascii="仿宋" w:hAnsi="仿宋" w:eastAsia="仿宋" w:cs="仿宋"/>
          <w:color w:val="auto"/>
          <w:kern w:val="0"/>
          <w:sz w:val="32"/>
          <w:szCs w:val="32"/>
          <w:lang w:bidi="ar"/>
        </w:rPr>
      </w:pPr>
    </w:p>
    <w:p>
      <w:pPr>
        <w:autoSpaceDE w:val="0"/>
        <w:autoSpaceDN w:val="0"/>
        <w:adjustRightInd w:val="0"/>
        <w:spacing w:line="360" w:lineRule="auto"/>
        <w:ind w:left="735" w:leftChars="350" w:firstLine="614" w:firstLineChars="192"/>
        <w:jc w:val="left"/>
        <w:rPr>
          <w:rFonts w:hint="eastAsia" w:ascii="仿宋" w:hAnsi="仿宋" w:eastAsia="仿宋" w:cs="仿宋"/>
          <w:color w:val="auto"/>
          <w:sz w:val="32"/>
          <w:szCs w:val="32"/>
        </w:rPr>
      </w:pPr>
    </w:p>
    <w:p>
      <w:pPr>
        <w:autoSpaceDE w:val="0"/>
        <w:autoSpaceDN w:val="0"/>
        <w:adjustRightInd w:val="0"/>
        <w:spacing w:line="360" w:lineRule="auto"/>
        <w:ind w:left="735" w:leftChars="350" w:firstLine="614" w:firstLineChars="192"/>
        <w:jc w:val="left"/>
        <w:rPr>
          <w:rFonts w:hint="eastAsia" w:ascii="仿宋" w:hAnsi="仿宋" w:eastAsia="仿宋" w:cs="仿宋"/>
          <w:color w:val="auto"/>
          <w:kern w:val="0"/>
          <w:sz w:val="32"/>
          <w:szCs w:val="32"/>
          <w:lang w:bidi="ar"/>
        </w:rPr>
      </w:pPr>
      <w:r>
        <w:rPr>
          <w:rFonts w:hint="eastAsia" w:ascii="仿宋" w:hAnsi="仿宋" w:eastAsia="仿宋" w:cs="仿宋"/>
          <w:color w:val="auto"/>
          <w:kern w:val="0"/>
          <w:sz w:val="32"/>
          <w:szCs w:val="32"/>
          <w:lang w:bidi="ar"/>
        </w:rPr>
        <w:t xml:space="preserve"> </w:t>
      </w:r>
    </w:p>
    <w:p>
      <w:pPr>
        <w:autoSpaceDE w:val="0"/>
        <w:autoSpaceDN w:val="0"/>
        <w:adjustRightInd w:val="0"/>
        <w:spacing w:line="360" w:lineRule="auto"/>
        <w:ind w:left="735" w:leftChars="350" w:firstLine="614" w:firstLineChars="192"/>
        <w:jc w:val="left"/>
        <w:rPr>
          <w:rFonts w:hint="eastAsia" w:ascii="仿宋" w:hAnsi="仿宋" w:eastAsia="仿宋" w:cs="仿宋"/>
          <w:color w:val="auto"/>
          <w:kern w:val="0"/>
          <w:sz w:val="32"/>
          <w:szCs w:val="32"/>
          <w:lang w:bidi="ar"/>
        </w:rPr>
      </w:pPr>
    </w:p>
    <w:p>
      <w:pPr>
        <w:autoSpaceDE w:val="0"/>
        <w:autoSpaceDN w:val="0"/>
        <w:adjustRightInd w:val="0"/>
        <w:spacing w:line="360" w:lineRule="auto"/>
        <w:ind w:left="735" w:leftChars="350" w:firstLine="614" w:firstLineChars="192"/>
        <w:jc w:val="left"/>
        <w:rPr>
          <w:rFonts w:hint="eastAsia" w:ascii="仿宋" w:hAnsi="仿宋" w:eastAsia="仿宋" w:cs="仿宋"/>
          <w:color w:val="auto"/>
          <w:kern w:val="0"/>
          <w:sz w:val="32"/>
          <w:szCs w:val="32"/>
          <w:lang w:bidi="ar"/>
        </w:rPr>
      </w:pPr>
    </w:p>
    <w:p>
      <w:pPr>
        <w:autoSpaceDE w:val="0"/>
        <w:autoSpaceDN w:val="0"/>
        <w:adjustRightInd w:val="0"/>
        <w:spacing w:line="360" w:lineRule="auto"/>
        <w:jc w:val="left"/>
        <w:rPr>
          <w:rFonts w:hint="eastAsia" w:ascii="仿宋" w:hAnsi="仿宋" w:eastAsia="仿宋" w:cs="仿宋"/>
          <w:color w:val="auto"/>
          <w:sz w:val="28"/>
          <w:szCs w:val="28"/>
        </w:rPr>
      </w:pPr>
    </w:p>
    <w:p>
      <w:pPr>
        <w:autoSpaceDE w:val="0"/>
        <w:autoSpaceDN w:val="0"/>
        <w:adjustRightInd w:val="0"/>
        <w:spacing w:line="360" w:lineRule="auto"/>
        <w:ind w:left="735" w:leftChars="350" w:firstLine="443" w:firstLineChars="147"/>
        <w:jc w:val="left"/>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供应商（盖章）：</w:t>
      </w:r>
    </w:p>
    <w:p>
      <w:pPr>
        <w:autoSpaceDE w:val="0"/>
        <w:autoSpaceDN w:val="0"/>
        <w:adjustRightInd w:val="0"/>
        <w:spacing w:line="360" w:lineRule="auto"/>
        <w:ind w:left="789" w:hanging="789" w:hangingChars="262"/>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 xml:space="preserve">        法定代表人或其委托人（签字）：</w:t>
      </w:r>
    </w:p>
    <w:p>
      <w:pPr>
        <w:autoSpaceDE w:val="0"/>
        <w:autoSpaceDN w:val="0"/>
        <w:adjustRightInd w:val="0"/>
        <w:spacing w:line="360" w:lineRule="auto"/>
        <w:ind w:firstLine="1205" w:firstLineChars="400"/>
        <w:jc w:val="left"/>
        <w:rPr>
          <w:rFonts w:hint="eastAsia" w:ascii="仿宋" w:hAnsi="仿宋" w:eastAsia="仿宋" w:cs="仿宋"/>
          <w:b/>
          <w:color w:val="auto"/>
          <w:sz w:val="30"/>
          <w:szCs w:val="30"/>
        </w:rPr>
      </w:pPr>
      <w:r>
        <w:rPr>
          <w:rFonts w:hint="eastAsia" w:ascii="仿宋" w:hAnsi="仿宋" w:eastAsia="仿宋" w:cs="仿宋"/>
          <w:b/>
          <w:color w:val="auto"/>
          <w:kern w:val="0"/>
          <w:sz w:val="30"/>
          <w:szCs w:val="30"/>
          <w:lang w:bidi="ar"/>
        </w:rPr>
        <w:t>日      期：</w:t>
      </w:r>
      <w:r>
        <w:rPr>
          <w:rFonts w:hint="eastAsia" w:ascii="仿宋" w:hAnsi="仿宋" w:eastAsia="仿宋" w:cs="仿宋"/>
          <w:b/>
          <w:color w:val="auto"/>
          <w:kern w:val="0"/>
          <w:sz w:val="32"/>
          <w:szCs w:val="32"/>
          <w:lang w:bidi="ar"/>
        </w:rPr>
        <w:t xml:space="preserve">    </w:t>
      </w:r>
      <w:r>
        <w:rPr>
          <w:rFonts w:hint="eastAsia" w:ascii="仿宋" w:hAnsi="仿宋" w:eastAsia="仿宋" w:cs="仿宋"/>
          <w:b/>
          <w:color w:val="auto"/>
          <w:kern w:val="0"/>
          <w:sz w:val="30"/>
          <w:szCs w:val="30"/>
          <w:lang w:bidi="ar"/>
        </w:rPr>
        <w:t xml:space="preserve"> </w:t>
      </w:r>
    </w:p>
    <w:p>
      <w:pPr>
        <w:autoSpaceDE w:val="0"/>
        <w:autoSpaceDN w:val="0"/>
        <w:adjustRightInd w:val="0"/>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kern w:val="0"/>
          <w:sz w:val="36"/>
          <w:szCs w:val="36"/>
          <w:lang w:bidi="ar"/>
        </w:rPr>
        <w:t>目  录</w:t>
      </w:r>
    </w:p>
    <w:p>
      <w:pPr>
        <w:autoSpaceDE w:val="0"/>
        <w:autoSpaceDN w:val="0"/>
        <w:adjustRightInd w:val="0"/>
        <w:spacing w:line="360" w:lineRule="auto"/>
        <w:ind w:firstLine="840" w:firstLineChars="350"/>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p>
    <w:p>
      <w:pPr>
        <w:autoSpaceDE w:val="0"/>
        <w:autoSpaceDN w:val="0"/>
        <w:adjustRightInd w:val="0"/>
        <w:spacing w:line="500" w:lineRule="exact"/>
        <w:ind w:firstLine="840" w:firstLineChars="350"/>
        <w:jc w:val="left"/>
        <w:rPr>
          <w:rFonts w:hint="eastAsia" w:ascii="仿宋" w:hAnsi="仿宋" w:eastAsia="仿宋" w:cs="仿宋"/>
          <w:color w:val="auto"/>
          <w:kern w:val="0"/>
          <w:sz w:val="24"/>
        </w:rPr>
      </w:pPr>
      <w:r>
        <w:rPr>
          <w:rFonts w:hint="eastAsia" w:ascii="仿宋" w:hAnsi="仿宋" w:eastAsia="仿宋" w:cs="仿宋"/>
          <w:color w:val="auto"/>
          <w:kern w:val="0"/>
          <w:sz w:val="24"/>
        </w:rPr>
        <w:t>一、综合标</w:t>
      </w:r>
    </w:p>
    <w:p>
      <w:pPr>
        <w:autoSpaceDE w:val="0"/>
        <w:autoSpaceDN w:val="0"/>
        <w:adjustRightInd w:val="0"/>
        <w:spacing w:line="500" w:lineRule="exact"/>
        <w:ind w:firstLine="840" w:firstLineChars="350"/>
        <w:jc w:val="left"/>
        <w:rPr>
          <w:rFonts w:hint="eastAsia" w:ascii="仿宋" w:hAnsi="仿宋" w:eastAsia="仿宋" w:cs="仿宋"/>
          <w:color w:val="auto"/>
          <w:kern w:val="0"/>
          <w:sz w:val="24"/>
        </w:rPr>
      </w:pPr>
      <w:r>
        <w:rPr>
          <w:rFonts w:hint="eastAsia" w:ascii="仿宋" w:hAnsi="仿宋" w:eastAsia="仿宋" w:cs="仿宋"/>
          <w:color w:val="auto"/>
          <w:kern w:val="0"/>
          <w:sz w:val="24"/>
        </w:rPr>
        <w:t>1.法定代表人身份证明书及授权委托书</w:t>
      </w:r>
    </w:p>
    <w:p>
      <w:pPr>
        <w:autoSpaceDE w:val="0"/>
        <w:autoSpaceDN w:val="0"/>
        <w:adjustRightInd w:val="0"/>
        <w:spacing w:line="500" w:lineRule="exact"/>
        <w:ind w:firstLine="840" w:firstLineChars="350"/>
        <w:jc w:val="left"/>
        <w:rPr>
          <w:rFonts w:hint="eastAsia" w:ascii="仿宋" w:hAnsi="仿宋" w:eastAsia="仿宋" w:cs="仿宋"/>
          <w:color w:val="auto"/>
          <w:kern w:val="0"/>
          <w:sz w:val="24"/>
        </w:rPr>
      </w:pPr>
      <w:r>
        <w:rPr>
          <w:rFonts w:hint="eastAsia" w:ascii="仿宋" w:hAnsi="仿宋" w:eastAsia="仿宋" w:cs="仿宋"/>
          <w:color w:val="auto"/>
          <w:kern w:val="0"/>
          <w:sz w:val="24"/>
        </w:rPr>
        <w:t>2.响应函</w:t>
      </w:r>
    </w:p>
    <w:p>
      <w:pPr>
        <w:autoSpaceDE w:val="0"/>
        <w:autoSpaceDN w:val="0"/>
        <w:adjustRightInd w:val="0"/>
        <w:spacing w:line="500" w:lineRule="exact"/>
        <w:ind w:firstLine="840" w:firstLineChars="350"/>
        <w:jc w:val="left"/>
        <w:rPr>
          <w:rFonts w:hint="eastAsia" w:ascii="仿宋" w:hAnsi="仿宋" w:eastAsia="仿宋" w:cs="仿宋"/>
          <w:color w:val="auto"/>
          <w:kern w:val="0"/>
          <w:sz w:val="24"/>
        </w:rPr>
      </w:pPr>
      <w:r>
        <w:rPr>
          <w:rFonts w:hint="eastAsia" w:ascii="仿宋" w:hAnsi="仿宋" w:eastAsia="仿宋" w:cs="仿宋"/>
          <w:color w:val="auto"/>
          <w:kern w:val="0"/>
          <w:sz w:val="24"/>
        </w:rPr>
        <w:t>3.首次报价一览表</w:t>
      </w:r>
    </w:p>
    <w:p>
      <w:pPr>
        <w:autoSpaceDE w:val="0"/>
        <w:autoSpaceDN w:val="0"/>
        <w:adjustRightInd w:val="0"/>
        <w:spacing w:line="500" w:lineRule="exact"/>
        <w:ind w:firstLine="840" w:firstLineChars="350"/>
        <w:jc w:val="left"/>
        <w:rPr>
          <w:rFonts w:hint="eastAsia" w:ascii="仿宋" w:hAnsi="仿宋" w:eastAsia="仿宋" w:cs="仿宋"/>
          <w:color w:val="auto"/>
          <w:kern w:val="0"/>
          <w:sz w:val="24"/>
        </w:rPr>
      </w:pPr>
      <w:r>
        <w:rPr>
          <w:rFonts w:hint="eastAsia" w:ascii="仿宋" w:hAnsi="仿宋" w:eastAsia="仿宋" w:cs="仿宋"/>
          <w:color w:val="auto"/>
          <w:kern w:val="0"/>
          <w:sz w:val="24"/>
        </w:rPr>
        <w:t>4.单一来源承诺函</w:t>
      </w:r>
    </w:p>
    <w:p>
      <w:pPr>
        <w:autoSpaceDE w:val="0"/>
        <w:autoSpaceDN w:val="0"/>
        <w:adjustRightInd w:val="0"/>
        <w:spacing w:line="500" w:lineRule="exact"/>
        <w:ind w:left="239" w:leftChars="114" w:firstLine="600" w:firstLineChars="250"/>
        <w:jc w:val="left"/>
        <w:rPr>
          <w:rFonts w:hint="eastAsia" w:ascii="仿宋" w:hAnsi="仿宋" w:eastAsia="仿宋" w:cs="仿宋"/>
          <w:color w:val="auto"/>
          <w:kern w:val="0"/>
          <w:sz w:val="24"/>
        </w:rPr>
      </w:pPr>
      <w:r>
        <w:rPr>
          <w:rFonts w:hint="eastAsia" w:ascii="仿宋" w:hAnsi="仿宋" w:eastAsia="仿宋" w:cs="仿宋"/>
          <w:color w:val="auto"/>
          <w:kern w:val="0"/>
          <w:sz w:val="24"/>
        </w:rPr>
        <w:t>5.无商业贿赂及不正当竞争行为承诺书</w:t>
      </w:r>
    </w:p>
    <w:p>
      <w:pPr>
        <w:autoSpaceDE w:val="0"/>
        <w:autoSpaceDN w:val="0"/>
        <w:adjustRightInd w:val="0"/>
        <w:spacing w:line="500" w:lineRule="exact"/>
        <w:ind w:left="239" w:leftChars="114" w:firstLine="600" w:firstLineChars="250"/>
        <w:jc w:val="left"/>
        <w:rPr>
          <w:rFonts w:hint="eastAsia" w:ascii="仿宋" w:hAnsi="仿宋" w:eastAsia="仿宋" w:cs="仿宋"/>
          <w:color w:val="auto"/>
          <w:kern w:val="0"/>
          <w:sz w:val="24"/>
        </w:rPr>
      </w:pPr>
      <w:r>
        <w:rPr>
          <w:rFonts w:hint="eastAsia" w:ascii="仿宋" w:hAnsi="仿宋" w:eastAsia="仿宋" w:cs="仿宋"/>
          <w:color w:val="auto"/>
          <w:kern w:val="0"/>
          <w:sz w:val="24"/>
        </w:rPr>
        <w:t>6.响应供应商基本情况表</w:t>
      </w:r>
    </w:p>
    <w:p>
      <w:pPr>
        <w:autoSpaceDE w:val="0"/>
        <w:autoSpaceDN w:val="0"/>
        <w:adjustRightInd w:val="0"/>
        <w:spacing w:line="500" w:lineRule="exact"/>
        <w:ind w:left="239" w:leftChars="114" w:firstLine="600" w:firstLineChars="250"/>
        <w:jc w:val="left"/>
        <w:rPr>
          <w:rFonts w:hint="eastAsia" w:ascii="仿宋" w:hAnsi="仿宋" w:eastAsia="仿宋" w:cs="仿宋"/>
          <w:color w:val="auto"/>
          <w:kern w:val="0"/>
          <w:sz w:val="24"/>
        </w:rPr>
      </w:pPr>
      <w:r>
        <w:rPr>
          <w:rFonts w:hint="eastAsia" w:ascii="仿宋" w:hAnsi="仿宋" w:eastAsia="仿宋" w:cs="仿宋"/>
          <w:color w:val="auto"/>
          <w:kern w:val="0"/>
          <w:sz w:val="24"/>
        </w:rPr>
        <w:t>二、技术标</w:t>
      </w:r>
    </w:p>
    <w:p>
      <w:pPr>
        <w:autoSpaceDE w:val="0"/>
        <w:autoSpaceDN w:val="0"/>
        <w:adjustRightInd w:val="0"/>
        <w:spacing w:line="500" w:lineRule="exact"/>
        <w:ind w:left="239" w:leftChars="114" w:firstLine="600" w:firstLineChars="250"/>
        <w:jc w:val="left"/>
        <w:rPr>
          <w:rFonts w:hint="eastAsia" w:ascii="仿宋" w:hAnsi="仿宋" w:eastAsia="仿宋" w:cs="仿宋"/>
          <w:color w:val="auto"/>
          <w:kern w:val="0"/>
          <w:sz w:val="24"/>
        </w:rPr>
      </w:pPr>
      <w:r>
        <w:rPr>
          <w:rFonts w:hint="eastAsia" w:ascii="仿宋" w:hAnsi="仿宋" w:eastAsia="仿宋" w:cs="仿宋"/>
          <w:color w:val="auto"/>
          <w:kern w:val="0"/>
          <w:sz w:val="24"/>
        </w:rPr>
        <w:t>7.服务方案</w:t>
      </w:r>
    </w:p>
    <w:p>
      <w:pPr>
        <w:autoSpaceDE w:val="0"/>
        <w:autoSpaceDN w:val="0"/>
        <w:adjustRightInd w:val="0"/>
        <w:spacing w:line="500" w:lineRule="exact"/>
        <w:ind w:left="239" w:leftChars="114" w:firstLine="600" w:firstLineChars="250"/>
        <w:jc w:val="left"/>
        <w:rPr>
          <w:rFonts w:hint="eastAsia" w:ascii="仿宋" w:hAnsi="仿宋" w:eastAsia="仿宋" w:cs="仿宋"/>
          <w:color w:val="auto"/>
          <w:kern w:val="0"/>
          <w:sz w:val="24"/>
        </w:rPr>
      </w:pPr>
      <w:r>
        <w:rPr>
          <w:rFonts w:hint="eastAsia" w:ascii="仿宋" w:hAnsi="仿宋" w:eastAsia="仿宋" w:cs="仿宋"/>
          <w:color w:val="auto"/>
          <w:kern w:val="0"/>
          <w:sz w:val="24"/>
        </w:rPr>
        <w:t>8.项目管理机构</w:t>
      </w:r>
    </w:p>
    <w:p>
      <w:pPr>
        <w:autoSpaceDE w:val="0"/>
        <w:autoSpaceDN w:val="0"/>
        <w:adjustRightInd w:val="0"/>
        <w:spacing w:line="500" w:lineRule="exact"/>
        <w:ind w:left="239" w:leftChars="114" w:firstLine="600" w:firstLineChars="250"/>
        <w:jc w:val="left"/>
        <w:rPr>
          <w:rFonts w:hint="eastAsia" w:ascii="仿宋" w:hAnsi="仿宋" w:eastAsia="仿宋" w:cs="仿宋"/>
          <w:color w:val="auto"/>
          <w:kern w:val="0"/>
          <w:sz w:val="24"/>
        </w:rPr>
      </w:pPr>
      <w:r>
        <w:rPr>
          <w:rFonts w:hint="eastAsia" w:ascii="仿宋" w:hAnsi="仿宋" w:eastAsia="仿宋" w:cs="仿宋"/>
          <w:color w:val="auto"/>
          <w:kern w:val="0"/>
          <w:sz w:val="24"/>
        </w:rPr>
        <w:t>9.响应供应商可提交的其他资料</w:t>
      </w:r>
    </w:p>
    <w:p>
      <w:pPr>
        <w:autoSpaceDE w:val="0"/>
        <w:autoSpaceDN w:val="0"/>
        <w:adjustRightInd w:val="0"/>
        <w:spacing w:line="500" w:lineRule="exact"/>
        <w:jc w:val="left"/>
        <w:rPr>
          <w:rFonts w:hint="eastAsia" w:ascii="仿宋" w:hAnsi="仿宋" w:eastAsia="仿宋" w:cs="仿宋"/>
          <w:b/>
          <w:color w:val="auto"/>
          <w:kern w:val="0"/>
          <w:sz w:val="28"/>
          <w:szCs w:val="28"/>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jc w:val="center"/>
        <w:rPr>
          <w:rFonts w:hint="eastAsia" w:ascii="仿宋" w:hAnsi="仿宋" w:eastAsia="仿宋" w:cs="仿宋"/>
          <w:b/>
          <w:color w:val="auto"/>
          <w:kern w:val="0"/>
          <w:sz w:val="32"/>
          <w:szCs w:val="32"/>
        </w:rPr>
      </w:pPr>
    </w:p>
    <w:p>
      <w:pPr>
        <w:autoSpaceDE w:val="0"/>
        <w:autoSpaceDN w:val="0"/>
        <w:adjustRightInd w:val="0"/>
        <w:spacing w:line="500" w:lineRule="exact"/>
        <w:ind w:firstLine="840" w:firstLineChars="350"/>
        <w:jc w:val="left"/>
        <w:rPr>
          <w:rFonts w:hint="eastAsia" w:ascii="仿宋" w:hAnsi="仿宋" w:eastAsia="仿宋" w:cs="仿宋"/>
          <w:color w:val="auto"/>
          <w:kern w:val="0"/>
          <w:sz w:val="24"/>
        </w:rPr>
      </w:pPr>
      <w:bookmarkStart w:id="19" w:name="_Toc19431"/>
      <w:bookmarkStart w:id="20" w:name="_Toc65168288"/>
    </w:p>
    <w:p>
      <w:pPr>
        <w:autoSpaceDE w:val="0"/>
        <w:autoSpaceDN w:val="0"/>
        <w:adjustRightInd w:val="0"/>
        <w:spacing w:line="500" w:lineRule="exact"/>
        <w:ind w:firstLine="840" w:firstLineChars="350"/>
        <w:jc w:val="left"/>
        <w:rPr>
          <w:rFonts w:hint="eastAsia" w:ascii="仿宋" w:hAnsi="仿宋" w:eastAsia="仿宋" w:cs="仿宋"/>
          <w:color w:val="auto"/>
          <w:kern w:val="0"/>
          <w:sz w:val="24"/>
        </w:rPr>
      </w:pPr>
    </w:p>
    <w:p>
      <w:pPr>
        <w:autoSpaceDE w:val="0"/>
        <w:autoSpaceDN w:val="0"/>
        <w:adjustRightInd w:val="0"/>
        <w:spacing w:line="500" w:lineRule="exact"/>
        <w:ind w:firstLine="1285" w:firstLineChars="400"/>
        <w:rPr>
          <w:rFonts w:hint="eastAsia" w:ascii="仿宋" w:hAnsi="仿宋" w:eastAsia="仿宋" w:cs="仿宋"/>
          <w:b/>
          <w:color w:val="auto"/>
          <w:kern w:val="0"/>
          <w:sz w:val="32"/>
        </w:rPr>
      </w:pPr>
      <w:r>
        <w:rPr>
          <w:rFonts w:hint="eastAsia" w:ascii="仿宋" w:hAnsi="仿宋" w:eastAsia="仿宋" w:cs="仿宋"/>
          <w:b/>
          <w:color w:val="auto"/>
          <w:kern w:val="0"/>
          <w:sz w:val="32"/>
        </w:rPr>
        <w:t>1.法定代表人身份证明书及授权委托书</w:t>
      </w:r>
    </w:p>
    <w:p>
      <w:pPr>
        <w:keepNext/>
        <w:keepLines/>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r>
        <w:rPr>
          <w:rFonts w:hint="eastAsia" w:ascii="仿宋" w:hAnsi="仿宋" w:eastAsia="仿宋" w:cs="仿宋"/>
          <w:b/>
          <w:bCs/>
          <w:color w:val="auto"/>
          <w:kern w:val="0"/>
          <w:sz w:val="32"/>
          <w:szCs w:val="32"/>
        </w:rPr>
        <w:t>1.1 法定代表人身份证明书</w:t>
      </w:r>
      <w:bookmarkEnd w:id="19"/>
      <w:bookmarkEnd w:id="20"/>
    </w:p>
    <w:p>
      <w:pPr>
        <w:autoSpaceDE w:val="0"/>
        <w:autoSpaceDN w:val="0"/>
        <w:adjustRightInd w:val="0"/>
        <w:spacing w:line="500" w:lineRule="exact"/>
        <w:jc w:val="left"/>
        <w:rPr>
          <w:rFonts w:hint="eastAsia" w:ascii="仿宋" w:hAnsi="仿宋" w:eastAsia="仿宋" w:cs="仿宋"/>
          <w:b/>
          <w:color w:val="auto"/>
          <w:kern w:val="0"/>
          <w:sz w:val="24"/>
        </w:rPr>
      </w:pPr>
    </w:p>
    <w:p>
      <w:pPr>
        <w:autoSpaceDE w:val="0"/>
        <w:autoSpaceDN w:val="0"/>
        <w:adjustRightInd w:val="0"/>
        <w:spacing w:line="500" w:lineRule="exact"/>
        <w:ind w:firstLine="612"/>
        <w:jc w:val="left"/>
        <w:rPr>
          <w:rFonts w:hint="eastAsia" w:ascii="仿宋" w:hAnsi="仿宋" w:eastAsia="仿宋" w:cs="仿宋"/>
          <w:color w:val="auto"/>
          <w:kern w:val="0"/>
          <w:sz w:val="24"/>
        </w:rPr>
      </w:pPr>
      <w:r>
        <w:rPr>
          <w:rFonts w:hint="eastAsia" w:ascii="仿宋" w:hAnsi="仿宋" w:eastAsia="仿宋" w:cs="仿宋"/>
          <w:color w:val="auto"/>
          <w:kern w:val="0"/>
          <w:sz w:val="24"/>
        </w:rPr>
        <w:t>单位名称：</w:t>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p>
    <w:p>
      <w:pPr>
        <w:autoSpaceDE w:val="0"/>
        <w:autoSpaceDN w:val="0"/>
        <w:adjustRightInd w:val="0"/>
        <w:spacing w:line="500" w:lineRule="exact"/>
        <w:ind w:firstLine="61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单位性质：</w:t>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p>
    <w:p>
      <w:pPr>
        <w:autoSpaceDE w:val="0"/>
        <w:autoSpaceDN w:val="0"/>
        <w:adjustRightInd w:val="0"/>
        <w:spacing w:line="500" w:lineRule="exact"/>
        <w:ind w:firstLine="61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地    址：</w:t>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rPr>
        <w:tab/>
      </w:r>
    </w:p>
    <w:p>
      <w:pPr>
        <w:autoSpaceDE w:val="0"/>
        <w:autoSpaceDN w:val="0"/>
        <w:adjustRightInd w:val="0"/>
        <w:spacing w:line="500" w:lineRule="exact"/>
        <w:ind w:firstLine="610"/>
        <w:jc w:val="left"/>
        <w:rPr>
          <w:rFonts w:hint="eastAsia" w:ascii="仿宋" w:hAnsi="仿宋" w:eastAsia="仿宋" w:cs="仿宋"/>
          <w:color w:val="auto"/>
          <w:kern w:val="0"/>
          <w:sz w:val="24"/>
        </w:rPr>
      </w:pPr>
      <w:r>
        <w:rPr>
          <w:rFonts w:hint="eastAsia" w:ascii="仿宋" w:hAnsi="仿宋" w:eastAsia="仿宋" w:cs="仿宋"/>
          <w:color w:val="auto"/>
          <w:kern w:val="0"/>
          <w:sz w:val="24"/>
        </w:rPr>
        <w:t>成立时间：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月</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日</w:t>
      </w:r>
    </w:p>
    <w:p>
      <w:pPr>
        <w:autoSpaceDE w:val="0"/>
        <w:autoSpaceDN w:val="0"/>
        <w:adjustRightInd w:val="0"/>
        <w:spacing w:line="500" w:lineRule="exact"/>
        <w:ind w:firstLine="61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经营期限：</w:t>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ab/>
      </w:r>
      <w:r>
        <w:rPr>
          <w:rFonts w:hint="eastAsia" w:ascii="仿宋" w:hAnsi="仿宋" w:eastAsia="仿宋" w:cs="仿宋"/>
          <w:color w:val="auto"/>
          <w:kern w:val="0"/>
          <w:sz w:val="24"/>
          <w:u w:val="single"/>
        </w:rPr>
        <w:t xml:space="preserve">                            </w:t>
      </w:r>
    </w:p>
    <w:p>
      <w:pPr>
        <w:autoSpaceDE w:val="0"/>
        <w:autoSpaceDN w:val="0"/>
        <w:adjustRightInd w:val="0"/>
        <w:spacing w:line="500" w:lineRule="exact"/>
        <w:ind w:firstLine="61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姓名：</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性别：</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年龄：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职务：</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rPr>
        <w:tab/>
      </w:r>
    </w:p>
    <w:p>
      <w:pPr>
        <w:autoSpaceDE w:val="0"/>
        <w:autoSpaceDN w:val="0"/>
        <w:adjustRightInd w:val="0"/>
        <w:spacing w:line="500" w:lineRule="exact"/>
        <w:ind w:firstLine="610"/>
        <w:jc w:val="left"/>
        <w:rPr>
          <w:rFonts w:hint="eastAsia" w:ascii="仿宋" w:hAnsi="仿宋" w:eastAsia="仿宋" w:cs="仿宋"/>
          <w:color w:val="auto"/>
          <w:kern w:val="0"/>
          <w:sz w:val="24"/>
        </w:rPr>
      </w:pPr>
      <w:r>
        <w:rPr>
          <w:rFonts w:hint="eastAsia" w:ascii="仿宋" w:hAnsi="仿宋" w:eastAsia="仿宋" w:cs="仿宋"/>
          <w:color w:val="auto"/>
          <w:kern w:val="0"/>
          <w:sz w:val="24"/>
        </w:rPr>
        <w:t>系</w:t>
      </w:r>
      <w:r>
        <w:rPr>
          <w:rFonts w:hint="eastAsia" w:ascii="仿宋" w:hAnsi="仿宋" w:eastAsia="仿宋" w:cs="仿宋"/>
          <w:color w:val="auto"/>
          <w:kern w:val="0"/>
          <w:sz w:val="24"/>
          <w:u w:val="single"/>
        </w:rPr>
        <w:t xml:space="preserve">          （供应商单位名称）         </w:t>
      </w:r>
      <w:r>
        <w:rPr>
          <w:rFonts w:hint="eastAsia" w:ascii="仿宋" w:hAnsi="仿宋" w:eastAsia="仿宋" w:cs="仿宋"/>
          <w:color w:val="auto"/>
          <w:kern w:val="0"/>
          <w:sz w:val="24"/>
        </w:rPr>
        <w:t>的法定代表人。</w:t>
      </w:r>
    </w:p>
    <w:p>
      <w:pPr>
        <w:autoSpaceDE w:val="0"/>
        <w:autoSpaceDN w:val="0"/>
        <w:adjustRightInd w:val="0"/>
        <w:spacing w:line="500" w:lineRule="exact"/>
        <w:ind w:firstLine="610"/>
        <w:jc w:val="left"/>
        <w:rPr>
          <w:rFonts w:hint="eastAsia" w:ascii="仿宋" w:hAnsi="仿宋" w:eastAsia="仿宋" w:cs="仿宋"/>
          <w:color w:val="auto"/>
          <w:kern w:val="0"/>
          <w:sz w:val="24"/>
        </w:rPr>
      </w:pPr>
    </w:p>
    <w:p>
      <w:pPr>
        <w:autoSpaceDE w:val="0"/>
        <w:autoSpaceDN w:val="0"/>
        <w:adjustRightInd w:val="0"/>
        <w:spacing w:line="500" w:lineRule="exact"/>
        <w:ind w:firstLine="1089" w:firstLineChars="454"/>
        <w:jc w:val="left"/>
        <w:rPr>
          <w:rFonts w:hint="eastAsia" w:ascii="仿宋" w:hAnsi="仿宋" w:eastAsia="仿宋" w:cs="仿宋"/>
          <w:color w:val="auto"/>
          <w:kern w:val="0"/>
          <w:sz w:val="24"/>
        </w:rPr>
      </w:pPr>
      <w:r>
        <w:rPr>
          <w:rFonts w:hint="eastAsia" w:ascii="仿宋" w:hAnsi="仿宋" w:eastAsia="仿宋" w:cs="仿宋"/>
          <w:color w:val="auto"/>
          <w:kern w:val="0"/>
          <w:sz w:val="24"/>
        </w:rPr>
        <w:t>特此证明。</w:t>
      </w:r>
    </w:p>
    <w:p>
      <w:pPr>
        <w:tabs>
          <w:tab w:val="left" w:pos="720"/>
          <w:tab w:val="left" w:pos="900"/>
        </w:tabs>
        <w:autoSpaceDE w:val="0"/>
        <w:autoSpaceDN w:val="0"/>
        <w:adjustRightInd w:val="0"/>
        <w:spacing w:line="500" w:lineRule="exact"/>
        <w:ind w:firstLine="5040" w:firstLineChars="2100"/>
        <w:jc w:val="left"/>
        <w:rPr>
          <w:rFonts w:hint="eastAsia" w:ascii="仿宋" w:hAnsi="仿宋" w:eastAsia="仿宋" w:cs="仿宋"/>
          <w:color w:val="auto"/>
          <w:kern w:val="0"/>
          <w:sz w:val="24"/>
        </w:rPr>
      </w:pPr>
    </w:p>
    <w:p>
      <w:pPr>
        <w:tabs>
          <w:tab w:val="left" w:pos="720"/>
          <w:tab w:val="left" w:pos="900"/>
        </w:tabs>
        <w:autoSpaceDE w:val="0"/>
        <w:autoSpaceDN w:val="0"/>
        <w:adjustRightInd w:val="0"/>
        <w:spacing w:line="500" w:lineRule="exact"/>
        <w:ind w:firstLine="5040" w:firstLineChars="2100"/>
        <w:jc w:val="left"/>
        <w:rPr>
          <w:rFonts w:hint="eastAsia" w:ascii="仿宋" w:hAnsi="仿宋" w:eastAsia="仿宋" w:cs="仿宋"/>
          <w:color w:val="auto"/>
          <w:kern w:val="0"/>
          <w:sz w:val="24"/>
        </w:rPr>
      </w:pPr>
    </w:p>
    <w:p>
      <w:pPr>
        <w:tabs>
          <w:tab w:val="left" w:pos="720"/>
          <w:tab w:val="left" w:pos="900"/>
        </w:tabs>
        <w:autoSpaceDE w:val="0"/>
        <w:autoSpaceDN w:val="0"/>
        <w:adjustRightInd w:val="0"/>
        <w:spacing w:line="500" w:lineRule="exact"/>
        <w:ind w:firstLine="5040" w:firstLineChars="2100"/>
        <w:jc w:val="left"/>
        <w:rPr>
          <w:rFonts w:hint="eastAsia" w:ascii="仿宋" w:hAnsi="仿宋" w:eastAsia="仿宋" w:cs="仿宋"/>
          <w:color w:val="auto"/>
          <w:kern w:val="0"/>
          <w:sz w:val="24"/>
        </w:rPr>
      </w:pP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供应商(盖章)：</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rPr>
      </w:pP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rPr>
      </w:pPr>
      <w:r>
        <w:rPr>
          <w:rFonts w:hint="eastAsia" w:ascii="仿宋" w:hAnsi="仿宋" w:eastAsia="仿宋" w:cs="仿宋"/>
          <w:color w:val="auto"/>
          <w:kern w:val="0"/>
          <w:sz w:val="24"/>
        </w:rPr>
        <w:t>日期：   年   月   日</w:t>
      </w:r>
    </w:p>
    <w:p>
      <w:pPr>
        <w:autoSpaceDE w:val="0"/>
        <w:autoSpaceDN w:val="0"/>
        <w:adjustRightInd w:val="0"/>
        <w:spacing w:line="500" w:lineRule="exact"/>
        <w:ind w:right="480"/>
        <w:jc w:val="center"/>
        <w:rPr>
          <w:rFonts w:hint="eastAsia" w:ascii="仿宋" w:hAnsi="仿宋" w:eastAsia="仿宋" w:cs="仿宋"/>
          <w:b/>
          <w:color w:val="auto"/>
          <w:kern w:val="0"/>
          <w:sz w:val="24"/>
        </w:rPr>
      </w:pPr>
    </w:p>
    <w:p>
      <w:pPr>
        <w:autoSpaceDE w:val="0"/>
        <w:autoSpaceDN w:val="0"/>
        <w:adjustRightInd w:val="0"/>
        <w:spacing w:line="500" w:lineRule="exact"/>
        <w:ind w:right="480"/>
        <w:jc w:val="center"/>
        <w:rPr>
          <w:rFonts w:hint="eastAsia" w:ascii="仿宋" w:hAnsi="仿宋" w:eastAsia="仿宋" w:cs="仿宋"/>
          <w:b/>
          <w:color w:val="auto"/>
          <w:kern w:val="0"/>
          <w:sz w:val="24"/>
        </w:rPr>
      </w:pPr>
      <w:r>
        <w:rPr>
          <w:rFonts w:hint="eastAsia" w:ascii="仿宋" w:hAnsi="仿宋" w:eastAsia="仿宋" w:cs="仿宋"/>
          <w:b/>
          <w:color w:val="auto"/>
          <w:kern w:val="0"/>
          <w:sz w:val="24"/>
        </w:rPr>
        <w:t>（后附法定代表人身份证正反面扫描件）</w:t>
      </w:r>
      <w:bookmarkStart w:id="21" w:name="_Toc171073211"/>
      <w:bookmarkStart w:id="22" w:name="_Toc223432391"/>
      <w:bookmarkStart w:id="23" w:name="_Toc171073046"/>
      <w:bookmarkStart w:id="24" w:name="_Toc169921411"/>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autoSpaceDE w:val="0"/>
        <w:autoSpaceDN w:val="0"/>
        <w:adjustRightInd w:val="0"/>
        <w:jc w:val="left"/>
        <w:rPr>
          <w:rFonts w:hint="eastAsia" w:ascii="仿宋" w:hAnsi="仿宋" w:eastAsia="仿宋" w:cs="仿宋"/>
          <w:color w:val="auto"/>
          <w:kern w:val="0"/>
          <w:sz w:val="20"/>
          <w:szCs w:val="21"/>
        </w:rPr>
      </w:pPr>
    </w:p>
    <w:p>
      <w:pPr>
        <w:keepNext/>
        <w:keepLines/>
        <w:spacing w:before="100" w:beforeAutospacing="1" w:after="100" w:afterAutospacing="1" w:line="240" w:lineRule="atLeast"/>
        <w:jc w:val="center"/>
        <w:textAlignment w:val="baseline"/>
        <w:outlineLvl w:val="1"/>
        <w:rPr>
          <w:rFonts w:hint="eastAsia" w:ascii="仿宋" w:hAnsi="仿宋" w:eastAsia="仿宋" w:cs="仿宋"/>
          <w:b/>
          <w:color w:val="auto"/>
          <w:sz w:val="32"/>
          <w:szCs w:val="32"/>
        </w:rPr>
      </w:pPr>
      <w:bookmarkStart w:id="25" w:name="_Toc15565"/>
      <w:bookmarkStart w:id="26" w:name="_Toc65168289"/>
      <w:r>
        <w:rPr>
          <w:rFonts w:hint="eastAsia" w:ascii="仿宋" w:hAnsi="仿宋" w:eastAsia="仿宋" w:cs="仿宋"/>
          <w:b/>
          <w:color w:val="auto"/>
          <w:sz w:val="32"/>
          <w:szCs w:val="32"/>
        </w:rPr>
        <w:t>1.2单一来源响应文件签署授权委托书</w:t>
      </w:r>
    </w:p>
    <w:p>
      <w:pPr>
        <w:adjustRightInd w:val="0"/>
        <w:snapToGrid w:val="0"/>
        <w:spacing w:line="6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（法定代表人）</w:t>
      </w:r>
      <w:r>
        <w:rPr>
          <w:rFonts w:hint="eastAsia" w:ascii="仿宋" w:hAnsi="仿宋" w:eastAsia="仿宋" w:cs="仿宋"/>
          <w:color w:val="auto"/>
          <w:sz w:val="24"/>
        </w:rPr>
        <w:t>（姓名）系</w:t>
      </w:r>
      <w:r>
        <w:rPr>
          <w:rFonts w:hint="eastAsia" w:ascii="仿宋" w:hAnsi="仿宋" w:eastAsia="仿宋" w:cs="仿宋"/>
          <w:color w:val="auto"/>
          <w:sz w:val="24"/>
          <w:u w:val="single"/>
        </w:rPr>
        <w:t>（供应商名称）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（供应商名称）</w:t>
      </w:r>
      <w:r>
        <w:rPr>
          <w:rFonts w:hint="eastAsia" w:ascii="仿宋" w:hAnsi="仿宋" w:eastAsia="仿宋" w:cs="仿宋"/>
          <w:color w:val="auto"/>
          <w:sz w:val="24"/>
        </w:rPr>
        <w:t>的</w:t>
      </w:r>
      <w:r>
        <w:rPr>
          <w:rFonts w:hint="eastAsia" w:ascii="仿宋" w:hAnsi="仿宋" w:eastAsia="仿宋" w:cs="仿宋"/>
          <w:color w:val="auto"/>
          <w:sz w:val="24"/>
          <w:u w:val="single"/>
        </w:rPr>
        <w:t>（委托人姓名）</w:t>
      </w:r>
      <w:r>
        <w:rPr>
          <w:rFonts w:hint="eastAsia" w:ascii="仿宋" w:hAnsi="仿宋" w:eastAsia="仿宋" w:cs="仿宋"/>
          <w:color w:val="auto"/>
          <w:sz w:val="24"/>
        </w:rPr>
        <w:t>为我公司签署本项目的单一来源响应的委托代理人，我承认代理人全权代表我所签署的</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项目的投标内容。同时授权委托该同志代表我公司参加本项目的投标、开标、合同谈判、处理有关事务等并有权签署有关文件。 </w:t>
      </w:r>
    </w:p>
    <w:p>
      <w:pPr>
        <w:adjustRightInd w:val="0"/>
        <w:snapToGrid w:val="0"/>
        <w:spacing w:line="6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代理人无转委托权，特此委托。</w:t>
      </w:r>
    </w:p>
    <w:p>
      <w:pPr>
        <w:adjustRightInd w:val="0"/>
        <w:snapToGrid w:val="0"/>
        <w:spacing w:line="600" w:lineRule="exact"/>
        <w:ind w:left="2699" w:firstLine="480" w:firstLineChars="200"/>
        <w:rPr>
          <w:rFonts w:hint="eastAsia" w:ascii="仿宋" w:hAnsi="仿宋" w:eastAsia="仿宋" w:cs="仿宋"/>
          <w:color w:val="auto"/>
          <w:sz w:val="24"/>
        </w:rPr>
      </w:pPr>
    </w:p>
    <w:p>
      <w:pPr>
        <w:adjustRightInd w:val="0"/>
        <w:snapToGrid w:val="0"/>
        <w:spacing w:line="600" w:lineRule="exact"/>
        <w:ind w:firstLine="3828" w:firstLineChars="1595"/>
        <w:rPr>
          <w:rFonts w:hint="eastAsia" w:ascii="仿宋" w:hAnsi="仿宋" w:eastAsia="仿宋" w:cs="仿宋"/>
          <w:color w:val="auto"/>
          <w:sz w:val="24"/>
        </w:rPr>
      </w:pPr>
      <w:r>
        <w:rPr>
          <w:rFonts w:hint="eastAsia" w:ascii="仿宋" w:hAnsi="仿宋" w:eastAsia="仿宋" w:cs="仿宋"/>
          <w:color w:val="auto"/>
          <w:sz w:val="24"/>
        </w:rPr>
        <w:t xml:space="preserve">供应商(盖章)： </w:t>
      </w:r>
    </w:p>
    <w:p>
      <w:pPr>
        <w:adjustRightInd w:val="0"/>
        <w:snapToGrid w:val="0"/>
        <w:spacing w:line="600" w:lineRule="exact"/>
        <w:ind w:firstLine="3828" w:firstLineChars="1595"/>
        <w:rPr>
          <w:rFonts w:hint="eastAsia" w:ascii="仿宋" w:hAnsi="仿宋" w:eastAsia="仿宋" w:cs="仿宋"/>
          <w:color w:val="auto"/>
          <w:sz w:val="24"/>
        </w:rPr>
      </w:pPr>
      <w:r>
        <w:rPr>
          <w:rFonts w:hint="eastAsia" w:ascii="仿宋" w:hAnsi="仿宋" w:eastAsia="仿宋" w:cs="仿宋"/>
          <w:color w:val="auto"/>
          <w:sz w:val="24"/>
        </w:rPr>
        <w:t xml:space="preserve">法定代表人或授权委托人：（签字或盖章） </w:t>
      </w:r>
    </w:p>
    <w:p>
      <w:pPr>
        <w:adjustRightInd w:val="0"/>
        <w:snapToGrid w:val="0"/>
        <w:spacing w:line="600" w:lineRule="exact"/>
        <w:ind w:right="480" w:firstLine="3828" w:firstLineChars="1595"/>
        <w:rPr>
          <w:rFonts w:hint="eastAsia" w:ascii="仿宋" w:hAnsi="仿宋" w:eastAsia="仿宋" w:cs="仿宋"/>
          <w:color w:val="auto"/>
          <w:sz w:val="24"/>
        </w:rPr>
      </w:pPr>
      <w:r>
        <w:rPr>
          <w:rFonts w:hint="eastAsia" w:ascii="仿宋" w:hAnsi="仿宋" w:eastAsia="仿宋" w:cs="仿宋"/>
          <w:color w:val="auto"/>
          <w:sz w:val="24"/>
        </w:rPr>
        <w:t xml:space="preserve">授权委托日期：    年    月    日 </w:t>
      </w:r>
    </w:p>
    <w:p>
      <w:pPr>
        <w:adjustRightInd w:val="0"/>
        <w:snapToGrid w:val="0"/>
        <w:spacing w:line="600" w:lineRule="exact"/>
        <w:ind w:firstLine="420" w:firstLineChars="200"/>
        <w:jc w:val="center"/>
        <w:rPr>
          <w:rFonts w:hint="eastAsia" w:ascii="仿宋" w:hAnsi="仿宋" w:eastAsia="仿宋" w:cs="仿宋"/>
          <w:color w:val="auto"/>
          <w:szCs w:val="21"/>
        </w:rPr>
      </w:pPr>
    </w:p>
    <w:p>
      <w:pPr>
        <w:adjustRightInd w:val="0"/>
        <w:snapToGrid w:val="0"/>
        <w:spacing w:line="500" w:lineRule="exact"/>
        <w:ind w:firstLine="562" w:firstLineChars="200"/>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（后附委托代理人身份证</w:t>
      </w:r>
      <w:r>
        <w:rPr>
          <w:rFonts w:hint="eastAsia" w:ascii="仿宋" w:hAnsi="仿宋" w:eastAsia="仿宋" w:cs="仿宋"/>
          <w:b/>
          <w:bCs/>
          <w:color w:val="auto"/>
          <w:sz w:val="28"/>
          <w:szCs w:val="28"/>
        </w:rPr>
        <w:t>正反面</w:t>
      </w:r>
      <w:r>
        <w:rPr>
          <w:rFonts w:hint="eastAsia" w:ascii="仿宋" w:hAnsi="仿宋" w:eastAsia="仿宋" w:cs="仿宋"/>
          <w:b/>
          <w:color w:val="auto"/>
          <w:sz w:val="28"/>
          <w:szCs w:val="28"/>
        </w:rPr>
        <w:t>复印件）</w:t>
      </w: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p>
    <w:p>
      <w:pPr>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r>
        <w:rPr>
          <w:rFonts w:hint="eastAsia" w:ascii="仿宋" w:hAnsi="仿宋" w:eastAsia="仿宋" w:cs="仿宋"/>
          <w:b/>
          <w:bCs/>
          <w:color w:val="auto"/>
          <w:kern w:val="0"/>
          <w:sz w:val="32"/>
          <w:szCs w:val="32"/>
        </w:rPr>
        <w:t>2.响 应 函</w:t>
      </w:r>
      <w:bookmarkEnd w:id="21"/>
      <w:bookmarkEnd w:id="22"/>
      <w:bookmarkEnd w:id="23"/>
      <w:bookmarkEnd w:id="24"/>
      <w:bookmarkEnd w:id="25"/>
      <w:bookmarkEnd w:id="26"/>
    </w:p>
    <w:p>
      <w:pPr>
        <w:autoSpaceDE w:val="0"/>
        <w:autoSpaceDN w:val="0"/>
        <w:adjustRightInd w:val="0"/>
        <w:spacing w:line="500" w:lineRule="exact"/>
        <w:jc w:val="left"/>
        <w:rPr>
          <w:rFonts w:hint="eastAsia" w:ascii="仿宋" w:hAnsi="仿宋" w:eastAsia="仿宋" w:cs="仿宋"/>
          <w:color w:val="auto"/>
          <w:spacing w:val="24"/>
          <w:kern w:val="0"/>
          <w:sz w:val="24"/>
        </w:rPr>
      </w:pPr>
      <w:r>
        <w:rPr>
          <w:rFonts w:hint="eastAsia" w:ascii="仿宋" w:hAnsi="仿宋" w:eastAsia="仿宋" w:cs="仿宋"/>
          <w:color w:val="auto"/>
          <w:spacing w:val="24"/>
          <w:kern w:val="0"/>
          <w:sz w:val="24"/>
        </w:rPr>
        <w:t>致</w:t>
      </w:r>
      <w:r>
        <w:rPr>
          <w:rFonts w:hint="eastAsia" w:ascii="仿宋" w:hAnsi="仿宋" w:eastAsia="仿宋" w:cs="仿宋"/>
          <w:color w:val="auto"/>
          <w:spacing w:val="24"/>
          <w:kern w:val="0"/>
          <w:sz w:val="24"/>
          <w:u w:val="single"/>
        </w:rPr>
        <w:t xml:space="preserve">     （采购人）     </w:t>
      </w:r>
      <w:r>
        <w:rPr>
          <w:rFonts w:hint="eastAsia" w:ascii="仿宋" w:hAnsi="仿宋" w:eastAsia="仿宋" w:cs="仿宋"/>
          <w:color w:val="auto"/>
          <w:spacing w:val="24"/>
          <w:kern w:val="0"/>
          <w:sz w:val="24"/>
        </w:rPr>
        <w:t>：</w:t>
      </w:r>
    </w:p>
    <w:p>
      <w:pPr>
        <w:tabs>
          <w:tab w:val="left" w:pos="1080"/>
        </w:tabs>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根据已收到贵方的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（项目名称）</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项目编号）的单一来源采购文件，遵照《中华人民共和国政府采购法》等有关规定，我单位经考察现场和研究上述单一来源采购的供应商须知、合同条款、服务内容及其它有关文件后，我方愿以人民币（大写）：</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元（小写：</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元）的报价；服务期限</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；承包上述项目。</w:t>
      </w:r>
    </w:p>
    <w:p>
      <w:pPr>
        <w:tabs>
          <w:tab w:val="left" w:pos="720"/>
          <w:tab w:val="left" w:pos="1140"/>
        </w:tabs>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1、我方已详细审核全部单一来源采购文件，包括修改文件（如有）及有关附件，已充分理解并掌握了本单一来源采购项目的全部有关情况，认为单一来源采购文件符合法律、法规的要求，充分体现了公开、公平、公正和诚实信用原则，我方对单一来源采购文件没有任何异议。同意接受单一来源采购文件的全部内容和条件。</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2、如我方确定为成交人，我方承诺在收到成交通知书后，在成交通知书规定的期限内，根据单一来源采购文件、我方的单一来源响应文件及有关澄清承诺书的要求，与采购人订立书面合同，并按照合同约定承担完成合同的责任和义务。</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3、我方同意自本项目单一来源采购文件中规定的单一来源采购有效期内有效，并承诺在单一来源采购有效期内不修改、撤销单一来源响应文件。</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4、我方在此声明，所递交的单一来源响应文件及有关资料内容完整、真实和准确。</w:t>
      </w:r>
    </w:p>
    <w:p>
      <w:pPr>
        <w:tabs>
          <w:tab w:val="left" w:pos="720"/>
          <w:tab w:val="left" w:pos="1140"/>
        </w:tabs>
        <w:autoSpaceDE w:val="0"/>
        <w:autoSpaceDN w:val="0"/>
        <w:adjustRightInd w:val="0"/>
        <w:spacing w:line="500" w:lineRule="exact"/>
        <w:ind w:firstLine="240" w:firstLineChars="100"/>
        <w:jc w:val="left"/>
        <w:rPr>
          <w:rFonts w:hint="eastAsia" w:ascii="仿宋" w:hAnsi="仿宋" w:eastAsia="仿宋" w:cs="仿宋"/>
          <w:color w:val="auto"/>
          <w:kern w:val="0"/>
          <w:sz w:val="24"/>
        </w:rPr>
      </w:pP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供应商(盖章)：</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法定代表人或其委托人（签字）：</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rPr>
      </w:pPr>
      <w:r>
        <w:rPr>
          <w:rFonts w:hint="eastAsia" w:ascii="仿宋" w:hAnsi="仿宋" w:eastAsia="仿宋" w:cs="仿宋"/>
          <w:color w:val="auto"/>
          <w:kern w:val="0"/>
          <w:sz w:val="24"/>
        </w:rPr>
        <w:t>日期：   年   月   日</w:t>
      </w:r>
    </w:p>
    <w:p>
      <w:pPr>
        <w:keepNext/>
        <w:keepLines/>
        <w:autoSpaceDE w:val="0"/>
        <w:autoSpaceDN w:val="0"/>
        <w:adjustRightInd w:val="0"/>
        <w:spacing w:before="260" w:after="260" w:line="500" w:lineRule="exact"/>
        <w:jc w:val="center"/>
        <w:outlineLvl w:val="1"/>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br w:type="page"/>
      </w:r>
      <w:bookmarkStart w:id="27" w:name="_Toc3084"/>
      <w:bookmarkStart w:id="28" w:name="_Toc65168290"/>
      <w:r>
        <w:rPr>
          <w:rFonts w:hint="eastAsia" w:ascii="仿宋" w:hAnsi="仿宋" w:eastAsia="仿宋" w:cs="仿宋"/>
          <w:b/>
          <w:bCs/>
          <w:color w:val="auto"/>
          <w:kern w:val="0"/>
          <w:sz w:val="32"/>
          <w:szCs w:val="32"/>
        </w:rPr>
        <w:t>3.首次报价一览表</w:t>
      </w:r>
      <w:bookmarkEnd w:id="27"/>
      <w:bookmarkEnd w:id="28"/>
    </w:p>
    <w:tbl>
      <w:tblPr>
        <w:tblStyle w:val="10"/>
        <w:tblW w:w="0" w:type="auto"/>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5"/>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exact"/>
        </w:trPr>
        <w:tc>
          <w:tcPr>
            <w:tcW w:w="226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bookmarkStart w:id="29" w:name="_Toc365647229"/>
            <w:r>
              <w:rPr>
                <w:rFonts w:hint="eastAsia" w:ascii="仿宋" w:hAnsi="仿宋" w:eastAsia="仿宋" w:cs="仿宋"/>
                <w:color w:val="auto"/>
                <w:kern w:val="0"/>
                <w:sz w:val="24"/>
              </w:rPr>
              <w:t>项目名称</w:t>
            </w:r>
            <w:bookmarkEnd w:id="29"/>
          </w:p>
        </w:tc>
        <w:tc>
          <w:tcPr>
            <w:tcW w:w="6600"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exact"/>
        </w:trPr>
        <w:tc>
          <w:tcPr>
            <w:tcW w:w="226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响应供应商</w:t>
            </w:r>
          </w:p>
        </w:tc>
        <w:tc>
          <w:tcPr>
            <w:tcW w:w="6600"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exact"/>
        </w:trPr>
        <w:tc>
          <w:tcPr>
            <w:tcW w:w="226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bookmarkStart w:id="30" w:name="_Toc365647233"/>
            <w:r>
              <w:rPr>
                <w:rFonts w:hint="eastAsia" w:ascii="仿宋" w:hAnsi="仿宋" w:eastAsia="仿宋" w:cs="仿宋"/>
                <w:color w:val="auto"/>
                <w:kern w:val="0"/>
                <w:sz w:val="24"/>
              </w:rPr>
              <w:t>报价</w:t>
            </w:r>
            <w:bookmarkEnd w:id="30"/>
          </w:p>
        </w:tc>
        <w:tc>
          <w:tcPr>
            <w:tcW w:w="6600" w:type="dxa"/>
            <w:noWrap w:val="0"/>
            <w:vAlign w:val="center"/>
          </w:tcPr>
          <w:p>
            <w:pPr>
              <w:autoSpaceDE w:val="0"/>
              <w:autoSpaceDN w:val="0"/>
              <w:adjustRightInd w:val="0"/>
              <w:spacing w:line="500" w:lineRule="exact"/>
              <w:ind w:firstLine="120" w:firstLineChars="50"/>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人民币（大写）：</w:t>
            </w:r>
          </w:p>
          <w:p>
            <w:pPr>
              <w:autoSpaceDE w:val="0"/>
              <w:autoSpaceDN w:val="0"/>
              <w:adjustRightInd w:val="0"/>
              <w:spacing w:line="500" w:lineRule="exact"/>
              <w:ind w:firstLine="120" w:firstLineChars="5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exact"/>
        </w:trPr>
        <w:tc>
          <w:tcPr>
            <w:tcW w:w="226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服务期限</w:t>
            </w:r>
          </w:p>
        </w:tc>
        <w:tc>
          <w:tcPr>
            <w:tcW w:w="6600" w:type="dxa"/>
            <w:noWrap w:val="0"/>
            <w:vAlign w:val="center"/>
          </w:tcPr>
          <w:p>
            <w:pPr>
              <w:autoSpaceDE w:val="0"/>
              <w:autoSpaceDN w:val="0"/>
              <w:adjustRightInd w:val="0"/>
              <w:spacing w:line="500" w:lineRule="exact"/>
              <w:ind w:firstLine="120" w:firstLineChars="50"/>
              <w:jc w:val="left"/>
              <w:rPr>
                <w:rFonts w:hint="eastAsia" w:ascii="仿宋" w:hAnsi="仿宋" w:eastAsia="仿宋" w:cs="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exact"/>
        </w:trPr>
        <w:tc>
          <w:tcPr>
            <w:tcW w:w="226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bookmarkStart w:id="31" w:name="_Toc365647231"/>
            <w:r>
              <w:rPr>
                <w:rFonts w:hint="eastAsia" w:ascii="仿宋" w:hAnsi="仿宋" w:eastAsia="仿宋" w:cs="仿宋"/>
                <w:color w:val="auto"/>
                <w:kern w:val="0"/>
                <w:sz w:val="24"/>
              </w:rPr>
              <w:t>服务</w:t>
            </w:r>
            <w:bookmarkEnd w:id="31"/>
            <w:r>
              <w:rPr>
                <w:rFonts w:hint="eastAsia" w:ascii="仿宋" w:hAnsi="仿宋" w:eastAsia="仿宋" w:cs="仿宋"/>
                <w:color w:val="auto"/>
                <w:kern w:val="0"/>
                <w:sz w:val="24"/>
              </w:rPr>
              <w:t>质量</w:t>
            </w:r>
          </w:p>
        </w:tc>
        <w:tc>
          <w:tcPr>
            <w:tcW w:w="6600" w:type="dxa"/>
            <w:noWrap w:val="0"/>
            <w:vAlign w:val="center"/>
          </w:tcPr>
          <w:p>
            <w:pPr>
              <w:autoSpaceDE w:val="0"/>
              <w:autoSpaceDN w:val="0"/>
              <w:adjustRightInd w:val="0"/>
              <w:spacing w:line="500" w:lineRule="exact"/>
              <w:ind w:firstLine="120" w:firstLineChars="50"/>
              <w:jc w:val="left"/>
              <w:rPr>
                <w:rFonts w:hint="eastAsia" w:ascii="仿宋" w:hAnsi="仿宋" w:eastAsia="仿宋" w:cs="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8" w:hRule="exact"/>
        </w:trPr>
        <w:tc>
          <w:tcPr>
            <w:tcW w:w="226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单一来源有效期</w:t>
            </w:r>
          </w:p>
        </w:tc>
        <w:tc>
          <w:tcPr>
            <w:tcW w:w="6600"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8" w:hRule="exact"/>
        </w:trPr>
        <w:tc>
          <w:tcPr>
            <w:tcW w:w="226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其他承诺</w:t>
            </w:r>
          </w:p>
        </w:tc>
        <w:tc>
          <w:tcPr>
            <w:tcW w:w="6600"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bl>
    <w:p>
      <w:pPr>
        <w:autoSpaceDE w:val="0"/>
        <w:autoSpaceDN w:val="0"/>
        <w:adjustRightInd w:val="0"/>
        <w:spacing w:line="500" w:lineRule="exact"/>
        <w:jc w:val="left"/>
        <w:rPr>
          <w:rFonts w:hint="eastAsia" w:ascii="仿宋" w:hAnsi="仿宋" w:eastAsia="仿宋" w:cs="仿宋"/>
          <w:color w:val="auto"/>
          <w:kern w:val="0"/>
          <w:sz w:val="24"/>
        </w:rPr>
      </w:pPr>
    </w:p>
    <w:p>
      <w:pPr>
        <w:autoSpaceDE w:val="0"/>
        <w:autoSpaceDN w:val="0"/>
        <w:adjustRightInd w:val="0"/>
        <w:snapToGri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注: 1、报价一经涂改，应在涂改处加盖单位公章或法定代表人签章，否则作无效标处理。</w:t>
      </w:r>
    </w:p>
    <w:p>
      <w:pPr>
        <w:autoSpaceDE w:val="0"/>
        <w:autoSpaceDN w:val="0"/>
        <w:adjustRightInd w:val="0"/>
        <w:snapToGrid w:val="0"/>
        <w:spacing w:line="500" w:lineRule="exact"/>
        <w:ind w:firstLine="840" w:firstLineChars="350"/>
        <w:jc w:val="left"/>
        <w:rPr>
          <w:rFonts w:hint="eastAsia" w:ascii="仿宋" w:hAnsi="仿宋" w:eastAsia="仿宋" w:cs="仿宋"/>
          <w:color w:val="auto"/>
          <w:kern w:val="0"/>
          <w:sz w:val="24"/>
        </w:rPr>
      </w:pPr>
      <w:r>
        <w:rPr>
          <w:rFonts w:hint="eastAsia" w:ascii="仿宋" w:hAnsi="仿宋" w:eastAsia="仿宋" w:cs="仿宋"/>
          <w:color w:val="auto"/>
          <w:kern w:val="0"/>
          <w:sz w:val="24"/>
        </w:rPr>
        <w:t>2、投标费用包括一切由供方承担的费用。</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供应商(盖章)：</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法定代表人或其委托人（签字）：</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rPr>
      </w:pPr>
      <w:r>
        <w:rPr>
          <w:rFonts w:hint="eastAsia" w:ascii="仿宋" w:hAnsi="仿宋" w:eastAsia="仿宋" w:cs="仿宋"/>
          <w:color w:val="auto"/>
          <w:kern w:val="0"/>
          <w:sz w:val="24"/>
        </w:rPr>
        <w:t>日期：   年   月   日</w:t>
      </w:r>
    </w:p>
    <w:p>
      <w:pPr>
        <w:tabs>
          <w:tab w:val="left" w:pos="1080"/>
        </w:tabs>
        <w:autoSpaceDE w:val="0"/>
        <w:autoSpaceDN w:val="0"/>
        <w:adjustRightInd w:val="0"/>
        <w:spacing w:line="500" w:lineRule="exact"/>
        <w:jc w:val="left"/>
        <w:rPr>
          <w:rFonts w:hint="eastAsia" w:ascii="仿宋" w:hAnsi="仿宋" w:eastAsia="仿宋" w:cs="仿宋"/>
          <w:color w:val="auto"/>
          <w:kern w:val="0"/>
          <w:sz w:val="24"/>
        </w:rPr>
      </w:pPr>
    </w:p>
    <w:p>
      <w:pPr>
        <w:keepNext/>
        <w:keepLines/>
        <w:autoSpaceDE w:val="0"/>
        <w:autoSpaceDN w:val="0"/>
        <w:adjustRightInd w:val="0"/>
        <w:spacing w:before="260" w:after="260" w:line="500" w:lineRule="exact"/>
        <w:jc w:val="center"/>
        <w:outlineLvl w:val="1"/>
        <w:rPr>
          <w:rFonts w:hint="eastAsia" w:ascii="仿宋" w:hAnsi="仿宋" w:eastAsia="仿宋" w:cs="仿宋"/>
          <w:color w:val="auto"/>
          <w:kern w:val="0"/>
          <w:sz w:val="28"/>
          <w:szCs w:val="28"/>
        </w:rPr>
      </w:pPr>
      <w:bookmarkStart w:id="32" w:name="_Toc65168291"/>
      <w:bookmarkStart w:id="33" w:name="_Toc20200"/>
      <w:r>
        <w:rPr>
          <w:rFonts w:hint="eastAsia" w:ascii="仿宋" w:hAnsi="仿宋" w:eastAsia="仿宋" w:cs="仿宋"/>
          <w:b/>
          <w:bCs/>
          <w:color w:val="auto"/>
          <w:kern w:val="0"/>
          <w:sz w:val="32"/>
          <w:szCs w:val="32"/>
        </w:rPr>
        <w:t>4.单一来源承诺函</w:t>
      </w:r>
      <w:bookmarkEnd w:id="32"/>
      <w:bookmarkEnd w:id="33"/>
    </w:p>
    <w:p>
      <w:pPr>
        <w:autoSpaceDE w:val="0"/>
        <w:autoSpaceDN w:val="0"/>
        <w:adjustRightInd w:val="0"/>
        <w:spacing w:line="500" w:lineRule="exact"/>
        <w:jc w:val="left"/>
        <w:rPr>
          <w:rFonts w:hint="eastAsia" w:ascii="仿宋" w:hAnsi="仿宋" w:eastAsia="仿宋" w:cs="仿宋"/>
          <w:b/>
          <w:color w:val="auto"/>
          <w:kern w:val="0"/>
          <w:sz w:val="28"/>
          <w:szCs w:val="28"/>
        </w:rPr>
      </w:pPr>
      <w:r>
        <w:rPr>
          <w:rFonts w:hint="eastAsia" w:ascii="仿宋" w:hAnsi="仿宋" w:eastAsia="仿宋" w:cs="仿宋"/>
          <w:color w:val="auto"/>
          <w:kern w:val="0"/>
          <w:sz w:val="24"/>
        </w:rPr>
        <w:t>致：</w:t>
      </w:r>
      <w:r>
        <w:rPr>
          <w:rFonts w:hint="eastAsia" w:ascii="仿宋" w:hAnsi="仿宋" w:eastAsia="仿宋" w:cs="仿宋"/>
          <w:color w:val="auto"/>
          <w:kern w:val="0"/>
          <w:sz w:val="24"/>
          <w:u w:val="single"/>
        </w:rPr>
        <w:t>（采购人名称/代理机构名称）</w:t>
      </w:r>
      <w:r>
        <w:rPr>
          <w:rFonts w:hint="eastAsia" w:ascii="仿宋" w:hAnsi="仿宋" w:eastAsia="仿宋" w:cs="仿宋"/>
          <w:b/>
          <w:color w:val="auto"/>
          <w:kern w:val="0"/>
          <w:sz w:val="28"/>
          <w:szCs w:val="28"/>
          <w:u w:val="single"/>
        </w:rPr>
        <w:t xml:space="preserve">  </w:t>
      </w:r>
    </w:p>
    <w:p>
      <w:pPr>
        <w:autoSpaceDE w:val="0"/>
        <w:autoSpaceDN w:val="0"/>
        <w:adjustRightInd w:val="0"/>
        <w:spacing w:line="50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我公司作为本次采购项目的单一来源响应供应商，根据单一来源文件要求，现郑重承诺如下：</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1、我方完全接受和满足本项目单一来源文件中规定的实质性要求，不存在对单一来源文件有异议的同时参加本次采购活动。</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2、参加本次采购活动，不存在与单位负责人为同一人或者存在直接控股、管理关系的其他供应商参与同一合同项下的政府采购活动的行为。    </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3、我方参加政府采购活动无商业贿赂和不正当竞争行为。  </w:t>
      </w:r>
    </w:p>
    <w:p>
      <w:pPr>
        <w:autoSpaceDE w:val="0"/>
        <w:autoSpaceDN w:val="0"/>
        <w:adjustRightInd w:val="0"/>
        <w:spacing w:line="50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   4、存在以下行为之一的愿意接受相关部门的处理：</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（1）投标有效期内撤回投标文件的；</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（2）在采购人确定中标供应商以前放弃中标候选资格的；</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（3）除不可抗力的因素外，由于中标供应商的原因未能按照招标文件的规定与采购人签订合同；</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（4）在招标文件中提供虚假材料谋取中标；</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（5）与采购人、其他供应商或者采购代理机构恶意串通的；</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（6）投标有效期内，投标供应商在政府采购活动中有违法、违规、违纪行为。</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5、我方若中标，保证在中标公告发布后5个工作日内，按照单一来源文件的规定，向采购代理机构一次性支付代理服务费。</w:t>
      </w:r>
    </w:p>
    <w:p>
      <w:pPr>
        <w:autoSpaceDE w:val="0"/>
        <w:autoSpaceDN w:val="0"/>
        <w:adjustRightInd w:val="0"/>
        <w:spacing w:line="500" w:lineRule="exact"/>
        <w:ind w:firstLine="480"/>
        <w:jc w:val="left"/>
        <w:rPr>
          <w:rFonts w:hint="eastAsia" w:ascii="仿宋" w:hAnsi="仿宋" w:eastAsia="仿宋" w:cs="仿宋"/>
          <w:color w:val="auto"/>
          <w:kern w:val="0"/>
          <w:sz w:val="24"/>
        </w:rPr>
      </w:pPr>
      <w:r>
        <w:rPr>
          <w:rFonts w:hint="eastAsia" w:ascii="仿宋" w:hAnsi="仿宋" w:eastAsia="仿宋" w:cs="仿宋"/>
          <w:color w:val="auto"/>
          <w:kern w:val="0"/>
          <w:sz w:val="24"/>
        </w:rPr>
        <w:t>由此产生的一切法律后果和责任由我公司承担。我公司声明放弃对此提出任何异议和追索的权利。</w:t>
      </w:r>
    </w:p>
    <w:p>
      <w:pPr>
        <w:autoSpaceDE w:val="0"/>
        <w:autoSpaceDN w:val="0"/>
        <w:adjustRightInd w:val="0"/>
        <w:spacing w:line="500" w:lineRule="exact"/>
        <w:ind w:firstLine="480"/>
        <w:jc w:val="left"/>
        <w:rPr>
          <w:rFonts w:hint="eastAsia" w:ascii="仿宋" w:hAnsi="仿宋" w:eastAsia="仿宋" w:cs="仿宋"/>
          <w:b/>
          <w:bCs/>
          <w:color w:val="auto"/>
          <w:kern w:val="0"/>
          <w:sz w:val="30"/>
          <w:shd w:val="clear" w:color="auto" w:fill="FFFFFF"/>
        </w:rPr>
      </w:pPr>
      <w:r>
        <w:rPr>
          <w:rFonts w:hint="eastAsia" w:ascii="仿宋" w:hAnsi="仿宋" w:eastAsia="仿宋" w:cs="仿宋"/>
          <w:color w:val="auto"/>
          <w:kern w:val="0"/>
          <w:sz w:val="24"/>
        </w:rPr>
        <w:t>本公司对上述承诺的内容事项真实性负责。如经查实上述承诺的内容事项存在虚假，我公司愿意接受以提供虚假材料谋取中标追究法律责任。 </w:t>
      </w:r>
      <w:r>
        <w:rPr>
          <w:rFonts w:hint="eastAsia" w:ascii="仿宋" w:hAnsi="仿宋" w:eastAsia="仿宋" w:cs="仿宋"/>
          <w:color w:val="auto"/>
          <w:kern w:val="1"/>
          <w:sz w:val="24"/>
        </w:rPr>
        <w:t>   </w:t>
      </w:r>
    </w:p>
    <w:p>
      <w:pPr>
        <w:autoSpaceDE w:val="0"/>
        <w:autoSpaceDN w:val="0"/>
        <w:adjustRightInd w:val="0"/>
        <w:spacing w:line="460" w:lineRule="exact"/>
        <w:ind w:firstLine="2520" w:firstLineChars="1050"/>
        <w:jc w:val="center"/>
        <w:rPr>
          <w:rFonts w:hint="eastAsia" w:ascii="仿宋" w:hAnsi="仿宋" w:eastAsia="仿宋" w:cs="仿宋"/>
          <w:color w:val="auto"/>
          <w:kern w:val="0"/>
          <w:sz w:val="24"/>
          <w:u w:val="single"/>
        </w:rPr>
      </w:pPr>
      <w:r>
        <w:rPr>
          <w:rFonts w:hint="eastAsia" w:ascii="仿宋" w:hAnsi="仿宋" w:eastAsia="仿宋" w:cs="仿宋"/>
          <w:color w:val="auto"/>
          <w:kern w:val="0"/>
          <w:sz w:val="24"/>
        </w:rPr>
        <w:t xml:space="preserve">          供应商(盖章)：</w:t>
      </w:r>
    </w:p>
    <w:p>
      <w:pPr>
        <w:tabs>
          <w:tab w:val="left" w:pos="1080"/>
        </w:tabs>
        <w:autoSpaceDE w:val="0"/>
        <w:autoSpaceDN w:val="0"/>
        <w:adjustRightInd w:val="0"/>
        <w:spacing w:line="46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 xml:space="preserve">         法定代表人或其委托人（签字）：</w:t>
      </w:r>
    </w:p>
    <w:p>
      <w:pPr>
        <w:autoSpaceDE w:val="0"/>
        <w:autoSpaceDN w:val="0"/>
        <w:adjustRightInd w:val="0"/>
        <w:spacing w:line="46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 xml:space="preserve">                                      日期：   年   月   日</w:t>
      </w:r>
    </w:p>
    <w:p>
      <w:pPr>
        <w:autoSpaceDE w:val="0"/>
        <w:autoSpaceDN w:val="0"/>
        <w:adjustRightInd w:val="0"/>
        <w:spacing w:line="460" w:lineRule="exact"/>
        <w:jc w:val="center"/>
        <w:rPr>
          <w:rFonts w:hint="eastAsia" w:ascii="仿宋" w:hAnsi="仿宋" w:eastAsia="仿宋" w:cs="仿宋"/>
          <w:b/>
          <w:bCs/>
          <w:color w:val="auto"/>
          <w:kern w:val="0"/>
          <w:sz w:val="32"/>
          <w:szCs w:val="32"/>
        </w:rPr>
      </w:pPr>
      <w:r>
        <w:rPr>
          <w:rFonts w:hint="eastAsia" w:ascii="仿宋" w:hAnsi="仿宋" w:eastAsia="仿宋" w:cs="仿宋"/>
          <w:color w:val="auto"/>
          <w:kern w:val="0"/>
          <w:sz w:val="24"/>
        </w:rPr>
        <w:br w:type="page"/>
      </w:r>
      <w:bookmarkStart w:id="34" w:name="_Toc28990"/>
      <w:bookmarkStart w:id="35" w:name="_Toc65168292"/>
      <w:r>
        <w:rPr>
          <w:rFonts w:hint="eastAsia" w:ascii="仿宋" w:hAnsi="仿宋" w:eastAsia="仿宋" w:cs="仿宋"/>
          <w:b/>
          <w:bCs/>
          <w:color w:val="auto"/>
          <w:kern w:val="0"/>
          <w:sz w:val="32"/>
          <w:szCs w:val="32"/>
        </w:rPr>
        <w:t>5.无商业贿赂及不正当竞争行为承诺书</w:t>
      </w:r>
      <w:bookmarkEnd w:id="34"/>
      <w:bookmarkEnd w:id="35"/>
    </w:p>
    <w:p>
      <w:pPr>
        <w:widowControl/>
        <w:autoSpaceDE w:val="0"/>
        <w:autoSpaceDN w:val="0"/>
        <w:adjustRightInd w:val="0"/>
        <w:spacing w:line="500" w:lineRule="exact"/>
        <w:jc w:val="left"/>
        <w:rPr>
          <w:rFonts w:hint="eastAsia" w:ascii="仿宋" w:hAnsi="仿宋" w:eastAsia="仿宋" w:cs="仿宋"/>
          <w:color w:val="auto"/>
          <w:kern w:val="0"/>
          <w:sz w:val="24"/>
        </w:rPr>
      </w:pPr>
    </w:p>
    <w:p>
      <w:pPr>
        <w:widowControl/>
        <w:autoSpaceDE w:val="0"/>
        <w:autoSpaceDN w:val="0"/>
        <w:adjustRightInd w:val="0"/>
        <w:spacing w:line="50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我公司承诺：</w:t>
      </w:r>
    </w:p>
    <w:p>
      <w:pPr>
        <w:widowControl/>
        <w:autoSpaceDE w:val="0"/>
        <w:autoSpaceDN w:val="0"/>
        <w:adjustRightInd w:val="0"/>
        <w:spacing w:line="500" w:lineRule="exact"/>
        <w:ind w:firstLine="465"/>
        <w:jc w:val="left"/>
        <w:rPr>
          <w:rFonts w:hint="eastAsia" w:ascii="仿宋" w:hAnsi="仿宋" w:eastAsia="仿宋" w:cs="仿宋"/>
          <w:color w:val="auto"/>
          <w:kern w:val="0"/>
          <w:sz w:val="24"/>
        </w:rPr>
      </w:pPr>
      <w:r>
        <w:rPr>
          <w:rFonts w:hint="eastAsia" w:ascii="仿宋" w:hAnsi="仿宋" w:eastAsia="仿宋" w:cs="仿宋"/>
          <w:color w:val="auto"/>
          <w:kern w:val="0"/>
          <w:sz w:val="24"/>
        </w:rPr>
        <w:t>公司自成立以来，在参与政府采购活动中，无商业贿赂及不正当竞争行为。</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特此承诺！</w:t>
      </w:r>
    </w:p>
    <w:p>
      <w:pPr>
        <w:widowControl/>
        <w:autoSpaceDE w:val="0"/>
        <w:autoSpaceDN w:val="0"/>
        <w:adjustRightInd w:val="0"/>
        <w:spacing w:line="500" w:lineRule="exact"/>
        <w:ind w:firstLine="465"/>
        <w:jc w:val="left"/>
        <w:rPr>
          <w:rFonts w:hint="eastAsia" w:ascii="仿宋" w:hAnsi="仿宋" w:eastAsia="仿宋" w:cs="仿宋"/>
          <w:color w:val="auto"/>
          <w:kern w:val="0"/>
          <w:sz w:val="24"/>
        </w:rPr>
      </w:pPr>
    </w:p>
    <w:p>
      <w:pPr>
        <w:autoSpaceDE w:val="0"/>
        <w:autoSpaceDN w:val="0"/>
        <w:adjustRightInd w:val="0"/>
        <w:spacing w:line="500" w:lineRule="exact"/>
        <w:jc w:val="center"/>
        <w:rPr>
          <w:rFonts w:hint="eastAsia" w:ascii="仿宋" w:hAnsi="仿宋" w:eastAsia="仿宋" w:cs="仿宋"/>
          <w:color w:val="auto"/>
          <w:kern w:val="0"/>
          <w:sz w:val="24"/>
          <w:u w:val="single"/>
        </w:rPr>
      </w:pPr>
      <w:r>
        <w:rPr>
          <w:rFonts w:hint="eastAsia" w:ascii="仿宋" w:hAnsi="仿宋" w:eastAsia="仿宋" w:cs="仿宋"/>
          <w:color w:val="auto"/>
          <w:kern w:val="0"/>
          <w:sz w:val="24"/>
        </w:rPr>
        <w:t>                     供应商(盖章)：</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 xml:space="preserve">         法定代表人或其委托人（签字）：</w:t>
      </w:r>
    </w:p>
    <w:p>
      <w:pPr>
        <w:autoSpaceDE w:val="0"/>
        <w:autoSpaceDN w:val="0"/>
        <w:adjustRightInd w:val="0"/>
        <w:spacing w:line="500" w:lineRule="exact"/>
        <w:jc w:val="center"/>
        <w:rPr>
          <w:rFonts w:hint="eastAsia" w:ascii="仿宋" w:hAnsi="仿宋" w:eastAsia="仿宋" w:cs="仿宋"/>
          <w:b/>
          <w:bCs/>
          <w:color w:val="auto"/>
          <w:kern w:val="0"/>
          <w:sz w:val="32"/>
          <w:szCs w:val="32"/>
        </w:rPr>
      </w:pPr>
      <w:r>
        <w:rPr>
          <w:rFonts w:hint="eastAsia" w:ascii="仿宋" w:hAnsi="仿宋" w:eastAsia="仿宋" w:cs="仿宋"/>
          <w:color w:val="auto"/>
          <w:kern w:val="0"/>
          <w:sz w:val="24"/>
        </w:rPr>
        <w:t xml:space="preserve">                                      日期：   年   月   日</w:t>
      </w: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spacing w:line="460" w:lineRule="exact"/>
        <w:rPr>
          <w:rFonts w:hint="eastAsia" w:ascii="仿宋" w:hAnsi="仿宋" w:eastAsia="仿宋" w:cs="仿宋"/>
          <w:color w:val="auto"/>
          <w:kern w:val="0"/>
          <w:sz w:val="20"/>
          <w:szCs w:val="21"/>
        </w:rPr>
      </w:pPr>
    </w:p>
    <w:p>
      <w:pPr>
        <w:keepNext/>
        <w:keepLines/>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bookmarkStart w:id="36" w:name="_Toc4974"/>
      <w:bookmarkStart w:id="37" w:name="_Toc65168293"/>
      <w:r>
        <w:rPr>
          <w:rFonts w:hint="eastAsia" w:ascii="仿宋" w:hAnsi="仿宋" w:eastAsia="仿宋" w:cs="仿宋"/>
          <w:b/>
          <w:bCs/>
          <w:color w:val="auto"/>
          <w:kern w:val="0"/>
          <w:sz w:val="32"/>
          <w:szCs w:val="32"/>
        </w:rPr>
        <w:t>6.响应供应商基本情况表</w:t>
      </w:r>
      <w:bookmarkEnd w:id="36"/>
      <w:bookmarkEnd w:id="37"/>
    </w:p>
    <w:tbl>
      <w:tblPr>
        <w:tblStyle w:val="10"/>
        <w:tblW w:w="9694" w:type="dxa"/>
        <w:jc w:val="center"/>
        <w:tblLayout w:type="fixed"/>
        <w:tblCellMar>
          <w:top w:w="0" w:type="dxa"/>
          <w:left w:w="28" w:type="dxa"/>
          <w:bottom w:w="0" w:type="dxa"/>
          <w:right w:w="28" w:type="dxa"/>
        </w:tblCellMar>
      </w:tblPr>
      <w:tblGrid>
        <w:gridCol w:w="2015"/>
        <w:gridCol w:w="1095"/>
        <w:gridCol w:w="1834"/>
        <w:gridCol w:w="727"/>
        <w:gridCol w:w="547"/>
        <w:gridCol w:w="1107"/>
        <w:gridCol w:w="180"/>
        <w:gridCol w:w="735"/>
        <w:gridCol w:w="1454"/>
      </w:tblGrid>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响应供应商名称</w:t>
            </w:r>
          </w:p>
        </w:tc>
        <w:tc>
          <w:tcPr>
            <w:tcW w:w="7679" w:type="dxa"/>
            <w:gridSpan w:val="8"/>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注册地址</w:t>
            </w:r>
          </w:p>
        </w:tc>
        <w:tc>
          <w:tcPr>
            <w:tcW w:w="4203" w:type="dxa"/>
            <w:gridSpan w:val="4"/>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110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邮政编码</w:t>
            </w:r>
          </w:p>
        </w:tc>
        <w:tc>
          <w:tcPr>
            <w:tcW w:w="2369"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657" w:hRule="atLeast"/>
          <w:jc w:val="center"/>
        </w:trPr>
        <w:tc>
          <w:tcPr>
            <w:tcW w:w="2015" w:type="dxa"/>
            <w:vMerge w:val="restart"/>
            <w:tcBorders>
              <w:top w:val="nil"/>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联系方式</w:t>
            </w:r>
          </w:p>
        </w:tc>
        <w:tc>
          <w:tcPr>
            <w:tcW w:w="1095"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联系人</w:t>
            </w:r>
          </w:p>
        </w:tc>
        <w:tc>
          <w:tcPr>
            <w:tcW w:w="3108"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110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电话</w:t>
            </w:r>
          </w:p>
        </w:tc>
        <w:tc>
          <w:tcPr>
            <w:tcW w:w="2369"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vMerge w:val="continue"/>
            <w:tcBorders>
              <w:top w:val="nil"/>
              <w:left w:val="single" w:color="auto" w:sz="4" w:space="0"/>
              <w:bottom w:val="single" w:color="auto" w:sz="4" w:space="0"/>
              <w:right w:val="single" w:color="auto" w:sz="4" w:space="0"/>
            </w:tcBorders>
            <w:noWrap w:val="0"/>
            <w:vAlign w:val="center"/>
          </w:tcPr>
          <w:p>
            <w:pPr>
              <w:widowControl/>
              <w:spacing w:line="500" w:lineRule="exact"/>
              <w:jc w:val="left"/>
              <w:rPr>
                <w:rFonts w:hint="eastAsia" w:ascii="仿宋" w:hAnsi="仿宋" w:eastAsia="仿宋" w:cs="仿宋"/>
                <w:color w:val="auto"/>
                <w:kern w:val="0"/>
                <w:sz w:val="24"/>
              </w:rPr>
            </w:pPr>
          </w:p>
        </w:tc>
        <w:tc>
          <w:tcPr>
            <w:tcW w:w="1095"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传真</w:t>
            </w:r>
          </w:p>
        </w:tc>
        <w:tc>
          <w:tcPr>
            <w:tcW w:w="3108"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110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网址</w:t>
            </w:r>
          </w:p>
        </w:tc>
        <w:tc>
          <w:tcPr>
            <w:tcW w:w="2369"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法定代表人</w:t>
            </w:r>
          </w:p>
        </w:tc>
        <w:tc>
          <w:tcPr>
            <w:tcW w:w="1095"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姓名</w:t>
            </w:r>
          </w:p>
        </w:tc>
        <w:tc>
          <w:tcPr>
            <w:tcW w:w="18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1274"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技术职称</w:t>
            </w:r>
          </w:p>
        </w:tc>
        <w:tc>
          <w:tcPr>
            <w:tcW w:w="1287"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735"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电话</w:t>
            </w:r>
          </w:p>
        </w:tc>
        <w:tc>
          <w:tcPr>
            <w:tcW w:w="145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项目负责人</w:t>
            </w:r>
          </w:p>
        </w:tc>
        <w:tc>
          <w:tcPr>
            <w:tcW w:w="1095"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姓名</w:t>
            </w:r>
          </w:p>
        </w:tc>
        <w:tc>
          <w:tcPr>
            <w:tcW w:w="183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1274"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技术职称</w:t>
            </w:r>
          </w:p>
        </w:tc>
        <w:tc>
          <w:tcPr>
            <w:tcW w:w="1287"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735"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电话</w:t>
            </w:r>
          </w:p>
        </w:tc>
        <w:tc>
          <w:tcPr>
            <w:tcW w:w="145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成立时间</w:t>
            </w:r>
          </w:p>
        </w:tc>
        <w:tc>
          <w:tcPr>
            <w:tcW w:w="292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4750" w:type="dxa"/>
            <w:gridSpan w:val="6"/>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员工总人数：</w:t>
            </w: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营业执照号</w:t>
            </w:r>
          </w:p>
        </w:tc>
        <w:tc>
          <w:tcPr>
            <w:tcW w:w="292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727" w:type="dxa"/>
            <w:vMerge w:val="restart"/>
            <w:tcBorders>
              <w:top w:val="nil"/>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其中</w:t>
            </w:r>
          </w:p>
        </w:tc>
        <w:tc>
          <w:tcPr>
            <w:tcW w:w="1834"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高级职称人员</w:t>
            </w:r>
          </w:p>
        </w:tc>
        <w:tc>
          <w:tcPr>
            <w:tcW w:w="218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注册资金</w:t>
            </w:r>
          </w:p>
        </w:tc>
        <w:tc>
          <w:tcPr>
            <w:tcW w:w="292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727" w:type="dxa"/>
            <w:vMerge w:val="continue"/>
            <w:tcBorders>
              <w:top w:val="nil"/>
              <w:left w:val="nil"/>
              <w:bottom w:val="single" w:color="auto" w:sz="4" w:space="0"/>
              <w:right w:val="single" w:color="auto" w:sz="4" w:space="0"/>
            </w:tcBorders>
            <w:noWrap w:val="0"/>
            <w:vAlign w:val="center"/>
          </w:tcPr>
          <w:p>
            <w:pPr>
              <w:widowControl/>
              <w:spacing w:line="500" w:lineRule="exact"/>
              <w:jc w:val="left"/>
              <w:rPr>
                <w:rFonts w:hint="eastAsia" w:ascii="仿宋" w:hAnsi="仿宋" w:eastAsia="仿宋" w:cs="仿宋"/>
                <w:color w:val="auto"/>
                <w:kern w:val="0"/>
                <w:sz w:val="24"/>
              </w:rPr>
            </w:pPr>
          </w:p>
        </w:tc>
        <w:tc>
          <w:tcPr>
            <w:tcW w:w="1834"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中级职称人员</w:t>
            </w:r>
          </w:p>
        </w:tc>
        <w:tc>
          <w:tcPr>
            <w:tcW w:w="218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开户银行</w:t>
            </w:r>
          </w:p>
        </w:tc>
        <w:tc>
          <w:tcPr>
            <w:tcW w:w="292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727" w:type="dxa"/>
            <w:vMerge w:val="continue"/>
            <w:tcBorders>
              <w:top w:val="nil"/>
              <w:left w:val="nil"/>
              <w:bottom w:val="single" w:color="auto" w:sz="4" w:space="0"/>
              <w:right w:val="single" w:color="auto" w:sz="4" w:space="0"/>
            </w:tcBorders>
            <w:noWrap w:val="0"/>
            <w:vAlign w:val="center"/>
          </w:tcPr>
          <w:p>
            <w:pPr>
              <w:widowControl/>
              <w:spacing w:line="500" w:lineRule="exact"/>
              <w:jc w:val="left"/>
              <w:rPr>
                <w:rFonts w:hint="eastAsia" w:ascii="仿宋" w:hAnsi="仿宋" w:eastAsia="仿宋" w:cs="仿宋"/>
                <w:color w:val="auto"/>
                <w:kern w:val="0"/>
                <w:sz w:val="24"/>
              </w:rPr>
            </w:pPr>
          </w:p>
        </w:tc>
        <w:tc>
          <w:tcPr>
            <w:tcW w:w="1834"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初级职称人员</w:t>
            </w:r>
          </w:p>
        </w:tc>
        <w:tc>
          <w:tcPr>
            <w:tcW w:w="218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567"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账号</w:t>
            </w:r>
          </w:p>
        </w:tc>
        <w:tc>
          <w:tcPr>
            <w:tcW w:w="292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c>
          <w:tcPr>
            <w:tcW w:w="727" w:type="dxa"/>
            <w:vMerge w:val="continue"/>
            <w:tcBorders>
              <w:top w:val="nil"/>
              <w:left w:val="nil"/>
              <w:bottom w:val="single" w:color="auto" w:sz="4" w:space="0"/>
              <w:right w:val="single" w:color="auto" w:sz="4" w:space="0"/>
            </w:tcBorders>
            <w:noWrap w:val="0"/>
            <w:vAlign w:val="center"/>
          </w:tcPr>
          <w:p>
            <w:pPr>
              <w:widowControl/>
              <w:spacing w:line="500" w:lineRule="exact"/>
              <w:jc w:val="left"/>
              <w:rPr>
                <w:rFonts w:hint="eastAsia" w:ascii="仿宋" w:hAnsi="仿宋" w:eastAsia="仿宋" w:cs="仿宋"/>
                <w:color w:val="auto"/>
                <w:kern w:val="0"/>
                <w:sz w:val="24"/>
              </w:rPr>
            </w:pPr>
          </w:p>
        </w:tc>
        <w:tc>
          <w:tcPr>
            <w:tcW w:w="1834" w:type="dxa"/>
            <w:gridSpan w:val="3"/>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技工</w:t>
            </w:r>
          </w:p>
        </w:tc>
        <w:tc>
          <w:tcPr>
            <w:tcW w:w="2189" w:type="dxa"/>
            <w:gridSpan w:val="2"/>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p>
        </w:tc>
      </w:tr>
      <w:tr>
        <w:tblPrEx>
          <w:tblCellMar>
            <w:top w:w="0" w:type="dxa"/>
            <w:left w:w="28" w:type="dxa"/>
            <w:bottom w:w="0" w:type="dxa"/>
            <w:right w:w="28" w:type="dxa"/>
          </w:tblCellMar>
        </w:tblPrEx>
        <w:trPr>
          <w:trHeight w:val="2072"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经营范围</w:t>
            </w:r>
          </w:p>
        </w:tc>
        <w:tc>
          <w:tcPr>
            <w:tcW w:w="7679" w:type="dxa"/>
            <w:gridSpan w:val="8"/>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500" w:lineRule="exact"/>
              <w:ind w:firstLine="480" w:firstLineChars="200"/>
              <w:jc w:val="center"/>
              <w:rPr>
                <w:rFonts w:hint="eastAsia" w:ascii="仿宋" w:hAnsi="仿宋" w:eastAsia="仿宋" w:cs="仿宋"/>
                <w:color w:val="auto"/>
                <w:kern w:val="0"/>
                <w:sz w:val="24"/>
              </w:rPr>
            </w:pPr>
          </w:p>
        </w:tc>
      </w:tr>
    </w:tbl>
    <w:p>
      <w:pPr>
        <w:snapToGrid w:val="0"/>
        <w:spacing w:line="500" w:lineRule="exact"/>
        <w:ind w:left="-420" w:leftChars="-200" w:right="-712" w:rightChars="-339" w:firstLine="480" w:firstLineChars="200"/>
        <w:rPr>
          <w:rFonts w:hint="eastAsia" w:ascii="仿宋" w:hAnsi="仿宋" w:eastAsia="仿宋" w:cs="仿宋"/>
          <w:color w:val="auto"/>
          <w:kern w:val="0"/>
          <w:sz w:val="22"/>
          <w:szCs w:val="22"/>
        </w:rPr>
      </w:pPr>
      <w:r>
        <w:rPr>
          <w:rFonts w:hint="eastAsia" w:ascii="仿宋" w:hAnsi="仿宋" w:eastAsia="仿宋" w:cs="仿宋"/>
          <w:color w:val="auto"/>
          <w:kern w:val="0"/>
          <w:sz w:val="24"/>
          <w:szCs w:val="28"/>
        </w:rPr>
        <w:t>后附：营业执照扫描件；信用中国网站(www.creditchina.gov.cn）关于对列入失信被执行人、</w:t>
      </w:r>
      <w:r>
        <w:rPr>
          <w:rFonts w:hint="eastAsia" w:ascii="仿宋" w:hAnsi="仿宋" w:eastAsia="仿宋" w:cs="仿宋"/>
          <w:color w:val="auto"/>
          <w:sz w:val="24"/>
        </w:rPr>
        <w:t>重大税收违法失信主体</w:t>
      </w:r>
      <w:r>
        <w:rPr>
          <w:rFonts w:hint="eastAsia" w:ascii="仿宋" w:hAnsi="仿宋" w:eastAsia="仿宋" w:cs="仿宋"/>
          <w:color w:val="auto"/>
          <w:kern w:val="0"/>
          <w:sz w:val="24"/>
          <w:szCs w:val="28"/>
        </w:rPr>
        <w:t>、政府采购严重违法失信行为记录名单的网页查询截图及中国政府采购网（www.ccgp.gov.cn）关于政府采购严重违法失信行为记录名单的网页查询截图。</w:t>
      </w:r>
    </w:p>
    <w:p>
      <w:pPr>
        <w:autoSpaceDE w:val="0"/>
        <w:autoSpaceDN w:val="0"/>
        <w:adjustRightInd w:val="0"/>
        <w:snapToGrid w:val="0"/>
        <w:spacing w:line="500" w:lineRule="exact"/>
        <w:ind w:left="-420" w:leftChars="-200" w:right="-712" w:rightChars="-339"/>
        <w:jc w:val="left"/>
        <w:rPr>
          <w:rFonts w:hint="eastAsia" w:ascii="仿宋" w:hAnsi="仿宋" w:eastAsia="仿宋" w:cs="仿宋"/>
          <w:color w:val="auto"/>
          <w:kern w:val="0"/>
          <w:sz w:val="22"/>
          <w:szCs w:val="22"/>
        </w:rPr>
      </w:pPr>
    </w:p>
    <w:p>
      <w:pPr>
        <w:autoSpaceDE w:val="0"/>
        <w:autoSpaceDN w:val="0"/>
        <w:adjustRightInd w:val="0"/>
        <w:spacing w:line="500" w:lineRule="exact"/>
        <w:jc w:val="center"/>
        <w:rPr>
          <w:rFonts w:hint="eastAsia" w:ascii="仿宋" w:hAnsi="仿宋" w:eastAsia="仿宋" w:cs="仿宋"/>
          <w:color w:val="auto"/>
          <w:kern w:val="0"/>
          <w:sz w:val="24"/>
          <w:u w:val="single"/>
        </w:rPr>
      </w:pPr>
      <w:r>
        <w:rPr>
          <w:rFonts w:hint="eastAsia" w:ascii="仿宋" w:hAnsi="仿宋" w:eastAsia="仿宋" w:cs="仿宋"/>
          <w:color w:val="auto"/>
          <w:kern w:val="0"/>
          <w:sz w:val="24"/>
        </w:rPr>
        <w:t xml:space="preserve">             供应商(盖章)：</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法定代表人或其委托人（签字）：</w:t>
      </w:r>
    </w:p>
    <w:p>
      <w:pPr>
        <w:autoSpaceDE w:val="0"/>
        <w:autoSpaceDN w:val="0"/>
        <w:adjustRightInd w:val="0"/>
        <w:spacing w:line="50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 xml:space="preserve">                  日期：   年   月   日</w:t>
      </w:r>
    </w:p>
    <w:p>
      <w:pPr>
        <w:autoSpaceDE w:val="0"/>
        <w:autoSpaceDN w:val="0"/>
        <w:adjustRightInd w:val="0"/>
        <w:spacing w:line="500" w:lineRule="exact"/>
        <w:jc w:val="center"/>
        <w:rPr>
          <w:rFonts w:hint="eastAsia" w:ascii="仿宋" w:hAnsi="仿宋" w:eastAsia="仿宋" w:cs="仿宋"/>
          <w:b/>
          <w:bCs/>
          <w:color w:val="auto"/>
          <w:kern w:val="0"/>
          <w:sz w:val="32"/>
          <w:szCs w:val="32"/>
        </w:rPr>
      </w:pPr>
      <w:r>
        <w:rPr>
          <w:rFonts w:hint="eastAsia" w:ascii="仿宋" w:hAnsi="仿宋" w:eastAsia="仿宋" w:cs="仿宋"/>
          <w:color w:val="auto"/>
          <w:kern w:val="0"/>
          <w:sz w:val="24"/>
        </w:rPr>
        <w:br w:type="page"/>
      </w:r>
      <w:bookmarkStart w:id="38" w:name="_Toc65168294"/>
      <w:bookmarkStart w:id="39" w:name="_Toc29557"/>
      <w:r>
        <w:rPr>
          <w:rFonts w:hint="eastAsia" w:ascii="仿宋" w:hAnsi="仿宋" w:eastAsia="仿宋" w:cs="仿宋"/>
          <w:b/>
          <w:bCs/>
          <w:color w:val="auto"/>
          <w:kern w:val="0"/>
          <w:sz w:val="32"/>
          <w:szCs w:val="32"/>
        </w:rPr>
        <w:t>7.服务方案</w:t>
      </w:r>
      <w:bookmarkEnd w:id="38"/>
      <w:bookmarkEnd w:id="39"/>
    </w:p>
    <w:p>
      <w:pPr>
        <w:autoSpaceDE w:val="0"/>
        <w:autoSpaceDN w:val="0"/>
        <w:adjustRightInd w:val="0"/>
        <w:spacing w:line="500" w:lineRule="exact"/>
        <w:jc w:val="center"/>
        <w:rPr>
          <w:rFonts w:hint="eastAsia" w:ascii="仿宋" w:hAnsi="仿宋" w:eastAsia="仿宋" w:cs="仿宋"/>
          <w:b/>
          <w:bCs/>
          <w:color w:val="auto"/>
          <w:kern w:val="0"/>
          <w:sz w:val="32"/>
          <w:szCs w:val="32"/>
        </w:rPr>
      </w:pPr>
    </w:p>
    <w:p>
      <w:pPr>
        <w:autoSpaceDE w:val="0"/>
        <w:autoSpaceDN w:val="0"/>
        <w:adjustRightInd w:val="0"/>
        <w:spacing w:line="500" w:lineRule="exact"/>
        <w:jc w:val="center"/>
        <w:rPr>
          <w:rFonts w:hint="eastAsia" w:ascii="仿宋" w:hAnsi="仿宋" w:eastAsia="仿宋" w:cs="仿宋"/>
          <w:b/>
          <w:bCs/>
          <w:color w:val="auto"/>
          <w:kern w:val="0"/>
          <w:sz w:val="32"/>
          <w:szCs w:val="32"/>
        </w:rPr>
      </w:pPr>
    </w:p>
    <w:p>
      <w:pPr>
        <w:autoSpaceDE w:val="0"/>
        <w:autoSpaceDN w:val="0"/>
        <w:adjustRightInd w:val="0"/>
        <w:snapToGrid w:val="0"/>
        <w:spacing w:line="500" w:lineRule="exact"/>
        <w:ind w:left="-2" w:leftChars="-72" w:right="-817" w:rightChars="-389" w:hanging="149" w:hangingChars="62"/>
        <w:jc w:val="center"/>
        <w:rPr>
          <w:rFonts w:hint="eastAsia" w:ascii="仿宋" w:hAnsi="仿宋" w:eastAsia="仿宋" w:cs="仿宋"/>
          <w:b/>
          <w:color w:val="auto"/>
          <w:kern w:val="0"/>
          <w:sz w:val="24"/>
        </w:rPr>
      </w:pPr>
      <w:r>
        <w:rPr>
          <w:rFonts w:hint="eastAsia" w:ascii="仿宋" w:hAnsi="仿宋" w:eastAsia="仿宋" w:cs="仿宋"/>
          <w:b/>
          <w:color w:val="auto"/>
          <w:kern w:val="0"/>
          <w:sz w:val="24"/>
        </w:rPr>
        <w:t>（根据项目设定，格式自拟）</w:t>
      </w:r>
    </w:p>
    <w:p>
      <w:pPr>
        <w:autoSpaceDE w:val="0"/>
        <w:autoSpaceDN w:val="0"/>
        <w:adjustRightInd w:val="0"/>
        <w:spacing w:line="500" w:lineRule="exact"/>
        <w:ind w:firstLine="480" w:firstLineChars="200"/>
        <w:jc w:val="center"/>
        <w:rPr>
          <w:rFonts w:hint="eastAsia" w:ascii="仿宋" w:hAnsi="仿宋" w:eastAsia="仿宋" w:cs="仿宋"/>
          <w:b/>
          <w:bCs/>
          <w:color w:val="auto"/>
          <w:kern w:val="0"/>
          <w:sz w:val="32"/>
          <w:szCs w:val="32"/>
        </w:rPr>
      </w:pPr>
      <w:r>
        <w:rPr>
          <w:rFonts w:hint="eastAsia" w:ascii="仿宋" w:hAnsi="仿宋" w:eastAsia="仿宋" w:cs="仿宋"/>
          <w:bCs/>
          <w:color w:val="auto"/>
          <w:kern w:val="0"/>
          <w:sz w:val="24"/>
        </w:rPr>
        <w:br w:type="page"/>
      </w:r>
      <w:bookmarkStart w:id="40" w:name="_Toc65168295"/>
      <w:bookmarkStart w:id="41" w:name="_Toc6409"/>
      <w:r>
        <w:rPr>
          <w:rFonts w:hint="eastAsia" w:ascii="仿宋" w:hAnsi="仿宋" w:eastAsia="仿宋" w:cs="仿宋"/>
          <w:b/>
          <w:bCs/>
          <w:color w:val="auto"/>
          <w:kern w:val="0"/>
          <w:sz w:val="32"/>
          <w:szCs w:val="32"/>
        </w:rPr>
        <w:t>8.项目管理机构</w:t>
      </w:r>
      <w:bookmarkEnd w:id="40"/>
      <w:bookmarkEnd w:id="41"/>
      <w:bookmarkStart w:id="42" w:name="_Toc365647277"/>
    </w:p>
    <w:p>
      <w:pPr>
        <w:keepNext/>
        <w:keepLines/>
        <w:spacing w:before="120" w:after="120" w:line="500" w:lineRule="exact"/>
        <w:jc w:val="center"/>
        <w:outlineLvl w:val="2"/>
        <w:rPr>
          <w:rFonts w:hint="eastAsia" w:ascii="仿宋" w:hAnsi="仿宋" w:eastAsia="仿宋" w:cs="仿宋"/>
          <w:b/>
          <w:bCs/>
          <w:color w:val="auto"/>
          <w:kern w:val="0"/>
          <w:sz w:val="28"/>
          <w:szCs w:val="32"/>
        </w:rPr>
      </w:pPr>
      <w:bookmarkStart w:id="43" w:name="_Toc65168296"/>
      <w:bookmarkStart w:id="44" w:name="_Toc19202"/>
      <w:r>
        <w:rPr>
          <w:rFonts w:hint="eastAsia" w:ascii="仿宋" w:hAnsi="仿宋" w:eastAsia="仿宋" w:cs="仿宋"/>
          <w:b/>
          <w:bCs/>
          <w:color w:val="auto"/>
          <w:kern w:val="0"/>
          <w:sz w:val="28"/>
          <w:szCs w:val="32"/>
        </w:rPr>
        <w:t>（一）项目管理机构组成表</w:t>
      </w:r>
      <w:bookmarkEnd w:id="42"/>
      <w:bookmarkEnd w:id="43"/>
      <w:bookmarkEnd w:id="44"/>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989"/>
        <w:gridCol w:w="1050"/>
        <w:gridCol w:w="1773"/>
        <w:gridCol w:w="1575"/>
        <w:gridCol w:w="1787"/>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2" w:type="dxa"/>
            <w:vMerge w:val="restart"/>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45" w:name="_Toc365647278"/>
            <w:r>
              <w:rPr>
                <w:rFonts w:hint="eastAsia" w:ascii="仿宋" w:hAnsi="仿宋" w:eastAsia="仿宋" w:cs="仿宋"/>
                <w:color w:val="auto"/>
                <w:kern w:val="0"/>
                <w:sz w:val="24"/>
                <w:szCs w:val="21"/>
              </w:rPr>
              <w:t>职务</w:t>
            </w:r>
            <w:bookmarkEnd w:id="45"/>
          </w:p>
        </w:tc>
        <w:tc>
          <w:tcPr>
            <w:tcW w:w="989" w:type="dxa"/>
            <w:vMerge w:val="restart"/>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46" w:name="_Toc365647279"/>
            <w:r>
              <w:rPr>
                <w:rFonts w:hint="eastAsia" w:ascii="仿宋" w:hAnsi="仿宋" w:eastAsia="仿宋" w:cs="仿宋"/>
                <w:color w:val="auto"/>
                <w:kern w:val="0"/>
                <w:sz w:val="24"/>
                <w:szCs w:val="21"/>
              </w:rPr>
              <w:t>姓名</w:t>
            </w:r>
            <w:bookmarkEnd w:id="46"/>
          </w:p>
        </w:tc>
        <w:tc>
          <w:tcPr>
            <w:tcW w:w="1050" w:type="dxa"/>
            <w:vMerge w:val="restart"/>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47" w:name="_Toc365647280"/>
            <w:r>
              <w:rPr>
                <w:rFonts w:hint="eastAsia" w:ascii="仿宋" w:hAnsi="仿宋" w:eastAsia="仿宋" w:cs="仿宋"/>
                <w:color w:val="auto"/>
                <w:kern w:val="0"/>
                <w:sz w:val="24"/>
                <w:szCs w:val="21"/>
              </w:rPr>
              <w:t>职称</w:t>
            </w:r>
            <w:bookmarkEnd w:id="47"/>
          </w:p>
        </w:tc>
        <w:tc>
          <w:tcPr>
            <w:tcW w:w="5135" w:type="dxa"/>
            <w:gridSpan w:val="3"/>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48" w:name="_Toc365647281"/>
            <w:r>
              <w:rPr>
                <w:rFonts w:hint="eastAsia" w:ascii="仿宋" w:hAnsi="仿宋" w:eastAsia="仿宋" w:cs="仿宋"/>
                <w:color w:val="auto"/>
                <w:kern w:val="0"/>
                <w:sz w:val="24"/>
                <w:szCs w:val="21"/>
              </w:rPr>
              <w:t>执业或职业资格证明</w:t>
            </w:r>
            <w:bookmarkEnd w:id="48"/>
          </w:p>
        </w:tc>
        <w:tc>
          <w:tcPr>
            <w:tcW w:w="1329"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49" w:name="_Toc365647282"/>
            <w:r>
              <w:rPr>
                <w:rFonts w:hint="eastAsia" w:ascii="仿宋" w:hAnsi="仿宋" w:eastAsia="仿宋" w:cs="仿宋"/>
                <w:color w:val="auto"/>
                <w:kern w:val="0"/>
                <w:sz w:val="24"/>
                <w:szCs w:val="21"/>
              </w:rPr>
              <w:t>备注</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02" w:type="dxa"/>
            <w:vMerge w:val="continue"/>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vMerge w:val="continue"/>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vMerge w:val="continue"/>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50" w:name="_Toc365647283"/>
            <w:r>
              <w:rPr>
                <w:rFonts w:hint="eastAsia" w:ascii="仿宋" w:hAnsi="仿宋" w:eastAsia="仿宋" w:cs="仿宋"/>
                <w:color w:val="auto"/>
                <w:kern w:val="0"/>
                <w:sz w:val="24"/>
                <w:szCs w:val="21"/>
              </w:rPr>
              <w:t>证书名称</w:t>
            </w:r>
            <w:bookmarkEnd w:id="50"/>
          </w:p>
        </w:tc>
        <w:tc>
          <w:tcPr>
            <w:tcW w:w="157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51" w:name="_Toc365647284"/>
            <w:r>
              <w:rPr>
                <w:rFonts w:hint="eastAsia" w:ascii="仿宋" w:hAnsi="仿宋" w:eastAsia="仿宋" w:cs="仿宋"/>
                <w:color w:val="auto"/>
                <w:kern w:val="0"/>
                <w:sz w:val="24"/>
                <w:szCs w:val="21"/>
              </w:rPr>
              <w:t>级别</w:t>
            </w:r>
            <w:bookmarkEnd w:id="51"/>
          </w:p>
        </w:tc>
        <w:tc>
          <w:tcPr>
            <w:tcW w:w="1787"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52" w:name="_Toc365647285"/>
            <w:r>
              <w:rPr>
                <w:rFonts w:hint="eastAsia" w:ascii="仿宋" w:hAnsi="仿宋" w:eastAsia="仿宋" w:cs="仿宋"/>
                <w:color w:val="auto"/>
                <w:kern w:val="0"/>
                <w:sz w:val="24"/>
                <w:szCs w:val="21"/>
              </w:rPr>
              <w:t>专业</w:t>
            </w:r>
            <w:bookmarkEnd w:id="52"/>
          </w:p>
        </w:tc>
        <w:tc>
          <w:tcPr>
            <w:tcW w:w="1329" w:type="dxa"/>
            <w:noWrap w:val="0"/>
            <w:vAlign w:val="center"/>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98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050"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73"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57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87"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329"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bl>
    <w:p>
      <w:pPr>
        <w:autoSpaceDE w:val="0"/>
        <w:autoSpaceDN w:val="0"/>
        <w:adjustRightInd w:val="0"/>
        <w:spacing w:line="500" w:lineRule="exact"/>
        <w:ind w:firstLine="4394" w:firstLineChars="1831"/>
        <w:jc w:val="left"/>
        <w:rPr>
          <w:rFonts w:hint="eastAsia" w:ascii="仿宋" w:hAnsi="仿宋" w:eastAsia="仿宋" w:cs="仿宋"/>
          <w:color w:val="auto"/>
          <w:kern w:val="0"/>
          <w:sz w:val="24"/>
          <w:szCs w:val="21"/>
          <w:u w:val="single"/>
        </w:rPr>
      </w:pPr>
      <w:r>
        <w:rPr>
          <w:rFonts w:hint="eastAsia" w:ascii="仿宋" w:hAnsi="仿宋" w:eastAsia="仿宋" w:cs="仿宋"/>
          <w:color w:val="auto"/>
          <w:kern w:val="0"/>
          <w:sz w:val="24"/>
          <w:szCs w:val="21"/>
        </w:rPr>
        <w:t>供应商(盖章)：</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法定代表人或其委托人（签字）：</w:t>
      </w:r>
    </w:p>
    <w:p>
      <w:pPr>
        <w:autoSpaceDE w:val="0"/>
        <w:autoSpaceDN w:val="0"/>
        <w:adjustRightInd w:val="0"/>
        <w:spacing w:line="500" w:lineRule="exact"/>
        <w:ind w:firstLine="4394" w:firstLineChars="1831"/>
        <w:jc w:val="left"/>
        <w:rPr>
          <w:rFonts w:hint="eastAsia" w:ascii="仿宋" w:hAnsi="仿宋" w:eastAsia="仿宋" w:cs="仿宋"/>
          <w:color w:val="auto"/>
          <w:kern w:val="0"/>
          <w:sz w:val="24"/>
        </w:rPr>
      </w:pPr>
      <w:r>
        <w:rPr>
          <w:rFonts w:hint="eastAsia" w:ascii="仿宋" w:hAnsi="仿宋" w:eastAsia="仿宋" w:cs="仿宋"/>
          <w:color w:val="auto"/>
          <w:kern w:val="0"/>
          <w:sz w:val="24"/>
          <w:szCs w:val="21"/>
        </w:rPr>
        <w:t>日期：</w:t>
      </w:r>
      <w:r>
        <w:rPr>
          <w:rFonts w:hint="eastAsia" w:ascii="仿宋" w:hAnsi="仿宋" w:eastAsia="仿宋" w:cs="仿宋"/>
          <w:color w:val="auto"/>
          <w:kern w:val="0"/>
          <w:sz w:val="24"/>
        </w:rPr>
        <w:t xml:space="preserve">   年   月   日</w:t>
      </w:r>
    </w:p>
    <w:p>
      <w:pPr>
        <w:autoSpaceDE w:val="0"/>
        <w:autoSpaceDN w:val="0"/>
        <w:adjustRightInd w:val="0"/>
        <w:spacing w:line="500" w:lineRule="exact"/>
        <w:ind w:firstLine="4394" w:firstLineChars="1831"/>
        <w:jc w:val="left"/>
        <w:rPr>
          <w:rFonts w:hint="eastAsia" w:ascii="仿宋" w:hAnsi="仿宋" w:eastAsia="仿宋" w:cs="仿宋"/>
          <w:color w:val="auto"/>
          <w:kern w:val="0"/>
          <w:sz w:val="24"/>
        </w:rPr>
      </w:pPr>
    </w:p>
    <w:p>
      <w:pPr>
        <w:autoSpaceDE w:val="0"/>
        <w:autoSpaceDN w:val="0"/>
        <w:adjustRightInd w:val="0"/>
        <w:spacing w:line="500" w:lineRule="exact"/>
        <w:ind w:firstLine="4394" w:firstLineChars="1831"/>
        <w:jc w:val="left"/>
        <w:rPr>
          <w:rFonts w:hint="eastAsia" w:ascii="仿宋" w:hAnsi="仿宋" w:eastAsia="仿宋" w:cs="仿宋"/>
          <w:color w:val="auto"/>
          <w:kern w:val="0"/>
          <w:sz w:val="24"/>
        </w:rPr>
      </w:pPr>
    </w:p>
    <w:p>
      <w:pPr>
        <w:autoSpaceDE w:val="0"/>
        <w:autoSpaceDN w:val="0"/>
        <w:adjustRightInd w:val="0"/>
        <w:spacing w:line="500" w:lineRule="exact"/>
        <w:jc w:val="left"/>
        <w:rPr>
          <w:rFonts w:hint="eastAsia" w:ascii="仿宋" w:hAnsi="仿宋" w:eastAsia="仿宋" w:cs="仿宋"/>
          <w:color w:val="auto"/>
          <w:kern w:val="0"/>
          <w:sz w:val="24"/>
        </w:rPr>
      </w:pPr>
    </w:p>
    <w:p>
      <w:pPr>
        <w:autoSpaceDE w:val="0"/>
        <w:autoSpaceDN w:val="0"/>
        <w:adjustRightInd w:val="0"/>
        <w:spacing w:line="500" w:lineRule="exact"/>
        <w:jc w:val="center"/>
        <w:rPr>
          <w:rFonts w:hint="eastAsia" w:ascii="仿宋" w:hAnsi="仿宋" w:eastAsia="仿宋" w:cs="仿宋"/>
          <w:b/>
          <w:bCs/>
          <w:color w:val="auto"/>
          <w:kern w:val="0"/>
          <w:sz w:val="28"/>
          <w:szCs w:val="32"/>
        </w:rPr>
      </w:pPr>
      <w:bookmarkStart w:id="53" w:name="_Toc12777"/>
      <w:bookmarkStart w:id="54" w:name="_Toc65168297"/>
      <w:bookmarkStart w:id="55" w:name="_Toc365647287"/>
      <w:r>
        <w:rPr>
          <w:rFonts w:hint="eastAsia" w:ascii="仿宋" w:hAnsi="仿宋" w:eastAsia="仿宋" w:cs="仿宋"/>
          <w:b/>
          <w:bCs/>
          <w:color w:val="auto"/>
          <w:kern w:val="0"/>
          <w:sz w:val="28"/>
          <w:szCs w:val="32"/>
        </w:rPr>
        <w:t>（二）项目负责人简历表</w:t>
      </w:r>
      <w:bookmarkEnd w:id="53"/>
      <w:bookmarkEnd w:id="54"/>
      <w:bookmarkEnd w:id="55"/>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371"/>
        <w:gridCol w:w="1681"/>
        <w:gridCol w:w="1117"/>
        <w:gridCol w:w="926"/>
        <w:gridCol w:w="564"/>
        <w:gridCol w:w="1139"/>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73" w:type="dxa"/>
            <w:gridSpan w:val="2"/>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56" w:name="_Toc365647289"/>
            <w:r>
              <w:rPr>
                <w:rFonts w:hint="eastAsia" w:ascii="仿宋" w:hAnsi="仿宋" w:eastAsia="仿宋" w:cs="仿宋"/>
                <w:color w:val="auto"/>
                <w:kern w:val="0"/>
                <w:sz w:val="24"/>
                <w:szCs w:val="21"/>
              </w:rPr>
              <w:t>姓名</w:t>
            </w:r>
            <w:bookmarkEnd w:id="56"/>
          </w:p>
        </w:tc>
        <w:tc>
          <w:tcPr>
            <w:tcW w:w="1681"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117"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57" w:name="_Toc365647290"/>
            <w:r>
              <w:rPr>
                <w:rFonts w:hint="eastAsia" w:ascii="仿宋" w:hAnsi="仿宋" w:eastAsia="仿宋" w:cs="仿宋"/>
                <w:color w:val="auto"/>
                <w:kern w:val="0"/>
                <w:sz w:val="24"/>
                <w:szCs w:val="21"/>
              </w:rPr>
              <w:t>性别</w:t>
            </w:r>
            <w:bookmarkEnd w:id="57"/>
          </w:p>
        </w:tc>
        <w:tc>
          <w:tcPr>
            <w:tcW w:w="1490"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139"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58" w:name="_Toc365647291"/>
            <w:r>
              <w:rPr>
                <w:rFonts w:hint="eastAsia" w:ascii="仿宋" w:hAnsi="仿宋" w:eastAsia="仿宋" w:cs="仿宋"/>
                <w:color w:val="auto"/>
                <w:kern w:val="0"/>
                <w:sz w:val="24"/>
                <w:szCs w:val="21"/>
              </w:rPr>
              <w:t>年龄</w:t>
            </w:r>
            <w:bookmarkEnd w:id="58"/>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673" w:type="dxa"/>
            <w:gridSpan w:val="2"/>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59" w:name="_Toc365647292"/>
            <w:r>
              <w:rPr>
                <w:rFonts w:hint="eastAsia" w:ascii="仿宋" w:hAnsi="仿宋" w:eastAsia="仿宋" w:cs="仿宋"/>
                <w:color w:val="auto"/>
                <w:kern w:val="0"/>
                <w:sz w:val="24"/>
                <w:szCs w:val="21"/>
              </w:rPr>
              <w:t>职称</w:t>
            </w:r>
            <w:bookmarkEnd w:id="59"/>
          </w:p>
        </w:tc>
        <w:tc>
          <w:tcPr>
            <w:tcW w:w="1681"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117"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0" w:name="_Toc365647293"/>
            <w:r>
              <w:rPr>
                <w:rFonts w:hint="eastAsia" w:ascii="仿宋" w:hAnsi="仿宋" w:eastAsia="仿宋" w:cs="仿宋"/>
                <w:color w:val="auto"/>
                <w:kern w:val="0"/>
                <w:sz w:val="24"/>
                <w:szCs w:val="21"/>
              </w:rPr>
              <w:t>职务</w:t>
            </w:r>
            <w:bookmarkEnd w:id="60"/>
          </w:p>
        </w:tc>
        <w:tc>
          <w:tcPr>
            <w:tcW w:w="1490"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139"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1" w:name="_Toc365647294"/>
            <w:r>
              <w:rPr>
                <w:rFonts w:hint="eastAsia" w:ascii="仿宋" w:hAnsi="仿宋" w:eastAsia="仿宋" w:cs="仿宋"/>
                <w:color w:val="auto"/>
                <w:kern w:val="0"/>
                <w:sz w:val="24"/>
                <w:szCs w:val="21"/>
              </w:rPr>
              <w:t>学  历</w:t>
            </w:r>
            <w:bookmarkEnd w:id="61"/>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673" w:type="dxa"/>
            <w:gridSpan w:val="2"/>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2" w:name="_Toc365647295"/>
            <w:r>
              <w:rPr>
                <w:rFonts w:hint="eastAsia" w:ascii="仿宋" w:hAnsi="仿宋" w:eastAsia="仿宋" w:cs="仿宋"/>
                <w:color w:val="auto"/>
                <w:kern w:val="0"/>
                <w:sz w:val="24"/>
                <w:szCs w:val="21"/>
              </w:rPr>
              <w:t>资格证书</w:t>
            </w:r>
            <w:bookmarkEnd w:id="62"/>
          </w:p>
        </w:tc>
        <w:tc>
          <w:tcPr>
            <w:tcW w:w="2798" w:type="dxa"/>
            <w:gridSpan w:val="2"/>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p>
        </w:tc>
        <w:tc>
          <w:tcPr>
            <w:tcW w:w="2629" w:type="dxa"/>
            <w:gridSpan w:val="3"/>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3" w:name="_Toc365647296"/>
            <w:r>
              <w:rPr>
                <w:rFonts w:hint="eastAsia" w:ascii="仿宋" w:hAnsi="仿宋" w:eastAsia="仿宋" w:cs="仿宋"/>
                <w:color w:val="auto"/>
                <w:kern w:val="0"/>
                <w:sz w:val="24"/>
                <w:szCs w:val="21"/>
              </w:rPr>
              <w:t>资格证书编号</w:t>
            </w:r>
            <w:bookmarkEnd w:id="63"/>
          </w:p>
        </w:tc>
        <w:tc>
          <w:tcPr>
            <w:tcW w:w="199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4471" w:type="dxa"/>
            <w:gridSpan w:val="4"/>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4" w:name="_Toc365647297"/>
            <w:r>
              <w:rPr>
                <w:rFonts w:hint="eastAsia" w:ascii="仿宋" w:hAnsi="仿宋" w:eastAsia="仿宋" w:cs="仿宋"/>
                <w:color w:val="auto"/>
                <w:kern w:val="0"/>
                <w:sz w:val="24"/>
                <w:szCs w:val="21"/>
              </w:rPr>
              <w:t>拟在本合同任职</w:t>
            </w:r>
            <w:bookmarkEnd w:id="64"/>
          </w:p>
        </w:tc>
        <w:tc>
          <w:tcPr>
            <w:tcW w:w="4624" w:type="dxa"/>
            <w:gridSpan w:val="4"/>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95" w:type="dxa"/>
            <w:gridSpan w:val="8"/>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5" w:name="_Toc365647298"/>
            <w:r>
              <w:rPr>
                <w:rFonts w:hint="eastAsia" w:ascii="仿宋" w:hAnsi="仿宋" w:eastAsia="仿宋" w:cs="仿宋"/>
                <w:color w:val="auto"/>
                <w:kern w:val="0"/>
                <w:sz w:val="24"/>
                <w:szCs w:val="21"/>
              </w:rPr>
              <w:t>主要工作经历</w:t>
            </w:r>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302"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6" w:name="_Toc365647299"/>
            <w:r>
              <w:rPr>
                <w:rFonts w:hint="eastAsia" w:ascii="仿宋" w:hAnsi="仿宋" w:eastAsia="仿宋" w:cs="仿宋"/>
                <w:color w:val="auto"/>
                <w:kern w:val="0"/>
                <w:sz w:val="24"/>
                <w:szCs w:val="21"/>
              </w:rPr>
              <w:t>时间</w:t>
            </w:r>
            <w:bookmarkEnd w:id="66"/>
          </w:p>
        </w:tc>
        <w:tc>
          <w:tcPr>
            <w:tcW w:w="4095" w:type="dxa"/>
            <w:gridSpan w:val="4"/>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7" w:name="_Toc365647300"/>
            <w:r>
              <w:rPr>
                <w:rFonts w:hint="eastAsia" w:ascii="仿宋" w:hAnsi="仿宋" w:eastAsia="仿宋" w:cs="仿宋"/>
                <w:color w:val="auto"/>
                <w:kern w:val="0"/>
                <w:sz w:val="24"/>
                <w:szCs w:val="21"/>
              </w:rPr>
              <w:t>参加过的类似项目</w:t>
            </w:r>
            <w:bookmarkEnd w:id="67"/>
          </w:p>
        </w:tc>
        <w:tc>
          <w:tcPr>
            <w:tcW w:w="1703" w:type="dxa"/>
            <w:gridSpan w:val="2"/>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8" w:name="_Toc365647301"/>
            <w:r>
              <w:rPr>
                <w:rFonts w:hint="eastAsia" w:ascii="仿宋" w:hAnsi="仿宋" w:eastAsia="仿宋" w:cs="仿宋"/>
                <w:color w:val="auto"/>
                <w:kern w:val="0"/>
                <w:sz w:val="24"/>
                <w:szCs w:val="21"/>
              </w:rPr>
              <w:t>担任职务</w:t>
            </w:r>
            <w:bookmarkEnd w:id="68"/>
          </w:p>
        </w:tc>
        <w:tc>
          <w:tcPr>
            <w:tcW w:w="1995" w:type="dxa"/>
            <w:noWrap w:val="0"/>
            <w:vAlign w:val="center"/>
          </w:tcPr>
          <w:p>
            <w:pPr>
              <w:autoSpaceDE w:val="0"/>
              <w:autoSpaceDN w:val="0"/>
              <w:adjustRightInd w:val="0"/>
              <w:spacing w:line="500" w:lineRule="exact"/>
              <w:jc w:val="center"/>
              <w:rPr>
                <w:rFonts w:hint="eastAsia" w:ascii="仿宋" w:hAnsi="仿宋" w:eastAsia="仿宋" w:cs="仿宋"/>
                <w:color w:val="auto"/>
                <w:kern w:val="0"/>
                <w:sz w:val="24"/>
                <w:szCs w:val="21"/>
              </w:rPr>
            </w:pPr>
            <w:bookmarkStart w:id="69" w:name="_Toc365647302"/>
            <w:r>
              <w:rPr>
                <w:rFonts w:hint="eastAsia" w:ascii="仿宋" w:hAnsi="仿宋" w:eastAsia="仿宋" w:cs="仿宋"/>
                <w:color w:val="auto"/>
                <w:kern w:val="0"/>
                <w:sz w:val="24"/>
                <w:szCs w:val="21"/>
              </w:rPr>
              <w:t>发包人及联系电话</w:t>
            </w: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302"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4095" w:type="dxa"/>
            <w:gridSpan w:val="4"/>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703" w:type="dxa"/>
            <w:gridSpan w:val="2"/>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c>
          <w:tcPr>
            <w:tcW w:w="1995" w:type="dxa"/>
            <w:noWrap w:val="0"/>
            <w:vAlign w:val="top"/>
          </w:tcPr>
          <w:p>
            <w:pPr>
              <w:autoSpaceDE w:val="0"/>
              <w:autoSpaceDN w:val="0"/>
              <w:adjustRightInd w:val="0"/>
              <w:spacing w:line="500" w:lineRule="exact"/>
              <w:jc w:val="left"/>
              <w:rPr>
                <w:rFonts w:hint="eastAsia" w:ascii="仿宋" w:hAnsi="仿宋" w:eastAsia="仿宋" w:cs="仿宋"/>
                <w:color w:val="auto"/>
                <w:kern w:val="0"/>
                <w:sz w:val="24"/>
                <w:szCs w:val="21"/>
              </w:rPr>
            </w:pPr>
          </w:p>
        </w:tc>
      </w:tr>
    </w:tbl>
    <w:p>
      <w:pPr>
        <w:autoSpaceDE w:val="0"/>
        <w:autoSpaceDN w:val="0"/>
        <w:adjustRightInd w:val="0"/>
        <w:spacing w:line="500" w:lineRule="exact"/>
        <w:ind w:firstLine="4200" w:firstLineChars="1750"/>
        <w:jc w:val="left"/>
        <w:rPr>
          <w:rFonts w:hint="eastAsia" w:ascii="仿宋" w:hAnsi="仿宋" w:eastAsia="仿宋" w:cs="仿宋"/>
          <w:color w:val="auto"/>
          <w:kern w:val="0"/>
          <w:sz w:val="24"/>
          <w:szCs w:val="21"/>
        </w:rPr>
      </w:pPr>
    </w:p>
    <w:p>
      <w:pPr>
        <w:autoSpaceDE w:val="0"/>
        <w:autoSpaceDN w:val="0"/>
        <w:adjustRightInd w:val="0"/>
        <w:spacing w:line="500" w:lineRule="exact"/>
        <w:ind w:firstLine="4252" w:firstLineChars="1772"/>
        <w:jc w:val="left"/>
        <w:rPr>
          <w:rFonts w:hint="eastAsia" w:ascii="仿宋" w:hAnsi="仿宋" w:eastAsia="仿宋" w:cs="仿宋"/>
          <w:color w:val="auto"/>
          <w:kern w:val="0"/>
          <w:sz w:val="24"/>
          <w:szCs w:val="21"/>
          <w:u w:val="single"/>
        </w:rPr>
      </w:pPr>
      <w:r>
        <w:rPr>
          <w:rFonts w:hint="eastAsia" w:ascii="仿宋" w:hAnsi="仿宋" w:eastAsia="仿宋" w:cs="仿宋"/>
          <w:color w:val="auto"/>
          <w:kern w:val="0"/>
          <w:sz w:val="24"/>
          <w:szCs w:val="21"/>
        </w:rPr>
        <w:t>供应商(盖章)：</w:t>
      </w:r>
    </w:p>
    <w:p>
      <w:pPr>
        <w:tabs>
          <w:tab w:val="left" w:pos="1080"/>
        </w:tabs>
        <w:autoSpaceDE w:val="0"/>
        <w:autoSpaceDN w:val="0"/>
        <w:adjustRightInd w:val="0"/>
        <w:spacing w:line="500" w:lineRule="exact"/>
        <w:ind w:firstLine="3967" w:firstLineChars="1653"/>
        <w:jc w:val="left"/>
        <w:rPr>
          <w:rFonts w:hint="eastAsia" w:ascii="仿宋" w:hAnsi="仿宋" w:eastAsia="仿宋" w:cs="仿宋"/>
          <w:color w:val="auto"/>
          <w:kern w:val="0"/>
          <w:sz w:val="24"/>
          <w:u w:val="single"/>
        </w:rPr>
      </w:pPr>
      <w:r>
        <w:rPr>
          <w:rFonts w:hint="eastAsia" w:ascii="仿宋" w:hAnsi="仿宋" w:eastAsia="仿宋" w:cs="仿宋"/>
          <w:color w:val="auto"/>
          <w:kern w:val="0"/>
          <w:sz w:val="24"/>
        </w:rPr>
        <w:t>法定代表人或其委托人（签字）：</w:t>
      </w:r>
    </w:p>
    <w:p>
      <w:pPr>
        <w:autoSpaceDE w:val="0"/>
        <w:autoSpaceDN w:val="0"/>
        <w:adjustRightInd w:val="0"/>
        <w:spacing w:line="500" w:lineRule="exact"/>
        <w:ind w:firstLine="4252" w:firstLineChars="1772"/>
        <w:jc w:val="left"/>
        <w:rPr>
          <w:rFonts w:hint="eastAsia" w:ascii="仿宋" w:hAnsi="仿宋" w:eastAsia="仿宋" w:cs="仿宋"/>
          <w:color w:val="auto"/>
          <w:kern w:val="0"/>
          <w:sz w:val="24"/>
        </w:rPr>
      </w:pPr>
      <w:r>
        <w:rPr>
          <w:rFonts w:hint="eastAsia" w:ascii="仿宋" w:hAnsi="仿宋" w:eastAsia="仿宋" w:cs="仿宋"/>
          <w:color w:val="auto"/>
          <w:kern w:val="0"/>
          <w:sz w:val="24"/>
          <w:szCs w:val="21"/>
        </w:rPr>
        <w:t>日期：</w:t>
      </w:r>
      <w:r>
        <w:rPr>
          <w:rFonts w:hint="eastAsia" w:ascii="仿宋" w:hAnsi="仿宋" w:eastAsia="仿宋" w:cs="仿宋"/>
          <w:color w:val="auto"/>
          <w:kern w:val="0"/>
          <w:sz w:val="24"/>
        </w:rPr>
        <w:t xml:space="preserve">   年   月   日</w:t>
      </w:r>
    </w:p>
    <w:p>
      <w:pPr>
        <w:autoSpaceDE w:val="0"/>
        <w:autoSpaceDN w:val="0"/>
        <w:adjustRightInd w:val="0"/>
        <w:spacing w:line="500" w:lineRule="exact"/>
        <w:ind w:firstLine="4269" w:firstLineChars="1772"/>
        <w:jc w:val="left"/>
        <w:rPr>
          <w:rFonts w:hint="eastAsia" w:ascii="仿宋" w:hAnsi="仿宋" w:eastAsia="仿宋" w:cs="仿宋"/>
          <w:b/>
          <w:color w:val="auto"/>
          <w:kern w:val="0"/>
          <w:sz w:val="24"/>
        </w:rPr>
      </w:pPr>
    </w:p>
    <w:p>
      <w:pPr>
        <w:keepNext/>
        <w:keepLines/>
        <w:autoSpaceDE w:val="0"/>
        <w:autoSpaceDN w:val="0"/>
        <w:adjustRightInd w:val="0"/>
        <w:spacing w:before="260" w:after="260" w:line="500" w:lineRule="exact"/>
        <w:jc w:val="center"/>
        <w:outlineLvl w:val="1"/>
        <w:rPr>
          <w:rFonts w:hint="eastAsia" w:ascii="仿宋" w:hAnsi="仿宋" w:eastAsia="仿宋" w:cs="仿宋"/>
          <w:b/>
          <w:bCs/>
          <w:color w:val="auto"/>
          <w:kern w:val="0"/>
          <w:sz w:val="32"/>
          <w:szCs w:val="32"/>
        </w:rPr>
      </w:pPr>
      <w:bookmarkStart w:id="70" w:name="_Toc65168298"/>
      <w:bookmarkStart w:id="71" w:name="_Toc6124"/>
      <w:r>
        <w:rPr>
          <w:rFonts w:hint="eastAsia" w:ascii="仿宋" w:hAnsi="仿宋" w:eastAsia="仿宋" w:cs="仿宋"/>
          <w:b/>
          <w:bCs/>
          <w:color w:val="auto"/>
          <w:kern w:val="0"/>
          <w:sz w:val="32"/>
          <w:szCs w:val="32"/>
        </w:rPr>
        <w:t>9.响应供应商可提交的其他资料</w:t>
      </w:r>
      <w:bookmarkEnd w:id="70"/>
      <w:bookmarkEnd w:id="71"/>
    </w:p>
    <w:p>
      <w:pPr>
        <w:autoSpaceDE w:val="0"/>
        <w:autoSpaceDN w:val="0"/>
        <w:adjustRightInd w:val="0"/>
        <w:spacing w:line="360" w:lineRule="auto"/>
        <w:ind w:firstLine="630" w:firstLineChars="300"/>
        <w:jc w:val="left"/>
        <w:rPr>
          <w:rFonts w:hint="eastAsia" w:ascii="仿宋" w:hAnsi="仿宋" w:eastAsia="仿宋" w:cs="仿宋"/>
          <w:color w:val="auto"/>
        </w:rPr>
      </w:pPr>
    </w:p>
    <w:p>
      <w:pPr>
        <w:rPr>
          <w:rFonts w:hint="eastAsia" w:eastAsiaTheme="minorEastAsia"/>
          <w:color w:val="auto"/>
          <w:lang w:val="en-US" w:eastAsia="zh-CN"/>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方正小标宋_GBK">
    <w:altName w:val="微软雅黑"/>
    <w:panose1 w:val="02000000000000000000"/>
    <w:charset w:val="86"/>
    <w:family w:val="script"/>
    <w:pitch w:val="default"/>
    <w:sig w:usb0="00000000" w:usb1="00000000" w:usb2="00000000" w:usb3="00000000" w:csb0="00040000" w:csb1="00000000"/>
  </w:font>
  <w:font w:name="等线 Light">
    <w:altName w:val="微软雅黑"/>
    <w:panose1 w:val="02010600030101010101"/>
    <w:charset w:val="00"/>
    <w:family w:val="auto"/>
    <w:pitch w:val="default"/>
    <w:sig w:usb0="00000000" w:usb1="00000000" w:usb2="00000016" w:usb3="00000000" w:csb0="0004000F" w:csb1="00000000"/>
  </w:font>
  <w:font w:name="Ari">
    <w:altName w:val="Segoe Print"/>
    <w:panose1 w:val="00000000000000000000"/>
    <w:charset w:val="00"/>
    <w:family w:val="decorative"/>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p>
    <w:pP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29BE2"/>
    <w:multiLevelType w:val="multilevel"/>
    <w:tmpl w:val="82D29B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54919CA"/>
    <w:multiLevelType w:val="multilevel"/>
    <w:tmpl w:val="854919CA"/>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91C8B34D"/>
    <w:multiLevelType w:val="singleLevel"/>
    <w:tmpl w:val="91C8B34D"/>
    <w:lvl w:ilvl="0" w:tentative="0">
      <w:start w:val="1"/>
      <w:numFmt w:val="decimal"/>
      <w:lvlText w:val="%1)"/>
      <w:lvlJc w:val="left"/>
      <w:pPr>
        <w:ind w:left="425" w:hanging="425"/>
      </w:pPr>
      <w:rPr>
        <w:rFonts w:hint="default"/>
      </w:rPr>
    </w:lvl>
  </w:abstractNum>
  <w:abstractNum w:abstractNumId="3">
    <w:nsid w:val="A13B3711"/>
    <w:multiLevelType w:val="multilevel"/>
    <w:tmpl w:val="A13B371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A81AE8F8"/>
    <w:multiLevelType w:val="singleLevel"/>
    <w:tmpl w:val="A81AE8F8"/>
    <w:lvl w:ilvl="0" w:tentative="0">
      <w:start w:val="1"/>
      <w:numFmt w:val="decimal"/>
      <w:lvlText w:val="%1)"/>
      <w:lvlJc w:val="left"/>
      <w:pPr>
        <w:ind w:left="425" w:hanging="425"/>
      </w:pPr>
      <w:rPr>
        <w:rFonts w:hint="default"/>
      </w:rPr>
    </w:lvl>
  </w:abstractNum>
  <w:abstractNum w:abstractNumId="5">
    <w:nsid w:val="ADFE1EAB"/>
    <w:multiLevelType w:val="singleLevel"/>
    <w:tmpl w:val="ADFE1EAB"/>
    <w:lvl w:ilvl="0" w:tentative="0">
      <w:start w:val="1"/>
      <w:numFmt w:val="decimal"/>
      <w:lvlText w:val="%1)"/>
      <w:lvlJc w:val="left"/>
      <w:pPr>
        <w:ind w:left="425" w:hanging="425"/>
      </w:pPr>
      <w:rPr>
        <w:rFonts w:hint="default"/>
      </w:rPr>
    </w:lvl>
  </w:abstractNum>
  <w:abstractNum w:abstractNumId="6">
    <w:nsid w:val="B98984A4"/>
    <w:multiLevelType w:val="singleLevel"/>
    <w:tmpl w:val="B98984A4"/>
    <w:lvl w:ilvl="0" w:tentative="0">
      <w:start w:val="1"/>
      <w:numFmt w:val="decimal"/>
      <w:lvlText w:val="%1)"/>
      <w:lvlJc w:val="left"/>
      <w:pPr>
        <w:ind w:left="425" w:hanging="425"/>
      </w:pPr>
      <w:rPr>
        <w:rFonts w:hint="default"/>
      </w:rPr>
    </w:lvl>
  </w:abstractNum>
  <w:abstractNum w:abstractNumId="7">
    <w:nsid w:val="C785589A"/>
    <w:multiLevelType w:val="singleLevel"/>
    <w:tmpl w:val="C785589A"/>
    <w:lvl w:ilvl="0" w:tentative="0">
      <w:start w:val="1"/>
      <w:numFmt w:val="decimal"/>
      <w:lvlText w:val="%1)"/>
      <w:lvlJc w:val="left"/>
      <w:pPr>
        <w:ind w:left="425" w:hanging="425"/>
      </w:pPr>
      <w:rPr>
        <w:rFonts w:hint="default"/>
      </w:rPr>
    </w:lvl>
  </w:abstractNum>
  <w:abstractNum w:abstractNumId="8">
    <w:nsid w:val="CF4A7218"/>
    <w:multiLevelType w:val="singleLevel"/>
    <w:tmpl w:val="CF4A7218"/>
    <w:lvl w:ilvl="0" w:tentative="0">
      <w:start w:val="1"/>
      <w:numFmt w:val="decimal"/>
      <w:lvlText w:val="%1)"/>
      <w:lvlJc w:val="left"/>
      <w:pPr>
        <w:ind w:left="425" w:hanging="425"/>
      </w:pPr>
      <w:rPr>
        <w:rFonts w:hint="default"/>
      </w:rPr>
    </w:lvl>
  </w:abstractNum>
  <w:abstractNum w:abstractNumId="9">
    <w:nsid w:val="D2B24766"/>
    <w:multiLevelType w:val="singleLevel"/>
    <w:tmpl w:val="D2B24766"/>
    <w:lvl w:ilvl="0" w:tentative="0">
      <w:start w:val="1"/>
      <w:numFmt w:val="decimal"/>
      <w:lvlText w:val="%1)"/>
      <w:lvlJc w:val="left"/>
      <w:pPr>
        <w:ind w:left="425" w:hanging="425"/>
      </w:pPr>
      <w:rPr>
        <w:rFonts w:hint="default"/>
      </w:rPr>
    </w:lvl>
  </w:abstractNum>
  <w:abstractNum w:abstractNumId="10">
    <w:nsid w:val="D4AA8391"/>
    <w:multiLevelType w:val="singleLevel"/>
    <w:tmpl w:val="D4AA8391"/>
    <w:lvl w:ilvl="0" w:tentative="0">
      <w:start w:val="1"/>
      <w:numFmt w:val="decimal"/>
      <w:lvlText w:val="%1)"/>
      <w:lvlJc w:val="left"/>
      <w:pPr>
        <w:ind w:left="425" w:hanging="425"/>
      </w:pPr>
      <w:rPr>
        <w:rFonts w:hint="default"/>
      </w:rPr>
    </w:lvl>
  </w:abstractNum>
  <w:abstractNum w:abstractNumId="11">
    <w:nsid w:val="D75F81C5"/>
    <w:multiLevelType w:val="singleLevel"/>
    <w:tmpl w:val="D75F81C5"/>
    <w:lvl w:ilvl="0" w:tentative="0">
      <w:start w:val="1"/>
      <w:numFmt w:val="decimal"/>
      <w:lvlText w:val="%1)"/>
      <w:lvlJc w:val="left"/>
      <w:pPr>
        <w:ind w:left="425" w:hanging="425"/>
      </w:pPr>
      <w:rPr>
        <w:rFonts w:hint="default"/>
      </w:rPr>
    </w:lvl>
  </w:abstractNum>
  <w:abstractNum w:abstractNumId="12">
    <w:nsid w:val="DB2BAA32"/>
    <w:multiLevelType w:val="singleLevel"/>
    <w:tmpl w:val="DB2BAA32"/>
    <w:lvl w:ilvl="0" w:tentative="0">
      <w:start w:val="1"/>
      <w:numFmt w:val="decimal"/>
      <w:lvlText w:val="%1)"/>
      <w:lvlJc w:val="left"/>
      <w:pPr>
        <w:ind w:left="425" w:hanging="425"/>
      </w:pPr>
      <w:rPr>
        <w:rFonts w:hint="default"/>
      </w:rPr>
    </w:lvl>
  </w:abstractNum>
  <w:abstractNum w:abstractNumId="13">
    <w:nsid w:val="E31FB14F"/>
    <w:multiLevelType w:val="singleLevel"/>
    <w:tmpl w:val="E31FB14F"/>
    <w:lvl w:ilvl="0" w:tentative="0">
      <w:start w:val="8"/>
      <w:numFmt w:val="chineseCounting"/>
      <w:suff w:val="nothing"/>
      <w:lvlText w:val="%1、"/>
      <w:lvlJc w:val="left"/>
      <w:rPr>
        <w:rFonts w:hint="eastAsia"/>
      </w:rPr>
    </w:lvl>
  </w:abstractNum>
  <w:abstractNum w:abstractNumId="14">
    <w:nsid w:val="0B9D3AF9"/>
    <w:multiLevelType w:val="multilevel"/>
    <w:tmpl w:val="0B9D3AF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BE4CEED"/>
    <w:multiLevelType w:val="singleLevel"/>
    <w:tmpl w:val="1BE4CEED"/>
    <w:lvl w:ilvl="0" w:tentative="0">
      <w:start w:val="1"/>
      <w:numFmt w:val="decimal"/>
      <w:lvlText w:val="%1)"/>
      <w:lvlJc w:val="left"/>
      <w:pPr>
        <w:ind w:left="425" w:hanging="425"/>
      </w:pPr>
      <w:rPr>
        <w:rFonts w:hint="default"/>
      </w:rPr>
    </w:lvl>
  </w:abstractNum>
  <w:abstractNum w:abstractNumId="16">
    <w:nsid w:val="21D94509"/>
    <w:multiLevelType w:val="multilevel"/>
    <w:tmpl w:val="21D94509"/>
    <w:lvl w:ilvl="0" w:tentative="0">
      <w:start w:val="1"/>
      <w:numFmt w:val="decimal"/>
      <w:lvlText w:val="%1"/>
      <w:lvlJc w:val="left"/>
      <w:pPr>
        <w:ind w:left="278" w:hanging="420"/>
      </w:pPr>
      <w:rPr>
        <w:rFonts w:hint="eastAsia"/>
      </w:rPr>
    </w:lvl>
    <w:lvl w:ilvl="1" w:tentative="0">
      <w:start w:val="1"/>
      <w:numFmt w:val="lowerLetter"/>
      <w:lvlText w:val="%2)"/>
      <w:lvlJc w:val="left"/>
      <w:pPr>
        <w:ind w:left="698" w:hanging="420"/>
      </w:pPr>
    </w:lvl>
    <w:lvl w:ilvl="2" w:tentative="0">
      <w:start w:val="1"/>
      <w:numFmt w:val="lowerRoman"/>
      <w:lvlText w:val="%3."/>
      <w:lvlJc w:val="right"/>
      <w:pPr>
        <w:ind w:left="1118" w:hanging="420"/>
      </w:pPr>
    </w:lvl>
    <w:lvl w:ilvl="3" w:tentative="0">
      <w:start w:val="1"/>
      <w:numFmt w:val="decimal"/>
      <w:lvlText w:val="%4."/>
      <w:lvlJc w:val="left"/>
      <w:pPr>
        <w:ind w:left="1538" w:hanging="420"/>
      </w:pPr>
    </w:lvl>
    <w:lvl w:ilvl="4" w:tentative="0">
      <w:start w:val="1"/>
      <w:numFmt w:val="lowerLetter"/>
      <w:lvlText w:val="%5)"/>
      <w:lvlJc w:val="left"/>
      <w:pPr>
        <w:ind w:left="1958" w:hanging="420"/>
      </w:pPr>
    </w:lvl>
    <w:lvl w:ilvl="5" w:tentative="0">
      <w:start w:val="1"/>
      <w:numFmt w:val="lowerRoman"/>
      <w:lvlText w:val="%6."/>
      <w:lvlJc w:val="right"/>
      <w:pPr>
        <w:ind w:left="2378" w:hanging="420"/>
      </w:pPr>
    </w:lvl>
    <w:lvl w:ilvl="6" w:tentative="0">
      <w:start w:val="1"/>
      <w:numFmt w:val="decimal"/>
      <w:lvlText w:val="%7."/>
      <w:lvlJc w:val="left"/>
      <w:pPr>
        <w:ind w:left="2798" w:hanging="420"/>
      </w:pPr>
    </w:lvl>
    <w:lvl w:ilvl="7" w:tentative="0">
      <w:start w:val="1"/>
      <w:numFmt w:val="lowerLetter"/>
      <w:lvlText w:val="%8)"/>
      <w:lvlJc w:val="left"/>
      <w:pPr>
        <w:ind w:left="3218" w:hanging="420"/>
      </w:pPr>
    </w:lvl>
    <w:lvl w:ilvl="8" w:tentative="0">
      <w:start w:val="1"/>
      <w:numFmt w:val="lowerRoman"/>
      <w:lvlText w:val="%9."/>
      <w:lvlJc w:val="right"/>
      <w:pPr>
        <w:ind w:left="3638" w:hanging="420"/>
      </w:pPr>
    </w:lvl>
  </w:abstractNum>
  <w:abstractNum w:abstractNumId="17">
    <w:nsid w:val="2E2F09C9"/>
    <w:multiLevelType w:val="singleLevel"/>
    <w:tmpl w:val="2E2F09C9"/>
    <w:lvl w:ilvl="0" w:tentative="0">
      <w:start w:val="1"/>
      <w:numFmt w:val="decimal"/>
      <w:lvlText w:val="%1)"/>
      <w:lvlJc w:val="left"/>
      <w:pPr>
        <w:ind w:left="425" w:hanging="425"/>
      </w:pPr>
      <w:rPr>
        <w:rFonts w:hint="default"/>
      </w:rPr>
    </w:lvl>
  </w:abstractNum>
  <w:abstractNum w:abstractNumId="18">
    <w:nsid w:val="31456CAE"/>
    <w:multiLevelType w:val="multilevel"/>
    <w:tmpl w:val="31456CA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DE12256"/>
    <w:multiLevelType w:val="multilevel"/>
    <w:tmpl w:val="3DE1225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76357A1"/>
    <w:multiLevelType w:val="multilevel"/>
    <w:tmpl w:val="476357A1"/>
    <w:lvl w:ilvl="0" w:tentative="0">
      <w:start w:val="1"/>
      <w:numFmt w:val="decimal"/>
      <w:lvlText w:val="%1"/>
      <w:lvlJc w:val="left"/>
      <w:pPr>
        <w:ind w:left="278" w:hanging="420"/>
      </w:pPr>
      <w:rPr>
        <w:rFonts w:hint="eastAsia"/>
      </w:rPr>
    </w:lvl>
    <w:lvl w:ilvl="1" w:tentative="0">
      <w:start w:val="1"/>
      <w:numFmt w:val="lowerLetter"/>
      <w:lvlText w:val="%2)"/>
      <w:lvlJc w:val="left"/>
      <w:pPr>
        <w:ind w:left="698" w:hanging="420"/>
      </w:pPr>
    </w:lvl>
    <w:lvl w:ilvl="2" w:tentative="0">
      <w:start w:val="1"/>
      <w:numFmt w:val="lowerRoman"/>
      <w:lvlText w:val="%3."/>
      <w:lvlJc w:val="right"/>
      <w:pPr>
        <w:ind w:left="1118" w:hanging="420"/>
      </w:pPr>
    </w:lvl>
    <w:lvl w:ilvl="3" w:tentative="0">
      <w:start w:val="1"/>
      <w:numFmt w:val="decimal"/>
      <w:lvlText w:val="%4."/>
      <w:lvlJc w:val="left"/>
      <w:pPr>
        <w:ind w:left="1538" w:hanging="420"/>
      </w:pPr>
    </w:lvl>
    <w:lvl w:ilvl="4" w:tentative="0">
      <w:start w:val="1"/>
      <w:numFmt w:val="lowerLetter"/>
      <w:lvlText w:val="%5)"/>
      <w:lvlJc w:val="left"/>
      <w:pPr>
        <w:ind w:left="1958" w:hanging="420"/>
      </w:pPr>
    </w:lvl>
    <w:lvl w:ilvl="5" w:tentative="0">
      <w:start w:val="1"/>
      <w:numFmt w:val="lowerRoman"/>
      <w:lvlText w:val="%6."/>
      <w:lvlJc w:val="right"/>
      <w:pPr>
        <w:ind w:left="2378" w:hanging="420"/>
      </w:pPr>
    </w:lvl>
    <w:lvl w:ilvl="6" w:tentative="0">
      <w:start w:val="1"/>
      <w:numFmt w:val="decimal"/>
      <w:lvlText w:val="%7."/>
      <w:lvlJc w:val="left"/>
      <w:pPr>
        <w:ind w:left="2798" w:hanging="420"/>
      </w:pPr>
    </w:lvl>
    <w:lvl w:ilvl="7" w:tentative="0">
      <w:start w:val="1"/>
      <w:numFmt w:val="lowerLetter"/>
      <w:lvlText w:val="%8)"/>
      <w:lvlJc w:val="left"/>
      <w:pPr>
        <w:ind w:left="3218" w:hanging="420"/>
      </w:pPr>
    </w:lvl>
    <w:lvl w:ilvl="8" w:tentative="0">
      <w:start w:val="1"/>
      <w:numFmt w:val="lowerRoman"/>
      <w:lvlText w:val="%9."/>
      <w:lvlJc w:val="right"/>
      <w:pPr>
        <w:ind w:left="3638" w:hanging="420"/>
      </w:pPr>
    </w:lvl>
  </w:abstractNum>
  <w:abstractNum w:abstractNumId="21">
    <w:nsid w:val="49DBB068"/>
    <w:multiLevelType w:val="singleLevel"/>
    <w:tmpl w:val="49DBB068"/>
    <w:lvl w:ilvl="0" w:tentative="0">
      <w:start w:val="1"/>
      <w:numFmt w:val="decimal"/>
      <w:lvlText w:val="%1)"/>
      <w:lvlJc w:val="left"/>
      <w:pPr>
        <w:ind w:left="425" w:hanging="425"/>
      </w:pPr>
      <w:rPr>
        <w:rFonts w:hint="default"/>
      </w:rPr>
    </w:lvl>
  </w:abstractNum>
  <w:abstractNum w:abstractNumId="22">
    <w:nsid w:val="4ED87294"/>
    <w:multiLevelType w:val="multilevel"/>
    <w:tmpl w:val="4ED87294"/>
    <w:lvl w:ilvl="0" w:tentative="0">
      <w:start w:val="1"/>
      <w:numFmt w:val="decimal"/>
      <w:lvlText w:val="%1）"/>
      <w:lvlJc w:val="left"/>
      <w:pPr>
        <w:ind w:left="1200" w:hanging="72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523DA2DD"/>
    <w:multiLevelType w:val="singleLevel"/>
    <w:tmpl w:val="523DA2DD"/>
    <w:lvl w:ilvl="0" w:tentative="0">
      <w:start w:val="1"/>
      <w:numFmt w:val="decimal"/>
      <w:lvlText w:val="%1)"/>
      <w:lvlJc w:val="left"/>
      <w:pPr>
        <w:ind w:left="425" w:hanging="425"/>
      </w:pPr>
      <w:rPr>
        <w:rFonts w:hint="default"/>
      </w:rPr>
    </w:lvl>
  </w:abstractNum>
  <w:abstractNum w:abstractNumId="24">
    <w:nsid w:val="539B1C6F"/>
    <w:multiLevelType w:val="multilevel"/>
    <w:tmpl w:val="539B1C6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996B6E4"/>
    <w:multiLevelType w:val="multilevel"/>
    <w:tmpl w:val="5996B6E4"/>
    <w:lvl w:ilvl="0" w:tentative="0">
      <w:start w:val="4"/>
      <w:numFmt w:val="chineseCounting"/>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5D19F5FF"/>
    <w:multiLevelType w:val="singleLevel"/>
    <w:tmpl w:val="5D19F5FF"/>
    <w:lvl w:ilvl="0" w:tentative="0">
      <w:start w:val="1"/>
      <w:numFmt w:val="decimal"/>
      <w:lvlText w:val="%1)"/>
      <w:lvlJc w:val="left"/>
      <w:pPr>
        <w:ind w:left="425" w:hanging="425"/>
      </w:pPr>
      <w:rPr>
        <w:rFonts w:hint="default"/>
      </w:rPr>
    </w:lvl>
  </w:abstractNum>
  <w:abstractNum w:abstractNumId="27">
    <w:nsid w:val="5FD07B6C"/>
    <w:multiLevelType w:val="multilevel"/>
    <w:tmpl w:val="5FD07B6C"/>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62A96B74"/>
    <w:multiLevelType w:val="singleLevel"/>
    <w:tmpl w:val="62A96B74"/>
    <w:lvl w:ilvl="0" w:tentative="0">
      <w:start w:val="1"/>
      <w:numFmt w:val="decimal"/>
      <w:lvlText w:val="%1)"/>
      <w:lvlJc w:val="left"/>
      <w:pPr>
        <w:ind w:left="425" w:hanging="425"/>
      </w:pPr>
      <w:rPr>
        <w:rFonts w:hint="default"/>
      </w:rPr>
    </w:lvl>
  </w:abstractNum>
  <w:abstractNum w:abstractNumId="29">
    <w:nsid w:val="644C0730"/>
    <w:multiLevelType w:val="multilevel"/>
    <w:tmpl w:val="644C07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53CA6E7"/>
    <w:multiLevelType w:val="multilevel"/>
    <w:tmpl w:val="753CA6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9D52847"/>
    <w:multiLevelType w:val="multilevel"/>
    <w:tmpl w:val="79D52847"/>
    <w:lvl w:ilvl="0" w:tentative="0">
      <w:start w:val="1"/>
      <w:numFmt w:val="decimal"/>
      <w:lvlText w:val="%1"/>
      <w:lvlJc w:val="left"/>
      <w:pPr>
        <w:ind w:left="278" w:hanging="420"/>
      </w:pPr>
      <w:rPr>
        <w:rFonts w:hint="eastAsia"/>
      </w:rPr>
    </w:lvl>
    <w:lvl w:ilvl="1" w:tentative="0">
      <w:start w:val="1"/>
      <w:numFmt w:val="lowerLetter"/>
      <w:lvlText w:val="%2)"/>
      <w:lvlJc w:val="left"/>
      <w:pPr>
        <w:ind w:left="698" w:hanging="420"/>
      </w:pPr>
    </w:lvl>
    <w:lvl w:ilvl="2" w:tentative="0">
      <w:start w:val="1"/>
      <w:numFmt w:val="lowerRoman"/>
      <w:lvlText w:val="%3."/>
      <w:lvlJc w:val="right"/>
      <w:pPr>
        <w:ind w:left="1118" w:hanging="420"/>
      </w:pPr>
    </w:lvl>
    <w:lvl w:ilvl="3" w:tentative="0">
      <w:start w:val="1"/>
      <w:numFmt w:val="decimal"/>
      <w:lvlText w:val="%4."/>
      <w:lvlJc w:val="left"/>
      <w:pPr>
        <w:ind w:left="1538" w:hanging="420"/>
      </w:pPr>
    </w:lvl>
    <w:lvl w:ilvl="4" w:tentative="0">
      <w:start w:val="1"/>
      <w:numFmt w:val="lowerLetter"/>
      <w:lvlText w:val="%5)"/>
      <w:lvlJc w:val="left"/>
      <w:pPr>
        <w:ind w:left="1958" w:hanging="420"/>
      </w:pPr>
    </w:lvl>
    <w:lvl w:ilvl="5" w:tentative="0">
      <w:start w:val="1"/>
      <w:numFmt w:val="lowerRoman"/>
      <w:lvlText w:val="%6."/>
      <w:lvlJc w:val="right"/>
      <w:pPr>
        <w:ind w:left="2378" w:hanging="420"/>
      </w:pPr>
    </w:lvl>
    <w:lvl w:ilvl="6" w:tentative="0">
      <w:start w:val="1"/>
      <w:numFmt w:val="decimal"/>
      <w:lvlText w:val="%7."/>
      <w:lvlJc w:val="left"/>
      <w:pPr>
        <w:ind w:left="2798" w:hanging="420"/>
      </w:pPr>
    </w:lvl>
    <w:lvl w:ilvl="7" w:tentative="0">
      <w:start w:val="1"/>
      <w:numFmt w:val="lowerLetter"/>
      <w:lvlText w:val="%8)"/>
      <w:lvlJc w:val="left"/>
      <w:pPr>
        <w:ind w:left="3218" w:hanging="420"/>
      </w:pPr>
    </w:lvl>
    <w:lvl w:ilvl="8" w:tentative="0">
      <w:start w:val="1"/>
      <w:numFmt w:val="lowerRoman"/>
      <w:lvlText w:val="%9."/>
      <w:lvlJc w:val="right"/>
      <w:pPr>
        <w:ind w:left="3638" w:hanging="420"/>
      </w:pPr>
    </w:lvl>
  </w:abstractNum>
  <w:abstractNum w:abstractNumId="32">
    <w:nsid w:val="7EF62239"/>
    <w:multiLevelType w:val="singleLevel"/>
    <w:tmpl w:val="7EF62239"/>
    <w:lvl w:ilvl="0" w:tentative="0">
      <w:start w:val="1"/>
      <w:numFmt w:val="decimal"/>
      <w:lvlText w:val="%1)"/>
      <w:lvlJc w:val="left"/>
      <w:pPr>
        <w:ind w:left="425" w:hanging="425"/>
      </w:pPr>
      <w:rPr>
        <w:rFonts w:hint="default"/>
      </w:rPr>
    </w:lvl>
  </w:abstractNum>
  <w:num w:numId="1">
    <w:abstractNumId w:val="13"/>
  </w:num>
  <w:num w:numId="2">
    <w:abstractNumId w:val="25"/>
  </w:num>
  <w:num w:numId="3">
    <w:abstractNumId w:val="31"/>
  </w:num>
  <w:num w:numId="4">
    <w:abstractNumId w:val="15"/>
  </w:num>
  <w:num w:numId="5">
    <w:abstractNumId w:val="11"/>
  </w:num>
  <w:num w:numId="6">
    <w:abstractNumId w:val="28"/>
  </w:num>
  <w:num w:numId="7">
    <w:abstractNumId w:val="26"/>
  </w:num>
  <w:num w:numId="8">
    <w:abstractNumId w:val="9"/>
  </w:num>
  <w:num w:numId="9">
    <w:abstractNumId w:val="16"/>
  </w:num>
  <w:num w:numId="10">
    <w:abstractNumId w:val="7"/>
  </w:num>
  <w:num w:numId="11">
    <w:abstractNumId w:val="21"/>
  </w:num>
  <w:num w:numId="12">
    <w:abstractNumId w:val="32"/>
  </w:num>
  <w:num w:numId="13">
    <w:abstractNumId w:val="6"/>
  </w:num>
  <w:num w:numId="14">
    <w:abstractNumId w:val="12"/>
  </w:num>
  <w:num w:numId="15">
    <w:abstractNumId w:val="2"/>
  </w:num>
  <w:num w:numId="16">
    <w:abstractNumId w:val="10"/>
  </w:num>
  <w:num w:numId="17">
    <w:abstractNumId w:val="1"/>
  </w:num>
  <w:num w:numId="18">
    <w:abstractNumId w:val="20"/>
  </w:num>
  <w:num w:numId="19">
    <w:abstractNumId w:val="8"/>
  </w:num>
  <w:num w:numId="20">
    <w:abstractNumId w:val="17"/>
  </w:num>
  <w:num w:numId="21">
    <w:abstractNumId w:val="23"/>
  </w:num>
  <w:num w:numId="22">
    <w:abstractNumId w:val="4"/>
  </w:num>
  <w:num w:numId="23">
    <w:abstractNumId w:val="5"/>
  </w:num>
  <w:num w:numId="24">
    <w:abstractNumId w:val="14"/>
  </w:num>
  <w:num w:numId="25">
    <w:abstractNumId w:val="0"/>
  </w:num>
  <w:num w:numId="26">
    <w:abstractNumId w:val="30"/>
  </w:num>
  <w:num w:numId="27">
    <w:abstractNumId w:val="24"/>
  </w:num>
  <w:num w:numId="28">
    <w:abstractNumId w:val="18"/>
  </w:num>
  <w:num w:numId="29">
    <w:abstractNumId w:val="3"/>
  </w:num>
  <w:num w:numId="30">
    <w:abstractNumId w:val="29"/>
  </w:num>
  <w:num w:numId="31">
    <w:abstractNumId w:val="19"/>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2Mjc5YzJhODZhNDViM2ZhNjFjMDM4MWViZWU2YjgifQ=="/>
  </w:docVars>
  <w:rsids>
    <w:rsidRoot w:val="11DC7C85"/>
    <w:rsid w:val="11DC7C85"/>
    <w:rsid w:val="472879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99"/>
    <w:pPr>
      <w:keepNext/>
      <w:keepLines/>
      <w:spacing w:before="340" w:after="330" w:line="360" w:lineRule="auto"/>
      <w:jc w:val="center"/>
      <w:outlineLvl w:val="0"/>
    </w:pPr>
    <w:rPr>
      <w:rFonts w:eastAsia="黑体"/>
      <w:bCs/>
      <w:kern w:val="44"/>
      <w:sz w:val="44"/>
      <w:szCs w:val="44"/>
    </w:rPr>
  </w:style>
  <w:style w:type="paragraph" w:styleId="6">
    <w:name w:val="heading 2"/>
    <w:basedOn w:val="1"/>
    <w:next w:val="1"/>
    <w:qFormat/>
    <w:uiPriority w:val="9"/>
    <w:pPr>
      <w:keepNext/>
      <w:keepLines/>
      <w:widowControl w:val="0"/>
      <w:suppressLineNumbers w:val="0"/>
      <w:autoSpaceDE w:val="0"/>
      <w:autoSpaceDN w:val="0"/>
      <w:adjustRightInd w:val="0"/>
      <w:spacing w:before="260" w:beforeAutospacing="0" w:after="260" w:afterAutospacing="0" w:line="410" w:lineRule="auto"/>
      <w:ind w:left="0" w:right="0"/>
      <w:jc w:val="left"/>
      <w:outlineLvl w:val="1"/>
    </w:pPr>
    <w:rPr>
      <w:rFonts w:ascii="Arial" w:hAnsi="Arial" w:eastAsia="黑体"/>
      <w:kern w:val="0"/>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autoSpaceDE/>
      <w:autoSpaceDN/>
      <w:adjustRightInd/>
      <w:ind w:firstLine="420" w:firstLineChars="100"/>
      <w:jc w:val="both"/>
    </w:pPr>
    <w:rPr>
      <w:rFonts w:eastAsia="Arial Unicode MS" w:cs="Arial Unicode MS"/>
      <w:color w:val="000000"/>
      <w:sz w:val="28"/>
      <w:szCs w:val="28"/>
    </w:rPr>
  </w:style>
  <w:style w:type="paragraph" w:styleId="3">
    <w:name w:val="Body Text"/>
    <w:basedOn w:val="1"/>
    <w:next w:val="4"/>
    <w:unhideWhenUsed/>
    <w:qFormat/>
    <w:uiPriority w:val="99"/>
    <w:pPr>
      <w:autoSpaceDE w:val="0"/>
      <w:autoSpaceDN w:val="0"/>
      <w:adjustRightInd w:val="0"/>
      <w:spacing w:after="120"/>
      <w:jc w:val="left"/>
    </w:pPr>
    <w:rPr>
      <w:kern w:val="0"/>
      <w:sz w:val="24"/>
    </w:rPr>
  </w:style>
  <w:style w:type="paragraph" w:styleId="4">
    <w:name w:val="Body Text 2"/>
    <w:basedOn w:val="1"/>
    <w:qFormat/>
    <w:uiPriority w:val="0"/>
    <w:pPr>
      <w:spacing w:line="500" w:lineRule="exact"/>
      <w:jc w:val="center"/>
    </w:pPr>
    <w:rPr>
      <w:rFonts w:eastAsia="方正小标宋_GBK"/>
      <w:spacing w:val="-20"/>
      <w:sz w:val="44"/>
    </w:rPr>
  </w:style>
  <w:style w:type="paragraph" w:styleId="7">
    <w:name w:val="footer"/>
    <w:basedOn w:val="1"/>
    <w:qFormat/>
    <w:uiPriority w:val="99"/>
    <w:pPr>
      <w:tabs>
        <w:tab w:val="center" w:pos="4153"/>
        <w:tab w:val="right" w:pos="8306"/>
      </w:tabs>
      <w:snapToGrid w:val="0"/>
      <w:jc w:val="left"/>
    </w:pPr>
    <w:rPr>
      <w:sz w:val="18"/>
    </w:rPr>
  </w:style>
  <w:style w:type="paragraph" w:styleId="8">
    <w:name w:val="toc 1"/>
    <w:basedOn w:val="1"/>
    <w:next w:val="1"/>
    <w:qFormat/>
    <w:uiPriority w:val="39"/>
    <w:pPr>
      <w:keepNext w:val="0"/>
      <w:keepLines w:val="0"/>
      <w:widowControl w:val="0"/>
      <w:suppressLineNumbers w:val="0"/>
      <w:autoSpaceDE w:val="0"/>
      <w:autoSpaceDN w:val="0"/>
      <w:adjustRightInd w:val="0"/>
      <w:spacing w:before="0" w:beforeAutospacing="0" w:after="0" w:afterAutospacing="0" w:line="240" w:lineRule="auto"/>
      <w:ind w:left="0" w:right="0"/>
      <w:jc w:val="left"/>
    </w:pPr>
    <w:rPr>
      <w:rFonts w:hint="default" w:ascii="Times New Roman" w:hAnsi="Times New Roman" w:eastAsia="宋体" w:cs="Times New Roman"/>
      <w:kern w:val="0"/>
      <w:sz w:val="24"/>
      <w:szCs w:val="24"/>
      <w:lang w:val="en-US" w:eastAsia="zh-CN" w:bidi="ar"/>
    </w:rPr>
  </w:style>
  <w:style w:type="paragraph" w:styleId="9">
    <w:name w:val="Normal (Web)"/>
    <w:basedOn w:val="1"/>
    <w:qFormat/>
    <w:uiPriority w:val="99"/>
    <w:pPr>
      <w:keepNext w:val="0"/>
      <w:keepLines w:val="0"/>
      <w:widowControl/>
      <w:suppressLineNumbers w:val="0"/>
      <w:autoSpaceDE w:val="0"/>
      <w:autoSpaceDN w:val="0"/>
      <w:adjustRightInd w:val="0"/>
      <w:spacing w:before="0" w:beforeAutospacing="0" w:after="0" w:afterAutospacing="0" w:line="480" w:lineRule="auto"/>
      <w:ind w:left="0" w:right="0"/>
      <w:jc w:val="left"/>
    </w:pPr>
    <w:rPr>
      <w:rFonts w:hint="eastAsia" w:ascii="宋体" w:hAnsi="宋体" w:eastAsia="宋体" w:cs="宋体"/>
      <w:kern w:val="0"/>
      <w:sz w:val="24"/>
      <w:szCs w:val="24"/>
      <w:lang w:val="en-US" w:eastAsia="zh-CN" w:bidi="ar"/>
    </w:rPr>
  </w:style>
  <w:style w:type="character" w:styleId="12">
    <w:name w:val="Hyperlink"/>
    <w:qFormat/>
    <w:uiPriority w:val="99"/>
    <w:rPr>
      <w:color w:val="0000FF"/>
      <w:u w:val="single"/>
    </w:rPr>
  </w:style>
  <w:style w:type="paragraph" w:customStyle="1" w:styleId="13">
    <w:name w:val="_Style 8"/>
    <w:basedOn w:val="5"/>
    <w:next w:val="1"/>
    <w:qFormat/>
    <w:uiPriority w:val="39"/>
    <w:pPr>
      <w:widowControl/>
      <w:spacing w:before="240" w:after="0" w:line="259" w:lineRule="auto"/>
      <w:jc w:val="left"/>
      <w:outlineLvl w:val="9"/>
    </w:pPr>
    <w:rPr>
      <w:rFonts w:ascii="等线 Light" w:hAnsi="等线 Light" w:eastAsia="等线 Light" w:cs="Times New Roman"/>
      <w:bCs w:val="0"/>
      <w:color w:val="2F5496"/>
      <w:kern w:val="0"/>
      <w:sz w:val="32"/>
      <w:szCs w:val="32"/>
    </w:rPr>
  </w:style>
  <w:style w:type="paragraph" w:styleId="14">
    <w:name w:val="List Paragraph"/>
    <w:basedOn w:val="1"/>
    <w:qFormat/>
    <w:uiPriority w:val="99"/>
    <w:pPr>
      <w:ind w:firstLine="420" w:firstLineChars="200"/>
    </w:pPr>
    <w:rPr>
      <w:kern w:val="0"/>
      <w:sz w:val="20"/>
      <w:szCs w:val="21"/>
    </w:rPr>
  </w:style>
  <w:style w:type="paragraph" w:customStyle="1" w:styleId="15">
    <w:name w:val="文档正文"/>
    <w:basedOn w:val="1"/>
    <w:qFormat/>
    <w:uiPriority w:val="0"/>
    <w:pPr>
      <w:keepNext w:val="0"/>
      <w:keepLines w:val="0"/>
      <w:widowControl w:val="0"/>
      <w:suppressLineNumbers w:val="0"/>
      <w:autoSpaceDE w:val="0"/>
      <w:autoSpaceDN w:val="0"/>
      <w:adjustRightInd w:val="0"/>
      <w:spacing w:before="0" w:beforeAutospacing="0" w:after="0" w:afterAutospacing="0" w:line="480" w:lineRule="atLeast"/>
      <w:ind w:left="0" w:right="0" w:firstLine="567"/>
      <w:jc w:val="left"/>
    </w:pPr>
    <w:rPr>
      <w:rFonts w:hint="default" w:ascii="Ari" w:hAnsi="Ari" w:eastAsia="宋体" w:cs="宋体"/>
      <w:kern w:val="0"/>
      <w:sz w:val="28"/>
      <w:szCs w:val="2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2023-12-28T14:35:00Z</dcterms:created>
  <dc:creator>Administrator</dc:creator>
  <cp:lastModifiedBy>Administrator</cp:lastModifiedBy>
  <dcterms:modified xsi:type="dcterms:W3CDTF">2023-12-28T14:39:24Z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020FD076BFF841E6A68800BD4AC17F4B_11</vt:lpwstr>
  </property>
</Properties>
</file>