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627AB">
      <w:pPr>
        <w:jc w:val="center"/>
        <w:rPr>
          <w:rFonts w:ascii="楷体" w:hAnsi="楷体" w:eastAsia="楷体" w:cs="楷体"/>
          <w:b/>
          <w:bCs/>
          <w:color w:val="000000" w:themeColor="text1"/>
          <w:sz w:val="36"/>
          <w:szCs w:val="36"/>
        </w:rPr>
      </w:pPr>
    </w:p>
    <w:p w14:paraId="2EB70D2F">
      <w:pPr>
        <w:jc w:val="center"/>
        <w:rPr>
          <w:rFonts w:ascii="宋体" w:hAnsi="宋体" w:eastAsia="宋体" w:cs="Times New Roman"/>
          <w:b/>
          <w:color w:val="000000" w:themeColor="text1"/>
          <w:spacing w:val="24"/>
          <w:w w:val="66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Times New Roman"/>
          <w:b/>
          <w:color w:val="000000" w:themeColor="text1"/>
          <w:spacing w:val="24"/>
          <w:w w:val="66"/>
          <w:sz w:val="84"/>
          <w:szCs w:val="84"/>
        </w:rPr>
        <w:t>招标控制价评审报告</w:t>
      </w:r>
    </w:p>
    <w:p w14:paraId="699F96AC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0"/>
        </w:rPr>
        <w:t>中浩华（卢财）审价字【202</w:t>
      </w:r>
      <w:r>
        <w:rPr>
          <w:rFonts w:hint="eastAsia" w:ascii="宋体" w:hAnsi="宋体" w:eastAsia="宋体" w:cs="Times New Roman"/>
          <w:color w:val="000000" w:themeColor="text1"/>
          <w:sz w:val="28"/>
          <w:szCs w:val="20"/>
          <w:lang w:val="en-US" w:eastAsia="zh-CN"/>
        </w:rPr>
        <w:t>4</w:t>
      </w:r>
      <w:r>
        <w:rPr>
          <w:rFonts w:hint="eastAsia" w:ascii="宋体" w:hAnsi="宋体" w:eastAsia="宋体" w:cs="Times New Roman"/>
          <w:color w:val="000000" w:themeColor="text1"/>
          <w:sz w:val="28"/>
          <w:szCs w:val="20"/>
        </w:rPr>
        <w:t>】第</w:t>
      </w:r>
      <w:r>
        <w:rPr>
          <w:rFonts w:ascii="宋体" w:hAnsi="宋体" w:eastAsia="宋体" w:cs="Times New Roman"/>
          <w:color w:val="000000" w:themeColor="text1"/>
          <w:sz w:val="28"/>
          <w:szCs w:val="20"/>
        </w:rPr>
        <w:t>0</w:t>
      </w:r>
      <w:r>
        <w:rPr>
          <w:rFonts w:hint="eastAsia" w:ascii="宋体" w:hAnsi="宋体" w:eastAsia="宋体" w:cs="Times New Roman"/>
          <w:color w:val="000000" w:themeColor="text1"/>
          <w:sz w:val="28"/>
          <w:szCs w:val="20"/>
          <w:lang w:val="en-US" w:eastAsia="zh-CN"/>
        </w:rPr>
        <w:t>3</w:t>
      </w:r>
      <w:r>
        <w:rPr>
          <w:rFonts w:hint="eastAsia" w:ascii="宋体" w:hAnsi="宋体" w:eastAsia="宋体" w:cs="Times New Roman"/>
          <w:color w:val="000000" w:themeColor="text1"/>
          <w:sz w:val="28"/>
          <w:szCs w:val="20"/>
        </w:rPr>
        <w:t>号</w:t>
      </w:r>
    </w:p>
    <w:p w14:paraId="2A6422E5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5E9B7FEF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0E87DE60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0D6AC798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5477C6F8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1218ED24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614E37C5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10BE7B87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7695A04A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65332434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7600B953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14D2AE93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717FF5F8">
      <w:pPr>
        <w:jc w:val="center"/>
        <w:rPr>
          <w:rFonts w:ascii="宋体" w:hAnsi="宋体" w:eastAsia="宋体" w:cs="Times New Roman"/>
          <w:color w:val="000000" w:themeColor="text1"/>
          <w:sz w:val="28"/>
          <w:szCs w:val="20"/>
        </w:rPr>
      </w:pPr>
    </w:p>
    <w:p w14:paraId="550C309D">
      <w:pPr>
        <w:jc w:val="center"/>
        <w:rPr>
          <w:rFonts w:ascii="宋体" w:hAnsi="宋体"/>
          <w:b/>
          <w:bCs/>
          <w:color w:val="000000" w:themeColor="text1"/>
          <w:spacing w:val="40"/>
          <w:sz w:val="32"/>
          <w:szCs w:val="32"/>
        </w:rPr>
      </w:pPr>
    </w:p>
    <w:p w14:paraId="4FB1EB40">
      <w:pPr>
        <w:jc w:val="center"/>
        <w:rPr>
          <w:rFonts w:ascii="宋体" w:hAnsi="宋体"/>
          <w:b/>
          <w:bCs/>
          <w:color w:val="000000" w:themeColor="text1"/>
          <w:spacing w:val="40"/>
          <w:sz w:val="32"/>
          <w:szCs w:val="32"/>
        </w:rPr>
      </w:pPr>
    </w:p>
    <w:p w14:paraId="0602AE89">
      <w:pPr>
        <w:jc w:val="center"/>
        <w:rPr>
          <w:rFonts w:ascii="宋体" w:hAnsi="宋体"/>
          <w:b/>
          <w:bCs/>
          <w:color w:val="000000" w:themeColor="text1"/>
          <w:spacing w:val="40"/>
          <w:sz w:val="32"/>
          <w:szCs w:val="32"/>
        </w:rPr>
      </w:pPr>
      <w:r>
        <w:rPr>
          <w:rFonts w:hint="eastAsia" w:ascii="宋体" w:hAnsi="宋体"/>
          <w:b/>
          <w:bCs/>
          <w:color w:val="000000" w:themeColor="text1"/>
          <w:spacing w:val="40"/>
          <w:sz w:val="32"/>
          <w:szCs w:val="32"/>
        </w:rPr>
        <w:t>河南省中浩华工程管理咨询有限公司</w:t>
      </w:r>
    </w:p>
    <w:p w14:paraId="1363E071">
      <w:pPr>
        <w:jc w:val="center"/>
        <w:rPr>
          <w:rFonts w:ascii="宋体" w:hAnsi="宋体"/>
          <w:b/>
          <w:bCs/>
          <w:color w:val="000000" w:themeColor="text1"/>
          <w:spacing w:val="40"/>
          <w:sz w:val="32"/>
          <w:szCs w:val="32"/>
        </w:rPr>
      </w:pPr>
    </w:p>
    <w:p w14:paraId="0163976E">
      <w:pPr>
        <w:jc w:val="center"/>
        <w:rPr>
          <w:rFonts w:ascii="宋体" w:hAnsi="宋体" w:eastAsia="宋体" w:cs="Times New Roman"/>
          <w:b/>
          <w:color w:val="000000" w:themeColor="text1"/>
          <w:sz w:val="44"/>
          <w:szCs w:val="44"/>
        </w:rPr>
      </w:pPr>
      <w:r>
        <w:rPr>
          <w:rFonts w:hint="eastAsia" w:ascii="宋体" w:hAnsi="宋体" w:eastAsia="宋体"/>
          <w:b/>
          <w:bCs/>
          <w:color w:val="000000" w:themeColor="text1"/>
          <w:spacing w:val="40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Times New Roman"/>
          <w:b/>
          <w:color w:val="000000" w:themeColor="text1"/>
          <w:sz w:val="44"/>
          <w:szCs w:val="44"/>
        </w:rPr>
        <w:t>招标控制价评审报告</w:t>
      </w:r>
    </w:p>
    <w:p w14:paraId="64B4F754">
      <w:pPr>
        <w:rPr>
          <w:rFonts w:ascii="宋体" w:hAnsi="宋体" w:eastAsia="宋体" w:cs="Times New Roman"/>
          <w:b/>
          <w:color w:val="000000" w:themeColor="text1"/>
          <w:sz w:val="44"/>
          <w:szCs w:val="44"/>
        </w:rPr>
      </w:pPr>
    </w:p>
    <w:p w14:paraId="0D813D58">
      <w:pPr>
        <w:snapToGrid w:val="0"/>
        <w:spacing w:line="600" w:lineRule="atLeast"/>
        <w:outlineLvl w:val="0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一、项目概述：</w:t>
      </w:r>
    </w:p>
    <w:p w14:paraId="321B0028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工程名称：</w:t>
      </w:r>
      <w:r>
        <w:rPr>
          <w:rFonts w:hint="eastAsia" w:ascii="Calibri" w:hAnsi="宋体" w:eastAsia="宋体" w:cs="Times New Roman"/>
          <w:color w:val="000000" w:themeColor="text1"/>
          <w:sz w:val="28"/>
          <w:szCs w:val="28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；</w:t>
      </w:r>
    </w:p>
    <w:p w14:paraId="50E1D84B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建设地点：三门峡市卢氏县双龙湾镇上店街村；</w:t>
      </w:r>
    </w:p>
    <w:p w14:paraId="0333A651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建设单位：卢氏县双龙湾镇人民政府；</w:t>
      </w:r>
    </w:p>
    <w:p w14:paraId="6F802892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其他说明：本工程</w:t>
      </w:r>
      <w:r>
        <w:rPr>
          <w:rFonts w:hint="eastAsia" w:ascii="宋体" w:hAnsi="Calibri" w:eastAsia="宋体" w:cs="Times New Roman"/>
          <w:bCs/>
          <w:color w:val="000000" w:themeColor="text1"/>
          <w:sz w:val="28"/>
          <w:szCs w:val="20"/>
        </w:rPr>
        <w:t>包含花墙砌筑、地面铺装、毛石挡墙。</w:t>
      </w:r>
    </w:p>
    <w:p w14:paraId="22A15D42">
      <w:pPr>
        <w:snapToGrid w:val="0"/>
        <w:spacing w:line="600" w:lineRule="atLeast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二、评审依据：</w:t>
      </w:r>
    </w:p>
    <w:p w14:paraId="23836CE4">
      <w:pPr>
        <w:spacing w:line="480" w:lineRule="auto"/>
        <w:ind w:firstLine="560" w:firstLineChars="200"/>
        <w:rPr>
          <w:rFonts w:ascii="宋体" w:hAnsi="宋体" w:eastAsia="宋体" w:cs="宋体"/>
          <w:bCs/>
          <w:color w:val="000000" w:themeColor="text1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</w:rPr>
        <w:t>1、《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</w:rPr>
        <w:t>》图纸以及配套图集、规范；</w:t>
      </w:r>
    </w:p>
    <w:p w14:paraId="03F53E59">
      <w:pPr>
        <w:spacing w:line="480" w:lineRule="auto"/>
        <w:ind w:firstLine="560" w:firstLineChars="200"/>
        <w:rPr>
          <w:rFonts w:ascii="宋体" w:hAnsi="宋体" w:eastAsia="宋体" w:cs="宋体"/>
          <w:bCs/>
          <w:color w:val="000000" w:themeColor="text1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</w:rPr>
        <w:t>2、《建设工程工程量清单计价规范》（GB50500-2013）；</w:t>
      </w:r>
    </w:p>
    <w:p w14:paraId="726595CD">
      <w:pPr>
        <w:spacing w:line="600" w:lineRule="exac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3、《河南省房屋建筑与装饰工程预算定额》（2016）</w:t>
      </w:r>
      <w:bookmarkStart w:id="0" w:name="_Hlk103072545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《</w:t>
      </w:r>
      <w:bookmarkEnd w:id="0"/>
      <w:r>
        <w:rPr>
          <w:rFonts w:hint="eastAsia" w:ascii="宋体" w:hAnsi="宋体" w:eastAsia="宋体" w:cs="宋体"/>
          <w:color w:val="000000" w:themeColor="text1"/>
          <w:sz w:val="30"/>
          <w:szCs w:val="30"/>
        </w:rPr>
        <w:t>河南省市政工程预算定额》（2016）；</w:t>
      </w:r>
    </w:p>
    <w:p w14:paraId="3E30BF87">
      <w:pPr>
        <w:spacing w:line="600" w:lineRule="exac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4、河南超杰工程管理咨询有限公司出具的招标控制价；</w:t>
      </w:r>
    </w:p>
    <w:p w14:paraId="6F3060CD">
      <w:pPr>
        <w:spacing w:line="600" w:lineRule="exact"/>
        <w:ind w:firstLine="560" w:firstLineChars="200"/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5、材料价格依据《三门峡工程标准造价信息》202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年第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期卢氏分部，不全者参考三门峡市区202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年第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期信息价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卢氏信息价和三门峡市区信息价均为发布的采用市场询价计算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以上材料价格均为除税价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；</w:t>
      </w:r>
    </w:p>
    <w:p w14:paraId="2DFE929B">
      <w:pPr>
        <w:spacing w:line="600" w:lineRule="exac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6、其它相关资料等。</w:t>
      </w:r>
    </w:p>
    <w:p w14:paraId="1A4B2126">
      <w:pPr>
        <w:snapToGrid w:val="0"/>
        <w:spacing w:line="600" w:lineRule="atLeast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三、评审内容：</w:t>
      </w:r>
    </w:p>
    <w:p w14:paraId="4F43644E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招标控制价工程量、组价计算、材料价及取费的评审。</w:t>
      </w:r>
    </w:p>
    <w:p w14:paraId="676BD256">
      <w:pPr>
        <w:snapToGrid w:val="0"/>
        <w:spacing w:line="600" w:lineRule="atLeast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四、评审范围：</w:t>
      </w:r>
    </w:p>
    <w:p w14:paraId="2E710A74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本招标控制价的评审范围：送审招标控制价范围内的工作内容。</w:t>
      </w:r>
    </w:p>
    <w:p w14:paraId="41AADC7B">
      <w:pPr>
        <w:snapToGrid w:val="0"/>
        <w:spacing w:line="600" w:lineRule="atLeast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五、评审程序：</w:t>
      </w:r>
    </w:p>
    <w:p w14:paraId="52D93A71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准备阶段：接受任务，收集整理评审依据，了解评审项目基本情况，制定实施方案，组建项目组及专业人员配置，任务分解，资料清查及阅读，提出需解决的问题及需补充的资料；</w:t>
      </w:r>
    </w:p>
    <w:p w14:paraId="72A3E022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实施阶段：开展计量、价格调查、核价等工作，复核，审核的初审结论报预审中心；</w:t>
      </w:r>
    </w:p>
    <w:p w14:paraId="13DA6573">
      <w:pPr>
        <w:snapToGrid w:val="0"/>
        <w:spacing w:line="600" w:lineRule="atLeast"/>
        <w:ind w:firstLine="560" w:firstLineChars="20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完成阶段：报告前复核，编写报告及其附件，签署，发送报告，资料归还，总结，数据信息化处理及归档。</w:t>
      </w:r>
    </w:p>
    <w:p w14:paraId="3C72B23D">
      <w:pPr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六、审核原因分析：</w:t>
      </w:r>
    </w:p>
    <w:p w14:paraId="172C9040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（一）审减原因</w:t>
      </w:r>
    </w:p>
    <w:p w14:paraId="23A6A2AC">
      <w:pPr>
        <w:numPr>
          <w:ilvl w:val="0"/>
          <w:numId w:val="1"/>
        </w:numPr>
        <w:snapToGrid w:val="0"/>
        <w:spacing w:line="600" w:lineRule="atLeast"/>
        <w:ind w:firstLine="0"/>
        <w:rPr>
          <w:rFonts w:ascii="宋体" w:hAnsi="宋体" w:eastAsia="宋体" w:cs="Times New Roman"/>
          <w:color w:val="000000" w:themeColor="text1"/>
          <w:sz w:val="28"/>
          <w:szCs w:val="28"/>
        </w:rPr>
      </w:pPr>
      <w:bookmarkStart w:id="1" w:name="_Hlk103068588"/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挖沟槽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土方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及余方弃置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工程因子目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及工程量审减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调整，审减：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7306.88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元；</w:t>
      </w:r>
    </w:p>
    <w:p w14:paraId="4ABB5589">
      <w:pPr>
        <w:numPr>
          <w:ilvl w:val="0"/>
          <w:numId w:val="1"/>
        </w:numPr>
        <w:snapToGrid w:val="0"/>
        <w:spacing w:line="600" w:lineRule="atLeast"/>
        <w:ind w:firstLine="0"/>
        <w:rPr>
          <w:rFonts w:ascii="宋体" w:hAnsi="宋体" w:eastAsia="宋体" w:cs="Times New Roman"/>
          <w:color w:val="000000" w:themeColor="text1"/>
          <w:sz w:val="28"/>
          <w:szCs w:val="28"/>
        </w:rPr>
      </w:pPr>
      <w:bookmarkStart w:id="2" w:name="_Hlk103068407"/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花墙砌筑-砌筑工程</w:t>
      </w:r>
      <w:bookmarkEnd w:id="2"/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因子目及材料价格调整，审减：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13538.09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元；</w:t>
      </w:r>
    </w:p>
    <w:p w14:paraId="0FCD3354">
      <w:pPr>
        <w:numPr>
          <w:ilvl w:val="0"/>
          <w:numId w:val="1"/>
        </w:numPr>
        <w:snapToGrid w:val="0"/>
        <w:spacing w:line="600" w:lineRule="atLeast"/>
        <w:ind w:firstLine="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花墙砌筑-装饰工程因子目及材料价格调整，审减：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4893.83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元；</w:t>
      </w:r>
    </w:p>
    <w:p w14:paraId="4E36C6BA">
      <w:pPr>
        <w:numPr>
          <w:ilvl w:val="0"/>
          <w:numId w:val="1"/>
        </w:numPr>
        <w:snapToGrid w:val="0"/>
        <w:spacing w:line="600" w:lineRule="atLeast"/>
        <w:ind w:firstLine="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地面铺装-块料面层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及100厚C25压花地坪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工程因子目及材料价格调整，审减：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17159.43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元；</w:t>
      </w:r>
    </w:p>
    <w:p w14:paraId="6BD7DE83">
      <w:pPr>
        <w:numPr>
          <w:ilvl w:val="0"/>
          <w:numId w:val="1"/>
        </w:numPr>
        <w:snapToGrid w:val="0"/>
        <w:spacing w:line="600" w:lineRule="atLeast"/>
        <w:ind w:firstLine="0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措施项目、规费及税金因子目及材料价格调整，审减：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5181.05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  <w:t>。</w:t>
      </w:r>
    </w:p>
    <w:p w14:paraId="62F67683">
      <w:pPr>
        <w:snapToGrid w:val="0"/>
        <w:spacing w:line="600" w:lineRule="atLeast"/>
        <w:rPr>
          <w:rFonts w:ascii="宋体" w:hAnsi="宋体" w:eastAsia="宋体" w:cs="Times New Roman"/>
          <w:b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</w:rPr>
        <w:t>合计审减：48079.28元；</w:t>
      </w:r>
      <w:bookmarkEnd w:id="1"/>
    </w:p>
    <w:p w14:paraId="1D6A03EB">
      <w:pPr>
        <w:snapToGrid w:val="0"/>
        <w:spacing w:line="600" w:lineRule="atLeast"/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合计审增：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:lang w:val="en-US" w:eastAsia="zh-CN"/>
        </w:rPr>
        <w:t>15624.39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</w:rPr>
        <w:t>元；</w:t>
      </w:r>
    </w:p>
    <w:p w14:paraId="359D56C4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（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）审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  <w:t>增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原因</w:t>
      </w:r>
    </w:p>
    <w:p w14:paraId="28139FBF">
      <w:pPr>
        <w:snapToGrid w:val="0"/>
        <w:spacing w:line="600" w:lineRule="atLeast"/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</w:pPr>
    </w:p>
    <w:p w14:paraId="0876E67A">
      <w:pPr>
        <w:numPr>
          <w:ilvl w:val="0"/>
          <w:numId w:val="2"/>
        </w:numPr>
        <w:snapToGrid w:val="0"/>
        <w:spacing w:line="600" w:lineRule="atLeast"/>
        <w:ind w:leftChars="0"/>
        <w:rPr>
          <w:rFonts w:hint="eastAsia"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混凝土及砂浆材料价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调整，审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  <w:t>增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：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12364.50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元；</w:t>
      </w:r>
    </w:p>
    <w:p w14:paraId="70E5B6F3">
      <w:pPr>
        <w:numPr>
          <w:ilvl w:val="0"/>
          <w:numId w:val="2"/>
        </w:numPr>
        <w:snapToGrid w:val="0"/>
        <w:spacing w:line="600" w:lineRule="atLeast"/>
        <w:ind w:leftChars="0"/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人工价格指数调整，审增3259.89元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  <w:t>。</w:t>
      </w:r>
    </w:p>
    <w:p w14:paraId="0C498081">
      <w:pPr>
        <w:snapToGrid w:val="0"/>
        <w:spacing w:line="600" w:lineRule="atLeast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综合审减：32454.89</w:t>
      </w:r>
      <w:r>
        <w:rPr>
          <w:rFonts w:ascii="宋体" w:hAnsi="宋体" w:eastAsia="宋体" w:cs="Times New Roman"/>
          <w:b/>
          <w:color w:val="000000" w:themeColor="text1"/>
          <w:sz w:val="28"/>
          <w:szCs w:val="28"/>
        </w:rPr>
        <w:t>元</w:t>
      </w: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。</w:t>
      </w:r>
    </w:p>
    <w:p w14:paraId="7AD39ED0">
      <w:pPr>
        <w:snapToGrid w:val="0"/>
        <w:spacing w:line="600" w:lineRule="atLeast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七、评审结论：</w:t>
      </w:r>
    </w:p>
    <w:p w14:paraId="23809C7B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1、送审招标控制价：799349.3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元；</w:t>
      </w:r>
    </w:p>
    <w:p w14:paraId="17FFEB89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2、审定招标控制价：766894.41元；</w:t>
      </w:r>
    </w:p>
    <w:p w14:paraId="4FFB99DF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3、审增金额：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</w:rPr>
        <w:t>15624.39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元；</w:t>
      </w:r>
    </w:p>
    <w:p w14:paraId="024AD536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4、审减金额：48079.28元；</w:t>
      </w:r>
    </w:p>
    <w:p w14:paraId="0BE219E4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5、综合审减金额 ：32454.89</w:t>
      </w:r>
      <w:r>
        <w:rPr>
          <w:rFonts w:ascii="宋体" w:hAnsi="宋体" w:eastAsia="宋体" w:cs="Times New Roman"/>
          <w:color w:val="000000" w:themeColor="text1"/>
          <w:sz w:val="28"/>
          <w:szCs w:val="28"/>
        </w:rPr>
        <w:t>元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。</w:t>
      </w:r>
    </w:p>
    <w:p w14:paraId="7C07E5D1">
      <w:pPr>
        <w:snapToGrid w:val="0"/>
        <w:spacing w:line="600" w:lineRule="atLeast"/>
        <w:rPr>
          <w:rFonts w:ascii="宋体" w:hAnsi="宋体" w:eastAsia="宋体" w:cs="Times New Roman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000000" w:themeColor="text1"/>
          <w:sz w:val="28"/>
          <w:szCs w:val="28"/>
        </w:rPr>
        <w:t>八、附件：</w:t>
      </w:r>
    </w:p>
    <w:p w14:paraId="56087747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1、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招标控制价；</w:t>
      </w:r>
    </w:p>
    <w:p w14:paraId="1DD4D329">
      <w:pPr>
        <w:snapToGrid w:val="0"/>
        <w:spacing w:line="600" w:lineRule="atLeast"/>
        <w:rPr>
          <w:rFonts w:ascii="宋体" w:hAnsi="宋体" w:eastAsia="宋体" w:cs="Times New Roman"/>
          <w:color w:val="000000" w:themeColor="text1"/>
          <w:sz w:val="28"/>
          <w:szCs w:val="28"/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2、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</w:rPr>
        <w:t>工程量清单。</w:t>
      </w:r>
    </w:p>
    <w:p w14:paraId="08B582BF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227B469E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6FC1E21A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7C0BEF03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70DD31C2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70CAE06D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3210A6AA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43D6A558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4EC3B7BE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7CC02AD2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3BBDE850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551D6F74">
      <w:pPr>
        <w:spacing w:line="360" w:lineRule="auto"/>
        <w:jc w:val="left"/>
        <w:rPr>
          <w:rFonts w:ascii="Calibri" w:hAnsi="Calibri" w:eastAsia="宋体" w:cs="Times New Roman"/>
          <w:color w:val="000000" w:themeColor="text1"/>
          <w:szCs w:val="21"/>
        </w:rPr>
      </w:pPr>
    </w:p>
    <w:p w14:paraId="38FFE5DC">
      <w:pPr>
        <w:spacing w:line="360" w:lineRule="auto"/>
        <w:jc w:val="lef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5123F540">
      <w:pPr>
        <w:spacing w:line="360" w:lineRule="auto"/>
        <w:jc w:val="lef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53E6E9BC">
      <w:pPr>
        <w:spacing w:line="360" w:lineRule="auto"/>
        <w:jc w:val="left"/>
        <w:rPr>
          <w:rFonts w:hint="default" w:ascii="宋体" w:hAnsi="宋体" w:eastAsia="宋体" w:cs="Times New Roman"/>
          <w:color w:val="000000" w:themeColor="text1"/>
          <w:position w:val="12"/>
          <w:sz w:val="28"/>
          <w:szCs w:val="20"/>
          <w:lang w:val="en-US" w:eastAsia="zh-CN"/>
        </w:rPr>
      </w:pP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  <w:lang w:val="en-US" w:eastAsia="zh-CN"/>
        </w:rPr>
        <w:t>(本页无正文）</w:t>
      </w:r>
    </w:p>
    <w:p w14:paraId="401B3BCD">
      <w:pPr>
        <w:spacing w:line="360" w:lineRule="auto"/>
        <w:jc w:val="lef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6843D7D1">
      <w:pPr>
        <w:spacing w:line="360" w:lineRule="auto"/>
        <w:jc w:val="lef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  <w:bookmarkStart w:id="3" w:name="_GoBack"/>
      <w:bookmarkEnd w:id="3"/>
    </w:p>
    <w:p w14:paraId="54E59956">
      <w:pPr>
        <w:spacing w:line="360" w:lineRule="auto"/>
        <w:jc w:val="lef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15924E3C">
      <w:pPr>
        <w:spacing w:line="360" w:lineRule="auto"/>
        <w:jc w:val="lef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1C91F5CA">
      <w:pPr>
        <w:spacing w:line="700" w:lineRule="exac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</w:rPr>
        <w:t>注册造价工程师                            注册造价工程师</w:t>
      </w:r>
    </w:p>
    <w:p w14:paraId="59A095BA">
      <w:pPr>
        <w:spacing w:line="700" w:lineRule="exac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769B17B8">
      <w:pPr>
        <w:spacing w:line="700" w:lineRule="exac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67260163">
      <w:pPr>
        <w:spacing w:line="700" w:lineRule="exac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5DA22BA8">
      <w:pPr>
        <w:spacing w:line="700" w:lineRule="exac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009CDC10">
      <w:pPr>
        <w:spacing w:line="700" w:lineRule="exac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</w:p>
    <w:p w14:paraId="1CB2FCF9">
      <w:pPr>
        <w:spacing w:line="700" w:lineRule="exact"/>
        <w:rPr>
          <w:rFonts w:ascii="宋体" w:hAnsi="宋体" w:eastAsia="宋体" w:cs="Times New Roman"/>
          <w:color w:val="000000" w:themeColor="text1"/>
          <w:position w:val="12"/>
          <w:sz w:val="28"/>
          <w:szCs w:val="20"/>
        </w:rPr>
      </w:pP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</w:rPr>
        <w:t>河南省中浩华工程管理</w:t>
      </w:r>
    </w:p>
    <w:p w14:paraId="199FA7EA">
      <w:pPr>
        <w:spacing w:line="700" w:lineRule="exact"/>
        <w:ind w:firstLine="560" w:firstLineChars="200"/>
        <w:rPr>
          <w:rFonts w:ascii="宋体" w:hAnsi="宋体" w:eastAsia="宋体" w:cs="Times New Roman"/>
          <w:color w:val="000000"/>
          <w:position w:val="12"/>
          <w:sz w:val="28"/>
          <w:szCs w:val="20"/>
        </w:rPr>
      </w:pP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</w:rPr>
        <w:t xml:space="preserve">咨询有限公司                  </w:t>
      </w: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</w:rPr>
        <w:t xml:space="preserve"> 二0二</w:t>
      </w: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  <w:lang w:val="en-US" w:eastAsia="zh-CN"/>
        </w:rPr>
        <w:t>四</w:t>
      </w:r>
      <w:r>
        <w:rPr>
          <w:rFonts w:hint="eastAsia" w:ascii="宋体" w:hAnsi="宋体" w:eastAsia="宋体" w:cs="Times New Roman"/>
          <w:color w:val="000000" w:themeColor="text1"/>
          <w:position w:val="12"/>
          <w:sz w:val="28"/>
          <w:szCs w:val="20"/>
        </w:rPr>
        <w:t>年</w:t>
      </w:r>
      <w:r>
        <w:rPr>
          <w:rFonts w:hint="eastAsia" w:ascii="宋体" w:hAnsi="宋体" w:eastAsia="宋体" w:cs="Times New Roman"/>
          <w:color w:val="000000"/>
          <w:position w:val="12"/>
          <w:sz w:val="28"/>
          <w:szCs w:val="20"/>
          <w:lang w:val="en-US" w:eastAsia="zh-CN"/>
        </w:rPr>
        <w:t>八</w:t>
      </w:r>
      <w:r>
        <w:rPr>
          <w:rFonts w:hint="eastAsia" w:ascii="宋体" w:hAnsi="宋体" w:eastAsia="宋体" w:cs="Times New Roman"/>
          <w:color w:val="000000"/>
          <w:position w:val="12"/>
          <w:sz w:val="28"/>
          <w:szCs w:val="20"/>
        </w:rPr>
        <w:t>月</w:t>
      </w:r>
      <w:r>
        <w:rPr>
          <w:rFonts w:hint="eastAsia" w:ascii="宋体" w:hAnsi="宋体" w:eastAsia="宋体" w:cs="Times New Roman"/>
          <w:color w:val="000000"/>
          <w:position w:val="12"/>
          <w:sz w:val="28"/>
          <w:szCs w:val="20"/>
          <w:lang w:val="en-US" w:eastAsia="zh-CN"/>
        </w:rPr>
        <w:t>二</w:t>
      </w:r>
      <w:r>
        <w:rPr>
          <w:rFonts w:hint="eastAsia" w:ascii="宋体" w:hAnsi="宋体" w:eastAsia="宋体" w:cs="Times New Roman"/>
          <w:color w:val="000000"/>
          <w:position w:val="12"/>
          <w:sz w:val="28"/>
          <w:szCs w:val="2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DEFA00"/>
    <w:multiLevelType w:val="singleLevel"/>
    <w:tmpl w:val="95DEFA00"/>
    <w:lvl w:ilvl="0" w:tentative="0">
      <w:start w:val="1"/>
      <w:numFmt w:val="decimal"/>
      <w:suff w:val="nothing"/>
      <w:lvlText w:val="%1、"/>
      <w:lvlJc w:val="left"/>
      <w:pPr>
        <w:ind w:left="0" w:firstLine="397"/>
      </w:pPr>
      <w:rPr>
        <w:rFonts w:hint="default"/>
      </w:rPr>
    </w:lvl>
  </w:abstractNum>
  <w:abstractNum w:abstractNumId="1">
    <w:nsid w:val="A2F55F89"/>
    <w:multiLevelType w:val="singleLevel"/>
    <w:tmpl w:val="A2F55F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RiY2Q3MTNkNTFmMjg2ZTU0NzBkNGFkZjhlNTk5M2YifQ=="/>
  </w:docVars>
  <w:rsids>
    <w:rsidRoot w:val="000B7E8A"/>
    <w:rsid w:val="00004C14"/>
    <w:rsid w:val="00012303"/>
    <w:rsid w:val="00013AD7"/>
    <w:rsid w:val="00020B15"/>
    <w:rsid w:val="000319B6"/>
    <w:rsid w:val="000617EF"/>
    <w:rsid w:val="00071EF3"/>
    <w:rsid w:val="000770F6"/>
    <w:rsid w:val="000B671C"/>
    <w:rsid w:val="000B7E8A"/>
    <w:rsid w:val="000D0BF1"/>
    <w:rsid w:val="000D2E46"/>
    <w:rsid w:val="000D6674"/>
    <w:rsid w:val="000E6B30"/>
    <w:rsid w:val="000F1728"/>
    <w:rsid w:val="000F4395"/>
    <w:rsid w:val="001424C4"/>
    <w:rsid w:val="00177A5F"/>
    <w:rsid w:val="00180546"/>
    <w:rsid w:val="001C22A9"/>
    <w:rsid w:val="00216870"/>
    <w:rsid w:val="0025673B"/>
    <w:rsid w:val="00256895"/>
    <w:rsid w:val="0027687A"/>
    <w:rsid w:val="002A07A8"/>
    <w:rsid w:val="002A354F"/>
    <w:rsid w:val="002B1D2A"/>
    <w:rsid w:val="002B342F"/>
    <w:rsid w:val="002B76E1"/>
    <w:rsid w:val="002C5381"/>
    <w:rsid w:val="002E1487"/>
    <w:rsid w:val="0031222F"/>
    <w:rsid w:val="00332B46"/>
    <w:rsid w:val="00335FEA"/>
    <w:rsid w:val="00341FF8"/>
    <w:rsid w:val="00343A53"/>
    <w:rsid w:val="00362B45"/>
    <w:rsid w:val="00374695"/>
    <w:rsid w:val="00380260"/>
    <w:rsid w:val="00385E19"/>
    <w:rsid w:val="003A4C34"/>
    <w:rsid w:val="003A5ABD"/>
    <w:rsid w:val="003B27BF"/>
    <w:rsid w:val="003E20FD"/>
    <w:rsid w:val="00401B3D"/>
    <w:rsid w:val="00405A44"/>
    <w:rsid w:val="00434C29"/>
    <w:rsid w:val="00446797"/>
    <w:rsid w:val="004722DC"/>
    <w:rsid w:val="00492D69"/>
    <w:rsid w:val="004949AD"/>
    <w:rsid w:val="004B408A"/>
    <w:rsid w:val="004B778B"/>
    <w:rsid w:val="004C0E1C"/>
    <w:rsid w:val="004E31A7"/>
    <w:rsid w:val="004E41CA"/>
    <w:rsid w:val="004F720F"/>
    <w:rsid w:val="0051410E"/>
    <w:rsid w:val="00532A53"/>
    <w:rsid w:val="00552A6D"/>
    <w:rsid w:val="00560229"/>
    <w:rsid w:val="00565360"/>
    <w:rsid w:val="00574572"/>
    <w:rsid w:val="005C01B2"/>
    <w:rsid w:val="005E6B21"/>
    <w:rsid w:val="006067BD"/>
    <w:rsid w:val="00621BA6"/>
    <w:rsid w:val="006228DE"/>
    <w:rsid w:val="0063253E"/>
    <w:rsid w:val="0064241D"/>
    <w:rsid w:val="00691AAB"/>
    <w:rsid w:val="006C357B"/>
    <w:rsid w:val="006E1098"/>
    <w:rsid w:val="006E6621"/>
    <w:rsid w:val="00711623"/>
    <w:rsid w:val="0073275B"/>
    <w:rsid w:val="00755E90"/>
    <w:rsid w:val="00774869"/>
    <w:rsid w:val="0078457D"/>
    <w:rsid w:val="00785A4A"/>
    <w:rsid w:val="007971A5"/>
    <w:rsid w:val="007B2E9E"/>
    <w:rsid w:val="008017E1"/>
    <w:rsid w:val="00885194"/>
    <w:rsid w:val="008958D3"/>
    <w:rsid w:val="008A1E83"/>
    <w:rsid w:val="008B7B0D"/>
    <w:rsid w:val="008D56C3"/>
    <w:rsid w:val="00905EC4"/>
    <w:rsid w:val="00957A86"/>
    <w:rsid w:val="009620FB"/>
    <w:rsid w:val="00984687"/>
    <w:rsid w:val="009C3071"/>
    <w:rsid w:val="009F5054"/>
    <w:rsid w:val="00A36BB2"/>
    <w:rsid w:val="00A40E38"/>
    <w:rsid w:val="00A41DE6"/>
    <w:rsid w:val="00A5058C"/>
    <w:rsid w:val="00A73694"/>
    <w:rsid w:val="00A84A6C"/>
    <w:rsid w:val="00A911E4"/>
    <w:rsid w:val="00AE17FD"/>
    <w:rsid w:val="00AE28CD"/>
    <w:rsid w:val="00AE4964"/>
    <w:rsid w:val="00AF7825"/>
    <w:rsid w:val="00B17E30"/>
    <w:rsid w:val="00B34F19"/>
    <w:rsid w:val="00B42980"/>
    <w:rsid w:val="00B74EB0"/>
    <w:rsid w:val="00B75AA3"/>
    <w:rsid w:val="00B81B59"/>
    <w:rsid w:val="00B82682"/>
    <w:rsid w:val="00BE77AE"/>
    <w:rsid w:val="00BF0880"/>
    <w:rsid w:val="00BF7CD9"/>
    <w:rsid w:val="00C002E7"/>
    <w:rsid w:val="00C155BA"/>
    <w:rsid w:val="00C626BD"/>
    <w:rsid w:val="00C65578"/>
    <w:rsid w:val="00C7021B"/>
    <w:rsid w:val="00C74047"/>
    <w:rsid w:val="00C90D3B"/>
    <w:rsid w:val="00CE7009"/>
    <w:rsid w:val="00D104C3"/>
    <w:rsid w:val="00D42D6B"/>
    <w:rsid w:val="00D6170B"/>
    <w:rsid w:val="00D67879"/>
    <w:rsid w:val="00D679B1"/>
    <w:rsid w:val="00D8016A"/>
    <w:rsid w:val="00D92D6F"/>
    <w:rsid w:val="00DC3627"/>
    <w:rsid w:val="00DD20AE"/>
    <w:rsid w:val="00DE2C19"/>
    <w:rsid w:val="00DF7FFC"/>
    <w:rsid w:val="00E1781A"/>
    <w:rsid w:val="00E307B0"/>
    <w:rsid w:val="00E50777"/>
    <w:rsid w:val="00E635C0"/>
    <w:rsid w:val="00E86498"/>
    <w:rsid w:val="00EA402E"/>
    <w:rsid w:val="00EA4B11"/>
    <w:rsid w:val="00EE4601"/>
    <w:rsid w:val="00EE5486"/>
    <w:rsid w:val="00F207AF"/>
    <w:rsid w:val="00F20F39"/>
    <w:rsid w:val="00F24669"/>
    <w:rsid w:val="00F615DA"/>
    <w:rsid w:val="00F93596"/>
    <w:rsid w:val="00FA2397"/>
    <w:rsid w:val="0313544C"/>
    <w:rsid w:val="035E2811"/>
    <w:rsid w:val="055C6BEF"/>
    <w:rsid w:val="0598581C"/>
    <w:rsid w:val="05B6067F"/>
    <w:rsid w:val="06E57619"/>
    <w:rsid w:val="097A473D"/>
    <w:rsid w:val="19A54257"/>
    <w:rsid w:val="1C720BA8"/>
    <w:rsid w:val="20FB0412"/>
    <w:rsid w:val="227F42D0"/>
    <w:rsid w:val="29951016"/>
    <w:rsid w:val="31427D70"/>
    <w:rsid w:val="3876205D"/>
    <w:rsid w:val="38DC5739"/>
    <w:rsid w:val="3A6D1379"/>
    <w:rsid w:val="3AE11642"/>
    <w:rsid w:val="3BFB3750"/>
    <w:rsid w:val="3CFD5A1F"/>
    <w:rsid w:val="3E057C23"/>
    <w:rsid w:val="40286DE0"/>
    <w:rsid w:val="42C1777B"/>
    <w:rsid w:val="576029E5"/>
    <w:rsid w:val="5789378E"/>
    <w:rsid w:val="64F21AE2"/>
    <w:rsid w:val="6B3038C1"/>
    <w:rsid w:val="6D71614C"/>
    <w:rsid w:val="6F126FBF"/>
    <w:rsid w:val="7599545B"/>
    <w:rsid w:val="78805993"/>
    <w:rsid w:val="79DB2343"/>
    <w:rsid w:val="7A8B39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1045</Words>
  <Characters>1197</Characters>
  <Lines>10</Lines>
  <Paragraphs>2</Paragraphs>
  <TotalTime>27</TotalTime>
  <ScaleCrop>false</ScaleCrop>
  <LinksUpToDate>false</LinksUpToDate>
  <CharactersWithSpaces>1247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2020-05-28T13:54:00Z</dcterms:created>
  <dc:creator>asus</dc:creator>
  <cp:lastModifiedBy>WPS_1178226366</cp:lastModifiedBy>
  <cp:lastPrinted>2020-07-30T03:42:00Z</cp:lastPrinted>
  <dcterms:modified xsi:type="dcterms:W3CDTF">2024-08-06T02:52:32Z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99D8104F44B84158AC6B937457BAC19B_12</vt:lpwstr>
  </property>
</Properties>
</file>