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0EF21">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kern w:val="2"/>
          <w:sz w:val="48"/>
          <w:szCs w:val="48"/>
          <w:highlight w:val="none"/>
          <w:lang w:val="en-US" w:eastAsia="zh-CN" w:bidi="ar"/>
        </w:rPr>
      </w:pPr>
    </w:p>
    <w:p w14:paraId="5327029F">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kern w:val="2"/>
          <w:sz w:val="48"/>
          <w:szCs w:val="48"/>
          <w:highlight w:val="none"/>
          <w:lang w:val="en-US" w:eastAsia="zh-CN" w:bidi="ar"/>
        </w:rPr>
      </w:pPr>
    </w:p>
    <w:p w14:paraId="757248D6">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color w:val="000000"/>
          <w:sz w:val="48"/>
          <w:szCs w:val="48"/>
          <w:highlight w:val="none"/>
          <w:lang w:val="en-US"/>
        </w:rPr>
      </w:pPr>
      <w:r>
        <w:rPr>
          <w:rFonts w:hint="eastAsia" w:ascii="宋体" w:hAnsi="宋体" w:eastAsia="宋体" w:cs="宋体"/>
          <w:b/>
          <w:bCs/>
          <w:kern w:val="2"/>
          <w:sz w:val="48"/>
          <w:szCs w:val="48"/>
          <w:highlight w:val="none"/>
          <w:lang w:val="en-US" w:eastAsia="zh-CN" w:bidi="ar"/>
        </w:rPr>
        <w:t>三门峡市城区排水管网普查检测及GIS系统建设项目</w:t>
      </w:r>
    </w:p>
    <w:p w14:paraId="6CBEEDD0">
      <w:pPr>
        <w:pStyle w:val="10"/>
        <w:widowControl/>
        <w:kinsoku/>
        <w:wordWrap/>
        <w:overflowPunct/>
        <w:bidi w:val="0"/>
        <w:spacing w:line="360" w:lineRule="auto"/>
        <w:rPr>
          <w:highlight w:val="none"/>
          <w:lang w:val="en-US"/>
        </w:rPr>
      </w:pPr>
    </w:p>
    <w:p w14:paraId="285D61C1">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sz w:val="15"/>
          <w:szCs w:val="15"/>
          <w:highlight w:val="none"/>
          <w:lang w:val="en-US"/>
        </w:rPr>
      </w:pPr>
    </w:p>
    <w:p w14:paraId="1D83D6DB">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kern w:val="2"/>
          <w:sz w:val="72"/>
          <w:szCs w:val="72"/>
          <w:highlight w:val="none"/>
          <w:lang w:val="en-US" w:eastAsia="zh-CN" w:bidi="ar"/>
        </w:rPr>
      </w:pPr>
    </w:p>
    <w:p w14:paraId="3F3B5B5D">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kern w:val="2"/>
          <w:sz w:val="72"/>
          <w:szCs w:val="72"/>
          <w:highlight w:val="none"/>
          <w:lang w:val="en-US" w:eastAsia="zh-CN" w:bidi="ar"/>
        </w:rPr>
      </w:pPr>
    </w:p>
    <w:p w14:paraId="61200165">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sz w:val="72"/>
          <w:szCs w:val="72"/>
          <w:highlight w:val="none"/>
          <w:lang w:val="en-US"/>
        </w:rPr>
      </w:pPr>
      <w:r>
        <w:rPr>
          <w:rFonts w:hint="eastAsia" w:ascii="宋体" w:hAnsi="宋体" w:eastAsia="宋体" w:cs="宋体"/>
          <w:b/>
          <w:bCs w:val="0"/>
          <w:kern w:val="2"/>
          <w:sz w:val="72"/>
          <w:szCs w:val="72"/>
          <w:highlight w:val="none"/>
          <w:lang w:val="en-US" w:eastAsia="zh-CN" w:bidi="ar"/>
        </w:rPr>
        <w:t>招标文件</w:t>
      </w:r>
    </w:p>
    <w:p w14:paraId="5AFE742A">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kern w:val="2"/>
          <w:sz w:val="30"/>
          <w:szCs w:val="30"/>
          <w:highlight w:val="none"/>
          <w:lang w:val="en-US" w:eastAsia="zh-CN" w:bidi="ar"/>
        </w:rPr>
      </w:pPr>
      <w:r>
        <w:rPr>
          <w:rFonts w:hint="eastAsia" w:ascii="宋体" w:hAnsi="宋体" w:eastAsia="宋体" w:cs="宋体"/>
          <w:b/>
          <w:bCs w:val="0"/>
          <w:kern w:val="2"/>
          <w:sz w:val="30"/>
          <w:szCs w:val="30"/>
          <w:highlight w:val="none"/>
          <w:lang w:val="en-US" w:eastAsia="zh-CN" w:bidi="ar"/>
        </w:rPr>
        <w:t>项目编号：SGZ[2024]431-ZC273、三财公开采购-2024-48</w:t>
      </w:r>
    </w:p>
    <w:p w14:paraId="4F49426D">
      <w:pPr>
        <w:keepNext w:val="0"/>
        <w:keepLines w:val="0"/>
        <w:widowControl w:val="0"/>
        <w:suppressLineNumbers w:val="0"/>
        <w:kinsoku/>
        <w:wordWrap/>
        <w:overflowPunct/>
        <w:bidi w:val="0"/>
        <w:spacing w:before="0" w:beforeAutospacing="0" w:after="0" w:afterAutospacing="0" w:line="360" w:lineRule="auto"/>
        <w:ind w:left="0" w:right="0" w:firstLine="1280" w:firstLineChars="400"/>
        <w:jc w:val="both"/>
        <w:rPr>
          <w:rFonts w:hint="eastAsia" w:ascii="宋体" w:hAnsi="宋体" w:eastAsia="宋体" w:cs="宋体"/>
          <w:bCs/>
          <w:kern w:val="2"/>
          <w:sz w:val="32"/>
          <w:szCs w:val="30"/>
          <w:highlight w:val="none"/>
          <w:lang w:val="en-US" w:eastAsia="zh-CN" w:bidi="ar"/>
        </w:rPr>
      </w:pPr>
    </w:p>
    <w:p w14:paraId="2CB332F5">
      <w:pPr>
        <w:keepNext w:val="0"/>
        <w:keepLines w:val="0"/>
        <w:widowControl w:val="0"/>
        <w:suppressLineNumbers w:val="0"/>
        <w:kinsoku/>
        <w:wordWrap/>
        <w:overflowPunct/>
        <w:bidi w:val="0"/>
        <w:spacing w:before="0" w:beforeAutospacing="0" w:after="0" w:afterAutospacing="0" w:line="360" w:lineRule="auto"/>
        <w:ind w:left="0" w:right="0" w:firstLine="1280" w:firstLineChars="400"/>
        <w:jc w:val="both"/>
        <w:rPr>
          <w:rFonts w:hint="eastAsia" w:ascii="宋体" w:hAnsi="宋体" w:eastAsia="宋体" w:cs="宋体"/>
          <w:bCs/>
          <w:kern w:val="2"/>
          <w:sz w:val="32"/>
          <w:szCs w:val="30"/>
          <w:highlight w:val="none"/>
          <w:lang w:val="en-US" w:eastAsia="zh-CN" w:bidi="ar"/>
        </w:rPr>
      </w:pPr>
    </w:p>
    <w:p w14:paraId="37B01A0F">
      <w:pPr>
        <w:keepNext w:val="0"/>
        <w:keepLines w:val="0"/>
        <w:widowControl w:val="0"/>
        <w:suppressLineNumbers w:val="0"/>
        <w:kinsoku/>
        <w:wordWrap/>
        <w:overflowPunct/>
        <w:bidi w:val="0"/>
        <w:spacing w:before="0" w:beforeAutospacing="0" w:after="0" w:afterAutospacing="0" w:line="360" w:lineRule="auto"/>
        <w:ind w:left="0" w:right="0" w:firstLine="1280" w:firstLineChars="400"/>
        <w:jc w:val="both"/>
        <w:rPr>
          <w:rFonts w:hint="eastAsia" w:ascii="宋体" w:hAnsi="宋体" w:eastAsia="宋体" w:cs="宋体"/>
          <w:bCs/>
          <w:kern w:val="2"/>
          <w:sz w:val="32"/>
          <w:szCs w:val="30"/>
          <w:highlight w:val="none"/>
          <w:lang w:val="en-US" w:eastAsia="zh-CN" w:bidi="ar"/>
        </w:rPr>
      </w:pPr>
    </w:p>
    <w:p w14:paraId="00F02B87">
      <w:pPr>
        <w:keepNext w:val="0"/>
        <w:keepLines w:val="0"/>
        <w:widowControl w:val="0"/>
        <w:suppressLineNumbers w:val="0"/>
        <w:kinsoku/>
        <w:wordWrap/>
        <w:overflowPunct/>
        <w:bidi w:val="0"/>
        <w:spacing w:before="0" w:beforeAutospacing="0" w:after="0" w:afterAutospacing="0" w:line="360" w:lineRule="auto"/>
        <w:ind w:left="0" w:right="0" w:firstLine="1280" w:firstLineChars="400"/>
        <w:jc w:val="both"/>
        <w:rPr>
          <w:rFonts w:hint="eastAsia" w:ascii="宋体" w:hAnsi="宋体" w:eastAsia="宋体" w:cs="宋体"/>
          <w:bCs/>
          <w:kern w:val="2"/>
          <w:sz w:val="32"/>
          <w:szCs w:val="30"/>
          <w:highlight w:val="none"/>
          <w:lang w:val="en-US" w:eastAsia="zh-CN" w:bidi="ar"/>
        </w:rPr>
      </w:pPr>
    </w:p>
    <w:p w14:paraId="056668B7">
      <w:pPr>
        <w:kinsoku/>
        <w:wordWrap/>
        <w:overflowPunct/>
        <w:bidi w:val="0"/>
        <w:spacing w:line="360" w:lineRule="auto"/>
        <w:ind w:firstLine="1417" w:firstLineChars="441"/>
        <w:jc w:val="left"/>
        <w:rPr>
          <w:rFonts w:hint="eastAsia" w:ascii="宋体" w:hAnsi="宋体" w:eastAsiaTheme="minorEastAsia"/>
          <w:b/>
          <w:sz w:val="32"/>
          <w:szCs w:val="32"/>
          <w:highlight w:val="none"/>
          <w:lang w:eastAsia="zh-CN"/>
        </w:rPr>
      </w:pPr>
      <w:r>
        <w:rPr>
          <w:rFonts w:hint="eastAsia" w:ascii="宋体" w:hAnsi="宋体"/>
          <w:b/>
          <w:sz w:val="32"/>
          <w:szCs w:val="32"/>
          <w:highlight w:val="none"/>
        </w:rPr>
        <w:t xml:space="preserve">招 </w:t>
      </w:r>
      <w:r>
        <w:rPr>
          <w:rFonts w:ascii="宋体" w:hAnsi="宋体"/>
          <w:b/>
          <w:sz w:val="32"/>
          <w:szCs w:val="32"/>
          <w:highlight w:val="none"/>
        </w:rPr>
        <w:t xml:space="preserve"> </w:t>
      </w:r>
      <w:r>
        <w:rPr>
          <w:rFonts w:hint="eastAsia" w:ascii="宋体" w:hAnsi="宋体"/>
          <w:b/>
          <w:sz w:val="32"/>
          <w:szCs w:val="32"/>
          <w:highlight w:val="none"/>
        </w:rPr>
        <w:t xml:space="preserve"> 标 </w:t>
      </w:r>
      <w:r>
        <w:rPr>
          <w:rFonts w:hint="eastAsia" w:ascii="宋体" w:hAnsi="宋体"/>
          <w:b/>
          <w:sz w:val="28"/>
          <w:szCs w:val="28"/>
          <w:highlight w:val="none"/>
        </w:rPr>
        <w:t xml:space="preserve"> </w:t>
      </w:r>
      <w:r>
        <w:rPr>
          <w:rFonts w:hint="eastAsia" w:ascii="宋体" w:hAnsi="宋体"/>
          <w:b/>
          <w:sz w:val="32"/>
          <w:szCs w:val="32"/>
          <w:highlight w:val="none"/>
        </w:rPr>
        <w:t xml:space="preserve"> 人：</w:t>
      </w:r>
      <w:r>
        <w:rPr>
          <w:rFonts w:hint="eastAsia" w:ascii="宋体" w:hAnsi="宋体"/>
          <w:b/>
          <w:sz w:val="32"/>
          <w:szCs w:val="32"/>
          <w:highlight w:val="none"/>
          <w:lang w:eastAsia="zh-CN"/>
        </w:rPr>
        <w:t>三门峡市城市建设发展服务中心</w:t>
      </w:r>
    </w:p>
    <w:p w14:paraId="4D71C178">
      <w:pPr>
        <w:kinsoku/>
        <w:wordWrap/>
        <w:overflowPunct/>
        <w:bidi w:val="0"/>
        <w:spacing w:line="360" w:lineRule="auto"/>
        <w:ind w:firstLine="1417" w:firstLineChars="441"/>
        <w:jc w:val="left"/>
        <w:rPr>
          <w:rFonts w:ascii="宋体" w:hAnsi="宋体"/>
          <w:b/>
          <w:sz w:val="32"/>
          <w:szCs w:val="32"/>
          <w:highlight w:val="none"/>
        </w:rPr>
      </w:pPr>
      <w:r>
        <w:rPr>
          <w:rFonts w:hint="eastAsia" w:ascii="宋体" w:hAnsi="宋体"/>
          <w:b/>
          <w:sz w:val="32"/>
          <w:szCs w:val="32"/>
          <w:highlight w:val="none"/>
        </w:rPr>
        <w:t>招标代理机构：河南霸营建设管理有限公司</w:t>
      </w:r>
    </w:p>
    <w:p w14:paraId="60DED98B">
      <w:pPr>
        <w:kinsoku/>
        <w:wordWrap/>
        <w:overflowPunct/>
        <w:bidi w:val="0"/>
        <w:spacing w:line="360" w:lineRule="auto"/>
        <w:ind w:firstLine="1417" w:firstLineChars="441"/>
        <w:jc w:val="left"/>
        <w:rPr>
          <w:rFonts w:ascii="宋体" w:hAnsi="宋体"/>
          <w:b/>
          <w:sz w:val="48"/>
          <w:szCs w:val="48"/>
          <w:highlight w:val="none"/>
        </w:rPr>
      </w:pPr>
      <w:r>
        <w:rPr>
          <w:rFonts w:hint="eastAsia" w:ascii="宋体" w:hAnsi="宋体"/>
          <w:b/>
          <w:sz w:val="32"/>
          <w:szCs w:val="32"/>
          <w:highlight w:val="none"/>
        </w:rPr>
        <w:t>日        期：二零二</w:t>
      </w:r>
      <w:r>
        <w:rPr>
          <w:rFonts w:hint="eastAsia" w:ascii="宋体" w:hAnsi="宋体"/>
          <w:b/>
          <w:sz w:val="32"/>
          <w:szCs w:val="32"/>
          <w:highlight w:val="none"/>
          <w:lang w:eastAsia="zh-CN"/>
        </w:rPr>
        <w:t>四</w:t>
      </w:r>
      <w:r>
        <w:rPr>
          <w:rFonts w:hint="eastAsia" w:ascii="宋体" w:hAnsi="宋体"/>
          <w:b/>
          <w:sz w:val="32"/>
          <w:szCs w:val="32"/>
          <w:highlight w:val="none"/>
        </w:rPr>
        <w:t>年</w:t>
      </w:r>
      <w:r>
        <w:rPr>
          <w:rFonts w:hint="eastAsia" w:ascii="宋体" w:hAnsi="宋体"/>
          <w:b/>
          <w:sz w:val="32"/>
          <w:szCs w:val="32"/>
          <w:highlight w:val="none"/>
          <w:lang w:eastAsia="zh-CN"/>
        </w:rPr>
        <w:t>九</w:t>
      </w:r>
      <w:r>
        <w:rPr>
          <w:rFonts w:hint="eastAsia" w:ascii="宋体" w:hAnsi="宋体"/>
          <w:b/>
          <w:sz w:val="32"/>
          <w:szCs w:val="32"/>
          <w:highlight w:val="none"/>
        </w:rPr>
        <w:t>月</w:t>
      </w:r>
    </w:p>
    <w:p w14:paraId="42ABFDBF">
      <w:pPr>
        <w:kinsoku/>
        <w:wordWrap/>
        <w:overflowPunct/>
        <w:bidi w:val="0"/>
        <w:spacing w:line="360" w:lineRule="auto"/>
        <w:rPr>
          <w:rFonts w:hint="eastAsia" w:ascii="宋体" w:hAnsi="宋体" w:eastAsia="宋体" w:cs="宋体"/>
          <w:bCs/>
          <w:kern w:val="2"/>
          <w:sz w:val="32"/>
          <w:szCs w:val="30"/>
          <w:highlight w:val="none"/>
          <w:lang w:val="en-US" w:eastAsia="zh-CN" w:bidi="ar"/>
        </w:rPr>
      </w:pPr>
      <w:r>
        <w:rPr>
          <w:rFonts w:hint="eastAsia" w:ascii="宋体" w:hAnsi="宋体" w:eastAsia="宋体" w:cs="宋体"/>
          <w:bCs/>
          <w:kern w:val="2"/>
          <w:sz w:val="32"/>
          <w:szCs w:val="30"/>
          <w:highlight w:val="none"/>
          <w:lang w:val="en-US" w:eastAsia="zh-CN" w:bidi="ar"/>
        </w:rPr>
        <w:br w:type="page"/>
      </w:r>
    </w:p>
    <w:p w14:paraId="108533D1">
      <w:pPr>
        <w:pStyle w:val="14"/>
        <w:pageBreakBefore/>
        <w:widowControl/>
        <w:kinsoku/>
        <w:wordWrap/>
        <w:overflowPunct/>
        <w:bidi w:val="0"/>
        <w:spacing w:line="360" w:lineRule="auto"/>
        <w:ind w:left="0" w:firstLine="0"/>
        <w:jc w:val="center"/>
        <w:rPr>
          <w:rFonts w:hAnsi="宋体" w:cs="宋体"/>
          <w:b/>
          <w:bCs/>
          <w:sz w:val="44"/>
          <w:szCs w:val="44"/>
          <w:highlight w:val="none"/>
          <w:lang w:val="en-US"/>
        </w:rPr>
      </w:pPr>
      <w:r>
        <w:rPr>
          <w:rFonts w:hint="eastAsia" w:ascii="宋体" w:hAnsi="宋体" w:eastAsia="华文宋体" w:cs="宋体"/>
          <w:b/>
          <w:bCs/>
          <w:sz w:val="44"/>
          <w:szCs w:val="44"/>
          <w:highlight w:val="none"/>
          <w:lang w:eastAsia="zh-CN"/>
        </w:rPr>
        <w:t>目</w:t>
      </w:r>
      <w:r>
        <w:rPr>
          <w:rFonts w:hAnsi="宋体" w:cs="宋体"/>
          <w:b/>
          <w:bCs/>
          <w:sz w:val="44"/>
          <w:szCs w:val="44"/>
          <w:highlight w:val="none"/>
          <w:lang w:val="en-US"/>
        </w:rPr>
        <w:t xml:space="preserve">  </w:t>
      </w:r>
      <w:r>
        <w:rPr>
          <w:rFonts w:hint="eastAsia" w:ascii="宋体" w:hAnsi="宋体" w:eastAsia="华文宋体" w:cs="宋体"/>
          <w:b/>
          <w:bCs/>
          <w:sz w:val="44"/>
          <w:szCs w:val="44"/>
          <w:highlight w:val="none"/>
          <w:lang w:eastAsia="zh-CN"/>
        </w:rPr>
        <w:t>录</w:t>
      </w:r>
    </w:p>
    <w:p w14:paraId="7F3735B7">
      <w:pPr>
        <w:pStyle w:val="16"/>
        <w:tabs>
          <w:tab w:val="right" w:leader="dot" w:pos="8306"/>
        </w:tabs>
        <w:rPr>
          <w:sz w:val="28"/>
          <w:szCs w:val="28"/>
          <w:highlight w:val="none"/>
        </w:rPr>
      </w:pPr>
      <w:r>
        <w:rPr>
          <w:rFonts w:hint="eastAsia" w:ascii="宋体" w:hAnsi="宋体" w:eastAsia="宋体" w:cs="宋体"/>
          <w:sz w:val="28"/>
          <w:szCs w:val="28"/>
          <w:highlight w:val="none"/>
          <w:lang w:val="en-US"/>
        </w:rPr>
        <w:fldChar w:fldCharType="begin"/>
      </w:r>
      <w:r>
        <w:rPr>
          <w:rFonts w:hint="eastAsia" w:ascii="宋体" w:hAnsi="宋体" w:eastAsia="宋体" w:cs="宋体"/>
          <w:sz w:val="28"/>
          <w:szCs w:val="28"/>
          <w:highlight w:val="none"/>
          <w:lang w:val="en-US"/>
        </w:rPr>
        <w:instrText xml:space="preserve">TOC \o "1-1" \h \u </w:instrText>
      </w:r>
      <w:r>
        <w:rPr>
          <w:rFonts w:hint="eastAsia" w:ascii="宋体" w:hAnsi="宋体" w:eastAsia="宋体" w:cs="宋体"/>
          <w:sz w:val="28"/>
          <w:szCs w:val="28"/>
          <w:highlight w:val="none"/>
          <w:lang w:val="en-US"/>
        </w:rPr>
        <w:fldChar w:fldCharType="separate"/>
      </w:r>
      <w:r>
        <w:rPr>
          <w:rFonts w:hint="eastAsia" w:ascii="宋体" w:hAnsi="宋体" w:eastAsia="宋体" w:cs="宋体"/>
          <w:sz w:val="28"/>
          <w:szCs w:val="28"/>
          <w:highlight w:val="none"/>
          <w:lang w:val="en-US"/>
        </w:rPr>
        <w:fldChar w:fldCharType="begin"/>
      </w:r>
      <w:r>
        <w:rPr>
          <w:rFonts w:hint="eastAsia" w:ascii="宋体" w:hAnsi="宋体" w:eastAsia="宋体" w:cs="宋体"/>
          <w:sz w:val="28"/>
          <w:szCs w:val="28"/>
          <w:highlight w:val="none"/>
          <w:lang w:val="en-US"/>
        </w:rPr>
        <w:instrText xml:space="preserve"> HYPERLINK \l _Toc25274 </w:instrText>
      </w:r>
      <w:r>
        <w:rPr>
          <w:rFonts w:hint="eastAsia" w:ascii="宋体" w:hAnsi="宋体" w:eastAsia="宋体" w:cs="宋体"/>
          <w:sz w:val="28"/>
          <w:szCs w:val="28"/>
          <w:highlight w:val="none"/>
          <w:lang w:val="en-US"/>
        </w:rPr>
        <w:fldChar w:fldCharType="separate"/>
      </w:r>
      <w:r>
        <w:rPr>
          <w:rFonts w:hint="eastAsia" w:ascii="Times New Roman" w:hAnsi="Times New Roman" w:eastAsia="宋体" w:cs="Times New Roman"/>
          <w:bCs/>
          <w:kern w:val="44"/>
          <w:sz w:val="28"/>
          <w:szCs w:val="28"/>
          <w:highlight w:val="none"/>
          <w:lang w:val="en-US" w:eastAsia="zh-CN" w:bidi="ar"/>
        </w:rPr>
        <w:t>第一章  招标公告</w:t>
      </w:r>
      <w:r>
        <w:rPr>
          <w:sz w:val="28"/>
          <w:szCs w:val="28"/>
          <w:highlight w:val="none"/>
        </w:rPr>
        <w:tab/>
      </w:r>
      <w:r>
        <w:rPr>
          <w:sz w:val="28"/>
          <w:szCs w:val="28"/>
          <w:highlight w:val="none"/>
        </w:rPr>
        <w:fldChar w:fldCharType="begin"/>
      </w:r>
      <w:r>
        <w:rPr>
          <w:sz w:val="28"/>
          <w:szCs w:val="28"/>
          <w:highlight w:val="none"/>
        </w:rPr>
        <w:instrText xml:space="preserve"> PAGEREF _Toc25274 \h </w:instrText>
      </w:r>
      <w:r>
        <w:rPr>
          <w:sz w:val="28"/>
          <w:szCs w:val="28"/>
          <w:highlight w:val="none"/>
        </w:rPr>
        <w:fldChar w:fldCharType="separate"/>
      </w:r>
      <w:r>
        <w:rPr>
          <w:sz w:val="28"/>
          <w:szCs w:val="28"/>
          <w:highlight w:val="none"/>
        </w:rPr>
        <w:t>3</w:t>
      </w:r>
      <w:r>
        <w:rPr>
          <w:sz w:val="28"/>
          <w:szCs w:val="28"/>
          <w:highlight w:val="none"/>
        </w:rPr>
        <w:fldChar w:fldCharType="end"/>
      </w:r>
      <w:r>
        <w:rPr>
          <w:rFonts w:hint="eastAsia" w:ascii="宋体" w:hAnsi="宋体" w:eastAsia="宋体" w:cs="宋体"/>
          <w:sz w:val="28"/>
          <w:szCs w:val="28"/>
          <w:highlight w:val="none"/>
          <w:lang w:val="en-US"/>
        </w:rPr>
        <w:fldChar w:fldCharType="end"/>
      </w:r>
    </w:p>
    <w:p w14:paraId="24FD4A41">
      <w:pPr>
        <w:pStyle w:val="16"/>
        <w:tabs>
          <w:tab w:val="right" w:leader="dot" w:pos="8306"/>
        </w:tabs>
        <w:rPr>
          <w:sz w:val="28"/>
          <w:szCs w:val="28"/>
          <w:highlight w:val="none"/>
        </w:rPr>
      </w:pPr>
      <w:r>
        <w:rPr>
          <w:rFonts w:hint="eastAsia" w:ascii="宋体" w:hAnsi="宋体" w:eastAsia="宋体" w:cs="宋体"/>
          <w:sz w:val="28"/>
          <w:szCs w:val="28"/>
          <w:highlight w:val="none"/>
          <w:lang w:val="en-US"/>
        </w:rPr>
        <w:fldChar w:fldCharType="begin"/>
      </w:r>
      <w:r>
        <w:rPr>
          <w:rFonts w:hint="eastAsia" w:ascii="宋体" w:hAnsi="宋体" w:eastAsia="宋体" w:cs="宋体"/>
          <w:sz w:val="28"/>
          <w:szCs w:val="28"/>
          <w:highlight w:val="none"/>
          <w:lang w:val="en-US"/>
        </w:rPr>
        <w:instrText xml:space="preserve"> HYPERLINK \l _Toc13888 </w:instrText>
      </w:r>
      <w:r>
        <w:rPr>
          <w:rFonts w:hint="eastAsia" w:ascii="宋体" w:hAnsi="宋体" w:eastAsia="宋体" w:cs="宋体"/>
          <w:sz w:val="28"/>
          <w:szCs w:val="28"/>
          <w:highlight w:val="none"/>
          <w:lang w:val="en-US"/>
        </w:rPr>
        <w:fldChar w:fldCharType="separate"/>
      </w:r>
      <w:r>
        <w:rPr>
          <w:rFonts w:hint="eastAsia" w:ascii="Times New Roman" w:hAnsi="Times New Roman" w:eastAsia="宋体" w:cs="宋体"/>
          <w:bCs/>
          <w:kern w:val="44"/>
          <w:sz w:val="28"/>
          <w:szCs w:val="28"/>
          <w:highlight w:val="none"/>
          <w:lang w:val="en-US" w:eastAsia="zh-CN" w:bidi="ar"/>
        </w:rPr>
        <w:t>第二章</w:t>
      </w:r>
      <w:r>
        <w:rPr>
          <w:rFonts w:hint="default" w:ascii="Times New Roman" w:hAnsi="Times New Roman" w:eastAsia="宋体" w:cs="Times New Roman"/>
          <w:bCs/>
          <w:kern w:val="44"/>
          <w:sz w:val="28"/>
          <w:szCs w:val="28"/>
          <w:highlight w:val="none"/>
          <w:lang w:val="en-US" w:eastAsia="zh-CN" w:bidi="ar"/>
        </w:rPr>
        <w:t xml:space="preserve">  </w:t>
      </w:r>
      <w:r>
        <w:rPr>
          <w:rFonts w:hint="eastAsia" w:ascii="Times New Roman" w:hAnsi="Times New Roman" w:eastAsia="宋体" w:cs="宋体"/>
          <w:bCs/>
          <w:kern w:val="44"/>
          <w:sz w:val="28"/>
          <w:szCs w:val="28"/>
          <w:highlight w:val="none"/>
          <w:lang w:val="en-US" w:eastAsia="zh-CN" w:bidi="ar"/>
        </w:rPr>
        <w:t>供应商须知</w:t>
      </w:r>
      <w:r>
        <w:rPr>
          <w:sz w:val="28"/>
          <w:szCs w:val="28"/>
          <w:highlight w:val="none"/>
        </w:rPr>
        <w:tab/>
      </w:r>
      <w:r>
        <w:rPr>
          <w:sz w:val="28"/>
          <w:szCs w:val="28"/>
          <w:highlight w:val="none"/>
        </w:rPr>
        <w:fldChar w:fldCharType="begin"/>
      </w:r>
      <w:r>
        <w:rPr>
          <w:sz w:val="28"/>
          <w:szCs w:val="28"/>
          <w:highlight w:val="none"/>
        </w:rPr>
        <w:instrText xml:space="preserve"> PAGEREF _Toc13888 \h </w:instrText>
      </w:r>
      <w:r>
        <w:rPr>
          <w:sz w:val="28"/>
          <w:szCs w:val="28"/>
          <w:highlight w:val="none"/>
        </w:rPr>
        <w:fldChar w:fldCharType="separate"/>
      </w:r>
      <w:r>
        <w:rPr>
          <w:sz w:val="28"/>
          <w:szCs w:val="28"/>
          <w:highlight w:val="none"/>
        </w:rPr>
        <w:t>9</w:t>
      </w:r>
      <w:r>
        <w:rPr>
          <w:sz w:val="28"/>
          <w:szCs w:val="28"/>
          <w:highlight w:val="none"/>
        </w:rPr>
        <w:fldChar w:fldCharType="end"/>
      </w:r>
      <w:r>
        <w:rPr>
          <w:rFonts w:hint="eastAsia" w:ascii="宋体" w:hAnsi="宋体" w:eastAsia="宋体" w:cs="宋体"/>
          <w:sz w:val="28"/>
          <w:szCs w:val="28"/>
          <w:highlight w:val="none"/>
          <w:lang w:val="en-US"/>
        </w:rPr>
        <w:fldChar w:fldCharType="end"/>
      </w:r>
    </w:p>
    <w:p w14:paraId="6F8E2D29">
      <w:pPr>
        <w:pStyle w:val="16"/>
        <w:tabs>
          <w:tab w:val="right" w:leader="dot" w:pos="8306"/>
        </w:tabs>
        <w:rPr>
          <w:sz w:val="28"/>
          <w:szCs w:val="28"/>
          <w:highlight w:val="none"/>
        </w:rPr>
      </w:pPr>
      <w:r>
        <w:rPr>
          <w:rFonts w:hint="eastAsia" w:ascii="宋体" w:hAnsi="宋体" w:eastAsia="宋体" w:cs="宋体"/>
          <w:sz w:val="28"/>
          <w:szCs w:val="28"/>
          <w:highlight w:val="none"/>
          <w:lang w:val="en-US"/>
        </w:rPr>
        <w:fldChar w:fldCharType="begin"/>
      </w:r>
      <w:r>
        <w:rPr>
          <w:rFonts w:hint="eastAsia" w:ascii="宋体" w:hAnsi="宋体" w:eastAsia="宋体" w:cs="宋体"/>
          <w:sz w:val="28"/>
          <w:szCs w:val="28"/>
          <w:highlight w:val="none"/>
          <w:lang w:val="en-US"/>
        </w:rPr>
        <w:instrText xml:space="preserve"> HYPERLINK \l _Toc17689 </w:instrText>
      </w:r>
      <w:r>
        <w:rPr>
          <w:rFonts w:hint="eastAsia" w:ascii="宋体" w:hAnsi="宋体" w:eastAsia="宋体" w:cs="宋体"/>
          <w:sz w:val="28"/>
          <w:szCs w:val="28"/>
          <w:highlight w:val="none"/>
          <w:lang w:val="en-US"/>
        </w:rPr>
        <w:fldChar w:fldCharType="separate"/>
      </w:r>
      <w:r>
        <w:rPr>
          <w:rFonts w:hint="eastAsia" w:ascii="宋体" w:hAnsi="宋体" w:eastAsia="宋体" w:cs="宋体"/>
          <w:bCs w:val="0"/>
          <w:sz w:val="28"/>
          <w:szCs w:val="28"/>
          <w:highlight w:val="none"/>
          <w:lang w:eastAsia="zh-CN"/>
        </w:rPr>
        <w:t>第三章</w:t>
      </w:r>
      <w:r>
        <w:rPr>
          <w:rFonts w:hint="eastAsia" w:ascii="宋体" w:hAnsi="宋体" w:eastAsia="宋体" w:cs="宋体"/>
          <w:bCs w:val="0"/>
          <w:sz w:val="28"/>
          <w:szCs w:val="28"/>
          <w:highlight w:val="none"/>
          <w:lang w:val="en-US"/>
        </w:rPr>
        <w:t xml:space="preserve">  </w:t>
      </w:r>
      <w:r>
        <w:rPr>
          <w:rFonts w:hint="eastAsia" w:ascii="宋体" w:hAnsi="宋体" w:eastAsia="宋体" w:cs="宋体"/>
          <w:bCs w:val="0"/>
          <w:sz w:val="28"/>
          <w:szCs w:val="28"/>
          <w:highlight w:val="none"/>
          <w:lang w:val="en-US" w:eastAsia="zh-CN"/>
        </w:rPr>
        <w:t>服务内容及要求</w:t>
      </w:r>
      <w:r>
        <w:rPr>
          <w:sz w:val="28"/>
          <w:szCs w:val="28"/>
          <w:highlight w:val="none"/>
        </w:rPr>
        <w:tab/>
      </w:r>
      <w:r>
        <w:rPr>
          <w:sz w:val="28"/>
          <w:szCs w:val="28"/>
          <w:highlight w:val="none"/>
        </w:rPr>
        <w:fldChar w:fldCharType="begin"/>
      </w:r>
      <w:r>
        <w:rPr>
          <w:sz w:val="28"/>
          <w:szCs w:val="28"/>
          <w:highlight w:val="none"/>
        </w:rPr>
        <w:instrText xml:space="preserve"> PAGEREF _Toc17689 \h </w:instrText>
      </w:r>
      <w:r>
        <w:rPr>
          <w:sz w:val="28"/>
          <w:szCs w:val="28"/>
          <w:highlight w:val="none"/>
        </w:rPr>
        <w:fldChar w:fldCharType="separate"/>
      </w:r>
      <w:r>
        <w:rPr>
          <w:sz w:val="28"/>
          <w:szCs w:val="28"/>
          <w:highlight w:val="none"/>
        </w:rPr>
        <w:t>26</w:t>
      </w:r>
      <w:r>
        <w:rPr>
          <w:sz w:val="28"/>
          <w:szCs w:val="28"/>
          <w:highlight w:val="none"/>
        </w:rPr>
        <w:fldChar w:fldCharType="end"/>
      </w:r>
      <w:r>
        <w:rPr>
          <w:rFonts w:hint="eastAsia" w:ascii="宋体" w:hAnsi="宋体" w:eastAsia="宋体" w:cs="宋体"/>
          <w:sz w:val="28"/>
          <w:szCs w:val="28"/>
          <w:highlight w:val="none"/>
          <w:lang w:val="en-US"/>
        </w:rPr>
        <w:fldChar w:fldCharType="end"/>
      </w:r>
    </w:p>
    <w:p w14:paraId="48B7F0F5">
      <w:pPr>
        <w:pStyle w:val="16"/>
        <w:tabs>
          <w:tab w:val="right" w:leader="dot" w:pos="8306"/>
        </w:tabs>
        <w:rPr>
          <w:sz w:val="28"/>
          <w:szCs w:val="28"/>
          <w:highlight w:val="none"/>
        </w:rPr>
      </w:pPr>
      <w:r>
        <w:rPr>
          <w:rFonts w:hint="eastAsia" w:ascii="宋体" w:hAnsi="宋体" w:eastAsia="宋体" w:cs="宋体"/>
          <w:sz w:val="28"/>
          <w:szCs w:val="28"/>
          <w:highlight w:val="none"/>
          <w:lang w:val="en-US"/>
        </w:rPr>
        <w:fldChar w:fldCharType="begin"/>
      </w:r>
      <w:r>
        <w:rPr>
          <w:rFonts w:hint="eastAsia" w:ascii="宋体" w:hAnsi="宋体" w:eastAsia="宋体" w:cs="宋体"/>
          <w:sz w:val="28"/>
          <w:szCs w:val="28"/>
          <w:highlight w:val="none"/>
          <w:lang w:val="en-US"/>
        </w:rPr>
        <w:instrText xml:space="preserve"> HYPERLINK \l _Toc22016 </w:instrText>
      </w:r>
      <w:r>
        <w:rPr>
          <w:rFonts w:hint="eastAsia" w:ascii="宋体" w:hAnsi="宋体" w:eastAsia="宋体" w:cs="宋体"/>
          <w:sz w:val="28"/>
          <w:szCs w:val="28"/>
          <w:highlight w:val="none"/>
          <w:lang w:val="en-US"/>
        </w:rPr>
        <w:fldChar w:fldCharType="separate"/>
      </w:r>
      <w:r>
        <w:rPr>
          <w:rFonts w:hint="eastAsia" w:ascii="宋体" w:hAnsi="宋体" w:eastAsia="宋体" w:cs="宋体"/>
          <w:bCs w:val="0"/>
          <w:sz w:val="28"/>
          <w:szCs w:val="28"/>
          <w:highlight w:val="none"/>
          <w:lang w:eastAsia="zh-CN"/>
        </w:rPr>
        <w:t>第四章</w:t>
      </w:r>
      <w:r>
        <w:rPr>
          <w:rFonts w:hint="eastAsia" w:ascii="宋体" w:hAnsi="宋体" w:eastAsia="宋体" w:cs="宋体"/>
          <w:bCs w:val="0"/>
          <w:sz w:val="28"/>
          <w:szCs w:val="28"/>
          <w:highlight w:val="none"/>
          <w:lang w:val="en-US" w:eastAsia="zh-CN"/>
        </w:rPr>
        <w:t xml:space="preserve">  </w:t>
      </w:r>
      <w:r>
        <w:rPr>
          <w:rFonts w:hint="eastAsia" w:ascii="宋体" w:hAnsi="宋体" w:eastAsia="宋体" w:cs="宋体"/>
          <w:bCs w:val="0"/>
          <w:sz w:val="28"/>
          <w:szCs w:val="28"/>
          <w:highlight w:val="none"/>
          <w:lang w:eastAsia="zh-CN"/>
        </w:rPr>
        <w:t>评标办法（综合评分法）</w:t>
      </w:r>
      <w:r>
        <w:rPr>
          <w:sz w:val="28"/>
          <w:szCs w:val="28"/>
          <w:highlight w:val="none"/>
        </w:rPr>
        <w:tab/>
      </w:r>
      <w:r>
        <w:rPr>
          <w:sz w:val="28"/>
          <w:szCs w:val="28"/>
          <w:highlight w:val="none"/>
        </w:rPr>
        <w:fldChar w:fldCharType="begin"/>
      </w:r>
      <w:r>
        <w:rPr>
          <w:sz w:val="28"/>
          <w:szCs w:val="28"/>
          <w:highlight w:val="none"/>
        </w:rPr>
        <w:instrText xml:space="preserve"> PAGEREF _Toc22016 \h </w:instrText>
      </w:r>
      <w:r>
        <w:rPr>
          <w:sz w:val="28"/>
          <w:szCs w:val="28"/>
          <w:highlight w:val="none"/>
        </w:rPr>
        <w:fldChar w:fldCharType="separate"/>
      </w:r>
      <w:r>
        <w:rPr>
          <w:sz w:val="28"/>
          <w:szCs w:val="28"/>
          <w:highlight w:val="none"/>
        </w:rPr>
        <w:t>72</w:t>
      </w:r>
      <w:r>
        <w:rPr>
          <w:sz w:val="28"/>
          <w:szCs w:val="28"/>
          <w:highlight w:val="none"/>
        </w:rPr>
        <w:fldChar w:fldCharType="end"/>
      </w:r>
      <w:r>
        <w:rPr>
          <w:rFonts w:hint="eastAsia" w:ascii="宋体" w:hAnsi="宋体" w:eastAsia="宋体" w:cs="宋体"/>
          <w:sz w:val="28"/>
          <w:szCs w:val="28"/>
          <w:highlight w:val="none"/>
          <w:lang w:val="en-US"/>
        </w:rPr>
        <w:fldChar w:fldCharType="end"/>
      </w:r>
    </w:p>
    <w:p w14:paraId="0AFC7462">
      <w:pPr>
        <w:pStyle w:val="16"/>
        <w:tabs>
          <w:tab w:val="right" w:leader="dot" w:pos="8306"/>
        </w:tabs>
        <w:rPr>
          <w:sz w:val="28"/>
          <w:szCs w:val="28"/>
          <w:highlight w:val="none"/>
        </w:rPr>
      </w:pPr>
      <w:r>
        <w:rPr>
          <w:rFonts w:hint="eastAsia" w:ascii="宋体" w:hAnsi="宋体" w:eastAsia="宋体" w:cs="宋体"/>
          <w:sz w:val="28"/>
          <w:szCs w:val="28"/>
          <w:highlight w:val="none"/>
          <w:lang w:val="en-US"/>
        </w:rPr>
        <w:fldChar w:fldCharType="begin"/>
      </w:r>
      <w:r>
        <w:rPr>
          <w:rFonts w:hint="eastAsia" w:ascii="宋体" w:hAnsi="宋体" w:eastAsia="宋体" w:cs="宋体"/>
          <w:sz w:val="28"/>
          <w:szCs w:val="28"/>
          <w:highlight w:val="none"/>
          <w:lang w:val="en-US"/>
        </w:rPr>
        <w:instrText xml:space="preserve"> HYPERLINK \l _Toc7658 </w:instrText>
      </w:r>
      <w:r>
        <w:rPr>
          <w:rFonts w:hint="eastAsia" w:ascii="宋体" w:hAnsi="宋体" w:eastAsia="宋体" w:cs="宋体"/>
          <w:sz w:val="28"/>
          <w:szCs w:val="28"/>
          <w:highlight w:val="none"/>
          <w:lang w:val="en-US"/>
        </w:rPr>
        <w:fldChar w:fldCharType="separate"/>
      </w:r>
      <w:r>
        <w:rPr>
          <w:rFonts w:hint="eastAsia" w:ascii="宋体" w:hAnsi="宋体" w:eastAsia="宋体" w:cs="宋体"/>
          <w:bCs w:val="0"/>
          <w:sz w:val="28"/>
          <w:szCs w:val="28"/>
          <w:highlight w:val="none"/>
          <w:lang w:val="en-US" w:eastAsia="zh-CN"/>
        </w:rPr>
        <w:t>第五章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_Toc7658 \h </w:instrText>
      </w:r>
      <w:r>
        <w:rPr>
          <w:sz w:val="28"/>
          <w:szCs w:val="28"/>
          <w:highlight w:val="none"/>
        </w:rPr>
        <w:fldChar w:fldCharType="separate"/>
      </w:r>
      <w:r>
        <w:rPr>
          <w:sz w:val="28"/>
          <w:szCs w:val="28"/>
          <w:highlight w:val="none"/>
        </w:rPr>
        <w:t>88</w:t>
      </w:r>
      <w:r>
        <w:rPr>
          <w:sz w:val="28"/>
          <w:szCs w:val="28"/>
          <w:highlight w:val="none"/>
        </w:rPr>
        <w:fldChar w:fldCharType="end"/>
      </w:r>
      <w:r>
        <w:rPr>
          <w:rFonts w:hint="eastAsia" w:ascii="宋体" w:hAnsi="宋体" w:eastAsia="宋体" w:cs="宋体"/>
          <w:sz w:val="28"/>
          <w:szCs w:val="28"/>
          <w:highlight w:val="none"/>
          <w:lang w:val="en-US"/>
        </w:rPr>
        <w:fldChar w:fldCharType="end"/>
      </w:r>
    </w:p>
    <w:p w14:paraId="6FAC5F9E">
      <w:pPr>
        <w:pStyle w:val="16"/>
        <w:tabs>
          <w:tab w:val="right" w:leader="dot" w:pos="8306"/>
        </w:tabs>
        <w:rPr>
          <w:sz w:val="28"/>
          <w:szCs w:val="28"/>
          <w:highlight w:val="none"/>
        </w:rPr>
      </w:pPr>
      <w:r>
        <w:rPr>
          <w:rFonts w:hint="eastAsia" w:ascii="宋体" w:hAnsi="宋体" w:eastAsia="宋体" w:cs="宋体"/>
          <w:sz w:val="28"/>
          <w:szCs w:val="28"/>
          <w:highlight w:val="none"/>
          <w:lang w:val="en-US"/>
        </w:rPr>
        <w:fldChar w:fldCharType="begin"/>
      </w:r>
      <w:r>
        <w:rPr>
          <w:rFonts w:hint="eastAsia" w:ascii="宋体" w:hAnsi="宋体" w:eastAsia="宋体" w:cs="宋体"/>
          <w:sz w:val="28"/>
          <w:szCs w:val="28"/>
          <w:highlight w:val="none"/>
          <w:lang w:val="en-US"/>
        </w:rPr>
        <w:instrText xml:space="preserve"> HYPERLINK \l _Toc32123 </w:instrText>
      </w:r>
      <w:r>
        <w:rPr>
          <w:rFonts w:hint="eastAsia" w:ascii="宋体" w:hAnsi="宋体" w:eastAsia="宋体" w:cs="宋体"/>
          <w:sz w:val="28"/>
          <w:szCs w:val="28"/>
          <w:highlight w:val="none"/>
          <w:lang w:val="en-US"/>
        </w:rPr>
        <w:fldChar w:fldCharType="separate"/>
      </w:r>
      <w:r>
        <w:rPr>
          <w:rFonts w:hint="eastAsia" w:ascii="宋体" w:hAnsi="宋体" w:eastAsia="宋体" w:cs="宋体"/>
          <w:sz w:val="28"/>
          <w:szCs w:val="28"/>
          <w:highlight w:val="none"/>
          <w:lang w:val="en-US" w:eastAsia="zh-CN"/>
        </w:rPr>
        <w:t>第</w:t>
      </w:r>
      <w:r>
        <w:rPr>
          <w:rFonts w:hint="eastAsia" w:cs="宋体"/>
          <w:sz w:val="28"/>
          <w:szCs w:val="28"/>
          <w:highlight w:val="none"/>
          <w:lang w:val="en-US" w:eastAsia="zh-CN"/>
        </w:rPr>
        <w:t>六</w:t>
      </w:r>
      <w:r>
        <w:rPr>
          <w:rFonts w:hint="eastAsia" w:ascii="宋体" w:hAnsi="宋体" w:eastAsia="宋体" w:cs="宋体"/>
          <w:sz w:val="28"/>
          <w:szCs w:val="28"/>
          <w:highlight w:val="none"/>
          <w:lang w:val="en-US" w:eastAsia="zh-CN"/>
        </w:rPr>
        <w:t>章  投标文件格式</w:t>
      </w:r>
      <w:r>
        <w:rPr>
          <w:sz w:val="28"/>
          <w:szCs w:val="28"/>
          <w:highlight w:val="none"/>
        </w:rPr>
        <w:tab/>
      </w:r>
      <w:r>
        <w:rPr>
          <w:sz w:val="28"/>
          <w:szCs w:val="28"/>
          <w:highlight w:val="none"/>
        </w:rPr>
        <w:fldChar w:fldCharType="begin"/>
      </w:r>
      <w:r>
        <w:rPr>
          <w:sz w:val="28"/>
          <w:szCs w:val="28"/>
          <w:highlight w:val="none"/>
        </w:rPr>
        <w:instrText xml:space="preserve"> PAGEREF _Toc32123 \h </w:instrText>
      </w:r>
      <w:r>
        <w:rPr>
          <w:sz w:val="28"/>
          <w:szCs w:val="28"/>
          <w:highlight w:val="none"/>
        </w:rPr>
        <w:fldChar w:fldCharType="separate"/>
      </w:r>
      <w:r>
        <w:rPr>
          <w:sz w:val="28"/>
          <w:szCs w:val="28"/>
          <w:highlight w:val="none"/>
        </w:rPr>
        <w:t>91</w:t>
      </w:r>
      <w:r>
        <w:rPr>
          <w:sz w:val="28"/>
          <w:szCs w:val="28"/>
          <w:highlight w:val="none"/>
        </w:rPr>
        <w:fldChar w:fldCharType="end"/>
      </w:r>
      <w:r>
        <w:rPr>
          <w:rFonts w:hint="eastAsia" w:ascii="宋体" w:hAnsi="宋体" w:eastAsia="宋体" w:cs="宋体"/>
          <w:sz w:val="28"/>
          <w:szCs w:val="28"/>
          <w:highlight w:val="none"/>
          <w:lang w:val="en-US"/>
        </w:rPr>
        <w:fldChar w:fldCharType="end"/>
      </w:r>
    </w:p>
    <w:p w14:paraId="470CD4C2">
      <w:pPr>
        <w:kinsoku/>
        <w:wordWrap/>
        <w:overflowPunct/>
        <w:bidi w:val="0"/>
        <w:spacing w:line="360" w:lineRule="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rPr>
        <w:fldChar w:fldCharType="end"/>
      </w:r>
      <w:r>
        <w:rPr>
          <w:rFonts w:hint="eastAsia" w:ascii="宋体" w:hAnsi="宋体" w:eastAsia="宋体" w:cs="宋体"/>
          <w:sz w:val="28"/>
          <w:szCs w:val="28"/>
          <w:highlight w:val="none"/>
          <w:lang w:val="en-US"/>
        </w:rPr>
        <w:br w:type="page"/>
      </w:r>
    </w:p>
    <w:p w14:paraId="3E03F308">
      <w:pPr>
        <w:keepNext w:val="0"/>
        <w:keepLines w:val="0"/>
        <w:pageBreakBefore/>
        <w:widowControl/>
        <w:suppressLineNumbers w:val="0"/>
        <w:kinsoku/>
        <w:wordWrap/>
        <w:overflowPunct/>
        <w:bidi w:val="0"/>
        <w:spacing w:before="0" w:beforeAutospacing="0" w:after="0" w:afterAutospacing="0" w:line="360" w:lineRule="auto"/>
        <w:ind w:left="0" w:right="0"/>
        <w:jc w:val="center"/>
        <w:outlineLvl w:val="0"/>
        <w:rPr>
          <w:rFonts w:hint="eastAsia" w:ascii="Times New Roman" w:hAnsi="Times New Roman" w:eastAsia="宋体" w:cs="Times New Roman"/>
          <w:b/>
          <w:bCs/>
          <w:kern w:val="44"/>
          <w:sz w:val="32"/>
          <w:szCs w:val="32"/>
          <w:highlight w:val="none"/>
          <w:lang w:val="en-US" w:eastAsia="zh-CN" w:bidi="ar"/>
        </w:rPr>
      </w:pPr>
      <w:bookmarkStart w:id="0" w:name="_Toc25274"/>
      <w:bookmarkStart w:id="1" w:name="_Toc29513"/>
      <w:bookmarkStart w:id="2" w:name="_Toc15223"/>
      <w:r>
        <w:rPr>
          <w:rFonts w:hint="eastAsia" w:ascii="Times New Roman" w:hAnsi="Times New Roman" w:eastAsia="宋体" w:cs="Times New Roman"/>
          <w:b/>
          <w:bCs/>
          <w:kern w:val="44"/>
          <w:sz w:val="32"/>
          <w:szCs w:val="32"/>
          <w:highlight w:val="none"/>
          <w:lang w:val="en-US" w:eastAsia="zh-CN" w:bidi="ar"/>
        </w:rPr>
        <w:t>第一章  招标公告</w:t>
      </w:r>
      <w:bookmarkEnd w:id="0"/>
      <w:bookmarkEnd w:id="1"/>
      <w:bookmarkEnd w:id="2"/>
    </w:p>
    <w:p w14:paraId="27BEC36E">
      <w:pPr>
        <w:keepNext w:val="0"/>
        <w:keepLines w:val="0"/>
        <w:pageBreakBefore w:val="0"/>
        <w:widowControl w:val="0"/>
        <w:kinsoku/>
        <w:overflowPunct/>
        <w:autoSpaceDE/>
        <w:autoSpaceDN/>
        <w:bidi w:val="0"/>
        <w:adjustRightInd/>
        <w:snapToGrid/>
        <w:spacing w:line="360" w:lineRule="auto"/>
        <w:ind w:firstLine="482"/>
        <w:jc w:val="both"/>
        <w:textAlignment w:val="auto"/>
        <w:rPr>
          <w:rFonts w:hint="eastAsia" w:ascii="宋体" w:hAnsi="宋体" w:eastAsia="宋体" w:cs="宋体"/>
          <w:b/>
          <w:bCs/>
          <w:sz w:val="24"/>
          <w:szCs w:val="24"/>
          <w:highlight w:val="none"/>
          <w:shd w:val="clear" w:color="auto" w:fill="FFFFFF"/>
          <w:lang w:bidi="ar"/>
        </w:rPr>
      </w:pPr>
      <w:bookmarkStart w:id="3" w:name="_Toc7264"/>
      <w:r>
        <w:rPr>
          <w:rFonts w:hint="eastAsia" w:ascii="宋体" w:hAnsi="宋体" w:eastAsia="宋体" w:cs="宋体"/>
          <w:b/>
          <w:bCs/>
          <w:sz w:val="24"/>
          <w:szCs w:val="24"/>
          <w:highlight w:val="none"/>
          <w:shd w:val="clear" w:color="auto" w:fill="FFFFFF"/>
          <w:lang w:bidi="ar"/>
        </w:rPr>
        <w:t>项目概况</w:t>
      </w:r>
    </w:p>
    <w:p w14:paraId="732EF154">
      <w:pPr>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u w:val="single"/>
          <w:shd w:val="clear" w:color="auto" w:fill="FFFFFF"/>
          <w:lang w:bidi="ar"/>
        </w:rPr>
        <w:t>三门峡市城区排水管网普查检测及GIS系统建设项目</w:t>
      </w:r>
      <w:r>
        <w:rPr>
          <w:rFonts w:hint="eastAsia" w:ascii="宋体" w:hAnsi="宋体" w:eastAsia="宋体" w:cs="宋体"/>
          <w:sz w:val="24"/>
          <w:szCs w:val="24"/>
          <w:highlight w:val="none"/>
          <w:shd w:val="clear" w:color="auto" w:fill="FFFFFF"/>
          <w:lang w:bidi="ar"/>
        </w:rPr>
        <w:t>的潜在</w:t>
      </w:r>
      <w:r>
        <w:rPr>
          <w:rFonts w:hint="eastAsia" w:ascii="宋体" w:hAnsi="宋体" w:eastAsia="宋体" w:cs="宋体"/>
          <w:sz w:val="24"/>
          <w:szCs w:val="24"/>
          <w:highlight w:val="none"/>
          <w:shd w:val="clear" w:color="auto" w:fill="FFFFFF"/>
          <w:lang w:eastAsia="zh-CN" w:bidi="ar"/>
        </w:rPr>
        <w:t>供应商</w:t>
      </w:r>
      <w:r>
        <w:rPr>
          <w:rFonts w:hint="eastAsia" w:ascii="宋体" w:hAnsi="宋体" w:eastAsia="宋体" w:cs="宋体"/>
          <w:sz w:val="24"/>
          <w:szCs w:val="24"/>
          <w:highlight w:val="none"/>
          <w:shd w:val="clear" w:color="auto" w:fill="FFFFFF"/>
          <w:lang w:bidi="ar"/>
        </w:rPr>
        <w:t>应在</w:t>
      </w:r>
      <w:r>
        <w:rPr>
          <w:rFonts w:hint="eastAsia" w:ascii="宋体" w:hAnsi="宋体" w:eastAsia="宋体" w:cs="宋体"/>
          <w:sz w:val="24"/>
          <w:szCs w:val="24"/>
          <w:highlight w:val="none"/>
          <w:u w:val="single"/>
          <w:shd w:val="clear" w:color="auto" w:fill="FFFFFF"/>
          <w:lang w:bidi="ar"/>
        </w:rPr>
        <w:t>三门峡市公共资源交易中心电子交易平台</w:t>
      </w:r>
      <w:r>
        <w:rPr>
          <w:rFonts w:hint="eastAsia" w:ascii="宋体" w:hAnsi="宋体" w:eastAsia="宋体" w:cs="宋体"/>
          <w:sz w:val="24"/>
          <w:szCs w:val="24"/>
          <w:highlight w:val="none"/>
          <w:shd w:val="clear" w:color="auto" w:fill="FFFFFF"/>
          <w:lang w:bidi="ar"/>
        </w:rPr>
        <w:t>获取招标文件，并于</w:t>
      </w:r>
      <w:r>
        <w:rPr>
          <w:rFonts w:hint="eastAsia" w:ascii="宋体" w:hAnsi="宋体" w:eastAsia="宋体" w:cs="宋体"/>
          <w:sz w:val="24"/>
          <w:szCs w:val="24"/>
          <w:highlight w:val="none"/>
          <w:u w:val="single"/>
          <w:shd w:val="clear" w:color="auto" w:fill="FFFFFF"/>
          <w:lang w:eastAsia="zh-CN" w:bidi="ar"/>
        </w:rPr>
        <w:t>2024年</w:t>
      </w:r>
      <w:r>
        <w:rPr>
          <w:rFonts w:hint="eastAsia" w:ascii="宋体" w:hAnsi="宋体" w:eastAsia="宋体" w:cs="宋体"/>
          <w:sz w:val="24"/>
          <w:szCs w:val="24"/>
          <w:highlight w:val="none"/>
          <w:u w:val="single"/>
          <w:shd w:val="clear" w:color="auto" w:fill="FFFFFF"/>
          <w:lang w:val="en-US" w:eastAsia="zh-CN" w:bidi="ar"/>
        </w:rPr>
        <w:t>10</w:t>
      </w:r>
      <w:r>
        <w:rPr>
          <w:rFonts w:hint="eastAsia" w:ascii="宋体" w:hAnsi="宋体" w:eastAsia="宋体" w:cs="宋体"/>
          <w:sz w:val="24"/>
          <w:szCs w:val="24"/>
          <w:highlight w:val="none"/>
          <w:u w:val="single"/>
          <w:shd w:val="clear" w:color="auto" w:fill="FFFFFF"/>
          <w:lang w:eastAsia="zh-CN" w:bidi="ar"/>
        </w:rPr>
        <w:t>月</w:t>
      </w:r>
      <w:r>
        <w:rPr>
          <w:rFonts w:hint="eastAsia" w:ascii="宋体" w:hAnsi="宋体" w:eastAsia="宋体" w:cs="宋体"/>
          <w:sz w:val="24"/>
          <w:szCs w:val="24"/>
          <w:highlight w:val="none"/>
          <w:u w:val="single"/>
          <w:shd w:val="clear" w:color="auto" w:fill="FFFFFF"/>
          <w:lang w:val="en-US" w:eastAsia="zh-CN" w:bidi="ar"/>
        </w:rPr>
        <w:t>09</w:t>
      </w:r>
      <w:r>
        <w:rPr>
          <w:rFonts w:hint="eastAsia" w:ascii="宋体" w:hAnsi="宋体" w:eastAsia="宋体" w:cs="宋体"/>
          <w:sz w:val="24"/>
          <w:szCs w:val="24"/>
          <w:highlight w:val="none"/>
          <w:u w:val="single"/>
          <w:shd w:val="clear" w:color="auto" w:fill="FFFFFF"/>
          <w:lang w:eastAsia="zh-CN" w:bidi="ar"/>
        </w:rPr>
        <w:t>日</w:t>
      </w:r>
      <w:r>
        <w:rPr>
          <w:rFonts w:hint="eastAsia" w:ascii="宋体" w:hAnsi="宋体" w:eastAsia="宋体" w:cs="宋体"/>
          <w:sz w:val="24"/>
          <w:szCs w:val="24"/>
          <w:highlight w:val="none"/>
          <w:u w:val="single"/>
          <w:shd w:val="clear" w:color="auto" w:fill="FFFFFF"/>
          <w:lang w:val="en-US" w:eastAsia="zh-CN" w:bidi="ar"/>
        </w:rPr>
        <w:t>08</w:t>
      </w:r>
      <w:r>
        <w:rPr>
          <w:rFonts w:hint="eastAsia" w:ascii="宋体" w:hAnsi="宋体" w:eastAsia="宋体" w:cs="宋体"/>
          <w:sz w:val="24"/>
          <w:szCs w:val="24"/>
          <w:highlight w:val="none"/>
          <w:u w:val="single"/>
          <w:shd w:val="clear" w:color="auto" w:fill="FFFFFF"/>
          <w:lang w:eastAsia="zh-CN" w:bidi="ar"/>
        </w:rPr>
        <w:t>时</w:t>
      </w:r>
      <w:r>
        <w:rPr>
          <w:rFonts w:hint="eastAsia" w:ascii="宋体" w:hAnsi="宋体" w:eastAsia="宋体" w:cs="宋体"/>
          <w:sz w:val="24"/>
          <w:szCs w:val="24"/>
          <w:highlight w:val="none"/>
          <w:u w:val="single"/>
          <w:shd w:val="clear" w:color="auto" w:fill="FFFFFF"/>
          <w:lang w:val="en-US" w:eastAsia="zh-CN" w:bidi="ar"/>
        </w:rPr>
        <w:t>30</w:t>
      </w:r>
      <w:r>
        <w:rPr>
          <w:rFonts w:hint="eastAsia" w:ascii="宋体" w:hAnsi="宋体" w:eastAsia="宋体" w:cs="宋体"/>
          <w:sz w:val="24"/>
          <w:szCs w:val="24"/>
          <w:highlight w:val="none"/>
          <w:u w:val="single"/>
          <w:shd w:val="clear" w:color="auto" w:fill="FFFFFF"/>
          <w:lang w:eastAsia="zh-CN" w:bidi="ar"/>
        </w:rPr>
        <w:t>分</w:t>
      </w:r>
      <w:r>
        <w:rPr>
          <w:rFonts w:hint="eastAsia" w:ascii="宋体" w:hAnsi="宋体" w:eastAsia="宋体" w:cs="宋体"/>
          <w:sz w:val="24"/>
          <w:szCs w:val="24"/>
          <w:highlight w:val="none"/>
          <w:shd w:val="clear" w:color="auto" w:fill="FFFFFF"/>
          <w:lang w:bidi="ar"/>
        </w:rPr>
        <w:t>（北京时间）前递交投标文件。</w:t>
      </w:r>
    </w:p>
    <w:p w14:paraId="7B5CD100">
      <w:pPr>
        <w:keepNext w:val="0"/>
        <w:keepLines w:val="0"/>
        <w:pageBreakBefore w:val="0"/>
        <w:widowControl w:val="0"/>
        <w:kinsoku/>
        <w:overflowPunct/>
        <w:autoSpaceDE/>
        <w:autoSpaceDN/>
        <w:bidi w:val="0"/>
        <w:adjustRightInd/>
        <w:snapToGrid/>
        <w:spacing w:line="360" w:lineRule="auto"/>
        <w:ind w:firstLine="482"/>
        <w:jc w:val="both"/>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一、项目基本情况</w:t>
      </w:r>
    </w:p>
    <w:p w14:paraId="5F4DC39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1、项目编号：SGZ[2024]431-ZC273、三财公开采购-2024-48</w:t>
      </w:r>
    </w:p>
    <w:p w14:paraId="598E4452">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2、项目名称：</w:t>
      </w:r>
      <w:r>
        <w:rPr>
          <w:rFonts w:hint="eastAsia" w:ascii="宋体" w:hAnsi="宋体" w:eastAsia="宋体" w:cs="宋体"/>
          <w:sz w:val="24"/>
          <w:szCs w:val="24"/>
          <w:highlight w:val="none"/>
          <w:shd w:val="clear" w:color="auto" w:fill="FFFFFF"/>
          <w:lang w:eastAsia="zh-CN" w:bidi="ar"/>
        </w:rPr>
        <w:t>三门峡市城区排水管网普查检测及GIS系统建设项目</w:t>
      </w:r>
    </w:p>
    <w:p w14:paraId="10A41A72">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3、采购方式：公开招标</w:t>
      </w:r>
    </w:p>
    <w:p w14:paraId="664AF3B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4、预算金额：</w:t>
      </w:r>
      <w:r>
        <w:rPr>
          <w:rFonts w:hint="eastAsia" w:ascii="宋体" w:hAnsi="宋体" w:eastAsia="宋体" w:cs="宋体"/>
          <w:sz w:val="24"/>
          <w:szCs w:val="24"/>
          <w:highlight w:val="none"/>
          <w:shd w:val="clear" w:color="auto" w:fill="FFFFFF"/>
          <w:lang w:eastAsia="zh-CN" w:bidi="ar"/>
        </w:rPr>
        <w:t>29225711.59</w:t>
      </w:r>
      <w:r>
        <w:rPr>
          <w:rFonts w:hint="eastAsia" w:ascii="宋体" w:hAnsi="宋体" w:eastAsia="宋体" w:cs="宋体"/>
          <w:sz w:val="24"/>
          <w:szCs w:val="24"/>
          <w:highlight w:val="none"/>
          <w:shd w:val="clear" w:color="auto" w:fill="FFFFFF"/>
          <w:lang w:bidi="ar"/>
        </w:rPr>
        <w:t>元；</w:t>
      </w:r>
    </w:p>
    <w:p w14:paraId="6EF71609">
      <w:pPr>
        <w:keepNext w:val="0"/>
        <w:keepLines w:val="0"/>
        <w:pageBreakBefore w:val="0"/>
        <w:widowControl w:val="0"/>
        <w:kinsoku/>
        <w:overflowPunct/>
        <w:autoSpaceDE/>
        <w:autoSpaceDN/>
        <w:bidi w:val="0"/>
        <w:adjustRightInd/>
        <w:snapToGrid/>
        <w:spacing w:line="360" w:lineRule="auto"/>
        <w:ind w:firstLine="787" w:firstLineChars="328"/>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最高限价：</w:t>
      </w:r>
      <w:r>
        <w:rPr>
          <w:rFonts w:hint="eastAsia" w:ascii="宋体" w:hAnsi="宋体" w:eastAsia="宋体" w:cs="宋体"/>
          <w:sz w:val="24"/>
          <w:szCs w:val="24"/>
          <w:highlight w:val="none"/>
          <w:shd w:val="clear" w:color="auto" w:fill="FFFFFF"/>
          <w:lang w:eastAsia="zh-CN" w:bidi="ar"/>
        </w:rPr>
        <w:t>29225711.59</w:t>
      </w:r>
      <w:r>
        <w:rPr>
          <w:rFonts w:hint="eastAsia" w:ascii="宋体" w:hAnsi="宋体" w:eastAsia="宋体" w:cs="宋体"/>
          <w:sz w:val="24"/>
          <w:szCs w:val="24"/>
          <w:highlight w:val="none"/>
          <w:shd w:val="clear" w:color="auto" w:fill="FFFFFF"/>
          <w:lang w:bidi="ar"/>
        </w:rPr>
        <w:t>元</w:t>
      </w:r>
    </w:p>
    <w:tbl>
      <w:tblPr>
        <w:tblStyle w:val="21"/>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54"/>
        <w:gridCol w:w="4097"/>
        <w:gridCol w:w="1695"/>
        <w:gridCol w:w="1695"/>
      </w:tblGrid>
      <w:tr w14:paraId="51CC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6" w:type="dxa"/>
            <w:noWrap w:val="0"/>
            <w:vAlign w:val="center"/>
          </w:tcPr>
          <w:p w14:paraId="177E3534">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4" w:type="dxa"/>
            <w:noWrap w:val="0"/>
            <w:vAlign w:val="center"/>
          </w:tcPr>
          <w:p w14:paraId="511D0340">
            <w:pPr>
              <w:keepNext w:val="0"/>
              <w:keepLines w:val="0"/>
              <w:pageBreakBefore w:val="0"/>
              <w:widowControl w:val="0"/>
              <w:kinsoku/>
              <w:overflowPunct/>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4097" w:type="dxa"/>
            <w:noWrap w:val="0"/>
            <w:vAlign w:val="center"/>
          </w:tcPr>
          <w:p w14:paraId="3C31CF47">
            <w:pPr>
              <w:keepNext w:val="0"/>
              <w:keepLines w:val="0"/>
              <w:pageBreakBefore w:val="0"/>
              <w:widowControl w:val="0"/>
              <w:kinsoku/>
              <w:overflowPunct/>
              <w:autoSpaceDE/>
              <w:autoSpaceDN/>
              <w:bidi w:val="0"/>
              <w:adjustRightInd/>
              <w:snapToGrid/>
              <w:spacing w:line="360" w:lineRule="auto"/>
              <w:ind w:left="48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包名称</w:t>
            </w:r>
          </w:p>
        </w:tc>
        <w:tc>
          <w:tcPr>
            <w:tcW w:w="1695" w:type="dxa"/>
            <w:noWrap w:val="0"/>
            <w:vAlign w:val="center"/>
          </w:tcPr>
          <w:p w14:paraId="5CA69094">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包预算（元）</w:t>
            </w:r>
          </w:p>
        </w:tc>
        <w:tc>
          <w:tcPr>
            <w:tcW w:w="1695" w:type="dxa"/>
            <w:noWrap w:val="0"/>
            <w:vAlign w:val="center"/>
          </w:tcPr>
          <w:p w14:paraId="070B137B">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包最高限</w:t>
            </w:r>
            <w:r>
              <w:rPr>
                <w:rFonts w:hint="eastAsia" w:ascii="宋体" w:hAnsi="宋体" w:eastAsia="宋体" w:cs="宋体"/>
                <w:sz w:val="24"/>
                <w:szCs w:val="24"/>
                <w:highlight w:val="none"/>
                <w:lang w:eastAsia="zh-CN"/>
              </w:rPr>
              <w:t>价</w:t>
            </w:r>
            <w:r>
              <w:rPr>
                <w:rFonts w:hint="eastAsia" w:ascii="宋体" w:hAnsi="宋体" w:eastAsia="宋体" w:cs="宋体"/>
                <w:sz w:val="24"/>
                <w:szCs w:val="24"/>
                <w:highlight w:val="none"/>
              </w:rPr>
              <w:t>（元）</w:t>
            </w:r>
          </w:p>
        </w:tc>
      </w:tr>
      <w:tr w14:paraId="742E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36" w:type="dxa"/>
            <w:noWrap w:val="0"/>
            <w:vAlign w:val="center"/>
          </w:tcPr>
          <w:p w14:paraId="080D3CE0">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4" w:type="dxa"/>
            <w:noWrap w:val="0"/>
            <w:vAlign w:val="center"/>
          </w:tcPr>
          <w:p w14:paraId="4FC71A89">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包1</w:t>
            </w:r>
          </w:p>
        </w:tc>
        <w:tc>
          <w:tcPr>
            <w:tcW w:w="4097" w:type="dxa"/>
            <w:noWrap w:val="0"/>
            <w:vAlign w:val="center"/>
          </w:tcPr>
          <w:p w14:paraId="5C8103AC">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shd w:val="clear" w:color="auto" w:fill="FFFFFF"/>
                <w:lang w:eastAsia="zh-CN" w:bidi="ar"/>
              </w:rPr>
              <w:t>三门峡市城区排水管网普查检测及GIS系统建设项目一标段</w:t>
            </w:r>
          </w:p>
        </w:tc>
        <w:tc>
          <w:tcPr>
            <w:tcW w:w="1695" w:type="dxa"/>
            <w:noWrap w:val="0"/>
            <w:vAlign w:val="center"/>
          </w:tcPr>
          <w:p w14:paraId="569B761D">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10305090.00</w:t>
            </w:r>
          </w:p>
        </w:tc>
        <w:tc>
          <w:tcPr>
            <w:tcW w:w="1695" w:type="dxa"/>
            <w:noWrap w:val="0"/>
            <w:vAlign w:val="center"/>
          </w:tcPr>
          <w:p w14:paraId="715A1452">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10305090.00</w:t>
            </w:r>
          </w:p>
        </w:tc>
      </w:tr>
      <w:tr w14:paraId="0786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36" w:type="dxa"/>
            <w:noWrap w:val="0"/>
            <w:vAlign w:val="center"/>
          </w:tcPr>
          <w:p w14:paraId="52992E85">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654" w:type="dxa"/>
            <w:noWrap w:val="0"/>
            <w:vAlign w:val="center"/>
          </w:tcPr>
          <w:p w14:paraId="41594731">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包2</w:t>
            </w:r>
          </w:p>
        </w:tc>
        <w:tc>
          <w:tcPr>
            <w:tcW w:w="4097" w:type="dxa"/>
            <w:noWrap w:val="0"/>
            <w:vAlign w:val="center"/>
          </w:tcPr>
          <w:p w14:paraId="3C716A77">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shd w:val="clear" w:color="auto" w:fill="FFFFFF"/>
                <w:lang w:eastAsia="zh-CN" w:bidi="ar"/>
              </w:rPr>
              <w:t>三门峡市城区排水管网普查检测及GIS系统建设项目二标段</w:t>
            </w:r>
          </w:p>
        </w:tc>
        <w:tc>
          <w:tcPr>
            <w:tcW w:w="1695" w:type="dxa"/>
            <w:noWrap w:val="0"/>
            <w:vAlign w:val="center"/>
          </w:tcPr>
          <w:p w14:paraId="2A46C471">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1346640.00</w:t>
            </w:r>
          </w:p>
        </w:tc>
        <w:tc>
          <w:tcPr>
            <w:tcW w:w="1695" w:type="dxa"/>
            <w:noWrap w:val="0"/>
            <w:vAlign w:val="center"/>
          </w:tcPr>
          <w:p w14:paraId="07ED5BFA">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1346640.00</w:t>
            </w:r>
          </w:p>
        </w:tc>
      </w:tr>
      <w:tr w14:paraId="0525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36" w:type="dxa"/>
            <w:noWrap w:val="0"/>
            <w:vAlign w:val="center"/>
          </w:tcPr>
          <w:p w14:paraId="2BAEFAEB">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654" w:type="dxa"/>
            <w:noWrap w:val="0"/>
            <w:vAlign w:val="center"/>
          </w:tcPr>
          <w:p w14:paraId="0B8DC527">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包3</w:t>
            </w:r>
          </w:p>
        </w:tc>
        <w:tc>
          <w:tcPr>
            <w:tcW w:w="4097" w:type="dxa"/>
            <w:noWrap w:val="0"/>
            <w:vAlign w:val="center"/>
          </w:tcPr>
          <w:p w14:paraId="09C82B22">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shd w:val="clear" w:color="auto" w:fill="FFFFFF"/>
                <w:lang w:eastAsia="zh-CN" w:bidi="ar"/>
              </w:rPr>
              <w:t>三门峡市城区排水管网普查检测及GIS系统建设项目三标段</w:t>
            </w:r>
          </w:p>
        </w:tc>
        <w:tc>
          <w:tcPr>
            <w:tcW w:w="1695" w:type="dxa"/>
            <w:noWrap w:val="0"/>
            <w:vAlign w:val="center"/>
          </w:tcPr>
          <w:p w14:paraId="18357EA7">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17573981.59</w:t>
            </w:r>
          </w:p>
        </w:tc>
        <w:tc>
          <w:tcPr>
            <w:tcW w:w="1695" w:type="dxa"/>
            <w:noWrap w:val="0"/>
            <w:vAlign w:val="center"/>
          </w:tcPr>
          <w:p w14:paraId="77BFB974">
            <w:pPr>
              <w:keepNext w:val="0"/>
              <w:keepLines w:val="0"/>
              <w:pageBreakBefore w:val="0"/>
              <w:widowControl w:val="0"/>
              <w:kinsoku/>
              <w:overflowPunct/>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17573981.59</w:t>
            </w:r>
          </w:p>
        </w:tc>
      </w:tr>
    </w:tbl>
    <w:p w14:paraId="09FBA6D0">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bidi="ar"/>
        </w:rPr>
        <w:t>5、采购需求</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包括但不限于标的的名称、数量、简要技术需求或服务要求等</w:t>
      </w:r>
      <w:r>
        <w:rPr>
          <w:rFonts w:hint="eastAsia" w:ascii="宋体" w:hAnsi="宋体" w:eastAsia="宋体" w:cs="宋体"/>
          <w:sz w:val="24"/>
          <w:szCs w:val="24"/>
          <w:highlight w:val="none"/>
          <w:shd w:val="clear" w:color="auto" w:fill="FFFFFF"/>
          <w:lang w:eastAsia="zh-CN" w:bidi="ar"/>
        </w:rPr>
        <w:t>）</w:t>
      </w:r>
    </w:p>
    <w:p w14:paraId="52A92A0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（1）</w:t>
      </w:r>
      <w:r>
        <w:rPr>
          <w:rFonts w:hint="eastAsia" w:ascii="宋体" w:hAnsi="宋体" w:eastAsia="宋体" w:cs="宋体"/>
          <w:sz w:val="24"/>
          <w:szCs w:val="24"/>
          <w:highlight w:val="none"/>
          <w:shd w:val="clear" w:color="auto" w:fill="FFFFFF"/>
          <w:lang w:eastAsia="zh-CN" w:bidi="ar"/>
        </w:rPr>
        <w:t>项目概况</w:t>
      </w:r>
      <w:r>
        <w:rPr>
          <w:rFonts w:hint="eastAsia" w:ascii="宋体" w:hAnsi="宋体" w:eastAsia="宋体" w:cs="宋体"/>
          <w:sz w:val="24"/>
          <w:szCs w:val="24"/>
          <w:highlight w:val="none"/>
          <w:shd w:val="clear" w:color="auto" w:fill="FFFFFF"/>
          <w:lang w:bidi="ar"/>
        </w:rPr>
        <w:t>：本项目建设内容包括</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资料收集与标准编制、排水管网排查</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城市道路地下病害体探测、整治方案建议及重点缺陷改造设计GIS系统及城市防汛</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排水防涝</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智慧管理平台建设等。通过排水管网排查</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包括排水管网详查与测绘、排水户、排水口、接入点、混接点、排放口及污水处理厂、排水系统调查等</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彻底摸清排水系统，通过排水管道检测与评估</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包括临时封堵、渡水、降排水、CCTV检测、出具检测报告</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摸清清管道及检查井缺陷通过对市政道路进行病害体检测</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包括机动车道、非机动车道与人行道</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，摸清影响道路安全使用的隐蔽性不良地质体，构建GIS系统与城市防汛</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排水防涝</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智慧管理平台，运用各类监测设备采集数据，归集相关部门数据，进行内涝仿真推演，通过感应、仿真、诊断、预警、调度、处置、控制、服务等手段，提升防汛指挥、应急资源调度的智慧化能力。</w:t>
      </w:r>
      <w:r>
        <w:rPr>
          <w:rFonts w:hint="eastAsia" w:ascii="宋体" w:hAnsi="宋体" w:eastAsia="宋体" w:cs="宋体"/>
          <w:sz w:val="24"/>
          <w:szCs w:val="24"/>
          <w:highlight w:val="none"/>
          <w:shd w:val="clear" w:color="auto" w:fill="FFFFFF"/>
          <w:lang w:eastAsia="zh-CN" w:bidi="ar"/>
        </w:rPr>
        <w:t>具体内容及要求详见招标文件。</w:t>
      </w:r>
    </w:p>
    <w:p w14:paraId="3D2C76B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（2）资金来源：</w:t>
      </w:r>
      <w:r>
        <w:rPr>
          <w:rFonts w:hint="eastAsia" w:ascii="宋体" w:hAnsi="宋体" w:eastAsia="宋体" w:cs="宋体"/>
          <w:sz w:val="24"/>
          <w:szCs w:val="24"/>
          <w:highlight w:val="none"/>
          <w:shd w:val="clear" w:color="auto" w:fill="FFFFFF"/>
          <w:lang w:eastAsia="zh-CN" w:bidi="ar"/>
        </w:rPr>
        <w:t>财政资金</w:t>
      </w:r>
      <w:r>
        <w:rPr>
          <w:rFonts w:hint="eastAsia" w:ascii="宋体" w:hAnsi="宋体" w:eastAsia="宋体" w:cs="宋体"/>
          <w:sz w:val="24"/>
          <w:szCs w:val="24"/>
          <w:highlight w:val="none"/>
          <w:shd w:val="clear" w:color="auto" w:fill="FFFFFF"/>
          <w:lang w:bidi="ar"/>
        </w:rPr>
        <w:t>。</w:t>
      </w:r>
    </w:p>
    <w:p w14:paraId="108460B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（3）标段划分：本项目划分为</w:t>
      </w:r>
      <w:r>
        <w:rPr>
          <w:rFonts w:hint="eastAsia" w:ascii="宋体" w:hAnsi="宋体" w:eastAsia="宋体" w:cs="宋体"/>
          <w:sz w:val="24"/>
          <w:szCs w:val="24"/>
          <w:highlight w:val="none"/>
          <w:shd w:val="clear" w:color="auto" w:fill="FFFFFF"/>
          <w:lang w:val="en-US" w:eastAsia="zh-CN" w:bidi="ar"/>
        </w:rPr>
        <w:t>三</w:t>
      </w:r>
      <w:r>
        <w:rPr>
          <w:rFonts w:hint="eastAsia" w:ascii="宋体" w:hAnsi="宋体" w:eastAsia="宋体" w:cs="宋体"/>
          <w:sz w:val="24"/>
          <w:szCs w:val="24"/>
          <w:highlight w:val="none"/>
          <w:shd w:val="clear" w:color="auto" w:fill="FFFFFF"/>
          <w:lang w:bidi="ar"/>
        </w:rPr>
        <w:t>个标段。</w:t>
      </w:r>
    </w:p>
    <w:p w14:paraId="3530E22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一标段：排水管线普查检测</w:t>
      </w:r>
    </w:p>
    <w:p w14:paraId="635E0F3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主要内容为：对三门峡市城区（包括湖滨区、经济开发区和现代服务业开发区）约381.67公里市政排水管网进进行排查，包括：排水管网详查与测绘、接入点调查、混接点调查、排水户调查、排水口与污水处理厂调查、排水系统模型构建；对约381.67公里市政排水管网进行电视CCTV检测，全面排查排水管线隐患；建立市政排水管网管理系统（GIS）。管线详查、各类调查及评估成果包括照片和视频数据要满足管道改造设计及城市防汛（排水防涝）智慧管理系统需求。</w:t>
      </w:r>
    </w:p>
    <w:p w14:paraId="08A3381D">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二标段：道路病害体检测</w:t>
      </w:r>
    </w:p>
    <w:p w14:paraId="7C73D250">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主要内容为：探测道路下方7m内基础中存在影响道路安全使用的隐蔽性不良地质体，并确定位置、大小及埋深，含三年技术指导与培训服务。</w:t>
      </w:r>
    </w:p>
    <w:p w14:paraId="20EF7A8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三标段：城市防汛（排水防涝）智慧管理平台</w:t>
      </w:r>
    </w:p>
    <w:p w14:paraId="624E45A6">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eastAsia="zh-CN" w:bidi="ar"/>
        </w:rPr>
        <w:t>主要内容为：河道水位感知设备、污水处理厂运行感知设备、污水泵站运行感知设备、雨污水管网感知设备、河道排口感知设备、易积水点感知设备、雨量感知设备、防汛车辆车载定位等硬件设备的购置；水力模型软件套装、数字孪生轻量化web端视图引擎、政务云服务器资源租赁、基于统一平台或云平台的软件开发、数据分析、加工及迁移等软件服务以及指挥中心建设等。</w:t>
      </w:r>
    </w:p>
    <w:p w14:paraId="2966674C">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（4）质量要求：符合国家、省、市现行相关规范、规程、规定、标准要求,确保数据完整性、一致性、规范性、准确性，并通过相关部门验收。</w:t>
      </w:r>
    </w:p>
    <w:p w14:paraId="4B5318A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eastAsia="zh-CN" w:bidi="ar"/>
        </w:rPr>
        <w:t>）实施地点：三门峡市城区。</w:t>
      </w:r>
    </w:p>
    <w:p w14:paraId="6EB8FF6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bidi="ar"/>
        </w:rPr>
        <w:t>6、合同履行期限（</w:t>
      </w:r>
      <w:r>
        <w:rPr>
          <w:rFonts w:hint="eastAsia" w:ascii="宋体" w:hAnsi="宋体" w:eastAsia="宋体" w:cs="宋体"/>
          <w:sz w:val="24"/>
          <w:szCs w:val="24"/>
          <w:highlight w:val="none"/>
          <w:shd w:val="clear" w:color="auto" w:fill="FFFFFF"/>
          <w:lang w:eastAsia="zh-CN" w:bidi="ar"/>
        </w:rPr>
        <w:t>服务期限</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合同签订后90日历天</w:t>
      </w:r>
      <w:r>
        <w:rPr>
          <w:rFonts w:hint="eastAsia" w:ascii="宋体" w:hAnsi="宋体" w:eastAsia="宋体" w:cs="宋体"/>
          <w:sz w:val="24"/>
          <w:szCs w:val="24"/>
          <w:highlight w:val="none"/>
          <w:shd w:val="clear" w:color="auto" w:fill="FFFFFF"/>
          <w:lang w:eastAsia="zh-CN" w:bidi="ar"/>
        </w:rPr>
        <w:t>。</w:t>
      </w:r>
    </w:p>
    <w:p w14:paraId="2739FFD1">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7、本项目是否接受联合体投标：否</w:t>
      </w:r>
    </w:p>
    <w:p w14:paraId="50EAA6C4">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8、是否接受进口产品：否</w:t>
      </w:r>
    </w:p>
    <w:p w14:paraId="2C42C68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9、是否专门面向中小企业：否</w:t>
      </w:r>
    </w:p>
    <w:p w14:paraId="159B0132">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bidi="ar"/>
        </w:rPr>
        <w:t>落实政府采购政策满足的资格要求：促进中小微企业、监狱企业及残疾人福利性单位发展扶持政策、政府强制采购节能产品强制采购、节能产品及环境标志产品优先采购。</w:t>
      </w:r>
    </w:p>
    <w:bookmarkEnd w:id="3"/>
    <w:p w14:paraId="2C415BB4">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b/>
          <w:bCs/>
          <w:sz w:val="24"/>
          <w:szCs w:val="24"/>
          <w:highlight w:val="none"/>
          <w:shd w:val="clear" w:color="auto" w:fill="FFFFFF"/>
          <w:lang w:val="en-US" w:bidi="ar"/>
        </w:rPr>
      </w:pPr>
      <w:bookmarkStart w:id="4" w:name="_Toc6583"/>
      <w:r>
        <w:rPr>
          <w:rFonts w:hint="eastAsia" w:ascii="宋体" w:hAnsi="宋体" w:eastAsia="宋体" w:cs="宋体"/>
          <w:b/>
          <w:bCs/>
          <w:sz w:val="24"/>
          <w:szCs w:val="24"/>
          <w:highlight w:val="none"/>
          <w:shd w:val="clear" w:color="auto" w:fill="FFFFFF"/>
          <w:lang w:val="en-US" w:eastAsia="zh-CN" w:bidi="ar"/>
        </w:rPr>
        <w:t>二、供应商资格要求</w:t>
      </w:r>
      <w:bookmarkEnd w:id="4"/>
    </w:p>
    <w:p w14:paraId="2A634DD6">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供应商参加本次政府采购活动必须符合《中华人民共和国政府采购法》第二十二条的规定并同时具备下列条件：</w:t>
      </w:r>
    </w:p>
    <w:p w14:paraId="3A73326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1、供应商应具有合法有效的营业执照；</w:t>
      </w:r>
    </w:p>
    <w:p w14:paraId="253ADA3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2、一标段：</w:t>
      </w:r>
    </w:p>
    <w:p w14:paraId="2BD5C41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供应商须具有国家行政主管部门颁发的工程勘察综合类甲级资质证书，并同时具有甲级测绘资质证书（专业范围须包含工程测量、地理信息系统工程）；</w:t>
      </w:r>
    </w:p>
    <w:p w14:paraId="69AD6FB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二标段：</w:t>
      </w:r>
    </w:p>
    <w:p w14:paraId="33E278AA">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供应商须具有国家行政主管部门颁发的乙级测绘资质证书及以上资质；</w:t>
      </w:r>
    </w:p>
    <w:p w14:paraId="075CE2A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bookmarkStart w:id="5" w:name="_Toc27079"/>
      <w:r>
        <w:rPr>
          <w:rFonts w:hint="eastAsia" w:ascii="宋体" w:hAnsi="宋体" w:eastAsia="宋体" w:cs="宋体"/>
          <w:sz w:val="24"/>
          <w:szCs w:val="24"/>
          <w:highlight w:val="none"/>
          <w:shd w:val="clear" w:color="auto" w:fill="FFFFFF"/>
          <w:lang w:val="en-US" w:eastAsia="zh-CN" w:bidi="ar"/>
        </w:rPr>
        <w:t>3、一标段：</w:t>
      </w:r>
    </w:p>
    <w:p w14:paraId="0899EBB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拟参加本项目的项目负责人须具备相关专业高级及以上(含高级)工程师职称证，且为本单位在职人员（</w:t>
      </w:r>
      <w:r>
        <w:rPr>
          <w:rFonts w:hint="eastAsia" w:ascii="宋体" w:hAnsi="宋体" w:eastAsia="宋体" w:cs="宋体"/>
          <w:sz w:val="24"/>
          <w:szCs w:val="24"/>
          <w:highlight w:val="none"/>
        </w:rPr>
        <w:t>提供证书扫描件以及养老保险缴费部门出具的在本单位缴纳的职工基本养老保险证明</w:t>
      </w:r>
      <w:r>
        <w:rPr>
          <w:rFonts w:hint="eastAsia" w:ascii="宋体" w:hAnsi="宋体" w:eastAsia="宋体" w:cs="宋体"/>
          <w:sz w:val="24"/>
          <w:szCs w:val="24"/>
          <w:highlight w:val="none"/>
          <w:shd w:val="clear" w:color="auto" w:fill="FFFFFF"/>
          <w:lang w:val="en-US" w:eastAsia="zh-CN" w:bidi="ar"/>
        </w:rPr>
        <w:t>）；</w:t>
      </w:r>
    </w:p>
    <w:p w14:paraId="5149FF54">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二标段：</w:t>
      </w:r>
    </w:p>
    <w:p w14:paraId="027855FE">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拟参加本项目的项目负责人须具备相关专业中级及以上(含中级)工程师职称证，且为本单位在职人员（</w:t>
      </w:r>
      <w:r>
        <w:rPr>
          <w:rFonts w:hint="eastAsia" w:ascii="宋体" w:hAnsi="宋体" w:eastAsia="宋体" w:cs="宋体"/>
          <w:sz w:val="24"/>
          <w:szCs w:val="24"/>
          <w:highlight w:val="none"/>
        </w:rPr>
        <w:t>提供证书扫描件以及养老保险缴费部门出具的在本单位缴纳的职工基本养老保险证明</w:t>
      </w:r>
      <w:r>
        <w:rPr>
          <w:rFonts w:hint="eastAsia" w:ascii="宋体" w:hAnsi="宋体" w:eastAsia="宋体" w:cs="宋体"/>
          <w:sz w:val="24"/>
          <w:szCs w:val="24"/>
          <w:highlight w:val="none"/>
          <w:shd w:val="clear" w:color="auto" w:fill="FFFFFF"/>
          <w:lang w:val="en-US" w:eastAsia="zh-CN" w:bidi="ar"/>
        </w:rPr>
        <w:t>）；</w:t>
      </w:r>
    </w:p>
    <w:p w14:paraId="1BD030A0">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三标段：</w:t>
      </w:r>
    </w:p>
    <w:p w14:paraId="5FF8528C">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highlight w:val="none"/>
          <w:lang w:val="en-US" w:eastAsia="zh-CN"/>
        </w:rPr>
      </w:pPr>
      <w:r>
        <w:rPr>
          <w:rFonts w:hint="eastAsia" w:ascii="宋体" w:hAnsi="宋体" w:eastAsia="宋体" w:cs="宋体"/>
          <w:sz w:val="24"/>
          <w:szCs w:val="24"/>
          <w:highlight w:val="none"/>
          <w:lang w:val="en-US" w:eastAsia="zh-CN"/>
        </w:rPr>
        <w:t>拟参加本项目的项目负责人须具备相关专业中级及以上（含中级）工程师职称证，且为本单位在职人员（</w:t>
      </w:r>
      <w:r>
        <w:rPr>
          <w:rFonts w:hint="eastAsia" w:ascii="宋体" w:hAnsi="宋体" w:eastAsia="宋体" w:cs="宋体"/>
          <w:sz w:val="24"/>
          <w:szCs w:val="24"/>
          <w:highlight w:val="none"/>
        </w:rPr>
        <w:t>提供证书扫描件以及养老保险缴费部门出具的在本单位缴纳的职工基本养老保险证明</w:t>
      </w:r>
      <w:r>
        <w:rPr>
          <w:rFonts w:hint="eastAsia" w:ascii="宋体" w:hAnsi="宋体" w:eastAsia="宋体" w:cs="宋体"/>
          <w:sz w:val="24"/>
          <w:szCs w:val="24"/>
          <w:highlight w:val="none"/>
          <w:lang w:val="en-US" w:eastAsia="zh-CN"/>
        </w:rPr>
        <w:t>）。</w:t>
      </w:r>
    </w:p>
    <w:bookmarkEnd w:id="5"/>
    <w:p w14:paraId="0717DD9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4、供应商具有良好的商业信誉和健全的财务会计制度：提供2023年度经会计师事务所审计的财务审计报告；新成立的单位不能够提供财务审计报告的，投标供应商提供基本开户银行出具的资信证明</w:t>
      </w:r>
      <w:r>
        <w:rPr>
          <w:rFonts w:hint="eastAsia" w:ascii="宋体" w:hAnsi="宋体" w:eastAsia="宋体" w:cs="宋体"/>
          <w:sz w:val="24"/>
          <w:szCs w:val="24"/>
          <w:highlight w:val="none"/>
          <w:shd w:val="clear" w:color="auto" w:fill="FFFFFF"/>
          <w:lang w:bidi="ar"/>
        </w:rPr>
        <w:t>；</w:t>
      </w:r>
    </w:p>
    <w:p w14:paraId="3E24AD9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5、供应商具有有依法缴纳税收和社会保险的良好记录：提供2024年1月1日以来任意连续三个月的税收和社保缴纳证明，成立不足三个月的提供自成立日以来的依法缴纳税收和社会保险的证明；依法免税和免缴纳社会保障金的须提供依法免缴纳证明；</w:t>
      </w:r>
    </w:p>
    <w:p w14:paraId="1D6E44C1">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6、参加政府采购活动前3年内无行贿犯罪记录、商业贿赂、不正当竞争行为、骗取中标、严重违约及重大工程质量等问题；供应商出具无行贿犯罪记录，在中国裁判文书网自行查询或自行承诺（查询/承诺对象为企业、法定代表人、项目负责人）（查询日期必须在公告发布之日之后）；供应商出具本企业无商业贿赂和不正当竞争行为承诺书，格式自拟；</w:t>
      </w:r>
    </w:p>
    <w:p w14:paraId="0378D84E">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bidi="ar"/>
        </w:rPr>
      </w:pPr>
      <w:r>
        <w:rPr>
          <w:rFonts w:hint="eastAsia" w:ascii="宋体" w:hAnsi="宋体" w:eastAsia="宋体" w:cs="宋体"/>
          <w:sz w:val="24"/>
          <w:szCs w:val="24"/>
          <w:highlight w:val="none"/>
          <w:shd w:val="clear" w:color="auto" w:fill="FFFFFF"/>
          <w:lang w:val="en-US" w:eastAsia="zh-CN" w:bidi="ar"/>
        </w:rPr>
        <w:t>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①失信被执行人查询渠道：通过“信用中国”网站（http://www.creditchina.gov.cn/）“信用服务”-“失信被执行人”会跳转至“中国执行信息公开网”网站（http://zxgk.court.gov.cn/shixin/）查询企业（省份默认全部）；②重大税收违法失信主体查询渠道：“信用中国”网站（http://www.creditchina.gov.cn/）；③政府采购严重违法失信行为记录名单查询渠道：中国政府采购网（www.ccgp.gov.cn）】提供网站的查询结果截图，截图要显示查询时间，查询时间自公告发出之日起）；</w:t>
      </w:r>
    </w:p>
    <w:p w14:paraId="774ACD2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bidi="ar"/>
        </w:rPr>
      </w:pPr>
      <w:r>
        <w:rPr>
          <w:rFonts w:hint="eastAsia" w:ascii="宋体" w:hAnsi="宋体" w:eastAsia="宋体" w:cs="宋体"/>
          <w:sz w:val="24"/>
          <w:szCs w:val="24"/>
          <w:highlight w:val="none"/>
          <w:shd w:val="clear" w:color="auto" w:fill="FFFFFF"/>
          <w:lang w:val="en-US" w:eastAsia="zh-CN" w:bidi="ar"/>
        </w:rPr>
        <w:t>8、本项目不接受联合体投标；</w:t>
      </w:r>
    </w:p>
    <w:p w14:paraId="1E25E18C">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bidi="ar"/>
        </w:rPr>
      </w:pPr>
      <w:r>
        <w:rPr>
          <w:rFonts w:hint="eastAsia" w:ascii="宋体" w:hAnsi="宋体" w:eastAsia="宋体" w:cs="宋体"/>
          <w:sz w:val="24"/>
          <w:szCs w:val="24"/>
          <w:highlight w:val="none"/>
          <w:shd w:val="clear" w:color="auto" w:fill="FFFFFF"/>
          <w:lang w:val="en-US" w:eastAsia="zh-CN" w:bidi="ar"/>
        </w:rPr>
        <w:t>9、本次招标实行资格后审，资格审查的具体要求见招标文件。</w:t>
      </w:r>
    </w:p>
    <w:p w14:paraId="3BAD8CF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bookmarkStart w:id="6" w:name="_Toc17064"/>
      <w:r>
        <w:rPr>
          <w:rFonts w:hint="eastAsia" w:ascii="宋体" w:hAnsi="宋体" w:eastAsia="宋体" w:cs="宋体"/>
          <w:sz w:val="24"/>
          <w:szCs w:val="24"/>
          <w:highlight w:val="none"/>
          <w:shd w:val="clear" w:color="auto" w:fill="FFFFFF"/>
          <w:lang w:val="en-US" w:eastAsia="zh-CN" w:bidi="ar"/>
        </w:rPr>
        <w:t>注：</w:t>
      </w:r>
    </w:p>
    <w:p w14:paraId="14832A9B">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1、同一投标供应商可投报多个标段，但只能中一个标段。如果某一中标候选人在此项目中的多个标段中均排名第一，按标段排序的先后排序，取排序最靠前的一个标段为该投标供应商的中标候选项目，其它标段的候选人按排名次序递补；</w:t>
      </w:r>
    </w:p>
    <w:p w14:paraId="03A0220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2、被列入失信被执行人及重大税收违法失信主体的企业做无效标处理。采购人或招标代理机构有权对投标供应商信用记录进行甄别和复查。</w:t>
      </w:r>
    </w:p>
    <w:bookmarkEnd w:id="6"/>
    <w:p w14:paraId="576EC59B">
      <w:pPr>
        <w:keepNext w:val="0"/>
        <w:keepLines w:val="0"/>
        <w:pageBreakBefore w:val="0"/>
        <w:widowControl w:val="0"/>
        <w:kinsoku/>
        <w:overflowPunct/>
        <w:autoSpaceDE/>
        <w:autoSpaceDN/>
        <w:bidi w:val="0"/>
        <w:adjustRightInd/>
        <w:snapToGrid/>
        <w:spacing w:line="360" w:lineRule="auto"/>
        <w:ind w:firstLine="482"/>
        <w:jc w:val="both"/>
        <w:textAlignment w:val="auto"/>
        <w:rPr>
          <w:rFonts w:hint="eastAsia" w:ascii="宋体" w:hAnsi="宋体" w:eastAsia="宋体" w:cs="宋体"/>
          <w:b/>
          <w:bCs/>
          <w:sz w:val="24"/>
          <w:szCs w:val="24"/>
          <w:highlight w:val="none"/>
          <w:shd w:val="clear" w:color="auto" w:fill="FFFFFF"/>
          <w:lang w:bidi="ar"/>
        </w:rPr>
      </w:pPr>
      <w:bookmarkStart w:id="7" w:name="_Toc23048"/>
      <w:r>
        <w:rPr>
          <w:rFonts w:hint="eastAsia" w:ascii="宋体" w:hAnsi="宋体" w:eastAsia="宋体" w:cs="宋体"/>
          <w:b/>
          <w:bCs/>
          <w:sz w:val="24"/>
          <w:szCs w:val="24"/>
          <w:highlight w:val="none"/>
          <w:shd w:val="clear" w:color="auto" w:fill="FFFFFF"/>
          <w:lang w:bidi="ar"/>
        </w:rPr>
        <w:t>三、获取招标文件</w:t>
      </w:r>
    </w:p>
    <w:p w14:paraId="08D2EDF5">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时间：</w:t>
      </w:r>
      <w:r>
        <w:rPr>
          <w:rFonts w:hint="eastAsia" w:ascii="宋体" w:hAnsi="宋体" w:eastAsia="宋体" w:cs="宋体"/>
          <w:sz w:val="24"/>
          <w:szCs w:val="24"/>
          <w:highlight w:val="none"/>
          <w:shd w:val="clear" w:color="auto" w:fill="FFFFFF"/>
          <w:lang w:eastAsia="zh-CN" w:bidi="ar"/>
        </w:rPr>
        <w:t>2024年</w:t>
      </w:r>
      <w:r>
        <w:rPr>
          <w:rFonts w:hint="eastAsia" w:ascii="宋体" w:hAnsi="宋体" w:eastAsia="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eastAsia="zh-CN" w:bidi="ar"/>
        </w:rPr>
        <w:t>月</w:t>
      </w:r>
      <w:r>
        <w:rPr>
          <w:rFonts w:hint="eastAsia" w:ascii="宋体" w:hAnsi="宋体" w:eastAsia="宋体" w:cs="宋体"/>
          <w:sz w:val="24"/>
          <w:szCs w:val="24"/>
          <w:highlight w:val="none"/>
          <w:shd w:val="clear" w:color="auto" w:fill="FFFFFF"/>
          <w:lang w:val="en-US" w:eastAsia="zh-CN" w:bidi="ar"/>
        </w:rPr>
        <w:t>15</w:t>
      </w:r>
      <w:r>
        <w:rPr>
          <w:rFonts w:hint="eastAsia" w:ascii="宋体" w:hAnsi="宋体" w:eastAsia="宋体" w:cs="宋体"/>
          <w:sz w:val="24"/>
          <w:szCs w:val="24"/>
          <w:highlight w:val="none"/>
          <w:shd w:val="clear" w:color="auto" w:fill="FFFFFF"/>
          <w:lang w:eastAsia="zh-CN" w:bidi="ar"/>
        </w:rPr>
        <w:t>日至2024年</w:t>
      </w: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eastAsia="zh-CN" w:bidi="ar"/>
        </w:rPr>
        <w:t>月</w:t>
      </w:r>
      <w:r>
        <w:rPr>
          <w:rFonts w:hint="eastAsia" w:ascii="宋体" w:hAnsi="宋体" w:eastAsia="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eastAsia="zh-CN" w:bidi="ar"/>
        </w:rPr>
        <w:t>日</w:t>
      </w:r>
      <w:r>
        <w:rPr>
          <w:rFonts w:hint="eastAsia" w:ascii="宋体" w:hAnsi="宋体" w:eastAsia="宋体" w:cs="宋体"/>
          <w:sz w:val="24"/>
          <w:szCs w:val="24"/>
          <w:highlight w:val="none"/>
          <w:shd w:val="clear" w:color="auto" w:fill="FFFFFF"/>
          <w:lang w:val="en-US" w:eastAsia="zh-CN" w:bidi="ar"/>
        </w:rPr>
        <w:t>08</w:t>
      </w:r>
      <w:r>
        <w:rPr>
          <w:rFonts w:hint="eastAsia" w:ascii="宋体" w:hAnsi="宋体" w:eastAsia="宋体" w:cs="宋体"/>
          <w:sz w:val="24"/>
          <w:szCs w:val="24"/>
          <w:highlight w:val="none"/>
          <w:shd w:val="clear" w:color="auto" w:fill="FFFFFF"/>
          <w:lang w:eastAsia="zh-CN" w:bidi="ar"/>
        </w:rPr>
        <w:t>时</w:t>
      </w:r>
      <w:r>
        <w:rPr>
          <w:rFonts w:hint="eastAsia" w:ascii="宋体" w:hAnsi="宋体" w:eastAsia="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eastAsia="zh-CN" w:bidi="ar"/>
        </w:rPr>
        <w:t>分</w:t>
      </w:r>
      <w:r>
        <w:rPr>
          <w:rFonts w:hint="eastAsia" w:ascii="宋体" w:hAnsi="宋体" w:eastAsia="宋体" w:cs="宋体"/>
          <w:sz w:val="24"/>
          <w:szCs w:val="24"/>
          <w:highlight w:val="none"/>
          <w:shd w:val="clear" w:color="auto" w:fill="FFFFFF"/>
          <w:lang w:bidi="ar"/>
        </w:rPr>
        <w:t>（北京时间）</w:t>
      </w:r>
    </w:p>
    <w:p w14:paraId="22DA43CD">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地点：三门峡市公共资源交易中心电子交易平台</w:t>
      </w:r>
    </w:p>
    <w:p w14:paraId="7AB35557">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方式：供应商凭CA数字证书通过三门峡市公共资源交易中心网（网址：</w:t>
      </w:r>
      <w:r>
        <w:rPr>
          <w:rFonts w:hint="eastAsia" w:ascii="宋体" w:hAnsi="宋体" w:eastAsia="宋体" w:cs="宋体"/>
          <w:sz w:val="24"/>
          <w:szCs w:val="24"/>
          <w:highlight w:val="none"/>
          <w:shd w:val="clear" w:color="auto" w:fill="FFFFFF"/>
          <w:lang w:eastAsia="zh-CN" w:bidi="ar"/>
        </w:rPr>
        <w:t>http://gzjy.smx.gov.cn/</w:t>
      </w:r>
      <w:r>
        <w:rPr>
          <w:rFonts w:hint="eastAsia" w:ascii="宋体" w:hAnsi="宋体" w:eastAsia="宋体" w:cs="宋体"/>
          <w:sz w:val="24"/>
          <w:szCs w:val="24"/>
          <w:highlight w:val="none"/>
          <w:shd w:val="clear" w:color="auto" w:fill="FFFFFF"/>
          <w:lang w:bidi="ar"/>
        </w:rPr>
        <w:t>），点击交易平台选择“市场主体登录”，在所参与项目右侧点击参与投标，即可直接下载本项目招标文件。</w:t>
      </w:r>
    </w:p>
    <w:p w14:paraId="181EC9F1">
      <w:pPr>
        <w:keepNext w:val="0"/>
        <w:keepLines w:val="0"/>
        <w:pageBreakBefore w:val="0"/>
        <w:widowControl w:val="0"/>
        <w:kinsoku/>
        <w:wordWrap w:val="0"/>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办理CA证书：http://gzjy.smx.gov.cn/bzzx/008001/20231102/4defc9b5-408e-47f2-9e9f-1f376a06ee1f.html</w:t>
      </w:r>
    </w:p>
    <w:p w14:paraId="20DE984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4</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售价：0元</w:t>
      </w:r>
    </w:p>
    <w:p w14:paraId="233FEEEE">
      <w:pPr>
        <w:keepNext w:val="0"/>
        <w:keepLines w:val="0"/>
        <w:pageBreakBefore w:val="0"/>
        <w:widowControl w:val="0"/>
        <w:kinsoku/>
        <w:overflowPunct/>
        <w:autoSpaceDE/>
        <w:autoSpaceDN/>
        <w:bidi w:val="0"/>
        <w:adjustRightInd/>
        <w:snapToGrid/>
        <w:spacing w:line="360" w:lineRule="auto"/>
        <w:ind w:firstLine="482"/>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四、投标截止时间及地点</w:t>
      </w:r>
    </w:p>
    <w:p w14:paraId="1F90D7FD">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1.时间：</w:t>
      </w:r>
      <w:r>
        <w:rPr>
          <w:rFonts w:hint="eastAsia" w:ascii="宋体" w:hAnsi="宋体" w:eastAsia="宋体" w:cs="宋体"/>
          <w:sz w:val="24"/>
          <w:szCs w:val="24"/>
          <w:highlight w:val="none"/>
          <w:shd w:val="clear" w:color="auto" w:fill="FFFFFF"/>
          <w:lang w:eastAsia="zh-CN" w:bidi="ar"/>
        </w:rPr>
        <w:t>2024年</w:t>
      </w: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eastAsia="zh-CN" w:bidi="ar"/>
        </w:rPr>
        <w:t>月</w:t>
      </w:r>
      <w:r>
        <w:rPr>
          <w:rFonts w:hint="eastAsia" w:ascii="宋体" w:hAnsi="宋体" w:eastAsia="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eastAsia="zh-CN" w:bidi="ar"/>
        </w:rPr>
        <w:t>日</w:t>
      </w:r>
      <w:r>
        <w:rPr>
          <w:rFonts w:hint="eastAsia" w:ascii="宋体" w:hAnsi="宋体" w:eastAsia="宋体" w:cs="宋体"/>
          <w:sz w:val="24"/>
          <w:szCs w:val="24"/>
          <w:highlight w:val="none"/>
          <w:shd w:val="clear" w:color="auto" w:fill="FFFFFF"/>
          <w:lang w:val="en-US" w:eastAsia="zh-CN" w:bidi="ar"/>
        </w:rPr>
        <w:t>08</w:t>
      </w:r>
      <w:r>
        <w:rPr>
          <w:rFonts w:hint="eastAsia" w:ascii="宋体" w:hAnsi="宋体" w:eastAsia="宋体" w:cs="宋体"/>
          <w:sz w:val="24"/>
          <w:szCs w:val="24"/>
          <w:highlight w:val="none"/>
          <w:shd w:val="clear" w:color="auto" w:fill="FFFFFF"/>
          <w:lang w:eastAsia="zh-CN" w:bidi="ar"/>
        </w:rPr>
        <w:t>时</w:t>
      </w:r>
      <w:r>
        <w:rPr>
          <w:rFonts w:hint="eastAsia" w:ascii="宋体" w:hAnsi="宋体" w:eastAsia="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eastAsia="zh-CN" w:bidi="ar"/>
        </w:rPr>
        <w:t>分</w:t>
      </w:r>
      <w:r>
        <w:rPr>
          <w:rFonts w:hint="eastAsia" w:ascii="宋体" w:hAnsi="宋体" w:eastAsia="宋体" w:cs="宋体"/>
          <w:sz w:val="24"/>
          <w:szCs w:val="24"/>
          <w:highlight w:val="none"/>
          <w:shd w:val="clear" w:color="auto" w:fill="FFFFFF"/>
          <w:lang w:bidi="ar"/>
        </w:rPr>
        <w:t>（北京时间）</w:t>
      </w:r>
    </w:p>
    <w:p w14:paraId="28CB1F0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2.地点：加密电子投标文件须在投标截止时间前通过三门峡市公共资源交易中心电子交易平台加密上传。逾期上传的或者未上传指定地点的投标文件，采购人不予受理。</w:t>
      </w:r>
    </w:p>
    <w:p w14:paraId="25ADEA8F">
      <w:pPr>
        <w:keepNext w:val="0"/>
        <w:keepLines w:val="0"/>
        <w:pageBreakBefore w:val="0"/>
        <w:widowControl w:val="0"/>
        <w:kinsoku/>
        <w:overflowPunct/>
        <w:autoSpaceDE/>
        <w:autoSpaceDN/>
        <w:bidi w:val="0"/>
        <w:adjustRightInd/>
        <w:snapToGrid/>
        <w:spacing w:line="360" w:lineRule="auto"/>
        <w:ind w:firstLine="482"/>
        <w:jc w:val="both"/>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五、开标时间及地点</w:t>
      </w:r>
    </w:p>
    <w:p w14:paraId="6923DAB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1.时间：</w:t>
      </w:r>
      <w:r>
        <w:rPr>
          <w:rFonts w:hint="eastAsia" w:ascii="宋体" w:hAnsi="宋体" w:eastAsia="宋体" w:cs="宋体"/>
          <w:sz w:val="24"/>
          <w:szCs w:val="24"/>
          <w:highlight w:val="none"/>
          <w:shd w:val="clear" w:color="auto" w:fill="FFFFFF"/>
          <w:lang w:eastAsia="zh-CN" w:bidi="ar"/>
        </w:rPr>
        <w:t>2024年</w:t>
      </w: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eastAsia="zh-CN" w:bidi="ar"/>
        </w:rPr>
        <w:t>月</w:t>
      </w:r>
      <w:r>
        <w:rPr>
          <w:rFonts w:hint="eastAsia" w:ascii="宋体" w:hAnsi="宋体" w:eastAsia="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eastAsia="zh-CN" w:bidi="ar"/>
        </w:rPr>
        <w:t>日</w:t>
      </w:r>
      <w:r>
        <w:rPr>
          <w:rFonts w:hint="eastAsia" w:ascii="宋体" w:hAnsi="宋体" w:eastAsia="宋体" w:cs="宋体"/>
          <w:sz w:val="24"/>
          <w:szCs w:val="24"/>
          <w:highlight w:val="none"/>
          <w:shd w:val="clear" w:color="auto" w:fill="FFFFFF"/>
          <w:lang w:val="en-US" w:eastAsia="zh-CN" w:bidi="ar"/>
        </w:rPr>
        <w:t>08</w:t>
      </w:r>
      <w:r>
        <w:rPr>
          <w:rFonts w:hint="eastAsia" w:ascii="宋体" w:hAnsi="宋体" w:eastAsia="宋体" w:cs="宋体"/>
          <w:sz w:val="24"/>
          <w:szCs w:val="24"/>
          <w:highlight w:val="none"/>
          <w:shd w:val="clear" w:color="auto" w:fill="FFFFFF"/>
          <w:lang w:eastAsia="zh-CN" w:bidi="ar"/>
        </w:rPr>
        <w:t>时</w:t>
      </w:r>
      <w:r>
        <w:rPr>
          <w:rFonts w:hint="eastAsia" w:ascii="宋体" w:hAnsi="宋体" w:eastAsia="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eastAsia="zh-CN" w:bidi="ar"/>
        </w:rPr>
        <w:t>分</w:t>
      </w:r>
      <w:r>
        <w:rPr>
          <w:rFonts w:hint="eastAsia" w:ascii="宋体" w:hAnsi="宋体" w:eastAsia="宋体" w:cs="宋体"/>
          <w:sz w:val="24"/>
          <w:szCs w:val="24"/>
          <w:highlight w:val="none"/>
          <w:shd w:val="clear" w:color="auto" w:fill="FFFFFF"/>
          <w:lang w:bidi="ar"/>
        </w:rPr>
        <w:t>（北京时间）</w:t>
      </w:r>
    </w:p>
    <w:p w14:paraId="5F295DD0">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2.地点：三门峡市公共资源交易中心五楼开标区</w:t>
      </w:r>
    </w:p>
    <w:p w14:paraId="1A8BAC5C">
      <w:pPr>
        <w:keepNext w:val="0"/>
        <w:keepLines w:val="0"/>
        <w:pageBreakBefore w:val="0"/>
        <w:widowControl w:val="0"/>
        <w:kinsoku/>
        <w:overflowPunct/>
        <w:autoSpaceDE/>
        <w:autoSpaceDN/>
        <w:bidi w:val="0"/>
        <w:adjustRightInd/>
        <w:snapToGrid/>
        <w:spacing w:line="360" w:lineRule="auto"/>
        <w:ind w:firstLine="484" w:firstLineChars="201"/>
        <w:jc w:val="both"/>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六、发布公告的媒介</w:t>
      </w:r>
    </w:p>
    <w:p w14:paraId="0142790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本次招标公告在《河南省政府采购网》、《三门峡市公共资源交易中心网》、《中国招标投标公共服务平台》等媒体上发布。</w:t>
      </w:r>
    </w:p>
    <w:p w14:paraId="2163F9DF">
      <w:pPr>
        <w:keepNext w:val="0"/>
        <w:keepLines w:val="0"/>
        <w:pageBreakBefore w:val="0"/>
        <w:widowControl w:val="0"/>
        <w:kinsoku/>
        <w:overflowPunct/>
        <w:autoSpaceDE/>
        <w:autoSpaceDN/>
        <w:bidi w:val="0"/>
        <w:adjustRightInd/>
        <w:snapToGrid/>
        <w:spacing w:line="360" w:lineRule="auto"/>
        <w:ind w:firstLine="482"/>
        <w:jc w:val="both"/>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七、其他补充事宜</w:t>
      </w:r>
    </w:p>
    <w:p w14:paraId="52FB52D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根据《河南省财政厅关于优化政府采购营商环境有关问题的通知》（豫财购【2019】4号）第6条的规定，投标保证金不再收取。</w:t>
      </w:r>
    </w:p>
    <w:p w14:paraId="7500BCEB">
      <w:pPr>
        <w:keepNext w:val="0"/>
        <w:keepLines w:val="0"/>
        <w:pageBreakBefore w:val="0"/>
        <w:widowControl w:val="0"/>
        <w:kinsoku/>
        <w:wordWrap w:val="0"/>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本项目为不见面开标项目，开标当日，供应商无需到开标现场参加开标会议，供应商应当在投标截止时间前，登陆不见面开标大厅选择登陆三门峡市公共资源电子招投标系统进行登陆（网址为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4"/>
          <w:highlight w:val="none"/>
          <w:shd w:val="clear" w:color="auto" w:fill="FFFFFF"/>
          <w:lang w:eastAsia="zh-CN" w:bidi="ar"/>
        </w:rPr>
        <w:t>http://120.194.249.36:10094/BidOpening/bidopeninghallaction/hall/login</w:t>
      </w:r>
      <w:r>
        <w:rPr>
          <w:rFonts w:hint="eastAsia" w:ascii="宋体" w:hAnsi="宋体" w:eastAsia="宋体" w:cs="宋体"/>
          <w:sz w:val="24"/>
          <w:szCs w:val="24"/>
          <w:highlight w:val="none"/>
          <w:shd w:val="clear" w:color="auto" w:fill="FFFFFF"/>
          <w:lang w:bidi="ar"/>
        </w:rPr>
        <w:t>）,在线准时参加开标活动并进行投标文件解密等。每位供应商的解密时间为开标时间起30分钟内完成。因供应商原因未能解密、解密失败或解密超时的将被拒绝。</w:t>
      </w:r>
    </w:p>
    <w:p w14:paraId="6C7A17CC">
      <w:pPr>
        <w:keepNext w:val="0"/>
        <w:keepLines w:val="0"/>
        <w:pageBreakBefore w:val="0"/>
        <w:widowControl w:val="0"/>
        <w:kinsoku/>
        <w:overflowPunct/>
        <w:autoSpaceDE/>
        <w:autoSpaceDN/>
        <w:bidi w:val="0"/>
        <w:adjustRightInd/>
        <w:snapToGrid/>
        <w:spacing w:line="360" w:lineRule="auto"/>
        <w:ind w:firstLine="480"/>
        <w:textAlignment w:val="auto"/>
        <w:rPr>
          <w:rFonts w:hint="eastAsia" w:ascii="宋体" w:hAnsi="宋体" w:eastAsia="宋体" w:cs="宋体"/>
          <w:sz w:val="24"/>
          <w:szCs w:val="24"/>
          <w:highlight w:val="none"/>
        </w:rPr>
      </w:pPr>
      <w:bookmarkStart w:id="8" w:name="_Toc24954"/>
      <w:bookmarkStart w:id="9" w:name="_Toc15134"/>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本项目实行资格后审，评审中资格审查、评审打分以投标文件为准，其上传资料真实性由供应商自行承担，同时，供应商要完善主体库。</w:t>
      </w:r>
      <w:bookmarkEnd w:id="8"/>
      <w:bookmarkEnd w:id="9"/>
    </w:p>
    <w:p w14:paraId="3D81489C">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4</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本项目为电子化、无纸化交易项目，开标时不再接受任何纸质资料，为保证您能投标成功，请需仔细阅读招标文件和三门峡市公共资源交易中心官网业务办理指南。</w:t>
      </w:r>
    </w:p>
    <w:p w14:paraId="015B3F81">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5</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根据优化营商环境的要求，评标时以投标文件为准：</w:t>
      </w:r>
    </w:p>
    <w:p w14:paraId="51607C15">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（1）资格评（预）审部分：资格评（预）以投标文件为准，其上传资料真实性由供应商自行承担，同时，供应商要完善主体库。</w:t>
      </w:r>
    </w:p>
    <w:p w14:paraId="7C9C6BB7">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（2）评标打分部分：评标打分部分仍按照100分制原则进行，涉及到资格审查、企业荣誉、人员业绩、企业业绩等计分部分时，以投标单位自行上传到投标文件中的相应内容为准。</w:t>
      </w:r>
    </w:p>
    <w:p w14:paraId="5D52E57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投标文件编制部分：在投标文件中要求供应商按照投标文件格式进行投标文件编制，在投标文件编制时，应明确将投标单位企业基本情况、资质情况、人员情况、财务情况、业绩情况编入投标文件，便于进行资格审查及评标打分。</w:t>
      </w:r>
    </w:p>
    <w:p w14:paraId="1FF83DA2">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6</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投标所发生的一切费用由各供应商自行承担，并承担相应的风险和责任。</w:t>
      </w:r>
    </w:p>
    <w:p w14:paraId="02DDE3E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7</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我单位（采购人）严格按三财购（2021）9号文要求的时限发布结果公告，发出成交通知书，签订采购合同，上传采购合同。</w:t>
      </w:r>
    </w:p>
    <w:bookmarkEnd w:id="7"/>
    <w:p w14:paraId="40FAACF6">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kern w:val="0"/>
          <w:sz w:val="24"/>
          <w:szCs w:val="24"/>
          <w:highlight w:val="none"/>
          <w:lang w:val="en-US"/>
        </w:rPr>
      </w:pPr>
      <w:r>
        <w:rPr>
          <w:rFonts w:hint="eastAsia" w:ascii="宋体" w:hAnsi="宋体" w:eastAsia="宋体" w:cs="宋体"/>
          <w:b/>
          <w:bCs/>
          <w:sz w:val="24"/>
          <w:szCs w:val="24"/>
          <w:highlight w:val="none"/>
          <w:shd w:val="clear" w:color="auto" w:fill="FFFFFF"/>
          <w:lang w:bidi="ar"/>
        </w:rPr>
        <w:t>八、凡对本次招标提出询问，请按照以下方式联系</w:t>
      </w:r>
    </w:p>
    <w:p w14:paraId="40588D5C">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0" w:name="_Toc25646"/>
      <w:bookmarkStart w:id="11" w:name="_Toc454959323"/>
      <w:r>
        <w:rPr>
          <w:rFonts w:hint="eastAsia" w:ascii="宋体" w:hAnsi="宋体" w:eastAsia="宋体" w:cs="宋体"/>
          <w:sz w:val="24"/>
          <w:szCs w:val="24"/>
          <w:highlight w:val="none"/>
          <w:shd w:val="clear" w:color="auto" w:fill="FFFFFF"/>
          <w:lang w:bidi="ar"/>
        </w:rPr>
        <w:t>1</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监督单位信息</w:t>
      </w:r>
    </w:p>
    <w:p w14:paraId="787CA63D">
      <w:pPr>
        <w:keepNext w:val="0"/>
        <w:keepLines w:val="0"/>
        <w:pageBreakBefore w:val="0"/>
        <w:widowControl w:val="0"/>
        <w:kinsoku/>
        <w:wordWrap/>
        <w:overflow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监督单位：三门峡市财政局政府采购监督管理科</w:t>
      </w:r>
    </w:p>
    <w:p w14:paraId="2973BFF7">
      <w:pPr>
        <w:keepNext w:val="0"/>
        <w:keepLines w:val="0"/>
        <w:pageBreakBefore w:val="0"/>
        <w:widowControl w:val="0"/>
        <w:kinsoku/>
        <w:wordWrap/>
        <w:overflow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联系电话：0398-2608915</w:t>
      </w:r>
    </w:p>
    <w:p w14:paraId="0E804847">
      <w:pPr>
        <w:keepNext w:val="0"/>
        <w:keepLines w:val="0"/>
        <w:pageBreakBefore w:val="0"/>
        <w:widowControl w:val="0"/>
        <w:kinsoku/>
        <w:wordWrap/>
        <w:overflow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采购人信息</w:t>
      </w:r>
    </w:p>
    <w:p w14:paraId="746A78B1">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三门峡市城市建设发展服务中心</w:t>
      </w:r>
    </w:p>
    <w:p w14:paraId="5F8E1089">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石先生</w:t>
      </w:r>
    </w:p>
    <w:p w14:paraId="10AD9D7B">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18939056630</w:t>
      </w:r>
    </w:p>
    <w:p w14:paraId="6A7B7722">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地址：三门峡市湖滨区召公路西段</w:t>
      </w:r>
    </w:p>
    <w:p w14:paraId="00A9457D">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shd w:val="clear" w:color="auto" w:fill="FFFFFF"/>
          <w:lang w:bidi="ar"/>
        </w:rPr>
        <w:t>采购代理机构信息</w:t>
      </w:r>
    </w:p>
    <w:p w14:paraId="31BA3FE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代理机构：河南霸营建设管理有限公司</w:t>
      </w:r>
    </w:p>
    <w:p w14:paraId="648818C4">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联系人：杨先生</w:t>
      </w:r>
    </w:p>
    <w:p w14:paraId="7EA4A24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联系</w:t>
      </w:r>
      <w:r>
        <w:rPr>
          <w:rFonts w:hint="eastAsia" w:ascii="宋体" w:hAnsi="宋体" w:eastAsia="宋体" w:cs="宋体"/>
          <w:sz w:val="24"/>
          <w:szCs w:val="24"/>
          <w:highlight w:val="none"/>
        </w:rPr>
        <w:t>电话：13419811003</w:t>
      </w:r>
    </w:p>
    <w:p w14:paraId="79928142">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地址：三门峡市湖滨区虢国西路海洋世纪城11号楼602室（海洋SOHO公寓）</w:t>
      </w:r>
    </w:p>
    <w:p w14:paraId="38EC4C4B">
      <w:pPr>
        <w:keepNext w:val="0"/>
        <w:keepLines w:val="0"/>
        <w:pageBreakBefore w:val="0"/>
        <w:widowControl w:val="0"/>
        <w:kinsoku/>
        <w:wordWrap/>
        <w:overflowPunct/>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4</w:t>
      </w:r>
      <w:r>
        <w:rPr>
          <w:rFonts w:hint="eastAsia" w:ascii="宋体" w:hAnsi="宋体" w:eastAsia="宋体" w:cs="宋体"/>
          <w:sz w:val="24"/>
          <w:szCs w:val="24"/>
          <w:highlight w:val="none"/>
          <w:shd w:val="clear" w:color="auto" w:fill="FFFFFF"/>
          <w:lang w:bidi="ar"/>
        </w:rPr>
        <w:t>.项目联系方式</w:t>
      </w:r>
    </w:p>
    <w:p w14:paraId="73BB3AC3">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联系人：杨先生</w:t>
      </w:r>
    </w:p>
    <w:p w14:paraId="3E434BCF">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联系</w:t>
      </w:r>
      <w:r>
        <w:rPr>
          <w:rFonts w:hint="eastAsia" w:ascii="宋体" w:hAnsi="宋体" w:eastAsia="宋体" w:cs="宋体"/>
          <w:sz w:val="24"/>
          <w:szCs w:val="24"/>
          <w:highlight w:val="none"/>
        </w:rPr>
        <w:t>电话：13419811003</w:t>
      </w:r>
    </w:p>
    <w:p w14:paraId="1AEEF777">
      <w:pPr>
        <w:kinsoku/>
        <w:wordWrap/>
        <w:overflowPunct/>
        <w:bidi w:val="0"/>
        <w:spacing w:line="360" w:lineRule="auto"/>
        <w:rPr>
          <w:sz w:val="24"/>
          <w:szCs w:val="24"/>
          <w:highlight w:val="none"/>
          <w:lang w:val="en-US"/>
        </w:rPr>
      </w:pPr>
      <w:r>
        <w:rPr>
          <w:sz w:val="24"/>
          <w:szCs w:val="24"/>
          <w:highlight w:val="none"/>
          <w:lang w:val="en-US"/>
        </w:rPr>
        <w:br w:type="page"/>
      </w:r>
    </w:p>
    <w:p w14:paraId="5D0D8063">
      <w:pPr>
        <w:keepNext w:val="0"/>
        <w:keepLines w:val="0"/>
        <w:pageBreakBefore/>
        <w:widowControl/>
        <w:suppressLineNumbers w:val="0"/>
        <w:kinsoku/>
        <w:wordWrap/>
        <w:overflowPunct/>
        <w:bidi w:val="0"/>
        <w:spacing w:before="0" w:beforeAutospacing="0" w:after="0" w:afterAutospacing="0" w:line="360" w:lineRule="auto"/>
        <w:ind w:left="0" w:right="0"/>
        <w:jc w:val="center"/>
        <w:outlineLvl w:val="0"/>
        <w:rPr>
          <w:b/>
          <w:bCs/>
          <w:kern w:val="44"/>
          <w:sz w:val="32"/>
          <w:szCs w:val="32"/>
          <w:highlight w:val="none"/>
          <w:lang w:val="en-US"/>
        </w:rPr>
      </w:pPr>
      <w:bookmarkStart w:id="12" w:name="_Toc16734"/>
      <w:bookmarkStart w:id="13" w:name="_Toc13888"/>
      <w:r>
        <w:rPr>
          <w:rFonts w:hint="eastAsia" w:ascii="Times New Roman" w:hAnsi="Times New Roman" w:eastAsia="宋体" w:cs="宋体"/>
          <w:b/>
          <w:bCs/>
          <w:kern w:val="44"/>
          <w:sz w:val="32"/>
          <w:szCs w:val="32"/>
          <w:highlight w:val="none"/>
          <w:lang w:val="en-US" w:eastAsia="zh-CN" w:bidi="ar"/>
        </w:rPr>
        <w:t>第二章</w:t>
      </w:r>
      <w:r>
        <w:rPr>
          <w:rFonts w:hint="default" w:ascii="Times New Roman" w:hAnsi="Times New Roman" w:eastAsia="宋体" w:cs="Times New Roman"/>
          <w:b/>
          <w:bCs/>
          <w:kern w:val="44"/>
          <w:sz w:val="32"/>
          <w:szCs w:val="32"/>
          <w:highlight w:val="none"/>
          <w:lang w:val="en-US" w:eastAsia="zh-CN" w:bidi="ar"/>
        </w:rPr>
        <w:t xml:space="preserve">  </w:t>
      </w:r>
      <w:r>
        <w:rPr>
          <w:rFonts w:hint="eastAsia" w:ascii="Times New Roman" w:hAnsi="Times New Roman" w:eastAsia="宋体" w:cs="宋体"/>
          <w:b/>
          <w:bCs/>
          <w:kern w:val="44"/>
          <w:sz w:val="32"/>
          <w:szCs w:val="32"/>
          <w:highlight w:val="none"/>
          <w:lang w:val="en-US" w:eastAsia="zh-CN" w:bidi="ar"/>
        </w:rPr>
        <w:t>供应商须知</w:t>
      </w:r>
      <w:bookmarkEnd w:id="10"/>
      <w:bookmarkEnd w:id="11"/>
      <w:bookmarkEnd w:id="12"/>
      <w:bookmarkEnd w:id="13"/>
    </w:p>
    <w:p w14:paraId="44EB249D">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供应商须知前附表</w:t>
      </w:r>
    </w:p>
    <w:tbl>
      <w:tblPr>
        <w:tblStyle w:val="21"/>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268"/>
        <w:gridCol w:w="6036"/>
      </w:tblGrid>
      <w:tr w14:paraId="39A6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3" w:type="dxa"/>
            <w:noWrap w:val="0"/>
            <w:vAlign w:val="center"/>
          </w:tcPr>
          <w:p w14:paraId="18E3208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4"/>
                <w:szCs w:val="24"/>
                <w:highlight w:val="none"/>
                <w:shd w:val="clear" w:color="auto" w:fill="FFFFFF"/>
                <w:lang w:bidi="ar"/>
              </w:rPr>
            </w:pPr>
            <w:bookmarkStart w:id="14" w:name="_Toc8275"/>
            <w:bookmarkStart w:id="15" w:name="_Toc18862"/>
            <w:bookmarkStart w:id="16" w:name="_Toc229994178"/>
            <w:bookmarkStart w:id="17" w:name="_Toc426985616"/>
            <w:bookmarkStart w:id="18" w:name="_Toc448502174"/>
            <w:r>
              <w:rPr>
                <w:rFonts w:hint="eastAsia" w:ascii="宋体" w:hAnsi="宋体" w:eastAsia="宋体" w:cs="宋体"/>
                <w:b/>
                <w:bCs/>
                <w:sz w:val="24"/>
                <w:szCs w:val="24"/>
                <w:highlight w:val="none"/>
                <w:shd w:val="clear" w:color="auto" w:fill="FFFFFF"/>
                <w:lang w:bidi="ar"/>
              </w:rPr>
              <w:t>序号</w:t>
            </w:r>
          </w:p>
        </w:tc>
        <w:tc>
          <w:tcPr>
            <w:tcW w:w="2268" w:type="dxa"/>
            <w:noWrap w:val="0"/>
            <w:vAlign w:val="center"/>
          </w:tcPr>
          <w:p w14:paraId="6AC67B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名 称</w:t>
            </w:r>
          </w:p>
        </w:tc>
        <w:tc>
          <w:tcPr>
            <w:tcW w:w="6036" w:type="dxa"/>
            <w:noWrap w:val="0"/>
            <w:vAlign w:val="center"/>
          </w:tcPr>
          <w:p w14:paraId="586AA5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内 容</w:t>
            </w:r>
          </w:p>
        </w:tc>
      </w:tr>
      <w:tr w14:paraId="46C6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0831AA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w:t>
            </w:r>
          </w:p>
        </w:tc>
        <w:tc>
          <w:tcPr>
            <w:tcW w:w="2268" w:type="dxa"/>
            <w:noWrap w:val="0"/>
            <w:vAlign w:val="center"/>
          </w:tcPr>
          <w:p w14:paraId="03B79D7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采购人</w:t>
            </w:r>
          </w:p>
        </w:tc>
        <w:tc>
          <w:tcPr>
            <w:tcW w:w="6036" w:type="dxa"/>
            <w:noWrap w:val="0"/>
            <w:vAlign w:val="top"/>
          </w:tcPr>
          <w:p w14:paraId="4D728F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采购人：三门峡市城市建设发展服务中心</w:t>
            </w:r>
          </w:p>
          <w:p w14:paraId="092C1A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eastAsia="zh-CN" w:bidi="ar"/>
              </w:rPr>
              <w:t>石先生</w:t>
            </w:r>
          </w:p>
          <w:p w14:paraId="3296242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联系电话：18939056630</w:t>
            </w:r>
          </w:p>
          <w:p w14:paraId="6C1FDE1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地址：三门峡市湖滨区召公路西段</w:t>
            </w:r>
          </w:p>
        </w:tc>
      </w:tr>
      <w:tr w14:paraId="5A54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0CF2EDB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w:t>
            </w:r>
          </w:p>
        </w:tc>
        <w:tc>
          <w:tcPr>
            <w:tcW w:w="2268" w:type="dxa"/>
            <w:noWrap w:val="0"/>
            <w:vAlign w:val="center"/>
          </w:tcPr>
          <w:p w14:paraId="088094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采购代理机构</w:t>
            </w:r>
          </w:p>
        </w:tc>
        <w:tc>
          <w:tcPr>
            <w:tcW w:w="6036" w:type="dxa"/>
            <w:noWrap w:val="0"/>
            <w:vAlign w:val="top"/>
          </w:tcPr>
          <w:p w14:paraId="6F1ACB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采购代理机构：河南霸营建设管理有限公司</w:t>
            </w:r>
          </w:p>
          <w:p w14:paraId="0FFEE2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联系人：杨先生</w:t>
            </w:r>
          </w:p>
          <w:p w14:paraId="68566E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联系电话：13419811003</w:t>
            </w:r>
          </w:p>
          <w:p w14:paraId="2703558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地址：三门峡市湖滨区虢国西路海洋世纪城11号楼602室（海洋SOHO公寓）</w:t>
            </w:r>
          </w:p>
        </w:tc>
      </w:tr>
      <w:tr w14:paraId="109E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77343B4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w:t>
            </w:r>
          </w:p>
        </w:tc>
        <w:tc>
          <w:tcPr>
            <w:tcW w:w="2268" w:type="dxa"/>
            <w:noWrap w:val="0"/>
            <w:vAlign w:val="center"/>
          </w:tcPr>
          <w:p w14:paraId="5ECC6D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shd w:val="clear" w:color="auto" w:fill="FFFFFF"/>
                <w:lang w:bidi="ar"/>
              </w:rPr>
            </w:pPr>
            <w:r>
              <w:rPr>
                <w:rFonts w:hint="eastAsia" w:ascii="宋体" w:hAnsi="宋体" w:eastAsia="宋体" w:cs="宋体"/>
                <w:color w:val="000000"/>
                <w:sz w:val="24"/>
                <w:szCs w:val="24"/>
                <w:highlight w:val="none"/>
                <w:shd w:val="clear" w:color="auto" w:fill="FFFFFF"/>
                <w:lang w:val="en-US" w:eastAsia="zh-CN" w:bidi="ar"/>
              </w:rPr>
              <w:t>项目</w:t>
            </w:r>
            <w:r>
              <w:rPr>
                <w:rFonts w:hint="eastAsia" w:ascii="宋体" w:hAnsi="宋体" w:eastAsia="宋体" w:cs="宋体"/>
                <w:color w:val="000000"/>
                <w:sz w:val="24"/>
                <w:szCs w:val="24"/>
                <w:highlight w:val="none"/>
                <w:shd w:val="clear" w:color="auto" w:fill="FFFFFF"/>
                <w:lang w:bidi="ar"/>
              </w:rPr>
              <w:t>名称</w:t>
            </w:r>
          </w:p>
        </w:tc>
        <w:tc>
          <w:tcPr>
            <w:tcW w:w="6036" w:type="dxa"/>
            <w:noWrap w:val="0"/>
            <w:vAlign w:val="top"/>
          </w:tcPr>
          <w:p w14:paraId="2D392A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highlight w:val="none"/>
                <w:shd w:val="clear" w:color="auto" w:fill="FFFFFF"/>
                <w:lang w:bidi="ar"/>
              </w:rPr>
            </w:pPr>
            <w:r>
              <w:rPr>
                <w:rFonts w:hint="eastAsia" w:ascii="宋体" w:hAnsi="宋体" w:eastAsia="宋体" w:cs="宋体"/>
                <w:color w:val="000000"/>
                <w:sz w:val="24"/>
                <w:szCs w:val="24"/>
                <w:highlight w:val="none"/>
                <w:shd w:val="clear" w:color="auto" w:fill="FFFFFF"/>
                <w:lang w:eastAsia="zh-CN" w:bidi="ar"/>
              </w:rPr>
              <w:t>三门峡市城区排水管网普查检测及GIS系统建设项目</w:t>
            </w:r>
          </w:p>
        </w:tc>
      </w:tr>
      <w:tr w14:paraId="13BC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5057FF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4</w:t>
            </w:r>
          </w:p>
        </w:tc>
        <w:tc>
          <w:tcPr>
            <w:tcW w:w="2268" w:type="dxa"/>
            <w:noWrap w:val="0"/>
            <w:vAlign w:val="center"/>
          </w:tcPr>
          <w:p w14:paraId="59C120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实施地点</w:t>
            </w:r>
          </w:p>
        </w:tc>
        <w:tc>
          <w:tcPr>
            <w:tcW w:w="6036" w:type="dxa"/>
            <w:noWrap w:val="0"/>
            <w:vAlign w:val="top"/>
          </w:tcPr>
          <w:p w14:paraId="793D9A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三门峡市城区</w:t>
            </w:r>
            <w:r>
              <w:rPr>
                <w:rFonts w:hint="eastAsia" w:ascii="宋体" w:hAnsi="宋体" w:eastAsia="宋体" w:cs="宋体"/>
                <w:sz w:val="24"/>
                <w:szCs w:val="24"/>
                <w:highlight w:val="none"/>
                <w:shd w:val="clear" w:color="auto" w:fill="FFFFFF"/>
                <w:lang w:bidi="ar"/>
              </w:rPr>
              <w:t>。</w:t>
            </w:r>
          </w:p>
        </w:tc>
      </w:tr>
      <w:tr w14:paraId="77B6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47CCC5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5</w:t>
            </w:r>
          </w:p>
        </w:tc>
        <w:tc>
          <w:tcPr>
            <w:tcW w:w="2268" w:type="dxa"/>
            <w:noWrap w:val="0"/>
            <w:vAlign w:val="center"/>
          </w:tcPr>
          <w:p w14:paraId="07329A8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预算金额</w:t>
            </w:r>
          </w:p>
        </w:tc>
        <w:tc>
          <w:tcPr>
            <w:tcW w:w="6036" w:type="dxa"/>
            <w:noWrap w:val="0"/>
            <w:vAlign w:val="top"/>
          </w:tcPr>
          <w:p w14:paraId="060E0D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详见“招标公告”。</w:t>
            </w:r>
          </w:p>
        </w:tc>
      </w:tr>
      <w:tr w14:paraId="249B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7541401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6</w:t>
            </w:r>
          </w:p>
        </w:tc>
        <w:tc>
          <w:tcPr>
            <w:tcW w:w="2268" w:type="dxa"/>
            <w:noWrap w:val="0"/>
            <w:vAlign w:val="center"/>
          </w:tcPr>
          <w:p w14:paraId="34006B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资金来源及落实情况</w:t>
            </w:r>
          </w:p>
        </w:tc>
        <w:tc>
          <w:tcPr>
            <w:tcW w:w="6036" w:type="dxa"/>
            <w:noWrap w:val="0"/>
            <w:vAlign w:val="center"/>
          </w:tcPr>
          <w:p w14:paraId="1200CE5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财政资金，</w:t>
            </w:r>
            <w:r>
              <w:rPr>
                <w:rFonts w:hint="eastAsia" w:ascii="宋体" w:hAnsi="宋体" w:eastAsia="宋体" w:cs="宋体"/>
                <w:sz w:val="24"/>
                <w:szCs w:val="24"/>
                <w:highlight w:val="none"/>
                <w:shd w:val="clear" w:color="auto" w:fill="FFFFFF"/>
                <w:lang w:val="en-US" w:eastAsia="zh-CN" w:bidi="ar"/>
              </w:rPr>
              <w:t>已落实</w:t>
            </w:r>
            <w:r>
              <w:rPr>
                <w:rFonts w:hint="eastAsia" w:ascii="宋体" w:hAnsi="宋体" w:eastAsia="宋体" w:cs="宋体"/>
                <w:sz w:val="24"/>
                <w:szCs w:val="24"/>
                <w:highlight w:val="none"/>
                <w:shd w:val="clear" w:color="auto" w:fill="FFFFFF"/>
                <w:lang w:bidi="ar"/>
              </w:rPr>
              <w:t>。</w:t>
            </w:r>
          </w:p>
        </w:tc>
      </w:tr>
      <w:tr w14:paraId="0FF2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552A9F3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7</w:t>
            </w:r>
          </w:p>
        </w:tc>
        <w:tc>
          <w:tcPr>
            <w:tcW w:w="2268" w:type="dxa"/>
            <w:noWrap w:val="0"/>
            <w:vAlign w:val="center"/>
          </w:tcPr>
          <w:p w14:paraId="0662C1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rPr>
              <w:t>出资比例</w:t>
            </w:r>
          </w:p>
        </w:tc>
        <w:tc>
          <w:tcPr>
            <w:tcW w:w="6036" w:type="dxa"/>
            <w:noWrap w:val="0"/>
            <w:vAlign w:val="top"/>
          </w:tcPr>
          <w:p w14:paraId="511F59C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100%</w:t>
            </w:r>
          </w:p>
        </w:tc>
      </w:tr>
      <w:tr w14:paraId="5111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A16590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8</w:t>
            </w:r>
          </w:p>
        </w:tc>
        <w:tc>
          <w:tcPr>
            <w:tcW w:w="2268" w:type="dxa"/>
            <w:noWrap w:val="0"/>
            <w:vAlign w:val="center"/>
          </w:tcPr>
          <w:p w14:paraId="21E729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项目概况</w:t>
            </w:r>
          </w:p>
        </w:tc>
        <w:tc>
          <w:tcPr>
            <w:tcW w:w="6036" w:type="dxa"/>
            <w:noWrap w:val="0"/>
            <w:vAlign w:val="top"/>
          </w:tcPr>
          <w:p w14:paraId="5DA433C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详见“招标公告”。</w:t>
            </w:r>
          </w:p>
        </w:tc>
      </w:tr>
      <w:tr w14:paraId="241E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33" w:type="dxa"/>
            <w:noWrap w:val="0"/>
            <w:vAlign w:val="center"/>
          </w:tcPr>
          <w:p w14:paraId="53C49C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9</w:t>
            </w:r>
          </w:p>
        </w:tc>
        <w:tc>
          <w:tcPr>
            <w:tcW w:w="2268" w:type="dxa"/>
            <w:noWrap w:val="0"/>
            <w:vAlign w:val="center"/>
          </w:tcPr>
          <w:p w14:paraId="6F838F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合同履行期限（</w:t>
            </w:r>
            <w:r>
              <w:rPr>
                <w:rFonts w:hint="eastAsia" w:ascii="宋体" w:hAnsi="宋体" w:eastAsia="宋体" w:cs="宋体"/>
                <w:sz w:val="24"/>
                <w:szCs w:val="24"/>
                <w:highlight w:val="none"/>
                <w:shd w:val="clear" w:color="auto" w:fill="FFFFFF"/>
                <w:lang w:eastAsia="zh-CN" w:bidi="ar"/>
              </w:rPr>
              <w:t>服务期限</w:t>
            </w:r>
            <w:r>
              <w:rPr>
                <w:rFonts w:hint="eastAsia" w:ascii="宋体" w:hAnsi="宋体" w:eastAsia="宋体" w:cs="宋体"/>
                <w:sz w:val="24"/>
                <w:szCs w:val="24"/>
                <w:highlight w:val="none"/>
                <w:shd w:val="clear" w:color="auto" w:fill="FFFFFF"/>
                <w:lang w:bidi="ar"/>
              </w:rPr>
              <w:t>）</w:t>
            </w:r>
          </w:p>
        </w:tc>
        <w:tc>
          <w:tcPr>
            <w:tcW w:w="6036" w:type="dxa"/>
            <w:noWrap w:val="0"/>
            <w:vAlign w:val="center"/>
          </w:tcPr>
          <w:p w14:paraId="3882BBE0">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详见“招标公告”要求。</w:t>
            </w:r>
          </w:p>
        </w:tc>
      </w:tr>
      <w:tr w14:paraId="3863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933" w:type="dxa"/>
            <w:noWrap w:val="0"/>
            <w:vAlign w:val="center"/>
          </w:tcPr>
          <w:p w14:paraId="6CEB54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10</w:t>
            </w:r>
          </w:p>
        </w:tc>
        <w:tc>
          <w:tcPr>
            <w:tcW w:w="2268" w:type="dxa"/>
            <w:noWrap w:val="0"/>
            <w:vAlign w:val="center"/>
          </w:tcPr>
          <w:p w14:paraId="7174D02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eastAsia="zh-CN" w:bidi="ar"/>
              </w:rPr>
              <w:t>质量要求</w:t>
            </w:r>
          </w:p>
        </w:tc>
        <w:tc>
          <w:tcPr>
            <w:tcW w:w="6036" w:type="dxa"/>
            <w:noWrap w:val="0"/>
            <w:vAlign w:val="top"/>
          </w:tcPr>
          <w:p w14:paraId="0178DE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符合国家、省、市现行相关规范、规程、规定、标准要求,确保数据完整性、一致性、规范性、准确性，并通过相关部门验收。</w:t>
            </w:r>
          </w:p>
        </w:tc>
      </w:tr>
      <w:tr w14:paraId="7E8A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A85AD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11</w:t>
            </w:r>
          </w:p>
        </w:tc>
        <w:tc>
          <w:tcPr>
            <w:tcW w:w="2268" w:type="dxa"/>
            <w:noWrap w:val="0"/>
            <w:vAlign w:val="center"/>
          </w:tcPr>
          <w:p w14:paraId="04D7DA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bidi="ar"/>
              </w:rPr>
              <w:t>标段划分</w:t>
            </w:r>
          </w:p>
        </w:tc>
        <w:tc>
          <w:tcPr>
            <w:tcW w:w="6036" w:type="dxa"/>
            <w:noWrap w:val="0"/>
            <w:vAlign w:val="top"/>
          </w:tcPr>
          <w:p w14:paraId="72EA572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详见“招标公告”要求。</w:t>
            </w:r>
          </w:p>
        </w:tc>
      </w:tr>
      <w:tr w14:paraId="3E2E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48ABC4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12</w:t>
            </w:r>
          </w:p>
        </w:tc>
        <w:tc>
          <w:tcPr>
            <w:tcW w:w="2268" w:type="dxa"/>
            <w:noWrap w:val="0"/>
            <w:vAlign w:val="center"/>
          </w:tcPr>
          <w:p w14:paraId="6035881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供应商的资质、能力和应具备条件</w:t>
            </w:r>
          </w:p>
        </w:tc>
        <w:tc>
          <w:tcPr>
            <w:tcW w:w="6036" w:type="dxa"/>
            <w:noWrap w:val="0"/>
            <w:vAlign w:val="center"/>
          </w:tcPr>
          <w:p w14:paraId="285C5D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详见“招标公告”要求。</w:t>
            </w:r>
          </w:p>
        </w:tc>
      </w:tr>
      <w:tr w14:paraId="694D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96EBFF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13</w:t>
            </w:r>
          </w:p>
        </w:tc>
        <w:tc>
          <w:tcPr>
            <w:tcW w:w="2268" w:type="dxa"/>
            <w:noWrap w:val="0"/>
            <w:vAlign w:val="center"/>
          </w:tcPr>
          <w:p w14:paraId="2D475A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投标预备会</w:t>
            </w:r>
          </w:p>
        </w:tc>
        <w:tc>
          <w:tcPr>
            <w:tcW w:w="6036" w:type="dxa"/>
            <w:noWrap w:val="0"/>
            <w:vAlign w:val="top"/>
          </w:tcPr>
          <w:p w14:paraId="17AFEC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不召开。</w:t>
            </w:r>
          </w:p>
        </w:tc>
      </w:tr>
      <w:tr w14:paraId="1642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28170C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14</w:t>
            </w:r>
          </w:p>
        </w:tc>
        <w:tc>
          <w:tcPr>
            <w:tcW w:w="2268" w:type="dxa"/>
            <w:noWrap w:val="0"/>
            <w:vAlign w:val="center"/>
          </w:tcPr>
          <w:p w14:paraId="5FA403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偏差</w:t>
            </w:r>
          </w:p>
        </w:tc>
        <w:tc>
          <w:tcPr>
            <w:tcW w:w="6036" w:type="dxa"/>
            <w:noWrap w:val="0"/>
            <w:vAlign w:val="top"/>
          </w:tcPr>
          <w:p w14:paraId="6A3D40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lang w:eastAsia="zh-CN"/>
              </w:rPr>
              <w:t>不</w:t>
            </w:r>
            <w:r>
              <w:rPr>
                <w:rFonts w:hint="eastAsia" w:ascii="宋体" w:hAnsi="宋体" w:eastAsia="宋体" w:cs="宋体"/>
                <w:sz w:val="24"/>
                <w:szCs w:val="24"/>
                <w:highlight w:val="none"/>
              </w:rPr>
              <w:t>允许。</w:t>
            </w:r>
          </w:p>
        </w:tc>
      </w:tr>
      <w:tr w14:paraId="50F0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3765F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15</w:t>
            </w:r>
          </w:p>
        </w:tc>
        <w:tc>
          <w:tcPr>
            <w:tcW w:w="2268" w:type="dxa"/>
            <w:noWrap w:val="0"/>
            <w:vAlign w:val="center"/>
          </w:tcPr>
          <w:p w14:paraId="0A5F26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kern w:val="0"/>
                <w:sz w:val="24"/>
                <w:szCs w:val="24"/>
                <w:highlight w:val="none"/>
              </w:rPr>
              <w:t>询问和质疑</w:t>
            </w:r>
          </w:p>
        </w:tc>
        <w:tc>
          <w:tcPr>
            <w:tcW w:w="6036" w:type="dxa"/>
            <w:noWrap w:val="0"/>
            <w:vAlign w:val="center"/>
          </w:tcPr>
          <w:p w14:paraId="11E226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rPr>
              <w:t>投标供应商如对招标文件有异议的，应在知道或者应知其权益受到损害之日起七个工作日内，向采购人或采购代理机构书面提出，否则，将被视为认可本招标文件所有内容。</w:t>
            </w:r>
          </w:p>
        </w:tc>
      </w:tr>
      <w:tr w14:paraId="26E5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71BADA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16</w:t>
            </w:r>
          </w:p>
        </w:tc>
        <w:tc>
          <w:tcPr>
            <w:tcW w:w="2268" w:type="dxa"/>
            <w:noWrap w:val="0"/>
            <w:vAlign w:val="center"/>
          </w:tcPr>
          <w:p w14:paraId="10B514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采购人书面澄清的时间</w:t>
            </w:r>
          </w:p>
        </w:tc>
        <w:tc>
          <w:tcPr>
            <w:tcW w:w="6036" w:type="dxa"/>
            <w:noWrap w:val="0"/>
            <w:vAlign w:val="center"/>
          </w:tcPr>
          <w:p w14:paraId="70975CB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投标截止时间15日以前。</w:t>
            </w:r>
          </w:p>
        </w:tc>
      </w:tr>
      <w:tr w14:paraId="2124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25CFB1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17</w:t>
            </w:r>
          </w:p>
        </w:tc>
        <w:tc>
          <w:tcPr>
            <w:tcW w:w="2268" w:type="dxa"/>
            <w:noWrap w:val="0"/>
            <w:vAlign w:val="center"/>
          </w:tcPr>
          <w:p w14:paraId="36082D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供应商提出问题的截止时间</w:t>
            </w:r>
          </w:p>
        </w:tc>
        <w:tc>
          <w:tcPr>
            <w:tcW w:w="6036" w:type="dxa"/>
            <w:noWrap w:val="0"/>
            <w:vAlign w:val="center"/>
          </w:tcPr>
          <w:p w14:paraId="5B5F571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投标截止时间10日以前。</w:t>
            </w:r>
          </w:p>
        </w:tc>
      </w:tr>
      <w:tr w14:paraId="61EC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EC847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18</w:t>
            </w:r>
          </w:p>
        </w:tc>
        <w:tc>
          <w:tcPr>
            <w:tcW w:w="2268" w:type="dxa"/>
            <w:noWrap w:val="0"/>
            <w:vAlign w:val="center"/>
          </w:tcPr>
          <w:p w14:paraId="1A7083A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投标截止时间</w:t>
            </w:r>
          </w:p>
        </w:tc>
        <w:tc>
          <w:tcPr>
            <w:tcW w:w="6036" w:type="dxa"/>
            <w:noWrap w:val="0"/>
            <w:vAlign w:val="top"/>
          </w:tcPr>
          <w:p w14:paraId="40B918C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2024年</w:t>
            </w: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eastAsia="zh-CN" w:bidi="ar"/>
              </w:rPr>
              <w:t>月</w:t>
            </w:r>
            <w:r>
              <w:rPr>
                <w:rFonts w:hint="eastAsia" w:ascii="宋体" w:hAnsi="宋体" w:eastAsia="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eastAsia="zh-CN" w:bidi="ar"/>
              </w:rPr>
              <w:t>日</w:t>
            </w:r>
            <w:r>
              <w:rPr>
                <w:rFonts w:hint="eastAsia" w:ascii="宋体" w:hAnsi="宋体" w:eastAsia="宋体" w:cs="宋体"/>
                <w:sz w:val="24"/>
                <w:szCs w:val="24"/>
                <w:highlight w:val="none"/>
                <w:shd w:val="clear" w:color="auto" w:fill="FFFFFF"/>
                <w:lang w:val="en-US" w:eastAsia="zh-CN" w:bidi="ar"/>
              </w:rPr>
              <w:t>08</w:t>
            </w:r>
            <w:r>
              <w:rPr>
                <w:rFonts w:hint="eastAsia" w:ascii="宋体" w:hAnsi="宋体" w:eastAsia="宋体" w:cs="宋体"/>
                <w:sz w:val="24"/>
                <w:szCs w:val="24"/>
                <w:highlight w:val="none"/>
                <w:shd w:val="clear" w:color="auto" w:fill="FFFFFF"/>
                <w:lang w:eastAsia="zh-CN" w:bidi="ar"/>
              </w:rPr>
              <w:t>时</w:t>
            </w:r>
            <w:r>
              <w:rPr>
                <w:rFonts w:hint="eastAsia" w:ascii="宋体" w:hAnsi="宋体" w:eastAsia="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eastAsia="zh-CN" w:bidi="ar"/>
              </w:rPr>
              <w:t>分</w:t>
            </w:r>
            <w:r>
              <w:rPr>
                <w:rFonts w:hint="eastAsia" w:ascii="宋体" w:hAnsi="宋体" w:eastAsia="宋体" w:cs="宋体"/>
                <w:sz w:val="24"/>
                <w:szCs w:val="24"/>
                <w:highlight w:val="none"/>
                <w:shd w:val="clear" w:color="auto" w:fill="FFFFFF"/>
                <w:lang w:bidi="ar"/>
              </w:rPr>
              <w:t>（北京时间）</w:t>
            </w:r>
          </w:p>
        </w:tc>
      </w:tr>
      <w:tr w14:paraId="00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C1651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19</w:t>
            </w:r>
          </w:p>
        </w:tc>
        <w:tc>
          <w:tcPr>
            <w:tcW w:w="2268" w:type="dxa"/>
            <w:noWrap w:val="0"/>
            <w:vAlign w:val="top"/>
          </w:tcPr>
          <w:p w14:paraId="0C9B1A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供应商</w:t>
            </w:r>
            <w:r>
              <w:rPr>
                <w:rFonts w:hint="eastAsia" w:ascii="宋体" w:hAnsi="宋体" w:eastAsia="宋体" w:cs="宋体"/>
                <w:sz w:val="24"/>
                <w:szCs w:val="24"/>
                <w:highlight w:val="none"/>
                <w:shd w:val="clear" w:color="auto" w:fill="FFFFFF"/>
                <w:lang w:bidi="ar"/>
              </w:rPr>
              <w:t>确认收到招标文件澄清的时间</w:t>
            </w:r>
          </w:p>
        </w:tc>
        <w:tc>
          <w:tcPr>
            <w:tcW w:w="6036" w:type="dxa"/>
            <w:noWrap w:val="0"/>
            <w:vAlign w:val="top"/>
          </w:tcPr>
          <w:p w14:paraId="6E098D7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投标供应商应登录三门峡市公共资源交易网站自行查看澄清信息或在澄清公告发布相关网站（同招标公告发布媒介）自行查看招标文件澄清信息。</w:t>
            </w:r>
          </w:p>
        </w:tc>
      </w:tr>
      <w:tr w14:paraId="755F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2782BB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20</w:t>
            </w:r>
          </w:p>
        </w:tc>
        <w:tc>
          <w:tcPr>
            <w:tcW w:w="2268" w:type="dxa"/>
            <w:noWrap w:val="0"/>
            <w:vAlign w:val="top"/>
          </w:tcPr>
          <w:p w14:paraId="134052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供应商</w:t>
            </w:r>
            <w:r>
              <w:rPr>
                <w:rFonts w:hint="eastAsia" w:ascii="宋体" w:hAnsi="宋体" w:eastAsia="宋体" w:cs="宋体"/>
                <w:sz w:val="24"/>
                <w:szCs w:val="24"/>
                <w:highlight w:val="none"/>
                <w:shd w:val="clear" w:color="auto" w:fill="FFFFFF"/>
                <w:lang w:bidi="ar"/>
              </w:rPr>
              <w:t>确认收到招标文件修改的时间</w:t>
            </w:r>
          </w:p>
        </w:tc>
        <w:tc>
          <w:tcPr>
            <w:tcW w:w="6036" w:type="dxa"/>
            <w:noWrap w:val="0"/>
            <w:vAlign w:val="center"/>
          </w:tcPr>
          <w:p w14:paraId="4EC196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投标供应商应登录三门峡市公共资源交易网站自行查看招标文件修改信息。</w:t>
            </w:r>
          </w:p>
        </w:tc>
      </w:tr>
      <w:tr w14:paraId="790C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89027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21</w:t>
            </w:r>
          </w:p>
        </w:tc>
        <w:tc>
          <w:tcPr>
            <w:tcW w:w="2268" w:type="dxa"/>
            <w:noWrap w:val="0"/>
            <w:vAlign w:val="center"/>
          </w:tcPr>
          <w:p w14:paraId="62D36C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投标有效期</w:t>
            </w:r>
          </w:p>
        </w:tc>
        <w:tc>
          <w:tcPr>
            <w:tcW w:w="6036" w:type="dxa"/>
            <w:noWrap w:val="0"/>
            <w:vAlign w:val="top"/>
          </w:tcPr>
          <w:p w14:paraId="342672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投标文件递交截止之日起60天。</w:t>
            </w:r>
          </w:p>
        </w:tc>
      </w:tr>
      <w:tr w14:paraId="7694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B527A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22</w:t>
            </w:r>
          </w:p>
        </w:tc>
        <w:tc>
          <w:tcPr>
            <w:tcW w:w="2268" w:type="dxa"/>
            <w:noWrap w:val="0"/>
            <w:vAlign w:val="center"/>
          </w:tcPr>
          <w:p w14:paraId="304C34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投标保证金</w:t>
            </w:r>
          </w:p>
        </w:tc>
        <w:tc>
          <w:tcPr>
            <w:tcW w:w="6036" w:type="dxa"/>
            <w:noWrap w:val="0"/>
            <w:vAlign w:val="top"/>
          </w:tcPr>
          <w:p w14:paraId="537909E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根据《河南省财政厅关于优化政府采购营商环境有关问题的通知》（豫财购【2019】4号）第6条的规定，投标保证金不再收取。需提供投标承诺函（详见投标文件格式）。</w:t>
            </w:r>
          </w:p>
        </w:tc>
      </w:tr>
      <w:tr w14:paraId="7717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dxa"/>
            <w:noWrap w:val="0"/>
            <w:vAlign w:val="center"/>
          </w:tcPr>
          <w:p w14:paraId="470D8D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23</w:t>
            </w:r>
          </w:p>
        </w:tc>
        <w:tc>
          <w:tcPr>
            <w:tcW w:w="2268" w:type="dxa"/>
            <w:noWrap w:val="0"/>
            <w:vAlign w:val="top"/>
          </w:tcPr>
          <w:p w14:paraId="12B7A71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近年完成的类似项目的年份要求</w:t>
            </w:r>
          </w:p>
        </w:tc>
        <w:tc>
          <w:tcPr>
            <w:tcW w:w="6036" w:type="dxa"/>
            <w:noWrap w:val="0"/>
            <w:vAlign w:val="center"/>
          </w:tcPr>
          <w:p w14:paraId="06D785D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年，指</w:t>
            </w:r>
            <w:r>
              <w:rPr>
                <w:rFonts w:hint="eastAsia" w:ascii="宋体" w:hAnsi="宋体" w:eastAsia="宋体" w:cs="宋体"/>
                <w:sz w:val="24"/>
                <w:szCs w:val="24"/>
                <w:highlight w:val="none"/>
                <w:shd w:val="clear" w:color="auto" w:fill="FFFFFF"/>
                <w:lang w:val="en-US" w:eastAsia="zh-CN" w:bidi="ar"/>
              </w:rPr>
              <w:t>2021</w:t>
            </w:r>
            <w:r>
              <w:rPr>
                <w:rFonts w:hint="eastAsia" w:ascii="宋体" w:hAnsi="宋体" w:eastAsia="宋体" w:cs="宋体"/>
                <w:sz w:val="24"/>
                <w:szCs w:val="24"/>
                <w:highlight w:val="none"/>
                <w:shd w:val="clear" w:color="auto" w:fill="FFFFFF"/>
                <w:lang w:eastAsia="zh-CN" w:bidi="ar"/>
              </w:rPr>
              <w:t>年</w:t>
            </w: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eastAsia="zh-CN" w:bidi="ar"/>
              </w:rPr>
              <w:t>月1日</w:t>
            </w:r>
            <w:r>
              <w:rPr>
                <w:rFonts w:hint="eastAsia" w:ascii="宋体" w:hAnsi="宋体" w:eastAsia="宋体" w:cs="宋体"/>
                <w:sz w:val="24"/>
                <w:szCs w:val="24"/>
                <w:highlight w:val="none"/>
                <w:shd w:val="clear" w:color="auto" w:fill="FFFFFF"/>
                <w:lang w:bidi="ar"/>
              </w:rPr>
              <w:t>以来至今。</w:t>
            </w:r>
          </w:p>
        </w:tc>
      </w:tr>
      <w:tr w14:paraId="013E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1047EA4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24</w:t>
            </w:r>
          </w:p>
        </w:tc>
        <w:tc>
          <w:tcPr>
            <w:tcW w:w="2268" w:type="dxa"/>
            <w:noWrap w:val="0"/>
            <w:vAlign w:val="top"/>
          </w:tcPr>
          <w:p w14:paraId="7E941E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近年发生的诉讼及仲裁情况的年份要求</w:t>
            </w:r>
          </w:p>
        </w:tc>
        <w:tc>
          <w:tcPr>
            <w:tcW w:w="6036" w:type="dxa"/>
            <w:noWrap w:val="0"/>
            <w:vAlign w:val="center"/>
          </w:tcPr>
          <w:p w14:paraId="0E91FD8E">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年，指</w:t>
            </w:r>
            <w:r>
              <w:rPr>
                <w:rFonts w:hint="eastAsia" w:ascii="宋体" w:hAnsi="宋体" w:eastAsia="宋体" w:cs="宋体"/>
                <w:sz w:val="24"/>
                <w:szCs w:val="24"/>
                <w:highlight w:val="none"/>
                <w:shd w:val="clear" w:color="auto" w:fill="FFFFFF"/>
                <w:lang w:eastAsia="zh-CN" w:bidi="ar"/>
              </w:rPr>
              <w:t>2021年</w:t>
            </w: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eastAsia="zh-CN" w:bidi="ar"/>
              </w:rPr>
              <w:t>月1日</w:t>
            </w:r>
            <w:r>
              <w:rPr>
                <w:rFonts w:hint="eastAsia" w:ascii="宋体" w:hAnsi="宋体" w:eastAsia="宋体" w:cs="宋体"/>
                <w:sz w:val="24"/>
                <w:szCs w:val="24"/>
                <w:highlight w:val="none"/>
                <w:shd w:val="clear" w:color="auto" w:fill="FFFFFF"/>
                <w:lang w:bidi="ar"/>
              </w:rPr>
              <w:t>以来至今。</w:t>
            </w:r>
          </w:p>
        </w:tc>
      </w:tr>
      <w:tr w14:paraId="15D4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1F2A037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25</w:t>
            </w:r>
          </w:p>
        </w:tc>
        <w:tc>
          <w:tcPr>
            <w:tcW w:w="2268" w:type="dxa"/>
            <w:noWrap w:val="0"/>
            <w:vAlign w:val="top"/>
          </w:tcPr>
          <w:p w14:paraId="6D1D68A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是否允许递交备选投标方案</w:t>
            </w:r>
          </w:p>
        </w:tc>
        <w:tc>
          <w:tcPr>
            <w:tcW w:w="6036" w:type="dxa"/>
            <w:noWrap w:val="0"/>
            <w:vAlign w:val="center"/>
          </w:tcPr>
          <w:p w14:paraId="109DD45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不允许。</w:t>
            </w:r>
          </w:p>
        </w:tc>
      </w:tr>
      <w:tr w14:paraId="4D6B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EB508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26</w:t>
            </w:r>
          </w:p>
        </w:tc>
        <w:tc>
          <w:tcPr>
            <w:tcW w:w="2268" w:type="dxa"/>
            <w:noWrap w:val="0"/>
            <w:vAlign w:val="center"/>
          </w:tcPr>
          <w:p w14:paraId="2E3B8D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签字或盖章要求</w:t>
            </w:r>
          </w:p>
        </w:tc>
        <w:tc>
          <w:tcPr>
            <w:tcW w:w="6036" w:type="dxa"/>
            <w:noWrap w:val="0"/>
            <w:vAlign w:val="top"/>
          </w:tcPr>
          <w:p w14:paraId="621B111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1.本项目为电子化、无纸化交易项目，投标文件是</w:t>
            </w:r>
            <w:r>
              <w:rPr>
                <w:rFonts w:hint="eastAsia" w:ascii="宋体" w:hAnsi="宋体" w:eastAsia="宋体" w:cs="宋体"/>
                <w:sz w:val="24"/>
                <w:szCs w:val="24"/>
                <w:highlight w:val="none"/>
                <w:shd w:val="clear" w:color="auto" w:fill="FFFFFF"/>
                <w:lang w:eastAsia="zh-CN" w:bidi="ar"/>
              </w:rPr>
              <w:t>供应商</w:t>
            </w:r>
            <w:r>
              <w:rPr>
                <w:rFonts w:hint="eastAsia" w:ascii="宋体" w:hAnsi="宋体" w:eastAsia="宋体" w:cs="宋体"/>
                <w:sz w:val="24"/>
                <w:szCs w:val="24"/>
                <w:highlight w:val="none"/>
                <w:shd w:val="clear" w:color="auto" w:fill="FFFFFF"/>
                <w:lang w:bidi="ar"/>
              </w:rPr>
              <w:t>通过中心投标文件制作系统制作，并经过电子签章和加密后生成的电子化投标文件，未对电子化文件进行签章的视为无效投标。</w:t>
            </w:r>
            <w:r>
              <w:rPr>
                <w:rFonts w:hint="eastAsia" w:ascii="宋体" w:hAnsi="宋体" w:eastAsia="宋体" w:cs="宋体"/>
                <w:sz w:val="24"/>
                <w:szCs w:val="24"/>
                <w:highlight w:val="none"/>
                <w:shd w:val="clear" w:color="auto" w:fill="FFFFFF"/>
                <w:lang w:eastAsia="zh-CN" w:bidi="ar"/>
              </w:rPr>
              <w:t>供应商</w:t>
            </w:r>
            <w:r>
              <w:rPr>
                <w:rFonts w:hint="eastAsia" w:ascii="宋体" w:hAnsi="宋体" w:eastAsia="宋体" w:cs="宋体"/>
                <w:sz w:val="24"/>
                <w:szCs w:val="24"/>
                <w:highlight w:val="none"/>
                <w:shd w:val="clear" w:color="auto" w:fill="FFFFFF"/>
                <w:lang w:bidi="ar"/>
              </w:rPr>
              <w:t>投标时，将不再接受任何纸质文件资料。</w:t>
            </w:r>
          </w:p>
          <w:p w14:paraId="76CEF9B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w:t>
            </w:r>
            <w:r>
              <w:rPr>
                <w:rFonts w:hint="eastAsia" w:ascii="宋体" w:hAnsi="宋体" w:eastAsia="宋体" w:cs="宋体"/>
                <w:sz w:val="24"/>
                <w:szCs w:val="24"/>
                <w:highlight w:val="none"/>
                <w:shd w:val="clear" w:color="auto" w:fill="FFFFFF"/>
                <w:lang w:eastAsia="zh-CN" w:bidi="ar"/>
              </w:rPr>
              <w:t>供应商</w:t>
            </w:r>
            <w:r>
              <w:rPr>
                <w:rFonts w:hint="eastAsia" w:ascii="宋体" w:hAnsi="宋体" w:eastAsia="宋体" w:cs="宋体"/>
                <w:sz w:val="24"/>
                <w:szCs w:val="24"/>
                <w:highlight w:val="none"/>
                <w:shd w:val="clear" w:color="auto" w:fill="FFFFFF"/>
                <w:lang w:bidi="ar"/>
              </w:rPr>
              <w:t>在进行电子化投标文件签章时，以签盖法定代表人签章为准。</w:t>
            </w:r>
          </w:p>
        </w:tc>
      </w:tr>
      <w:tr w14:paraId="61CE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33" w:type="dxa"/>
            <w:noWrap w:val="0"/>
            <w:vAlign w:val="center"/>
          </w:tcPr>
          <w:p w14:paraId="083F94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27</w:t>
            </w:r>
          </w:p>
        </w:tc>
        <w:tc>
          <w:tcPr>
            <w:tcW w:w="2268" w:type="dxa"/>
            <w:noWrap w:val="0"/>
            <w:vAlign w:val="center"/>
          </w:tcPr>
          <w:p w14:paraId="111D3B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投标文件的格式及上传投标</w:t>
            </w:r>
          </w:p>
        </w:tc>
        <w:tc>
          <w:tcPr>
            <w:tcW w:w="6036" w:type="dxa"/>
            <w:noWrap w:val="0"/>
            <w:vAlign w:val="top"/>
          </w:tcPr>
          <w:p w14:paraId="696E433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投标供应商使用CA在电子平台上传电子投标文件，在投标截止时间前成功上传至三门峡市公共资源电子化交易系统。</w:t>
            </w:r>
          </w:p>
          <w:p w14:paraId="031DEC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电子化投标文件具体制作文件请点击https://download.bqpoint.com/download/downloaddetail.html?SourceFrom=Ztb&amp;ZtbSoftXiaQuCode=1506&amp;ZtbSoftType=tballinclusive进行下载。</w:t>
            </w:r>
          </w:p>
        </w:tc>
      </w:tr>
      <w:tr w14:paraId="4C8B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481BDEC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28</w:t>
            </w:r>
          </w:p>
        </w:tc>
        <w:tc>
          <w:tcPr>
            <w:tcW w:w="2268" w:type="dxa"/>
            <w:noWrap w:val="0"/>
            <w:vAlign w:val="center"/>
          </w:tcPr>
          <w:p w14:paraId="765F6E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递交投标文件地点和截止时间</w:t>
            </w:r>
          </w:p>
        </w:tc>
        <w:tc>
          <w:tcPr>
            <w:tcW w:w="6036" w:type="dxa"/>
            <w:noWrap w:val="0"/>
            <w:vAlign w:val="center"/>
          </w:tcPr>
          <w:p w14:paraId="3150FA4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时间：</w:t>
            </w:r>
            <w:r>
              <w:rPr>
                <w:rFonts w:hint="eastAsia" w:ascii="宋体" w:hAnsi="宋体" w:eastAsia="宋体" w:cs="宋体"/>
                <w:sz w:val="24"/>
                <w:szCs w:val="24"/>
                <w:highlight w:val="none"/>
                <w:shd w:val="clear" w:color="auto" w:fill="FFFFFF"/>
                <w:lang w:eastAsia="zh-CN" w:bidi="ar"/>
              </w:rPr>
              <w:t>2024年</w:t>
            </w: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eastAsia="zh-CN" w:bidi="ar"/>
              </w:rPr>
              <w:t>月</w:t>
            </w:r>
            <w:r>
              <w:rPr>
                <w:rFonts w:hint="eastAsia" w:ascii="宋体" w:hAnsi="宋体" w:eastAsia="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eastAsia="zh-CN" w:bidi="ar"/>
              </w:rPr>
              <w:t>日</w:t>
            </w:r>
            <w:r>
              <w:rPr>
                <w:rFonts w:hint="eastAsia" w:ascii="宋体" w:hAnsi="宋体" w:eastAsia="宋体" w:cs="宋体"/>
                <w:sz w:val="24"/>
                <w:szCs w:val="24"/>
                <w:highlight w:val="none"/>
                <w:shd w:val="clear" w:color="auto" w:fill="FFFFFF"/>
                <w:lang w:val="en-US" w:eastAsia="zh-CN" w:bidi="ar"/>
              </w:rPr>
              <w:t>08</w:t>
            </w:r>
            <w:r>
              <w:rPr>
                <w:rFonts w:hint="eastAsia" w:ascii="宋体" w:hAnsi="宋体" w:eastAsia="宋体" w:cs="宋体"/>
                <w:sz w:val="24"/>
                <w:szCs w:val="24"/>
                <w:highlight w:val="none"/>
                <w:shd w:val="clear" w:color="auto" w:fill="FFFFFF"/>
                <w:lang w:eastAsia="zh-CN" w:bidi="ar"/>
              </w:rPr>
              <w:t>时</w:t>
            </w:r>
            <w:r>
              <w:rPr>
                <w:rFonts w:hint="eastAsia" w:ascii="宋体" w:hAnsi="宋体" w:eastAsia="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eastAsia="zh-CN" w:bidi="ar"/>
              </w:rPr>
              <w:t>分</w:t>
            </w:r>
            <w:r>
              <w:rPr>
                <w:rFonts w:hint="eastAsia" w:ascii="宋体" w:hAnsi="宋体" w:eastAsia="宋体" w:cs="宋体"/>
                <w:sz w:val="24"/>
                <w:szCs w:val="24"/>
                <w:highlight w:val="none"/>
                <w:shd w:val="clear" w:color="auto" w:fill="FFFFFF"/>
                <w:lang w:bidi="ar"/>
              </w:rPr>
              <w:t>（北京时间）</w:t>
            </w:r>
          </w:p>
          <w:p w14:paraId="5A3DE54C">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地点：上传至三门峡市公共资源交易中心电子化交易平台。</w:t>
            </w:r>
          </w:p>
        </w:tc>
      </w:tr>
      <w:tr w14:paraId="1881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3C8704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29</w:t>
            </w:r>
          </w:p>
        </w:tc>
        <w:tc>
          <w:tcPr>
            <w:tcW w:w="2268" w:type="dxa"/>
            <w:noWrap w:val="0"/>
            <w:vAlign w:val="center"/>
          </w:tcPr>
          <w:p w14:paraId="250051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是否退还投标文件</w:t>
            </w:r>
          </w:p>
        </w:tc>
        <w:tc>
          <w:tcPr>
            <w:tcW w:w="6036" w:type="dxa"/>
            <w:noWrap w:val="0"/>
            <w:vAlign w:val="center"/>
          </w:tcPr>
          <w:p w14:paraId="47DF036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否</w:t>
            </w:r>
          </w:p>
        </w:tc>
      </w:tr>
      <w:tr w14:paraId="5904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54BACC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30</w:t>
            </w:r>
          </w:p>
        </w:tc>
        <w:tc>
          <w:tcPr>
            <w:tcW w:w="2268" w:type="dxa"/>
            <w:noWrap w:val="0"/>
            <w:vAlign w:val="center"/>
          </w:tcPr>
          <w:p w14:paraId="749598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开标时间和地点</w:t>
            </w:r>
          </w:p>
        </w:tc>
        <w:tc>
          <w:tcPr>
            <w:tcW w:w="6036" w:type="dxa"/>
            <w:noWrap w:val="0"/>
            <w:vAlign w:val="top"/>
          </w:tcPr>
          <w:p w14:paraId="54425BB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时间：</w:t>
            </w:r>
            <w:r>
              <w:rPr>
                <w:rFonts w:hint="eastAsia" w:ascii="宋体" w:hAnsi="宋体" w:eastAsia="宋体" w:cs="宋体"/>
                <w:sz w:val="24"/>
                <w:szCs w:val="24"/>
                <w:highlight w:val="none"/>
                <w:shd w:val="clear" w:color="auto" w:fill="FFFFFF"/>
                <w:lang w:eastAsia="zh-CN" w:bidi="ar"/>
              </w:rPr>
              <w:t>2024年</w:t>
            </w:r>
            <w:r>
              <w:rPr>
                <w:rFonts w:hint="eastAsia" w:ascii="宋体" w:hAnsi="宋体" w:eastAsia="宋体" w:cs="宋体"/>
                <w:sz w:val="24"/>
                <w:szCs w:val="24"/>
                <w:highlight w:val="none"/>
                <w:shd w:val="clear" w:color="auto" w:fill="FFFFFF"/>
                <w:lang w:val="en-US" w:eastAsia="zh-CN" w:bidi="ar"/>
              </w:rPr>
              <w:t>10</w:t>
            </w:r>
            <w:r>
              <w:rPr>
                <w:rFonts w:hint="eastAsia" w:ascii="宋体" w:hAnsi="宋体" w:eastAsia="宋体" w:cs="宋体"/>
                <w:sz w:val="24"/>
                <w:szCs w:val="24"/>
                <w:highlight w:val="none"/>
                <w:shd w:val="clear" w:color="auto" w:fill="FFFFFF"/>
                <w:lang w:eastAsia="zh-CN" w:bidi="ar"/>
              </w:rPr>
              <w:t>月</w:t>
            </w:r>
            <w:r>
              <w:rPr>
                <w:rFonts w:hint="eastAsia" w:ascii="宋体" w:hAnsi="宋体" w:eastAsia="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eastAsia="zh-CN" w:bidi="ar"/>
              </w:rPr>
              <w:t>日</w:t>
            </w:r>
            <w:r>
              <w:rPr>
                <w:rFonts w:hint="eastAsia" w:ascii="宋体" w:hAnsi="宋体" w:eastAsia="宋体" w:cs="宋体"/>
                <w:sz w:val="24"/>
                <w:szCs w:val="24"/>
                <w:highlight w:val="none"/>
                <w:shd w:val="clear" w:color="auto" w:fill="FFFFFF"/>
                <w:lang w:val="en-US" w:eastAsia="zh-CN" w:bidi="ar"/>
              </w:rPr>
              <w:t>08</w:t>
            </w:r>
            <w:r>
              <w:rPr>
                <w:rFonts w:hint="eastAsia" w:ascii="宋体" w:hAnsi="宋体" w:eastAsia="宋体" w:cs="宋体"/>
                <w:sz w:val="24"/>
                <w:szCs w:val="24"/>
                <w:highlight w:val="none"/>
                <w:shd w:val="clear" w:color="auto" w:fill="FFFFFF"/>
                <w:lang w:eastAsia="zh-CN" w:bidi="ar"/>
              </w:rPr>
              <w:t>时</w:t>
            </w:r>
            <w:r>
              <w:rPr>
                <w:rFonts w:hint="eastAsia" w:ascii="宋体" w:hAnsi="宋体" w:eastAsia="宋体" w:cs="宋体"/>
                <w:sz w:val="24"/>
                <w:szCs w:val="24"/>
                <w:highlight w:val="none"/>
                <w:shd w:val="clear" w:color="auto" w:fill="FFFFFF"/>
                <w:lang w:val="en-US" w:eastAsia="zh-CN" w:bidi="ar"/>
              </w:rPr>
              <w:t>30</w:t>
            </w:r>
            <w:r>
              <w:rPr>
                <w:rFonts w:hint="eastAsia" w:ascii="宋体" w:hAnsi="宋体" w:eastAsia="宋体" w:cs="宋体"/>
                <w:sz w:val="24"/>
                <w:szCs w:val="24"/>
                <w:highlight w:val="none"/>
                <w:shd w:val="clear" w:color="auto" w:fill="FFFFFF"/>
                <w:lang w:eastAsia="zh-CN" w:bidi="ar"/>
              </w:rPr>
              <w:t>分</w:t>
            </w:r>
            <w:r>
              <w:rPr>
                <w:rFonts w:hint="eastAsia" w:ascii="宋体" w:hAnsi="宋体" w:eastAsia="宋体" w:cs="宋体"/>
                <w:sz w:val="24"/>
                <w:szCs w:val="24"/>
                <w:highlight w:val="none"/>
                <w:shd w:val="clear" w:color="auto" w:fill="FFFFFF"/>
                <w:lang w:bidi="ar"/>
              </w:rPr>
              <w:t>（北京时间）</w:t>
            </w:r>
          </w:p>
          <w:p w14:paraId="129CE8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地点：三门峡市公共资源交易中心五楼开标区。</w:t>
            </w:r>
          </w:p>
        </w:tc>
      </w:tr>
      <w:tr w14:paraId="2292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71D9427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31</w:t>
            </w:r>
          </w:p>
        </w:tc>
        <w:tc>
          <w:tcPr>
            <w:tcW w:w="2268" w:type="dxa"/>
            <w:noWrap w:val="0"/>
            <w:vAlign w:val="center"/>
          </w:tcPr>
          <w:p w14:paraId="0BB5F9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开标程序</w:t>
            </w:r>
          </w:p>
        </w:tc>
        <w:tc>
          <w:tcPr>
            <w:tcW w:w="6036" w:type="dxa"/>
            <w:noWrap w:val="0"/>
            <w:vAlign w:val="top"/>
          </w:tcPr>
          <w:p w14:paraId="259DE02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eastAsia="宋体" w:cs="宋体"/>
                <w:sz w:val="24"/>
                <w:szCs w:val="24"/>
                <w:highlight w:val="none"/>
                <w:shd w:val="clear" w:color="auto" w:fill="FFFFFF"/>
                <w:lang w:eastAsia="zh-CN" w:bidi="ar"/>
              </w:rPr>
              <w:t>http://120.194.249.36:10094/BidOpening/bidopeninghallaction/hall/login</w:t>
            </w:r>
            <w:r>
              <w:rPr>
                <w:rFonts w:hint="eastAsia" w:ascii="宋体" w:hAnsi="宋体" w:eastAsia="宋体" w:cs="宋体"/>
                <w:sz w:val="24"/>
                <w:szCs w:val="24"/>
                <w:highlight w:val="none"/>
                <w:shd w:val="clear" w:color="auto" w:fill="FFFFFF"/>
                <w:lang w:bidi="ar"/>
              </w:rPr>
              <w:t>）,在线准时参加开标活动并进行投标文件解密等。</w:t>
            </w:r>
          </w:p>
          <w:p w14:paraId="69775E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2.投标文件采用一次加密方式。开标时，由投标供应商使用CA 证书，在规定时间内对其电子化投标文件进行解密。每位投标供应商的解密时间为开标时间起30分钟内，如在规定时间内未完成解密的，其投标文件不予开标、唱标。每位</w:t>
            </w:r>
            <w:r>
              <w:rPr>
                <w:rFonts w:hint="eastAsia" w:ascii="宋体" w:hAnsi="宋体" w:eastAsia="宋体" w:cs="宋体"/>
                <w:sz w:val="24"/>
                <w:szCs w:val="24"/>
                <w:highlight w:val="none"/>
                <w:shd w:val="clear" w:color="auto" w:fill="FFFFFF"/>
                <w:lang w:eastAsia="zh-CN" w:bidi="ar"/>
              </w:rPr>
              <w:t>供应商</w:t>
            </w:r>
            <w:r>
              <w:rPr>
                <w:rFonts w:hint="eastAsia" w:ascii="宋体" w:hAnsi="宋体" w:eastAsia="宋体" w:cs="宋体"/>
                <w:sz w:val="24"/>
                <w:szCs w:val="24"/>
                <w:highlight w:val="none"/>
                <w:shd w:val="clear" w:color="auto" w:fill="FFFFFF"/>
                <w:lang w:bidi="ar"/>
              </w:rPr>
              <w:t>的解密时间为开标时间起30分钟内完成。</w:t>
            </w:r>
          </w:p>
        </w:tc>
      </w:tr>
      <w:tr w14:paraId="6823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7C8FC0D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32</w:t>
            </w:r>
          </w:p>
        </w:tc>
        <w:tc>
          <w:tcPr>
            <w:tcW w:w="2268" w:type="dxa"/>
            <w:noWrap w:val="0"/>
            <w:vAlign w:val="center"/>
          </w:tcPr>
          <w:p w14:paraId="0D6159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评标委员会的组建</w:t>
            </w:r>
          </w:p>
        </w:tc>
        <w:tc>
          <w:tcPr>
            <w:tcW w:w="6036" w:type="dxa"/>
            <w:noWrap w:val="0"/>
            <w:vAlign w:val="top"/>
          </w:tcPr>
          <w:p w14:paraId="780A87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评标委员会成员为</w:t>
            </w:r>
            <w:r>
              <w:rPr>
                <w:rFonts w:hint="eastAsia" w:ascii="宋体" w:hAnsi="宋体" w:eastAsia="宋体" w:cs="宋体"/>
                <w:sz w:val="24"/>
                <w:szCs w:val="24"/>
                <w:highlight w:val="none"/>
                <w:shd w:val="clear" w:color="auto" w:fill="FFFFFF"/>
                <w:lang w:val="en-US" w:eastAsia="zh-CN" w:bidi="ar"/>
              </w:rPr>
              <w:t>7</w:t>
            </w:r>
            <w:r>
              <w:rPr>
                <w:rFonts w:hint="eastAsia" w:ascii="宋体" w:hAnsi="宋体" w:eastAsia="宋体" w:cs="宋体"/>
                <w:sz w:val="24"/>
                <w:szCs w:val="24"/>
                <w:highlight w:val="none"/>
                <w:shd w:val="clear" w:color="auto" w:fill="FFFFFF"/>
                <w:lang w:bidi="ar"/>
              </w:rPr>
              <w:t>人，其中采购人代表</w:t>
            </w: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人，其余技术、经济等方面的专家</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人从河南省电子化政府采购系统评标专家库中随机抽取。</w:t>
            </w:r>
          </w:p>
          <w:p w14:paraId="6ED33B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根据省政府关于评标专家的有关管理规定，业主评委不能获取评标劳务费。</w:t>
            </w:r>
          </w:p>
        </w:tc>
      </w:tr>
      <w:tr w14:paraId="666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10CD336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33</w:t>
            </w:r>
          </w:p>
        </w:tc>
        <w:tc>
          <w:tcPr>
            <w:tcW w:w="2268" w:type="dxa"/>
            <w:noWrap w:val="0"/>
            <w:vAlign w:val="center"/>
          </w:tcPr>
          <w:p w14:paraId="1B2B7D0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是否授权评标委员会确定中标供应商</w:t>
            </w:r>
          </w:p>
        </w:tc>
        <w:tc>
          <w:tcPr>
            <w:tcW w:w="6036" w:type="dxa"/>
            <w:noWrap w:val="0"/>
            <w:vAlign w:val="center"/>
          </w:tcPr>
          <w:p w14:paraId="266620E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否，</w:t>
            </w:r>
            <w:r>
              <w:rPr>
                <w:rFonts w:hint="eastAsia" w:ascii="宋体" w:hAnsi="宋体" w:eastAsia="宋体" w:cs="宋体"/>
                <w:sz w:val="24"/>
                <w:szCs w:val="24"/>
                <w:highlight w:val="none"/>
                <w:shd w:val="clear" w:color="auto" w:fill="FFFFFF"/>
                <w:lang w:val="en-US" w:eastAsia="zh-CN" w:bidi="ar"/>
              </w:rPr>
              <w:t>由</w:t>
            </w:r>
            <w:r>
              <w:rPr>
                <w:rFonts w:hint="eastAsia" w:ascii="宋体" w:hAnsi="宋体" w:eastAsia="宋体" w:cs="宋体"/>
                <w:sz w:val="24"/>
                <w:szCs w:val="24"/>
                <w:highlight w:val="none"/>
                <w:shd w:val="clear" w:color="auto" w:fill="FFFFFF"/>
                <w:lang w:bidi="ar"/>
              </w:rPr>
              <w:t>评标委员会推荐3名中标候选人。</w:t>
            </w:r>
          </w:p>
        </w:tc>
      </w:tr>
      <w:tr w14:paraId="1A13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56775F8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34</w:t>
            </w:r>
          </w:p>
        </w:tc>
        <w:tc>
          <w:tcPr>
            <w:tcW w:w="2268" w:type="dxa"/>
            <w:noWrap w:val="0"/>
            <w:vAlign w:val="center"/>
          </w:tcPr>
          <w:p w14:paraId="318F7D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付款方式</w:t>
            </w:r>
          </w:p>
        </w:tc>
        <w:tc>
          <w:tcPr>
            <w:tcW w:w="6036" w:type="dxa"/>
            <w:noWrap w:val="0"/>
            <w:vAlign w:val="top"/>
          </w:tcPr>
          <w:p w14:paraId="28E3615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详见合同条款。</w:t>
            </w:r>
          </w:p>
        </w:tc>
      </w:tr>
      <w:tr w14:paraId="4AA4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498902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35</w:t>
            </w:r>
          </w:p>
        </w:tc>
        <w:tc>
          <w:tcPr>
            <w:tcW w:w="2268" w:type="dxa"/>
            <w:noWrap w:val="0"/>
            <w:vAlign w:val="center"/>
          </w:tcPr>
          <w:p w14:paraId="594012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color w:val="000000"/>
                <w:sz w:val="24"/>
                <w:szCs w:val="24"/>
                <w:highlight w:val="none"/>
                <w:shd w:val="clear" w:color="auto" w:fill="FFFFFF"/>
                <w:lang w:bidi="ar"/>
              </w:rPr>
              <w:t>最高限价</w:t>
            </w:r>
          </w:p>
        </w:tc>
        <w:tc>
          <w:tcPr>
            <w:tcW w:w="6036" w:type="dxa"/>
            <w:noWrap w:val="0"/>
            <w:vAlign w:val="top"/>
          </w:tcPr>
          <w:p w14:paraId="50CB7FD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凡投标供应商投标报价超出</w:t>
            </w:r>
            <w:r>
              <w:rPr>
                <w:rFonts w:hint="eastAsia" w:ascii="宋体" w:hAnsi="宋体" w:eastAsia="宋体" w:cs="宋体"/>
                <w:sz w:val="24"/>
                <w:szCs w:val="24"/>
                <w:highlight w:val="none"/>
                <w:shd w:val="clear" w:color="auto" w:fill="FFFFFF"/>
                <w:lang w:val="en-US" w:eastAsia="zh-CN" w:bidi="ar"/>
              </w:rPr>
              <w:t>包</w:t>
            </w:r>
            <w:r>
              <w:rPr>
                <w:rFonts w:hint="eastAsia" w:ascii="宋体" w:hAnsi="宋体" w:eastAsia="宋体" w:cs="宋体"/>
                <w:sz w:val="24"/>
                <w:szCs w:val="24"/>
                <w:highlight w:val="none"/>
                <w:shd w:val="clear" w:color="auto" w:fill="FFFFFF"/>
                <w:lang w:bidi="ar"/>
              </w:rPr>
              <w:t>最高限价的，该供应商的投标文件应作无效标处理。</w:t>
            </w:r>
          </w:p>
        </w:tc>
      </w:tr>
      <w:tr w14:paraId="74DD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666690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36</w:t>
            </w:r>
          </w:p>
        </w:tc>
        <w:tc>
          <w:tcPr>
            <w:tcW w:w="2268" w:type="dxa"/>
            <w:noWrap w:val="0"/>
            <w:vAlign w:val="center"/>
          </w:tcPr>
          <w:p w14:paraId="5F0AC4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招标文件的解释</w:t>
            </w:r>
          </w:p>
        </w:tc>
        <w:tc>
          <w:tcPr>
            <w:tcW w:w="6036" w:type="dxa"/>
            <w:noWrap w:val="0"/>
            <w:vAlign w:val="top"/>
          </w:tcPr>
          <w:p w14:paraId="7EFE49F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在符合相关法律法规的前提下，招标文件的解释权归采购人所有。本招标文件中其他部分内容与供应商须知前附表不一致的，以供应商须知前附表为准。</w:t>
            </w:r>
          </w:p>
        </w:tc>
      </w:tr>
      <w:tr w14:paraId="7AA3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933" w:type="dxa"/>
            <w:noWrap w:val="0"/>
            <w:vAlign w:val="center"/>
          </w:tcPr>
          <w:p w14:paraId="087458C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37</w:t>
            </w:r>
          </w:p>
        </w:tc>
        <w:tc>
          <w:tcPr>
            <w:tcW w:w="2268" w:type="dxa"/>
            <w:noWrap w:val="0"/>
            <w:vAlign w:val="center"/>
          </w:tcPr>
          <w:p w14:paraId="617063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中标公告媒介</w:t>
            </w:r>
          </w:p>
          <w:p w14:paraId="6B53CB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及期限</w:t>
            </w:r>
          </w:p>
        </w:tc>
        <w:tc>
          <w:tcPr>
            <w:tcW w:w="6036" w:type="dxa"/>
            <w:noWrap w:val="0"/>
            <w:vAlign w:val="center"/>
          </w:tcPr>
          <w:p w14:paraId="3072778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公告媒介：《河南省政府采购网》、《三门峡市公共资源交易中心网》、《中国招标投标公共服务平台》</w:t>
            </w:r>
          </w:p>
          <w:p w14:paraId="0A63ACCB">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shd w:val="clear" w:color="auto" w:fill="FFFFFF"/>
                <w:lang w:bidi="ar"/>
              </w:rPr>
              <w:t>公告期限：1个工作日</w:t>
            </w:r>
          </w:p>
        </w:tc>
      </w:tr>
      <w:tr w14:paraId="6C4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1409200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bidi="ar"/>
              </w:rPr>
              <w:t>3</w:t>
            </w:r>
            <w:r>
              <w:rPr>
                <w:rFonts w:hint="eastAsia" w:ascii="宋体" w:hAnsi="宋体" w:eastAsia="宋体" w:cs="宋体"/>
                <w:sz w:val="24"/>
                <w:szCs w:val="24"/>
                <w:highlight w:val="none"/>
                <w:shd w:val="clear" w:color="auto" w:fill="FFFFFF"/>
                <w:lang w:val="en-US" w:eastAsia="zh-CN" w:bidi="ar"/>
              </w:rPr>
              <w:t>8</w:t>
            </w:r>
          </w:p>
        </w:tc>
        <w:tc>
          <w:tcPr>
            <w:tcW w:w="2268" w:type="dxa"/>
            <w:noWrap w:val="0"/>
            <w:vAlign w:val="center"/>
          </w:tcPr>
          <w:p w14:paraId="38C837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其他</w:t>
            </w:r>
          </w:p>
        </w:tc>
        <w:tc>
          <w:tcPr>
            <w:tcW w:w="6036" w:type="dxa"/>
            <w:noWrap w:val="0"/>
            <w:vAlign w:val="top"/>
          </w:tcPr>
          <w:p w14:paraId="3510AD2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本项目实行资格后审，根据优化营商环境的要求，评标时审查内容以</w:t>
            </w:r>
            <w:r>
              <w:rPr>
                <w:rFonts w:hint="eastAsia" w:ascii="宋体" w:hAnsi="宋体" w:eastAsia="宋体" w:cs="宋体"/>
                <w:sz w:val="24"/>
                <w:szCs w:val="24"/>
                <w:highlight w:val="none"/>
                <w:shd w:val="clear" w:color="auto" w:fill="FFFFFF"/>
                <w:lang w:val="en-US" w:eastAsia="zh-CN" w:bidi="ar"/>
              </w:rPr>
              <w:t>投标</w:t>
            </w:r>
            <w:r>
              <w:rPr>
                <w:rFonts w:hint="eastAsia" w:ascii="宋体" w:hAnsi="宋体" w:eastAsia="宋体" w:cs="宋体"/>
                <w:sz w:val="24"/>
                <w:szCs w:val="24"/>
                <w:highlight w:val="none"/>
                <w:shd w:val="clear" w:color="auto" w:fill="FFFFFF"/>
                <w:lang w:bidi="ar"/>
              </w:rPr>
              <w:t>文件为准：</w:t>
            </w:r>
          </w:p>
          <w:p w14:paraId="248E89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（1）资格评（预）审部分：资格评（预）以投标文件为准，其上传资料真实性由供应商自行承担，同时，供应商要完善主体库。</w:t>
            </w:r>
          </w:p>
          <w:p w14:paraId="425112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（2）评标打分部分：评标打分部分仍按照100分制原则进行，涉及到资格审查、企业荣誉、人员业绩、企业业绩等计分部分时，以投标单位自行上传到投标文件中的相应内容为准。</w:t>
            </w:r>
          </w:p>
          <w:p w14:paraId="0422653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投标文件编制部分：在投标文件中要求供应商按照投标文件格式进行投标文件编制，在投标文件编制时，应明确将投标单位企业基本情况、资质情况、人员情况、财务情况、业绩情况编入投标文件，便于进行资格审查及评标打分。</w:t>
            </w:r>
          </w:p>
          <w:p w14:paraId="0BBDC30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（4）我单位（采购人）严格按三财购（2021）9 号文要求的时限发布结果公告，发出</w:t>
            </w:r>
            <w:r>
              <w:rPr>
                <w:rFonts w:hint="eastAsia" w:ascii="宋体" w:hAnsi="宋体" w:eastAsia="宋体" w:cs="宋体"/>
                <w:sz w:val="24"/>
                <w:szCs w:val="24"/>
                <w:highlight w:val="none"/>
                <w:shd w:val="clear" w:color="auto" w:fill="FFFFFF"/>
                <w:lang w:val="en-US" w:eastAsia="zh-CN" w:bidi="ar"/>
              </w:rPr>
              <w:t>中标</w:t>
            </w:r>
            <w:r>
              <w:rPr>
                <w:rFonts w:hint="eastAsia" w:ascii="宋体" w:hAnsi="宋体" w:eastAsia="宋体" w:cs="宋体"/>
                <w:sz w:val="24"/>
                <w:szCs w:val="24"/>
                <w:highlight w:val="none"/>
                <w:shd w:val="clear" w:color="auto" w:fill="FFFFFF"/>
                <w:lang w:bidi="ar"/>
              </w:rPr>
              <w:t>通知书，签订采购合同，上传采购合同。</w:t>
            </w:r>
          </w:p>
        </w:tc>
      </w:tr>
      <w:tr w14:paraId="17F5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469BC5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39</w:t>
            </w:r>
          </w:p>
        </w:tc>
        <w:tc>
          <w:tcPr>
            <w:tcW w:w="2268" w:type="dxa"/>
            <w:noWrap w:val="0"/>
            <w:vAlign w:val="center"/>
          </w:tcPr>
          <w:p w14:paraId="7E9BA9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落实政府采购政策要求</w:t>
            </w:r>
          </w:p>
        </w:tc>
        <w:tc>
          <w:tcPr>
            <w:tcW w:w="6036" w:type="dxa"/>
            <w:noWrap w:val="0"/>
            <w:vAlign w:val="top"/>
          </w:tcPr>
          <w:p w14:paraId="23D02EA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促进中小微企业、监狱企业及残疾人福利性单位发展扶持政策、政府强制采购节能产品强制采购、节能产品及环境标志产品优先采购。不接受进口产品。</w:t>
            </w:r>
          </w:p>
        </w:tc>
      </w:tr>
      <w:tr w14:paraId="0118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14:paraId="2BB54A4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40</w:t>
            </w:r>
          </w:p>
        </w:tc>
        <w:tc>
          <w:tcPr>
            <w:tcW w:w="2268" w:type="dxa"/>
            <w:noWrap w:val="0"/>
            <w:vAlign w:val="center"/>
          </w:tcPr>
          <w:p w14:paraId="33FE8C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本项目对应的中小企业划分标准所属行业</w:t>
            </w:r>
          </w:p>
        </w:tc>
        <w:tc>
          <w:tcPr>
            <w:tcW w:w="6036" w:type="dxa"/>
            <w:noWrap w:val="0"/>
            <w:vAlign w:val="center"/>
          </w:tcPr>
          <w:p w14:paraId="52490A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其他专业技术服务业</w:t>
            </w:r>
          </w:p>
        </w:tc>
      </w:tr>
      <w:tr w14:paraId="009C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933" w:type="dxa"/>
            <w:noWrap w:val="0"/>
            <w:vAlign w:val="center"/>
          </w:tcPr>
          <w:p w14:paraId="330EDA2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41</w:t>
            </w:r>
          </w:p>
        </w:tc>
        <w:tc>
          <w:tcPr>
            <w:tcW w:w="2268" w:type="dxa"/>
            <w:noWrap w:val="0"/>
            <w:vAlign w:val="center"/>
          </w:tcPr>
          <w:p w14:paraId="53EE3D6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收费标准</w:t>
            </w:r>
          </w:p>
        </w:tc>
        <w:tc>
          <w:tcPr>
            <w:tcW w:w="6036" w:type="dxa"/>
            <w:noWrap w:val="0"/>
            <w:vAlign w:val="center"/>
          </w:tcPr>
          <w:p w14:paraId="60B377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shd w:val="clear" w:color="auto" w:fill="FFFFFF"/>
                <w:lang w:eastAsia="zh-CN" w:bidi="ar"/>
              </w:rPr>
            </w:pPr>
            <w:r>
              <w:rPr>
                <w:rFonts w:hint="eastAsia" w:ascii="宋体" w:hAnsi="宋体" w:eastAsia="宋体" w:cs="宋体"/>
                <w:sz w:val="24"/>
                <w:szCs w:val="24"/>
                <w:highlight w:val="none"/>
                <w:shd w:val="clear" w:color="auto" w:fill="FFFFFF"/>
                <w:lang w:bidi="ar"/>
              </w:rPr>
              <w:t>招标代理服务收费参照豫招协[2023]002号河南省招标投标协会关于印发《河南省招标代理服务收费指导意见》规定的收费标准收取中标服务费。招标代理服务收费按差额定率累进法计算。招标代理服务费取费的基数为成交金额。招标代理活动的所有费用由成交人支付。</w:t>
            </w:r>
          </w:p>
        </w:tc>
      </w:tr>
      <w:tr w14:paraId="5DCE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37" w:type="dxa"/>
            <w:gridSpan w:val="3"/>
            <w:noWrap w:val="0"/>
            <w:vAlign w:val="center"/>
          </w:tcPr>
          <w:p w14:paraId="56E59C63">
            <w:pPr>
              <w:keepNext w:val="0"/>
              <w:keepLines w:val="0"/>
              <w:pageBreakBefore w:val="0"/>
              <w:widowControl w:val="0"/>
              <w:kinsoku/>
              <w:wordWrap/>
              <w:overflowPunct/>
              <w:topLinePunct w:val="0"/>
              <w:autoSpaceDE/>
              <w:autoSpaceDN/>
              <w:bidi w:val="0"/>
              <w:adjustRightInd/>
              <w:snapToGrid/>
              <w:spacing w:line="360" w:lineRule="auto"/>
              <w:ind w:left="-26" w:firstLine="0" w:firstLineChars="0"/>
              <w:jc w:val="center"/>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电子化交易注意事项</w:t>
            </w:r>
          </w:p>
        </w:tc>
      </w:tr>
      <w:tr w14:paraId="770E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7" w:type="dxa"/>
            <w:gridSpan w:val="3"/>
            <w:noWrap w:val="0"/>
            <w:vAlign w:val="top"/>
          </w:tcPr>
          <w:p w14:paraId="7FA462E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6F43FA3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温馨提示：本项目为电子化、无纸化交易项目，开标时不接受任何纸质资料，为保证您能投标成功，请需仔细阅读以下条款。</w:t>
            </w:r>
          </w:p>
          <w:p w14:paraId="4E9580F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一、电子化投标</w:t>
            </w:r>
          </w:p>
          <w:p w14:paraId="18E1FF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（一）网上投标保证金的缴纳本项目不收取投标保证金。</w:t>
            </w:r>
          </w:p>
          <w:p w14:paraId="3D47AE4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（二）电子化投标文件的签章</w:t>
            </w:r>
          </w:p>
          <w:p w14:paraId="020A6D2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1、投标供应商在生成电子化投标文件后，应对电子化投标文件进行签章，未进行签章的视为无效投标。</w:t>
            </w:r>
          </w:p>
          <w:p w14:paraId="50B3AF4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2、招标文件中要求投标供应商盖章的，以签盖单位章为准；要求法定代表人签章的，以签盖法定代表人签章为准。</w:t>
            </w:r>
          </w:p>
          <w:p w14:paraId="5509020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（三）电子化投标文件的格式及上传投标文件具体操作详见</w:t>
            </w:r>
          </w:p>
          <w:p w14:paraId="0BACB6D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1、《三门峡市公共资源交易服务平台操作手册》。</w:t>
            </w:r>
          </w:p>
          <w:p w14:paraId="4DCBAA5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链接地址：</w:t>
            </w:r>
          </w:p>
          <w:p w14:paraId="2BD8F26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http://gzjy.smx.gov.cn/bzzx/008001/20200325/1d4d9bd4-82a2-4284-b2f7-428c4c69ef58.html</w:t>
            </w:r>
          </w:p>
          <w:p w14:paraId="6479BE1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2、三门峡市公共资源交易服务平台投标制作工具下载地址</w:t>
            </w:r>
          </w:p>
          <w:p w14:paraId="041775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https://download.bqpoint.com/download/downloaddetail.html?SourceFrom=Ztb&amp;ZtbSoftXiaQuCode=1506&amp;ZtbSoftType=tballinclusive</w:t>
            </w:r>
          </w:p>
          <w:p w14:paraId="4460F11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3、电子化投标文件应在投标截止时间前成功上传至三门峡市公共资源电子化交易系统。至投标截止时间止，仍未上传成功的电子化投标文件将不予接收。</w:t>
            </w:r>
          </w:p>
          <w:p w14:paraId="4AC6657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5F76B1A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技术联系电话：0398-3117095   3117080</w:t>
            </w:r>
          </w:p>
          <w:p w14:paraId="0B60CC4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新点客服电话</w:t>
            </w:r>
            <w:r>
              <w:rPr>
                <w:rFonts w:hint="eastAsia" w:ascii="宋体" w:hAnsi="宋体" w:eastAsia="宋体" w:cs="宋体"/>
                <w:b/>
                <w:bCs/>
                <w:sz w:val="24"/>
                <w:szCs w:val="24"/>
                <w:highlight w:val="none"/>
                <w:shd w:val="clear" w:color="auto" w:fill="FFFFFF"/>
                <w:lang w:eastAsia="zh-CN" w:bidi="ar"/>
              </w:rPr>
              <w:t>：</w:t>
            </w:r>
            <w:r>
              <w:rPr>
                <w:rFonts w:hint="eastAsia" w:ascii="宋体" w:hAnsi="宋体" w:eastAsia="宋体" w:cs="宋体"/>
                <w:b/>
                <w:bCs/>
                <w:sz w:val="24"/>
                <w:szCs w:val="24"/>
                <w:highlight w:val="none"/>
                <w:shd w:val="clear" w:color="auto" w:fill="FFFFFF"/>
                <w:lang w:bidi="ar"/>
              </w:rPr>
              <w:t>4009980000</w:t>
            </w:r>
          </w:p>
          <w:p w14:paraId="79FA486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（四）电子化项目开标、解密、唱标、评标</w:t>
            </w:r>
          </w:p>
          <w:p w14:paraId="65E5CA5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w:t>
            </w:r>
            <w:r>
              <w:rPr>
                <w:rFonts w:hint="eastAsia" w:ascii="宋体" w:hAnsi="宋体" w:eastAsia="宋体" w:cs="宋体"/>
                <w:sz w:val="24"/>
                <w:szCs w:val="24"/>
                <w:highlight w:val="none"/>
              </w:rPr>
              <w:t>本项目为不见面开标项目</w:t>
            </w:r>
            <w:r>
              <w:rPr>
                <w:rFonts w:hint="eastAsia" w:ascii="宋体" w:hAnsi="宋体" w:eastAsia="宋体" w:cs="宋体"/>
                <w:sz w:val="24"/>
                <w:szCs w:val="24"/>
                <w:highlight w:val="none"/>
                <w:shd w:val="clear" w:color="auto" w:fill="FFFFFF"/>
                <w:lang w:bidi="ar"/>
              </w:rPr>
              <w:t>，开标当日，投标供应商无需到开标现场参加开标会议，投标供应商应当在投标截止时间前，登陆不见面开标大厅选择登陆三门峡市公共资源电子招投标系统进行登陆（网址为</w:t>
            </w:r>
          </w:p>
          <w:p w14:paraId="3A6EDA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http://120.194.249.36:10094/BidOpening/bidopeninghallaction/hall/login</w:t>
            </w:r>
            <w:r>
              <w:rPr>
                <w:rFonts w:hint="eastAsia" w:ascii="宋体" w:hAnsi="宋体" w:eastAsia="宋体" w:cs="宋体"/>
                <w:sz w:val="24"/>
                <w:szCs w:val="24"/>
                <w:highlight w:val="none"/>
                <w:shd w:val="clear" w:color="auto" w:fill="FFFFFF"/>
                <w:lang w:bidi="ar"/>
              </w:rPr>
              <w:t>）,在线准时参加开标活动并进行投标文件解密等。</w:t>
            </w:r>
            <w:r>
              <w:rPr>
                <w:rFonts w:hint="eastAsia" w:ascii="宋体" w:hAnsi="宋体" w:eastAsia="宋体" w:cs="宋体"/>
                <w:sz w:val="24"/>
                <w:szCs w:val="24"/>
                <w:highlight w:val="none"/>
              </w:rPr>
              <w:t>每位供应商的解密时间为开标时间起30分钟内完成。未按时解密的其投标将被否决。因供应商原因未能解密、解密失败或解密超时的将被拒绝。</w:t>
            </w:r>
          </w:p>
          <w:p w14:paraId="00FCCD9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13D849B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3、电子化投标文件解密异常的处理</w:t>
            </w:r>
          </w:p>
          <w:p w14:paraId="191226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如出现投标供应商的电子投标文件无法解密等异常情况，投标供应商应及时致电中介服务机构说明。投标文件异常，按以下步骤进行处理：</w:t>
            </w:r>
          </w:p>
          <w:p w14:paraId="3AC7860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（1）首先由技术人员进行问题排查。</w:t>
            </w:r>
          </w:p>
          <w:p w14:paraId="0B92B30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（2）经技术人员排查后，是投标供应商文件自身问题导致投标文件无法解密的，该投标文件将不予接收、解密和唱标。开标会议继续进行。</w:t>
            </w:r>
          </w:p>
          <w:p w14:paraId="43B1FF6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67B906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4、待所有投标供应商投标文件解密完成后，由中介服务机构操作，对所有已解密投标文件进行唱标。</w:t>
            </w:r>
          </w:p>
          <w:p w14:paraId="0718227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bCs/>
                <w:sz w:val="24"/>
                <w:szCs w:val="24"/>
                <w:highlight w:val="none"/>
                <w:shd w:val="clear" w:color="auto" w:fill="FFFFFF"/>
                <w:lang w:bidi="ar"/>
              </w:rPr>
              <w:t>投标供应商应保证在开标期间电话、电脑、网络能够正常工作，投标供应商因停电、电脑病毒、网络堵塞等原因，未在规定的解密时间内对投标文件进行解密的，其投标文件不予接收、唱标。</w:t>
            </w:r>
          </w:p>
          <w:p w14:paraId="5352A31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ED41E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4590F5C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7、如评标委员会对需要回复的投标供应商连续三次致电未接通的，视为投标供应商放弃回复，评标委员会将自行对需要回复的内容进行认定。</w:t>
            </w:r>
          </w:p>
          <w:p w14:paraId="0FEB706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F1F38D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提示：本项目为电子化、无纸化交易项目，为保证您能投标成功，请需仔细阅读以上条款。</w:t>
            </w:r>
          </w:p>
        </w:tc>
      </w:tr>
    </w:tbl>
    <w:p w14:paraId="2A8D8690">
      <w:pPr>
        <w:kinsoku/>
        <w:wordWrap/>
        <w:overflowPunct/>
        <w:bidi w:val="0"/>
        <w:spacing w:line="360" w:lineRule="auto"/>
        <w:jc w:val="center"/>
        <w:rPr>
          <w:rFonts w:hint="eastAsia" w:ascii="宋体" w:hAnsi="宋体" w:eastAsia="宋体" w:cs="宋体"/>
          <w:b/>
          <w:bCs/>
          <w:sz w:val="32"/>
          <w:szCs w:val="32"/>
          <w:highlight w:val="none"/>
          <w:lang w:val="en-US" w:eastAsia="zh-CN"/>
        </w:rPr>
      </w:pPr>
    </w:p>
    <w:bookmarkEnd w:id="14"/>
    <w:bookmarkEnd w:id="15"/>
    <w:bookmarkEnd w:id="16"/>
    <w:bookmarkEnd w:id="17"/>
    <w:p w14:paraId="747EBD24">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19" w:name="_Toc20978"/>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总则</w:t>
      </w:r>
      <w:bookmarkEnd w:id="19"/>
    </w:p>
    <w:p w14:paraId="518BE63A">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0" w:name="_Toc113891900"/>
      <w:bookmarkStart w:id="21" w:name="_Toc113892412"/>
      <w:bookmarkStart w:id="22" w:name="_Toc28234"/>
      <w:r>
        <w:rPr>
          <w:rFonts w:hint="eastAsia" w:ascii="宋体" w:hAnsi="宋体" w:eastAsia="宋体" w:cs="宋体"/>
          <w:b/>
          <w:bCs/>
          <w:sz w:val="24"/>
          <w:szCs w:val="24"/>
          <w:highlight w:val="none"/>
        </w:rPr>
        <w:t>1、适用范围</w:t>
      </w:r>
      <w:bookmarkEnd w:id="20"/>
      <w:bookmarkEnd w:id="21"/>
      <w:bookmarkEnd w:id="22"/>
    </w:p>
    <w:p w14:paraId="2C1C452D">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本招标文件仅适用于招标文件中所述货物及有关服务的采购。</w:t>
      </w:r>
    </w:p>
    <w:p w14:paraId="29DA7A5E">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本次招标适用的法律法规：《中华人民共和国政府采购法》、《中华人民共和国政府采购法实施条例》、《政府采购货物和服务招标投标管理办法》等政府采购有关法律法规。</w:t>
      </w:r>
    </w:p>
    <w:p w14:paraId="792A85A8">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3" w:name="_Toc29480"/>
      <w:bookmarkStart w:id="24" w:name="_Toc113892413"/>
      <w:bookmarkStart w:id="25" w:name="_Toc113891901"/>
      <w:r>
        <w:rPr>
          <w:rFonts w:hint="eastAsia" w:ascii="宋体" w:hAnsi="宋体" w:eastAsia="宋体" w:cs="宋体"/>
          <w:b/>
          <w:bCs/>
          <w:sz w:val="24"/>
          <w:szCs w:val="24"/>
          <w:highlight w:val="none"/>
        </w:rPr>
        <w:t>2、定义与解释</w:t>
      </w:r>
      <w:bookmarkEnd w:id="23"/>
      <w:bookmarkEnd w:id="24"/>
      <w:bookmarkEnd w:id="25"/>
    </w:p>
    <w:p w14:paraId="23BC31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 采购人：依法进行政府采购的国家机关、事业单位、团体组织。</w:t>
      </w:r>
    </w:p>
    <w:p w14:paraId="418B8C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采购代理机构：受采购人委托组织招标活动，在招标过程中负有相应义务和责任的社会中介组织。</w:t>
      </w:r>
    </w:p>
    <w:p w14:paraId="029276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供应商：系指是指响应招标、参加投标竞争的法人或者其他组织。</w:t>
      </w:r>
    </w:p>
    <w:p w14:paraId="311F05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货物：系指投标供应商按招标文件规定而提供的货物及其他有关资料和材料。</w:t>
      </w:r>
    </w:p>
    <w:p w14:paraId="483516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服务：系指投标供应商按招标文件提供的服务。</w:t>
      </w:r>
    </w:p>
    <w:p w14:paraId="22407E2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 评标委员会：是指按照《中华人民共和国政府采购法》和《评标委员会和评标方法暂行规定》的规定组建的专门负责本次招标的评标工作的临时机构。</w:t>
      </w:r>
    </w:p>
    <w:p w14:paraId="4865A2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 日期、天数、时间：无特别说明时是指公历日及北京时间。</w:t>
      </w:r>
    </w:p>
    <w:p w14:paraId="273EE800">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6" w:name="_Toc5001"/>
      <w:r>
        <w:rPr>
          <w:rFonts w:hint="eastAsia" w:ascii="宋体" w:hAnsi="宋体" w:eastAsia="宋体" w:cs="宋体"/>
          <w:b/>
          <w:bCs/>
          <w:sz w:val="24"/>
          <w:szCs w:val="24"/>
          <w:highlight w:val="none"/>
        </w:rPr>
        <w:t>3、合格供应商</w:t>
      </w:r>
      <w:bookmarkEnd w:id="26"/>
    </w:p>
    <w:p w14:paraId="50F55DCF">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满足招标</w:t>
      </w:r>
      <w:r>
        <w:rPr>
          <w:rFonts w:hint="eastAsia" w:ascii="宋体" w:hAnsi="宋体" w:eastAsia="宋体" w:cs="宋体"/>
          <w:sz w:val="24"/>
          <w:szCs w:val="24"/>
          <w:highlight w:val="none"/>
          <w:lang w:val="en-US" w:eastAsia="zh-CN"/>
        </w:rPr>
        <w:t>公告第</w:t>
      </w:r>
      <w:r>
        <w:rPr>
          <w:rFonts w:hint="eastAsia" w:ascii="宋体" w:hAnsi="宋体" w:eastAsia="宋体" w:cs="宋体"/>
          <w:b w:val="0"/>
          <w:bCs w:val="0"/>
          <w:sz w:val="24"/>
          <w:szCs w:val="24"/>
          <w:highlight w:val="none"/>
          <w:shd w:val="clear" w:color="auto" w:fill="FFFFFF"/>
          <w:lang w:bidi="ar"/>
        </w:rPr>
        <w:t>二</w:t>
      </w:r>
      <w:r>
        <w:rPr>
          <w:rFonts w:hint="eastAsia" w:ascii="宋体" w:hAnsi="宋体" w:eastAsia="宋体" w:cs="宋体"/>
          <w:b w:val="0"/>
          <w:bCs w:val="0"/>
          <w:sz w:val="24"/>
          <w:szCs w:val="24"/>
          <w:highlight w:val="none"/>
          <w:shd w:val="clear" w:color="auto" w:fill="FFFFFF"/>
          <w:lang w:val="en-US" w:eastAsia="zh-CN" w:bidi="ar"/>
        </w:rPr>
        <w:t>条“</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b w:val="0"/>
          <w:bCs w:val="0"/>
          <w:sz w:val="24"/>
          <w:szCs w:val="24"/>
          <w:highlight w:val="none"/>
          <w:shd w:val="clear" w:color="auto" w:fill="FFFFFF"/>
          <w:lang w:bidi="ar"/>
        </w:rPr>
        <w:t>资格要求</w:t>
      </w:r>
      <w:r>
        <w:rPr>
          <w:rFonts w:hint="eastAsia" w:ascii="宋体" w:hAnsi="宋体" w:eastAsia="宋体" w:cs="宋体"/>
          <w:b w:val="0"/>
          <w:bCs w:val="0"/>
          <w:sz w:val="24"/>
          <w:szCs w:val="24"/>
          <w:highlight w:val="none"/>
          <w:shd w:val="clear" w:color="auto" w:fill="FFFFFF"/>
          <w:lang w:eastAsia="zh-CN" w:bidi="ar"/>
        </w:rPr>
        <w:t>”。</w:t>
      </w:r>
    </w:p>
    <w:p w14:paraId="3CE56594">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满足招标文件前附表要求。</w:t>
      </w:r>
    </w:p>
    <w:p w14:paraId="2104CB42">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供应商不得存在下列情形之一： </w:t>
      </w:r>
    </w:p>
    <w:p w14:paraId="508CE205">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（1）与采购人或采购代理机构存在利害关系且可能影响招标公正性；</w:t>
      </w:r>
    </w:p>
    <w:p w14:paraId="3513BC23">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（2）与本招标项目的其他供应商为同一个单位负责人； </w:t>
      </w:r>
    </w:p>
    <w:p w14:paraId="4A07CEF5">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（3）与本招标项目的其他供应商存在直接控股、管理关系； </w:t>
      </w:r>
    </w:p>
    <w:p w14:paraId="015FA58E">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（4）参加政府采购活动前 3 年内未因违法经营受到刑事处罚或者责令停产停业、吊销许可证或者执照、较大数额罚款等行政处罚；</w:t>
      </w:r>
    </w:p>
    <w:p w14:paraId="3CAFA3B3">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7" w:name="_Toc12137"/>
      <w:bookmarkStart w:id="28" w:name="_Toc113891902"/>
      <w:bookmarkStart w:id="29" w:name="_Toc113892414"/>
      <w:r>
        <w:rPr>
          <w:rFonts w:hint="eastAsia" w:ascii="宋体" w:hAnsi="宋体" w:eastAsia="宋体" w:cs="宋体"/>
          <w:b/>
          <w:bCs/>
          <w:sz w:val="24"/>
          <w:szCs w:val="24"/>
          <w:highlight w:val="none"/>
        </w:rPr>
        <w:t>4、投标费用</w:t>
      </w:r>
      <w:bookmarkEnd w:id="27"/>
      <w:bookmarkEnd w:id="28"/>
      <w:bookmarkEnd w:id="29"/>
    </w:p>
    <w:p w14:paraId="4202B291">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供应商应自行承担所有准备和参加投标有关的全部费用。不论投标的结果如何，采购代理机构和采购人均无义务和责任承担这些费用。</w:t>
      </w:r>
    </w:p>
    <w:p w14:paraId="35D369CD">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30" w:name="_Toc517338585"/>
      <w:bookmarkStart w:id="31" w:name="_Toc113891903"/>
      <w:bookmarkStart w:id="32" w:name="_Toc509822565"/>
      <w:bookmarkStart w:id="33" w:name="_Toc22702"/>
      <w:bookmarkStart w:id="34" w:name="_Toc479341556"/>
      <w:bookmarkStart w:id="35" w:name="_Toc522288449"/>
      <w:bookmarkStart w:id="36" w:name="_Toc1776"/>
      <w:bookmarkStart w:id="37" w:name="_Toc508113507"/>
      <w:bookmarkStart w:id="38" w:name="_Toc113892415"/>
      <w:r>
        <w:rPr>
          <w:rFonts w:hint="eastAsia" w:ascii="宋体" w:hAnsi="宋体" w:eastAsia="宋体" w:cs="宋体"/>
          <w:b/>
          <w:bCs/>
          <w:sz w:val="24"/>
          <w:szCs w:val="24"/>
          <w:highlight w:val="none"/>
        </w:rPr>
        <w:t>5、保密</w:t>
      </w:r>
      <w:bookmarkEnd w:id="30"/>
      <w:bookmarkEnd w:id="31"/>
      <w:bookmarkEnd w:id="32"/>
      <w:bookmarkEnd w:id="33"/>
      <w:bookmarkEnd w:id="34"/>
      <w:bookmarkEnd w:id="35"/>
      <w:bookmarkEnd w:id="36"/>
      <w:bookmarkEnd w:id="37"/>
      <w:bookmarkEnd w:id="38"/>
    </w:p>
    <w:p w14:paraId="5F708D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参与招标投标活动的各方应对采购文件和投标文件中的商业和技术等秘密保密，违者应对由此造成的后果承担法律责任。 </w:t>
      </w:r>
    </w:p>
    <w:p w14:paraId="358F5DFF">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39" w:name="_Toc113892416"/>
      <w:bookmarkStart w:id="40" w:name="_Toc22611"/>
      <w:bookmarkStart w:id="41" w:name="_Toc113891904"/>
      <w:r>
        <w:rPr>
          <w:rFonts w:hint="eastAsia" w:ascii="宋体" w:hAnsi="宋体" w:eastAsia="宋体" w:cs="宋体"/>
          <w:b/>
          <w:bCs/>
          <w:sz w:val="24"/>
          <w:szCs w:val="24"/>
          <w:highlight w:val="none"/>
        </w:rPr>
        <w:t>6、知识产权</w:t>
      </w:r>
      <w:bookmarkEnd w:id="39"/>
      <w:bookmarkEnd w:id="40"/>
      <w:bookmarkEnd w:id="41"/>
    </w:p>
    <w:p w14:paraId="19D27E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14:paraId="08D913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供应商如欲在项目实施过程中采用自有知识成果，须在投标文件中声明，并提供相关知识产权证明文件。</w:t>
      </w:r>
    </w:p>
    <w:p w14:paraId="476DF2EE">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42" w:name="_Toc479341563"/>
      <w:bookmarkStart w:id="43" w:name="_Toc517338592"/>
      <w:bookmarkStart w:id="44" w:name="_Toc30950"/>
      <w:bookmarkStart w:id="45" w:name="_Toc508873147"/>
      <w:bookmarkStart w:id="46" w:name="_Toc508113514"/>
      <w:bookmarkStart w:id="47" w:name="_Toc4079"/>
      <w:bookmarkStart w:id="48" w:name="_Toc525836311"/>
      <w:r>
        <w:rPr>
          <w:rFonts w:hint="eastAsia" w:ascii="宋体" w:hAnsi="宋体" w:eastAsia="宋体" w:cs="宋体"/>
          <w:b/>
          <w:bCs/>
          <w:sz w:val="24"/>
          <w:szCs w:val="24"/>
          <w:highlight w:val="none"/>
        </w:rPr>
        <w:t>二、招标文件</w:t>
      </w:r>
      <w:bookmarkEnd w:id="42"/>
      <w:bookmarkEnd w:id="43"/>
      <w:bookmarkEnd w:id="44"/>
      <w:bookmarkEnd w:id="45"/>
      <w:bookmarkEnd w:id="46"/>
      <w:bookmarkEnd w:id="47"/>
      <w:bookmarkEnd w:id="48"/>
    </w:p>
    <w:p w14:paraId="3BAA3E7B">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49" w:name="_Toc113892418"/>
      <w:bookmarkStart w:id="50" w:name="_Toc509822573"/>
      <w:bookmarkStart w:id="51" w:name="_Toc517338593"/>
      <w:bookmarkStart w:id="52" w:name="_Toc113891906"/>
      <w:bookmarkStart w:id="53" w:name="_Toc29352"/>
      <w:bookmarkStart w:id="54" w:name="_Toc508113515"/>
      <w:bookmarkStart w:id="55" w:name="_Toc522288457"/>
      <w:bookmarkStart w:id="56" w:name="_Toc479341564"/>
      <w:bookmarkStart w:id="57" w:name="_Toc2750"/>
      <w:r>
        <w:rPr>
          <w:rFonts w:hint="eastAsia" w:ascii="宋体" w:hAnsi="宋体" w:eastAsia="宋体" w:cs="宋体"/>
          <w:b/>
          <w:bCs/>
          <w:sz w:val="24"/>
          <w:szCs w:val="24"/>
          <w:highlight w:val="none"/>
        </w:rPr>
        <w:t>7、招标文件的组成</w:t>
      </w:r>
      <w:bookmarkEnd w:id="49"/>
      <w:bookmarkEnd w:id="50"/>
      <w:bookmarkEnd w:id="51"/>
      <w:bookmarkEnd w:id="52"/>
      <w:bookmarkEnd w:id="53"/>
      <w:bookmarkEnd w:id="54"/>
      <w:bookmarkEnd w:id="55"/>
      <w:bookmarkEnd w:id="56"/>
      <w:bookmarkEnd w:id="57"/>
    </w:p>
    <w:p w14:paraId="2611D8A9">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要求提供的本次服务要求、招标过程和合同条款在招标文件中均有说明。招标文件由下述部分组成：</w:t>
      </w:r>
    </w:p>
    <w:p w14:paraId="5EDFB8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第一章 招标公告；</w:t>
      </w:r>
    </w:p>
    <w:p w14:paraId="32E08B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第二章 供应商须知；</w:t>
      </w:r>
    </w:p>
    <w:p w14:paraId="1ADEBB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第三章 </w:t>
      </w:r>
      <w:r>
        <w:rPr>
          <w:rFonts w:hint="eastAsia" w:ascii="宋体" w:hAnsi="宋体" w:eastAsia="宋体" w:cs="宋体"/>
          <w:sz w:val="24"/>
          <w:szCs w:val="24"/>
          <w:highlight w:val="none"/>
          <w:lang w:eastAsia="zh-CN"/>
        </w:rPr>
        <w:t>服务内容及要求</w:t>
      </w:r>
      <w:r>
        <w:rPr>
          <w:rFonts w:hint="eastAsia" w:ascii="宋体" w:hAnsi="宋体" w:eastAsia="宋体" w:cs="宋体"/>
          <w:sz w:val="24"/>
          <w:szCs w:val="24"/>
          <w:highlight w:val="none"/>
        </w:rPr>
        <w:t>；</w:t>
      </w:r>
    </w:p>
    <w:p w14:paraId="28278D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评标办法</w:t>
      </w:r>
      <w:r>
        <w:rPr>
          <w:rFonts w:hint="eastAsia" w:ascii="宋体" w:hAnsi="宋体" w:eastAsia="宋体" w:cs="宋体"/>
          <w:sz w:val="24"/>
          <w:szCs w:val="24"/>
          <w:highlight w:val="none"/>
          <w:lang w:eastAsia="zh-CN"/>
        </w:rPr>
        <w:t>（综合评分法）</w:t>
      </w:r>
      <w:r>
        <w:rPr>
          <w:rFonts w:hint="eastAsia" w:ascii="宋体" w:hAnsi="宋体" w:eastAsia="宋体" w:cs="宋体"/>
          <w:sz w:val="24"/>
          <w:szCs w:val="24"/>
          <w:highlight w:val="none"/>
        </w:rPr>
        <w:t>；</w:t>
      </w:r>
    </w:p>
    <w:p w14:paraId="00C52C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第五章 合同条款及格式；</w:t>
      </w:r>
    </w:p>
    <w:p w14:paraId="3C58EE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投标文件格式。</w:t>
      </w:r>
    </w:p>
    <w:p w14:paraId="353326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根据本章第8款对招标文件所作的澄清、修改，均构成招标文件的组成部分。</w:t>
      </w:r>
    </w:p>
    <w:p w14:paraId="426AFF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认真阅读招标文件中所有的事项、格式、条款和技术规格等。供应商没有按照招标文件要求提交全部资料，或者投标没有对招标文件在各方面都作出实质性响应是供应商的风险，并可能导致其投标被拒绝。</w:t>
      </w:r>
    </w:p>
    <w:p w14:paraId="43E832D7">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58" w:name="_Toc517338594"/>
      <w:bookmarkStart w:id="59" w:name="_Toc522288458"/>
      <w:bookmarkStart w:id="60" w:name="_Toc509822574"/>
      <w:bookmarkStart w:id="61" w:name="_Toc479341565"/>
      <w:bookmarkStart w:id="62" w:name="_Toc11139"/>
      <w:bookmarkStart w:id="63" w:name="_Toc508113516"/>
      <w:bookmarkStart w:id="64" w:name="_Toc1691"/>
      <w:bookmarkStart w:id="65" w:name="_Toc113892419"/>
      <w:bookmarkStart w:id="66" w:name="_Toc113891907"/>
      <w:r>
        <w:rPr>
          <w:rFonts w:hint="eastAsia" w:ascii="宋体" w:hAnsi="宋体" w:eastAsia="宋体" w:cs="宋体"/>
          <w:b/>
          <w:bCs/>
          <w:sz w:val="24"/>
          <w:szCs w:val="24"/>
          <w:highlight w:val="none"/>
        </w:rPr>
        <w:t>8、招标文件的澄清</w:t>
      </w:r>
      <w:bookmarkEnd w:id="58"/>
      <w:bookmarkEnd w:id="59"/>
      <w:bookmarkEnd w:id="60"/>
      <w:bookmarkEnd w:id="61"/>
      <w:bookmarkEnd w:id="62"/>
      <w:bookmarkEnd w:id="63"/>
      <w:r>
        <w:rPr>
          <w:rFonts w:hint="eastAsia" w:ascii="宋体" w:hAnsi="宋体" w:eastAsia="宋体" w:cs="宋体"/>
          <w:b/>
          <w:bCs/>
          <w:sz w:val="24"/>
          <w:szCs w:val="24"/>
          <w:highlight w:val="none"/>
        </w:rPr>
        <w:t>或修改</w:t>
      </w:r>
      <w:bookmarkEnd w:id="64"/>
      <w:bookmarkEnd w:id="65"/>
      <w:bookmarkEnd w:id="66"/>
    </w:p>
    <w:p w14:paraId="4AB2524E">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招标文件的澄清</w:t>
      </w:r>
    </w:p>
    <w:p w14:paraId="60D79D19">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bookmarkStart w:id="67" w:name="_Toc508113517"/>
      <w:r>
        <w:rPr>
          <w:rFonts w:hint="eastAsia" w:ascii="宋体" w:hAnsi="宋体" w:eastAsia="宋体" w:cs="宋体"/>
          <w:sz w:val="24"/>
          <w:szCs w:val="24"/>
          <w:highlight w:val="none"/>
        </w:rPr>
        <w:t>8.1.1 供应商应仔细阅读和检查招标文件的全部内容。如发现缺页或附件不全，应及时向采购人提出，以便补齐。如有疑问，应在供应商须知前附表规定的时间前在三门峡市公共资源交易系统中提出质询，要求采购人对招标文件予以澄清。</w:t>
      </w:r>
      <w:bookmarkEnd w:id="67"/>
    </w:p>
    <w:p w14:paraId="0A73BBE4">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bookmarkStart w:id="68" w:name="_Toc508113518"/>
      <w:r>
        <w:rPr>
          <w:rFonts w:hint="eastAsia" w:ascii="宋体" w:hAnsi="宋体" w:eastAsia="宋体" w:cs="宋体"/>
          <w:sz w:val="24"/>
          <w:szCs w:val="24"/>
          <w:highlight w:val="none"/>
        </w:rPr>
        <w:t>8.1.2 招标文件的澄清以澄清回复的方式在三门峡市公共资源交易系统中回复所有报名完成的供应商或公开发布澄清公告，但不指明澄清问题的来源。如果澄清发出的时间距投标截止时间不足15日的，并且澄清内容可能影响投标文件编制的，将相应延长投标截止时间。</w:t>
      </w:r>
      <w:bookmarkEnd w:id="68"/>
    </w:p>
    <w:p w14:paraId="502F0932">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bookmarkStart w:id="69" w:name="_Toc508113519"/>
      <w:r>
        <w:rPr>
          <w:rFonts w:hint="eastAsia" w:ascii="宋体" w:hAnsi="宋体" w:eastAsia="宋体" w:cs="宋体"/>
          <w:sz w:val="24"/>
          <w:szCs w:val="24"/>
          <w:highlight w:val="none"/>
        </w:rPr>
        <w:t>8.1.3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供应商应登录三门峡市公共资源交易系统自行查看澄清信息或在澄清公告发布相关网站（同招标公告发布媒介）自行查看招标文件澄清信息。</w:t>
      </w:r>
      <w:bookmarkEnd w:id="69"/>
    </w:p>
    <w:p w14:paraId="6BAF12B7">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bookmarkStart w:id="70" w:name="_Toc144974513"/>
      <w:bookmarkStart w:id="71" w:name="_Toc479341566"/>
      <w:bookmarkStart w:id="72" w:name="_Toc152045545"/>
      <w:bookmarkStart w:id="73" w:name="_Toc508113520"/>
      <w:bookmarkStart w:id="74" w:name="_Toc509822575"/>
      <w:bookmarkStart w:id="75" w:name="_Toc517338595"/>
      <w:bookmarkStart w:id="76" w:name="_Toc522288459"/>
      <w:bookmarkStart w:id="77" w:name="_Toc1728"/>
      <w:bookmarkStart w:id="78" w:name="_Toc179632563"/>
      <w:bookmarkStart w:id="79" w:name="_Toc152042321"/>
      <w:r>
        <w:rPr>
          <w:rFonts w:hint="eastAsia" w:ascii="宋体" w:hAnsi="宋体" w:eastAsia="宋体" w:cs="宋体"/>
          <w:sz w:val="24"/>
          <w:szCs w:val="24"/>
          <w:highlight w:val="none"/>
        </w:rPr>
        <w:t>8.2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招标文件的修改</w:t>
      </w:r>
      <w:bookmarkEnd w:id="70"/>
      <w:bookmarkEnd w:id="71"/>
      <w:bookmarkEnd w:id="72"/>
      <w:bookmarkEnd w:id="73"/>
      <w:bookmarkEnd w:id="74"/>
      <w:bookmarkEnd w:id="75"/>
      <w:bookmarkEnd w:id="76"/>
      <w:bookmarkEnd w:id="77"/>
      <w:bookmarkEnd w:id="78"/>
      <w:bookmarkEnd w:id="79"/>
    </w:p>
    <w:p w14:paraId="6EC2E50D">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在投标截止时间15天前，采购人可以修改招标文件，并以变更公告形式通知所有已获取招标文件的供应商，不再发放纸质的变更信息。供应商应随时注意网上发布的信息。如果修改招标文件的时间距投标截止时间不足15日的，并且修改内容可能影响投标文件编制的，将相应延长投标截止时间。 </w:t>
      </w:r>
    </w:p>
    <w:p w14:paraId="285C8C0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供应商应在变更公告发布相关网站（同招标公告发布媒介）自行查看招标文件修改信息。</w:t>
      </w:r>
    </w:p>
    <w:p w14:paraId="6636CE79">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 矛盾文件处理</w:t>
      </w:r>
    </w:p>
    <w:p w14:paraId="15AE652F">
      <w:pPr>
        <w:pStyle w:val="17"/>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当招标文件、澄清文件、修改文件等文件内容相互矛盾时，以后发生的文件内容为准。</w:t>
      </w:r>
    </w:p>
    <w:p w14:paraId="4C5459B5">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80" w:name="_Toc479341567"/>
      <w:bookmarkStart w:id="81" w:name="_Toc508113521"/>
      <w:bookmarkStart w:id="82" w:name="_Toc517338596"/>
      <w:bookmarkStart w:id="83" w:name="_Toc508873148"/>
      <w:bookmarkStart w:id="84" w:name="_Toc525836312"/>
      <w:bookmarkStart w:id="85" w:name="_Toc15117"/>
      <w:bookmarkStart w:id="86" w:name="_Toc6810"/>
      <w:r>
        <w:rPr>
          <w:rFonts w:hint="eastAsia" w:ascii="宋体" w:hAnsi="宋体" w:eastAsia="宋体" w:cs="宋体"/>
          <w:b/>
          <w:bCs/>
          <w:sz w:val="24"/>
          <w:szCs w:val="24"/>
          <w:highlight w:val="none"/>
        </w:rPr>
        <w:t>三、投标文件</w:t>
      </w:r>
      <w:bookmarkEnd w:id="80"/>
      <w:bookmarkEnd w:id="81"/>
      <w:bookmarkEnd w:id="82"/>
      <w:bookmarkEnd w:id="83"/>
      <w:bookmarkEnd w:id="84"/>
      <w:bookmarkEnd w:id="85"/>
      <w:bookmarkEnd w:id="86"/>
    </w:p>
    <w:p w14:paraId="7781470C">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87" w:name="_Toc113892421"/>
      <w:bookmarkStart w:id="88" w:name="_Toc8840"/>
      <w:bookmarkStart w:id="89" w:name="_Toc113891909"/>
      <w:r>
        <w:rPr>
          <w:rFonts w:hint="eastAsia" w:ascii="宋体" w:hAnsi="宋体" w:eastAsia="宋体" w:cs="宋体"/>
          <w:b/>
          <w:bCs/>
          <w:sz w:val="24"/>
          <w:szCs w:val="24"/>
          <w:highlight w:val="none"/>
        </w:rPr>
        <w:t>9、特别说明</w:t>
      </w:r>
      <w:bookmarkEnd w:id="87"/>
      <w:bookmarkEnd w:id="88"/>
      <w:bookmarkEnd w:id="89"/>
    </w:p>
    <w:p w14:paraId="5713A201">
      <w:pPr>
        <w:pageBreakBefore w:val="0"/>
        <w:widowControl w:val="0"/>
        <w:tabs>
          <w:tab w:val="left" w:pos="1080"/>
          <w:tab w:val="left" w:pos="12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投标语言</w:t>
      </w:r>
    </w:p>
    <w:p w14:paraId="2BD48BEE">
      <w:pPr>
        <w:pageBreakBefore w:val="0"/>
        <w:widowControl w:val="0"/>
        <w:tabs>
          <w:tab w:val="left" w:pos="1080"/>
          <w:tab w:val="left" w:pos="12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供应商提交的投标文件以及供应商有关投标的所有来往函电均应使用简体中文。</w:t>
      </w:r>
    </w:p>
    <w:p w14:paraId="5E5030C8">
      <w:pPr>
        <w:pageBreakBefore w:val="0"/>
        <w:widowControl w:val="0"/>
        <w:tabs>
          <w:tab w:val="left" w:pos="1080"/>
          <w:tab w:val="left" w:pos="12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计量</w:t>
      </w:r>
    </w:p>
    <w:p w14:paraId="7E1CCF95">
      <w:pPr>
        <w:pageBreakBefore w:val="0"/>
        <w:widowControl w:val="0"/>
        <w:tabs>
          <w:tab w:val="left" w:pos="1080"/>
          <w:tab w:val="left" w:pos="12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在电子化投标文件所有计量单位均采用中华人民共和国法定计量单位。</w:t>
      </w:r>
    </w:p>
    <w:p w14:paraId="13F028FA">
      <w:pPr>
        <w:pageBreakBefore w:val="0"/>
        <w:widowControl w:val="0"/>
        <w:tabs>
          <w:tab w:val="left" w:pos="1080"/>
          <w:tab w:val="left" w:pos="12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43A065A8">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90" w:name="_Toc113891910"/>
      <w:bookmarkStart w:id="91" w:name="_Toc113892422"/>
      <w:bookmarkStart w:id="92" w:name="_Toc28397"/>
      <w:r>
        <w:rPr>
          <w:rFonts w:hint="eastAsia" w:ascii="宋体" w:hAnsi="宋体" w:eastAsia="宋体" w:cs="宋体"/>
          <w:b/>
          <w:bCs/>
          <w:color w:val="000000"/>
          <w:sz w:val="24"/>
          <w:szCs w:val="24"/>
          <w:highlight w:val="none"/>
        </w:rPr>
        <w:t>10、</w:t>
      </w:r>
      <w:r>
        <w:rPr>
          <w:rFonts w:hint="eastAsia" w:ascii="宋体" w:hAnsi="宋体" w:eastAsia="宋体" w:cs="宋体"/>
          <w:b/>
          <w:bCs/>
          <w:sz w:val="24"/>
          <w:szCs w:val="24"/>
          <w:highlight w:val="none"/>
        </w:rPr>
        <w:t>投标文件的组成</w:t>
      </w:r>
      <w:bookmarkEnd w:id="90"/>
      <w:bookmarkEnd w:id="91"/>
      <w:bookmarkEnd w:id="92"/>
    </w:p>
    <w:p w14:paraId="66AA59EC">
      <w:pPr>
        <w:pageBreakBefore w:val="0"/>
        <w:widowControl w:val="0"/>
        <w:tabs>
          <w:tab w:val="left" w:pos="1080"/>
          <w:tab w:val="left" w:pos="126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bookmarkStart w:id="93" w:name="_Toc509822578"/>
      <w:bookmarkStart w:id="94" w:name="_Toc479341569"/>
      <w:bookmarkStart w:id="95" w:name="_Toc508113523"/>
      <w:bookmarkStart w:id="96" w:name="_Toc522288462"/>
      <w:bookmarkStart w:id="97" w:name="_Toc113892423"/>
      <w:bookmarkStart w:id="98" w:name="_Toc390"/>
      <w:bookmarkStart w:id="99" w:name="_Toc113891911"/>
      <w:bookmarkStart w:id="100" w:name="_Toc3427"/>
      <w:bookmarkStart w:id="101" w:name="_Toc517338598"/>
      <w:r>
        <w:rPr>
          <w:rFonts w:hint="eastAsia" w:ascii="宋体" w:hAnsi="宋体" w:eastAsia="宋体" w:cs="宋体"/>
          <w:color w:val="000000"/>
          <w:sz w:val="24"/>
          <w:szCs w:val="24"/>
          <w:highlight w:val="none"/>
          <w:lang w:val="en-US" w:eastAsia="zh-CN"/>
        </w:rPr>
        <w:t>详见第六章投标文件格式</w:t>
      </w:r>
    </w:p>
    <w:p w14:paraId="72DD550A">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11、投标报价</w:t>
      </w:r>
      <w:bookmarkEnd w:id="93"/>
      <w:bookmarkEnd w:id="94"/>
      <w:bookmarkEnd w:id="95"/>
      <w:bookmarkEnd w:id="96"/>
      <w:bookmarkEnd w:id="97"/>
      <w:bookmarkEnd w:id="98"/>
      <w:bookmarkEnd w:id="99"/>
      <w:bookmarkEnd w:id="100"/>
      <w:bookmarkEnd w:id="101"/>
    </w:p>
    <w:p w14:paraId="4582D9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02" w:name="_Toc418"/>
      <w:r>
        <w:rPr>
          <w:rFonts w:hint="eastAsia" w:ascii="宋体" w:hAnsi="宋体" w:eastAsia="宋体" w:cs="宋体"/>
          <w:sz w:val="24"/>
          <w:szCs w:val="24"/>
          <w:highlight w:val="none"/>
        </w:rPr>
        <w:t>11.1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投标报价的单价和总价均以人民币表示，金额以“元”为单位。</w:t>
      </w:r>
    </w:p>
    <w:p w14:paraId="4136A1D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供应商应对本招标文件、澄清、修改及补充文件等列入招标范围的全部内容进行投标报价。</w:t>
      </w:r>
    </w:p>
    <w:p w14:paraId="3B60DB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供应商投标报价以</w:t>
      </w:r>
      <w:r>
        <w:rPr>
          <w:rFonts w:hint="eastAsia" w:ascii="宋体" w:hAnsi="宋体" w:eastAsia="宋体" w:cs="宋体"/>
          <w:sz w:val="24"/>
          <w:szCs w:val="24"/>
          <w:highlight w:val="none"/>
          <w:lang w:eastAsia="zh-CN"/>
        </w:rPr>
        <w:t>服务范围</w:t>
      </w:r>
      <w:r>
        <w:rPr>
          <w:rFonts w:hint="eastAsia" w:ascii="宋体" w:hAnsi="宋体" w:eastAsia="宋体" w:cs="宋体"/>
          <w:sz w:val="24"/>
          <w:szCs w:val="24"/>
          <w:highlight w:val="none"/>
        </w:rPr>
        <w:t>为基础进行报价。依据招标文件、</w:t>
      </w:r>
      <w:r>
        <w:rPr>
          <w:rFonts w:hint="eastAsia" w:ascii="宋体" w:hAnsi="宋体" w:eastAsia="宋体" w:cs="宋体"/>
          <w:color w:val="000000"/>
          <w:sz w:val="24"/>
          <w:szCs w:val="24"/>
          <w:highlight w:val="none"/>
        </w:rPr>
        <w:t>有关技术资料及</w:t>
      </w:r>
      <w:r>
        <w:rPr>
          <w:rFonts w:hint="eastAsia" w:ascii="宋体" w:hAnsi="宋体" w:eastAsia="宋体" w:cs="宋体"/>
          <w:sz w:val="24"/>
          <w:szCs w:val="24"/>
          <w:highlight w:val="none"/>
        </w:rPr>
        <w:t>答疑纪要，充分考虑市场价格、风险因素，在合理范围内自主报价。</w:t>
      </w:r>
    </w:p>
    <w:p w14:paraId="1F1F8070">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报价方式：</w:t>
      </w:r>
      <w:r>
        <w:rPr>
          <w:rFonts w:hint="eastAsia" w:ascii="宋体" w:hAnsi="宋体" w:eastAsia="宋体" w:cs="宋体"/>
          <w:spacing w:val="-4"/>
          <w:sz w:val="24"/>
          <w:szCs w:val="24"/>
          <w:highlight w:val="none"/>
        </w:rPr>
        <w:t>投标报价为投标供应商在投标文件中提出的各项支付金额的总和。</w:t>
      </w:r>
      <w:r>
        <w:rPr>
          <w:rFonts w:hint="eastAsia" w:ascii="宋体" w:hAnsi="宋体" w:eastAsia="宋体" w:cs="宋体"/>
          <w:spacing w:val="-4"/>
          <w:sz w:val="24"/>
          <w:szCs w:val="24"/>
          <w:highlight w:val="none"/>
          <w:lang w:val="en-US" w:eastAsia="zh-CN"/>
        </w:rPr>
        <w:t>投标总价</w:t>
      </w:r>
      <w:r>
        <w:rPr>
          <w:rFonts w:hint="eastAsia" w:ascii="宋体" w:hAnsi="宋体" w:eastAsia="宋体" w:cs="宋体"/>
          <w:spacing w:val="-4"/>
          <w:sz w:val="24"/>
          <w:szCs w:val="24"/>
          <w:highlight w:val="none"/>
        </w:rPr>
        <w:t>应包括</w:t>
      </w:r>
      <w:r>
        <w:rPr>
          <w:rFonts w:hint="eastAsia" w:ascii="宋体" w:hAnsi="宋体" w:eastAsia="宋体" w:cs="宋体"/>
          <w:spacing w:val="-4"/>
          <w:sz w:val="24"/>
          <w:szCs w:val="24"/>
          <w:highlight w:val="none"/>
          <w:lang w:eastAsia="zh-CN"/>
        </w:rPr>
        <w:t xml:space="preserve">供应商 </w:t>
      </w:r>
      <w:r>
        <w:rPr>
          <w:rFonts w:hint="eastAsia" w:ascii="宋体" w:hAnsi="宋体" w:eastAsia="宋体" w:cs="宋体"/>
          <w:spacing w:val="-4"/>
          <w:sz w:val="24"/>
          <w:szCs w:val="24"/>
          <w:highlight w:val="none"/>
        </w:rPr>
        <w:t>履行本项目所必需的所有成本费用和</w:t>
      </w:r>
      <w:r>
        <w:rPr>
          <w:rFonts w:hint="eastAsia" w:ascii="宋体" w:hAnsi="宋体" w:eastAsia="宋体" w:cs="宋体"/>
          <w:spacing w:val="-4"/>
          <w:sz w:val="24"/>
          <w:szCs w:val="24"/>
          <w:highlight w:val="none"/>
          <w:lang w:eastAsia="zh-CN"/>
        </w:rPr>
        <w:t xml:space="preserve">供应商 </w:t>
      </w:r>
      <w:r>
        <w:rPr>
          <w:rFonts w:hint="eastAsia" w:ascii="宋体" w:hAnsi="宋体" w:eastAsia="宋体" w:cs="宋体"/>
          <w:spacing w:val="-4"/>
          <w:sz w:val="24"/>
          <w:szCs w:val="24"/>
          <w:highlight w:val="none"/>
        </w:rPr>
        <w:t>应承担的一切税费，包括但不限于办公、交通、人员、业务、差旅、调研、资料收集、报告编制、印刷、管理、税费、测试工具费用及其他管理费用等。</w:t>
      </w:r>
      <w:r>
        <w:rPr>
          <w:rFonts w:hint="eastAsia" w:ascii="宋体" w:hAnsi="宋体" w:eastAsia="宋体" w:cs="宋体"/>
          <w:sz w:val="24"/>
          <w:szCs w:val="24"/>
          <w:highlight w:val="none"/>
        </w:rPr>
        <w:t>（投标供应商可在分项报价表中详细列出报价，如果所列分项报价不含以上内容，则视为已含在投标总价中）。</w:t>
      </w:r>
    </w:p>
    <w:p w14:paraId="636499C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投标文件中投标函、投标函附录、</w:t>
      </w:r>
      <w:r>
        <w:rPr>
          <w:rFonts w:hint="eastAsia" w:ascii="宋体" w:hAnsi="宋体" w:eastAsia="宋体" w:cs="宋体"/>
          <w:sz w:val="24"/>
          <w:szCs w:val="24"/>
          <w:highlight w:val="none"/>
          <w:lang w:eastAsia="zh-CN"/>
        </w:rPr>
        <w:t>报价明细表</w:t>
      </w:r>
      <w:r>
        <w:rPr>
          <w:rFonts w:hint="eastAsia" w:ascii="宋体" w:hAnsi="宋体" w:eastAsia="宋体" w:cs="宋体"/>
          <w:sz w:val="24"/>
          <w:szCs w:val="24"/>
          <w:highlight w:val="none"/>
        </w:rPr>
        <w:t>等所有报价均一致。若出现不一致时以</w:t>
      </w:r>
      <w:r>
        <w:rPr>
          <w:rFonts w:hint="eastAsia" w:ascii="宋体" w:hAnsi="宋体" w:eastAsia="宋体" w:cs="宋体"/>
          <w:sz w:val="24"/>
          <w:szCs w:val="24"/>
          <w:highlight w:val="none"/>
          <w:lang w:eastAsia="zh-CN"/>
        </w:rPr>
        <w:t>报价明细表</w:t>
      </w:r>
      <w:r>
        <w:rPr>
          <w:rFonts w:hint="eastAsia" w:ascii="宋体" w:hAnsi="宋体" w:eastAsia="宋体" w:cs="宋体"/>
          <w:sz w:val="24"/>
          <w:szCs w:val="24"/>
          <w:highlight w:val="none"/>
        </w:rPr>
        <w:t>报价为准。</w:t>
      </w:r>
    </w:p>
    <w:p w14:paraId="423309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投标文件中只允许有一个投标报价。</w:t>
      </w:r>
    </w:p>
    <w:p w14:paraId="2F34D366">
      <w:pPr>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color w:val="000000"/>
          <w:spacing w:val="-6"/>
          <w:sz w:val="24"/>
          <w:szCs w:val="24"/>
          <w:highlight w:val="none"/>
        </w:rPr>
        <w:t>11.7</w:t>
      </w:r>
      <w:r>
        <w:rPr>
          <w:rFonts w:hint="eastAsia" w:ascii="宋体" w:hAnsi="宋体" w:eastAsia="宋体" w:cs="宋体"/>
          <w:color w:val="000000"/>
          <w:spacing w:val="-6"/>
          <w:sz w:val="24"/>
          <w:szCs w:val="24"/>
          <w:highlight w:val="none"/>
          <w:lang w:val="en-US" w:eastAsia="zh-CN"/>
        </w:rPr>
        <w:t xml:space="preserve"> </w:t>
      </w:r>
      <w:r>
        <w:rPr>
          <w:rFonts w:hint="eastAsia" w:ascii="宋体" w:hAnsi="宋体" w:eastAsia="宋体" w:cs="宋体"/>
          <w:color w:val="000000"/>
          <w:spacing w:val="-6"/>
          <w:sz w:val="24"/>
          <w:szCs w:val="24"/>
          <w:highlight w:val="none"/>
        </w:rPr>
        <w:t>投标供应商在投标截止时间前修改投标函中的投标总报价，应同时修改投标报价明细表中的相应报价。此修改须符合招标文件的有关要求。</w:t>
      </w:r>
    </w:p>
    <w:p w14:paraId="7E6B0ACA">
      <w:pPr>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sz w:val="24"/>
          <w:szCs w:val="24"/>
          <w:highlight w:val="none"/>
        </w:rPr>
      </w:pPr>
      <w:r>
        <w:rPr>
          <w:rFonts w:hint="eastAsia" w:ascii="宋体" w:hAnsi="宋体" w:eastAsia="宋体" w:cs="宋体"/>
          <w:color w:val="000000"/>
          <w:spacing w:val="-6"/>
          <w:sz w:val="24"/>
          <w:szCs w:val="24"/>
          <w:highlight w:val="none"/>
        </w:rPr>
        <w:t>11.8</w:t>
      </w:r>
      <w:r>
        <w:rPr>
          <w:rFonts w:hint="eastAsia" w:ascii="宋体" w:hAnsi="宋体" w:eastAsia="宋体" w:cs="宋体"/>
          <w:color w:val="000000"/>
          <w:spacing w:val="-6"/>
          <w:sz w:val="24"/>
          <w:szCs w:val="24"/>
          <w:highlight w:val="none"/>
          <w:lang w:val="en-US" w:eastAsia="zh-CN"/>
        </w:rPr>
        <w:t xml:space="preserve"> </w:t>
      </w:r>
      <w:r>
        <w:rPr>
          <w:rFonts w:hint="eastAsia" w:ascii="宋体" w:hAnsi="宋体" w:eastAsia="宋体" w:cs="宋体"/>
          <w:color w:val="000000"/>
          <w:spacing w:val="-6"/>
          <w:sz w:val="24"/>
          <w:szCs w:val="24"/>
          <w:highlight w:val="none"/>
        </w:rPr>
        <w:t>当投标供应商的投标报价大写金额和小写金额不一致的，以大写金额为准；</w:t>
      </w:r>
    </w:p>
    <w:p w14:paraId="3DE89C1C">
      <w:pPr>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11.9</w:t>
      </w:r>
      <w:r>
        <w:rPr>
          <w:rFonts w:hint="eastAsia" w:ascii="宋体" w:hAnsi="宋体" w:eastAsia="宋体" w:cs="宋体"/>
          <w:color w:val="000000"/>
          <w:spacing w:val="-6"/>
          <w:sz w:val="24"/>
          <w:szCs w:val="24"/>
          <w:highlight w:val="none"/>
          <w:lang w:val="en-US" w:eastAsia="zh-CN"/>
        </w:rPr>
        <w:t xml:space="preserve"> </w:t>
      </w:r>
      <w:r>
        <w:rPr>
          <w:rFonts w:hint="eastAsia" w:ascii="宋体" w:hAnsi="宋体" w:eastAsia="宋体" w:cs="宋体"/>
          <w:color w:val="000000"/>
          <w:spacing w:val="-6"/>
          <w:sz w:val="24"/>
          <w:szCs w:val="24"/>
          <w:highlight w:val="none"/>
        </w:rPr>
        <w:t>当投标供应商的投标报价高于最高限价时，该投标供应商的投标报价为无效报价，其投标文件按无效投标文件处理。</w:t>
      </w:r>
    </w:p>
    <w:p w14:paraId="1F3866EC">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03" w:name="_Toc22146"/>
      <w:bookmarkStart w:id="104" w:name="_Toc113891912"/>
      <w:bookmarkStart w:id="105" w:name="_Toc113892424"/>
      <w:r>
        <w:rPr>
          <w:rFonts w:hint="eastAsia" w:ascii="宋体" w:hAnsi="宋体" w:eastAsia="宋体" w:cs="宋体"/>
          <w:b/>
          <w:bCs/>
          <w:sz w:val="24"/>
          <w:szCs w:val="24"/>
          <w:highlight w:val="none"/>
        </w:rPr>
        <w:t>12、投标货币</w:t>
      </w:r>
      <w:bookmarkEnd w:id="103"/>
      <w:bookmarkEnd w:id="104"/>
      <w:bookmarkEnd w:id="105"/>
    </w:p>
    <w:p w14:paraId="167986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供应商提供的所有服务用人民币报价。</w:t>
      </w:r>
    </w:p>
    <w:p w14:paraId="51BE1CE9">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06" w:name="_Toc16211"/>
      <w:bookmarkStart w:id="107" w:name="_Toc113891913"/>
      <w:bookmarkStart w:id="108" w:name="_Toc113892425"/>
      <w:r>
        <w:rPr>
          <w:rFonts w:hint="eastAsia" w:ascii="宋体" w:hAnsi="宋体" w:eastAsia="宋体" w:cs="宋体"/>
          <w:b/>
          <w:bCs/>
          <w:sz w:val="24"/>
          <w:szCs w:val="24"/>
          <w:highlight w:val="none"/>
        </w:rPr>
        <w:t>13、服务要求的响应</w:t>
      </w:r>
      <w:bookmarkEnd w:id="106"/>
      <w:bookmarkEnd w:id="107"/>
      <w:bookmarkEnd w:id="108"/>
    </w:p>
    <w:p w14:paraId="4571852D">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投标技术说明应按照招标文件的要求就所投项目的服务要求、</w:t>
      </w:r>
      <w:r>
        <w:rPr>
          <w:rFonts w:hint="eastAsia" w:ascii="宋体" w:hAnsi="宋体" w:eastAsia="宋体" w:cs="宋体"/>
          <w:sz w:val="24"/>
          <w:szCs w:val="24"/>
          <w:highlight w:val="none"/>
          <w:lang w:val="en-US" w:eastAsia="zh-CN"/>
        </w:rPr>
        <w:t>承办赛事年限</w:t>
      </w:r>
      <w:r>
        <w:rPr>
          <w:rFonts w:hint="eastAsia" w:ascii="宋体" w:hAnsi="宋体" w:eastAsia="宋体" w:cs="宋体"/>
          <w:sz w:val="24"/>
          <w:szCs w:val="24"/>
          <w:highlight w:val="none"/>
        </w:rPr>
        <w:t>等方面逐条详细说明、做出实质性响应，并申明与技术规格条文的偏差和例外。</w:t>
      </w:r>
    </w:p>
    <w:p w14:paraId="35CE8788">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09" w:name="_Toc517338599"/>
      <w:bookmarkStart w:id="110" w:name="_Toc113891914"/>
      <w:bookmarkStart w:id="111" w:name="_Toc522288463"/>
      <w:bookmarkStart w:id="112" w:name="_Toc508113524"/>
      <w:bookmarkStart w:id="113" w:name="_Toc113892426"/>
      <w:bookmarkStart w:id="114" w:name="_Toc25413"/>
      <w:bookmarkStart w:id="115" w:name="_Toc479341570"/>
      <w:bookmarkStart w:id="116" w:name="_Toc509822579"/>
      <w:r>
        <w:rPr>
          <w:rFonts w:hint="eastAsia" w:ascii="宋体" w:hAnsi="宋体" w:eastAsia="宋体" w:cs="宋体"/>
          <w:b/>
          <w:bCs/>
          <w:sz w:val="24"/>
          <w:szCs w:val="24"/>
          <w:highlight w:val="none"/>
        </w:rPr>
        <w:t>14、投标有效期</w:t>
      </w:r>
      <w:bookmarkEnd w:id="102"/>
      <w:bookmarkEnd w:id="109"/>
      <w:bookmarkEnd w:id="110"/>
      <w:bookmarkEnd w:id="111"/>
      <w:bookmarkEnd w:id="112"/>
      <w:bookmarkEnd w:id="113"/>
      <w:bookmarkEnd w:id="114"/>
      <w:bookmarkEnd w:id="115"/>
      <w:bookmarkEnd w:id="116"/>
    </w:p>
    <w:p w14:paraId="07908078">
      <w:pPr>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在供应商须知前附表规定的投标有效期内，投标供应商不得要求撤销或修改其投标文件。</w:t>
      </w:r>
    </w:p>
    <w:p w14:paraId="32F844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出现特殊情况需要延长投标有效期的，采购人以书面形式通知所有投标供应商延长投标有效期。投标供应商同意延长的，应相应延长其投标保证金的有效期，但不得要求或被允许修改或撤销其投标文件；投标供应商拒绝延长的，其投标失效。 </w:t>
      </w:r>
    </w:p>
    <w:p w14:paraId="7AC285C3">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17" w:name="_Toc113891915"/>
      <w:bookmarkStart w:id="118" w:name="_Toc508113525"/>
      <w:bookmarkStart w:id="119" w:name="_Toc522288464"/>
      <w:bookmarkStart w:id="120" w:name="_Toc509822580"/>
      <w:bookmarkStart w:id="121" w:name="_Toc479341571"/>
      <w:bookmarkStart w:id="122" w:name="_Toc20965"/>
      <w:bookmarkStart w:id="123" w:name="_Toc517338600"/>
      <w:bookmarkStart w:id="124" w:name="_Toc7021"/>
      <w:bookmarkStart w:id="125" w:name="_Toc113892427"/>
      <w:r>
        <w:rPr>
          <w:rFonts w:hint="eastAsia" w:ascii="宋体" w:hAnsi="宋体" w:eastAsia="宋体" w:cs="宋体"/>
          <w:b/>
          <w:bCs/>
          <w:sz w:val="24"/>
          <w:szCs w:val="24"/>
          <w:highlight w:val="none"/>
        </w:rPr>
        <w:t>15、投标保证金</w:t>
      </w:r>
      <w:bookmarkEnd w:id="117"/>
      <w:bookmarkEnd w:id="118"/>
      <w:bookmarkEnd w:id="119"/>
      <w:bookmarkEnd w:id="120"/>
      <w:bookmarkEnd w:id="121"/>
      <w:bookmarkEnd w:id="122"/>
      <w:bookmarkEnd w:id="123"/>
      <w:bookmarkEnd w:id="124"/>
      <w:bookmarkEnd w:id="125"/>
    </w:p>
    <w:p w14:paraId="1BAAB64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按照《河南省财政厅关于优化政府采购营商环境有关问题的通知》（豫财购[2019]4号文）的要求，本项目不再收取投标保证金</w:t>
      </w:r>
      <w:r>
        <w:rPr>
          <w:rFonts w:hint="eastAsia" w:ascii="宋体" w:hAnsi="宋体" w:eastAsia="宋体" w:cs="宋体"/>
          <w:b/>
          <w:bCs/>
          <w:sz w:val="24"/>
          <w:szCs w:val="24"/>
          <w:highlight w:val="none"/>
        </w:rPr>
        <w:t>。</w:t>
      </w:r>
    </w:p>
    <w:p w14:paraId="2FAD67DF">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26" w:name="_Toc508113529"/>
      <w:bookmarkStart w:id="127" w:name="_Toc522288467"/>
      <w:bookmarkStart w:id="128" w:name="_Toc479341574"/>
      <w:bookmarkStart w:id="129" w:name="_Toc27856"/>
      <w:bookmarkStart w:id="130" w:name="_Toc113892428"/>
      <w:bookmarkStart w:id="131" w:name="_Toc517338603"/>
      <w:bookmarkStart w:id="132" w:name="_Toc509822583"/>
      <w:bookmarkStart w:id="133" w:name="_Toc113891916"/>
      <w:bookmarkStart w:id="134" w:name="_Toc2410"/>
      <w:bookmarkStart w:id="135" w:name="_Toc20924"/>
      <w:r>
        <w:rPr>
          <w:rFonts w:hint="eastAsia" w:ascii="宋体" w:hAnsi="宋体" w:eastAsia="宋体" w:cs="宋体"/>
          <w:b/>
          <w:bCs/>
          <w:sz w:val="24"/>
          <w:szCs w:val="24"/>
          <w:highlight w:val="none"/>
        </w:rPr>
        <w:t>16、投标文件的编制</w:t>
      </w:r>
      <w:bookmarkEnd w:id="126"/>
      <w:bookmarkEnd w:id="127"/>
      <w:bookmarkEnd w:id="128"/>
      <w:bookmarkEnd w:id="129"/>
      <w:bookmarkEnd w:id="130"/>
      <w:bookmarkEnd w:id="131"/>
      <w:bookmarkEnd w:id="132"/>
      <w:bookmarkEnd w:id="133"/>
      <w:bookmarkEnd w:id="134"/>
    </w:p>
    <w:p w14:paraId="1B8BF0DF">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bookmarkStart w:id="136" w:name="_Toc32212"/>
      <w:bookmarkStart w:id="137" w:name="_Toc23823"/>
      <w:r>
        <w:rPr>
          <w:rFonts w:hint="eastAsia" w:ascii="宋体" w:hAnsi="宋体" w:eastAsia="宋体" w:cs="宋体"/>
          <w:color w:val="000000"/>
          <w:sz w:val="24"/>
          <w:szCs w:val="24"/>
          <w:highlight w:val="none"/>
        </w:rPr>
        <w:t>16.1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sz w:val="24"/>
          <w:szCs w:val="24"/>
          <w:highlight w:val="none"/>
        </w:rPr>
        <w:t>投标文件应按第六章“投标文件格式”进行编写</w:t>
      </w:r>
      <w:r>
        <w:rPr>
          <w:rFonts w:hint="eastAsia" w:ascii="宋体" w:hAnsi="宋体" w:eastAsia="宋体" w:cs="宋体"/>
          <w:color w:val="000000"/>
          <w:sz w:val="24"/>
          <w:szCs w:val="24"/>
          <w:highlight w:val="none"/>
        </w:rPr>
        <w:t>，如有必要，可以增加附页，作为投标文件的组成部分。在满足招标文件实质性要求的基础上，可以提出比招标文件要求更有利于采购人的承诺。</w:t>
      </w:r>
    </w:p>
    <w:p w14:paraId="3B54C863">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投标文件应当对招标文件有关合同履行期限</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eastAsia="zh-CN" w:bidi="ar"/>
        </w:rPr>
        <w:t>服务期限</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color w:val="000000"/>
          <w:sz w:val="24"/>
          <w:szCs w:val="24"/>
          <w:highlight w:val="none"/>
        </w:rPr>
        <w:t>、投标有效期、</w:t>
      </w:r>
      <w:r>
        <w:rPr>
          <w:rFonts w:hint="eastAsia" w:ascii="宋体" w:hAnsi="宋体" w:eastAsia="宋体" w:cs="宋体"/>
          <w:color w:val="000000"/>
          <w:sz w:val="24"/>
          <w:szCs w:val="24"/>
          <w:highlight w:val="none"/>
          <w:lang w:eastAsia="zh-CN"/>
        </w:rPr>
        <w:t>服务要求</w:t>
      </w:r>
      <w:r>
        <w:rPr>
          <w:rFonts w:hint="eastAsia" w:ascii="宋体" w:hAnsi="宋体" w:eastAsia="宋体" w:cs="宋体"/>
          <w:color w:val="000000"/>
          <w:sz w:val="24"/>
          <w:szCs w:val="24"/>
          <w:highlight w:val="none"/>
        </w:rPr>
        <w:t>、技术参数要求、</w:t>
      </w:r>
      <w:r>
        <w:rPr>
          <w:rFonts w:hint="eastAsia" w:ascii="宋体" w:hAnsi="宋体" w:eastAsia="宋体" w:cs="宋体"/>
          <w:color w:val="000000"/>
          <w:sz w:val="24"/>
          <w:szCs w:val="24"/>
          <w:highlight w:val="none"/>
          <w:lang w:eastAsia="zh-CN"/>
        </w:rPr>
        <w:t>服务范围</w:t>
      </w:r>
      <w:r>
        <w:rPr>
          <w:rFonts w:hint="eastAsia" w:ascii="宋体" w:hAnsi="宋体" w:eastAsia="宋体" w:cs="宋体"/>
          <w:color w:val="000000"/>
          <w:sz w:val="24"/>
          <w:szCs w:val="24"/>
          <w:highlight w:val="none"/>
        </w:rPr>
        <w:t>等实质性内容作出响应。</w:t>
      </w:r>
    </w:p>
    <w:p w14:paraId="1BC673B0">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本项目为电子化、无纸化交易项目，投标文件是供应商通过中心投标文件制作系统制作，并经过电子签章和加密后生成的电子版投标文件。供应商投标时，将不再接受任何纸质文件资料。</w:t>
      </w:r>
    </w:p>
    <w:p w14:paraId="1AC8180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电子投标文件是供应商通过中心投标文件制作系统制作，并经过签章和加密后生成的电子版投标文件。</w:t>
      </w:r>
    </w:p>
    <w:p w14:paraId="5E2379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电子化投标文件工具下载链接：</w:t>
      </w:r>
    </w:p>
    <w:p w14:paraId="2101B6EC">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"https://download.bqpoint.com/download/downloaddetail.html?SourceFrom=Ztb&amp;ZtbSoftXiaQuCode=1506&amp;ZtbSoftType=tballinclusive" </w:instrText>
      </w:r>
      <w:r>
        <w:rPr>
          <w:rFonts w:hint="eastAsia" w:ascii="宋体" w:hAnsi="宋体" w:eastAsia="宋体" w:cs="宋体"/>
          <w:color w:val="000000"/>
          <w:sz w:val="24"/>
          <w:szCs w:val="24"/>
          <w:highlight w:val="none"/>
        </w:rPr>
        <w:fldChar w:fldCharType="separate"/>
      </w:r>
      <w:r>
        <w:rPr>
          <w:rStyle w:val="31"/>
          <w:rFonts w:hint="eastAsia" w:ascii="宋体" w:hAnsi="宋体" w:eastAsia="宋体" w:cs="宋体"/>
          <w:sz w:val="24"/>
          <w:szCs w:val="24"/>
          <w:highlight w:val="none"/>
        </w:rPr>
        <w:t>https://download.bqpoint.com/download/downloaddetail.html?SourceFrom=Ztb&amp;ZtbSoftXiaQuCode=1506&amp;ZtbSoftType=tballinclusive</w:t>
      </w:r>
      <w:r>
        <w:rPr>
          <w:rFonts w:hint="eastAsia" w:ascii="宋体" w:hAnsi="宋体" w:eastAsia="宋体" w:cs="宋体"/>
          <w:color w:val="000000"/>
          <w:sz w:val="24"/>
          <w:szCs w:val="24"/>
          <w:highlight w:val="none"/>
        </w:rPr>
        <w:fldChar w:fldCharType="end"/>
      </w:r>
    </w:p>
    <w:p w14:paraId="367620C3">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电子投标文件操作手册链接：</w:t>
      </w:r>
    </w:p>
    <w:p w14:paraId="153EB98E">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http://gzjy.smx.gov.cn/bzzx/008001/20200330/0bee15ca-16e7-4f3c-b1bb-de3e3a51032a.html</w:t>
      </w:r>
    </w:p>
    <w:p w14:paraId="506D316A">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138" w:name="_Toc479341575"/>
      <w:bookmarkStart w:id="139" w:name="_Toc508113530"/>
      <w:bookmarkStart w:id="140" w:name="_Toc517338604"/>
      <w:bookmarkStart w:id="141" w:name="_Toc508873149"/>
      <w:bookmarkStart w:id="142" w:name="_Toc525836313"/>
      <w:bookmarkStart w:id="143" w:name="_Toc13504"/>
      <w:r>
        <w:rPr>
          <w:rFonts w:hint="eastAsia" w:ascii="宋体" w:hAnsi="宋体" w:eastAsia="宋体" w:cs="宋体"/>
          <w:b/>
          <w:bCs/>
          <w:sz w:val="24"/>
          <w:szCs w:val="24"/>
          <w:highlight w:val="none"/>
        </w:rPr>
        <w:t>四、投标</w:t>
      </w:r>
      <w:bookmarkEnd w:id="136"/>
      <w:bookmarkEnd w:id="137"/>
      <w:bookmarkEnd w:id="138"/>
      <w:bookmarkEnd w:id="139"/>
      <w:bookmarkEnd w:id="140"/>
      <w:bookmarkEnd w:id="141"/>
      <w:r>
        <w:rPr>
          <w:rFonts w:hint="eastAsia" w:ascii="宋体" w:hAnsi="宋体" w:eastAsia="宋体" w:cs="宋体"/>
          <w:b/>
          <w:bCs/>
          <w:sz w:val="24"/>
          <w:szCs w:val="24"/>
          <w:highlight w:val="none"/>
        </w:rPr>
        <w:t>文件的递交</w:t>
      </w:r>
      <w:bookmarkEnd w:id="142"/>
      <w:bookmarkEnd w:id="143"/>
    </w:p>
    <w:p w14:paraId="0F5B5D33">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44" w:name="_Toc522288469"/>
      <w:bookmarkStart w:id="145" w:name="_Toc508113531"/>
      <w:bookmarkStart w:id="146" w:name="_Toc479341576"/>
      <w:bookmarkStart w:id="147" w:name="_Toc509822585"/>
      <w:bookmarkStart w:id="148" w:name="_Toc517338605"/>
      <w:bookmarkStart w:id="149" w:name="_Toc113892430"/>
      <w:bookmarkStart w:id="150" w:name="_Toc26825"/>
      <w:bookmarkStart w:id="151" w:name="_Toc113891918"/>
      <w:r>
        <w:rPr>
          <w:rFonts w:hint="eastAsia" w:ascii="宋体" w:hAnsi="宋体" w:eastAsia="宋体" w:cs="宋体"/>
          <w:b/>
          <w:bCs/>
          <w:sz w:val="24"/>
          <w:szCs w:val="24"/>
          <w:highlight w:val="none"/>
        </w:rPr>
        <w:t>17、</w:t>
      </w:r>
      <w:bookmarkEnd w:id="135"/>
      <w:bookmarkEnd w:id="144"/>
      <w:bookmarkEnd w:id="145"/>
      <w:bookmarkEnd w:id="146"/>
      <w:bookmarkEnd w:id="147"/>
      <w:bookmarkEnd w:id="148"/>
      <w:r>
        <w:rPr>
          <w:rFonts w:hint="eastAsia" w:ascii="宋体" w:hAnsi="宋体" w:eastAsia="宋体" w:cs="宋体"/>
          <w:b/>
          <w:bCs/>
          <w:sz w:val="24"/>
          <w:szCs w:val="24"/>
          <w:highlight w:val="none"/>
        </w:rPr>
        <w:t>电子投标文件</w:t>
      </w:r>
      <w:bookmarkEnd w:id="149"/>
      <w:bookmarkEnd w:id="150"/>
      <w:bookmarkEnd w:id="151"/>
    </w:p>
    <w:p w14:paraId="7742EDFF">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供应商应当按照招标文件和电子招标投标交易平台的要求加密投标文件，具体要求详见供应商须知前附表“电子化招标投标交易注意事项”。</w:t>
      </w:r>
    </w:p>
    <w:p w14:paraId="760122E6">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52" w:name="_Toc113892431"/>
      <w:bookmarkStart w:id="153" w:name="_Toc14239"/>
      <w:bookmarkStart w:id="154" w:name="_Toc522288470"/>
      <w:bookmarkStart w:id="155" w:name="_Toc517338606"/>
      <w:bookmarkStart w:id="156" w:name="_Toc113891919"/>
      <w:bookmarkStart w:id="157" w:name="_Toc10432"/>
      <w:bookmarkStart w:id="158" w:name="_Toc479341577"/>
      <w:bookmarkStart w:id="159" w:name="_Toc508113532"/>
      <w:bookmarkStart w:id="160" w:name="_Toc509822586"/>
      <w:r>
        <w:rPr>
          <w:rFonts w:hint="eastAsia" w:ascii="宋体" w:hAnsi="宋体" w:eastAsia="宋体" w:cs="宋体"/>
          <w:b/>
          <w:bCs/>
          <w:sz w:val="24"/>
          <w:szCs w:val="24"/>
          <w:highlight w:val="none"/>
        </w:rPr>
        <w:t>18、投标文件的递交</w:t>
      </w:r>
      <w:bookmarkEnd w:id="152"/>
      <w:bookmarkEnd w:id="153"/>
      <w:bookmarkEnd w:id="154"/>
      <w:bookmarkEnd w:id="155"/>
      <w:bookmarkEnd w:id="156"/>
      <w:bookmarkEnd w:id="157"/>
      <w:bookmarkEnd w:id="158"/>
      <w:bookmarkEnd w:id="159"/>
      <w:bookmarkEnd w:id="160"/>
    </w:p>
    <w:p w14:paraId="332147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61" w:name="_Toc13346"/>
      <w:r>
        <w:rPr>
          <w:rFonts w:hint="eastAsia" w:ascii="宋体" w:hAnsi="宋体" w:eastAsia="宋体" w:cs="宋体"/>
          <w:sz w:val="24"/>
          <w:szCs w:val="24"/>
          <w:highlight w:val="none"/>
        </w:rPr>
        <w:t>18.1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供应商应在规定的投标截止时间前上传电子投标文件。</w:t>
      </w:r>
    </w:p>
    <w:p w14:paraId="040AB7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 投标供应商递交电子投标文件的地点：见供应商须知前附表。</w:t>
      </w:r>
    </w:p>
    <w:p w14:paraId="0DA9CD1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18.3 供应商所递交的投标文件不予退还。</w:t>
      </w:r>
    </w:p>
    <w:p w14:paraId="659362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18.4 逾期上传的电子投标文件，采购人不予受理。</w:t>
      </w:r>
    </w:p>
    <w:p w14:paraId="6B409ADF">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162" w:name="_Toc6676"/>
      <w:bookmarkStart w:id="163" w:name="_Toc508113533"/>
      <w:bookmarkStart w:id="164" w:name="_Toc113891920"/>
      <w:bookmarkStart w:id="165" w:name="_Toc522288471"/>
      <w:bookmarkStart w:id="166" w:name="_Toc517338607"/>
      <w:bookmarkStart w:id="167" w:name="_Toc509822587"/>
      <w:bookmarkStart w:id="168" w:name="_Toc113892432"/>
      <w:bookmarkStart w:id="169" w:name="_Toc479341578"/>
      <w:r>
        <w:rPr>
          <w:rFonts w:hint="eastAsia" w:ascii="宋体" w:hAnsi="宋体" w:eastAsia="宋体" w:cs="宋体"/>
          <w:b/>
          <w:bCs/>
          <w:sz w:val="24"/>
          <w:szCs w:val="24"/>
          <w:highlight w:val="none"/>
        </w:rPr>
        <w:t>19、投标文件的修改与撤回</w:t>
      </w:r>
      <w:bookmarkEnd w:id="161"/>
      <w:bookmarkEnd w:id="162"/>
      <w:bookmarkEnd w:id="163"/>
      <w:bookmarkEnd w:id="164"/>
      <w:bookmarkEnd w:id="165"/>
      <w:bookmarkEnd w:id="166"/>
      <w:bookmarkEnd w:id="167"/>
      <w:bookmarkEnd w:id="168"/>
      <w:bookmarkEnd w:id="169"/>
    </w:p>
    <w:p w14:paraId="23286B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在规定的投标截止时间前，供应商可以修改或撤回已上传的投标文件。 </w:t>
      </w:r>
    </w:p>
    <w:p w14:paraId="46F93E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修改的内容为投标文件的组成部分。</w:t>
      </w:r>
    </w:p>
    <w:p w14:paraId="45A3EB63">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170" w:name="_Toc21634"/>
      <w:bookmarkStart w:id="171" w:name="_Toc479341579"/>
      <w:bookmarkStart w:id="172" w:name="_Toc517338608"/>
      <w:bookmarkStart w:id="173" w:name="_Toc8735"/>
      <w:bookmarkStart w:id="174" w:name="_Toc525836314"/>
      <w:bookmarkStart w:id="175" w:name="_Toc508873150"/>
      <w:bookmarkStart w:id="176" w:name="_Toc508113534"/>
      <w:r>
        <w:rPr>
          <w:rFonts w:hint="eastAsia" w:ascii="宋体" w:hAnsi="宋体" w:eastAsia="宋体" w:cs="宋体"/>
          <w:b/>
          <w:bCs/>
          <w:sz w:val="24"/>
          <w:szCs w:val="24"/>
          <w:highlight w:val="none"/>
        </w:rPr>
        <w:t>五、开标</w:t>
      </w:r>
      <w:bookmarkEnd w:id="170"/>
      <w:bookmarkEnd w:id="171"/>
      <w:r>
        <w:rPr>
          <w:rFonts w:hint="eastAsia" w:ascii="宋体" w:hAnsi="宋体" w:eastAsia="宋体" w:cs="宋体"/>
          <w:b/>
          <w:bCs/>
          <w:sz w:val="24"/>
          <w:szCs w:val="24"/>
          <w:highlight w:val="none"/>
        </w:rPr>
        <w:t>（本项目为电子化交易项目）</w:t>
      </w:r>
      <w:bookmarkEnd w:id="172"/>
      <w:bookmarkEnd w:id="173"/>
      <w:bookmarkEnd w:id="174"/>
      <w:bookmarkEnd w:id="175"/>
      <w:bookmarkEnd w:id="176"/>
    </w:p>
    <w:p w14:paraId="576FEC14">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rPr>
      </w:pPr>
      <w:bookmarkStart w:id="177" w:name="_Toc522288473"/>
      <w:bookmarkStart w:id="178" w:name="_Toc26327"/>
      <w:bookmarkStart w:id="179" w:name="_Toc113891922"/>
      <w:bookmarkStart w:id="180" w:name="_Toc509822589"/>
      <w:bookmarkStart w:id="181" w:name="_Toc113892434"/>
      <w:bookmarkStart w:id="182" w:name="_Toc479341580"/>
      <w:bookmarkStart w:id="183" w:name="_Toc508113535"/>
      <w:bookmarkStart w:id="184" w:name="_Toc4186"/>
      <w:bookmarkStart w:id="185" w:name="_Toc517338609"/>
      <w:r>
        <w:rPr>
          <w:rFonts w:hint="eastAsia" w:ascii="宋体" w:hAnsi="宋体" w:eastAsia="宋体" w:cs="宋体"/>
          <w:b/>
          <w:sz w:val="24"/>
          <w:szCs w:val="24"/>
          <w:highlight w:val="none"/>
        </w:rPr>
        <w:t>20、</w:t>
      </w:r>
      <w:r>
        <w:rPr>
          <w:rFonts w:hint="eastAsia" w:ascii="宋体" w:hAnsi="宋体" w:eastAsia="宋体" w:cs="宋体"/>
          <w:sz w:val="24"/>
          <w:szCs w:val="24"/>
          <w:highlight w:val="none"/>
        </w:rPr>
        <w:t>开标时间和地点</w:t>
      </w:r>
      <w:bookmarkEnd w:id="177"/>
      <w:bookmarkEnd w:id="178"/>
      <w:bookmarkEnd w:id="179"/>
      <w:bookmarkEnd w:id="180"/>
      <w:bookmarkEnd w:id="181"/>
      <w:bookmarkEnd w:id="182"/>
      <w:bookmarkEnd w:id="183"/>
      <w:bookmarkEnd w:id="184"/>
      <w:bookmarkEnd w:id="185"/>
    </w:p>
    <w:p w14:paraId="7B6385E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86" w:name="_Toc10713"/>
      <w:r>
        <w:rPr>
          <w:rFonts w:hint="eastAsia" w:ascii="宋体" w:hAnsi="宋体" w:eastAsia="宋体" w:cs="宋体"/>
          <w:sz w:val="24"/>
          <w:szCs w:val="24"/>
          <w:highlight w:val="none"/>
        </w:rPr>
        <w:t>采购人在规定的投标截止时间（开标时间）和地点，通过电子招标投标交易平台公开开标。</w:t>
      </w:r>
    </w:p>
    <w:p w14:paraId="2D36ED7E">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sz w:val="24"/>
          <w:szCs w:val="24"/>
          <w:highlight w:val="none"/>
        </w:rPr>
      </w:pPr>
      <w:bookmarkStart w:id="187" w:name="_Toc509822590"/>
      <w:bookmarkStart w:id="188" w:name="_Toc113891923"/>
      <w:bookmarkStart w:id="189" w:name="_Toc522288474"/>
      <w:bookmarkStart w:id="190" w:name="_Toc508113536"/>
      <w:bookmarkStart w:id="191" w:name="_Toc517338610"/>
      <w:bookmarkStart w:id="192" w:name="_Toc113892435"/>
      <w:bookmarkStart w:id="193" w:name="_Toc479341581"/>
      <w:bookmarkStart w:id="194" w:name="_Toc28500"/>
      <w:r>
        <w:rPr>
          <w:rFonts w:hint="eastAsia" w:ascii="宋体" w:hAnsi="宋体" w:eastAsia="宋体" w:cs="宋体"/>
          <w:b/>
          <w:sz w:val="24"/>
          <w:szCs w:val="24"/>
          <w:highlight w:val="none"/>
        </w:rPr>
        <w:t>21、</w:t>
      </w:r>
      <w:r>
        <w:rPr>
          <w:rFonts w:hint="eastAsia" w:ascii="宋体" w:hAnsi="宋体" w:eastAsia="宋体" w:cs="宋体"/>
          <w:sz w:val="24"/>
          <w:szCs w:val="24"/>
          <w:highlight w:val="none"/>
        </w:rPr>
        <w:t>开标程序</w:t>
      </w:r>
      <w:bookmarkEnd w:id="186"/>
      <w:bookmarkEnd w:id="187"/>
      <w:bookmarkEnd w:id="188"/>
      <w:bookmarkEnd w:id="189"/>
      <w:bookmarkEnd w:id="190"/>
      <w:bookmarkEnd w:id="191"/>
      <w:bookmarkEnd w:id="192"/>
      <w:bookmarkEnd w:id="193"/>
      <w:bookmarkEnd w:id="194"/>
    </w:p>
    <w:p w14:paraId="75CC5A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bookmarkStart w:id="195" w:name="_Toc19062"/>
      <w:r>
        <w:rPr>
          <w:rFonts w:hint="eastAsia" w:ascii="宋体" w:hAnsi="宋体" w:eastAsia="宋体" w:cs="宋体"/>
          <w:color w:val="000000"/>
          <w:sz w:val="24"/>
          <w:szCs w:val="24"/>
          <w:highlight w:val="none"/>
        </w:rPr>
        <w:t>主持人按下列程序进行开标：</w:t>
      </w:r>
    </w:p>
    <w:p w14:paraId="763066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）按照开标顺序当众开标，电子招标投标交易平台自动提取所有电子化投标文件，按时在线解密。解密全部完成后，向所有投标供应商公布投标供应商名称、投标价格和招标文件规定的其他内容。</w:t>
      </w:r>
    </w:p>
    <w:p w14:paraId="433B0E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）开标会议结束，由采购人及采购代理机构对供应商资格条件进行审查，有一项不符合的视为未通过资格审查，不得进入下一评审程序。</w:t>
      </w:r>
    </w:p>
    <w:p w14:paraId="575C9DF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）采购人将符合资格审查的电子化投标文件提交于评标委员会进行评审、比较。</w:t>
      </w:r>
    </w:p>
    <w:p w14:paraId="5BA17FA5">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196" w:name="_Toc508113537"/>
      <w:bookmarkStart w:id="197" w:name="_Toc479341582"/>
      <w:bookmarkStart w:id="198" w:name="_Toc19041"/>
      <w:bookmarkStart w:id="199" w:name="_Toc517338611"/>
      <w:bookmarkStart w:id="200" w:name="_Toc508873151"/>
      <w:bookmarkStart w:id="201" w:name="_Toc525836315"/>
      <w:r>
        <w:rPr>
          <w:rFonts w:hint="eastAsia" w:ascii="宋体" w:hAnsi="宋体" w:eastAsia="宋体" w:cs="宋体"/>
          <w:b/>
          <w:bCs/>
          <w:sz w:val="24"/>
          <w:szCs w:val="24"/>
          <w:highlight w:val="none"/>
        </w:rPr>
        <w:t>六、评 标</w:t>
      </w:r>
      <w:bookmarkEnd w:id="195"/>
      <w:bookmarkEnd w:id="196"/>
      <w:bookmarkEnd w:id="197"/>
      <w:bookmarkEnd w:id="198"/>
      <w:bookmarkEnd w:id="199"/>
      <w:bookmarkEnd w:id="200"/>
      <w:bookmarkEnd w:id="201"/>
      <w:bookmarkStart w:id="202" w:name="_Toc479341583"/>
      <w:bookmarkStart w:id="203" w:name="_Toc522288476"/>
      <w:bookmarkStart w:id="204" w:name="_Toc517338612"/>
      <w:bookmarkStart w:id="205" w:name="_Toc25792"/>
      <w:bookmarkStart w:id="206" w:name="_Toc509822592"/>
      <w:bookmarkStart w:id="207" w:name="_Toc508113538"/>
    </w:p>
    <w:p w14:paraId="34E3F37C">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08" w:name="_Toc113892437"/>
      <w:bookmarkStart w:id="209" w:name="_Toc12889"/>
      <w:bookmarkStart w:id="210" w:name="_Toc113891925"/>
      <w:r>
        <w:rPr>
          <w:rFonts w:hint="eastAsia" w:ascii="宋体" w:hAnsi="宋体" w:eastAsia="宋体" w:cs="宋体"/>
          <w:b/>
          <w:bCs/>
          <w:sz w:val="24"/>
          <w:szCs w:val="24"/>
          <w:highlight w:val="none"/>
        </w:rPr>
        <w:t>22、评标委员会</w:t>
      </w:r>
      <w:bookmarkEnd w:id="202"/>
      <w:bookmarkEnd w:id="203"/>
      <w:bookmarkEnd w:id="204"/>
      <w:bookmarkEnd w:id="205"/>
      <w:bookmarkEnd w:id="206"/>
      <w:bookmarkEnd w:id="207"/>
      <w:bookmarkEnd w:id="208"/>
      <w:bookmarkEnd w:id="209"/>
      <w:bookmarkEnd w:id="210"/>
    </w:p>
    <w:p w14:paraId="310E41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评标由依法组建的评标委员会负责。评标委员会由采购人代表和评审专家组成。评审专家的确定方式见供应商须知前附表。</w:t>
      </w:r>
    </w:p>
    <w:p w14:paraId="66473A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评标委员会成员有下列情形之一的，应当回避：</w:t>
      </w:r>
    </w:p>
    <w:p w14:paraId="196879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（1）采购人或投标供应商的主要负责人的近亲属；</w:t>
      </w:r>
    </w:p>
    <w:p w14:paraId="388DE1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67A3A42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（3）与投标供应商有经济利益关系，可能影响对投标公正评审的；</w:t>
      </w:r>
    </w:p>
    <w:p w14:paraId="587ED12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5C619A94">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11" w:name="_Toc479341584"/>
      <w:bookmarkStart w:id="212" w:name="_Toc113891926"/>
      <w:bookmarkStart w:id="213" w:name="_Toc19207"/>
      <w:bookmarkStart w:id="214" w:name="_Toc517338613"/>
      <w:bookmarkStart w:id="215" w:name="_Toc508113539"/>
      <w:bookmarkStart w:id="216" w:name="_Toc113892438"/>
      <w:bookmarkStart w:id="217" w:name="_Toc522288477"/>
      <w:bookmarkStart w:id="218" w:name="_Toc509822593"/>
      <w:bookmarkStart w:id="219" w:name="_Toc5934"/>
      <w:r>
        <w:rPr>
          <w:rFonts w:hint="eastAsia" w:ascii="宋体" w:hAnsi="宋体" w:eastAsia="宋体" w:cs="宋体"/>
          <w:b/>
          <w:bCs/>
          <w:sz w:val="24"/>
          <w:szCs w:val="24"/>
          <w:highlight w:val="none"/>
        </w:rPr>
        <w:t>23、评标原则</w:t>
      </w:r>
      <w:bookmarkEnd w:id="211"/>
      <w:bookmarkEnd w:id="212"/>
      <w:bookmarkEnd w:id="213"/>
      <w:bookmarkEnd w:id="214"/>
      <w:bookmarkEnd w:id="215"/>
      <w:bookmarkEnd w:id="216"/>
      <w:bookmarkEnd w:id="217"/>
      <w:bookmarkEnd w:id="218"/>
      <w:bookmarkEnd w:id="219"/>
      <w:r>
        <w:rPr>
          <w:rFonts w:hint="eastAsia" w:ascii="宋体" w:hAnsi="宋体" w:eastAsia="宋体" w:cs="宋体"/>
          <w:b/>
          <w:bCs/>
          <w:sz w:val="24"/>
          <w:szCs w:val="24"/>
          <w:highlight w:val="none"/>
        </w:rPr>
        <w:tab/>
      </w:r>
    </w:p>
    <w:p w14:paraId="78FE34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评标活动遵循公平、公正、科学和择优的原则。</w:t>
      </w:r>
      <w:bookmarkStart w:id="220" w:name="_Toc509822594"/>
      <w:bookmarkStart w:id="221" w:name="_Toc479341585"/>
      <w:bookmarkStart w:id="222" w:name="_Toc23282"/>
      <w:bookmarkStart w:id="223" w:name="_Toc508113540"/>
      <w:bookmarkStart w:id="224" w:name="_Toc517338614"/>
      <w:bookmarkStart w:id="225" w:name="_Toc522288478"/>
    </w:p>
    <w:p w14:paraId="535BACC5">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26" w:name="_Toc113892439"/>
      <w:bookmarkStart w:id="227" w:name="_Toc113891927"/>
      <w:bookmarkStart w:id="228" w:name="_Toc7020"/>
      <w:r>
        <w:rPr>
          <w:rFonts w:hint="eastAsia" w:ascii="宋体" w:hAnsi="宋体" w:eastAsia="宋体" w:cs="宋体"/>
          <w:b/>
          <w:bCs/>
          <w:sz w:val="24"/>
          <w:szCs w:val="24"/>
          <w:highlight w:val="none"/>
        </w:rPr>
        <w:t>24、评标</w:t>
      </w:r>
      <w:bookmarkEnd w:id="220"/>
      <w:bookmarkEnd w:id="221"/>
      <w:bookmarkEnd w:id="222"/>
      <w:bookmarkEnd w:id="223"/>
      <w:bookmarkEnd w:id="224"/>
      <w:bookmarkEnd w:id="225"/>
      <w:bookmarkEnd w:id="226"/>
      <w:bookmarkEnd w:id="227"/>
      <w:bookmarkEnd w:id="228"/>
    </w:p>
    <w:p w14:paraId="7E7FE2D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评标委员会按照第四章“评标办法”规定的方法、评审因素、标准和程序对投标文件进行评审。第四章“评标办法”没有规定的方法、评审因素和标准，不作为评标依据。</w:t>
      </w:r>
    </w:p>
    <w:p w14:paraId="1974DF76">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29" w:name="_Toc30300"/>
      <w:bookmarkStart w:id="230" w:name="_Toc113892440"/>
      <w:bookmarkStart w:id="231" w:name="_Toc113891928"/>
      <w:r>
        <w:rPr>
          <w:rFonts w:hint="eastAsia" w:ascii="宋体" w:hAnsi="宋体" w:eastAsia="宋体" w:cs="宋体"/>
          <w:b/>
          <w:bCs/>
          <w:sz w:val="24"/>
          <w:szCs w:val="24"/>
          <w:highlight w:val="none"/>
        </w:rPr>
        <w:t>25、评标纪律</w:t>
      </w:r>
      <w:bookmarkEnd w:id="229"/>
      <w:bookmarkEnd w:id="230"/>
      <w:bookmarkEnd w:id="231"/>
    </w:p>
    <w:p w14:paraId="4DB8F122">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评标委员会成员和参与评标工作的有关人员不得透露对投标文件的评审和比较、中标候选人的推荐情况以及与评标有关的其它情况。</w:t>
      </w:r>
    </w:p>
    <w:p w14:paraId="4B819E62">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开标以后至授予中标通知书前，任何投标供应商均不得就与其投标文件有关的问题主动与采购人和招标代理机构发生联系。</w:t>
      </w:r>
    </w:p>
    <w:p w14:paraId="795C4BC8">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如果投标供应商试图对评标委员会的评标施加影响，则将导致该投标供应商的投标文件被拒绝。</w:t>
      </w:r>
    </w:p>
    <w:p w14:paraId="3C199A4C">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32" w:name="_Toc113892441"/>
      <w:bookmarkStart w:id="233" w:name="_Toc113891929"/>
      <w:bookmarkStart w:id="234" w:name="_Toc28382"/>
      <w:r>
        <w:rPr>
          <w:rFonts w:hint="eastAsia" w:ascii="宋体" w:hAnsi="宋体" w:eastAsia="宋体" w:cs="宋体"/>
          <w:b/>
          <w:bCs/>
          <w:sz w:val="24"/>
          <w:szCs w:val="24"/>
          <w:highlight w:val="none"/>
        </w:rPr>
        <w:t>26、评标过程的保密</w:t>
      </w:r>
      <w:bookmarkEnd w:id="232"/>
      <w:bookmarkEnd w:id="233"/>
      <w:bookmarkEnd w:id="234"/>
    </w:p>
    <w:p w14:paraId="760A66D4">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开标后，直至授予中标供应商合同为止，凡属于对投标文件的审查、澄清、评价和比较有关的资料，中标候选人的推荐情况，及其他任何与评标有关的情况均应严格保密。</w:t>
      </w:r>
    </w:p>
    <w:p w14:paraId="6228C495">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在投标文件的评审和比较、中标候选人推荐以及授予合同的过程中，投标供应商向采购人和评标委员会施加影响的任何行为，都将会导致其投标被拒绝。</w:t>
      </w:r>
    </w:p>
    <w:p w14:paraId="1D639524">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4E070C75">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235" w:name="_Toc508113541"/>
      <w:bookmarkStart w:id="236" w:name="_Toc479341586"/>
      <w:bookmarkStart w:id="237" w:name="_Toc525836316"/>
      <w:bookmarkStart w:id="238" w:name="_Toc508873152"/>
      <w:bookmarkStart w:id="239" w:name="_Toc24662"/>
      <w:bookmarkStart w:id="240" w:name="_Toc517338615"/>
      <w:bookmarkStart w:id="241" w:name="_Toc8618"/>
      <w:r>
        <w:rPr>
          <w:rFonts w:hint="eastAsia" w:ascii="宋体" w:hAnsi="宋体" w:eastAsia="宋体" w:cs="宋体"/>
          <w:b/>
          <w:bCs/>
          <w:sz w:val="24"/>
          <w:szCs w:val="24"/>
          <w:highlight w:val="none"/>
        </w:rPr>
        <w:t>七、合同授予</w:t>
      </w:r>
      <w:bookmarkEnd w:id="235"/>
      <w:bookmarkEnd w:id="236"/>
      <w:bookmarkEnd w:id="237"/>
      <w:bookmarkEnd w:id="238"/>
      <w:bookmarkEnd w:id="239"/>
      <w:bookmarkEnd w:id="240"/>
      <w:bookmarkEnd w:id="241"/>
    </w:p>
    <w:p w14:paraId="4E9132D5">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42" w:name="_Toc113892443"/>
      <w:bookmarkStart w:id="243" w:name="_Toc113891931"/>
      <w:bookmarkStart w:id="244" w:name="_Toc22054"/>
      <w:bookmarkStart w:id="245" w:name="_Toc25766"/>
      <w:r>
        <w:rPr>
          <w:rFonts w:hint="eastAsia" w:ascii="宋体" w:hAnsi="宋体" w:eastAsia="宋体" w:cs="宋体"/>
          <w:b/>
          <w:bCs/>
          <w:sz w:val="24"/>
          <w:szCs w:val="24"/>
          <w:highlight w:val="none"/>
        </w:rPr>
        <w:t>27、中标结果公告</w:t>
      </w:r>
      <w:bookmarkEnd w:id="242"/>
      <w:bookmarkEnd w:id="243"/>
      <w:bookmarkEnd w:id="244"/>
    </w:p>
    <w:p w14:paraId="4A6447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采购人或者采购代理机构应当自中标供应商确定之日起2个工作日内，在招标公告发布媒体上公告中标结果，并同时发出中标通知书。公告期限为1个工作日。</w:t>
      </w:r>
    </w:p>
    <w:bookmarkEnd w:id="245"/>
    <w:p w14:paraId="13237A55">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46" w:name="_Toc113892444"/>
      <w:bookmarkStart w:id="247" w:name="_Toc113891932"/>
      <w:bookmarkStart w:id="248" w:name="_Toc17530"/>
      <w:r>
        <w:rPr>
          <w:rFonts w:hint="eastAsia" w:ascii="宋体" w:hAnsi="宋体" w:eastAsia="宋体" w:cs="宋体"/>
          <w:b/>
          <w:sz w:val="24"/>
          <w:szCs w:val="24"/>
          <w:highlight w:val="none"/>
        </w:rPr>
        <w:t>2</w:t>
      </w:r>
      <w:r>
        <w:rPr>
          <w:rFonts w:hint="eastAsia" w:ascii="宋体" w:hAnsi="宋体" w:eastAsia="宋体" w:cs="宋体"/>
          <w:b/>
          <w:bCs/>
          <w:sz w:val="24"/>
          <w:szCs w:val="24"/>
          <w:highlight w:val="none"/>
        </w:rPr>
        <w:t>8、质疑和投诉</w:t>
      </w:r>
      <w:bookmarkEnd w:id="246"/>
      <w:bookmarkEnd w:id="247"/>
      <w:bookmarkEnd w:id="248"/>
    </w:p>
    <w:p w14:paraId="6E006EFA">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认为采购过程和中标结果使自己的合法权益受到损害的，可以在知道或者应知其权益受到损害之日起7个工作日内，以书面形式（经法定代表人或其委托代理人签字并加盖单位公章的质疑函原件）向采购人或采购代理机构提出质疑。采购人、采购代理机构应当在收到质疑函后7个工作日内作出答复，并以书面形式通知质疑供应商和其他有关供应商。供应商对采购人或采购代理机构的质疑答复不满意或采购人或采购代理机构未在规定时间内作出答复的，可以在答复期满后15个工作日内向相关监督部门投诉。</w:t>
      </w:r>
    </w:p>
    <w:p w14:paraId="0C5C7ECF">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28.2 质疑、投诉应当采用书面形式，质疑书、投诉书均应明确阐述招标文件、招投标过程和中标结果中使自己合法权益受到损害的实质性内容，提供相关事实、依据和证据及其来源或线索，便于有关单位调查、答复和处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对其质疑和投诉内容的真实性及其来源的合法性承担法律责任。</w:t>
      </w:r>
    </w:p>
    <w:p w14:paraId="69DA26CD">
      <w:pPr>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sz w:val="24"/>
          <w:szCs w:val="24"/>
          <w:highlight w:val="none"/>
        </w:rPr>
      </w:pPr>
      <w:bookmarkStart w:id="249" w:name="_Toc16094"/>
      <w:bookmarkStart w:id="250" w:name="_Toc113892445"/>
      <w:bookmarkStart w:id="251" w:name="_Toc113891933"/>
      <w:r>
        <w:rPr>
          <w:rFonts w:hint="eastAsia" w:ascii="宋体" w:hAnsi="宋体" w:eastAsia="宋体" w:cs="宋体"/>
          <w:b/>
          <w:sz w:val="24"/>
          <w:szCs w:val="24"/>
          <w:highlight w:val="none"/>
        </w:rPr>
        <w:t>29、定标</w:t>
      </w:r>
      <w:bookmarkEnd w:id="249"/>
      <w:bookmarkEnd w:id="250"/>
      <w:bookmarkEnd w:id="251"/>
    </w:p>
    <w:p w14:paraId="58D8F1F5">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将确定排名第一的中标候选人为中标人。排名第一的中标候选人放弃中标、因不可抗力不能履行合同、不符合招标文件要求，或者被查实存在影响成交结果的违法行为等情形，不符合中标条件的，采购人可以按照评标委员会提出的中标候选人名单排序依次确定其他成中标选人为中标人，采购人也可以重新招标。</w:t>
      </w:r>
    </w:p>
    <w:p w14:paraId="0BBC64B1">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52" w:name="_Toc113891934"/>
      <w:bookmarkStart w:id="253" w:name="_Toc8580"/>
      <w:bookmarkStart w:id="254" w:name="_Toc113892446"/>
      <w:r>
        <w:rPr>
          <w:rFonts w:hint="eastAsia" w:ascii="宋体" w:hAnsi="宋体" w:eastAsia="宋体" w:cs="宋体"/>
          <w:b/>
          <w:bCs/>
          <w:sz w:val="24"/>
          <w:szCs w:val="24"/>
          <w:highlight w:val="none"/>
        </w:rPr>
        <w:t>30、中标通知</w:t>
      </w:r>
      <w:bookmarkEnd w:id="252"/>
      <w:bookmarkEnd w:id="253"/>
      <w:bookmarkEnd w:id="254"/>
    </w:p>
    <w:p w14:paraId="69FC1C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在本章第14款规定的投标有效期内，采购人以书面形式向中标人发出中标通知书，同时将中标结果通知未中标的供应商。</w:t>
      </w:r>
    </w:p>
    <w:p w14:paraId="6E429CD5">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55" w:name="_Toc522288482"/>
      <w:bookmarkStart w:id="256" w:name="_Toc517338618"/>
      <w:bookmarkStart w:id="257" w:name="_Toc509822598"/>
      <w:bookmarkStart w:id="258" w:name="_Toc30705"/>
      <w:bookmarkStart w:id="259" w:name="_Toc479341589"/>
      <w:bookmarkStart w:id="260" w:name="_Toc508113544"/>
      <w:bookmarkStart w:id="261" w:name="_Toc113891935"/>
      <w:bookmarkStart w:id="262" w:name="_Toc24145"/>
      <w:bookmarkStart w:id="263" w:name="_Toc113892447"/>
      <w:r>
        <w:rPr>
          <w:rFonts w:hint="eastAsia" w:ascii="宋体" w:hAnsi="宋体" w:eastAsia="宋体" w:cs="宋体"/>
          <w:b/>
          <w:bCs/>
          <w:sz w:val="24"/>
          <w:szCs w:val="24"/>
          <w:highlight w:val="none"/>
        </w:rPr>
        <w:t>31、履约</w:t>
      </w:r>
      <w:bookmarkEnd w:id="255"/>
      <w:bookmarkEnd w:id="256"/>
      <w:bookmarkEnd w:id="257"/>
      <w:bookmarkEnd w:id="258"/>
      <w:bookmarkEnd w:id="259"/>
      <w:bookmarkEnd w:id="260"/>
      <w:r>
        <w:rPr>
          <w:rFonts w:hint="eastAsia" w:ascii="宋体" w:hAnsi="宋体" w:eastAsia="宋体" w:cs="宋体"/>
          <w:b/>
          <w:bCs/>
          <w:sz w:val="24"/>
          <w:szCs w:val="24"/>
          <w:highlight w:val="none"/>
        </w:rPr>
        <w:t>担保（如有）</w:t>
      </w:r>
      <w:bookmarkEnd w:id="261"/>
      <w:bookmarkEnd w:id="262"/>
      <w:bookmarkEnd w:id="263"/>
    </w:p>
    <w:p w14:paraId="4D2820EF">
      <w:pPr>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在签订合同前，中标供应商应按采购人规定的金额、担保形式向采购人提交履约担保。</w:t>
      </w:r>
    </w:p>
    <w:p w14:paraId="5A1895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 中标单位不能按本章第31.1项要求提交履约担保的，视为放弃中标，其投标保证金不予退还，给采购人造成的损失超过投标保证金数额的，中标供应商还应当对超过部分予以赔偿。</w:t>
      </w:r>
    </w:p>
    <w:p w14:paraId="23018863">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64" w:name="_Toc509822599"/>
      <w:bookmarkStart w:id="265" w:name="_Toc522288483"/>
      <w:bookmarkStart w:id="266" w:name="_Toc113892448"/>
      <w:bookmarkStart w:id="267" w:name="_Toc517338619"/>
      <w:bookmarkStart w:id="268" w:name="_Toc479341590"/>
      <w:bookmarkStart w:id="269" w:name="_Toc31162"/>
      <w:bookmarkStart w:id="270" w:name="_Toc508113545"/>
      <w:bookmarkStart w:id="271" w:name="_Toc11041"/>
      <w:bookmarkStart w:id="272" w:name="_Toc113891936"/>
      <w:r>
        <w:rPr>
          <w:rFonts w:hint="eastAsia" w:ascii="宋体" w:hAnsi="宋体" w:eastAsia="宋体" w:cs="宋体"/>
          <w:b/>
          <w:bCs/>
          <w:sz w:val="24"/>
          <w:szCs w:val="24"/>
          <w:highlight w:val="none"/>
        </w:rPr>
        <w:t>32、签订合同</w:t>
      </w:r>
      <w:bookmarkEnd w:id="264"/>
      <w:bookmarkEnd w:id="265"/>
      <w:bookmarkEnd w:id="266"/>
      <w:bookmarkEnd w:id="267"/>
      <w:bookmarkEnd w:id="268"/>
      <w:bookmarkEnd w:id="269"/>
      <w:bookmarkEnd w:id="270"/>
      <w:bookmarkEnd w:id="271"/>
      <w:bookmarkEnd w:id="272"/>
    </w:p>
    <w:p w14:paraId="281CB224">
      <w:pPr>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73" w:name="_Toc6872"/>
      <w:r>
        <w:rPr>
          <w:rFonts w:hint="eastAsia" w:ascii="宋体" w:hAnsi="宋体" w:eastAsia="宋体" w:cs="宋体"/>
          <w:sz w:val="24"/>
          <w:szCs w:val="24"/>
          <w:highlight w:val="none"/>
        </w:rPr>
        <w:t>32.1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不得订立背离合同实质性内容的协议。中标供应商无正当理由拒签合同的，采购人取消其中标资格，给采购人造成损失的，中标供应商应当予以赔偿。</w:t>
      </w:r>
    </w:p>
    <w:p w14:paraId="7E3A6BB8">
      <w:pPr>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发出中标通知书后，采购人无正当理由拒签合同的，给中标供应商造成损失的，应当予以赔偿。 </w:t>
      </w:r>
    </w:p>
    <w:p w14:paraId="2D2D9947">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274" w:name="_Toc96965843"/>
      <w:bookmarkStart w:id="275" w:name="_Toc26300"/>
      <w:bookmarkStart w:id="276" w:name="_Toc40366835"/>
      <w:bookmarkStart w:id="277" w:name="_Toc24706"/>
      <w:bookmarkStart w:id="278" w:name="_Toc455080146"/>
      <w:r>
        <w:rPr>
          <w:rFonts w:hint="eastAsia" w:ascii="宋体" w:hAnsi="宋体" w:eastAsia="宋体" w:cs="宋体"/>
          <w:b/>
          <w:bCs/>
          <w:sz w:val="24"/>
          <w:szCs w:val="24"/>
          <w:highlight w:val="none"/>
        </w:rPr>
        <w:t>八、重新招标</w:t>
      </w:r>
      <w:bookmarkEnd w:id="274"/>
      <w:bookmarkEnd w:id="275"/>
      <w:bookmarkEnd w:id="276"/>
      <w:bookmarkEnd w:id="277"/>
      <w:bookmarkEnd w:id="278"/>
    </w:p>
    <w:p w14:paraId="31E7DB20">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79" w:name="_Toc16556"/>
      <w:bookmarkStart w:id="280" w:name="_Toc2746"/>
      <w:bookmarkStart w:id="281" w:name="_Toc113892450"/>
      <w:bookmarkStart w:id="282" w:name="_Toc113891938"/>
      <w:r>
        <w:rPr>
          <w:rFonts w:hint="eastAsia" w:ascii="宋体" w:hAnsi="宋体" w:eastAsia="宋体" w:cs="宋体"/>
          <w:b/>
          <w:bCs/>
          <w:sz w:val="24"/>
          <w:szCs w:val="24"/>
          <w:highlight w:val="none"/>
        </w:rPr>
        <w:t>33、 重新招标</w:t>
      </w:r>
      <w:bookmarkEnd w:id="279"/>
      <w:bookmarkEnd w:id="280"/>
      <w:bookmarkEnd w:id="281"/>
      <w:bookmarkEnd w:id="282"/>
    </w:p>
    <w:p w14:paraId="2B7ABF8E">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bookmarkStart w:id="283" w:name="_Toc9985"/>
      <w:r>
        <w:rPr>
          <w:rFonts w:hint="eastAsia" w:ascii="宋体" w:hAnsi="宋体" w:eastAsia="宋体" w:cs="宋体"/>
          <w:sz w:val="24"/>
          <w:szCs w:val="24"/>
          <w:highlight w:val="none"/>
        </w:rPr>
        <w:t>有下列情形之一的，采购人将重新招标：</w:t>
      </w:r>
      <w:bookmarkEnd w:id="283"/>
      <w:bookmarkStart w:id="284" w:name="_Toc25063"/>
    </w:p>
    <w:p w14:paraId="34AC80DD">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（1）提交投标文件截止时间止，供应商少于3个的；</w:t>
      </w:r>
      <w:bookmarkEnd w:id="284"/>
    </w:p>
    <w:p w14:paraId="27BD5967">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bookmarkStart w:id="285" w:name="_Toc17911"/>
      <w:r>
        <w:rPr>
          <w:rFonts w:hint="eastAsia" w:ascii="宋体" w:hAnsi="宋体" w:eastAsia="宋体" w:cs="宋体"/>
          <w:sz w:val="24"/>
          <w:szCs w:val="24"/>
          <w:highlight w:val="none"/>
        </w:rPr>
        <w:t>（2）经评标委员会评审后否决所有投标文件的。</w:t>
      </w:r>
      <w:bookmarkEnd w:id="285"/>
    </w:p>
    <w:bookmarkEnd w:id="273"/>
    <w:p w14:paraId="687D1456">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286" w:name="_Toc525836317"/>
      <w:bookmarkStart w:id="287" w:name="_Toc479341594"/>
      <w:bookmarkStart w:id="288" w:name="_Toc9086"/>
      <w:bookmarkStart w:id="289" w:name="_Toc508873154"/>
      <w:bookmarkStart w:id="290" w:name="_Toc454"/>
      <w:bookmarkStart w:id="291" w:name="_Toc113891939"/>
      <w:bookmarkStart w:id="292" w:name="_Toc517338623"/>
      <w:bookmarkStart w:id="293" w:name="_Toc508113549"/>
      <w:r>
        <w:rPr>
          <w:rFonts w:hint="eastAsia" w:ascii="宋体" w:hAnsi="宋体" w:eastAsia="宋体" w:cs="宋体"/>
          <w:b/>
          <w:bCs/>
          <w:sz w:val="24"/>
          <w:szCs w:val="24"/>
          <w:highlight w:val="none"/>
        </w:rPr>
        <w:t>九、纪律和监督</w:t>
      </w:r>
      <w:bookmarkEnd w:id="286"/>
      <w:bookmarkEnd w:id="287"/>
      <w:bookmarkEnd w:id="288"/>
      <w:bookmarkEnd w:id="289"/>
      <w:bookmarkEnd w:id="290"/>
      <w:bookmarkEnd w:id="291"/>
      <w:bookmarkEnd w:id="292"/>
      <w:bookmarkEnd w:id="293"/>
    </w:p>
    <w:p w14:paraId="11100B92">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294" w:name="_Toc517338624"/>
      <w:bookmarkStart w:id="295" w:name="_Toc113891940"/>
      <w:bookmarkStart w:id="296" w:name="_Toc28518"/>
      <w:bookmarkStart w:id="297" w:name="_Toc508113550"/>
      <w:bookmarkStart w:id="298" w:name="_Toc509822604"/>
      <w:bookmarkStart w:id="299" w:name="_Toc113892452"/>
      <w:bookmarkStart w:id="300" w:name="_Toc10746"/>
      <w:bookmarkStart w:id="301" w:name="_Toc522288488"/>
      <w:bookmarkStart w:id="302" w:name="_Toc479341595"/>
      <w:r>
        <w:rPr>
          <w:rFonts w:hint="eastAsia" w:ascii="宋体" w:hAnsi="宋体" w:eastAsia="宋体" w:cs="宋体"/>
          <w:b/>
          <w:bCs/>
          <w:sz w:val="24"/>
          <w:szCs w:val="24"/>
          <w:highlight w:val="none"/>
        </w:rPr>
        <w:t>34、对采购人的纪律要求</w:t>
      </w:r>
      <w:bookmarkEnd w:id="294"/>
      <w:bookmarkEnd w:id="295"/>
      <w:bookmarkEnd w:id="296"/>
      <w:bookmarkEnd w:id="297"/>
      <w:bookmarkEnd w:id="298"/>
      <w:bookmarkEnd w:id="299"/>
      <w:bookmarkEnd w:id="300"/>
      <w:bookmarkEnd w:id="301"/>
      <w:bookmarkEnd w:id="302"/>
    </w:p>
    <w:p w14:paraId="3F369A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采购人不得泄漏政府采购活动中应当保密的情况和资料，不得与投标供应商串通损害国家利益、社会公共利益或者他人合法权益。</w:t>
      </w:r>
    </w:p>
    <w:p w14:paraId="5DDEA8FD">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303" w:name="_Toc508113551"/>
      <w:bookmarkStart w:id="304" w:name="_Toc517338625"/>
      <w:bookmarkStart w:id="305" w:name="_Toc113891941"/>
      <w:bookmarkStart w:id="306" w:name="_Toc522288489"/>
      <w:bookmarkStart w:id="307" w:name="_Toc7104"/>
      <w:bookmarkStart w:id="308" w:name="_Toc29128"/>
      <w:bookmarkStart w:id="309" w:name="_Toc509822605"/>
      <w:bookmarkStart w:id="310" w:name="_Toc479341596"/>
      <w:bookmarkStart w:id="311" w:name="_Toc113892453"/>
      <w:r>
        <w:rPr>
          <w:rFonts w:hint="eastAsia" w:ascii="宋体" w:hAnsi="宋体" w:eastAsia="宋体" w:cs="宋体"/>
          <w:b/>
          <w:bCs/>
          <w:sz w:val="24"/>
          <w:szCs w:val="24"/>
          <w:highlight w:val="none"/>
        </w:rPr>
        <w:t>35、对投标供应商的纪律要求</w:t>
      </w:r>
      <w:bookmarkEnd w:id="303"/>
      <w:bookmarkEnd w:id="304"/>
      <w:bookmarkEnd w:id="305"/>
      <w:bookmarkEnd w:id="306"/>
      <w:bookmarkEnd w:id="307"/>
      <w:bookmarkEnd w:id="308"/>
      <w:bookmarkEnd w:id="309"/>
      <w:bookmarkEnd w:id="310"/>
      <w:bookmarkEnd w:id="311"/>
    </w:p>
    <w:p w14:paraId="7BF468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1F30CAF0">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312" w:name="_Toc509822606"/>
      <w:bookmarkStart w:id="313" w:name="_Toc11888"/>
      <w:bookmarkStart w:id="314" w:name="_Toc2316"/>
      <w:bookmarkStart w:id="315" w:name="_Toc508113552"/>
      <w:bookmarkStart w:id="316" w:name="_Toc113891942"/>
      <w:bookmarkStart w:id="317" w:name="_Toc522288490"/>
      <w:bookmarkStart w:id="318" w:name="_Toc113892454"/>
      <w:bookmarkStart w:id="319" w:name="_Toc479341597"/>
      <w:bookmarkStart w:id="320" w:name="_Toc517338626"/>
      <w:r>
        <w:rPr>
          <w:rFonts w:hint="eastAsia" w:ascii="宋体" w:hAnsi="宋体" w:eastAsia="宋体" w:cs="宋体"/>
          <w:b/>
          <w:bCs/>
          <w:sz w:val="24"/>
          <w:szCs w:val="24"/>
          <w:highlight w:val="none"/>
        </w:rPr>
        <w:t>36、对评标委员会成员的纪律要求</w:t>
      </w:r>
      <w:bookmarkEnd w:id="312"/>
      <w:bookmarkEnd w:id="313"/>
      <w:bookmarkEnd w:id="314"/>
      <w:bookmarkEnd w:id="315"/>
      <w:bookmarkEnd w:id="316"/>
      <w:bookmarkEnd w:id="317"/>
      <w:bookmarkEnd w:id="318"/>
      <w:bookmarkEnd w:id="319"/>
      <w:bookmarkEnd w:id="320"/>
    </w:p>
    <w:p w14:paraId="586878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3章“评标办法”没有规定的评审因素和标准进行评标。</w:t>
      </w:r>
    </w:p>
    <w:p w14:paraId="5854990E">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321" w:name="_Toc479341598"/>
      <w:bookmarkStart w:id="322" w:name="_Toc508113553"/>
      <w:bookmarkStart w:id="323" w:name="_Toc113891943"/>
      <w:bookmarkStart w:id="324" w:name="_Toc509822607"/>
      <w:bookmarkStart w:id="325" w:name="_Toc113892455"/>
      <w:bookmarkStart w:id="326" w:name="_Toc522288491"/>
      <w:bookmarkStart w:id="327" w:name="_Toc5978"/>
      <w:bookmarkStart w:id="328" w:name="_Toc10087"/>
      <w:bookmarkStart w:id="329" w:name="_Toc517338627"/>
      <w:r>
        <w:rPr>
          <w:rFonts w:hint="eastAsia" w:ascii="宋体" w:hAnsi="宋体" w:eastAsia="宋体" w:cs="宋体"/>
          <w:b/>
          <w:bCs/>
          <w:sz w:val="24"/>
          <w:szCs w:val="24"/>
          <w:highlight w:val="none"/>
        </w:rPr>
        <w:t>37、对与评标活动有关的工作人员的纪律要求</w:t>
      </w:r>
      <w:bookmarkEnd w:id="321"/>
      <w:bookmarkEnd w:id="322"/>
      <w:bookmarkEnd w:id="323"/>
      <w:bookmarkEnd w:id="324"/>
      <w:bookmarkEnd w:id="325"/>
      <w:bookmarkEnd w:id="326"/>
      <w:bookmarkEnd w:id="327"/>
      <w:bookmarkEnd w:id="328"/>
      <w:bookmarkEnd w:id="329"/>
    </w:p>
    <w:p w14:paraId="2B4C2D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C5C136">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bookmarkStart w:id="330" w:name="_Toc113892456"/>
      <w:bookmarkStart w:id="331" w:name="_Toc113891944"/>
      <w:bookmarkStart w:id="332" w:name="_Toc283"/>
      <w:r>
        <w:rPr>
          <w:rFonts w:hint="eastAsia" w:ascii="宋体" w:hAnsi="宋体" w:eastAsia="宋体" w:cs="宋体"/>
          <w:b/>
          <w:bCs/>
          <w:sz w:val="24"/>
          <w:szCs w:val="24"/>
          <w:highlight w:val="none"/>
        </w:rPr>
        <w:t>38、投诉</w:t>
      </w:r>
      <w:bookmarkEnd w:id="330"/>
      <w:bookmarkEnd w:id="331"/>
      <w:bookmarkEnd w:id="332"/>
    </w:p>
    <w:p w14:paraId="621D1460">
      <w:pPr>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供应商和其他利害关系人认为本次</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活动违反法律、法规和规章规定的，有权向有关行政监督部门投诉。</w:t>
      </w:r>
    </w:p>
    <w:p w14:paraId="7D2E9867">
      <w:pPr>
        <w:keepNext/>
        <w:keepLines/>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sz w:val="24"/>
          <w:szCs w:val="24"/>
          <w:highlight w:val="none"/>
        </w:rPr>
      </w:pPr>
      <w:bookmarkStart w:id="333" w:name="_Toc12"/>
      <w:bookmarkStart w:id="334" w:name="_Toc525836318"/>
      <w:r>
        <w:rPr>
          <w:rFonts w:hint="eastAsia" w:ascii="宋体" w:hAnsi="宋体" w:eastAsia="宋体" w:cs="宋体"/>
          <w:b/>
          <w:bCs/>
          <w:sz w:val="24"/>
          <w:szCs w:val="24"/>
          <w:highlight w:val="none"/>
        </w:rPr>
        <w:t>十、需要补充的其他内容</w:t>
      </w:r>
      <w:bookmarkEnd w:id="333"/>
      <w:bookmarkEnd w:id="334"/>
    </w:p>
    <w:p w14:paraId="49F87F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需要补充的其他内容：见供应商须知前附表。</w:t>
      </w:r>
    </w:p>
    <w:p w14:paraId="111E3335">
      <w:pPr>
        <w:kinsoku/>
        <w:wordWrap/>
        <w:overflowPunct/>
        <w:bidi w:val="0"/>
        <w:spacing w:line="360" w:lineRule="auto"/>
        <w:rPr>
          <w:rFonts w:hAnsi="宋体" w:eastAsia="宋体"/>
          <w:sz w:val="24"/>
          <w:szCs w:val="24"/>
          <w:highlight w:val="none"/>
          <w:lang w:eastAsia="zh-CN"/>
        </w:rPr>
      </w:pPr>
      <w:r>
        <w:rPr>
          <w:rFonts w:hAnsi="宋体" w:eastAsia="宋体"/>
          <w:sz w:val="24"/>
          <w:szCs w:val="24"/>
          <w:highlight w:val="none"/>
          <w:lang w:eastAsia="zh-CN"/>
        </w:rPr>
        <w:br w:type="page"/>
      </w:r>
    </w:p>
    <w:p w14:paraId="07B5AC71">
      <w:pPr>
        <w:pStyle w:val="2"/>
        <w:keepNext w:val="0"/>
        <w:keepLines w:val="0"/>
        <w:pageBreakBefore/>
        <w:widowControl w:val="0"/>
        <w:numPr>
          <w:ilvl w:val="0"/>
          <w:numId w:val="0"/>
        </w:numPr>
        <w:suppressLineNumbers w:val="0"/>
        <w:kinsoku/>
        <w:wordWrap/>
        <w:overflowPunct/>
        <w:bidi w:val="0"/>
        <w:spacing w:before="0" w:beforeAutospacing="0" w:after="0" w:afterAutospacing="0" w:line="360" w:lineRule="auto"/>
        <w:ind w:left="0" w:right="0" w:firstLine="0"/>
        <w:jc w:val="center"/>
        <w:rPr>
          <w:rFonts w:hint="eastAsia" w:ascii="宋体" w:hAnsi="宋体" w:eastAsia="宋体" w:cs="宋体"/>
          <w:b/>
          <w:bCs w:val="0"/>
          <w:szCs w:val="32"/>
          <w:highlight w:val="none"/>
          <w:lang w:val="en-US" w:eastAsia="zh-CN"/>
        </w:rPr>
      </w:pPr>
      <w:bookmarkStart w:id="335" w:name="_Toc17689"/>
      <w:bookmarkStart w:id="336" w:name="_Toc15202"/>
      <w:bookmarkStart w:id="337" w:name="_Toc7154"/>
      <w:bookmarkStart w:id="338" w:name="_Toc229994234"/>
      <w:bookmarkStart w:id="339" w:name="_Toc426985626"/>
      <w:bookmarkStart w:id="340" w:name="_Toc229994240"/>
      <w:r>
        <w:rPr>
          <w:rFonts w:hint="eastAsia" w:ascii="宋体" w:hAnsi="宋体" w:eastAsia="宋体" w:cs="宋体"/>
          <w:b/>
          <w:bCs w:val="0"/>
          <w:szCs w:val="32"/>
          <w:highlight w:val="none"/>
          <w:lang w:eastAsia="zh-CN"/>
        </w:rPr>
        <w:t>第三章</w:t>
      </w:r>
      <w:r>
        <w:rPr>
          <w:rFonts w:hint="eastAsia" w:ascii="宋体" w:hAnsi="宋体" w:eastAsia="宋体" w:cs="宋体"/>
          <w:b/>
          <w:bCs w:val="0"/>
          <w:szCs w:val="32"/>
          <w:highlight w:val="none"/>
          <w:lang w:val="en-US"/>
        </w:rPr>
        <w:t xml:space="preserve">  </w:t>
      </w:r>
      <w:r>
        <w:rPr>
          <w:rFonts w:hint="eastAsia" w:ascii="宋体" w:hAnsi="宋体" w:eastAsia="宋体" w:cs="宋体"/>
          <w:b/>
          <w:bCs w:val="0"/>
          <w:szCs w:val="32"/>
          <w:highlight w:val="none"/>
          <w:lang w:val="en-US" w:eastAsia="zh-CN"/>
        </w:rPr>
        <w:t>服务内容及要求</w:t>
      </w:r>
      <w:bookmarkEnd w:id="335"/>
    </w:p>
    <w:p w14:paraId="0A7B4D65">
      <w:pPr>
        <w:keepNext w:val="0"/>
        <w:keepLines w:val="0"/>
        <w:widowControl w:val="0"/>
        <w:suppressLineNumbers w:val="0"/>
        <w:kinsoku/>
        <w:wordWrap/>
        <w:overflowPunct/>
        <w:bidi w:val="0"/>
        <w:spacing w:before="0" w:beforeAutospacing="0" w:after="0" w:afterAutospacing="0" w:line="360" w:lineRule="auto"/>
        <w:ind w:left="0" w:right="0"/>
        <w:jc w:val="both"/>
        <w:outlineLvl w:val="1"/>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一、项目概况</w:t>
      </w:r>
    </w:p>
    <w:p w14:paraId="7E8D2092">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本项目建设内容包括</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资料收集与标准编制、排水管网排查</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城市道路地下病害体探测、整治方案建议及重点缺陷改造设计GIS系统及城市防汛</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排水防涝</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智慧管理平台建设等。通过排水管网排查</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包括排水管网详查与测绘、排水户、排水口、接入点、混接点、排放口及污水处理厂、排水系统调查等</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彻底摸清排水系统，通过排水管道检测与评估</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包括临时封堵、渡水、降排水、CCTV检测、出具检测报告</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摸清清管道及检查井缺陷通过对市政道路进行病害体检测</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包括机动车道、非机动车道与人行道</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，摸清影响道路安全使用的隐蔽性不良地质体，构建GIS系统与城市防汛</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排水防涝</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智慧管理平台，运用各类监测设备采集数据，归集相关部门数据，进行内涝仿真推演，通过感应、仿真、诊断、预警、调度、处置、控制、服务等手段，提升防汛指挥、应急资源调度的智慧化能力。</w:t>
      </w:r>
      <w:r>
        <w:rPr>
          <w:rFonts w:hint="eastAsia" w:ascii="宋体" w:hAnsi="宋体" w:eastAsia="宋体" w:cs="宋体"/>
          <w:sz w:val="24"/>
          <w:szCs w:val="24"/>
          <w:highlight w:val="none"/>
          <w:shd w:val="clear" w:color="auto" w:fill="FFFFFF"/>
          <w:lang w:eastAsia="zh-CN" w:bidi="ar"/>
        </w:rPr>
        <w:t>具体内容及要求详见招标文件。</w:t>
      </w:r>
    </w:p>
    <w:p w14:paraId="1F8F18E3">
      <w:pPr>
        <w:keepNext w:val="0"/>
        <w:keepLines w:val="0"/>
        <w:widowControl w:val="0"/>
        <w:suppressLineNumbers w:val="0"/>
        <w:kinsoku/>
        <w:wordWrap/>
        <w:overflowPunct/>
        <w:bidi w:val="0"/>
        <w:spacing w:before="0" w:beforeAutospacing="0" w:after="0" w:afterAutospacing="0" w:line="360" w:lineRule="auto"/>
        <w:ind w:left="0" w:right="0"/>
        <w:jc w:val="both"/>
        <w:outlineLvl w:val="1"/>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二、服务内容</w:t>
      </w:r>
    </w:p>
    <w:p w14:paraId="7D6512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sz w:val="24"/>
          <w:szCs w:val="24"/>
          <w:highlight w:val="none"/>
          <w:shd w:val="clear" w:color="auto" w:fill="FFFFFF"/>
          <w:lang w:eastAsia="zh-CN" w:bidi="ar"/>
        </w:rPr>
      </w:pPr>
      <w:r>
        <w:rPr>
          <w:rFonts w:hint="eastAsia" w:ascii="宋体" w:hAnsi="宋体" w:eastAsia="宋体" w:cs="宋体"/>
          <w:b/>
          <w:bCs/>
          <w:sz w:val="24"/>
          <w:szCs w:val="24"/>
          <w:highlight w:val="none"/>
          <w:shd w:val="clear" w:color="auto" w:fill="FFFFFF"/>
          <w:lang w:eastAsia="zh-CN" w:bidi="ar"/>
        </w:rPr>
        <w:t>三门峡市城区排水管网普查检测及GIS系统建设项目一标段</w:t>
      </w:r>
    </w:p>
    <w:tbl>
      <w:tblPr>
        <w:tblStyle w:val="21"/>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80"/>
        <w:gridCol w:w="4365"/>
        <w:gridCol w:w="1080"/>
        <w:gridCol w:w="1080"/>
      </w:tblGrid>
      <w:tr w14:paraId="028A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0" w:type="dxa"/>
            <w:shd w:val="clear" w:color="auto" w:fill="auto"/>
            <w:noWrap/>
            <w:vAlign w:val="center"/>
          </w:tcPr>
          <w:p w14:paraId="28FEF8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1380" w:type="dxa"/>
            <w:shd w:val="clear" w:color="auto" w:fill="auto"/>
            <w:noWrap/>
            <w:vAlign w:val="center"/>
          </w:tcPr>
          <w:p w14:paraId="5886412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工作项</w:t>
            </w:r>
          </w:p>
        </w:tc>
        <w:tc>
          <w:tcPr>
            <w:tcW w:w="4365" w:type="dxa"/>
            <w:shd w:val="clear" w:color="auto" w:fill="auto"/>
            <w:noWrap/>
            <w:vAlign w:val="center"/>
          </w:tcPr>
          <w:p w14:paraId="317E85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工作内容</w:t>
            </w:r>
          </w:p>
        </w:tc>
        <w:tc>
          <w:tcPr>
            <w:tcW w:w="1080" w:type="dxa"/>
            <w:shd w:val="clear" w:color="auto" w:fill="auto"/>
            <w:noWrap/>
            <w:vAlign w:val="center"/>
          </w:tcPr>
          <w:p w14:paraId="5DC813E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1080" w:type="dxa"/>
            <w:shd w:val="clear" w:color="auto" w:fill="auto"/>
            <w:noWrap/>
            <w:vAlign w:val="center"/>
          </w:tcPr>
          <w:p w14:paraId="5FB01E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数量</w:t>
            </w:r>
          </w:p>
        </w:tc>
      </w:tr>
      <w:tr w14:paraId="60FF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0" w:type="dxa"/>
            <w:shd w:val="clear" w:color="auto" w:fill="auto"/>
            <w:noWrap/>
            <w:vAlign w:val="center"/>
          </w:tcPr>
          <w:p w14:paraId="23BCDD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7905" w:type="dxa"/>
            <w:gridSpan w:val="4"/>
            <w:shd w:val="clear" w:color="auto" w:fill="auto"/>
            <w:noWrap/>
            <w:vAlign w:val="center"/>
          </w:tcPr>
          <w:p w14:paraId="1F7B873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排水管线普查检测</w:t>
            </w:r>
          </w:p>
        </w:tc>
      </w:tr>
      <w:tr w14:paraId="07B3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shd w:val="clear" w:color="auto" w:fill="auto"/>
            <w:noWrap/>
            <w:vAlign w:val="center"/>
          </w:tcPr>
          <w:p w14:paraId="37661E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1.1</w:t>
            </w:r>
          </w:p>
        </w:tc>
        <w:tc>
          <w:tcPr>
            <w:tcW w:w="1380" w:type="dxa"/>
            <w:shd w:val="clear" w:color="auto" w:fill="auto"/>
            <w:noWrap/>
            <w:vAlign w:val="center"/>
          </w:tcPr>
          <w:p w14:paraId="63A420F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管线普查</w:t>
            </w:r>
          </w:p>
        </w:tc>
        <w:tc>
          <w:tcPr>
            <w:tcW w:w="4365" w:type="dxa"/>
            <w:shd w:val="clear" w:color="auto" w:fill="auto"/>
            <w:vAlign w:val="center"/>
          </w:tcPr>
          <w:p w14:paraId="2A2E85D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1、区域内排水管网详查：详细调查区域内排水（污水、雨水）管网及其附属设施情况，查明位置、埋设深度、高程、连接关系、管径、管材等基本情况，在此基础之上，形成以下成果：</w:t>
            </w:r>
          </w:p>
          <w:p w14:paraId="55D297F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市政错混接台账：对雨污水错混接情况作出准确调查判断，查明雨水接入污水、污水接入雨水的错混接改造建议台账，须包含位置编号、所在路段、问题类型、混接点管段长度、材质与管径、改造建议、改造点起终点点号、改造点起终点高程、改造点起终点深度、倒坡情况、混接程度判断、排水体制等信息；</w:t>
            </w:r>
          </w:p>
          <w:p w14:paraId="0B1C1A4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（2）排水户调查：调查建筑红线内的公共建筑、企事业单位、居民小区等排水单元的排水现状，形成排水户调查报告，并附件排水户基本信息汇总表、排水户混接点调查表、排水户排水系统存在问题登记表。</w:t>
            </w:r>
          </w:p>
          <w:p w14:paraId="5027BBF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（3）排水口溯源调查：查明排水口基本信息并绘制排口大样图；</w:t>
            </w:r>
          </w:p>
          <w:p w14:paraId="1F633E8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（4）排水系统拓扑构建：建立排水系统问题一张图，除排水管网基本连接关系外，用不同的符号或颜色标记管网问题现状，包括倒坡、错混接、高水位、淤堵、其他情况等。</w:t>
            </w:r>
          </w:p>
          <w:p w14:paraId="2A90C2A0">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2、测量：采用国家标准建立坐标系，精度、质量可靠。</w:t>
            </w:r>
          </w:p>
        </w:tc>
        <w:tc>
          <w:tcPr>
            <w:tcW w:w="1080" w:type="dxa"/>
            <w:shd w:val="clear" w:color="auto" w:fill="auto"/>
            <w:noWrap/>
            <w:vAlign w:val="center"/>
          </w:tcPr>
          <w:p w14:paraId="0E873E6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千米</w:t>
            </w:r>
          </w:p>
        </w:tc>
        <w:tc>
          <w:tcPr>
            <w:tcW w:w="1080" w:type="dxa"/>
            <w:shd w:val="clear" w:color="auto" w:fill="auto"/>
            <w:noWrap/>
            <w:vAlign w:val="center"/>
          </w:tcPr>
          <w:p w14:paraId="7570E9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381.67</w:t>
            </w:r>
          </w:p>
        </w:tc>
      </w:tr>
      <w:tr w14:paraId="29FF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80" w:type="dxa"/>
            <w:shd w:val="clear" w:color="auto" w:fill="auto"/>
            <w:noWrap/>
            <w:vAlign w:val="center"/>
          </w:tcPr>
          <w:p w14:paraId="7C4E8F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1.2</w:t>
            </w:r>
          </w:p>
        </w:tc>
        <w:tc>
          <w:tcPr>
            <w:tcW w:w="1380" w:type="dxa"/>
            <w:shd w:val="clear" w:color="auto" w:fill="auto"/>
            <w:noWrap/>
            <w:vAlign w:val="center"/>
          </w:tcPr>
          <w:p w14:paraId="6CDD39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 xml:space="preserve">管线检测 </w:t>
            </w:r>
          </w:p>
        </w:tc>
        <w:tc>
          <w:tcPr>
            <w:tcW w:w="4365" w:type="dxa"/>
            <w:shd w:val="clear" w:color="auto" w:fill="auto"/>
            <w:vAlign w:val="center"/>
          </w:tcPr>
          <w:p w14:paraId="13471EB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排水管道检测评估：以现行国家规范标准为依据，对管道内的功能性缺陷和结构性缺陷做出检测，结构性缺陷包括破裂（PL）、变形（BX）、腐蚀（FS）、错口（CK）、起伏（QF）、脱节（TJ）、接口材料脱落（TL）、支管暗接（AJ）、异物穿入（CR）和渗漏（SL），功能性缺陷包括沉积（CJ）、结垢（JG）、障碍物（ZW）、残墙坝根（CQ）、树根（SG）、浮渣（FZ）。</w:t>
            </w:r>
          </w:p>
          <w:p w14:paraId="7DF2940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根据检测结果形成检测报告，报告中须对每一段检测的管道进行结构性和功能性评估，给出量化的评估结果；对管道缺陷情况做出详细说明并附图片等材料；对所有缺陷的分布情况采用GIS空间分析做出空间分布分析的结论。</w:t>
            </w:r>
          </w:p>
        </w:tc>
        <w:tc>
          <w:tcPr>
            <w:tcW w:w="1080" w:type="dxa"/>
            <w:shd w:val="clear" w:color="auto" w:fill="auto"/>
            <w:noWrap/>
            <w:vAlign w:val="center"/>
          </w:tcPr>
          <w:p w14:paraId="5E2585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千米</w:t>
            </w:r>
          </w:p>
        </w:tc>
        <w:tc>
          <w:tcPr>
            <w:tcW w:w="1080" w:type="dxa"/>
            <w:shd w:val="clear" w:color="auto" w:fill="auto"/>
            <w:noWrap/>
            <w:vAlign w:val="center"/>
          </w:tcPr>
          <w:p w14:paraId="608002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381.67</w:t>
            </w:r>
          </w:p>
        </w:tc>
      </w:tr>
    </w:tbl>
    <w:p w14:paraId="6225EB97">
      <w:pPr>
        <w:keepNext w:val="0"/>
        <w:keepLines w:val="0"/>
        <w:pageBreakBefore w:val="0"/>
        <w:widowControl w:val="0"/>
        <w:kinsoku/>
        <w:overflowPunct/>
        <w:autoSpaceDE/>
        <w:autoSpaceDN/>
        <w:bidi w:val="0"/>
        <w:adjustRightInd/>
        <w:snapToGrid/>
        <w:spacing w:line="360" w:lineRule="auto"/>
        <w:jc w:val="center"/>
        <w:textAlignment w:val="auto"/>
        <w:rPr>
          <w:rFonts w:hint="eastAsia" w:ascii="宋体" w:hAnsi="宋体" w:eastAsia="宋体" w:cs="宋体"/>
          <w:b/>
          <w:bCs/>
          <w:sz w:val="24"/>
          <w:szCs w:val="24"/>
          <w:highlight w:val="none"/>
          <w:shd w:val="clear" w:color="auto" w:fill="FFFFFF"/>
          <w:lang w:eastAsia="zh-CN" w:bidi="ar"/>
        </w:rPr>
      </w:pPr>
    </w:p>
    <w:p w14:paraId="30D682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sz w:val="24"/>
          <w:szCs w:val="24"/>
          <w:highlight w:val="none"/>
          <w:shd w:val="clear" w:color="auto" w:fill="FFFFFF"/>
          <w:lang w:eastAsia="zh-CN" w:bidi="ar"/>
        </w:rPr>
      </w:pPr>
      <w:r>
        <w:rPr>
          <w:rFonts w:hint="eastAsia" w:ascii="宋体" w:hAnsi="宋体" w:eastAsia="宋体" w:cs="宋体"/>
          <w:b/>
          <w:bCs/>
          <w:sz w:val="24"/>
          <w:szCs w:val="24"/>
          <w:highlight w:val="none"/>
          <w:shd w:val="clear" w:color="auto" w:fill="FFFFFF"/>
          <w:lang w:eastAsia="zh-CN" w:bidi="ar"/>
        </w:rPr>
        <w:t>三门峡市城区排水管网普查检测及GIS系统建设项目二标段</w:t>
      </w:r>
    </w:p>
    <w:tbl>
      <w:tblPr>
        <w:tblStyle w:val="21"/>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80"/>
        <w:gridCol w:w="4365"/>
        <w:gridCol w:w="1080"/>
        <w:gridCol w:w="1080"/>
      </w:tblGrid>
      <w:tr w14:paraId="402D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80" w:type="dxa"/>
            <w:shd w:val="clear" w:color="auto" w:fill="auto"/>
            <w:noWrap/>
            <w:vAlign w:val="center"/>
          </w:tcPr>
          <w:p w14:paraId="420EEB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序号</w:t>
            </w:r>
          </w:p>
        </w:tc>
        <w:tc>
          <w:tcPr>
            <w:tcW w:w="1380" w:type="dxa"/>
            <w:shd w:val="clear" w:color="auto" w:fill="auto"/>
            <w:noWrap/>
            <w:vAlign w:val="center"/>
          </w:tcPr>
          <w:p w14:paraId="515F42B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工作项</w:t>
            </w:r>
          </w:p>
        </w:tc>
        <w:tc>
          <w:tcPr>
            <w:tcW w:w="4365" w:type="dxa"/>
            <w:shd w:val="clear" w:color="auto" w:fill="auto"/>
            <w:noWrap/>
            <w:vAlign w:val="center"/>
          </w:tcPr>
          <w:p w14:paraId="4E8FCF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工作内容</w:t>
            </w:r>
          </w:p>
        </w:tc>
        <w:tc>
          <w:tcPr>
            <w:tcW w:w="1080" w:type="dxa"/>
            <w:shd w:val="clear" w:color="auto" w:fill="auto"/>
            <w:noWrap/>
            <w:vAlign w:val="center"/>
          </w:tcPr>
          <w:p w14:paraId="7E15A4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单位</w:t>
            </w:r>
          </w:p>
        </w:tc>
        <w:tc>
          <w:tcPr>
            <w:tcW w:w="1080" w:type="dxa"/>
            <w:shd w:val="clear" w:color="auto" w:fill="auto"/>
            <w:noWrap/>
            <w:vAlign w:val="center"/>
          </w:tcPr>
          <w:p w14:paraId="1F52A2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数量</w:t>
            </w:r>
          </w:p>
        </w:tc>
      </w:tr>
      <w:tr w14:paraId="44F6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80" w:type="dxa"/>
            <w:shd w:val="clear" w:color="auto" w:fill="auto"/>
            <w:noWrap/>
            <w:vAlign w:val="center"/>
          </w:tcPr>
          <w:p w14:paraId="3D728A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380" w:type="dxa"/>
            <w:shd w:val="clear" w:color="auto" w:fill="auto"/>
            <w:noWrap/>
            <w:vAlign w:val="center"/>
          </w:tcPr>
          <w:p w14:paraId="6E3052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道路病害体检测</w:t>
            </w:r>
          </w:p>
        </w:tc>
        <w:tc>
          <w:tcPr>
            <w:tcW w:w="4365" w:type="dxa"/>
            <w:shd w:val="clear" w:color="auto" w:fill="auto"/>
            <w:vAlign w:val="center"/>
          </w:tcPr>
          <w:p w14:paraId="47AEC90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应用探地雷达，沿道路延伸方向布置测线，测线间距设置合理，采用100兆天线进行探测，查明道路下方的道路安全隐患，对局部异常段采用地震影像法进行探查。查明道路下方7m内基础中存在影响道路安全使用的隐蔽性不良地质体，圈定异常范围、结合钻探验证确定异常深度。</w:t>
            </w:r>
          </w:p>
          <w:p w14:paraId="6043C0E7">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含三年技术指导与培训服务。</w:t>
            </w:r>
          </w:p>
        </w:tc>
        <w:tc>
          <w:tcPr>
            <w:tcW w:w="1080" w:type="dxa"/>
            <w:shd w:val="clear" w:color="auto" w:fill="auto"/>
            <w:noWrap/>
            <w:vAlign w:val="center"/>
          </w:tcPr>
          <w:p w14:paraId="224C41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千米</w:t>
            </w:r>
          </w:p>
        </w:tc>
        <w:tc>
          <w:tcPr>
            <w:tcW w:w="1080" w:type="dxa"/>
            <w:shd w:val="clear" w:color="auto" w:fill="auto"/>
            <w:noWrap/>
            <w:vAlign w:val="center"/>
          </w:tcPr>
          <w:p w14:paraId="626B2E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112.22</w:t>
            </w:r>
          </w:p>
        </w:tc>
      </w:tr>
    </w:tbl>
    <w:p w14:paraId="3FA85C4F">
      <w:pPr>
        <w:keepNext w:val="0"/>
        <w:keepLines w:val="0"/>
        <w:pageBreakBefore w:val="0"/>
        <w:widowControl w:val="0"/>
        <w:kinsoku/>
        <w:overflowPunct/>
        <w:autoSpaceDE/>
        <w:autoSpaceDN/>
        <w:bidi w:val="0"/>
        <w:adjustRightInd/>
        <w:snapToGrid/>
        <w:spacing w:line="360" w:lineRule="auto"/>
        <w:jc w:val="center"/>
        <w:textAlignment w:val="auto"/>
        <w:rPr>
          <w:rFonts w:hint="eastAsia" w:ascii="宋体" w:hAnsi="宋体" w:eastAsia="宋体" w:cs="宋体"/>
          <w:b/>
          <w:bCs/>
          <w:sz w:val="24"/>
          <w:szCs w:val="24"/>
          <w:highlight w:val="none"/>
          <w:shd w:val="clear" w:color="auto" w:fill="FFFFFF"/>
          <w:lang w:eastAsia="zh-CN" w:bidi="ar"/>
        </w:rPr>
      </w:pPr>
    </w:p>
    <w:p w14:paraId="14DB27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bCs/>
          <w:sz w:val="24"/>
          <w:szCs w:val="24"/>
          <w:highlight w:val="none"/>
          <w:shd w:val="clear" w:color="auto" w:fill="FFFFFF"/>
          <w:lang w:eastAsia="zh-CN" w:bidi="ar"/>
        </w:rPr>
      </w:pPr>
      <w:r>
        <w:rPr>
          <w:rFonts w:hint="eastAsia" w:ascii="宋体" w:hAnsi="宋体" w:eastAsia="宋体" w:cs="宋体"/>
          <w:b/>
          <w:bCs/>
          <w:sz w:val="24"/>
          <w:szCs w:val="24"/>
          <w:highlight w:val="none"/>
          <w:shd w:val="clear" w:color="auto" w:fill="FFFFFF"/>
          <w:lang w:eastAsia="zh-CN" w:bidi="ar"/>
        </w:rPr>
        <w:t>三门峡市城区排水管网普查检测及GIS系统建设项目三标段</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499"/>
        <w:gridCol w:w="5752"/>
        <w:gridCol w:w="656"/>
        <w:gridCol w:w="630"/>
      </w:tblGrid>
      <w:tr w14:paraId="3415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8A8B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99" w:type="dxa"/>
            <w:shd w:val="clear" w:color="auto" w:fill="auto"/>
            <w:vAlign w:val="center"/>
          </w:tcPr>
          <w:p w14:paraId="1B7DED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物料名称</w:t>
            </w:r>
          </w:p>
        </w:tc>
        <w:tc>
          <w:tcPr>
            <w:tcW w:w="5752" w:type="dxa"/>
            <w:shd w:val="clear" w:color="auto" w:fill="auto"/>
            <w:vAlign w:val="center"/>
          </w:tcPr>
          <w:p w14:paraId="490D0D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性能参数</w:t>
            </w:r>
          </w:p>
        </w:tc>
        <w:tc>
          <w:tcPr>
            <w:tcW w:w="656" w:type="dxa"/>
            <w:shd w:val="clear" w:color="auto" w:fill="auto"/>
            <w:vAlign w:val="center"/>
          </w:tcPr>
          <w:p w14:paraId="14D3BA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630" w:type="dxa"/>
            <w:shd w:val="clear" w:color="auto" w:fill="auto"/>
            <w:noWrap/>
            <w:vAlign w:val="center"/>
          </w:tcPr>
          <w:p w14:paraId="199995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14:paraId="2828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23A1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8537" w:type="dxa"/>
            <w:gridSpan w:val="4"/>
            <w:shd w:val="clear" w:color="auto" w:fill="auto"/>
            <w:vAlign w:val="center"/>
          </w:tcPr>
          <w:p w14:paraId="4A793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城市防汛（排水防涝）智慧管理平台</w:t>
            </w:r>
          </w:p>
        </w:tc>
      </w:tr>
      <w:tr w14:paraId="5E45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DC2C8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99" w:type="dxa"/>
            <w:shd w:val="clear" w:color="auto" w:fill="auto"/>
            <w:vAlign w:val="center"/>
          </w:tcPr>
          <w:p w14:paraId="2499F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防汛物联感知设备</w:t>
            </w:r>
          </w:p>
        </w:tc>
        <w:tc>
          <w:tcPr>
            <w:tcW w:w="5752" w:type="dxa"/>
            <w:shd w:val="clear" w:color="auto" w:fill="auto"/>
            <w:vAlign w:val="center"/>
          </w:tcPr>
          <w:p w14:paraId="415CFF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27C674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noWrap/>
            <w:vAlign w:val="center"/>
          </w:tcPr>
          <w:p w14:paraId="037FF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1F8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4F18C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499" w:type="dxa"/>
            <w:shd w:val="clear" w:color="auto" w:fill="auto"/>
            <w:vAlign w:val="center"/>
          </w:tcPr>
          <w:p w14:paraId="31986C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河道水位感知设备</w:t>
            </w:r>
          </w:p>
        </w:tc>
        <w:tc>
          <w:tcPr>
            <w:tcW w:w="5752" w:type="dxa"/>
            <w:shd w:val="clear" w:color="auto" w:fill="auto"/>
            <w:vAlign w:val="center"/>
          </w:tcPr>
          <w:p w14:paraId="3F8861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6E2042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noWrap/>
            <w:vAlign w:val="center"/>
          </w:tcPr>
          <w:p w14:paraId="66A0CD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42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5083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w:t>
            </w:r>
          </w:p>
        </w:tc>
        <w:tc>
          <w:tcPr>
            <w:tcW w:w="1499" w:type="dxa"/>
            <w:shd w:val="clear" w:color="auto" w:fill="auto"/>
            <w:vAlign w:val="center"/>
          </w:tcPr>
          <w:p w14:paraId="583E21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河道水位雷达液位计</w:t>
            </w:r>
          </w:p>
        </w:tc>
        <w:tc>
          <w:tcPr>
            <w:tcW w:w="5752" w:type="dxa"/>
            <w:shd w:val="clear" w:color="auto" w:fill="auto"/>
            <w:vAlign w:val="center"/>
          </w:tcPr>
          <w:p w14:paraId="62AAF1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一次性锂电池组（内置：6节），锂亚硫酰氯</w:t>
            </w:r>
          </w:p>
          <w:p w14:paraId="52FDC35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114AH</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C3C80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供电电压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3.6VDC</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81CA3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工作电流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待机＜50uA，发送&lt;200mA，瞬态＜2.5A</w:t>
            </w:r>
            <w:r>
              <w:rPr>
                <w:rFonts w:hint="eastAsia" w:ascii="宋体" w:hAnsi="宋体" w:eastAsia="宋体" w:cs="宋体"/>
                <w:color w:val="000000" w:themeColor="text1"/>
                <w:sz w:val="21"/>
                <w:szCs w:val="21"/>
                <w:highlight w:val="none"/>
                <w14:textFill>
                  <w14:solidFill>
                    <w14:schemeClr w14:val="tx1"/>
                  </w14:solidFill>
                </w14:textFill>
              </w:rPr>
              <w:tab/>
            </w:r>
          </w:p>
          <w:p w14:paraId="2DABC1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液位测量范围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0-7米</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12907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液位测量精度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±1CM</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E1893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&lt;10s</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5FD2ED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采集间隔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p>
          <w:p w14:paraId="39F124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保存间隔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p>
          <w:p w14:paraId="731225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1分钟-24小时可配置</w:t>
            </w:r>
          </w:p>
          <w:p w14:paraId="1A2C17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B3 @H-FDD: 1800MHz / B8 @H-FDD: 900MHz / B5 @H-FDD: 850MHz</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89D41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上报地址</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1路，CoAP / TCP / UCP</w:t>
            </w:r>
          </w:p>
          <w:p w14:paraId="33DCE9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8Mb 静态ROM</w:t>
            </w:r>
          </w:p>
          <w:p w14:paraId="3CEEF9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1年</w:t>
            </w:r>
          </w:p>
          <w:p w14:paraId="36E77F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电池使用时间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2年，@1路上报地址，30分钟上报间隔，典型工况</w:t>
            </w:r>
          </w:p>
          <w:p w14:paraId="6A17A6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工作环境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-25℃～+55℃，0%～100%RH</w:t>
            </w:r>
          </w:p>
          <w:p w14:paraId="285AFE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ASA</w:t>
            </w:r>
          </w:p>
          <w:p w14:paraId="45DA91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304不锈钢支架</w:t>
            </w:r>
          </w:p>
          <w:p w14:paraId="6D028C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IP68</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5DAC5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天线类型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10dB防水天线</w:t>
            </w:r>
          </w:p>
        </w:tc>
        <w:tc>
          <w:tcPr>
            <w:tcW w:w="656" w:type="dxa"/>
            <w:shd w:val="clear" w:color="auto" w:fill="auto"/>
            <w:vAlign w:val="center"/>
          </w:tcPr>
          <w:p w14:paraId="04C64A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noWrap/>
            <w:vAlign w:val="center"/>
          </w:tcPr>
          <w:p w14:paraId="461A9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14:paraId="3A79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1ECB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w:t>
            </w:r>
          </w:p>
        </w:tc>
        <w:tc>
          <w:tcPr>
            <w:tcW w:w="1499" w:type="dxa"/>
            <w:shd w:val="clear" w:color="auto" w:fill="auto"/>
            <w:vAlign w:val="center"/>
          </w:tcPr>
          <w:p w14:paraId="21D294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立杆及线材</w:t>
            </w:r>
          </w:p>
        </w:tc>
        <w:tc>
          <w:tcPr>
            <w:tcW w:w="5752" w:type="dxa"/>
            <w:shd w:val="clear" w:color="auto" w:fill="auto"/>
            <w:vAlign w:val="center"/>
          </w:tcPr>
          <w:p w14:paraId="2686E5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6米太阳能路灯杆、蓄电池、太阳能电池组件、太阳能电池板支架、太阳能充电控制器、防水机箱、防雷器、预埋件、不锈钢膨胀螺丝、软线、加长横杆、螺帽+垫片</w:t>
            </w:r>
          </w:p>
        </w:tc>
        <w:tc>
          <w:tcPr>
            <w:tcW w:w="656" w:type="dxa"/>
            <w:shd w:val="clear" w:color="auto" w:fill="auto"/>
            <w:vAlign w:val="center"/>
          </w:tcPr>
          <w:p w14:paraId="202063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630" w:type="dxa"/>
            <w:shd w:val="clear" w:color="auto" w:fill="auto"/>
            <w:noWrap/>
            <w:vAlign w:val="center"/>
          </w:tcPr>
          <w:p w14:paraId="158F6D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14:paraId="6D7C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ED448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499" w:type="dxa"/>
            <w:shd w:val="clear" w:color="auto" w:fill="auto"/>
            <w:vAlign w:val="center"/>
          </w:tcPr>
          <w:p w14:paraId="60F5EA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污水处理厂运行感知设备</w:t>
            </w:r>
          </w:p>
        </w:tc>
        <w:tc>
          <w:tcPr>
            <w:tcW w:w="5752" w:type="dxa"/>
            <w:shd w:val="clear" w:color="auto" w:fill="auto"/>
            <w:vAlign w:val="center"/>
          </w:tcPr>
          <w:p w14:paraId="552755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610678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noWrap/>
            <w:vAlign w:val="center"/>
          </w:tcPr>
          <w:p w14:paraId="50371D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505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0018A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w:t>
            </w:r>
          </w:p>
        </w:tc>
        <w:tc>
          <w:tcPr>
            <w:tcW w:w="1499" w:type="dxa"/>
            <w:shd w:val="clear" w:color="auto" w:fill="auto"/>
            <w:vAlign w:val="center"/>
          </w:tcPr>
          <w:p w14:paraId="66391E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数据采集网关</w:t>
            </w:r>
          </w:p>
        </w:tc>
        <w:tc>
          <w:tcPr>
            <w:tcW w:w="5752" w:type="dxa"/>
            <w:shd w:val="clear" w:color="auto" w:fill="auto"/>
            <w:vAlign w:val="center"/>
          </w:tcPr>
          <w:p w14:paraId="384188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 650MHz MIPS</w:t>
            </w:r>
          </w:p>
          <w:p w14:paraId="452132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存储器 16MB Flash + 512Mb RAM</w:t>
            </w:r>
          </w:p>
          <w:p w14:paraId="259408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以太网 1WAN + 4LAN.10/100Mbps</w:t>
            </w:r>
          </w:p>
          <w:p w14:paraId="3B2142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串口 1路 RS485，1 路 RS232</w:t>
            </w:r>
          </w:p>
          <w:p w14:paraId="05EE3B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4G LTE Cat4 全网通模块，抽冠式 SIM 卡座</w:t>
            </w:r>
          </w:p>
          <w:p w14:paraId="1F779D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WLAN 2.4GHZ， IEEE 802.11 b/g/n， 2x2 MIMO WiFi</w:t>
            </w:r>
          </w:p>
          <w:p w14:paraId="4ADE52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 1个 LTE 全网通，2个2.4G WiFi。SMA-Female</w:t>
            </w:r>
          </w:p>
          <w:p w14:paraId="4DFDE0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RTC 内置实时时钟芯片，可独立完成计时功能</w:t>
            </w:r>
          </w:p>
          <w:p w14:paraId="1F889F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RESET 物理按键，短按重启、长按 5S 恢复出厂设置</w:t>
            </w:r>
          </w:p>
          <w:p w14:paraId="574976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 DC 电源插座、接线端子</w:t>
            </w:r>
          </w:p>
          <w:p w14:paraId="384B7E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LED LED 指示灯显示: SYS、4G、WiFi、WAN、LAN1-4</w:t>
            </w:r>
          </w:p>
          <w:p w14:paraId="433FCB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额定电压 DC12V，可工作范围 DC9V~28V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宽压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16A70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额定功率&lt;5W</w:t>
            </w:r>
          </w:p>
          <w:p w14:paraId="6B6044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电源保护反接保护，浪涌保护</w:t>
            </w:r>
          </w:p>
          <w:p w14:paraId="671F7E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储存温度-40°C-85C</w:t>
            </w:r>
          </w:p>
          <w:p w14:paraId="3E4655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工作温度-20C- 70C</w:t>
            </w:r>
          </w:p>
          <w:p w14:paraId="2B384E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环境湿度10%~ 90% RH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无冷凝</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3A7C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安装方式壁挂式、导轨式</w:t>
            </w:r>
          </w:p>
          <w:p w14:paraId="20B7BC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外壳材质镀锌板，IP30 防护</w:t>
            </w:r>
          </w:p>
          <w:p w14:paraId="43C83A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散热方式无风扇散热</w:t>
            </w:r>
          </w:p>
        </w:tc>
        <w:tc>
          <w:tcPr>
            <w:tcW w:w="656" w:type="dxa"/>
            <w:shd w:val="clear" w:color="auto" w:fill="auto"/>
            <w:vAlign w:val="center"/>
          </w:tcPr>
          <w:p w14:paraId="737F91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noWrap/>
            <w:vAlign w:val="center"/>
          </w:tcPr>
          <w:p w14:paraId="00068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4813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EBC2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499" w:type="dxa"/>
            <w:shd w:val="clear" w:color="auto" w:fill="auto"/>
            <w:vAlign w:val="center"/>
          </w:tcPr>
          <w:p w14:paraId="332CCB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污水泵站运行感知设备</w:t>
            </w:r>
          </w:p>
        </w:tc>
        <w:tc>
          <w:tcPr>
            <w:tcW w:w="5752" w:type="dxa"/>
            <w:shd w:val="clear" w:color="auto" w:fill="auto"/>
            <w:vAlign w:val="center"/>
          </w:tcPr>
          <w:p w14:paraId="588780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614C61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4A3757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0FF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DE2D5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1.3.1</w:t>
            </w:r>
          </w:p>
        </w:tc>
        <w:tc>
          <w:tcPr>
            <w:tcW w:w="1499" w:type="dxa"/>
            <w:shd w:val="clear" w:color="auto" w:fill="auto"/>
            <w:vAlign w:val="center"/>
          </w:tcPr>
          <w:p w14:paraId="72191B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数据采集网关</w:t>
            </w:r>
          </w:p>
        </w:tc>
        <w:tc>
          <w:tcPr>
            <w:tcW w:w="5752" w:type="dxa"/>
            <w:shd w:val="clear" w:color="auto" w:fill="auto"/>
            <w:vAlign w:val="center"/>
          </w:tcPr>
          <w:p w14:paraId="483E1D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CPU 650MHz MIPS</w:t>
            </w:r>
          </w:p>
          <w:p w14:paraId="11EBAB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存储器 16MB Flash + 512Mb RAM</w:t>
            </w:r>
          </w:p>
          <w:p w14:paraId="1925A6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以太网 1WAN + 4LAN.10/100Mbps</w:t>
            </w:r>
          </w:p>
          <w:p w14:paraId="5460F0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串口 1路 RS485，1 路 RS232</w:t>
            </w:r>
          </w:p>
          <w:p w14:paraId="25F3A6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4G LTE Cat4 全网通模块，抽冠式 SIM 卡座</w:t>
            </w:r>
          </w:p>
          <w:p w14:paraId="0F563B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WLAN 2.4GHZ， IEEE 802.11 b/g/n， 2x2 MIMO WiFi</w:t>
            </w:r>
          </w:p>
          <w:p w14:paraId="7A4463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 1个 LTE 全网通，2个2.4G WiFi。SMA-Female</w:t>
            </w:r>
          </w:p>
          <w:p w14:paraId="2C9AF5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RTC 内置实时时钟芯片，可独立完成计时功能</w:t>
            </w:r>
          </w:p>
          <w:p w14:paraId="4FC433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RESET 物理按键，短按重启、长按 5S 恢复出厂设置</w:t>
            </w:r>
          </w:p>
          <w:p w14:paraId="34F3B9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 DC 电源插座、接线端子</w:t>
            </w:r>
          </w:p>
          <w:p w14:paraId="050D07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LED LED 指示灯显示: SYS、4G、WiFi、WAN、LAN1-4</w:t>
            </w:r>
          </w:p>
          <w:p w14:paraId="5FEB2C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额定电压 DC12V，可工作范围 DC9V~28V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宽压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C0B39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额定功率&lt;5W</w:t>
            </w:r>
          </w:p>
          <w:p w14:paraId="359D6A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电源保护反接保护，浪涌保护</w:t>
            </w:r>
          </w:p>
          <w:p w14:paraId="730529C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储存温度-40°C-85C</w:t>
            </w:r>
          </w:p>
          <w:p w14:paraId="28217F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工作温度-20C- 70C</w:t>
            </w:r>
          </w:p>
          <w:p w14:paraId="28131C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环境湿度10%~ 90% RH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无冷凝</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03BA5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安装方式壁挂式、导轨式</w:t>
            </w:r>
          </w:p>
          <w:p w14:paraId="0B3C28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外壳材质镀锌板，IP30 防护</w:t>
            </w:r>
          </w:p>
          <w:p w14:paraId="1DF72E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散热方式无风扇散热</w:t>
            </w:r>
          </w:p>
        </w:tc>
        <w:tc>
          <w:tcPr>
            <w:tcW w:w="656" w:type="dxa"/>
            <w:shd w:val="clear" w:color="auto" w:fill="auto"/>
            <w:vAlign w:val="center"/>
          </w:tcPr>
          <w:p w14:paraId="2EBCD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noWrap/>
            <w:vAlign w:val="center"/>
          </w:tcPr>
          <w:p w14:paraId="1CE60F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6692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CAD86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499" w:type="dxa"/>
            <w:shd w:val="clear" w:color="auto" w:fill="auto"/>
            <w:vAlign w:val="center"/>
          </w:tcPr>
          <w:p w14:paraId="181D1D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雨污水管网感知设备</w:t>
            </w:r>
          </w:p>
        </w:tc>
        <w:tc>
          <w:tcPr>
            <w:tcW w:w="5752" w:type="dxa"/>
            <w:shd w:val="clear" w:color="auto" w:fill="auto"/>
            <w:vAlign w:val="center"/>
          </w:tcPr>
          <w:p w14:paraId="2FF983C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1240A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567521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9B5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ECAD9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w:t>
            </w:r>
          </w:p>
        </w:tc>
        <w:tc>
          <w:tcPr>
            <w:tcW w:w="1499" w:type="dxa"/>
            <w:shd w:val="clear" w:color="auto" w:fill="auto"/>
            <w:vAlign w:val="center"/>
          </w:tcPr>
          <w:p w14:paraId="16FA86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管网超声波液位计</w:t>
            </w:r>
          </w:p>
        </w:tc>
        <w:tc>
          <w:tcPr>
            <w:tcW w:w="5752" w:type="dxa"/>
            <w:shd w:val="clear" w:color="auto" w:fill="auto"/>
            <w:vAlign w:val="center"/>
          </w:tcPr>
          <w:p w14:paraId="240FD0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一次性锂电池组（内置：6节），锂亚硫酰氯</w:t>
            </w:r>
          </w:p>
          <w:p w14:paraId="0DABC4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114AH</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195B2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供电电压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3.6VDC</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6F4A3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工作电流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待机＜50uA，发送&lt;200mA，瞬态＜2.5A</w:t>
            </w:r>
            <w:r>
              <w:rPr>
                <w:rFonts w:hint="eastAsia" w:ascii="宋体" w:hAnsi="宋体" w:eastAsia="宋体" w:cs="宋体"/>
                <w:color w:val="000000" w:themeColor="text1"/>
                <w:sz w:val="21"/>
                <w:szCs w:val="21"/>
                <w:highlight w:val="none"/>
                <w14:textFill>
                  <w14:solidFill>
                    <w14:schemeClr w14:val="tx1"/>
                  </w14:solidFill>
                </w14:textFill>
              </w:rPr>
              <w:tab/>
            </w:r>
          </w:p>
          <w:p w14:paraId="623969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液位测量范围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0-10米</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F92A6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液位测量精度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80E49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&lt;6s</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71808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采集间隔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r>
              <w:rPr>
                <w:rFonts w:hint="eastAsia" w:ascii="宋体" w:hAnsi="宋体" w:eastAsia="宋体" w:cs="宋体"/>
                <w:color w:val="000000" w:themeColor="text1"/>
                <w:sz w:val="21"/>
                <w:szCs w:val="21"/>
                <w:highlight w:val="none"/>
                <w14:textFill>
                  <w14:solidFill>
                    <w14:schemeClr w14:val="tx1"/>
                  </w14:solidFill>
                </w14:textFill>
              </w:rPr>
              <w:tab/>
            </w:r>
          </w:p>
          <w:p w14:paraId="201183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保存间隔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r>
              <w:rPr>
                <w:rFonts w:hint="eastAsia" w:ascii="宋体" w:hAnsi="宋体" w:eastAsia="宋体" w:cs="宋体"/>
                <w:color w:val="000000" w:themeColor="text1"/>
                <w:sz w:val="21"/>
                <w:szCs w:val="21"/>
                <w:highlight w:val="none"/>
                <w14:textFill>
                  <w14:solidFill>
                    <w14:schemeClr w14:val="tx1"/>
                  </w14:solidFill>
                </w14:textFill>
              </w:rPr>
              <w:tab/>
            </w:r>
          </w:p>
          <w:p w14:paraId="5AE4329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1分钟-24小时可配置</w:t>
            </w:r>
            <w:r>
              <w:rPr>
                <w:rFonts w:hint="eastAsia" w:ascii="宋体" w:hAnsi="宋体" w:eastAsia="宋体" w:cs="宋体"/>
                <w:color w:val="000000" w:themeColor="text1"/>
                <w:sz w:val="21"/>
                <w:szCs w:val="21"/>
                <w:highlight w:val="none"/>
                <w14:textFill>
                  <w14:solidFill>
                    <w14:schemeClr w14:val="tx1"/>
                  </w14:solidFill>
                </w14:textFill>
              </w:rPr>
              <w:tab/>
            </w:r>
          </w:p>
          <w:p w14:paraId="7F76BC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B3 @H-FDD: 1800MHz / B8 @H-FDD: 900MHz / B5 @H-FDD: 850MHz</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9296F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上报地址</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1路，CoAP / TCP / UCP</w:t>
            </w:r>
          </w:p>
          <w:p w14:paraId="15A4CA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8Mb 静态ROM</w:t>
            </w:r>
          </w:p>
          <w:p w14:paraId="6DF458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40天</w:t>
            </w:r>
          </w:p>
          <w:p w14:paraId="51E8BD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电池使用时间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2年，@1路上报地址，30分钟上报间隔，典型工况</w:t>
            </w:r>
          </w:p>
          <w:p w14:paraId="68C80A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工作环境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-25℃～+55℃，0%～100%RH</w:t>
            </w:r>
          </w:p>
          <w:p w14:paraId="5D485E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ASA</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C5446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304不锈钢支架</w:t>
            </w:r>
          </w:p>
          <w:p w14:paraId="082BA9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IP68</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E18BE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天线类型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10dB防水天线</w:t>
            </w:r>
          </w:p>
          <w:p w14:paraId="66434D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▲防护等级：IP68（提供第三方检测报告，提供复印件并加盖原厂商公章）</w:t>
            </w:r>
          </w:p>
          <w:p w14:paraId="3F080D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▲产品性能稳定，需提供设备的静电放电抗扰度、射频电磁场辐射抗扰度的第三方检验报告（提供复印件并加盖原厂商公章）</w:t>
            </w:r>
          </w:p>
          <w:p w14:paraId="330A8D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▲产品计量准确，需提供省级及以上计量测试中心出具的计量校准证书（提供复印件并加盖原厂商公章）</w:t>
            </w:r>
          </w:p>
        </w:tc>
        <w:tc>
          <w:tcPr>
            <w:tcW w:w="656" w:type="dxa"/>
            <w:shd w:val="clear" w:color="auto" w:fill="auto"/>
            <w:vAlign w:val="center"/>
          </w:tcPr>
          <w:p w14:paraId="36E6D3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505C8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w:t>
            </w:r>
          </w:p>
        </w:tc>
      </w:tr>
      <w:tr w14:paraId="2125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2F685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w:t>
            </w:r>
          </w:p>
        </w:tc>
        <w:tc>
          <w:tcPr>
            <w:tcW w:w="1499" w:type="dxa"/>
            <w:shd w:val="clear" w:color="auto" w:fill="auto"/>
            <w:vAlign w:val="center"/>
          </w:tcPr>
          <w:p w14:paraId="666361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管网水质监测仪（电导率）</w:t>
            </w:r>
          </w:p>
        </w:tc>
        <w:tc>
          <w:tcPr>
            <w:tcW w:w="5752" w:type="dxa"/>
            <w:shd w:val="clear" w:color="auto" w:fill="auto"/>
            <w:vAlign w:val="center"/>
          </w:tcPr>
          <w:p w14:paraId="0DA76A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测量性能：1、量程:0~500ms/cm2、测量方法：四电极法3、准确度：±1%4、重复性：≤1%5、分辨率：0.01μS/cm6、温度补偿精度：±1%7、零点漂移：±1%FS8、量程漂移：±1%FS9、标定:出厂标定，无需校准10、四电极平头设计，可实现自清洁（自清洁周期可设）11、数据存储:自动存储功能，断电数据保护；</w:t>
            </w:r>
          </w:p>
          <w:p w14:paraId="6AAFF7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输出：1、模拟输出:隔离式4~20mA可设定对应主测量范围值输出，最大负载500Ω2、继电器输出:高低点、滞后值任意设定3、数字接口:RS485（MODBUS RTU）、可拓展Profibus DP；</w:t>
            </w:r>
          </w:p>
          <w:p w14:paraId="7BA54D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供电交流供电：: （85-264）VAC （47-63）Hz直流供电:（9-26）VDC；</w:t>
            </w:r>
          </w:p>
          <w:p w14:paraId="0FABF4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物理性能：1、材质: 传感器:不锈钢+POM2、安装方式:挂壁式/管路式/盘面式；</w:t>
            </w:r>
          </w:p>
          <w:p w14:paraId="52CD37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环境性能：1、防护等级:传感器:IP682、工作温度:变送器:-20℃~60℃3、传感器:0℃~60℃4、相对湿度:0~95%，无冷凝5、工作压力:最大4Bar；</w:t>
            </w:r>
          </w:p>
        </w:tc>
        <w:tc>
          <w:tcPr>
            <w:tcW w:w="656" w:type="dxa"/>
            <w:shd w:val="clear" w:color="auto" w:fill="auto"/>
            <w:vAlign w:val="center"/>
          </w:tcPr>
          <w:p w14:paraId="25C755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6B2262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w:t>
            </w:r>
          </w:p>
        </w:tc>
      </w:tr>
      <w:tr w14:paraId="2746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83DE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w:t>
            </w:r>
          </w:p>
        </w:tc>
        <w:tc>
          <w:tcPr>
            <w:tcW w:w="1499" w:type="dxa"/>
            <w:shd w:val="clear" w:color="auto" w:fill="auto"/>
            <w:vAlign w:val="center"/>
          </w:tcPr>
          <w:p w14:paraId="39AF4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锂电遥测终端机</w:t>
            </w:r>
          </w:p>
        </w:tc>
        <w:tc>
          <w:tcPr>
            <w:tcW w:w="5752" w:type="dxa"/>
            <w:shd w:val="clear" w:color="auto" w:fill="auto"/>
            <w:vAlign w:val="center"/>
          </w:tcPr>
          <w:p w14:paraId="1529CF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一次性锂电池组（内置：4节），锂亚硫酰氯</w:t>
            </w:r>
          </w:p>
          <w:p w14:paraId="000619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38AH</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515CB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供电电压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7.2VDC</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034E8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工作电流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待机＜50uA，发送&lt;200mA，瞬态＜2.5A</w:t>
            </w:r>
            <w:r>
              <w:rPr>
                <w:rFonts w:hint="eastAsia" w:ascii="宋体" w:hAnsi="宋体" w:eastAsia="宋体" w:cs="宋体"/>
                <w:color w:val="000000" w:themeColor="text1"/>
                <w:sz w:val="21"/>
                <w:szCs w:val="21"/>
                <w:highlight w:val="none"/>
                <w14:textFill>
                  <w14:solidFill>
                    <w14:schemeClr w14:val="tx1"/>
                  </w14:solidFill>
                </w14:textFill>
              </w:rPr>
              <w:tab/>
            </w:r>
          </w:p>
          <w:p w14:paraId="78C74B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脉冲量/开关量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8路，无源脉冲（有效阻值＜10K欧姆，无效阻值＞1M欧姆）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10B7E4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模拟量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1路，0-2V；1路，4-20mA（内阻250欧姆）</w:t>
            </w:r>
            <w:r>
              <w:rPr>
                <w:rFonts w:hint="eastAsia" w:ascii="宋体" w:hAnsi="宋体" w:eastAsia="宋体" w:cs="宋体"/>
                <w:color w:val="000000" w:themeColor="text1"/>
                <w:sz w:val="21"/>
                <w:szCs w:val="21"/>
                <w:highlight w:val="none"/>
                <w14:textFill>
                  <w14:solidFill>
                    <w14:schemeClr w14:val="tx1"/>
                  </w14:solidFill>
                </w14:textFill>
              </w:rPr>
              <w:tab/>
            </w:r>
          </w:p>
          <w:p w14:paraId="79CFF2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RS485/RS232</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1路，RS485（默认）或RS232（定制），默认19200-8N1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9A31D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红外通讯口</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1路，38K载波红外，默认2400-8N1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1C023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采集间隔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p>
          <w:p w14:paraId="03296D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保存间隔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p>
          <w:p w14:paraId="6767EE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1分钟-24小时可配置</w:t>
            </w:r>
          </w:p>
          <w:p w14:paraId="1936A2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GSM / GPRS / EDGE / WCDMA / TD-SCDMA / LTE-FDD / LTE-TDD</w:t>
            </w:r>
            <w:r>
              <w:rPr>
                <w:rFonts w:hint="eastAsia" w:ascii="宋体" w:hAnsi="宋体" w:eastAsia="宋体" w:cs="宋体"/>
                <w:color w:val="000000" w:themeColor="text1"/>
                <w:sz w:val="21"/>
                <w:szCs w:val="21"/>
                <w:highlight w:val="none"/>
                <w14:textFill>
                  <w14:solidFill>
                    <w14:schemeClr w14:val="tx1"/>
                  </w14:solidFill>
                </w14:textFill>
              </w:rPr>
              <w:tab/>
            </w:r>
          </w:p>
          <w:p w14:paraId="60159F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上报地址</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2路，UDP / TCP</w:t>
            </w:r>
          </w:p>
          <w:p w14:paraId="388BB1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16Mb 静态ROM</w:t>
            </w:r>
          </w:p>
          <w:p w14:paraId="62260F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2年，@15分钟存储，2路脉冲量，1路模拟量</w:t>
            </w:r>
          </w:p>
          <w:p w14:paraId="692EDA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电池使用时间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2年，@1路上报地址，4小时上报间隔，典型工况</w:t>
            </w:r>
          </w:p>
          <w:p w14:paraId="4590AB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工作环境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-25℃～+55℃，0%～100%RH</w:t>
            </w:r>
          </w:p>
          <w:p w14:paraId="5A0F66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ASA，高强塑料注塑成型</w:t>
            </w:r>
            <w:r>
              <w:rPr>
                <w:rFonts w:hint="eastAsia" w:ascii="宋体" w:hAnsi="宋体" w:eastAsia="宋体" w:cs="宋体"/>
                <w:color w:val="000000" w:themeColor="text1"/>
                <w:sz w:val="21"/>
                <w:szCs w:val="21"/>
                <w:highlight w:val="none"/>
                <w14:textFill>
                  <w14:solidFill>
                    <w14:schemeClr w14:val="tx1"/>
                  </w14:solidFill>
                </w14:textFill>
              </w:rPr>
              <w:tab/>
            </w:r>
          </w:p>
          <w:p w14:paraId="1BCF93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塑料支架（标配）或不锈钢支架（选配），壁挂式</w:t>
            </w:r>
          </w:p>
          <w:p w14:paraId="056151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IP68</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16F4D9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天线类型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10dB防水天线</w:t>
            </w:r>
          </w:p>
          <w:p w14:paraId="25FF98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▲设备对低电压有自检自诊断功能，能按设定的时间间隔对电池电压进行自检,当电池电压过低时能正常报警，具备第三方检测报告（提供复印件并加盖原厂公章）</w:t>
            </w:r>
          </w:p>
          <w:p w14:paraId="59887F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▲设备采集数据频率灵活可设置，提供第三方检测报告（提供复印件并加盖原厂公章）</w:t>
            </w:r>
          </w:p>
          <w:p w14:paraId="64998D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▲设备功能及性能满足SL 180-2015《水文自动测报系统设备 遥测终端机》的要求，具备省级及以上质量监督检验测试中心出具的检验报告，（提供复印件并加盖原厂公章）</w:t>
            </w:r>
          </w:p>
          <w:p w14:paraId="71C518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▲设备等级IP68，能够在水下10米72小时不进水,提供第三方检测报告（提供复印件并加盖原厂公章）</w:t>
            </w:r>
          </w:p>
        </w:tc>
        <w:tc>
          <w:tcPr>
            <w:tcW w:w="656" w:type="dxa"/>
            <w:shd w:val="clear" w:color="auto" w:fill="auto"/>
            <w:vAlign w:val="center"/>
          </w:tcPr>
          <w:p w14:paraId="315BB5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264E5C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w:t>
            </w:r>
          </w:p>
        </w:tc>
      </w:tr>
      <w:tr w14:paraId="3085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46B17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499" w:type="dxa"/>
            <w:shd w:val="clear" w:color="auto" w:fill="auto"/>
            <w:vAlign w:val="center"/>
          </w:tcPr>
          <w:p w14:paraId="7B79D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河道排口感知设备</w:t>
            </w:r>
          </w:p>
        </w:tc>
        <w:tc>
          <w:tcPr>
            <w:tcW w:w="5752" w:type="dxa"/>
            <w:shd w:val="clear" w:color="auto" w:fill="auto"/>
            <w:vAlign w:val="center"/>
          </w:tcPr>
          <w:p w14:paraId="0D04D2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0D134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37C8E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C3D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CD685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1.5.1</w:t>
            </w:r>
          </w:p>
        </w:tc>
        <w:tc>
          <w:tcPr>
            <w:tcW w:w="1499" w:type="dxa"/>
            <w:shd w:val="clear" w:color="auto" w:fill="auto"/>
            <w:vAlign w:val="center"/>
          </w:tcPr>
          <w:p w14:paraId="1CCBFA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排口超声波液位计</w:t>
            </w:r>
          </w:p>
        </w:tc>
        <w:tc>
          <w:tcPr>
            <w:tcW w:w="5752" w:type="dxa"/>
            <w:shd w:val="clear" w:color="auto" w:fill="auto"/>
            <w:vAlign w:val="center"/>
          </w:tcPr>
          <w:p w14:paraId="584994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一次性锂电池组（内置：6节），锂亚硫酰氯</w:t>
            </w:r>
          </w:p>
          <w:p w14:paraId="19D39C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114AH</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61610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供电电压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3.6VDC</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78ED1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工作电流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待机＜50uA，发送&lt;200mA，瞬态＜2.5A</w:t>
            </w:r>
            <w:r>
              <w:rPr>
                <w:rFonts w:hint="eastAsia" w:ascii="宋体" w:hAnsi="宋体" w:eastAsia="宋体" w:cs="宋体"/>
                <w:color w:val="000000" w:themeColor="text1"/>
                <w:sz w:val="21"/>
                <w:szCs w:val="21"/>
                <w:highlight w:val="none"/>
                <w14:textFill>
                  <w14:solidFill>
                    <w14:schemeClr w14:val="tx1"/>
                  </w14:solidFill>
                </w14:textFill>
              </w:rPr>
              <w:tab/>
            </w:r>
          </w:p>
          <w:p w14:paraId="3CF8A3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液位测量范围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0-10米</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9A02D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液位测量精度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01017E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&lt;6s</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15358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采集间隔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r>
              <w:rPr>
                <w:rFonts w:hint="eastAsia" w:ascii="宋体" w:hAnsi="宋体" w:eastAsia="宋体" w:cs="宋体"/>
                <w:color w:val="000000" w:themeColor="text1"/>
                <w:sz w:val="21"/>
                <w:szCs w:val="21"/>
                <w:highlight w:val="none"/>
                <w14:textFill>
                  <w14:solidFill>
                    <w14:schemeClr w14:val="tx1"/>
                  </w14:solidFill>
                </w14:textFill>
              </w:rPr>
              <w:tab/>
            </w:r>
          </w:p>
          <w:p w14:paraId="658638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保存间隔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r>
              <w:rPr>
                <w:rFonts w:hint="eastAsia" w:ascii="宋体" w:hAnsi="宋体" w:eastAsia="宋体" w:cs="宋体"/>
                <w:color w:val="000000" w:themeColor="text1"/>
                <w:sz w:val="21"/>
                <w:szCs w:val="21"/>
                <w:highlight w:val="none"/>
                <w14:textFill>
                  <w14:solidFill>
                    <w14:schemeClr w14:val="tx1"/>
                  </w14:solidFill>
                </w14:textFill>
              </w:rPr>
              <w:tab/>
            </w:r>
          </w:p>
          <w:p w14:paraId="692E02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1分钟-24小时可配置</w:t>
            </w:r>
            <w:r>
              <w:rPr>
                <w:rFonts w:hint="eastAsia" w:ascii="宋体" w:hAnsi="宋体" w:eastAsia="宋体" w:cs="宋体"/>
                <w:color w:val="000000" w:themeColor="text1"/>
                <w:sz w:val="21"/>
                <w:szCs w:val="21"/>
                <w:highlight w:val="none"/>
                <w14:textFill>
                  <w14:solidFill>
                    <w14:schemeClr w14:val="tx1"/>
                  </w14:solidFill>
                </w14:textFill>
              </w:rPr>
              <w:tab/>
            </w:r>
          </w:p>
          <w:p w14:paraId="251815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B3 @H-FDD: 1800MHz / B8 @H-FDD: 900MHz / B5 @H-FDD: 850MHz</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7F162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上报地址</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1路，CoAP / TCP / UCP</w:t>
            </w:r>
          </w:p>
          <w:p w14:paraId="726430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8Mb 静态ROM</w:t>
            </w:r>
          </w:p>
          <w:p w14:paraId="08A40A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40天</w:t>
            </w:r>
          </w:p>
          <w:p w14:paraId="184669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电池使用时间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2年，@1路上报地址，30分钟上报间隔，典型工况</w:t>
            </w:r>
          </w:p>
          <w:p w14:paraId="605B41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工作环境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-25℃～+55℃，0%～100%RH</w:t>
            </w:r>
          </w:p>
          <w:p w14:paraId="27E05A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ASA</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4FCC3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304不锈钢支架</w:t>
            </w:r>
          </w:p>
          <w:p w14:paraId="4FECBD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IP68</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81FCA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天线类型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10dB防水天线</w:t>
            </w:r>
          </w:p>
        </w:tc>
        <w:tc>
          <w:tcPr>
            <w:tcW w:w="656" w:type="dxa"/>
            <w:shd w:val="clear" w:color="auto" w:fill="auto"/>
            <w:vAlign w:val="center"/>
          </w:tcPr>
          <w:p w14:paraId="06A900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1C8A9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1268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C3CB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1.5.2</w:t>
            </w:r>
          </w:p>
        </w:tc>
        <w:tc>
          <w:tcPr>
            <w:tcW w:w="1499" w:type="dxa"/>
            <w:shd w:val="clear" w:color="auto" w:fill="auto"/>
            <w:vAlign w:val="center"/>
          </w:tcPr>
          <w:p w14:paraId="6153BE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排口水质监测仪（电导率）</w:t>
            </w:r>
          </w:p>
        </w:tc>
        <w:tc>
          <w:tcPr>
            <w:tcW w:w="5752" w:type="dxa"/>
            <w:shd w:val="clear" w:color="auto" w:fill="auto"/>
            <w:vAlign w:val="center"/>
          </w:tcPr>
          <w:p w14:paraId="64D091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测量性能：1、量程:0~500ms/cm2、测量方法：四电极法3、准确度：±1%4、重复性：≤1%5、分辨率：0.01μS/cm6、温度补偿精度：±1%7、零点漂移：±1%FS8、量程漂移：±1%FS9、标定:出厂标定，无需校准10、四电极平头设计，可实现自清洁（自清洁周期可设）11、数据存储:自动存储功能，断电数据保护；</w:t>
            </w:r>
          </w:p>
          <w:p w14:paraId="3078D0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输出：1、模拟输出:隔离式4~20mA可设定对应主测量范围值输出，最大负载500Ω2、继电器输出:高低点、滞后值任意设定3、数字接口:RS485（MODBUS RTU）、可拓展Profibus DP；</w:t>
            </w:r>
          </w:p>
          <w:p w14:paraId="25E6C3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供电交流供电：: （85-264）VAC （47-63）Hz直流供电:（9-26）VDC；</w:t>
            </w:r>
          </w:p>
          <w:p w14:paraId="20DEBB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物理性能：1、材质: 传感器:不锈钢+POM2、安装方式:挂壁式/管路式/盘面式；</w:t>
            </w:r>
          </w:p>
          <w:p w14:paraId="1BCF2A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环境性能：1、防护等级:传感器:IP682、工作温度:变送器:-20℃~60℃3、传感器:0℃~60℃4、相对湿度:0~95%，无冷凝5、工作压力:最大4Bar；</w:t>
            </w:r>
          </w:p>
        </w:tc>
        <w:tc>
          <w:tcPr>
            <w:tcW w:w="656" w:type="dxa"/>
            <w:shd w:val="clear" w:color="auto" w:fill="auto"/>
            <w:vAlign w:val="center"/>
          </w:tcPr>
          <w:p w14:paraId="75AAEF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39BFE9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030E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E5420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1.5.3</w:t>
            </w:r>
          </w:p>
        </w:tc>
        <w:tc>
          <w:tcPr>
            <w:tcW w:w="1499" w:type="dxa"/>
            <w:shd w:val="clear" w:color="auto" w:fill="auto"/>
            <w:vAlign w:val="center"/>
          </w:tcPr>
          <w:p w14:paraId="0C6314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锂电遥测终端机</w:t>
            </w:r>
          </w:p>
        </w:tc>
        <w:tc>
          <w:tcPr>
            <w:tcW w:w="5752" w:type="dxa"/>
            <w:shd w:val="clear" w:color="auto" w:fill="auto"/>
            <w:vAlign w:val="center"/>
          </w:tcPr>
          <w:p w14:paraId="5005D9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一次性锂电池组（内置：4节），锂亚硫酰氯</w:t>
            </w:r>
          </w:p>
          <w:p w14:paraId="0B73BB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38AH</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71E3D2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供电电压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7.2VDC</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4C1AFE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工作电流</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待机＜50uA，发送&lt;200mA，瞬态＜2.5A</w:t>
            </w:r>
            <w:r>
              <w:rPr>
                <w:rFonts w:hint="eastAsia" w:ascii="宋体" w:hAnsi="宋体" w:eastAsia="宋体" w:cs="宋体"/>
                <w:color w:val="000000" w:themeColor="text1"/>
                <w:sz w:val="21"/>
                <w:szCs w:val="21"/>
                <w:highlight w:val="none"/>
                <w14:textFill>
                  <w14:solidFill>
                    <w14:schemeClr w14:val="tx1"/>
                  </w14:solidFill>
                </w14:textFill>
              </w:rPr>
              <w:tab/>
            </w:r>
          </w:p>
          <w:p w14:paraId="429040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脉冲量/开关量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8路，无源脉冲（有效阻值＜10K欧姆，无效阻值＞1M欧姆）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330B9A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模拟量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1路，0-2V；1路，4-20mA（内阻250欧姆）</w:t>
            </w:r>
            <w:r>
              <w:rPr>
                <w:rFonts w:hint="eastAsia" w:ascii="宋体" w:hAnsi="宋体" w:eastAsia="宋体" w:cs="宋体"/>
                <w:color w:val="000000" w:themeColor="text1"/>
                <w:sz w:val="21"/>
                <w:szCs w:val="21"/>
                <w:highlight w:val="none"/>
                <w14:textFill>
                  <w14:solidFill>
                    <w14:schemeClr w14:val="tx1"/>
                  </w14:solidFill>
                </w14:textFill>
              </w:rPr>
              <w:tab/>
            </w:r>
          </w:p>
          <w:p w14:paraId="5F2D6E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RS485/RS232</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1路，RS485（默认）或RS232（定制），默认19200-8N1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CED40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红外通讯口</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1路，38K载波红外，默认2400-8N1</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64C71E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采集间隔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p>
          <w:p w14:paraId="45E394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保存间隔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1分钟-2小时可配置</w:t>
            </w:r>
          </w:p>
          <w:p w14:paraId="46C687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上报间隔</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1分钟-24小时可配置</w:t>
            </w:r>
          </w:p>
          <w:p w14:paraId="4944DA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GSM / GPRS / EDGE / WCDMA / TD-SCDMA / LTE-FDD / LTE-TDD</w:t>
            </w:r>
            <w:r>
              <w:rPr>
                <w:rFonts w:hint="eastAsia" w:ascii="宋体" w:hAnsi="宋体" w:eastAsia="宋体" w:cs="宋体"/>
                <w:color w:val="000000" w:themeColor="text1"/>
                <w:sz w:val="21"/>
                <w:szCs w:val="21"/>
                <w:highlight w:val="none"/>
                <w14:textFill>
                  <w14:solidFill>
                    <w14:schemeClr w14:val="tx1"/>
                  </w14:solidFill>
                </w14:textFill>
              </w:rPr>
              <w:tab/>
            </w:r>
          </w:p>
          <w:p w14:paraId="71820B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上报地址</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2路，UDP / TCP</w:t>
            </w:r>
          </w:p>
          <w:p w14:paraId="2506B0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数据存储容量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16Mb 静态ROM</w:t>
            </w:r>
          </w:p>
          <w:p w14:paraId="0CA4A7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2年，@15分钟存储，2路脉冲量，1路模拟量</w:t>
            </w:r>
          </w:p>
          <w:p w14:paraId="23C147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电池使用时间</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2年，@1路上报地址，4小时上报间隔，典型工况</w:t>
            </w:r>
          </w:p>
          <w:p w14:paraId="48D567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工作环境</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-25℃～+55℃，0%～100%RH</w:t>
            </w:r>
          </w:p>
          <w:p w14:paraId="3E0138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ASA，高强塑料注塑成型</w:t>
            </w:r>
            <w:r>
              <w:rPr>
                <w:rFonts w:hint="eastAsia" w:ascii="宋体" w:hAnsi="宋体" w:eastAsia="宋体" w:cs="宋体"/>
                <w:color w:val="000000" w:themeColor="text1"/>
                <w:sz w:val="21"/>
                <w:szCs w:val="21"/>
                <w:highlight w:val="none"/>
                <w14:textFill>
                  <w14:solidFill>
                    <w14:schemeClr w14:val="tx1"/>
                  </w14:solidFill>
                </w14:textFill>
              </w:rPr>
              <w:tab/>
            </w:r>
          </w:p>
          <w:p w14:paraId="4FD051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塑料支架（标配）或不锈钢支架（选配），壁挂式</w:t>
            </w:r>
          </w:p>
          <w:p w14:paraId="05C2ED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IP68</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21144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天线类型</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10dB防水天线</w:t>
            </w:r>
          </w:p>
        </w:tc>
        <w:tc>
          <w:tcPr>
            <w:tcW w:w="656" w:type="dxa"/>
            <w:shd w:val="clear" w:color="auto" w:fill="auto"/>
            <w:vAlign w:val="center"/>
          </w:tcPr>
          <w:p w14:paraId="0B908A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432BD1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33C0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9D176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499" w:type="dxa"/>
            <w:shd w:val="clear" w:color="auto" w:fill="auto"/>
            <w:vAlign w:val="center"/>
          </w:tcPr>
          <w:p w14:paraId="23AAD9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易积水点感知设备</w:t>
            </w:r>
          </w:p>
        </w:tc>
        <w:tc>
          <w:tcPr>
            <w:tcW w:w="5752" w:type="dxa"/>
            <w:shd w:val="clear" w:color="auto" w:fill="auto"/>
            <w:vAlign w:val="center"/>
          </w:tcPr>
          <w:p w14:paraId="6C688D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021899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04CC7C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EAC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91C41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1.6.1</w:t>
            </w:r>
          </w:p>
        </w:tc>
        <w:tc>
          <w:tcPr>
            <w:tcW w:w="1499" w:type="dxa"/>
            <w:shd w:val="clear" w:color="auto" w:fill="auto"/>
            <w:vAlign w:val="center"/>
          </w:tcPr>
          <w:p w14:paraId="7C15F9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微型内涝监测一体机</w:t>
            </w:r>
          </w:p>
        </w:tc>
        <w:tc>
          <w:tcPr>
            <w:tcW w:w="5752" w:type="dxa"/>
            <w:shd w:val="clear" w:color="auto" w:fill="auto"/>
            <w:vAlign w:val="center"/>
          </w:tcPr>
          <w:p w14:paraId="7222F3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测量范围 5m</w:t>
            </w:r>
          </w:p>
          <w:p w14:paraId="41F500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测量精度 ±1cm</w:t>
            </w:r>
          </w:p>
          <w:p w14:paraId="6F0FBF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功耗 待机≤0.2uA，工作≤30mA</w:t>
            </w:r>
          </w:p>
          <w:p w14:paraId="4A3918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供电电源 4.2V，10000mAh（可无线充电）</w:t>
            </w:r>
          </w:p>
          <w:p w14:paraId="0B6354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续航 累计上报 12000次</w:t>
            </w:r>
          </w:p>
          <w:p w14:paraId="7CBC97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采样频率 1分钟</w:t>
            </w:r>
          </w:p>
          <w:p w14:paraId="6A04609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上报频率 水位变化超过1cm则1分钟内能上报；</w:t>
            </w:r>
          </w:p>
          <w:p w14:paraId="44F9C2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水位无变化5分钟内上报；</w:t>
            </w:r>
          </w:p>
          <w:p w14:paraId="3CB676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无积水6小时报一次</w:t>
            </w:r>
          </w:p>
          <w:p w14:paraId="3EE726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 IP68</w:t>
            </w:r>
          </w:p>
          <w:p w14:paraId="44AF56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工作温度 -10℃~+55℃</w:t>
            </w:r>
          </w:p>
          <w:p w14:paraId="158D86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储存温度 -40℃~60℃</w:t>
            </w:r>
          </w:p>
          <w:p w14:paraId="716B23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通讯制式 NB-IoT/LORA可选</w:t>
            </w:r>
          </w:p>
          <w:p w14:paraId="3637CA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外壳材质 ABS</w:t>
            </w:r>
          </w:p>
          <w:p w14:paraId="156805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配置方式 手机蓝牙、远程</w:t>
            </w:r>
          </w:p>
          <w:p w14:paraId="52B63B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▲防护等级：IP68。提供经检测机构认证的防尘防水IP68检测报告（提供复印件并加盖原厂商公章）</w:t>
            </w:r>
          </w:p>
          <w:p w14:paraId="34227C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▲电磁兼容检测报告：提供经检测机构认证的电磁兼容检测报告（提供复印件并加盖原厂商公章）</w:t>
            </w:r>
          </w:p>
          <w:p w14:paraId="2A075D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▲内涝监测设备符合GB/T 11828.2-2005《水位测量仪器 第2部分 压力式水位计》和GB/T 9359-2016 《水文仪器基本环境试验条件及方法》，具备水利部水文仪器及岩土工程仪器质量监督检验测试中心出具的检测报告（提供复印件并加盖原厂商公章）</w:t>
            </w:r>
          </w:p>
        </w:tc>
        <w:tc>
          <w:tcPr>
            <w:tcW w:w="656" w:type="dxa"/>
            <w:shd w:val="clear" w:color="auto" w:fill="auto"/>
            <w:vAlign w:val="center"/>
          </w:tcPr>
          <w:p w14:paraId="779ECF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22916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797E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5BC98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1.6.1</w:t>
            </w:r>
          </w:p>
        </w:tc>
        <w:tc>
          <w:tcPr>
            <w:tcW w:w="1499" w:type="dxa"/>
            <w:shd w:val="clear" w:color="auto" w:fill="auto"/>
            <w:vAlign w:val="center"/>
          </w:tcPr>
          <w:p w14:paraId="2F368A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积淹水点摄像头</w:t>
            </w:r>
          </w:p>
        </w:tc>
        <w:tc>
          <w:tcPr>
            <w:tcW w:w="5752" w:type="dxa"/>
            <w:shd w:val="clear" w:color="auto" w:fill="auto"/>
            <w:vAlign w:val="center"/>
          </w:tcPr>
          <w:p w14:paraId="5A5C2E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传感器类型：【全景】1/1.8＂ progressive scan CMOS,【细节】1/2.8" progressive scan CMOS</w:t>
            </w:r>
          </w:p>
          <w:p w14:paraId="1D6E13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最低照度：【全景】彩色：0.0005 Lux @（F1.0，AGC ON），0 Lux with Light；【细节】彩色：0.005 Lux @（F1.5，AGC ON），黑白：0.001 Lux @（F1.5，AGC ON），0 Lux with IR </w:t>
            </w:r>
          </w:p>
          <w:p w14:paraId="22FDFB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焦距：【全景】4 mm；【细节】5.9 mm~135.7 mm，23倍光学变倍</w:t>
            </w:r>
          </w:p>
          <w:p w14:paraId="0499D6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视场角：【全景】水平视场角：88.7°，垂直视场角：44.7°，对角视场角：105°</w:t>
            </w:r>
          </w:p>
          <w:p w14:paraId="1CB474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【细节】水平视场角：60.2°~3.4°（广角~望远），垂直视场角：35.2°~1.8°（广角~望远），对角视场角：67.4°~3.6°（广角~望远） </w:t>
            </w:r>
          </w:p>
          <w:p w14:paraId="51E647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补光灯距离：【全景】白光30 m，【细节】白光30 m+红外150 m</w:t>
            </w:r>
          </w:p>
          <w:p w14:paraId="0A61A7B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红外波长范围：850 nm </w:t>
            </w:r>
          </w:p>
          <w:p w14:paraId="5F6ACF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水平范围：360°</w:t>
            </w:r>
          </w:p>
          <w:p w14:paraId="1FB85B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垂直范围：-15°-90°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自动翻转</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AB1A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水平速度：水平键控速度：0.1°-160°/s,速度可设;水平预置点速度：240°/s</w:t>
            </w:r>
          </w:p>
          <w:p w14:paraId="052513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垂直速度：垂直键控速度：0.1°-120°/s,速度可设;垂直预置点速度：200°/s </w:t>
            </w:r>
          </w:p>
          <w:p w14:paraId="7A5B45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主码流帧率分辨率：【全景】50 Hz：25 fps（2560 × 1440，1920 × 1080，1280 × 960，1280 × 720），60 Hz：30 fps（2560 × 1440，1920 × 1080，1280 × 960，1280 × 720）</w:t>
            </w:r>
          </w:p>
          <w:p w14:paraId="1A8EFC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【细节】50 Hz：25 fps（2560 × 1440，1920 × 1080，1280 × 960，1280 × 720），60 Hz：30 fps（2560 × 1440，1920 × 1080，1280 × 960，1280 × 720）</w:t>
            </w:r>
          </w:p>
          <w:p w14:paraId="7A8C38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视频压缩标准：H.265,H.264,MJPEG </w:t>
            </w:r>
          </w:p>
          <w:p w14:paraId="7066F2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宽动态：真宽动态 </w:t>
            </w:r>
          </w:p>
          <w:p w14:paraId="386884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内置麦克风：支持</w:t>
            </w:r>
          </w:p>
          <w:p w14:paraId="1CAE0B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内置扬声器：支持</w:t>
            </w:r>
          </w:p>
          <w:p w14:paraId="5C0440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音频：1路音频输入，音频峰值：2-2.4V[p-p]，输入阻抗：1 kΩ±10%，1路音频输出</w:t>
            </w:r>
          </w:p>
          <w:p w14:paraId="2A2954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报警：2路报警输入，1路报警输出</w:t>
            </w:r>
          </w:p>
          <w:p w14:paraId="0EA9A1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网络接口：RJ45网口;自适应10M/100M网络数据</w:t>
            </w:r>
          </w:p>
          <w:p w14:paraId="1CA049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SD卡扩展：内置Micro SD卡插槽，支持Micro SD/Micro SDHC/Micro SDXC卡（最大支持512GB） </w:t>
            </w:r>
          </w:p>
          <w:p w14:paraId="4C1E35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供电方式：DC36V±25%;32W Max.</w:t>
            </w:r>
          </w:p>
          <w:p w14:paraId="3DFD5D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工作温湿度：-30℃-65℃；湿度小于90% </w:t>
            </w:r>
          </w:p>
          <w:p w14:paraId="3BE5A3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除雾：加热玻璃除雾</w:t>
            </w:r>
          </w:p>
          <w:p w14:paraId="73B343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防护：IP66;</w:t>
            </w:r>
          </w:p>
          <w:p w14:paraId="3F2334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抗干扰能力强，适用于严酷的电磁环境，符合GB/T17626.2/3/4/5/6四级标准 </w:t>
            </w:r>
          </w:p>
          <w:p w14:paraId="4493F2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▲由全景摄像机和细节摄像机组成（以公安部检验报告为准，提供复印件并加盖原厂商公章）</w:t>
            </w:r>
          </w:p>
          <w:p w14:paraId="7ADCB5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▲需具备智能分析抗干扰功能，当篮球、小狗、树叶等非人或车辆目标经过检测区域时，不会触发报警。（以公安部检验报告为准，提供复印件并加盖原厂商公章） </w:t>
            </w:r>
          </w:p>
          <w:p w14:paraId="0037BC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▲支持对镜头前盖玻璃加热，去除玻璃上的冰状和水状附着物。（以公安部检验报告为准，提供复印件并加盖原厂商公章）</w:t>
            </w:r>
          </w:p>
        </w:tc>
        <w:tc>
          <w:tcPr>
            <w:tcW w:w="656" w:type="dxa"/>
            <w:shd w:val="clear" w:color="auto" w:fill="auto"/>
            <w:vAlign w:val="center"/>
          </w:tcPr>
          <w:p w14:paraId="75420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0019D1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139B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45435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1.6.3</w:t>
            </w:r>
          </w:p>
        </w:tc>
        <w:tc>
          <w:tcPr>
            <w:tcW w:w="1499" w:type="dxa"/>
            <w:shd w:val="clear" w:color="auto" w:fill="auto"/>
            <w:vAlign w:val="center"/>
          </w:tcPr>
          <w:p w14:paraId="5D9D91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立杆及线材</w:t>
            </w:r>
          </w:p>
        </w:tc>
        <w:tc>
          <w:tcPr>
            <w:tcW w:w="5752" w:type="dxa"/>
            <w:shd w:val="clear" w:color="auto" w:fill="auto"/>
            <w:vAlign w:val="center"/>
          </w:tcPr>
          <w:p w14:paraId="00D2D5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5米立杆，并固定横杆，含基础。包含电源线、网线、钢绞线、绑扎、固定、尾纤、前端点位的接电材料等辅材及所有施工费用。</w:t>
            </w:r>
          </w:p>
        </w:tc>
        <w:tc>
          <w:tcPr>
            <w:tcW w:w="656" w:type="dxa"/>
            <w:shd w:val="clear" w:color="auto" w:fill="auto"/>
            <w:vAlign w:val="center"/>
          </w:tcPr>
          <w:p w14:paraId="335DFB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630" w:type="dxa"/>
            <w:shd w:val="clear" w:color="auto" w:fill="auto"/>
            <w:vAlign w:val="center"/>
          </w:tcPr>
          <w:p w14:paraId="37961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750F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F9681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1.6.4</w:t>
            </w:r>
          </w:p>
        </w:tc>
        <w:tc>
          <w:tcPr>
            <w:tcW w:w="1499" w:type="dxa"/>
            <w:shd w:val="clear" w:color="auto" w:fill="auto"/>
            <w:vAlign w:val="center"/>
          </w:tcPr>
          <w:p w14:paraId="5BE8C4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运营商专线铺设</w:t>
            </w:r>
          </w:p>
        </w:tc>
        <w:tc>
          <w:tcPr>
            <w:tcW w:w="5752" w:type="dxa"/>
            <w:shd w:val="clear" w:color="auto" w:fill="auto"/>
            <w:vAlign w:val="center"/>
          </w:tcPr>
          <w:p w14:paraId="0BC807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10M视频专线，一年费用</w:t>
            </w:r>
          </w:p>
        </w:tc>
        <w:tc>
          <w:tcPr>
            <w:tcW w:w="656" w:type="dxa"/>
            <w:shd w:val="clear" w:color="auto" w:fill="auto"/>
            <w:vAlign w:val="center"/>
          </w:tcPr>
          <w:p w14:paraId="13D36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630" w:type="dxa"/>
            <w:shd w:val="clear" w:color="auto" w:fill="auto"/>
            <w:vAlign w:val="center"/>
          </w:tcPr>
          <w:p w14:paraId="306385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3F67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6EC4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1.6.5</w:t>
            </w:r>
          </w:p>
        </w:tc>
        <w:tc>
          <w:tcPr>
            <w:tcW w:w="1499" w:type="dxa"/>
            <w:shd w:val="clear" w:color="auto" w:fill="auto"/>
            <w:vAlign w:val="center"/>
          </w:tcPr>
          <w:p w14:paraId="622F3D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NB通讯流量卡</w:t>
            </w:r>
          </w:p>
        </w:tc>
        <w:tc>
          <w:tcPr>
            <w:tcW w:w="5752" w:type="dxa"/>
            <w:shd w:val="clear" w:color="auto" w:fill="auto"/>
            <w:vAlign w:val="center"/>
          </w:tcPr>
          <w:p w14:paraId="49463F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10M月卡，三年套餐</w:t>
            </w:r>
          </w:p>
        </w:tc>
        <w:tc>
          <w:tcPr>
            <w:tcW w:w="656" w:type="dxa"/>
            <w:shd w:val="clear" w:color="auto" w:fill="auto"/>
            <w:vAlign w:val="center"/>
          </w:tcPr>
          <w:p w14:paraId="26F6E7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630" w:type="dxa"/>
            <w:shd w:val="clear" w:color="auto" w:fill="auto"/>
            <w:vAlign w:val="center"/>
          </w:tcPr>
          <w:p w14:paraId="6924AF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r>
      <w:tr w14:paraId="1D1E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C7A8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499" w:type="dxa"/>
            <w:shd w:val="clear" w:color="auto" w:fill="auto"/>
            <w:vAlign w:val="center"/>
          </w:tcPr>
          <w:p w14:paraId="546737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雨量感知设备</w:t>
            </w:r>
          </w:p>
        </w:tc>
        <w:tc>
          <w:tcPr>
            <w:tcW w:w="5752" w:type="dxa"/>
            <w:shd w:val="clear" w:color="auto" w:fill="auto"/>
            <w:vAlign w:val="center"/>
          </w:tcPr>
          <w:p w14:paraId="16BF9B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4FB56E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7E5EFD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380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D4AD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w:t>
            </w:r>
          </w:p>
        </w:tc>
        <w:tc>
          <w:tcPr>
            <w:tcW w:w="1499" w:type="dxa"/>
            <w:shd w:val="clear" w:color="auto" w:fill="auto"/>
            <w:vAlign w:val="center"/>
          </w:tcPr>
          <w:p w14:paraId="7A4451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翻斗式雨量计</w:t>
            </w:r>
          </w:p>
        </w:tc>
        <w:tc>
          <w:tcPr>
            <w:tcW w:w="5752" w:type="dxa"/>
            <w:shd w:val="clear" w:color="auto" w:fill="auto"/>
            <w:vAlign w:val="center"/>
          </w:tcPr>
          <w:p w14:paraId="29E7FB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承雨口径：φ200 ± 0.6mm； 刃口锐角：40°-45°</w:t>
            </w:r>
          </w:p>
          <w:p w14:paraId="43AB52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分辨力： 0.5mm</w:t>
            </w:r>
          </w:p>
          <w:p w14:paraId="1E823A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测量准确度：≤±3%（室内人工降水、以仪器自身排水量为准）</w:t>
            </w:r>
          </w:p>
          <w:p w14:paraId="04FCE7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雨强范围：0.01mm～4mm/min（允许通过最大雨强6mm/min）</w:t>
            </w:r>
          </w:p>
          <w:p w14:paraId="753B4F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发讯方式：干簧管触发方式</w:t>
            </w:r>
          </w:p>
          <w:p w14:paraId="7F6B86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供电方式：锂电池组,19AH  DC7.2V；附带微太阳能板</w:t>
            </w:r>
          </w:p>
          <w:p w14:paraId="5B1E09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采集通道：8路脉冲量/开关量，可设置采集方式；</w:t>
            </w:r>
          </w:p>
          <w:p w14:paraId="2A70E6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输出接口：1路3.3V输出（不可控），最大15mA，给霍尔传感器供电</w:t>
            </w:r>
          </w:p>
          <w:p w14:paraId="4846B4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数据存储：8K铁电随机存取存储器，保存参数和数据；</w:t>
            </w:r>
          </w:p>
          <w:p w14:paraId="5B84BF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调试接口：TTL预留、2路LED灯、JTAG接口</w:t>
            </w:r>
          </w:p>
          <w:p w14:paraId="0EA7B5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设备时钟：带万年历的实时时钟，掉电保存，后备电池容量：38mAH；</w:t>
            </w:r>
          </w:p>
          <w:p w14:paraId="52F78F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采样频率：脉冲实时采集</w:t>
            </w:r>
          </w:p>
          <w:p w14:paraId="7E5A93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上发频率：1分钟 ~ 24小时可设置，数据上发模式可设置</w:t>
            </w:r>
          </w:p>
          <w:p w14:paraId="73CE0CA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通讯方式：CDMA 2000 1X（2.5G），兼容GPRS上发</w:t>
            </w:r>
          </w:p>
          <w:p w14:paraId="42C755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插卡方式：MIM芯片式SIM卡和自弹式卡座插卡兼容</w:t>
            </w:r>
          </w:p>
          <w:p w14:paraId="7419A8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工作温度：-20℃ ~ +70℃</w:t>
            </w:r>
          </w:p>
          <w:p w14:paraId="175B9A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储存温度：-40℃ ~ +85℃</w:t>
            </w:r>
          </w:p>
          <w:p w14:paraId="3040F2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IP防护等级：P68</w:t>
            </w:r>
          </w:p>
          <w:p w14:paraId="46922F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相对湿度：&lt;95%（无凝结）</w:t>
            </w:r>
          </w:p>
          <w:p w14:paraId="712E0D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▲符合GB/T 21978.2-2014《降水量观测仪器 第2部分:翻斗式雨量传感器》，具备水利部水文仪器及岩士工程位器质量监督检验测试中心出具的检测报告（提供复印件并加盖原厂商公章）。</w:t>
            </w:r>
          </w:p>
        </w:tc>
        <w:tc>
          <w:tcPr>
            <w:tcW w:w="656" w:type="dxa"/>
            <w:shd w:val="clear" w:color="auto" w:fill="auto"/>
            <w:vAlign w:val="center"/>
          </w:tcPr>
          <w:p w14:paraId="0EC59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4D49CE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14:paraId="0290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E1AFA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499" w:type="dxa"/>
            <w:shd w:val="clear" w:color="auto" w:fill="auto"/>
            <w:vAlign w:val="center"/>
          </w:tcPr>
          <w:p w14:paraId="0BFD05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防汛车辆车载定位</w:t>
            </w:r>
          </w:p>
        </w:tc>
        <w:tc>
          <w:tcPr>
            <w:tcW w:w="5752" w:type="dxa"/>
            <w:shd w:val="clear" w:color="auto" w:fill="auto"/>
            <w:vAlign w:val="center"/>
          </w:tcPr>
          <w:p w14:paraId="04C959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3B68D3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3F9642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2312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4B94C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1.8.1</w:t>
            </w:r>
          </w:p>
        </w:tc>
        <w:tc>
          <w:tcPr>
            <w:tcW w:w="1499" w:type="dxa"/>
            <w:shd w:val="clear" w:color="auto" w:fill="auto"/>
            <w:vAlign w:val="center"/>
          </w:tcPr>
          <w:p w14:paraId="03B867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防汛车辆车载定位器</w:t>
            </w:r>
          </w:p>
        </w:tc>
        <w:tc>
          <w:tcPr>
            <w:tcW w:w="5752" w:type="dxa"/>
            <w:shd w:val="clear" w:color="auto" w:fill="auto"/>
            <w:vAlign w:val="center"/>
          </w:tcPr>
          <w:p w14:paraId="545910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实现车辆实时位置定位及位置数据上报，高清降噪录音/远程开关/智能降噪录音实时回传手机/无限容量磁免安装180天历史轨迹查/电子围栏/震动报警四重精准定位/三网通</w:t>
            </w:r>
          </w:p>
        </w:tc>
        <w:tc>
          <w:tcPr>
            <w:tcW w:w="656" w:type="dxa"/>
            <w:shd w:val="clear" w:color="auto" w:fill="auto"/>
            <w:vAlign w:val="center"/>
          </w:tcPr>
          <w:p w14:paraId="77C837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台</w:t>
            </w:r>
          </w:p>
        </w:tc>
        <w:tc>
          <w:tcPr>
            <w:tcW w:w="630" w:type="dxa"/>
            <w:shd w:val="clear" w:color="auto" w:fill="auto"/>
            <w:vAlign w:val="center"/>
          </w:tcPr>
          <w:p w14:paraId="570CD9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r>
      <w:tr w14:paraId="70AC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D4874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499" w:type="dxa"/>
            <w:shd w:val="clear" w:color="auto" w:fill="auto"/>
            <w:vAlign w:val="center"/>
          </w:tcPr>
          <w:p w14:paraId="7FAA6F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网络资源</w:t>
            </w:r>
          </w:p>
        </w:tc>
        <w:tc>
          <w:tcPr>
            <w:tcW w:w="5752" w:type="dxa"/>
            <w:shd w:val="clear" w:color="auto" w:fill="auto"/>
            <w:vAlign w:val="center"/>
          </w:tcPr>
          <w:p w14:paraId="488923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501609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788A67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1753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74F97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1.9.1</w:t>
            </w:r>
          </w:p>
        </w:tc>
        <w:tc>
          <w:tcPr>
            <w:tcW w:w="1499" w:type="dxa"/>
            <w:shd w:val="clear" w:color="auto" w:fill="auto"/>
            <w:vAlign w:val="center"/>
          </w:tcPr>
          <w:p w14:paraId="0377F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4G通讯流量卡</w:t>
            </w:r>
          </w:p>
        </w:tc>
        <w:tc>
          <w:tcPr>
            <w:tcW w:w="5752" w:type="dxa"/>
            <w:shd w:val="clear" w:color="auto" w:fill="auto"/>
            <w:vAlign w:val="center"/>
          </w:tcPr>
          <w:p w14:paraId="2C5A88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4G通讯费用，移动、电信、联通可选，每月1G，一年流量。</w:t>
            </w:r>
          </w:p>
        </w:tc>
        <w:tc>
          <w:tcPr>
            <w:tcW w:w="656" w:type="dxa"/>
            <w:shd w:val="clear" w:color="auto" w:fill="auto"/>
            <w:vAlign w:val="center"/>
          </w:tcPr>
          <w:p w14:paraId="2829D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张</w:t>
            </w:r>
          </w:p>
        </w:tc>
        <w:tc>
          <w:tcPr>
            <w:tcW w:w="630" w:type="dxa"/>
            <w:shd w:val="clear" w:color="auto" w:fill="auto"/>
            <w:vAlign w:val="center"/>
          </w:tcPr>
          <w:p w14:paraId="69770D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320</w:t>
            </w:r>
          </w:p>
        </w:tc>
      </w:tr>
      <w:tr w14:paraId="24C2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4C902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99" w:type="dxa"/>
            <w:shd w:val="clear" w:color="auto" w:fill="auto"/>
            <w:vAlign w:val="center"/>
          </w:tcPr>
          <w:p w14:paraId="5E80D3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成品套装软件</w:t>
            </w:r>
          </w:p>
        </w:tc>
        <w:tc>
          <w:tcPr>
            <w:tcW w:w="5752" w:type="dxa"/>
            <w:shd w:val="clear" w:color="auto" w:fill="auto"/>
            <w:vAlign w:val="center"/>
          </w:tcPr>
          <w:p w14:paraId="0F4FD3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0463D8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0586F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7C8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1DF1E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499" w:type="dxa"/>
            <w:shd w:val="clear" w:color="auto" w:fill="auto"/>
            <w:vAlign w:val="center"/>
          </w:tcPr>
          <w:p w14:paraId="279305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水力模型软件套装</w:t>
            </w:r>
          </w:p>
        </w:tc>
        <w:tc>
          <w:tcPr>
            <w:tcW w:w="5752" w:type="dxa"/>
            <w:shd w:val="clear" w:color="auto" w:fill="auto"/>
            <w:vAlign w:val="center"/>
          </w:tcPr>
          <w:p w14:paraId="4E4F2C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4E7491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68FDB2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CB4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C38F2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w:t>
            </w:r>
          </w:p>
        </w:tc>
        <w:tc>
          <w:tcPr>
            <w:tcW w:w="1499" w:type="dxa"/>
            <w:shd w:val="clear" w:color="auto" w:fill="auto"/>
            <w:vAlign w:val="center"/>
          </w:tcPr>
          <w:p w14:paraId="7FAF83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综合流域排水系统模型软件  </w:t>
            </w:r>
          </w:p>
        </w:tc>
        <w:tc>
          <w:tcPr>
            <w:tcW w:w="5752" w:type="dxa"/>
            <w:shd w:val="clear" w:color="auto" w:fill="auto"/>
            <w:vAlign w:val="center"/>
          </w:tcPr>
          <w:p w14:paraId="0B479B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模型软件内部耦合水文、河道、排水管网、2D洪涝积水、海绵、水质的模拟功能于一体的模型软件，及其连接的所有构筑物编辑、计算、查看以及分析的工作。而不必各自区分为单独的模块或系统，再通过另外的模块来耦合和查看计算结果；</w:t>
            </w:r>
          </w:p>
          <w:p w14:paraId="552295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备复杂工况水动力模拟计算功能。应能够进行多种水力状况分析，能够计算管网、河网中各种对象，应当采用非规则三角网格来计算地面的洪水动态淹没演进过程；软件能够允许用户模拟不同的设施及其复杂的运行方式；软件应该能够根据不同的降雨、入流及水位边界，来模拟不同的工况；</w:t>
            </w:r>
          </w:p>
          <w:p w14:paraId="2AC339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3、具有低影响开发设施LID的模拟功能。应当能够利用水文和水动力学模型的方法，模拟各项低影响开发设施的功能要求；</w:t>
            </w:r>
          </w:p>
          <w:p w14:paraId="1E7041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4、具备拓展水质模拟计算的功能。软件应当包括水质计算模型，用于后期可以直接拓展水质模拟。</w:t>
            </w:r>
          </w:p>
        </w:tc>
        <w:tc>
          <w:tcPr>
            <w:tcW w:w="656" w:type="dxa"/>
            <w:shd w:val="clear" w:color="auto" w:fill="auto"/>
            <w:vAlign w:val="center"/>
          </w:tcPr>
          <w:p w14:paraId="539071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675C58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05EE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BC090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w:t>
            </w:r>
          </w:p>
        </w:tc>
        <w:tc>
          <w:tcPr>
            <w:tcW w:w="1499" w:type="dxa"/>
            <w:shd w:val="clear" w:color="auto" w:fill="auto"/>
            <w:vAlign w:val="center"/>
          </w:tcPr>
          <w:p w14:paraId="45667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综合流域排水系统模型二次开发接口模块</w:t>
            </w:r>
          </w:p>
        </w:tc>
        <w:tc>
          <w:tcPr>
            <w:tcW w:w="5752" w:type="dxa"/>
            <w:shd w:val="clear" w:color="auto" w:fill="auto"/>
            <w:vAlign w:val="center"/>
          </w:tcPr>
          <w:p w14:paraId="06ABAB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二次开发接口模块</w:t>
            </w:r>
          </w:p>
        </w:tc>
        <w:tc>
          <w:tcPr>
            <w:tcW w:w="656" w:type="dxa"/>
            <w:shd w:val="clear" w:color="auto" w:fill="auto"/>
            <w:vAlign w:val="center"/>
          </w:tcPr>
          <w:p w14:paraId="02DB61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354728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52BD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BF94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1499" w:type="dxa"/>
            <w:shd w:val="clear" w:color="auto" w:fill="auto"/>
            <w:vAlign w:val="center"/>
          </w:tcPr>
          <w:p w14:paraId="65B1F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数字孪生轻量化web端视图引擎</w:t>
            </w:r>
          </w:p>
        </w:tc>
        <w:tc>
          <w:tcPr>
            <w:tcW w:w="5752" w:type="dxa"/>
            <w:shd w:val="clear" w:color="auto" w:fill="auto"/>
            <w:vAlign w:val="center"/>
          </w:tcPr>
          <w:p w14:paraId="7664B7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10E037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04C9F4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994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7AB6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tc>
        <w:tc>
          <w:tcPr>
            <w:tcW w:w="1499" w:type="dxa"/>
            <w:shd w:val="clear" w:color="auto" w:fill="auto"/>
            <w:vAlign w:val="center"/>
          </w:tcPr>
          <w:p w14:paraId="64D3D5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数字孪生轻量化web端视图引擎</w:t>
            </w:r>
          </w:p>
        </w:tc>
        <w:tc>
          <w:tcPr>
            <w:tcW w:w="5752" w:type="dxa"/>
            <w:shd w:val="clear" w:color="auto" w:fill="auto"/>
            <w:vAlign w:val="center"/>
          </w:tcPr>
          <w:p w14:paraId="2DC4D6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对多种格式的三维模型数字资产自动治理，输出统一数据格式；支持显示场景中模型构件信息、基础档案信息、叠加的各种业务数据以及展示帧率等关键性要素；支持提供多种二次开发API、数据API、功能API，并对不同用户提供开放共享的数据服务，以及提供相应的开发指南及示例DEMO，实现自身的业务特点定制开发应用，例如二维矢量模型、城市模型的导入导出服务，满足城市全空间、全资源、全要素模型服务交换，并提供无差别的各类数据访问能力</w:t>
            </w:r>
          </w:p>
        </w:tc>
        <w:tc>
          <w:tcPr>
            <w:tcW w:w="656" w:type="dxa"/>
            <w:shd w:val="clear" w:color="auto" w:fill="auto"/>
            <w:vAlign w:val="center"/>
          </w:tcPr>
          <w:p w14:paraId="735B3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0CBEAA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28BA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5A1C4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99" w:type="dxa"/>
            <w:shd w:val="clear" w:color="auto" w:fill="auto"/>
            <w:vAlign w:val="center"/>
          </w:tcPr>
          <w:p w14:paraId="4A007E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系统平台业务模块</w:t>
            </w:r>
          </w:p>
        </w:tc>
        <w:tc>
          <w:tcPr>
            <w:tcW w:w="5752" w:type="dxa"/>
            <w:shd w:val="clear" w:color="auto" w:fill="auto"/>
            <w:vAlign w:val="center"/>
          </w:tcPr>
          <w:p w14:paraId="10094D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4FE861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20E267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5D2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73CEC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p>
        </w:tc>
        <w:tc>
          <w:tcPr>
            <w:tcW w:w="1499" w:type="dxa"/>
            <w:shd w:val="clear" w:color="auto" w:fill="auto"/>
            <w:vAlign w:val="center"/>
          </w:tcPr>
          <w:p w14:paraId="673964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业务应用支撑系统</w:t>
            </w:r>
          </w:p>
        </w:tc>
        <w:tc>
          <w:tcPr>
            <w:tcW w:w="5752" w:type="dxa"/>
            <w:shd w:val="clear" w:color="auto" w:fill="auto"/>
            <w:vAlign w:val="center"/>
          </w:tcPr>
          <w:p w14:paraId="1FCD92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2C7BB1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20479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2BE4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6DEF1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tc>
        <w:tc>
          <w:tcPr>
            <w:tcW w:w="1499" w:type="dxa"/>
            <w:shd w:val="clear" w:color="auto" w:fill="auto"/>
            <w:vAlign w:val="center"/>
          </w:tcPr>
          <w:p w14:paraId="01EFA3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涉汛排水设施运行总览</w:t>
            </w:r>
          </w:p>
        </w:tc>
        <w:tc>
          <w:tcPr>
            <w:tcW w:w="5752" w:type="dxa"/>
            <w:shd w:val="clear" w:color="auto" w:fill="auto"/>
            <w:vAlign w:val="center"/>
          </w:tcPr>
          <w:p w14:paraId="615FAD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2E93D9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791814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22F2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A30B5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p>
        </w:tc>
        <w:tc>
          <w:tcPr>
            <w:tcW w:w="1499" w:type="dxa"/>
            <w:shd w:val="clear" w:color="auto" w:fill="auto"/>
            <w:vAlign w:val="center"/>
          </w:tcPr>
          <w:p w14:paraId="39B415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涉汛排水设施三维数字孪生展示</w:t>
            </w:r>
          </w:p>
        </w:tc>
        <w:tc>
          <w:tcPr>
            <w:tcW w:w="5752" w:type="dxa"/>
            <w:shd w:val="clear" w:color="auto" w:fill="auto"/>
            <w:vAlign w:val="center"/>
          </w:tcPr>
          <w:p w14:paraId="4CAA15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34090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592607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3292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B9860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p>
        </w:tc>
        <w:tc>
          <w:tcPr>
            <w:tcW w:w="1499" w:type="dxa"/>
            <w:shd w:val="clear" w:color="auto" w:fill="auto"/>
            <w:vAlign w:val="center"/>
          </w:tcPr>
          <w:p w14:paraId="7FBD03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排水管网地理信息系统</w:t>
            </w:r>
          </w:p>
        </w:tc>
        <w:tc>
          <w:tcPr>
            <w:tcW w:w="5752" w:type="dxa"/>
            <w:shd w:val="clear" w:color="auto" w:fill="auto"/>
            <w:vAlign w:val="center"/>
          </w:tcPr>
          <w:p w14:paraId="113A20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7E084F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1FE1C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2802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78DB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1499" w:type="dxa"/>
            <w:shd w:val="clear" w:color="auto" w:fill="auto"/>
            <w:vAlign w:val="center"/>
          </w:tcPr>
          <w:p w14:paraId="51E2D7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涉汛设施综合监管</w:t>
            </w:r>
          </w:p>
        </w:tc>
        <w:tc>
          <w:tcPr>
            <w:tcW w:w="5752" w:type="dxa"/>
            <w:shd w:val="clear" w:color="auto" w:fill="auto"/>
            <w:vAlign w:val="center"/>
          </w:tcPr>
          <w:p w14:paraId="066F6E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7BE29E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3FEDF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242D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7DA2E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p>
        </w:tc>
        <w:tc>
          <w:tcPr>
            <w:tcW w:w="1499" w:type="dxa"/>
            <w:shd w:val="clear" w:color="auto" w:fill="auto"/>
            <w:vAlign w:val="center"/>
          </w:tcPr>
          <w:p w14:paraId="58459C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汛期值班及调度处置</w:t>
            </w:r>
          </w:p>
        </w:tc>
        <w:tc>
          <w:tcPr>
            <w:tcW w:w="5752" w:type="dxa"/>
            <w:shd w:val="clear" w:color="auto" w:fill="auto"/>
            <w:vAlign w:val="center"/>
          </w:tcPr>
          <w:p w14:paraId="019EF7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4A80BB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47ABC8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7187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8F520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p>
        </w:tc>
        <w:tc>
          <w:tcPr>
            <w:tcW w:w="1499" w:type="dxa"/>
            <w:shd w:val="clear" w:color="auto" w:fill="auto"/>
            <w:vAlign w:val="center"/>
          </w:tcPr>
          <w:p w14:paraId="3EF6BE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涉汛排水设施综合运维</w:t>
            </w:r>
          </w:p>
        </w:tc>
        <w:tc>
          <w:tcPr>
            <w:tcW w:w="5752" w:type="dxa"/>
            <w:shd w:val="clear" w:color="auto" w:fill="auto"/>
            <w:vAlign w:val="center"/>
          </w:tcPr>
          <w:p w14:paraId="1B005A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778BE5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4CFF19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7A69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B8E1B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c>
          <w:tcPr>
            <w:tcW w:w="1499" w:type="dxa"/>
            <w:shd w:val="clear" w:color="auto" w:fill="auto"/>
            <w:vAlign w:val="center"/>
          </w:tcPr>
          <w:p w14:paraId="15D11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河道排口巡维管理</w:t>
            </w:r>
          </w:p>
        </w:tc>
        <w:tc>
          <w:tcPr>
            <w:tcW w:w="5752" w:type="dxa"/>
            <w:shd w:val="clear" w:color="auto" w:fill="auto"/>
            <w:vAlign w:val="center"/>
          </w:tcPr>
          <w:p w14:paraId="127898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37823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188D28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60BF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73F98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p>
        </w:tc>
        <w:tc>
          <w:tcPr>
            <w:tcW w:w="1499" w:type="dxa"/>
            <w:shd w:val="clear" w:color="auto" w:fill="auto"/>
            <w:vAlign w:val="center"/>
          </w:tcPr>
          <w:p w14:paraId="6DD880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防汛内涝指挥</w:t>
            </w:r>
          </w:p>
        </w:tc>
        <w:tc>
          <w:tcPr>
            <w:tcW w:w="5752" w:type="dxa"/>
            <w:shd w:val="clear" w:color="auto" w:fill="auto"/>
            <w:vAlign w:val="center"/>
          </w:tcPr>
          <w:p w14:paraId="25B903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45BBB9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4DC384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4DF1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8CFC3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w:t>
            </w:r>
          </w:p>
        </w:tc>
        <w:tc>
          <w:tcPr>
            <w:tcW w:w="1499" w:type="dxa"/>
            <w:shd w:val="clear" w:color="auto" w:fill="auto"/>
            <w:vAlign w:val="center"/>
          </w:tcPr>
          <w:p w14:paraId="157D0F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内涝态势预报预警</w:t>
            </w:r>
          </w:p>
        </w:tc>
        <w:tc>
          <w:tcPr>
            <w:tcW w:w="5752" w:type="dxa"/>
            <w:shd w:val="clear" w:color="auto" w:fill="auto"/>
            <w:vAlign w:val="center"/>
          </w:tcPr>
          <w:p w14:paraId="79B7EF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207438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25B939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7C20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0E26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w:t>
            </w:r>
          </w:p>
        </w:tc>
        <w:tc>
          <w:tcPr>
            <w:tcW w:w="1499" w:type="dxa"/>
            <w:shd w:val="clear" w:color="auto" w:fill="auto"/>
            <w:vAlign w:val="center"/>
          </w:tcPr>
          <w:p w14:paraId="48FC4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防汛态势管理驾驶舱</w:t>
            </w:r>
          </w:p>
        </w:tc>
        <w:tc>
          <w:tcPr>
            <w:tcW w:w="5752" w:type="dxa"/>
            <w:shd w:val="clear" w:color="auto" w:fill="auto"/>
            <w:vAlign w:val="center"/>
          </w:tcPr>
          <w:p w14:paraId="125EBF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57F12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59325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73B2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08D58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w:t>
            </w:r>
          </w:p>
        </w:tc>
        <w:tc>
          <w:tcPr>
            <w:tcW w:w="1499" w:type="dxa"/>
            <w:shd w:val="clear" w:color="auto" w:fill="auto"/>
            <w:vAlign w:val="center"/>
          </w:tcPr>
          <w:p w14:paraId="497B08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城市防汛智慧管理统一平台</w:t>
            </w:r>
          </w:p>
        </w:tc>
        <w:tc>
          <w:tcPr>
            <w:tcW w:w="5752" w:type="dxa"/>
            <w:shd w:val="clear" w:color="auto" w:fill="auto"/>
            <w:vAlign w:val="center"/>
          </w:tcPr>
          <w:p w14:paraId="100636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597795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5BAC15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0207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13AC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w:t>
            </w:r>
          </w:p>
        </w:tc>
        <w:tc>
          <w:tcPr>
            <w:tcW w:w="1499" w:type="dxa"/>
            <w:shd w:val="clear" w:color="auto" w:fill="auto"/>
            <w:vAlign w:val="center"/>
          </w:tcPr>
          <w:p w14:paraId="179A2D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城市防汛排涝综合大屏</w:t>
            </w:r>
          </w:p>
        </w:tc>
        <w:tc>
          <w:tcPr>
            <w:tcW w:w="5752" w:type="dxa"/>
            <w:shd w:val="clear" w:color="auto" w:fill="auto"/>
            <w:vAlign w:val="center"/>
          </w:tcPr>
          <w:p w14:paraId="10C79D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54FC18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664BB9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6F71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9372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w:t>
            </w:r>
          </w:p>
        </w:tc>
        <w:tc>
          <w:tcPr>
            <w:tcW w:w="1499" w:type="dxa"/>
            <w:shd w:val="clear" w:color="auto" w:fill="auto"/>
            <w:vAlign w:val="center"/>
          </w:tcPr>
          <w:p w14:paraId="04E843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移动端应用</w:t>
            </w:r>
          </w:p>
        </w:tc>
        <w:tc>
          <w:tcPr>
            <w:tcW w:w="5752" w:type="dxa"/>
            <w:shd w:val="clear" w:color="auto" w:fill="auto"/>
            <w:vAlign w:val="center"/>
          </w:tcPr>
          <w:p w14:paraId="5D5EFF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20898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58271C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4F32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72B7B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3.15</w:t>
            </w:r>
          </w:p>
        </w:tc>
        <w:tc>
          <w:tcPr>
            <w:tcW w:w="1499" w:type="dxa"/>
            <w:shd w:val="clear" w:color="auto" w:fill="auto"/>
            <w:vAlign w:val="center"/>
          </w:tcPr>
          <w:p w14:paraId="0A3D23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系统对接接口</w:t>
            </w:r>
          </w:p>
        </w:tc>
        <w:tc>
          <w:tcPr>
            <w:tcW w:w="5752" w:type="dxa"/>
            <w:shd w:val="clear" w:color="auto" w:fill="auto"/>
            <w:vAlign w:val="center"/>
          </w:tcPr>
          <w:p w14:paraId="668078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详见服务内容及要求章节服务要求详细描述</w:t>
            </w:r>
          </w:p>
        </w:tc>
        <w:tc>
          <w:tcPr>
            <w:tcW w:w="656" w:type="dxa"/>
            <w:shd w:val="clear" w:color="auto" w:fill="auto"/>
            <w:vAlign w:val="center"/>
          </w:tcPr>
          <w:p w14:paraId="698C2E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630" w:type="dxa"/>
            <w:shd w:val="clear" w:color="auto" w:fill="auto"/>
            <w:vAlign w:val="center"/>
          </w:tcPr>
          <w:p w14:paraId="41D624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1E05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7EB48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99" w:type="dxa"/>
            <w:shd w:val="clear" w:color="auto" w:fill="auto"/>
            <w:vAlign w:val="center"/>
          </w:tcPr>
          <w:p w14:paraId="7858EA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政务云资源及服务</w:t>
            </w:r>
          </w:p>
        </w:tc>
        <w:tc>
          <w:tcPr>
            <w:tcW w:w="5752" w:type="dxa"/>
            <w:shd w:val="clear" w:color="auto" w:fill="auto"/>
            <w:vAlign w:val="center"/>
          </w:tcPr>
          <w:p w14:paraId="061926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0DF489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795A73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1EA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77237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w:t>
            </w:r>
          </w:p>
        </w:tc>
        <w:tc>
          <w:tcPr>
            <w:tcW w:w="1499" w:type="dxa"/>
            <w:shd w:val="clear" w:color="auto" w:fill="auto"/>
            <w:vAlign w:val="center"/>
          </w:tcPr>
          <w:p w14:paraId="03BF6A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计算资源</w:t>
            </w:r>
          </w:p>
        </w:tc>
        <w:tc>
          <w:tcPr>
            <w:tcW w:w="5752" w:type="dxa"/>
            <w:shd w:val="clear" w:color="auto" w:fill="auto"/>
            <w:vAlign w:val="center"/>
          </w:tcPr>
          <w:p w14:paraId="615329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4E7535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018E0F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312D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C6CA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4.1.1</w:t>
            </w:r>
          </w:p>
        </w:tc>
        <w:tc>
          <w:tcPr>
            <w:tcW w:w="1499" w:type="dxa"/>
            <w:shd w:val="clear" w:color="auto" w:fill="auto"/>
            <w:vAlign w:val="center"/>
          </w:tcPr>
          <w:p w14:paraId="1EE51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云主机（普通）</w:t>
            </w:r>
          </w:p>
        </w:tc>
        <w:tc>
          <w:tcPr>
            <w:tcW w:w="5752" w:type="dxa"/>
            <w:shd w:val="clear" w:color="auto" w:fill="auto"/>
            <w:vAlign w:val="center"/>
          </w:tcPr>
          <w:p w14:paraId="56A624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四核8GB，租赁年份5年</w:t>
            </w:r>
          </w:p>
        </w:tc>
        <w:tc>
          <w:tcPr>
            <w:tcW w:w="656" w:type="dxa"/>
            <w:shd w:val="clear" w:color="auto" w:fill="auto"/>
            <w:vAlign w:val="center"/>
          </w:tcPr>
          <w:p w14:paraId="3EE570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32803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14:paraId="750A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42E4B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4.1.2</w:t>
            </w:r>
          </w:p>
        </w:tc>
        <w:tc>
          <w:tcPr>
            <w:tcW w:w="1499" w:type="dxa"/>
            <w:shd w:val="clear" w:color="auto" w:fill="auto"/>
            <w:vAlign w:val="center"/>
          </w:tcPr>
          <w:p w14:paraId="3F24B3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云主机（普通）</w:t>
            </w:r>
          </w:p>
        </w:tc>
        <w:tc>
          <w:tcPr>
            <w:tcW w:w="5752" w:type="dxa"/>
            <w:shd w:val="clear" w:color="auto" w:fill="auto"/>
            <w:vAlign w:val="center"/>
          </w:tcPr>
          <w:p w14:paraId="7E1353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六核12GB，租赁年份5年</w:t>
            </w:r>
          </w:p>
        </w:tc>
        <w:tc>
          <w:tcPr>
            <w:tcW w:w="656" w:type="dxa"/>
            <w:shd w:val="clear" w:color="auto" w:fill="auto"/>
            <w:vAlign w:val="center"/>
          </w:tcPr>
          <w:p w14:paraId="467782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71D0DF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21BF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0C3AB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4.1.3</w:t>
            </w:r>
          </w:p>
        </w:tc>
        <w:tc>
          <w:tcPr>
            <w:tcW w:w="1499" w:type="dxa"/>
            <w:shd w:val="clear" w:color="auto" w:fill="auto"/>
            <w:vAlign w:val="center"/>
          </w:tcPr>
          <w:p w14:paraId="0D842A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云主机（普通）</w:t>
            </w:r>
          </w:p>
        </w:tc>
        <w:tc>
          <w:tcPr>
            <w:tcW w:w="5752" w:type="dxa"/>
            <w:shd w:val="clear" w:color="auto" w:fill="auto"/>
            <w:vAlign w:val="center"/>
          </w:tcPr>
          <w:p w14:paraId="2262CBE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八核16GB，租赁年份5年</w:t>
            </w:r>
          </w:p>
        </w:tc>
        <w:tc>
          <w:tcPr>
            <w:tcW w:w="656" w:type="dxa"/>
            <w:shd w:val="clear" w:color="auto" w:fill="auto"/>
            <w:vAlign w:val="center"/>
          </w:tcPr>
          <w:p w14:paraId="433550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6F4E16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r>
      <w:tr w14:paraId="1335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DA6C2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4.1.4</w:t>
            </w:r>
          </w:p>
        </w:tc>
        <w:tc>
          <w:tcPr>
            <w:tcW w:w="1499" w:type="dxa"/>
            <w:shd w:val="clear" w:color="auto" w:fill="auto"/>
            <w:vAlign w:val="center"/>
          </w:tcPr>
          <w:p w14:paraId="116D4B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云主机（普通）</w:t>
            </w:r>
          </w:p>
        </w:tc>
        <w:tc>
          <w:tcPr>
            <w:tcW w:w="5752" w:type="dxa"/>
            <w:shd w:val="clear" w:color="auto" w:fill="auto"/>
            <w:vAlign w:val="center"/>
          </w:tcPr>
          <w:p w14:paraId="28FCDE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八核32GB，租赁年份5年</w:t>
            </w:r>
          </w:p>
        </w:tc>
        <w:tc>
          <w:tcPr>
            <w:tcW w:w="656" w:type="dxa"/>
            <w:shd w:val="clear" w:color="auto" w:fill="auto"/>
            <w:vAlign w:val="center"/>
          </w:tcPr>
          <w:p w14:paraId="07FF05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5D86B0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r>
      <w:tr w14:paraId="10DA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8BBFA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4.1.5</w:t>
            </w:r>
          </w:p>
        </w:tc>
        <w:tc>
          <w:tcPr>
            <w:tcW w:w="1499" w:type="dxa"/>
            <w:shd w:val="clear" w:color="auto" w:fill="auto"/>
            <w:vAlign w:val="center"/>
          </w:tcPr>
          <w:p w14:paraId="2E7C17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云主机（普通）</w:t>
            </w:r>
          </w:p>
        </w:tc>
        <w:tc>
          <w:tcPr>
            <w:tcW w:w="5752" w:type="dxa"/>
            <w:shd w:val="clear" w:color="auto" w:fill="auto"/>
            <w:vAlign w:val="center"/>
          </w:tcPr>
          <w:p w14:paraId="699AC6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十六核32GB，租赁年份5年</w:t>
            </w:r>
          </w:p>
        </w:tc>
        <w:tc>
          <w:tcPr>
            <w:tcW w:w="656" w:type="dxa"/>
            <w:shd w:val="clear" w:color="auto" w:fill="auto"/>
            <w:vAlign w:val="center"/>
          </w:tcPr>
          <w:p w14:paraId="71BB0E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302ED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r>
      <w:tr w14:paraId="39A3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76D7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w:t>
            </w:r>
          </w:p>
        </w:tc>
        <w:tc>
          <w:tcPr>
            <w:tcW w:w="1499" w:type="dxa"/>
            <w:shd w:val="clear" w:color="auto" w:fill="auto"/>
            <w:vAlign w:val="center"/>
          </w:tcPr>
          <w:p w14:paraId="7D7015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存储和备份</w:t>
            </w:r>
          </w:p>
        </w:tc>
        <w:tc>
          <w:tcPr>
            <w:tcW w:w="5752" w:type="dxa"/>
            <w:shd w:val="clear" w:color="auto" w:fill="auto"/>
            <w:vAlign w:val="center"/>
          </w:tcPr>
          <w:p w14:paraId="4FEF49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29DCE1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19BB18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16B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14A28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4.2.1</w:t>
            </w:r>
          </w:p>
        </w:tc>
        <w:tc>
          <w:tcPr>
            <w:tcW w:w="1499" w:type="dxa"/>
            <w:shd w:val="clear" w:color="auto" w:fill="auto"/>
            <w:vAlign w:val="center"/>
          </w:tcPr>
          <w:p w14:paraId="24EEC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云存储（高效）</w:t>
            </w:r>
          </w:p>
        </w:tc>
        <w:tc>
          <w:tcPr>
            <w:tcW w:w="5752" w:type="dxa"/>
            <w:shd w:val="clear" w:color="auto" w:fill="auto"/>
            <w:vAlign w:val="center"/>
          </w:tcPr>
          <w:p w14:paraId="76E5E35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每TB字节，租赁年份5年</w:t>
            </w:r>
          </w:p>
        </w:tc>
        <w:tc>
          <w:tcPr>
            <w:tcW w:w="656" w:type="dxa"/>
            <w:shd w:val="clear" w:color="auto" w:fill="auto"/>
            <w:vAlign w:val="center"/>
          </w:tcPr>
          <w:p w14:paraId="6C4EC4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TB</w:t>
            </w:r>
          </w:p>
        </w:tc>
        <w:tc>
          <w:tcPr>
            <w:tcW w:w="630" w:type="dxa"/>
            <w:shd w:val="clear" w:color="auto" w:fill="auto"/>
            <w:vAlign w:val="center"/>
          </w:tcPr>
          <w:p w14:paraId="24DE5B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16.2</w:t>
            </w:r>
          </w:p>
        </w:tc>
      </w:tr>
      <w:tr w14:paraId="641E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70864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w:t>
            </w:r>
          </w:p>
        </w:tc>
        <w:tc>
          <w:tcPr>
            <w:tcW w:w="1499" w:type="dxa"/>
            <w:shd w:val="clear" w:color="auto" w:fill="auto"/>
            <w:vAlign w:val="center"/>
          </w:tcPr>
          <w:p w14:paraId="6802D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虚拟机/文件备份</w:t>
            </w:r>
          </w:p>
        </w:tc>
        <w:tc>
          <w:tcPr>
            <w:tcW w:w="5752" w:type="dxa"/>
            <w:shd w:val="clear" w:color="auto" w:fill="auto"/>
            <w:vAlign w:val="center"/>
          </w:tcPr>
          <w:p w14:paraId="50896C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每TB字节，租赁年份5年</w:t>
            </w:r>
          </w:p>
        </w:tc>
        <w:tc>
          <w:tcPr>
            <w:tcW w:w="656" w:type="dxa"/>
            <w:shd w:val="clear" w:color="auto" w:fill="auto"/>
            <w:vAlign w:val="center"/>
          </w:tcPr>
          <w:p w14:paraId="43161F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TB</w:t>
            </w:r>
          </w:p>
        </w:tc>
        <w:tc>
          <w:tcPr>
            <w:tcW w:w="630" w:type="dxa"/>
            <w:shd w:val="clear" w:color="auto" w:fill="auto"/>
            <w:vAlign w:val="center"/>
          </w:tcPr>
          <w:p w14:paraId="42B63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16.2</w:t>
            </w:r>
          </w:p>
        </w:tc>
      </w:tr>
      <w:tr w14:paraId="048C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6B8DE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w:t>
            </w:r>
          </w:p>
        </w:tc>
        <w:tc>
          <w:tcPr>
            <w:tcW w:w="1499" w:type="dxa"/>
            <w:shd w:val="clear" w:color="auto" w:fill="auto"/>
            <w:vAlign w:val="center"/>
          </w:tcPr>
          <w:p w14:paraId="7D3254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操作系统</w:t>
            </w:r>
          </w:p>
        </w:tc>
        <w:tc>
          <w:tcPr>
            <w:tcW w:w="5752" w:type="dxa"/>
            <w:shd w:val="clear" w:color="auto" w:fill="auto"/>
            <w:vAlign w:val="center"/>
          </w:tcPr>
          <w:p w14:paraId="0ECF4F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422FF7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453B07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D6D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EC13C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4.3.1</w:t>
            </w:r>
          </w:p>
        </w:tc>
        <w:tc>
          <w:tcPr>
            <w:tcW w:w="1499" w:type="dxa"/>
            <w:shd w:val="clear" w:color="auto" w:fill="auto"/>
            <w:vAlign w:val="center"/>
          </w:tcPr>
          <w:p w14:paraId="4628FE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操作系统</w:t>
            </w:r>
          </w:p>
        </w:tc>
        <w:tc>
          <w:tcPr>
            <w:tcW w:w="5752" w:type="dxa"/>
            <w:shd w:val="clear" w:color="auto" w:fill="auto"/>
            <w:vAlign w:val="center"/>
          </w:tcPr>
          <w:p w14:paraId="2DC427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Windows Server、Linux，租赁年份5年</w:t>
            </w:r>
          </w:p>
        </w:tc>
        <w:tc>
          <w:tcPr>
            <w:tcW w:w="656" w:type="dxa"/>
            <w:shd w:val="clear" w:color="auto" w:fill="auto"/>
            <w:vAlign w:val="center"/>
          </w:tcPr>
          <w:p w14:paraId="5926DE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套</w:t>
            </w:r>
          </w:p>
        </w:tc>
        <w:tc>
          <w:tcPr>
            <w:tcW w:w="630" w:type="dxa"/>
            <w:shd w:val="clear" w:color="auto" w:fill="auto"/>
            <w:vAlign w:val="center"/>
          </w:tcPr>
          <w:p w14:paraId="432AD6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6D6E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C17A6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w:t>
            </w:r>
          </w:p>
        </w:tc>
        <w:tc>
          <w:tcPr>
            <w:tcW w:w="1499" w:type="dxa"/>
            <w:shd w:val="clear" w:color="auto" w:fill="auto"/>
            <w:vAlign w:val="center"/>
          </w:tcPr>
          <w:p w14:paraId="4253B1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网络费用</w:t>
            </w:r>
          </w:p>
        </w:tc>
        <w:tc>
          <w:tcPr>
            <w:tcW w:w="5752" w:type="dxa"/>
            <w:shd w:val="clear" w:color="auto" w:fill="auto"/>
            <w:vAlign w:val="center"/>
          </w:tcPr>
          <w:p w14:paraId="1FC80B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585B3D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3F6053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B0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466C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4.4.1</w:t>
            </w:r>
          </w:p>
        </w:tc>
        <w:tc>
          <w:tcPr>
            <w:tcW w:w="1499" w:type="dxa"/>
            <w:shd w:val="clear" w:color="auto" w:fill="auto"/>
            <w:vAlign w:val="center"/>
          </w:tcPr>
          <w:p w14:paraId="650BE4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网络租赁</w:t>
            </w:r>
          </w:p>
        </w:tc>
        <w:tc>
          <w:tcPr>
            <w:tcW w:w="5752" w:type="dxa"/>
            <w:shd w:val="clear" w:color="auto" w:fill="auto"/>
            <w:vAlign w:val="center"/>
          </w:tcPr>
          <w:p w14:paraId="144EE5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100M内部公用网络资源，租赁年份5年</w:t>
            </w:r>
          </w:p>
        </w:tc>
        <w:tc>
          <w:tcPr>
            <w:tcW w:w="656" w:type="dxa"/>
            <w:shd w:val="clear" w:color="auto" w:fill="auto"/>
            <w:vAlign w:val="center"/>
          </w:tcPr>
          <w:p w14:paraId="31D7B5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条</w:t>
            </w:r>
          </w:p>
        </w:tc>
        <w:tc>
          <w:tcPr>
            <w:tcW w:w="630" w:type="dxa"/>
            <w:shd w:val="clear" w:color="auto" w:fill="auto"/>
            <w:vAlign w:val="center"/>
          </w:tcPr>
          <w:p w14:paraId="3B58DC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532B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6178E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w:t>
            </w:r>
          </w:p>
        </w:tc>
        <w:tc>
          <w:tcPr>
            <w:tcW w:w="1499" w:type="dxa"/>
            <w:shd w:val="clear" w:color="auto" w:fill="auto"/>
            <w:vAlign w:val="center"/>
          </w:tcPr>
          <w:p w14:paraId="30C2FC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安全运维服务</w:t>
            </w:r>
          </w:p>
        </w:tc>
        <w:tc>
          <w:tcPr>
            <w:tcW w:w="5752" w:type="dxa"/>
            <w:shd w:val="clear" w:color="auto" w:fill="auto"/>
            <w:vAlign w:val="center"/>
          </w:tcPr>
          <w:p w14:paraId="4355DF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505CCD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133429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2F0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8DE2C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4.5.1</w:t>
            </w:r>
          </w:p>
        </w:tc>
        <w:tc>
          <w:tcPr>
            <w:tcW w:w="1499" w:type="dxa"/>
            <w:shd w:val="clear" w:color="auto" w:fill="auto"/>
            <w:vAlign w:val="center"/>
          </w:tcPr>
          <w:p w14:paraId="0E5370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网站监测</w:t>
            </w:r>
          </w:p>
        </w:tc>
        <w:tc>
          <w:tcPr>
            <w:tcW w:w="5752" w:type="dxa"/>
            <w:shd w:val="clear" w:color="auto" w:fill="auto"/>
            <w:vAlign w:val="center"/>
          </w:tcPr>
          <w:p w14:paraId="320D11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按业务系统数量计费，租赁年份5年</w:t>
            </w:r>
          </w:p>
        </w:tc>
        <w:tc>
          <w:tcPr>
            <w:tcW w:w="656" w:type="dxa"/>
            <w:shd w:val="clear" w:color="auto" w:fill="auto"/>
            <w:vAlign w:val="center"/>
          </w:tcPr>
          <w:p w14:paraId="3A566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1FD1E9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30B3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B4A8E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4.5.2</w:t>
            </w:r>
          </w:p>
        </w:tc>
        <w:tc>
          <w:tcPr>
            <w:tcW w:w="1499" w:type="dxa"/>
            <w:shd w:val="clear" w:color="auto" w:fill="auto"/>
            <w:vAlign w:val="center"/>
          </w:tcPr>
          <w:p w14:paraId="765456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边界防护服务</w:t>
            </w:r>
          </w:p>
        </w:tc>
        <w:tc>
          <w:tcPr>
            <w:tcW w:w="5752" w:type="dxa"/>
            <w:shd w:val="clear" w:color="auto" w:fill="auto"/>
            <w:vAlign w:val="center"/>
          </w:tcPr>
          <w:p w14:paraId="1C8D80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7B8DC9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97A37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235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66AEA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4.5.3</w:t>
            </w:r>
          </w:p>
        </w:tc>
        <w:tc>
          <w:tcPr>
            <w:tcW w:w="1499" w:type="dxa"/>
            <w:shd w:val="clear" w:color="auto" w:fill="auto"/>
            <w:vAlign w:val="center"/>
          </w:tcPr>
          <w:p w14:paraId="2EAFE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服务器防病毒</w:t>
            </w:r>
          </w:p>
        </w:tc>
        <w:tc>
          <w:tcPr>
            <w:tcW w:w="5752" w:type="dxa"/>
            <w:shd w:val="clear" w:color="auto" w:fill="auto"/>
            <w:vAlign w:val="center"/>
          </w:tcPr>
          <w:p w14:paraId="2C8430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66396D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442A3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2A21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E4776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4.5.4</w:t>
            </w:r>
          </w:p>
        </w:tc>
        <w:tc>
          <w:tcPr>
            <w:tcW w:w="1499" w:type="dxa"/>
            <w:shd w:val="clear" w:color="auto" w:fill="auto"/>
            <w:vAlign w:val="center"/>
          </w:tcPr>
          <w:p w14:paraId="26A0B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基线核查</w:t>
            </w:r>
          </w:p>
        </w:tc>
        <w:tc>
          <w:tcPr>
            <w:tcW w:w="5752" w:type="dxa"/>
            <w:shd w:val="clear" w:color="auto" w:fill="auto"/>
            <w:vAlign w:val="center"/>
          </w:tcPr>
          <w:p w14:paraId="7EDD22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0492A5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8EDE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24C3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1FA20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4.5.5</w:t>
            </w:r>
          </w:p>
        </w:tc>
        <w:tc>
          <w:tcPr>
            <w:tcW w:w="1499" w:type="dxa"/>
            <w:shd w:val="clear" w:color="auto" w:fill="auto"/>
            <w:vAlign w:val="center"/>
          </w:tcPr>
          <w:p w14:paraId="23C797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WEB应用安全网关</w:t>
            </w:r>
          </w:p>
        </w:tc>
        <w:tc>
          <w:tcPr>
            <w:tcW w:w="5752" w:type="dxa"/>
            <w:shd w:val="clear" w:color="auto" w:fill="auto"/>
            <w:vAlign w:val="center"/>
          </w:tcPr>
          <w:p w14:paraId="3AF9DE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1EE36B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15A2E1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r>
      <w:tr w14:paraId="5EC3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69366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4.5.6</w:t>
            </w:r>
          </w:p>
        </w:tc>
        <w:tc>
          <w:tcPr>
            <w:tcW w:w="1499" w:type="dxa"/>
            <w:shd w:val="clear" w:color="auto" w:fill="auto"/>
            <w:vAlign w:val="center"/>
          </w:tcPr>
          <w:p w14:paraId="0FCA68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负载均衡</w:t>
            </w:r>
          </w:p>
        </w:tc>
        <w:tc>
          <w:tcPr>
            <w:tcW w:w="5752" w:type="dxa"/>
            <w:shd w:val="clear" w:color="auto" w:fill="auto"/>
            <w:vAlign w:val="center"/>
          </w:tcPr>
          <w:p w14:paraId="6306C7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1620D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426C7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r>
      <w:tr w14:paraId="0E91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3B59B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4.5.7</w:t>
            </w:r>
          </w:p>
        </w:tc>
        <w:tc>
          <w:tcPr>
            <w:tcW w:w="1499" w:type="dxa"/>
            <w:shd w:val="clear" w:color="auto" w:fill="auto"/>
            <w:vAlign w:val="center"/>
          </w:tcPr>
          <w:p w14:paraId="390EF6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网闸</w:t>
            </w:r>
          </w:p>
        </w:tc>
        <w:tc>
          <w:tcPr>
            <w:tcW w:w="5752" w:type="dxa"/>
            <w:shd w:val="clear" w:color="auto" w:fill="auto"/>
            <w:vAlign w:val="center"/>
          </w:tcPr>
          <w:p w14:paraId="0E1AF3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按策略数量计费，租赁年份5年</w:t>
            </w:r>
          </w:p>
        </w:tc>
        <w:tc>
          <w:tcPr>
            <w:tcW w:w="656" w:type="dxa"/>
            <w:shd w:val="clear" w:color="auto" w:fill="auto"/>
            <w:vAlign w:val="center"/>
          </w:tcPr>
          <w:p w14:paraId="3AF620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F5A19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3037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F3F56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4.5.8</w:t>
            </w:r>
          </w:p>
        </w:tc>
        <w:tc>
          <w:tcPr>
            <w:tcW w:w="1499" w:type="dxa"/>
            <w:shd w:val="clear" w:color="auto" w:fill="auto"/>
            <w:vAlign w:val="center"/>
          </w:tcPr>
          <w:p w14:paraId="3BD5FB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VPN接入</w:t>
            </w:r>
          </w:p>
        </w:tc>
        <w:tc>
          <w:tcPr>
            <w:tcW w:w="5752" w:type="dxa"/>
            <w:shd w:val="clear" w:color="auto" w:fill="auto"/>
            <w:vAlign w:val="center"/>
          </w:tcPr>
          <w:p w14:paraId="1B2DC7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按帐号数量计费，租赁年份5年</w:t>
            </w:r>
          </w:p>
        </w:tc>
        <w:tc>
          <w:tcPr>
            <w:tcW w:w="656" w:type="dxa"/>
            <w:shd w:val="clear" w:color="auto" w:fill="auto"/>
            <w:vAlign w:val="center"/>
          </w:tcPr>
          <w:p w14:paraId="464879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65740D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7CE0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1E04D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4.5.9</w:t>
            </w:r>
          </w:p>
        </w:tc>
        <w:tc>
          <w:tcPr>
            <w:tcW w:w="1499" w:type="dxa"/>
            <w:shd w:val="clear" w:color="auto" w:fill="auto"/>
            <w:vAlign w:val="center"/>
          </w:tcPr>
          <w:p w14:paraId="751BC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堡垒机</w:t>
            </w:r>
          </w:p>
        </w:tc>
        <w:tc>
          <w:tcPr>
            <w:tcW w:w="5752" w:type="dxa"/>
            <w:shd w:val="clear" w:color="auto" w:fill="auto"/>
            <w:vAlign w:val="center"/>
          </w:tcPr>
          <w:p w14:paraId="44E734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按帐号数量计费，租赁年份5年</w:t>
            </w:r>
          </w:p>
        </w:tc>
        <w:tc>
          <w:tcPr>
            <w:tcW w:w="656" w:type="dxa"/>
            <w:shd w:val="clear" w:color="auto" w:fill="auto"/>
            <w:vAlign w:val="center"/>
          </w:tcPr>
          <w:p w14:paraId="74D73B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02094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3CDA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F96BD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4.5.10</w:t>
            </w:r>
          </w:p>
        </w:tc>
        <w:tc>
          <w:tcPr>
            <w:tcW w:w="1499" w:type="dxa"/>
            <w:shd w:val="clear" w:color="auto" w:fill="auto"/>
            <w:vAlign w:val="center"/>
          </w:tcPr>
          <w:p w14:paraId="64E897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日志审计</w:t>
            </w:r>
          </w:p>
        </w:tc>
        <w:tc>
          <w:tcPr>
            <w:tcW w:w="5752" w:type="dxa"/>
            <w:shd w:val="clear" w:color="auto" w:fill="auto"/>
            <w:vAlign w:val="center"/>
          </w:tcPr>
          <w:p w14:paraId="4A07E3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2BB96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35A5E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76C8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2584A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4.5.11</w:t>
            </w:r>
          </w:p>
        </w:tc>
        <w:tc>
          <w:tcPr>
            <w:tcW w:w="1499" w:type="dxa"/>
            <w:shd w:val="clear" w:color="auto" w:fill="auto"/>
            <w:vAlign w:val="center"/>
          </w:tcPr>
          <w:p w14:paraId="601ED6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日志分析</w:t>
            </w:r>
          </w:p>
        </w:tc>
        <w:tc>
          <w:tcPr>
            <w:tcW w:w="5752" w:type="dxa"/>
            <w:shd w:val="clear" w:color="auto" w:fill="auto"/>
            <w:vAlign w:val="center"/>
          </w:tcPr>
          <w:p w14:paraId="1A1E9C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23759B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71E845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02BA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5912E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4.5.12</w:t>
            </w:r>
          </w:p>
        </w:tc>
        <w:tc>
          <w:tcPr>
            <w:tcW w:w="1499" w:type="dxa"/>
            <w:shd w:val="clear" w:color="auto" w:fill="auto"/>
            <w:vAlign w:val="center"/>
          </w:tcPr>
          <w:p w14:paraId="2DB756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流量监测</w:t>
            </w:r>
          </w:p>
        </w:tc>
        <w:tc>
          <w:tcPr>
            <w:tcW w:w="5752" w:type="dxa"/>
            <w:shd w:val="clear" w:color="auto" w:fill="auto"/>
            <w:vAlign w:val="center"/>
          </w:tcPr>
          <w:p w14:paraId="6D84B9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17BD48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5383C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74AD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B2580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4.5.13</w:t>
            </w:r>
          </w:p>
        </w:tc>
        <w:tc>
          <w:tcPr>
            <w:tcW w:w="1499" w:type="dxa"/>
            <w:shd w:val="clear" w:color="auto" w:fill="auto"/>
            <w:vAlign w:val="center"/>
          </w:tcPr>
          <w:p w14:paraId="78D127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流量分析</w:t>
            </w:r>
          </w:p>
        </w:tc>
        <w:tc>
          <w:tcPr>
            <w:tcW w:w="5752" w:type="dxa"/>
            <w:shd w:val="clear" w:color="auto" w:fill="auto"/>
            <w:vAlign w:val="center"/>
          </w:tcPr>
          <w:p w14:paraId="0AE70F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5D5C0B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2F373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2BFC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E02A3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w:t>
            </w:r>
          </w:p>
        </w:tc>
        <w:tc>
          <w:tcPr>
            <w:tcW w:w="1499" w:type="dxa"/>
            <w:shd w:val="clear" w:color="auto" w:fill="auto"/>
            <w:vAlign w:val="center"/>
          </w:tcPr>
          <w:p w14:paraId="3656D8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风险管理服务</w:t>
            </w:r>
          </w:p>
        </w:tc>
        <w:tc>
          <w:tcPr>
            <w:tcW w:w="5752" w:type="dxa"/>
            <w:shd w:val="clear" w:color="auto" w:fill="auto"/>
            <w:vAlign w:val="center"/>
          </w:tcPr>
          <w:p w14:paraId="3CB952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2C94F8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6A0A66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2C8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BE78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4.6.1</w:t>
            </w:r>
          </w:p>
        </w:tc>
        <w:tc>
          <w:tcPr>
            <w:tcW w:w="1499" w:type="dxa"/>
            <w:shd w:val="clear" w:color="auto" w:fill="auto"/>
            <w:vAlign w:val="center"/>
          </w:tcPr>
          <w:p w14:paraId="1C230F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渗透测试</w:t>
            </w:r>
          </w:p>
        </w:tc>
        <w:tc>
          <w:tcPr>
            <w:tcW w:w="5752" w:type="dxa"/>
            <w:shd w:val="clear" w:color="auto" w:fill="auto"/>
            <w:vAlign w:val="center"/>
          </w:tcPr>
          <w:p w14:paraId="0805F29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业务系统数量和次数综合计费，租赁年份5年</w:t>
            </w:r>
          </w:p>
        </w:tc>
        <w:tc>
          <w:tcPr>
            <w:tcW w:w="656" w:type="dxa"/>
            <w:shd w:val="clear" w:color="auto" w:fill="auto"/>
            <w:vAlign w:val="center"/>
          </w:tcPr>
          <w:p w14:paraId="673774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556AF1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r>
      <w:tr w14:paraId="444B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E29F7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4.6.2</w:t>
            </w:r>
          </w:p>
        </w:tc>
        <w:tc>
          <w:tcPr>
            <w:tcW w:w="1499" w:type="dxa"/>
            <w:shd w:val="clear" w:color="auto" w:fill="auto"/>
            <w:vAlign w:val="center"/>
          </w:tcPr>
          <w:p w14:paraId="0B13EC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数据库审计</w:t>
            </w:r>
          </w:p>
        </w:tc>
        <w:tc>
          <w:tcPr>
            <w:tcW w:w="5752" w:type="dxa"/>
            <w:shd w:val="clear" w:color="auto" w:fill="auto"/>
            <w:vAlign w:val="center"/>
          </w:tcPr>
          <w:p w14:paraId="167085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按数据库云主机数量计费，租赁年份5年</w:t>
            </w:r>
          </w:p>
        </w:tc>
        <w:tc>
          <w:tcPr>
            <w:tcW w:w="656" w:type="dxa"/>
            <w:shd w:val="clear" w:color="auto" w:fill="auto"/>
            <w:vAlign w:val="center"/>
          </w:tcPr>
          <w:p w14:paraId="75B705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0966B5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062F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4B2CE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4.6.3</w:t>
            </w:r>
          </w:p>
        </w:tc>
        <w:tc>
          <w:tcPr>
            <w:tcW w:w="1499" w:type="dxa"/>
            <w:shd w:val="clear" w:color="auto" w:fill="auto"/>
            <w:vAlign w:val="center"/>
          </w:tcPr>
          <w:p w14:paraId="2AB174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安全通告</w:t>
            </w:r>
          </w:p>
        </w:tc>
        <w:tc>
          <w:tcPr>
            <w:tcW w:w="5752" w:type="dxa"/>
            <w:shd w:val="clear" w:color="auto" w:fill="auto"/>
            <w:vAlign w:val="center"/>
          </w:tcPr>
          <w:p w14:paraId="74C6EF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按业务系统数量计费，租赁年份5年</w:t>
            </w:r>
          </w:p>
        </w:tc>
        <w:tc>
          <w:tcPr>
            <w:tcW w:w="656" w:type="dxa"/>
            <w:shd w:val="clear" w:color="auto" w:fill="auto"/>
            <w:vAlign w:val="center"/>
          </w:tcPr>
          <w:p w14:paraId="0EE3EE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5950A7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7C63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918A2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4.6.4</w:t>
            </w:r>
          </w:p>
        </w:tc>
        <w:tc>
          <w:tcPr>
            <w:tcW w:w="1499" w:type="dxa"/>
            <w:shd w:val="clear" w:color="auto" w:fill="auto"/>
            <w:vAlign w:val="center"/>
          </w:tcPr>
          <w:p w14:paraId="4130F1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漏洞扫描</w:t>
            </w:r>
          </w:p>
        </w:tc>
        <w:tc>
          <w:tcPr>
            <w:tcW w:w="5752" w:type="dxa"/>
            <w:shd w:val="clear" w:color="auto" w:fill="auto"/>
            <w:vAlign w:val="center"/>
          </w:tcPr>
          <w:p w14:paraId="0DB8A9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按云主机数量计费，租赁年份5年</w:t>
            </w:r>
          </w:p>
        </w:tc>
        <w:tc>
          <w:tcPr>
            <w:tcW w:w="656" w:type="dxa"/>
            <w:shd w:val="clear" w:color="auto" w:fill="auto"/>
            <w:vAlign w:val="center"/>
          </w:tcPr>
          <w:p w14:paraId="0040DD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53804F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r>
      <w:tr w14:paraId="02BD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3E23F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w:t>
            </w:r>
          </w:p>
        </w:tc>
        <w:tc>
          <w:tcPr>
            <w:tcW w:w="1499" w:type="dxa"/>
            <w:shd w:val="clear" w:color="auto" w:fill="auto"/>
            <w:vAlign w:val="center"/>
          </w:tcPr>
          <w:p w14:paraId="69B8B4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应急服务</w:t>
            </w:r>
          </w:p>
        </w:tc>
        <w:tc>
          <w:tcPr>
            <w:tcW w:w="5752" w:type="dxa"/>
            <w:shd w:val="clear" w:color="auto" w:fill="auto"/>
            <w:vAlign w:val="center"/>
          </w:tcPr>
          <w:p w14:paraId="6DFB6E8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61CB7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54BA1B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556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FEAEB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4.7.1</w:t>
            </w:r>
          </w:p>
        </w:tc>
        <w:tc>
          <w:tcPr>
            <w:tcW w:w="1499" w:type="dxa"/>
            <w:shd w:val="clear" w:color="auto" w:fill="auto"/>
            <w:vAlign w:val="center"/>
          </w:tcPr>
          <w:p w14:paraId="62566F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应急响应</w:t>
            </w:r>
          </w:p>
        </w:tc>
        <w:tc>
          <w:tcPr>
            <w:tcW w:w="5752" w:type="dxa"/>
            <w:shd w:val="clear" w:color="auto" w:fill="auto"/>
            <w:vAlign w:val="center"/>
          </w:tcPr>
          <w:p w14:paraId="29001C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按业务系统数量计费，租赁年份5年</w:t>
            </w:r>
          </w:p>
        </w:tc>
        <w:tc>
          <w:tcPr>
            <w:tcW w:w="656" w:type="dxa"/>
            <w:shd w:val="clear" w:color="auto" w:fill="auto"/>
            <w:vAlign w:val="center"/>
          </w:tcPr>
          <w:p w14:paraId="045CB6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73C91C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08FD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E206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w:t>
            </w:r>
          </w:p>
        </w:tc>
        <w:tc>
          <w:tcPr>
            <w:tcW w:w="1499" w:type="dxa"/>
            <w:shd w:val="clear" w:color="auto" w:fill="auto"/>
            <w:vAlign w:val="center"/>
          </w:tcPr>
          <w:p w14:paraId="1C5D0D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重保服务</w:t>
            </w:r>
          </w:p>
        </w:tc>
        <w:tc>
          <w:tcPr>
            <w:tcW w:w="5752" w:type="dxa"/>
            <w:shd w:val="clear" w:color="auto" w:fill="auto"/>
            <w:vAlign w:val="center"/>
          </w:tcPr>
          <w:p w14:paraId="38DD4C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1CD2CD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5E33EC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F64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FBDC6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4.8.1</w:t>
            </w:r>
          </w:p>
        </w:tc>
        <w:tc>
          <w:tcPr>
            <w:tcW w:w="1499" w:type="dxa"/>
            <w:shd w:val="clear" w:color="auto" w:fill="auto"/>
            <w:vAlign w:val="center"/>
          </w:tcPr>
          <w:p w14:paraId="7E76BC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重大时期安全保障</w:t>
            </w:r>
          </w:p>
        </w:tc>
        <w:tc>
          <w:tcPr>
            <w:tcW w:w="5752" w:type="dxa"/>
            <w:shd w:val="clear" w:color="auto" w:fill="auto"/>
            <w:vAlign w:val="center"/>
          </w:tcPr>
          <w:p w14:paraId="2C3AC8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按业务系统数量计费，租赁年份5年</w:t>
            </w:r>
          </w:p>
        </w:tc>
        <w:tc>
          <w:tcPr>
            <w:tcW w:w="656" w:type="dxa"/>
            <w:shd w:val="clear" w:color="auto" w:fill="auto"/>
            <w:vAlign w:val="center"/>
          </w:tcPr>
          <w:p w14:paraId="6630B8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个</w:t>
            </w:r>
          </w:p>
        </w:tc>
        <w:tc>
          <w:tcPr>
            <w:tcW w:w="630" w:type="dxa"/>
            <w:shd w:val="clear" w:color="auto" w:fill="auto"/>
            <w:vAlign w:val="center"/>
          </w:tcPr>
          <w:p w14:paraId="7632A1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1BC2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D7DD9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w:t>
            </w:r>
          </w:p>
        </w:tc>
        <w:tc>
          <w:tcPr>
            <w:tcW w:w="1499" w:type="dxa"/>
            <w:shd w:val="clear" w:color="auto" w:fill="auto"/>
            <w:vAlign w:val="center"/>
          </w:tcPr>
          <w:p w14:paraId="500267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密保服务对接适配</w:t>
            </w:r>
          </w:p>
        </w:tc>
        <w:tc>
          <w:tcPr>
            <w:tcW w:w="5752" w:type="dxa"/>
            <w:shd w:val="clear" w:color="auto" w:fill="auto"/>
            <w:vAlign w:val="center"/>
          </w:tcPr>
          <w:p w14:paraId="07390C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32AD30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0" w:type="dxa"/>
            <w:shd w:val="clear" w:color="auto" w:fill="auto"/>
            <w:vAlign w:val="center"/>
          </w:tcPr>
          <w:p w14:paraId="393AB1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A4F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DAEE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4.9.1</w:t>
            </w:r>
          </w:p>
        </w:tc>
        <w:tc>
          <w:tcPr>
            <w:tcW w:w="1499" w:type="dxa"/>
            <w:shd w:val="clear" w:color="auto" w:fill="auto"/>
            <w:vAlign w:val="center"/>
          </w:tcPr>
          <w:p w14:paraId="09F0F5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SSL VPN链路密码组件对接</w:t>
            </w:r>
          </w:p>
        </w:tc>
        <w:tc>
          <w:tcPr>
            <w:tcW w:w="5752" w:type="dxa"/>
            <w:shd w:val="clear" w:color="auto" w:fill="auto"/>
            <w:vAlign w:val="center"/>
          </w:tcPr>
          <w:p w14:paraId="7BF5AC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1AF697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0119EA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324B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65418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4.9.2</w:t>
            </w:r>
          </w:p>
        </w:tc>
        <w:tc>
          <w:tcPr>
            <w:tcW w:w="1499" w:type="dxa"/>
            <w:shd w:val="clear" w:color="auto" w:fill="auto"/>
            <w:vAlign w:val="center"/>
          </w:tcPr>
          <w:p w14:paraId="232FB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运维鉴权密码组件对接</w:t>
            </w:r>
          </w:p>
        </w:tc>
        <w:tc>
          <w:tcPr>
            <w:tcW w:w="5752" w:type="dxa"/>
            <w:shd w:val="clear" w:color="auto" w:fill="auto"/>
            <w:vAlign w:val="center"/>
          </w:tcPr>
          <w:p w14:paraId="794B52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59B8C6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20B09B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7C69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4BEE6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4.9.3</w:t>
            </w:r>
          </w:p>
        </w:tc>
        <w:tc>
          <w:tcPr>
            <w:tcW w:w="1499" w:type="dxa"/>
            <w:shd w:val="clear" w:color="auto" w:fill="auto"/>
            <w:vAlign w:val="center"/>
          </w:tcPr>
          <w:p w14:paraId="4A997B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远程管理密码组件对接</w:t>
            </w:r>
          </w:p>
        </w:tc>
        <w:tc>
          <w:tcPr>
            <w:tcW w:w="5752" w:type="dxa"/>
            <w:shd w:val="clear" w:color="auto" w:fill="auto"/>
            <w:vAlign w:val="center"/>
          </w:tcPr>
          <w:p w14:paraId="7D284E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0E6469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3D2CD8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53F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4BBE6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4.9.4</w:t>
            </w:r>
          </w:p>
        </w:tc>
        <w:tc>
          <w:tcPr>
            <w:tcW w:w="1499" w:type="dxa"/>
            <w:shd w:val="clear" w:color="auto" w:fill="auto"/>
            <w:vAlign w:val="center"/>
          </w:tcPr>
          <w:p w14:paraId="677F51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日志管理密码组件对接</w:t>
            </w:r>
          </w:p>
        </w:tc>
        <w:tc>
          <w:tcPr>
            <w:tcW w:w="5752" w:type="dxa"/>
            <w:shd w:val="clear" w:color="auto" w:fill="auto"/>
            <w:vAlign w:val="center"/>
          </w:tcPr>
          <w:p w14:paraId="1A5DA5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15A4D1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6F1000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5CEE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66060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4.9.5</w:t>
            </w:r>
          </w:p>
        </w:tc>
        <w:tc>
          <w:tcPr>
            <w:tcW w:w="1499" w:type="dxa"/>
            <w:shd w:val="clear" w:color="auto" w:fill="auto"/>
            <w:vAlign w:val="center"/>
          </w:tcPr>
          <w:p w14:paraId="1A71EC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访问人员鉴权密码组件对接</w:t>
            </w:r>
          </w:p>
        </w:tc>
        <w:tc>
          <w:tcPr>
            <w:tcW w:w="5752" w:type="dxa"/>
            <w:shd w:val="clear" w:color="auto" w:fill="auto"/>
            <w:vAlign w:val="center"/>
          </w:tcPr>
          <w:p w14:paraId="1F9D57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72303F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401411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4E4B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84E1D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4.9.6</w:t>
            </w:r>
          </w:p>
        </w:tc>
        <w:tc>
          <w:tcPr>
            <w:tcW w:w="1499" w:type="dxa"/>
            <w:shd w:val="clear" w:color="auto" w:fill="auto"/>
            <w:vAlign w:val="center"/>
          </w:tcPr>
          <w:p w14:paraId="27DA07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数据传输密码组件对接</w:t>
            </w:r>
          </w:p>
        </w:tc>
        <w:tc>
          <w:tcPr>
            <w:tcW w:w="5752" w:type="dxa"/>
            <w:shd w:val="clear" w:color="auto" w:fill="auto"/>
            <w:vAlign w:val="center"/>
          </w:tcPr>
          <w:p w14:paraId="7270FF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73F75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72CD6F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3150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5EFD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4.9.7</w:t>
            </w:r>
          </w:p>
        </w:tc>
        <w:tc>
          <w:tcPr>
            <w:tcW w:w="1499" w:type="dxa"/>
            <w:shd w:val="clear" w:color="auto" w:fill="auto"/>
            <w:vAlign w:val="center"/>
          </w:tcPr>
          <w:p w14:paraId="1D8CA5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关键数据存储密码组件对接</w:t>
            </w:r>
          </w:p>
        </w:tc>
        <w:tc>
          <w:tcPr>
            <w:tcW w:w="5752" w:type="dxa"/>
            <w:shd w:val="clear" w:color="auto" w:fill="auto"/>
            <w:vAlign w:val="center"/>
          </w:tcPr>
          <w:p w14:paraId="37A966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78C544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42DCF2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24F8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52A74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4.9.8</w:t>
            </w:r>
          </w:p>
        </w:tc>
        <w:tc>
          <w:tcPr>
            <w:tcW w:w="1499" w:type="dxa"/>
            <w:shd w:val="clear" w:color="auto" w:fill="auto"/>
            <w:vAlign w:val="center"/>
          </w:tcPr>
          <w:p w14:paraId="78CFD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访问控制密码组件对接</w:t>
            </w:r>
          </w:p>
        </w:tc>
        <w:tc>
          <w:tcPr>
            <w:tcW w:w="5752" w:type="dxa"/>
            <w:shd w:val="clear" w:color="auto" w:fill="auto"/>
            <w:vAlign w:val="center"/>
          </w:tcPr>
          <w:p w14:paraId="584EF6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68492F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5AAFCA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5E40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C69EF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4.9.9</w:t>
            </w:r>
          </w:p>
        </w:tc>
        <w:tc>
          <w:tcPr>
            <w:tcW w:w="1499" w:type="dxa"/>
            <w:shd w:val="clear" w:color="auto" w:fill="auto"/>
            <w:vAlign w:val="center"/>
          </w:tcPr>
          <w:p w14:paraId="6708B1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密钥管理组件对接</w:t>
            </w:r>
          </w:p>
        </w:tc>
        <w:tc>
          <w:tcPr>
            <w:tcW w:w="5752" w:type="dxa"/>
            <w:shd w:val="clear" w:color="auto" w:fill="auto"/>
            <w:vAlign w:val="center"/>
          </w:tcPr>
          <w:p w14:paraId="538EE2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按业务系统数量计费</w:t>
            </w:r>
          </w:p>
        </w:tc>
        <w:tc>
          <w:tcPr>
            <w:tcW w:w="656" w:type="dxa"/>
            <w:shd w:val="clear" w:color="auto" w:fill="auto"/>
            <w:vAlign w:val="center"/>
          </w:tcPr>
          <w:p w14:paraId="2B9728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次</w:t>
            </w:r>
          </w:p>
        </w:tc>
        <w:tc>
          <w:tcPr>
            <w:tcW w:w="630" w:type="dxa"/>
            <w:shd w:val="clear" w:color="auto" w:fill="auto"/>
            <w:vAlign w:val="center"/>
          </w:tcPr>
          <w:p w14:paraId="60F97D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r>
      <w:tr w14:paraId="6E46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88FCE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1499" w:type="dxa"/>
            <w:shd w:val="clear" w:color="auto" w:fill="auto"/>
            <w:vAlign w:val="center"/>
          </w:tcPr>
          <w:p w14:paraId="6FE98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防汛调度指挥中心</w:t>
            </w:r>
          </w:p>
        </w:tc>
        <w:tc>
          <w:tcPr>
            <w:tcW w:w="5752" w:type="dxa"/>
            <w:shd w:val="clear" w:color="auto" w:fill="auto"/>
            <w:vAlign w:val="center"/>
          </w:tcPr>
          <w:p w14:paraId="6C0DF0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6DDF4E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630" w:type="dxa"/>
            <w:shd w:val="clear" w:color="auto" w:fill="auto"/>
            <w:vAlign w:val="center"/>
          </w:tcPr>
          <w:p w14:paraId="2ADCA8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1FC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3A62B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99" w:type="dxa"/>
            <w:shd w:val="clear" w:color="auto" w:fill="auto"/>
            <w:vAlign w:val="center"/>
          </w:tcPr>
          <w:p w14:paraId="08D699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指挥中心监控室大屏</w:t>
            </w:r>
          </w:p>
        </w:tc>
        <w:tc>
          <w:tcPr>
            <w:tcW w:w="5752" w:type="dxa"/>
            <w:shd w:val="clear" w:color="auto" w:fill="auto"/>
            <w:vAlign w:val="center"/>
          </w:tcPr>
          <w:p w14:paraId="2BDD26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5E0A40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630" w:type="dxa"/>
            <w:shd w:val="clear" w:color="auto" w:fill="auto"/>
            <w:vAlign w:val="center"/>
          </w:tcPr>
          <w:p w14:paraId="4A62F9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307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4FCA2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499" w:type="dxa"/>
            <w:shd w:val="clear" w:color="auto" w:fill="auto"/>
            <w:vAlign w:val="center"/>
          </w:tcPr>
          <w:p w14:paraId="4AE566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LED 模组</w:t>
            </w:r>
          </w:p>
        </w:tc>
        <w:tc>
          <w:tcPr>
            <w:tcW w:w="5752" w:type="dxa"/>
            <w:shd w:val="clear" w:color="auto" w:fill="auto"/>
            <w:vAlign w:val="center"/>
          </w:tcPr>
          <w:p w14:paraId="5DA17A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1、像素构成： 表贴三合一 1515（1RIGIB） ；</w:t>
            </w:r>
          </w:p>
          <w:p w14:paraId="16F0F6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2、点间距： 2.0mm ；</w:t>
            </w:r>
          </w:p>
          <w:p w14:paraId="353C82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3、像素密度： 250000；</w:t>
            </w:r>
          </w:p>
          <w:p w14:paraId="6D6D74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4、单元面积： 0.0512 ㎡；</w:t>
            </w:r>
          </w:p>
          <w:p w14:paraId="1B1DE3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5、模组重量： 0.417kg；</w:t>
            </w:r>
          </w:p>
          <w:p w14:paraId="64AB87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6、模组分辨率（WH） ： 160*80；</w:t>
            </w:r>
          </w:p>
          <w:p w14:paraId="237AE3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7、模组尺寸（W*H*D） ： 320× 160× 15mm；</w:t>
            </w:r>
          </w:p>
          <w:p w14:paraId="3C847A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8、视角（水平、 垂直） ： H≥174° V≥163° ；</w:t>
            </w:r>
          </w:p>
          <w:p w14:paraId="41571C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9、平整度： ≤0.05mm ；</w:t>
            </w:r>
          </w:p>
          <w:p w14:paraId="45FC78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10、箱体间缝隙： ≤0.2mm；</w:t>
            </w:r>
          </w:p>
          <w:p w14:paraId="01AB65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11、白平衡亮度： ≥600cd/㎡；</w:t>
            </w:r>
          </w:p>
          <w:p w14:paraId="276719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12、亮度调节功能： 0-100%亮度可调， 屏幕亮度具有随环境照度的变化任</w:t>
            </w:r>
          </w:p>
          <w:p w14:paraId="393D89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意调整功能；</w:t>
            </w:r>
          </w:p>
          <w:p w14:paraId="08D490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13、换帧频率： 60Hz；</w:t>
            </w:r>
          </w:p>
          <w:p w14:paraId="5DB9F5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14、刷新频率： ≥3840Hz ；</w:t>
            </w:r>
          </w:p>
          <w:p w14:paraId="421749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15、最大对比度： ≥3000:1；</w:t>
            </w:r>
          </w:p>
          <w:p w14:paraId="127194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16、色温： 9000～18000 可调；</w:t>
            </w:r>
          </w:p>
          <w:p w14:paraId="2A68AC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17、最大功耗： ≤410W/㎡；</w:t>
            </w:r>
          </w:p>
          <w:p w14:paraId="0CA1A4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18、平均功耗： ≤205W/㎡；</w:t>
            </w:r>
          </w:p>
          <w:p w14:paraId="303DC7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19、亮度均匀性： ≥99%；</w:t>
            </w:r>
          </w:p>
          <w:p w14:paraId="4D132D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20、色度均匀性： ±0.003Cx， Cy 之内；</w:t>
            </w:r>
          </w:p>
          <w:p w14:paraId="73B393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21、发光点间距偏差： &lt;2.41%；</w:t>
            </w:r>
          </w:p>
          <w:p w14:paraId="4B23F3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22、低亮高灰：100%亮度时，16bit 灰度70%亮度时，16bit 灰度50%亮度时，16bit 灰度20%亮度时，16bit 灰度</w:t>
            </w:r>
          </w:p>
          <w:p w14:paraId="3D4386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23、单点亮度校正： 支持单点亮度校正功能；</w:t>
            </w:r>
          </w:p>
          <w:p w14:paraId="628D7B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24、驱动方式： 恒流驱动；</w:t>
            </w:r>
          </w:p>
          <w:p w14:paraId="68BF4B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25、维护： 支持箱体前拆前维护、 后拆后维护功能；</w:t>
            </w:r>
          </w:p>
          <w:p w14:paraId="0DC05F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26、拼接功能： 模组、 箱体定位柱快速拼接， 精准定位；</w:t>
            </w:r>
          </w:p>
          <w:p w14:paraId="28129D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27、模组表面结构： 不反射环境光， 对比度高， 色彩柔和， 墨色一致性好；</w:t>
            </w:r>
          </w:p>
          <w:p w14:paraId="6D1EBE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28、材质： 采用 PC+GF 高强度塑胶套件，产品轻巧安装精度高；</w:t>
            </w:r>
          </w:p>
          <w:p w14:paraId="4F7788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29、接口： 信号接口 HUB75 接口， 电源和信号接口均采用防呆插头设计避</w:t>
            </w:r>
          </w:p>
          <w:p w14:paraId="37CEEC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免反接， 均设计有防脱落结构；</w:t>
            </w:r>
          </w:p>
          <w:p w14:paraId="185423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30、软件亮、 暗线功能： 软件支持亮暗线校正功能；</w:t>
            </w:r>
          </w:p>
          <w:p w14:paraId="6EE58A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▲为了提高LED显示屏使用寿命，所投LED显示屏需通过以下灯珠试验：灯珠耐焊耐热试验：Tmax=260℃，回流焊 2 次，灯珠引脚无氧化， 焊接正常，灯珠胶体正常，点亮正常；灯珠常温寿命试验：Tc=25℃ Ifr=10mA IFg=10mA Ifb=10mA通电 1000H，灯珠点亮无异常；灯珠冷热冲击试验：-50℃～130℃各 15min 200 次，光电特性及表面构造正常，点亮正常；灯珠高温贮存试验：Ta=100℃ 贮存 500H，灯珠点亮无异常；灯珠抗静电（ESD）测试：HBM 模式：ESD＞2000V，灯珠点亮无异常；灯珠漏电流试验：反向电压 Vr=10V漏电流 0.2uA，符合要求；灯珠红墨水试验：回流焊 1 次，纯红墨水常温浸泡 24H，无渗透，需提供ILAC-MRA、CNAS、CMA认证的第三方机构出具的检验报告（提供复印件并加盖原厂商公章）。</w:t>
            </w:r>
          </w:p>
          <w:p w14:paraId="770EAB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▲为保证显示屏稳定运行，所投产品的灯珠及单元板应为同一厂家生产（提供佐证材料复印件并加盖原厂商公章）。</w:t>
            </w:r>
          </w:p>
          <w:p w14:paraId="08CB3B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▲所投LED显示屏厂家有服务认证证书，服务能力达到：国家标准《商品售后服务评价体系》五星级，证书覆盖范围包括配送、维修、技术指导及培训服务（提供证书复印件并加盖原厂商公章）。</w:t>
            </w:r>
          </w:p>
        </w:tc>
        <w:tc>
          <w:tcPr>
            <w:tcW w:w="656" w:type="dxa"/>
            <w:shd w:val="clear" w:color="auto" w:fill="auto"/>
            <w:vAlign w:val="center"/>
          </w:tcPr>
          <w:p w14:paraId="77A3E0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64F3AB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14.75</w:t>
            </w:r>
          </w:p>
        </w:tc>
      </w:tr>
      <w:tr w14:paraId="0793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B0BBA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499" w:type="dxa"/>
            <w:shd w:val="clear" w:color="auto" w:fill="auto"/>
            <w:vAlign w:val="center"/>
          </w:tcPr>
          <w:p w14:paraId="0C083B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接收卡</w:t>
            </w:r>
          </w:p>
        </w:tc>
        <w:tc>
          <w:tcPr>
            <w:tcW w:w="5752" w:type="dxa"/>
            <w:shd w:val="clear" w:color="auto" w:fill="auto"/>
            <w:vAlign w:val="center"/>
          </w:tcPr>
          <w:p w14:paraId="32DEAE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1.支持高精度色度、亮度一体化逐点校正，支持所有常规芯片、 PWM 芯片；</w:t>
            </w:r>
          </w:p>
          <w:p w14:paraId="23DA70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2.自带 16 个 HUB75 接口，支持所有 75 口 1~64 扫任意模组；</w:t>
            </w:r>
          </w:p>
          <w:p w14:paraId="0E28F0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3.数据组数：32 组，最大带载：长度 128 点，高度 1024 点，打折带载：长</w:t>
            </w:r>
          </w:p>
          <w:p w14:paraId="5393E8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度 256 点， 高度 512 点</w:t>
            </w:r>
          </w:p>
        </w:tc>
        <w:tc>
          <w:tcPr>
            <w:tcW w:w="656" w:type="dxa"/>
            <w:shd w:val="clear" w:color="auto" w:fill="auto"/>
            <w:vAlign w:val="center"/>
          </w:tcPr>
          <w:p w14:paraId="6C5A18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5776E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5CFD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A8446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499" w:type="dxa"/>
            <w:shd w:val="clear" w:color="auto" w:fill="auto"/>
            <w:vAlign w:val="center"/>
          </w:tcPr>
          <w:p w14:paraId="4F8C5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视频处理器</w:t>
            </w:r>
          </w:p>
        </w:tc>
        <w:tc>
          <w:tcPr>
            <w:tcW w:w="5752" w:type="dxa"/>
            <w:shd w:val="clear" w:color="auto" w:fill="auto"/>
            <w:vAlign w:val="center"/>
          </w:tcPr>
          <w:p w14:paraId="56A848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1.最大带载 390 万像素， 最宽或最高 8192 像素；</w:t>
            </w:r>
          </w:p>
          <w:p w14:paraId="10F0B8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2.HDMI× 1、 DVI× 2、 SDI× 1；                        3.4 输入 3 画面， 位置、 大小自由调节， 最大输入分辨率 1920*1200@60Hz，</w:t>
            </w:r>
          </w:p>
          <w:p w14:paraId="7DEE53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支持分辨率任意设置；</w:t>
            </w:r>
          </w:p>
          <w:p w14:paraId="3B0498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4.支持串口控制， 支持双 USB2.0 控制和级联， 扩展子板=WiFi 投屏+U 盘播</w:t>
            </w:r>
          </w:p>
          <w:p w14:paraId="3A4EED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放+新增 1 路 HDMI。</w:t>
            </w:r>
          </w:p>
        </w:tc>
        <w:tc>
          <w:tcPr>
            <w:tcW w:w="656" w:type="dxa"/>
            <w:shd w:val="clear" w:color="auto" w:fill="auto"/>
            <w:vAlign w:val="center"/>
          </w:tcPr>
          <w:p w14:paraId="00EB21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57651C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1D25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CF45D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499" w:type="dxa"/>
            <w:shd w:val="clear" w:color="auto" w:fill="auto"/>
            <w:vAlign w:val="center"/>
          </w:tcPr>
          <w:p w14:paraId="15BE9F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电源系统</w:t>
            </w:r>
          </w:p>
        </w:tc>
        <w:tc>
          <w:tcPr>
            <w:tcW w:w="5752" w:type="dxa"/>
            <w:shd w:val="clear" w:color="auto" w:fill="auto"/>
            <w:vAlign w:val="center"/>
          </w:tcPr>
          <w:p w14:paraId="4CFB61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1.高性价比， 可靠性高， 带载能力强， 宽压输入， 带转换开关；</w:t>
            </w:r>
          </w:p>
          <w:p w14:paraId="62E4BC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2.保护功能： 过载/短路保护；</w:t>
            </w:r>
          </w:p>
          <w:p w14:paraId="7C2768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3.输入电压/输入频率： 100~240VAC/47~63HZ 带转换开关</w:t>
            </w:r>
          </w:p>
        </w:tc>
        <w:tc>
          <w:tcPr>
            <w:tcW w:w="656" w:type="dxa"/>
            <w:shd w:val="clear" w:color="auto" w:fill="auto"/>
            <w:vAlign w:val="center"/>
          </w:tcPr>
          <w:p w14:paraId="0ECEC8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2DE74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49B8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EA403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499" w:type="dxa"/>
            <w:shd w:val="clear" w:color="auto" w:fill="auto"/>
            <w:vAlign w:val="center"/>
          </w:tcPr>
          <w:p w14:paraId="052980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配电箱</w:t>
            </w:r>
          </w:p>
        </w:tc>
        <w:tc>
          <w:tcPr>
            <w:tcW w:w="5752" w:type="dxa"/>
            <w:shd w:val="clear" w:color="auto" w:fill="auto"/>
            <w:vAlign w:val="center"/>
          </w:tcPr>
          <w:p w14:paraId="2436A2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防护功能： 具有防静电、 抗震动、 防电磁干扰；</w:t>
            </w:r>
          </w:p>
          <w:p w14:paraId="5F0DA8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具有电源过压、 过流、 断电保护、 分布上电措施；</w:t>
            </w:r>
          </w:p>
        </w:tc>
        <w:tc>
          <w:tcPr>
            <w:tcW w:w="656" w:type="dxa"/>
            <w:shd w:val="clear" w:color="auto" w:fill="auto"/>
            <w:vAlign w:val="center"/>
          </w:tcPr>
          <w:p w14:paraId="29F930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57D963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395F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661EF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499" w:type="dxa"/>
            <w:shd w:val="clear" w:color="auto" w:fill="auto"/>
            <w:vAlign w:val="center"/>
          </w:tcPr>
          <w:p w14:paraId="0632EE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钢结构</w:t>
            </w:r>
          </w:p>
        </w:tc>
        <w:tc>
          <w:tcPr>
            <w:tcW w:w="5752" w:type="dxa"/>
            <w:shd w:val="clear" w:color="auto" w:fill="auto"/>
            <w:vAlign w:val="center"/>
          </w:tcPr>
          <w:p w14:paraId="6AECA84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室内壁挂， 免焊结构+不锈钢包边</w:t>
            </w:r>
          </w:p>
        </w:tc>
        <w:tc>
          <w:tcPr>
            <w:tcW w:w="656" w:type="dxa"/>
            <w:shd w:val="clear" w:color="auto" w:fill="auto"/>
            <w:vAlign w:val="center"/>
          </w:tcPr>
          <w:p w14:paraId="1400C7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7CFAB7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15.59</w:t>
            </w:r>
          </w:p>
        </w:tc>
      </w:tr>
      <w:tr w14:paraId="4190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A4F24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499" w:type="dxa"/>
            <w:shd w:val="clear" w:color="auto" w:fill="auto"/>
            <w:vAlign w:val="center"/>
          </w:tcPr>
          <w:p w14:paraId="3937E9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安装调试</w:t>
            </w:r>
          </w:p>
        </w:tc>
        <w:tc>
          <w:tcPr>
            <w:tcW w:w="5752" w:type="dxa"/>
            <w:shd w:val="clear" w:color="auto" w:fill="auto"/>
            <w:vAlign w:val="center"/>
          </w:tcPr>
          <w:p w14:paraId="3109FE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w:t>
            </w:r>
          </w:p>
        </w:tc>
        <w:tc>
          <w:tcPr>
            <w:tcW w:w="656" w:type="dxa"/>
            <w:shd w:val="clear" w:color="auto" w:fill="auto"/>
            <w:vAlign w:val="center"/>
          </w:tcPr>
          <w:p w14:paraId="678200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项</w:t>
            </w:r>
          </w:p>
        </w:tc>
        <w:tc>
          <w:tcPr>
            <w:tcW w:w="630" w:type="dxa"/>
            <w:shd w:val="clear" w:color="auto" w:fill="auto"/>
            <w:vAlign w:val="center"/>
          </w:tcPr>
          <w:p w14:paraId="014EA8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6AD8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ED12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499" w:type="dxa"/>
            <w:shd w:val="clear" w:color="auto" w:fill="auto"/>
            <w:vAlign w:val="center"/>
          </w:tcPr>
          <w:p w14:paraId="68A75F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综合布线</w:t>
            </w:r>
          </w:p>
        </w:tc>
        <w:tc>
          <w:tcPr>
            <w:tcW w:w="5752" w:type="dxa"/>
            <w:shd w:val="clear" w:color="auto" w:fill="auto"/>
            <w:vAlign w:val="center"/>
          </w:tcPr>
          <w:p w14:paraId="780CD8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w:t>
            </w:r>
          </w:p>
        </w:tc>
        <w:tc>
          <w:tcPr>
            <w:tcW w:w="656" w:type="dxa"/>
            <w:shd w:val="clear" w:color="auto" w:fill="auto"/>
            <w:vAlign w:val="center"/>
          </w:tcPr>
          <w:p w14:paraId="1FE973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项</w:t>
            </w:r>
          </w:p>
        </w:tc>
        <w:tc>
          <w:tcPr>
            <w:tcW w:w="630" w:type="dxa"/>
            <w:shd w:val="clear" w:color="auto" w:fill="auto"/>
            <w:vAlign w:val="center"/>
          </w:tcPr>
          <w:p w14:paraId="59F36E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6625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13779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99" w:type="dxa"/>
            <w:shd w:val="clear" w:color="auto" w:fill="auto"/>
            <w:vAlign w:val="center"/>
          </w:tcPr>
          <w:p w14:paraId="48310B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指挥中心配套设备及设施</w:t>
            </w:r>
          </w:p>
        </w:tc>
        <w:tc>
          <w:tcPr>
            <w:tcW w:w="5752" w:type="dxa"/>
            <w:shd w:val="clear" w:color="auto" w:fill="auto"/>
            <w:vAlign w:val="center"/>
          </w:tcPr>
          <w:p w14:paraId="1C93A2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66BD46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630" w:type="dxa"/>
            <w:shd w:val="clear" w:color="auto" w:fill="auto"/>
            <w:vAlign w:val="center"/>
          </w:tcPr>
          <w:p w14:paraId="064D7F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551F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AB67D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499" w:type="dxa"/>
            <w:shd w:val="clear" w:color="auto" w:fill="auto"/>
            <w:vAlign w:val="center"/>
          </w:tcPr>
          <w:p w14:paraId="56020D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五联操作台</w:t>
            </w:r>
          </w:p>
        </w:tc>
        <w:tc>
          <w:tcPr>
            <w:tcW w:w="5752" w:type="dxa"/>
            <w:shd w:val="clear" w:color="auto" w:fill="auto"/>
            <w:vAlign w:val="center"/>
          </w:tcPr>
          <w:p w14:paraId="27D86B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五联操作台，长4000mm宽620mm高780mm；</w:t>
            </w:r>
          </w:p>
          <w:p w14:paraId="349C56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配铝合金屏风、可抽拉键盘抽屉、底部电脑机箱上下可调隔板和门框</w:t>
            </w:r>
          </w:p>
        </w:tc>
        <w:tc>
          <w:tcPr>
            <w:tcW w:w="656" w:type="dxa"/>
            <w:shd w:val="clear" w:color="auto" w:fill="auto"/>
            <w:vAlign w:val="center"/>
          </w:tcPr>
          <w:p w14:paraId="6CAAC7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6EC34A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2BDC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3404A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1499" w:type="dxa"/>
            <w:shd w:val="clear" w:color="auto" w:fill="auto"/>
            <w:vAlign w:val="center"/>
          </w:tcPr>
          <w:p w14:paraId="746785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办公椅</w:t>
            </w:r>
          </w:p>
        </w:tc>
        <w:tc>
          <w:tcPr>
            <w:tcW w:w="5752" w:type="dxa"/>
            <w:shd w:val="clear" w:color="auto" w:fill="auto"/>
            <w:vAlign w:val="center"/>
          </w:tcPr>
          <w:p w14:paraId="42678F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可升降滑轮办公椅；网布面料、固定扶手、气压升降、自动稳压</w:t>
            </w:r>
          </w:p>
        </w:tc>
        <w:tc>
          <w:tcPr>
            <w:tcW w:w="656" w:type="dxa"/>
            <w:shd w:val="clear" w:color="auto" w:fill="auto"/>
            <w:vAlign w:val="center"/>
          </w:tcPr>
          <w:p w14:paraId="1A0A23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个</w:t>
            </w:r>
          </w:p>
        </w:tc>
        <w:tc>
          <w:tcPr>
            <w:tcW w:w="630" w:type="dxa"/>
            <w:shd w:val="clear" w:color="auto" w:fill="auto"/>
            <w:vAlign w:val="center"/>
          </w:tcPr>
          <w:p w14:paraId="12002D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r>
      <w:tr w14:paraId="4956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90FAA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1499" w:type="dxa"/>
            <w:shd w:val="clear" w:color="auto" w:fill="auto"/>
            <w:vAlign w:val="center"/>
          </w:tcPr>
          <w:p w14:paraId="78FBF5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大屏控制电脑</w:t>
            </w:r>
          </w:p>
        </w:tc>
        <w:tc>
          <w:tcPr>
            <w:tcW w:w="5752" w:type="dxa"/>
            <w:shd w:val="clear" w:color="auto" w:fill="auto"/>
            <w:vAlign w:val="center"/>
          </w:tcPr>
          <w:p w14:paraId="75068A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商务台式一体机；配置：INTEL I5处理器，内存：16G,硬盘SSD：1000G，显卡显存：4G，标配无线鼠标、键盘</w:t>
            </w:r>
          </w:p>
        </w:tc>
        <w:tc>
          <w:tcPr>
            <w:tcW w:w="656" w:type="dxa"/>
            <w:shd w:val="clear" w:color="auto" w:fill="auto"/>
            <w:vAlign w:val="center"/>
          </w:tcPr>
          <w:p w14:paraId="16F421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2EBDF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w:t>
            </w:r>
          </w:p>
        </w:tc>
      </w:tr>
      <w:tr w14:paraId="0A4A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3F233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499" w:type="dxa"/>
            <w:shd w:val="clear" w:color="auto" w:fill="auto"/>
            <w:vAlign w:val="center"/>
          </w:tcPr>
          <w:p w14:paraId="4DB49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商务打印机</w:t>
            </w:r>
          </w:p>
        </w:tc>
        <w:tc>
          <w:tcPr>
            <w:tcW w:w="5752" w:type="dxa"/>
            <w:shd w:val="clear" w:color="auto" w:fill="auto"/>
            <w:vAlign w:val="center"/>
          </w:tcPr>
          <w:p w14:paraId="245442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商务双面打印机；自动双面、最大支持幅面A4、支持无线打印、支持彩色打印、复印、扫描、传真等</w:t>
            </w:r>
          </w:p>
        </w:tc>
        <w:tc>
          <w:tcPr>
            <w:tcW w:w="656" w:type="dxa"/>
            <w:shd w:val="clear" w:color="auto" w:fill="auto"/>
            <w:vAlign w:val="center"/>
          </w:tcPr>
          <w:p w14:paraId="4F988E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2A90A6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7E7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430F5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499" w:type="dxa"/>
            <w:shd w:val="clear" w:color="auto" w:fill="auto"/>
            <w:vAlign w:val="center"/>
          </w:tcPr>
          <w:p w14:paraId="1555E9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插板</w:t>
            </w:r>
          </w:p>
        </w:tc>
        <w:tc>
          <w:tcPr>
            <w:tcW w:w="5752" w:type="dxa"/>
            <w:shd w:val="clear" w:color="auto" w:fill="auto"/>
            <w:vAlign w:val="center"/>
          </w:tcPr>
          <w:p w14:paraId="1BE893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8分位插线板；高温阻燃、含保护门或者机柜专用PDU，</w:t>
            </w:r>
          </w:p>
        </w:tc>
        <w:tc>
          <w:tcPr>
            <w:tcW w:w="656" w:type="dxa"/>
            <w:shd w:val="clear" w:color="auto" w:fill="auto"/>
            <w:vAlign w:val="center"/>
          </w:tcPr>
          <w:p w14:paraId="44770E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个</w:t>
            </w:r>
          </w:p>
        </w:tc>
        <w:tc>
          <w:tcPr>
            <w:tcW w:w="630" w:type="dxa"/>
            <w:shd w:val="clear" w:color="auto" w:fill="auto"/>
            <w:vAlign w:val="center"/>
          </w:tcPr>
          <w:p w14:paraId="2664A7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w:t>
            </w:r>
          </w:p>
        </w:tc>
      </w:tr>
      <w:tr w14:paraId="5AD0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E0BEF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499" w:type="dxa"/>
            <w:shd w:val="clear" w:color="auto" w:fill="auto"/>
            <w:vAlign w:val="center"/>
          </w:tcPr>
          <w:p w14:paraId="2AE911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音频系统</w:t>
            </w:r>
          </w:p>
        </w:tc>
        <w:tc>
          <w:tcPr>
            <w:tcW w:w="5752" w:type="dxa"/>
            <w:shd w:val="clear" w:color="auto" w:fill="auto"/>
            <w:vAlign w:val="center"/>
          </w:tcPr>
          <w:p w14:paraId="4A5521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木制箱体梯形弧面设计，延伸性良好，在低音表现醇厚稳，声音更沉稳，覆盖面积广，有效减轻箱体驻波,主喇叭：10英寸，以下要求为最低要求 </w:t>
            </w:r>
          </w:p>
          <w:p w14:paraId="3EF9D6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音柱数量：2台； 含无线会议麦克风 1对，功率放大器 1台；低 音：100磁低音喇叭 </w:t>
            </w:r>
          </w:p>
          <w:p w14:paraId="11B207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高 音：25芯号角高音喇叭 </w:t>
            </w:r>
          </w:p>
          <w:p w14:paraId="75DB9C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峰值功率：240W</w:t>
            </w:r>
          </w:p>
          <w:p w14:paraId="050371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信 噪比：88db+-3db</w:t>
            </w:r>
          </w:p>
          <w:p w14:paraId="702F68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频 响：100Hz-20KHz  </w:t>
            </w:r>
          </w:p>
          <w:p w14:paraId="65CAE3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功放支持USB/AUX播放音乐，支持MP3等音频格式文件，为您提供多种播放选择，音乐峰值功率:600W 频率响应：20HZ-20KHZ</w:t>
            </w:r>
          </w:p>
          <w:p w14:paraId="3397F5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 阻 抗：8Ω 额定电源:AC-220V/50Hz</w:t>
            </w:r>
          </w:p>
          <w:p w14:paraId="67BFDA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 信噪比:90db  输入灵敏度：音频0.70V  </w:t>
            </w:r>
          </w:p>
        </w:tc>
        <w:tc>
          <w:tcPr>
            <w:tcW w:w="656" w:type="dxa"/>
            <w:shd w:val="clear" w:color="auto" w:fill="auto"/>
            <w:vAlign w:val="center"/>
          </w:tcPr>
          <w:p w14:paraId="4621E7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1DC2F2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258D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3CF1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499" w:type="dxa"/>
            <w:shd w:val="clear" w:color="auto" w:fill="auto"/>
            <w:vAlign w:val="center"/>
          </w:tcPr>
          <w:p w14:paraId="0BCF27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网络系统</w:t>
            </w:r>
          </w:p>
        </w:tc>
        <w:tc>
          <w:tcPr>
            <w:tcW w:w="5752" w:type="dxa"/>
            <w:shd w:val="clear" w:color="auto" w:fill="auto"/>
            <w:vAlign w:val="center"/>
          </w:tcPr>
          <w:p w14:paraId="25225C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运营商（联通，电信）接入互联网企业专线为独立IP ，上行300M/s，下行500M/s</w:t>
            </w:r>
          </w:p>
        </w:tc>
        <w:tc>
          <w:tcPr>
            <w:tcW w:w="656" w:type="dxa"/>
            <w:shd w:val="clear" w:color="auto" w:fill="auto"/>
            <w:vAlign w:val="center"/>
          </w:tcPr>
          <w:p w14:paraId="324683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563AB7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5E08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10341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1499" w:type="dxa"/>
            <w:shd w:val="clear" w:color="auto" w:fill="auto"/>
            <w:vAlign w:val="center"/>
          </w:tcPr>
          <w:p w14:paraId="64F1C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视频会议系统</w:t>
            </w:r>
          </w:p>
        </w:tc>
        <w:tc>
          <w:tcPr>
            <w:tcW w:w="5752" w:type="dxa"/>
            <w:shd w:val="clear" w:color="auto" w:fill="auto"/>
            <w:vAlign w:val="center"/>
          </w:tcPr>
          <w:p w14:paraId="2A1D43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1080P高清视频， 12倍变焦，可实现远距离的特写抓拍</w:t>
            </w:r>
          </w:p>
          <w:p w14:paraId="3FAB63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支持USB 2.0即插即用免驱接入，连接简洁，可适配各类会议和视频应用程序</w:t>
            </w:r>
          </w:p>
          <w:p w14:paraId="2D1E65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HDMI主流接口，可支持主流设备的对接匹配</w:t>
            </w:r>
          </w:p>
          <w:p w14:paraId="022925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355度旋转云台，可实现近乎全景多角度的图像捕获</w:t>
            </w:r>
          </w:p>
          <w:p w14:paraId="7F8656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72.5度大广角镜头，解决小场景大视野需求</w:t>
            </w:r>
          </w:p>
          <w:p w14:paraId="5F9FEF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多功能红外遥控，搭配多功能OSD菜单，可灵活调整图像效果，适应复杂会场环境</w:t>
            </w:r>
          </w:p>
          <w:p w14:paraId="15BD0D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兼容SONY VISCA协议以及PELCO P/D协议</w:t>
            </w:r>
          </w:p>
          <w:p w14:paraId="10B38B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支持图像翻转（适用于桌面和天花板安装）</w:t>
            </w:r>
          </w:p>
        </w:tc>
        <w:tc>
          <w:tcPr>
            <w:tcW w:w="656" w:type="dxa"/>
            <w:shd w:val="clear" w:color="auto" w:fill="auto"/>
            <w:vAlign w:val="center"/>
          </w:tcPr>
          <w:p w14:paraId="52F6C4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5FD3DE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11E2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B7695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c>
          <w:tcPr>
            <w:tcW w:w="1499" w:type="dxa"/>
            <w:shd w:val="clear" w:color="auto" w:fill="auto"/>
            <w:vAlign w:val="center"/>
          </w:tcPr>
          <w:p w14:paraId="0F4A18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十人会议桌子加椅子</w:t>
            </w:r>
          </w:p>
        </w:tc>
        <w:tc>
          <w:tcPr>
            <w:tcW w:w="5752" w:type="dxa"/>
            <w:shd w:val="clear" w:color="auto" w:fill="auto"/>
            <w:vAlign w:val="center"/>
          </w:tcPr>
          <w:p w14:paraId="288DEC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10人会议实木烤漆会议桌，油漆中式会议长桌子，可10人坐:长方形长度为3000毫米,宽度在1500毫米及以上,圆形直径尺寸为2000到2500毫米左右。椅子采用高档人体工学椅可升降滑轮办公椅；网布面料、固定扶手、气压升降、自动稳压（含安装运输）</w:t>
            </w:r>
          </w:p>
        </w:tc>
        <w:tc>
          <w:tcPr>
            <w:tcW w:w="656" w:type="dxa"/>
            <w:shd w:val="clear" w:color="auto" w:fill="auto"/>
            <w:vAlign w:val="center"/>
          </w:tcPr>
          <w:p w14:paraId="67C37E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51DC7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04CA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7AB8A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2.10</w:t>
            </w:r>
          </w:p>
        </w:tc>
        <w:tc>
          <w:tcPr>
            <w:tcW w:w="1499" w:type="dxa"/>
            <w:shd w:val="clear" w:color="auto" w:fill="auto"/>
            <w:vAlign w:val="center"/>
          </w:tcPr>
          <w:p w14:paraId="1AF0E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双人会议桌</w:t>
            </w:r>
          </w:p>
        </w:tc>
        <w:tc>
          <w:tcPr>
            <w:tcW w:w="5752" w:type="dxa"/>
            <w:shd w:val="clear" w:color="auto" w:fill="auto"/>
            <w:vAlign w:val="center"/>
          </w:tcPr>
          <w:p w14:paraId="265490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长1400mm宽400mm高750mm；可折叠方便后期移动和组合，桌面为木质结构，下方为铁质桌腿（含安装运输）</w:t>
            </w:r>
          </w:p>
        </w:tc>
        <w:tc>
          <w:tcPr>
            <w:tcW w:w="656" w:type="dxa"/>
            <w:shd w:val="clear" w:color="auto" w:fill="auto"/>
            <w:vAlign w:val="center"/>
          </w:tcPr>
          <w:p w14:paraId="1529E1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02B56A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24</w:t>
            </w:r>
          </w:p>
        </w:tc>
      </w:tr>
      <w:tr w14:paraId="6E69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5A8B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w:t>
            </w:r>
          </w:p>
        </w:tc>
        <w:tc>
          <w:tcPr>
            <w:tcW w:w="1499" w:type="dxa"/>
            <w:shd w:val="clear" w:color="auto" w:fill="auto"/>
            <w:vAlign w:val="center"/>
          </w:tcPr>
          <w:p w14:paraId="64B65E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会议椅子</w:t>
            </w:r>
          </w:p>
        </w:tc>
        <w:tc>
          <w:tcPr>
            <w:tcW w:w="5752" w:type="dxa"/>
            <w:shd w:val="clear" w:color="auto" w:fill="auto"/>
            <w:vAlign w:val="center"/>
          </w:tcPr>
          <w:p w14:paraId="435766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椅子采用高档人体工学椅可升降滑轮办公椅；网布面料、固定扶手、气压升降、自动稳压 （含安装运输）</w:t>
            </w:r>
          </w:p>
        </w:tc>
        <w:tc>
          <w:tcPr>
            <w:tcW w:w="656" w:type="dxa"/>
            <w:shd w:val="clear" w:color="auto" w:fill="auto"/>
            <w:vAlign w:val="center"/>
          </w:tcPr>
          <w:p w14:paraId="0B0BC2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把</w:t>
            </w:r>
          </w:p>
        </w:tc>
        <w:tc>
          <w:tcPr>
            <w:tcW w:w="630" w:type="dxa"/>
            <w:shd w:val="clear" w:color="auto" w:fill="auto"/>
            <w:vAlign w:val="center"/>
          </w:tcPr>
          <w:p w14:paraId="5D2EFB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56</w:t>
            </w:r>
          </w:p>
        </w:tc>
      </w:tr>
      <w:tr w14:paraId="45D8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17AF6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99" w:type="dxa"/>
            <w:shd w:val="clear" w:color="auto" w:fill="auto"/>
            <w:vAlign w:val="center"/>
          </w:tcPr>
          <w:p w14:paraId="154C2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指挥中心内部装修</w:t>
            </w:r>
          </w:p>
        </w:tc>
        <w:tc>
          <w:tcPr>
            <w:tcW w:w="5752" w:type="dxa"/>
            <w:shd w:val="clear" w:color="auto" w:fill="auto"/>
            <w:vAlign w:val="center"/>
          </w:tcPr>
          <w:p w14:paraId="25B242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56" w:type="dxa"/>
            <w:shd w:val="clear" w:color="auto" w:fill="auto"/>
            <w:vAlign w:val="center"/>
          </w:tcPr>
          <w:p w14:paraId="429BC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p>
        </w:tc>
        <w:tc>
          <w:tcPr>
            <w:tcW w:w="630" w:type="dxa"/>
            <w:shd w:val="clear" w:color="auto" w:fill="auto"/>
            <w:vAlign w:val="center"/>
          </w:tcPr>
          <w:p w14:paraId="6C52F6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49AB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A9529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p>
        </w:tc>
        <w:tc>
          <w:tcPr>
            <w:tcW w:w="1499" w:type="dxa"/>
            <w:shd w:val="clear" w:color="auto" w:fill="auto"/>
            <w:vAlign w:val="center"/>
          </w:tcPr>
          <w:p w14:paraId="67668A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墙体拆除</w:t>
            </w:r>
          </w:p>
        </w:tc>
        <w:tc>
          <w:tcPr>
            <w:tcW w:w="5752" w:type="dxa"/>
            <w:shd w:val="clear" w:color="auto" w:fill="auto"/>
            <w:vAlign w:val="center"/>
          </w:tcPr>
          <w:p w14:paraId="63D505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拆除部分,拆除原装饰板材墙面，（含垃圾清运）</w:t>
            </w:r>
          </w:p>
        </w:tc>
        <w:tc>
          <w:tcPr>
            <w:tcW w:w="656" w:type="dxa"/>
            <w:shd w:val="clear" w:color="auto" w:fill="auto"/>
            <w:vAlign w:val="center"/>
          </w:tcPr>
          <w:p w14:paraId="7E3AB2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2CD02F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28.6</w:t>
            </w:r>
          </w:p>
        </w:tc>
      </w:tr>
      <w:tr w14:paraId="6AAD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606FB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tc>
        <w:tc>
          <w:tcPr>
            <w:tcW w:w="1499" w:type="dxa"/>
            <w:shd w:val="clear" w:color="auto" w:fill="auto"/>
            <w:vAlign w:val="center"/>
          </w:tcPr>
          <w:p w14:paraId="64E7D3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强电电源改造</w:t>
            </w:r>
          </w:p>
        </w:tc>
        <w:tc>
          <w:tcPr>
            <w:tcW w:w="5752" w:type="dxa"/>
            <w:shd w:val="clear" w:color="auto" w:fill="auto"/>
            <w:vAlign w:val="center"/>
          </w:tcPr>
          <w:p w14:paraId="2C9EF0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强电电源改造，室内电源插座为路采用RVV 4平方 300米,LED大屏主线采用RVV 6平方 100米，设备间电源采用双路 6平方线缆 100米（含人工材料）</w:t>
            </w:r>
          </w:p>
        </w:tc>
        <w:tc>
          <w:tcPr>
            <w:tcW w:w="656" w:type="dxa"/>
            <w:shd w:val="clear" w:color="auto" w:fill="auto"/>
            <w:vAlign w:val="center"/>
          </w:tcPr>
          <w:p w14:paraId="6882D9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7EF07B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155.7</w:t>
            </w:r>
          </w:p>
        </w:tc>
      </w:tr>
      <w:tr w14:paraId="39D0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7C40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p>
        </w:tc>
        <w:tc>
          <w:tcPr>
            <w:tcW w:w="1499" w:type="dxa"/>
            <w:shd w:val="clear" w:color="auto" w:fill="auto"/>
            <w:vAlign w:val="center"/>
          </w:tcPr>
          <w:p w14:paraId="56D782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房间吊顶</w:t>
            </w:r>
          </w:p>
        </w:tc>
        <w:tc>
          <w:tcPr>
            <w:tcW w:w="5752" w:type="dxa"/>
            <w:shd w:val="clear" w:color="auto" w:fill="auto"/>
            <w:vAlign w:val="center"/>
          </w:tcPr>
          <w:p w14:paraId="24A5DB5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吊顶部分,房间内吊顶改造，安装矿棉天花板（60mm*60mm，厚度2cm）:在安装矿棉板前必须对顶棚内的各种管线进行检查验收,并经打压试验合格后,才允许安装矿棉板。矿棉板安装时应注意:调平轻钢龙骨，保证龙骨的边框线平直;安装过程中，应注意不同开启方式矿棉板的接口，安装矿棉板时用力要轻，避免硬撬而造成接口处裂缝;（含人工材料）</w:t>
            </w:r>
          </w:p>
        </w:tc>
        <w:tc>
          <w:tcPr>
            <w:tcW w:w="656" w:type="dxa"/>
            <w:shd w:val="clear" w:color="auto" w:fill="auto"/>
            <w:vAlign w:val="center"/>
          </w:tcPr>
          <w:p w14:paraId="09DD24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03D5B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155.7</w:t>
            </w:r>
          </w:p>
        </w:tc>
      </w:tr>
      <w:tr w14:paraId="212C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307DA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p>
        </w:tc>
        <w:tc>
          <w:tcPr>
            <w:tcW w:w="1499" w:type="dxa"/>
            <w:shd w:val="clear" w:color="auto" w:fill="auto"/>
            <w:vAlign w:val="center"/>
          </w:tcPr>
          <w:p w14:paraId="2F4B0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墙体粉刷</w:t>
            </w:r>
          </w:p>
        </w:tc>
        <w:tc>
          <w:tcPr>
            <w:tcW w:w="5752" w:type="dxa"/>
            <w:shd w:val="clear" w:color="auto" w:fill="auto"/>
            <w:vAlign w:val="center"/>
          </w:tcPr>
          <w:p w14:paraId="6C4962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墙体粉刷，二遍腻子，砂纸带灯打磨，涂刷两遍乳胶漆（含人工材料）</w:t>
            </w:r>
          </w:p>
        </w:tc>
        <w:tc>
          <w:tcPr>
            <w:tcW w:w="656" w:type="dxa"/>
            <w:shd w:val="clear" w:color="auto" w:fill="auto"/>
            <w:vAlign w:val="center"/>
          </w:tcPr>
          <w:p w14:paraId="566684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3602B6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20.25</w:t>
            </w:r>
          </w:p>
        </w:tc>
      </w:tr>
      <w:tr w14:paraId="5161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40B115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1499" w:type="dxa"/>
            <w:shd w:val="clear" w:color="auto" w:fill="auto"/>
            <w:vAlign w:val="center"/>
          </w:tcPr>
          <w:p w14:paraId="648C93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地面处理</w:t>
            </w:r>
          </w:p>
        </w:tc>
        <w:tc>
          <w:tcPr>
            <w:tcW w:w="5752" w:type="dxa"/>
            <w:shd w:val="clear" w:color="auto" w:fill="auto"/>
            <w:vAlign w:val="center"/>
          </w:tcPr>
          <w:p w14:paraId="7FF821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地面处理,原有两个房间中间部分，加装水泥，大沙混合抹平，上方加装不锈钢地槽，不锈钢厚度0.05CM,长880cm*宽40cm（含人工材料）</w:t>
            </w:r>
          </w:p>
        </w:tc>
        <w:tc>
          <w:tcPr>
            <w:tcW w:w="656" w:type="dxa"/>
            <w:shd w:val="clear" w:color="auto" w:fill="auto"/>
            <w:vAlign w:val="center"/>
          </w:tcPr>
          <w:p w14:paraId="6D2E3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201499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3.2</w:t>
            </w:r>
          </w:p>
        </w:tc>
      </w:tr>
      <w:tr w14:paraId="5965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F737A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p>
        </w:tc>
        <w:tc>
          <w:tcPr>
            <w:tcW w:w="1499" w:type="dxa"/>
            <w:shd w:val="clear" w:color="auto" w:fill="auto"/>
            <w:vAlign w:val="center"/>
          </w:tcPr>
          <w:p w14:paraId="7C3980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主席台建设</w:t>
            </w:r>
          </w:p>
        </w:tc>
        <w:tc>
          <w:tcPr>
            <w:tcW w:w="5752" w:type="dxa"/>
            <w:shd w:val="clear" w:color="auto" w:fill="auto"/>
            <w:vAlign w:val="center"/>
          </w:tcPr>
          <w:p w14:paraId="44F449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主席台建设，原来基础上起18CM地台，尺寸为:700cm*240cm 内板采用厚度2CM实木板打底，上方用强化复合木地板 厚度2CM（含人工材料）</w:t>
            </w:r>
          </w:p>
        </w:tc>
        <w:tc>
          <w:tcPr>
            <w:tcW w:w="656" w:type="dxa"/>
            <w:shd w:val="clear" w:color="auto" w:fill="auto"/>
            <w:vAlign w:val="center"/>
          </w:tcPr>
          <w:p w14:paraId="6AB673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7478CD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17.2</w:t>
            </w:r>
          </w:p>
        </w:tc>
      </w:tr>
      <w:tr w14:paraId="47DE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2E599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p>
        </w:tc>
        <w:tc>
          <w:tcPr>
            <w:tcW w:w="1499" w:type="dxa"/>
            <w:shd w:val="clear" w:color="auto" w:fill="auto"/>
            <w:vAlign w:val="center"/>
          </w:tcPr>
          <w:p w14:paraId="5D4ED5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背景墙装饰</w:t>
            </w:r>
          </w:p>
        </w:tc>
        <w:tc>
          <w:tcPr>
            <w:tcW w:w="5752" w:type="dxa"/>
            <w:shd w:val="clear" w:color="auto" w:fill="auto"/>
            <w:vAlign w:val="center"/>
          </w:tcPr>
          <w:p w14:paraId="3466C5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文化墙字体用蓝色三层亚克力材质,厚度4CM，单字体大小为:35CM,打胶固定于墙面，字体为：城市建设信息化指挥中心，三门峡住房和城乡建设局；</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含人工材料</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tc>
        <w:tc>
          <w:tcPr>
            <w:tcW w:w="656" w:type="dxa"/>
            <w:shd w:val="clear" w:color="auto" w:fill="auto"/>
            <w:vAlign w:val="center"/>
          </w:tcPr>
          <w:p w14:paraId="65B0C0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48C4FB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15.8</w:t>
            </w:r>
          </w:p>
        </w:tc>
      </w:tr>
      <w:tr w14:paraId="01B1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34CAEC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c>
          <w:tcPr>
            <w:tcW w:w="1499" w:type="dxa"/>
            <w:shd w:val="clear" w:color="auto" w:fill="auto"/>
            <w:vAlign w:val="center"/>
          </w:tcPr>
          <w:p w14:paraId="67EA45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室内灯光改造</w:t>
            </w:r>
          </w:p>
        </w:tc>
        <w:tc>
          <w:tcPr>
            <w:tcW w:w="5752" w:type="dxa"/>
            <w:shd w:val="clear" w:color="auto" w:fill="auto"/>
            <w:vAlign w:val="center"/>
          </w:tcPr>
          <w:p w14:paraId="21710E2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室内灯光改造，嵌入式LED天花灯60CM*60CM集成吊顶面板灯,数量：42个，功率：36w,色温：6500k,安装方式：嵌入式</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含人工材料</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tc>
        <w:tc>
          <w:tcPr>
            <w:tcW w:w="656" w:type="dxa"/>
            <w:shd w:val="clear" w:color="auto" w:fill="auto"/>
            <w:vAlign w:val="center"/>
          </w:tcPr>
          <w:p w14:paraId="093912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个</w:t>
            </w:r>
          </w:p>
        </w:tc>
        <w:tc>
          <w:tcPr>
            <w:tcW w:w="630" w:type="dxa"/>
            <w:shd w:val="clear" w:color="auto" w:fill="auto"/>
            <w:vAlign w:val="center"/>
          </w:tcPr>
          <w:p w14:paraId="6D8425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42</w:t>
            </w:r>
          </w:p>
        </w:tc>
      </w:tr>
      <w:tr w14:paraId="6FDC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D33CD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p>
        </w:tc>
        <w:tc>
          <w:tcPr>
            <w:tcW w:w="1499" w:type="dxa"/>
            <w:shd w:val="clear" w:color="auto" w:fill="auto"/>
            <w:vAlign w:val="center"/>
          </w:tcPr>
          <w:p w14:paraId="67518B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LED大屏包边</w:t>
            </w:r>
          </w:p>
        </w:tc>
        <w:tc>
          <w:tcPr>
            <w:tcW w:w="5752" w:type="dxa"/>
            <w:shd w:val="clear" w:color="auto" w:fill="auto"/>
            <w:vAlign w:val="center"/>
          </w:tcPr>
          <w:p w14:paraId="3E6107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LED大屏周边墙面采用吸音板装饰设计，厚度与大屏保持一致，内板采用厚度2CM实木板打底，上方采用0.05CM吸音板（含人工材料）</w:t>
            </w:r>
          </w:p>
        </w:tc>
        <w:tc>
          <w:tcPr>
            <w:tcW w:w="656" w:type="dxa"/>
            <w:shd w:val="clear" w:color="auto" w:fill="auto"/>
            <w:vAlign w:val="center"/>
          </w:tcPr>
          <w:p w14:paraId="2B72A2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67D19F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0.9</w:t>
            </w:r>
          </w:p>
        </w:tc>
      </w:tr>
      <w:tr w14:paraId="353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71CF18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w:t>
            </w:r>
          </w:p>
        </w:tc>
        <w:tc>
          <w:tcPr>
            <w:tcW w:w="1499" w:type="dxa"/>
            <w:shd w:val="clear" w:color="auto" w:fill="auto"/>
            <w:vAlign w:val="center"/>
          </w:tcPr>
          <w:p w14:paraId="30E50E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设备控制间建设</w:t>
            </w:r>
          </w:p>
        </w:tc>
        <w:tc>
          <w:tcPr>
            <w:tcW w:w="5752" w:type="dxa"/>
            <w:shd w:val="clear" w:color="auto" w:fill="auto"/>
            <w:vAlign w:val="center"/>
          </w:tcPr>
          <w:p w14:paraId="5E78A8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1：地面水泥砂浆找平；2：板下防尘，地专用环保防尘漆；2遍（含人工材料）</w:t>
            </w:r>
          </w:p>
        </w:tc>
        <w:tc>
          <w:tcPr>
            <w:tcW w:w="656" w:type="dxa"/>
            <w:shd w:val="clear" w:color="auto" w:fill="auto"/>
            <w:vAlign w:val="center"/>
          </w:tcPr>
          <w:p w14:paraId="55EFA8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661B02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8.8</w:t>
            </w:r>
          </w:p>
        </w:tc>
      </w:tr>
      <w:tr w14:paraId="74E7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52CF20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w:t>
            </w:r>
          </w:p>
        </w:tc>
        <w:tc>
          <w:tcPr>
            <w:tcW w:w="1499" w:type="dxa"/>
            <w:shd w:val="clear" w:color="auto" w:fill="auto"/>
            <w:vAlign w:val="center"/>
          </w:tcPr>
          <w:p w14:paraId="6F1BF7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设备间防静电地板</w:t>
            </w:r>
          </w:p>
        </w:tc>
        <w:tc>
          <w:tcPr>
            <w:tcW w:w="5752" w:type="dxa"/>
            <w:shd w:val="clear" w:color="auto" w:fill="auto"/>
            <w:vAlign w:val="center"/>
          </w:tcPr>
          <w:p w14:paraId="1EF3A8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1：600*600*35mm全钢防静电地板，300mm高,含支腿横担，含台阶踏步，防静电地板制作；（含人工材料）</w:t>
            </w:r>
          </w:p>
        </w:tc>
        <w:tc>
          <w:tcPr>
            <w:tcW w:w="656" w:type="dxa"/>
            <w:shd w:val="clear" w:color="auto" w:fill="auto"/>
            <w:vAlign w:val="center"/>
          </w:tcPr>
          <w:p w14:paraId="04876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平方</w:t>
            </w:r>
          </w:p>
        </w:tc>
        <w:tc>
          <w:tcPr>
            <w:tcW w:w="630" w:type="dxa"/>
            <w:shd w:val="clear" w:color="auto" w:fill="auto"/>
            <w:vAlign w:val="center"/>
          </w:tcPr>
          <w:p w14:paraId="599645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8.8</w:t>
            </w:r>
          </w:p>
        </w:tc>
      </w:tr>
      <w:tr w14:paraId="2160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659362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3.12</w:t>
            </w:r>
          </w:p>
        </w:tc>
        <w:tc>
          <w:tcPr>
            <w:tcW w:w="1499" w:type="dxa"/>
            <w:shd w:val="clear" w:color="auto" w:fill="auto"/>
            <w:vAlign w:val="center"/>
          </w:tcPr>
          <w:p w14:paraId="6243B4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服务器机柜</w:t>
            </w:r>
          </w:p>
        </w:tc>
        <w:tc>
          <w:tcPr>
            <w:tcW w:w="5752" w:type="dxa"/>
            <w:shd w:val="clear" w:color="auto" w:fill="auto"/>
            <w:vAlign w:val="center"/>
          </w:tcPr>
          <w:p w14:paraId="5A6A26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国标服务器机柜，36U黑色，600*1200*1200mm，8位10APDU插排一个，固定板2组，风扇部件2组，4只两寸重型脚轮，M6方螺母钉20套</w:t>
            </w:r>
          </w:p>
        </w:tc>
        <w:tc>
          <w:tcPr>
            <w:tcW w:w="656" w:type="dxa"/>
            <w:shd w:val="clear" w:color="auto" w:fill="auto"/>
            <w:vAlign w:val="center"/>
          </w:tcPr>
          <w:p w14:paraId="35448B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21ADBE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22C2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58121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w:t>
            </w:r>
          </w:p>
        </w:tc>
        <w:tc>
          <w:tcPr>
            <w:tcW w:w="1499" w:type="dxa"/>
            <w:shd w:val="clear" w:color="auto" w:fill="auto"/>
            <w:vAlign w:val="center"/>
          </w:tcPr>
          <w:p w14:paraId="45F184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网络机柜</w:t>
            </w:r>
          </w:p>
        </w:tc>
        <w:tc>
          <w:tcPr>
            <w:tcW w:w="5752" w:type="dxa"/>
            <w:shd w:val="clear" w:color="auto" w:fill="auto"/>
            <w:vAlign w:val="center"/>
          </w:tcPr>
          <w:p w14:paraId="5D689D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国标网络机柜， 36U黑色 600*600*1200mm，8位10APDU插排一个，固定板2组，风扇部件2组，4只两寸重型脚轮，M6方螺母钉20套</w:t>
            </w:r>
          </w:p>
        </w:tc>
        <w:tc>
          <w:tcPr>
            <w:tcW w:w="656" w:type="dxa"/>
            <w:shd w:val="clear" w:color="auto" w:fill="auto"/>
            <w:vAlign w:val="center"/>
          </w:tcPr>
          <w:p w14:paraId="1174A0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42506F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3711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197A1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w:t>
            </w:r>
          </w:p>
        </w:tc>
        <w:tc>
          <w:tcPr>
            <w:tcW w:w="1499" w:type="dxa"/>
            <w:shd w:val="clear" w:color="auto" w:fill="auto"/>
            <w:vAlign w:val="center"/>
          </w:tcPr>
          <w:p w14:paraId="7BCBE2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USP电源</w:t>
            </w:r>
          </w:p>
        </w:tc>
        <w:tc>
          <w:tcPr>
            <w:tcW w:w="5752" w:type="dxa"/>
            <w:shd w:val="clear" w:color="auto" w:fill="auto"/>
            <w:vAlign w:val="center"/>
          </w:tcPr>
          <w:p w14:paraId="57C29C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容量:3000VA,功率：2700W，输入电压范围:115~300VAC,输入连接:国标,频率范围 40Hz-70Hz,输出电压 220VAC,输入连接:GB 10A*3+ 输出端子,显示:LCD+LED可数字化显示负载/电量/输入/输出参数，文字和图形化显示运行模式,</w:t>
            </w:r>
          </w:p>
        </w:tc>
        <w:tc>
          <w:tcPr>
            <w:tcW w:w="656" w:type="dxa"/>
            <w:shd w:val="clear" w:color="auto" w:fill="auto"/>
            <w:vAlign w:val="center"/>
          </w:tcPr>
          <w:p w14:paraId="600AE0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1C5655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2181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A6AFD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3.15</w:t>
            </w:r>
          </w:p>
        </w:tc>
        <w:tc>
          <w:tcPr>
            <w:tcW w:w="1499" w:type="dxa"/>
            <w:shd w:val="clear" w:color="auto" w:fill="auto"/>
            <w:vAlign w:val="center"/>
          </w:tcPr>
          <w:p w14:paraId="658697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路由器</w:t>
            </w:r>
          </w:p>
        </w:tc>
        <w:tc>
          <w:tcPr>
            <w:tcW w:w="5752" w:type="dxa"/>
            <w:shd w:val="clear" w:color="auto" w:fill="auto"/>
            <w:vAlign w:val="center"/>
          </w:tcPr>
          <w:p w14:paraId="778023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全千兆企业级路由器，内置防火墙，支持VPN,用户组织管理，身份认证管理，远程集中管理，多线路接入，关键业务保障，流量控制，智能流控，流量监控，防火墙，可视化VPN</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IPSEC、SSL</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，VPN加速，URL过滤/日志，推荐带机量100人，，吞吐量：200Mbps，适用带宽：1000Mbps</w:t>
            </w:r>
          </w:p>
        </w:tc>
        <w:tc>
          <w:tcPr>
            <w:tcW w:w="656" w:type="dxa"/>
            <w:shd w:val="clear" w:color="auto" w:fill="auto"/>
            <w:vAlign w:val="center"/>
          </w:tcPr>
          <w:p w14:paraId="09EBAB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311C30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1318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0F0E32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3.16</w:t>
            </w:r>
          </w:p>
        </w:tc>
        <w:tc>
          <w:tcPr>
            <w:tcW w:w="1499" w:type="dxa"/>
            <w:shd w:val="clear" w:color="auto" w:fill="auto"/>
            <w:vAlign w:val="center"/>
          </w:tcPr>
          <w:p w14:paraId="2EAD9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核心交换机</w:t>
            </w:r>
          </w:p>
        </w:tc>
        <w:tc>
          <w:tcPr>
            <w:tcW w:w="5752" w:type="dxa"/>
            <w:shd w:val="clear" w:color="auto" w:fill="auto"/>
            <w:vAlign w:val="center"/>
          </w:tcPr>
          <w:p w14:paraId="53F093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三层全兆以太网核心交换机，24个10/100/1000BASE-T以太网端口，支持VLAN,背板带宽：336Gbps/3.36Tbps，安全管理 ：用户分级管理和口令保护， 支持智能堆叠iStack，支持虚拟电缆检测</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Virtual Cable Test</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，支持Telnet远程配置、维护，支持SNMPv1/v2c/v3，支持RMON，支持eSight网管系统、支持WEB网管特性，支持HTTPS，支持LLDP/LLDP-MED</w:t>
            </w:r>
          </w:p>
        </w:tc>
        <w:tc>
          <w:tcPr>
            <w:tcW w:w="656" w:type="dxa"/>
            <w:shd w:val="clear" w:color="auto" w:fill="auto"/>
            <w:vAlign w:val="center"/>
          </w:tcPr>
          <w:p w14:paraId="4F4ECD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台</w:t>
            </w:r>
          </w:p>
        </w:tc>
        <w:tc>
          <w:tcPr>
            <w:tcW w:w="630" w:type="dxa"/>
            <w:shd w:val="clear" w:color="auto" w:fill="auto"/>
            <w:vAlign w:val="center"/>
          </w:tcPr>
          <w:p w14:paraId="1D3EF3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r w14:paraId="23EF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2" w:type="dxa"/>
            <w:shd w:val="clear" w:color="auto" w:fill="auto"/>
            <w:vAlign w:val="center"/>
          </w:tcPr>
          <w:p w14:paraId="27895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3.17</w:t>
            </w:r>
          </w:p>
        </w:tc>
        <w:tc>
          <w:tcPr>
            <w:tcW w:w="1499" w:type="dxa"/>
            <w:shd w:val="clear" w:color="auto" w:fill="auto"/>
            <w:vAlign w:val="center"/>
          </w:tcPr>
          <w:p w14:paraId="5A9B3C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设备控制间电源控制箱</w:t>
            </w:r>
          </w:p>
        </w:tc>
        <w:tc>
          <w:tcPr>
            <w:tcW w:w="5752" w:type="dxa"/>
            <w:shd w:val="clear" w:color="auto" w:fill="auto"/>
            <w:vAlign w:val="center"/>
          </w:tcPr>
          <w:p w14:paraId="105F665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1：配电箱/配电柜含1个160A/3P空开、1个125A/3P， 4个32/1P空开、零线排、接地线；2：接地铜排30*3mm紫铜带；（含人工材料）</w:t>
            </w:r>
          </w:p>
        </w:tc>
        <w:tc>
          <w:tcPr>
            <w:tcW w:w="656" w:type="dxa"/>
            <w:shd w:val="clear" w:color="auto" w:fill="auto"/>
            <w:vAlign w:val="center"/>
          </w:tcPr>
          <w:p w14:paraId="36E58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套</w:t>
            </w:r>
          </w:p>
        </w:tc>
        <w:tc>
          <w:tcPr>
            <w:tcW w:w="630" w:type="dxa"/>
            <w:shd w:val="clear" w:color="auto" w:fill="auto"/>
            <w:vAlign w:val="center"/>
          </w:tcPr>
          <w:p w14:paraId="1F6940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w:t>
            </w:r>
          </w:p>
        </w:tc>
      </w:tr>
    </w:tbl>
    <w:p w14:paraId="3E8C7500">
      <w:pPr>
        <w:bidi w:val="0"/>
        <w:rPr>
          <w:rFonts w:hint="eastAsia"/>
          <w:highlight w:val="none"/>
          <w:lang w:val="en-US" w:eastAsia="zh-CN"/>
        </w:rPr>
      </w:pPr>
    </w:p>
    <w:p w14:paraId="06248843">
      <w:pPr>
        <w:keepNext w:val="0"/>
        <w:keepLines w:val="0"/>
        <w:widowControl w:val="0"/>
        <w:suppressLineNumbers w:val="0"/>
        <w:kinsoku/>
        <w:wordWrap/>
        <w:overflowPunct/>
        <w:bidi w:val="0"/>
        <w:spacing w:before="0" w:beforeAutospacing="0" w:after="0" w:afterAutospacing="0" w:line="360" w:lineRule="auto"/>
        <w:ind w:left="0" w:right="0"/>
        <w:jc w:val="both"/>
        <w:outlineLvl w:val="1"/>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三、服务要求</w:t>
      </w:r>
    </w:p>
    <w:p w14:paraId="0CD94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sz w:val="24"/>
          <w:szCs w:val="24"/>
          <w:highlight w:val="none"/>
        </w:rPr>
      </w:pPr>
      <w:r>
        <w:rPr>
          <w:rFonts w:hint="eastAsia"/>
          <w:sz w:val="24"/>
          <w:szCs w:val="32"/>
          <w:highlight w:val="none"/>
        </w:rPr>
        <w:t>为深入贯彻习近平书记关于城市内涝治理和防汛救灾工作重要指示精神，落实《河南省住房和城乡建设厅关于印发河南省城市排水防涝能力提升行动方案的通知》（豫建城建〔2022〕5号），对标国内先进地区和国家、省最新要求，</w:t>
      </w:r>
      <w:r>
        <w:rPr>
          <w:sz w:val="24"/>
          <w:szCs w:val="32"/>
          <w:highlight w:val="none"/>
        </w:rPr>
        <w:t>加快推进</w:t>
      </w:r>
      <w:r>
        <w:rPr>
          <w:rFonts w:hint="eastAsia"/>
          <w:sz w:val="24"/>
          <w:szCs w:val="32"/>
          <w:highlight w:val="none"/>
        </w:rPr>
        <w:t>三门峡市</w:t>
      </w:r>
      <w:r>
        <w:rPr>
          <w:sz w:val="24"/>
          <w:szCs w:val="32"/>
          <w:highlight w:val="none"/>
        </w:rPr>
        <w:t>城市排水防涝设施和应急管理能力建设，全面提升城市排水防涝能力，结合</w:t>
      </w:r>
      <w:r>
        <w:rPr>
          <w:rFonts w:hint="eastAsia"/>
          <w:sz w:val="24"/>
          <w:szCs w:val="32"/>
          <w:highlight w:val="none"/>
        </w:rPr>
        <w:t>我市</w:t>
      </w:r>
      <w:r>
        <w:rPr>
          <w:sz w:val="24"/>
          <w:szCs w:val="32"/>
          <w:highlight w:val="none"/>
        </w:rPr>
        <w:t>实际</w:t>
      </w:r>
      <w:r>
        <w:rPr>
          <w:rFonts w:hint="eastAsia"/>
          <w:sz w:val="24"/>
          <w:szCs w:val="32"/>
          <w:highlight w:val="none"/>
        </w:rPr>
        <w:t>情况，进行三门峡市城区排水管网普查检测及GIS系统建设。</w:t>
      </w:r>
    </w:p>
    <w:p w14:paraId="4A785A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三门峡市城区排水管网普查检测及GIS系统建设项目一标段：</w:t>
      </w:r>
    </w:p>
    <w:p w14:paraId="2CAFFEA6">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建设目标</w:t>
      </w:r>
    </w:p>
    <w:p w14:paraId="4BDBD7A7">
      <w:pPr>
        <w:numPr>
          <w:ilvl w:val="0"/>
          <w:numId w:val="0"/>
        </w:numPr>
        <w:spacing w:line="360" w:lineRule="auto"/>
        <w:ind w:firstLine="480" w:firstLineChars="200"/>
        <w:rPr>
          <w:rFonts w:hint="eastAsia" w:eastAsia="宋体"/>
          <w:sz w:val="24"/>
          <w:szCs w:val="32"/>
          <w:highlight w:val="none"/>
          <w:lang w:eastAsia="zh-CN"/>
        </w:rPr>
      </w:pPr>
      <w:r>
        <w:rPr>
          <w:rFonts w:hint="eastAsia"/>
          <w:sz w:val="24"/>
          <w:szCs w:val="32"/>
          <w:highlight w:val="none"/>
        </w:rPr>
        <w:t>通过对全市建成区范围的市政排水管网进行</w:t>
      </w:r>
      <w:r>
        <w:rPr>
          <w:rFonts w:hint="eastAsia"/>
          <w:sz w:val="24"/>
          <w:szCs w:val="32"/>
          <w:highlight w:val="none"/>
          <w:lang w:val="en-US" w:eastAsia="zh-CN"/>
        </w:rPr>
        <w:t>排查</w:t>
      </w:r>
      <w:r>
        <w:rPr>
          <w:rFonts w:hint="eastAsia"/>
          <w:sz w:val="24"/>
          <w:szCs w:val="32"/>
          <w:highlight w:val="none"/>
        </w:rPr>
        <w:t>检测，掌握排水管网的类别、名称、位置、管径、埋深、建设年代、长度、管材、流向、连接方式、高程以及检查井、闸门井（包含井盖信息、坐标、地面高程、井底埋深、井室规格）等基本数据、</w:t>
      </w:r>
      <w:r>
        <w:rPr>
          <w:rFonts w:hint="eastAsia"/>
          <w:sz w:val="24"/>
          <w:szCs w:val="32"/>
          <w:highlight w:val="none"/>
          <w:lang w:val="en-US" w:eastAsia="zh-CN"/>
        </w:rPr>
        <w:t>井盖、</w:t>
      </w:r>
      <w:r>
        <w:rPr>
          <w:rFonts w:hint="eastAsia"/>
          <w:sz w:val="24"/>
          <w:szCs w:val="32"/>
          <w:highlight w:val="none"/>
        </w:rPr>
        <w:t>井内照片及井边环境照片等数据，调查排水户、排放口、污水处理厂等信息，全面排查排水管网错接混接及用户接入情况，全面掌握排水管网健康状况及运行情况，</w:t>
      </w:r>
      <w:r>
        <w:rPr>
          <w:rFonts w:hint="eastAsia"/>
          <w:sz w:val="24"/>
          <w:szCs w:val="32"/>
          <w:highlight w:val="none"/>
          <w:lang w:val="en-US" w:eastAsia="zh-CN"/>
        </w:rPr>
        <w:t>对管线进行检测，</w:t>
      </w:r>
      <w:r>
        <w:rPr>
          <w:rFonts w:hint="eastAsia"/>
          <w:sz w:val="24"/>
          <w:szCs w:val="32"/>
          <w:highlight w:val="none"/>
        </w:rPr>
        <w:t>全面排查排水管线隐患、</w:t>
      </w:r>
      <w:r>
        <w:rPr>
          <w:rFonts w:hint="eastAsia"/>
          <w:sz w:val="24"/>
          <w:szCs w:val="32"/>
          <w:highlight w:val="none"/>
          <w:lang w:val="en-US" w:eastAsia="zh-CN"/>
        </w:rPr>
        <w:t>建立排水系统模型</w:t>
      </w:r>
      <w:r>
        <w:rPr>
          <w:rFonts w:hint="eastAsia"/>
          <w:sz w:val="24"/>
          <w:szCs w:val="32"/>
          <w:highlight w:val="none"/>
        </w:rPr>
        <w:t>，</w:t>
      </w:r>
      <w:r>
        <w:rPr>
          <w:rFonts w:hint="eastAsia"/>
          <w:sz w:val="24"/>
          <w:szCs w:val="24"/>
          <w:highlight w:val="none"/>
          <w:lang w:val="en-US" w:eastAsia="zh-CN"/>
        </w:rPr>
        <w:t>建立市政排水管网管理系统（GIS），</w:t>
      </w:r>
      <w:r>
        <w:rPr>
          <w:rFonts w:hint="eastAsia"/>
          <w:sz w:val="24"/>
          <w:szCs w:val="32"/>
          <w:highlight w:val="none"/>
        </w:rPr>
        <w:t>实现排水管网账册化管理，为管道改造提供依据</w:t>
      </w:r>
      <w:r>
        <w:rPr>
          <w:rFonts w:hint="eastAsia"/>
          <w:sz w:val="24"/>
          <w:szCs w:val="32"/>
          <w:highlight w:val="none"/>
          <w:lang w:eastAsia="zh-CN"/>
        </w:rPr>
        <w:t>。</w:t>
      </w:r>
    </w:p>
    <w:p w14:paraId="7706EE1F">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执行技术规范及主要技术指标</w:t>
      </w:r>
    </w:p>
    <w:p w14:paraId="3CC99FD2">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w:t>
      </w:r>
      <w:r>
        <w:rPr>
          <w:rFonts w:hint="eastAsia" w:ascii="宋体" w:hAnsi="宋体" w:eastAsia="宋体" w:cs="宋体"/>
          <w:sz w:val="24"/>
          <w:szCs w:val="24"/>
          <w:highlight w:val="none"/>
          <w:lang w:val="en-US" w:eastAsia="zh-CN"/>
        </w:rPr>
        <w:t>执行技术规范</w:t>
      </w:r>
    </w:p>
    <w:p w14:paraId="686DE245">
      <w:pPr>
        <w:pStyle w:val="49"/>
        <w:numPr>
          <w:ilvl w:val="0"/>
          <w:numId w:val="0"/>
        </w:numPr>
        <w:spacing w:line="360" w:lineRule="auto"/>
        <w:ind w:left="240" w:leftChars="0" w:firstLine="240" w:firstLineChars="0"/>
        <w:rPr>
          <w:sz w:val="24"/>
          <w:szCs w:val="32"/>
          <w:highlight w:val="none"/>
        </w:rPr>
      </w:pPr>
      <w:r>
        <w:rPr>
          <w:rFonts w:hint="eastAsia"/>
          <w:sz w:val="24"/>
          <w:szCs w:val="32"/>
          <w:highlight w:val="none"/>
          <w:lang w:eastAsia="zh-CN"/>
        </w:rPr>
        <w:t>（</w:t>
      </w:r>
      <w:r>
        <w:rPr>
          <w:rFonts w:hint="eastAsia"/>
          <w:sz w:val="24"/>
          <w:szCs w:val="32"/>
          <w:highlight w:val="none"/>
          <w:lang w:val="en-US" w:eastAsia="zh-CN"/>
        </w:rPr>
        <w:t>1</w:t>
      </w:r>
      <w:r>
        <w:rPr>
          <w:rFonts w:hint="eastAsia"/>
          <w:sz w:val="24"/>
          <w:szCs w:val="32"/>
          <w:highlight w:val="none"/>
          <w:lang w:eastAsia="zh-CN"/>
        </w:rPr>
        <w:t>）</w:t>
      </w:r>
      <w:r>
        <w:rPr>
          <w:rFonts w:hint="eastAsia"/>
          <w:sz w:val="24"/>
          <w:szCs w:val="32"/>
          <w:highlight w:val="none"/>
        </w:rPr>
        <w:t>《城市地下管线探测技术规程》CJJ61-2017；</w:t>
      </w:r>
    </w:p>
    <w:p w14:paraId="1F6A38D1">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（2）</w:t>
      </w:r>
      <w:r>
        <w:rPr>
          <w:rFonts w:hint="eastAsia"/>
          <w:sz w:val="24"/>
          <w:szCs w:val="32"/>
          <w:highlight w:val="none"/>
        </w:rPr>
        <w:t>《城市测量规范》CJJ/T8-2011；</w:t>
      </w:r>
    </w:p>
    <w:p w14:paraId="28001B6A">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（3）</w:t>
      </w:r>
      <w:r>
        <w:rPr>
          <w:rFonts w:hint="eastAsia"/>
          <w:sz w:val="24"/>
          <w:szCs w:val="32"/>
          <w:highlight w:val="none"/>
        </w:rPr>
        <w:t>《全球定位系统（GPS</w:t>
      </w:r>
      <w:r>
        <w:rPr>
          <w:sz w:val="24"/>
          <w:szCs w:val="32"/>
          <w:highlight w:val="none"/>
        </w:rPr>
        <w:t>）</w:t>
      </w:r>
      <w:r>
        <w:rPr>
          <w:rFonts w:hint="eastAsia"/>
          <w:sz w:val="24"/>
          <w:szCs w:val="32"/>
          <w:highlight w:val="none"/>
        </w:rPr>
        <w:t>测量规范》GB/T18314-20</w:t>
      </w:r>
      <w:r>
        <w:rPr>
          <w:sz w:val="24"/>
          <w:szCs w:val="32"/>
          <w:highlight w:val="none"/>
        </w:rPr>
        <w:t>09</w:t>
      </w:r>
      <w:r>
        <w:rPr>
          <w:rFonts w:hint="eastAsia"/>
          <w:sz w:val="24"/>
          <w:szCs w:val="32"/>
          <w:highlight w:val="none"/>
        </w:rPr>
        <w:t>；</w:t>
      </w:r>
    </w:p>
    <w:p w14:paraId="52C7B8C1">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（4）</w:t>
      </w:r>
      <w:r>
        <w:rPr>
          <w:rFonts w:hint="eastAsia"/>
          <w:sz w:val="24"/>
          <w:szCs w:val="32"/>
          <w:highlight w:val="none"/>
        </w:rPr>
        <w:t>《</w:t>
      </w:r>
      <w:r>
        <w:rPr>
          <w:sz w:val="24"/>
          <w:szCs w:val="32"/>
          <w:highlight w:val="none"/>
        </w:rPr>
        <w:t>卫星定位城市测量技术规范》CJJ/T73-2010；</w:t>
      </w:r>
    </w:p>
    <w:p w14:paraId="45B8942E">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（5）</w:t>
      </w:r>
      <w:r>
        <w:rPr>
          <w:rFonts w:hint="eastAsia"/>
          <w:sz w:val="24"/>
          <w:szCs w:val="32"/>
          <w:highlight w:val="none"/>
        </w:rPr>
        <w:t>《数字测绘产品检查验收规定和质量评定》GB/T18316-200</w:t>
      </w:r>
      <w:r>
        <w:rPr>
          <w:sz w:val="24"/>
          <w:szCs w:val="32"/>
          <w:highlight w:val="none"/>
        </w:rPr>
        <w:t>8</w:t>
      </w:r>
      <w:r>
        <w:rPr>
          <w:rFonts w:hint="eastAsia"/>
          <w:sz w:val="24"/>
          <w:szCs w:val="32"/>
          <w:highlight w:val="none"/>
        </w:rPr>
        <w:t>；</w:t>
      </w:r>
    </w:p>
    <w:p w14:paraId="4E0E8791">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（6）</w:t>
      </w:r>
      <w:r>
        <w:rPr>
          <w:rFonts w:hint="eastAsia"/>
          <w:sz w:val="24"/>
          <w:szCs w:val="32"/>
          <w:highlight w:val="none"/>
        </w:rPr>
        <w:t>《城镇排水管道检测与评估技术规程》C</w:t>
      </w:r>
      <w:r>
        <w:rPr>
          <w:sz w:val="24"/>
          <w:szCs w:val="32"/>
          <w:highlight w:val="none"/>
        </w:rPr>
        <w:t>JJ181-20</w:t>
      </w:r>
      <w:r>
        <w:rPr>
          <w:rFonts w:hint="eastAsia"/>
          <w:sz w:val="24"/>
          <w:szCs w:val="32"/>
          <w:highlight w:val="none"/>
        </w:rPr>
        <w:t>21；</w:t>
      </w:r>
    </w:p>
    <w:p w14:paraId="54853EA2">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（7）</w:t>
      </w:r>
      <w:r>
        <w:rPr>
          <w:rFonts w:hint="eastAsia"/>
          <w:sz w:val="24"/>
          <w:szCs w:val="32"/>
          <w:highlight w:val="none"/>
        </w:rPr>
        <w:t>《</w:t>
      </w:r>
      <w:r>
        <w:rPr>
          <w:sz w:val="24"/>
          <w:szCs w:val="32"/>
          <w:highlight w:val="none"/>
        </w:rPr>
        <w:t>城镇污水水质标准检验方法》CJ/T51-2018；</w:t>
      </w:r>
    </w:p>
    <w:p w14:paraId="6D1A6799">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（8）</w:t>
      </w:r>
      <w:r>
        <w:rPr>
          <w:rFonts w:hint="eastAsia"/>
          <w:sz w:val="24"/>
          <w:szCs w:val="32"/>
          <w:highlight w:val="none"/>
        </w:rPr>
        <w:t>《城镇排水管道维护安全技术规程》CJJ6-20</w:t>
      </w:r>
      <w:r>
        <w:rPr>
          <w:sz w:val="24"/>
          <w:szCs w:val="32"/>
          <w:highlight w:val="none"/>
        </w:rPr>
        <w:t>09</w:t>
      </w:r>
      <w:r>
        <w:rPr>
          <w:rFonts w:hint="eastAsia"/>
          <w:sz w:val="24"/>
          <w:szCs w:val="32"/>
          <w:highlight w:val="none"/>
        </w:rPr>
        <w:t>；</w:t>
      </w:r>
    </w:p>
    <w:p w14:paraId="2BE294CC">
      <w:pPr>
        <w:pStyle w:val="49"/>
        <w:numPr>
          <w:ilvl w:val="0"/>
          <w:numId w:val="0"/>
        </w:numPr>
        <w:spacing w:line="360" w:lineRule="auto"/>
        <w:ind w:left="240" w:leftChars="0" w:firstLine="240" w:firstLineChars="0"/>
        <w:rPr>
          <w:sz w:val="24"/>
          <w:szCs w:val="32"/>
          <w:highlight w:val="none"/>
        </w:rPr>
      </w:pPr>
      <w:r>
        <w:rPr>
          <w:rFonts w:hint="eastAsia" w:cstheme="minorBidi"/>
          <w:kern w:val="2"/>
          <w:sz w:val="24"/>
          <w:szCs w:val="32"/>
          <w:highlight w:val="none"/>
          <w:lang w:val="en-US" w:eastAsia="zh-CN" w:bidi="ar-SA"/>
        </w:rPr>
        <w:t>（9）</w:t>
      </w:r>
      <w:r>
        <w:rPr>
          <w:rFonts w:hint="eastAsia"/>
          <w:sz w:val="24"/>
          <w:szCs w:val="32"/>
          <w:highlight w:val="none"/>
        </w:rPr>
        <w:t>《城镇排水管渠与泵站维护、运行和安全技术规程》（CJJ68-2016）；</w:t>
      </w:r>
    </w:p>
    <w:p w14:paraId="7F0F39B1">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w:t>
      </w:r>
      <w:r>
        <w:rPr>
          <w:rFonts w:hint="eastAsia" w:ascii="宋体" w:hAnsi="宋体" w:eastAsia="宋体" w:cs="宋体"/>
          <w:sz w:val="24"/>
          <w:szCs w:val="24"/>
          <w:highlight w:val="none"/>
          <w:lang w:val="en-US" w:eastAsia="zh-CN"/>
        </w:rPr>
        <w:t>主要技术指标</w:t>
      </w:r>
    </w:p>
    <w:p w14:paraId="2558C779">
      <w:pPr>
        <w:keepNext w:val="0"/>
        <w:keepLines w:val="0"/>
        <w:pageBreakBefore w:val="0"/>
        <w:widowControl/>
        <w:numPr>
          <w:ilvl w:val="2"/>
          <w:numId w:val="0"/>
        </w:numPr>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default" w:ascii="宋体" w:hAnsi="宋体" w:eastAsia="宋体" w:cs="宋体"/>
          <w:b/>
          <w:bCs/>
          <w:color w:val="000000"/>
          <w:kern w:val="0"/>
          <w:sz w:val="24"/>
          <w:szCs w:val="24"/>
          <w:highlight w:val="none"/>
          <w:lang w:val="en-US" w:eastAsia="zh-CN" w:bidi="ar"/>
        </w:rPr>
        <w:t>2.2.1</w:t>
      </w:r>
      <w:r>
        <w:rPr>
          <w:rFonts w:hint="eastAsia" w:ascii="宋体" w:hAnsi="宋体" w:eastAsia="宋体" w:cs="宋体"/>
          <w:b/>
          <w:bCs/>
          <w:color w:val="000000"/>
          <w:kern w:val="0"/>
          <w:sz w:val="24"/>
          <w:szCs w:val="24"/>
          <w:highlight w:val="none"/>
          <w:lang w:val="en-US" w:eastAsia="zh-CN" w:bidi="ar"/>
        </w:rPr>
        <w:t>平面和高程基准</w:t>
      </w:r>
    </w:p>
    <w:p w14:paraId="75FAC4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（1）平面系统：采用 CGCS2000 坐标基准； </w:t>
      </w:r>
    </w:p>
    <w:p w14:paraId="5F6FEC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（2）高程系统：1985 国家高程基准。</w:t>
      </w:r>
    </w:p>
    <w:p w14:paraId="1CDFD92C">
      <w:pPr>
        <w:keepNext w:val="0"/>
        <w:keepLines w:val="0"/>
        <w:pageBreakBefore w:val="0"/>
        <w:widowControl/>
        <w:numPr>
          <w:ilvl w:val="2"/>
          <w:numId w:val="0"/>
        </w:numPr>
        <w:suppressLineNumbers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default" w:ascii="宋体" w:hAnsi="宋体" w:eastAsia="宋体" w:cs="宋体"/>
          <w:b/>
          <w:bCs/>
          <w:color w:val="000000"/>
          <w:kern w:val="0"/>
          <w:sz w:val="24"/>
          <w:szCs w:val="24"/>
          <w:highlight w:val="none"/>
          <w:lang w:val="en-US" w:eastAsia="zh-CN" w:bidi="ar"/>
        </w:rPr>
        <w:t>2.2.2</w:t>
      </w:r>
      <w:r>
        <w:rPr>
          <w:rFonts w:hint="eastAsia" w:ascii="宋体" w:hAnsi="宋体" w:eastAsia="宋体" w:cs="宋体"/>
          <w:b/>
          <w:bCs/>
          <w:color w:val="000000"/>
          <w:kern w:val="0"/>
          <w:sz w:val="24"/>
          <w:szCs w:val="24"/>
          <w:highlight w:val="none"/>
          <w:lang w:val="en-US" w:eastAsia="zh-CN" w:bidi="ar"/>
        </w:rPr>
        <w:t>管线探测精度指标</w:t>
      </w:r>
    </w:p>
    <w:p w14:paraId="160305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（1）明显管线点埋深量测中误差不应大于 25mm； </w:t>
      </w:r>
    </w:p>
    <w:p w14:paraId="1AE82F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（2）隐蔽管线点平面位置探查中误差和埋深探查中误差分别不应大于 0.05h 和 0.075h,其中 h 为管线中心埋深，单位为毫米，当 h&lt;1000mm 时以 1000mm 代入计算； </w:t>
      </w:r>
    </w:p>
    <w:p w14:paraId="061109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 xml:space="preserve">（3）地下管线点的平面位置测量中误差不应大于 50mm （相对于该管线点起算点），高程测量中误差不应大于30mm（相对于该管线点起算点）。 </w:t>
      </w:r>
    </w:p>
    <w:p w14:paraId="44C3D5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ascii="宋体" w:hAnsi="宋体" w:eastAsia="宋体" w:cs="宋体"/>
          <w:color w:val="000000"/>
          <w:kern w:val="0"/>
          <w:sz w:val="24"/>
          <w:szCs w:val="24"/>
          <w:highlight w:val="none"/>
          <w:lang w:val="en-US" w:eastAsia="zh-CN" w:bidi="ar"/>
        </w:rPr>
        <w:t>（4）地下管线与邻近的地面建筑物、构筑物间距中误差不得大于图上±0.5mm。</w:t>
      </w:r>
    </w:p>
    <w:p w14:paraId="79EB7F54">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主要建设内容</w:t>
      </w:r>
    </w:p>
    <w:p w14:paraId="146D8BC0">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3.1</w:t>
      </w:r>
      <w:r>
        <w:rPr>
          <w:rFonts w:hint="eastAsia" w:ascii="宋体" w:hAnsi="宋体" w:eastAsia="宋体" w:cs="宋体"/>
          <w:sz w:val="24"/>
          <w:szCs w:val="24"/>
          <w:highlight w:val="none"/>
          <w:lang w:val="en-US" w:eastAsia="zh-CN"/>
        </w:rPr>
        <w:t>排水管网排查</w:t>
      </w:r>
    </w:p>
    <w:p w14:paraId="35228E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排水管网排查包括但不限于以下内容：</w:t>
      </w:r>
    </w:p>
    <w:p w14:paraId="1F4492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排水管网详查与测绘（包括市政排水管线、排水户接入管线、河道两岸的截污管道以及连接的排水管线、属于市政排水管网组成</w:t>
      </w:r>
      <w:r>
        <w:rPr>
          <w:rFonts w:hint="eastAsia" w:ascii="宋体" w:hAnsi="宋体" w:eastAsia="宋体" w:cs="宋体"/>
          <w:sz w:val="24"/>
          <w:szCs w:val="24"/>
          <w:highlight w:val="none"/>
          <w:lang w:val="en-US" w:eastAsia="zh-CN"/>
        </w:rPr>
        <w:t>部分</w:t>
      </w:r>
      <w:r>
        <w:rPr>
          <w:rFonts w:hint="default" w:ascii="宋体" w:hAnsi="宋体" w:eastAsia="宋体" w:cs="宋体"/>
          <w:sz w:val="24"/>
          <w:szCs w:val="24"/>
          <w:highlight w:val="none"/>
          <w:lang w:val="en-US" w:eastAsia="zh-CN"/>
        </w:rPr>
        <w:t>的排水明沟等）、接入点调查、混接点调查、排水户调查、排水口与污水处理厂调查、</w:t>
      </w:r>
      <w:r>
        <w:rPr>
          <w:rFonts w:hint="eastAsia" w:ascii="宋体" w:hAnsi="宋体" w:eastAsia="宋体" w:cs="宋体"/>
          <w:sz w:val="24"/>
          <w:szCs w:val="24"/>
          <w:highlight w:val="none"/>
          <w:lang w:val="en-US" w:eastAsia="zh-CN"/>
        </w:rPr>
        <w:t>排水系统模型构建。</w:t>
      </w:r>
    </w:p>
    <w:p w14:paraId="6C1639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市政排水管线不做取舍，全部排查。排水户接入管线如有混接不做取舍全部排查。非混接排水户管线取舍标准为：方沟≥250mm×250mm，内径≥200mm。</w:t>
      </w:r>
    </w:p>
    <w:p w14:paraId="426DE7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管点现场照片要满足以下要求：</w:t>
      </w:r>
    </w:p>
    <w:p w14:paraId="013908E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）检查井照片至少拍摄3张照片，分别为井盖照片、井内部照片、能够表达现场位置的环境照片；有防坠网的还需增加一张防坠网恢复照片。</w:t>
      </w:r>
    </w:p>
    <w:p w14:paraId="2398C0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）照片分辨率不得低于1024*768，图片格式为JPG；</w:t>
      </w:r>
    </w:p>
    <w:p w14:paraId="2B783F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）周边环境照片应能反应管线点与周边地物关系；</w:t>
      </w:r>
    </w:p>
    <w:p w14:paraId="540F4D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）井盖照片应包含调查时标记的编号、连接方向等；</w:t>
      </w:r>
    </w:p>
    <w:p w14:paraId="382C2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）井内照片拍摄时应及时启用闪光灯，保证光线；</w:t>
      </w:r>
    </w:p>
    <w:p w14:paraId="7830F2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）照片应避免无关物体进入，保持照片内容纯净；</w:t>
      </w:r>
    </w:p>
    <w:p w14:paraId="6E1F9C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）照片应包含有拍摄时间、路段、作业单位、作业人员信息的水印。</w:t>
      </w:r>
    </w:p>
    <w:p w14:paraId="06D9D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其他需现场拍照的均应符合以上2-7点要求。</w:t>
      </w:r>
    </w:p>
    <w:p w14:paraId="7E28D6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管点详查属性内容包括但不限于：</w:t>
      </w:r>
    </w:p>
    <w:tbl>
      <w:tblPr>
        <w:tblStyle w:val="21"/>
        <w:tblW w:w="8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1896"/>
        <w:gridCol w:w="6075"/>
      </w:tblGrid>
      <w:tr w14:paraId="7609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5" w:type="dxa"/>
            <w:tcBorders>
              <w:top w:val="single" w:color="000000" w:sz="8" w:space="0"/>
              <w:left w:val="single" w:color="000000" w:sz="8" w:space="0"/>
              <w:bottom w:val="single" w:color="000000" w:sz="8" w:space="0"/>
              <w:right w:val="single" w:color="000000" w:sz="8" w:space="0"/>
            </w:tcBorders>
            <w:noWrap/>
            <w:vAlign w:val="center"/>
          </w:tcPr>
          <w:p w14:paraId="25808B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896" w:type="dxa"/>
            <w:tcBorders>
              <w:top w:val="single" w:color="000000" w:sz="8" w:space="0"/>
              <w:left w:val="nil"/>
              <w:bottom w:val="single" w:color="000000" w:sz="8" w:space="0"/>
              <w:right w:val="single" w:color="000000" w:sz="8" w:space="0"/>
            </w:tcBorders>
            <w:noWrap/>
            <w:vAlign w:val="center"/>
          </w:tcPr>
          <w:p w14:paraId="0C0E5C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属性</w:t>
            </w:r>
          </w:p>
        </w:tc>
        <w:tc>
          <w:tcPr>
            <w:tcW w:w="6075" w:type="dxa"/>
            <w:tcBorders>
              <w:top w:val="single" w:color="000000" w:sz="8" w:space="0"/>
              <w:left w:val="nil"/>
              <w:bottom w:val="single" w:color="000000" w:sz="8" w:space="0"/>
              <w:right w:val="single" w:color="000000" w:sz="8" w:space="0"/>
            </w:tcBorders>
            <w:noWrap w:val="0"/>
            <w:vAlign w:val="center"/>
          </w:tcPr>
          <w:p w14:paraId="66C83B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说明</w:t>
            </w:r>
          </w:p>
        </w:tc>
      </w:tr>
      <w:tr w14:paraId="21D3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7C7CA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6A317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点号</w:t>
            </w:r>
          </w:p>
        </w:tc>
        <w:tc>
          <w:tcPr>
            <w:tcW w:w="6075" w:type="dxa"/>
            <w:tcBorders>
              <w:top w:val="nil"/>
              <w:left w:val="nil"/>
              <w:bottom w:val="single" w:color="000000" w:sz="8" w:space="0"/>
              <w:right w:val="single" w:color="000000" w:sz="8" w:space="0"/>
            </w:tcBorders>
            <w:noWrap w:val="0"/>
            <w:vAlign w:val="center"/>
          </w:tcPr>
          <w:p w14:paraId="778675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唯一编号</w:t>
            </w:r>
          </w:p>
        </w:tc>
      </w:tr>
      <w:tr w14:paraId="6784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50ABEB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0" w:type="auto"/>
            <w:tcBorders>
              <w:top w:val="nil"/>
              <w:left w:val="nil"/>
              <w:bottom w:val="single" w:color="000000" w:sz="8" w:space="0"/>
              <w:right w:val="single" w:color="000000" w:sz="8" w:space="0"/>
            </w:tcBorders>
            <w:noWrap/>
            <w:vAlign w:val="center"/>
          </w:tcPr>
          <w:p w14:paraId="537CE7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大类</w:t>
            </w:r>
          </w:p>
        </w:tc>
        <w:tc>
          <w:tcPr>
            <w:tcW w:w="6075" w:type="dxa"/>
            <w:tcBorders>
              <w:top w:val="nil"/>
              <w:left w:val="nil"/>
              <w:bottom w:val="single" w:color="000000" w:sz="8" w:space="0"/>
              <w:right w:val="single" w:color="000000" w:sz="8" w:space="0"/>
            </w:tcBorders>
            <w:noWrap w:val="0"/>
            <w:vAlign w:val="center"/>
          </w:tcPr>
          <w:p w14:paraId="7AFBE5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排水管线</w:t>
            </w:r>
          </w:p>
        </w:tc>
      </w:tr>
      <w:tr w14:paraId="20D8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66044B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0" w:type="auto"/>
            <w:tcBorders>
              <w:top w:val="nil"/>
              <w:left w:val="nil"/>
              <w:bottom w:val="single" w:color="000000" w:sz="8" w:space="0"/>
              <w:right w:val="single" w:color="000000" w:sz="8" w:space="0"/>
            </w:tcBorders>
            <w:noWrap/>
            <w:vAlign w:val="center"/>
          </w:tcPr>
          <w:p w14:paraId="6B0F9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小类</w:t>
            </w:r>
          </w:p>
        </w:tc>
        <w:tc>
          <w:tcPr>
            <w:tcW w:w="6075" w:type="dxa"/>
            <w:tcBorders>
              <w:top w:val="nil"/>
              <w:left w:val="nil"/>
              <w:bottom w:val="single" w:color="000000" w:sz="8" w:space="0"/>
              <w:right w:val="single" w:color="000000" w:sz="8" w:space="0"/>
            </w:tcBorders>
            <w:noWrap w:val="0"/>
            <w:vAlign w:val="center"/>
          </w:tcPr>
          <w:p w14:paraId="17FA06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雨水、污水、雨污合流</w:t>
            </w:r>
          </w:p>
        </w:tc>
      </w:tr>
      <w:tr w14:paraId="1103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tcBorders>
              <w:top w:val="nil"/>
              <w:left w:val="single" w:color="000000" w:sz="8" w:space="0"/>
              <w:bottom w:val="single" w:color="000000" w:sz="8" w:space="0"/>
              <w:right w:val="single" w:color="000000" w:sz="8" w:space="0"/>
            </w:tcBorders>
            <w:noWrap/>
            <w:vAlign w:val="center"/>
          </w:tcPr>
          <w:p w14:paraId="4C96B6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0" w:type="auto"/>
            <w:tcBorders>
              <w:top w:val="nil"/>
              <w:left w:val="nil"/>
              <w:bottom w:val="single" w:color="000000" w:sz="8" w:space="0"/>
              <w:right w:val="single" w:color="000000" w:sz="8" w:space="0"/>
            </w:tcBorders>
            <w:noWrap/>
            <w:vAlign w:val="center"/>
          </w:tcPr>
          <w:p w14:paraId="2C17EE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特征</w:t>
            </w:r>
          </w:p>
        </w:tc>
        <w:tc>
          <w:tcPr>
            <w:tcW w:w="6075" w:type="dxa"/>
            <w:tcBorders>
              <w:top w:val="nil"/>
              <w:left w:val="nil"/>
              <w:bottom w:val="single" w:color="000000" w:sz="8" w:space="0"/>
              <w:right w:val="single" w:color="000000" w:sz="8" w:space="0"/>
            </w:tcBorders>
            <w:noWrap w:val="0"/>
            <w:vAlign w:val="center"/>
          </w:tcPr>
          <w:p w14:paraId="517666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进水口、出水口、盖堵、定位点、转折点、变径点、变材点、变坡点、预留口、三通、四通、多通、进出楼（房）点、非开挖管出入点、非普查点、一般管线点、小室边点、小室内点、偏心点等</w:t>
            </w:r>
          </w:p>
        </w:tc>
      </w:tr>
      <w:tr w14:paraId="38A3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0" w:type="auto"/>
            <w:tcBorders>
              <w:top w:val="nil"/>
              <w:left w:val="single" w:color="000000" w:sz="8" w:space="0"/>
              <w:bottom w:val="single" w:color="000000" w:sz="8" w:space="0"/>
              <w:right w:val="single" w:color="000000" w:sz="8" w:space="0"/>
            </w:tcBorders>
            <w:noWrap/>
            <w:vAlign w:val="center"/>
          </w:tcPr>
          <w:p w14:paraId="646864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tcBorders>
              <w:top w:val="nil"/>
              <w:left w:val="nil"/>
              <w:bottom w:val="single" w:color="000000" w:sz="8" w:space="0"/>
              <w:right w:val="single" w:color="000000" w:sz="8" w:space="0"/>
            </w:tcBorders>
            <w:noWrap/>
            <w:vAlign w:val="center"/>
          </w:tcPr>
          <w:p w14:paraId="4FB74D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附属物</w:t>
            </w:r>
          </w:p>
        </w:tc>
        <w:tc>
          <w:tcPr>
            <w:tcW w:w="6075" w:type="dxa"/>
            <w:tcBorders>
              <w:top w:val="nil"/>
              <w:left w:val="nil"/>
              <w:bottom w:val="single" w:color="000000" w:sz="8" w:space="0"/>
              <w:right w:val="single" w:color="000000" w:sz="8" w:space="0"/>
            </w:tcBorders>
            <w:noWrap w:val="0"/>
            <w:vAlign w:val="center"/>
          </w:tcPr>
          <w:p w14:paraId="0B7241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污水检修井、雨水检修井、直线井、三通井、四通井、支线井、污水井、雨水井、跌落井、转弯井、扇形井、堵头井、雨水箅、污水箅、暗井、闸门井、水封井、冲洗井、沉泥井、泵井、溢流井、倒虹吸井、隔栅井、排污装置、阀门、渗水井、出气井、通风井</w:t>
            </w:r>
          </w:p>
        </w:tc>
      </w:tr>
      <w:tr w14:paraId="61CF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A744C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17280E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点等级</w:t>
            </w:r>
          </w:p>
        </w:tc>
        <w:tc>
          <w:tcPr>
            <w:tcW w:w="6075" w:type="dxa"/>
            <w:tcBorders>
              <w:top w:val="nil"/>
              <w:left w:val="nil"/>
              <w:bottom w:val="single" w:color="000000" w:sz="8" w:space="0"/>
              <w:right w:val="single" w:color="000000" w:sz="8" w:space="0"/>
            </w:tcBorders>
            <w:noWrap w:val="0"/>
            <w:vAlign w:val="center"/>
          </w:tcPr>
          <w:p w14:paraId="4EBC6F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主井、附井、户井</w:t>
            </w:r>
          </w:p>
        </w:tc>
      </w:tr>
      <w:tr w14:paraId="2C57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DB2F0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0" w:type="auto"/>
            <w:tcBorders>
              <w:top w:val="nil"/>
              <w:left w:val="nil"/>
              <w:bottom w:val="single" w:color="000000" w:sz="8" w:space="0"/>
              <w:right w:val="single" w:color="000000" w:sz="8" w:space="0"/>
            </w:tcBorders>
            <w:noWrap/>
            <w:vAlign w:val="center"/>
          </w:tcPr>
          <w:p w14:paraId="3B689C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状态</w:t>
            </w:r>
          </w:p>
        </w:tc>
        <w:tc>
          <w:tcPr>
            <w:tcW w:w="6075" w:type="dxa"/>
            <w:tcBorders>
              <w:top w:val="nil"/>
              <w:left w:val="nil"/>
              <w:bottom w:val="single" w:color="000000" w:sz="8" w:space="0"/>
              <w:right w:val="single" w:color="000000" w:sz="8" w:space="0"/>
            </w:tcBorders>
            <w:noWrap w:val="0"/>
            <w:vAlign w:val="center"/>
          </w:tcPr>
          <w:p w14:paraId="02DBD65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在建、在用、废弃、其他</w:t>
            </w:r>
          </w:p>
        </w:tc>
      </w:tr>
      <w:tr w14:paraId="7996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49AA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0" w:type="auto"/>
            <w:tcBorders>
              <w:top w:val="nil"/>
              <w:left w:val="nil"/>
              <w:bottom w:val="single" w:color="000000" w:sz="8" w:space="0"/>
              <w:right w:val="single" w:color="000000" w:sz="8" w:space="0"/>
            </w:tcBorders>
            <w:noWrap/>
            <w:vAlign w:val="center"/>
          </w:tcPr>
          <w:p w14:paraId="1E8912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偏心井位</w:t>
            </w:r>
          </w:p>
        </w:tc>
        <w:tc>
          <w:tcPr>
            <w:tcW w:w="6075" w:type="dxa"/>
            <w:tcBorders>
              <w:top w:val="nil"/>
              <w:left w:val="nil"/>
              <w:bottom w:val="single" w:color="000000" w:sz="8" w:space="0"/>
              <w:right w:val="single" w:color="000000" w:sz="8" w:space="0"/>
            </w:tcBorders>
            <w:noWrap w:val="0"/>
            <w:vAlign w:val="center"/>
          </w:tcPr>
          <w:p w14:paraId="7A839B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偏心井位点号</w:t>
            </w:r>
          </w:p>
        </w:tc>
      </w:tr>
      <w:tr w14:paraId="6945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C782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0" w:type="auto"/>
            <w:tcBorders>
              <w:top w:val="nil"/>
              <w:left w:val="nil"/>
              <w:bottom w:val="single" w:color="000000" w:sz="8" w:space="0"/>
              <w:right w:val="single" w:color="000000" w:sz="8" w:space="0"/>
            </w:tcBorders>
            <w:noWrap/>
            <w:vAlign w:val="center"/>
          </w:tcPr>
          <w:p w14:paraId="2A37EA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井盖形状</w:t>
            </w:r>
          </w:p>
        </w:tc>
        <w:tc>
          <w:tcPr>
            <w:tcW w:w="6075" w:type="dxa"/>
            <w:tcBorders>
              <w:top w:val="nil"/>
              <w:left w:val="nil"/>
              <w:bottom w:val="single" w:color="000000" w:sz="8" w:space="0"/>
              <w:right w:val="single" w:color="000000" w:sz="8" w:space="0"/>
            </w:tcBorders>
            <w:noWrap w:val="0"/>
            <w:vAlign w:val="center"/>
          </w:tcPr>
          <w:p w14:paraId="155C59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方、圆等</w:t>
            </w:r>
          </w:p>
        </w:tc>
      </w:tr>
      <w:tr w14:paraId="0537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6CFAB1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0" w:type="auto"/>
            <w:tcBorders>
              <w:top w:val="nil"/>
              <w:left w:val="nil"/>
              <w:bottom w:val="single" w:color="000000" w:sz="8" w:space="0"/>
              <w:right w:val="single" w:color="000000" w:sz="8" w:space="0"/>
            </w:tcBorders>
            <w:noWrap/>
            <w:vAlign w:val="center"/>
          </w:tcPr>
          <w:p w14:paraId="432010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井盖尺寸</w:t>
            </w:r>
          </w:p>
        </w:tc>
        <w:tc>
          <w:tcPr>
            <w:tcW w:w="6075" w:type="dxa"/>
            <w:tcBorders>
              <w:top w:val="nil"/>
              <w:left w:val="nil"/>
              <w:bottom w:val="single" w:color="000000" w:sz="8" w:space="0"/>
              <w:right w:val="single" w:color="000000" w:sz="8" w:space="0"/>
            </w:tcBorders>
            <w:noWrap w:val="0"/>
            <w:vAlign w:val="center"/>
          </w:tcPr>
          <w:p w14:paraId="535BBB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长X宽、直接等</w:t>
            </w:r>
          </w:p>
        </w:tc>
      </w:tr>
      <w:tr w14:paraId="76A5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0F2D4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0" w:type="auto"/>
            <w:tcBorders>
              <w:top w:val="nil"/>
              <w:left w:val="nil"/>
              <w:bottom w:val="single" w:color="000000" w:sz="8" w:space="0"/>
              <w:right w:val="single" w:color="000000" w:sz="8" w:space="0"/>
            </w:tcBorders>
            <w:noWrap/>
            <w:vAlign w:val="center"/>
          </w:tcPr>
          <w:p w14:paraId="6CBF94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井盖材质</w:t>
            </w:r>
          </w:p>
        </w:tc>
        <w:tc>
          <w:tcPr>
            <w:tcW w:w="6075" w:type="dxa"/>
            <w:tcBorders>
              <w:top w:val="nil"/>
              <w:left w:val="nil"/>
              <w:bottom w:val="single" w:color="000000" w:sz="8" w:space="0"/>
              <w:right w:val="single" w:color="000000" w:sz="8" w:space="0"/>
            </w:tcBorders>
            <w:noWrap w:val="0"/>
            <w:vAlign w:val="center"/>
          </w:tcPr>
          <w:p w14:paraId="5A1037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铁、混凝土、塑料等</w:t>
            </w:r>
          </w:p>
        </w:tc>
      </w:tr>
      <w:tr w14:paraId="64D7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0" w:type="auto"/>
            <w:tcBorders>
              <w:top w:val="nil"/>
              <w:left w:val="single" w:color="000000" w:sz="8" w:space="0"/>
              <w:bottom w:val="single" w:color="000000" w:sz="8" w:space="0"/>
              <w:right w:val="single" w:color="000000" w:sz="8" w:space="0"/>
            </w:tcBorders>
            <w:noWrap/>
            <w:vAlign w:val="center"/>
          </w:tcPr>
          <w:p w14:paraId="76EFF4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0" w:type="auto"/>
            <w:tcBorders>
              <w:top w:val="nil"/>
              <w:left w:val="nil"/>
              <w:bottom w:val="single" w:color="000000" w:sz="8" w:space="0"/>
              <w:right w:val="single" w:color="000000" w:sz="8" w:space="0"/>
            </w:tcBorders>
            <w:noWrap/>
            <w:vAlign w:val="center"/>
          </w:tcPr>
          <w:p w14:paraId="350DD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井盖健康</w:t>
            </w:r>
          </w:p>
        </w:tc>
        <w:tc>
          <w:tcPr>
            <w:tcW w:w="6075" w:type="dxa"/>
            <w:tcBorders>
              <w:top w:val="nil"/>
              <w:left w:val="nil"/>
              <w:bottom w:val="single" w:color="000000" w:sz="8" w:space="0"/>
              <w:right w:val="single" w:color="000000" w:sz="8" w:space="0"/>
            </w:tcBorders>
            <w:noWrap w:val="0"/>
            <w:vAlign w:val="center"/>
          </w:tcPr>
          <w:p w14:paraId="77BC99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井盖健康情况，包括：正常、井盖埋没、井盖缺失、井盖破损、井盖移位、盖座差超标、标识错误、标志铭牌错误、井盖凸起、井盖沉陷、占用盲道、井周路面破损、跳动和声响、雨水口异臭、雨水口孔眼堵塞</w:t>
            </w:r>
          </w:p>
        </w:tc>
      </w:tr>
      <w:tr w14:paraId="2271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7AA6C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0" w:type="auto"/>
            <w:tcBorders>
              <w:top w:val="nil"/>
              <w:left w:val="nil"/>
              <w:bottom w:val="single" w:color="000000" w:sz="8" w:space="0"/>
              <w:right w:val="single" w:color="000000" w:sz="8" w:space="0"/>
            </w:tcBorders>
            <w:noWrap/>
            <w:vAlign w:val="center"/>
          </w:tcPr>
          <w:p w14:paraId="05F985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井脖直径</w:t>
            </w:r>
          </w:p>
        </w:tc>
        <w:tc>
          <w:tcPr>
            <w:tcW w:w="6075" w:type="dxa"/>
            <w:tcBorders>
              <w:top w:val="nil"/>
              <w:left w:val="nil"/>
              <w:bottom w:val="single" w:color="000000" w:sz="8" w:space="0"/>
              <w:right w:val="single" w:color="000000" w:sz="8" w:space="0"/>
            </w:tcBorders>
            <w:noWrap w:val="0"/>
            <w:vAlign w:val="center"/>
          </w:tcPr>
          <w:p w14:paraId="6FDF07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单位：毫米</w:t>
            </w:r>
          </w:p>
        </w:tc>
      </w:tr>
      <w:tr w14:paraId="558B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34E6A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0" w:type="auto"/>
            <w:tcBorders>
              <w:top w:val="nil"/>
              <w:left w:val="nil"/>
              <w:bottom w:val="single" w:color="000000" w:sz="8" w:space="0"/>
              <w:right w:val="single" w:color="000000" w:sz="8" w:space="0"/>
            </w:tcBorders>
            <w:noWrap/>
            <w:vAlign w:val="center"/>
          </w:tcPr>
          <w:p w14:paraId="1680F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井脖深</w:t>
            </w:r>
          </w:p>
        </w:tc>
        <w:tc>
          <w:tcPr>
            <w:tcW w:w="6075" w:type="dxa"/>
            <w:tcBorders>
              <w:top w:val="nil"/>
              <w:left w:val="nil"/>
              <w:bottom w:val="single" w:color="000000" w:sz="8" w:space="0"/>
              <w:right w:val="single" w:color="000000" w:sz="8" w:space="0"/>
            </w:tcBorders>
            <w:noWrap w:val="0"/>
            <w:vAlign w:val="center"/>
          </w:tcPr>
          <w:p w14:paraId="6A69ED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585D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6AC9C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0" w:type="auto"/>
            <w:tcBorders>
              <w:top w:val="nil"/>
              <w:left w:val="nil"/>
              <w:bottom w:val="single" w:color="000000" w:sz="8" w:space="0"/>
              <w:right w:val="single" w:color="000000" w:sz="8" w:space="0"/>
            </w:tcBorders>
            <w:noWrap/>
            <w:vAlign w:val="center"/>
          </w:tcPr>
          <w:p w14:paraId="5E0E8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井底形式</w:t>
            </w:r>
          </w:p>
        </w:tc>
        <w:tc>
          <w:tcPr>
            <w:tcW w:w="6075" w:type="dxa"/>
            <w:tcBorders>
              <w:top w:val="nil"/>
              <w:left w:val="nil"/>
              <w:bottom w:val="single" w:color="000000" w:sz="8" w:space="0"/>
              <w:right w:val="single" w:color="000000" w:sz="8" w:space="0"/>
            </w:tcBorders>
            <w:noWrap w:val="0"/>
            <w:vAlign w:val="center"/>
          </w:tcPr>
          <w:p w14:paraId="6FB15D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平底、流槽、落底、其他</w:t>
            </w:r>
          </w:p>
        </w:tc>
      </w:tr>
      <w:tr w14:paraId="4BA8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7EFC4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0" w:type="auto"/>
            <w:tcBorders>
              <w:top w:val="nil"/>
              <w:left w:val="nil"/>
              <w:bottom w:val="single" w:color="000000" w:sz="8" w:space="0"/>
              <w:right w:val="single" w:color="000000" w:sz="8" w:space="0"/>
            </w:tcBorders>
            <w:noWrap/>
            <w:vAlign w:val="center"/>
          </w:tcPr>
          <w:p w14:paraId="27BF16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井深</w:t>
            </w:r>
          </w:p>
        </w:tc>
        <w:tc>
          <w:tcPr>
            <w:tcW w:w="6075" w:type="dxa"/>
            <w:tcBorders>
              <w:top w:val="nil"/>
              <w:left w:val="nil"/>
              <w:bottom w:val="single" w:color="000000" w:sz="8" w:space="0"/>
              <w:right w:val="single" w:color="000000" w:sz="8" w:space="0"/>
            </w:tcBorders>
            <w:noWrap w:val="0"/>
            <w:vAlign w:val="center"/>
          </w:tcPr>
          <w:p w14:paraId="515EDF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7AED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F5798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0" w:type="auto"/>
            <w:tcBorders>
              <w:top w:val="nil"/>
              <w:left w:val="nil"/>
              <w:bottom w:val="single" w:color="000000" w:sz="8" w:space="0"/>
              <w:right w:val="single" w:color="000000" w:sz="8" w:space="0"/>
            </w:tcBorders>
            <w:noWrap/>
            <w:vAlign w:val="center"/>
          </w:tcPr>
          <w:p w14:paraId="4280A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井底深</w:t>
            </w:r>
          </w:p>
        </w:tc>
        <w:tc>
          <w:tcPr>
            <w:tcW w:w="6075" w:type="dxa"/>
            <w:tcBorders>
              <w:top w:val="nil"/>
              <w:left w:val="nil"/>
              <w:bottom w:val="single" w:color="000000" w:sz="8" w:space="0"/>
              <w:right w:val="single" w:color="000000" w:sz="8" w:space="0"/>
            </w:tcBorders>
            <w:noWrap w:val="0"/>
            <w:vAlign w:val="center"/>
          </w:tcPr>
          <w:p w14:paraId="0AC0A6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流槽时填写</w:t>
            </w:r>
          </w:p>
        </w:tc>
      </w:tr>
      <w:tr w14:paraId="2CB5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0036D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0" w:type="auto"/>
            <w:tcBorders>
              <w:top w:val="nil"/>
              <w:left w:val="nil"/>
              <w:bottom w:val="single" w:color="000000" w:sz="8" w:space="0"/>
              <w:right w:val="single" w:color="000000" w:sz="8" w:space="0"/>
            </w:tcBorders>
            <w:noWrap/>
            <w:vAlign w:val="center"/>
          </w:tcPr>
          <w:p w14:paraId="2F8231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井材质</w:t>
            </w:r>
          </w:p>
        </w:tc>
        <w:tc>
          <w:tcPr>
            <w:tcW w:w="6075" w:type="dxa"/>
            <w:tcBorders>
              <w:top w:val="nil"/>
              <w:left w:val="nil"/>
              <w:bottom w:val="single" w:color="000000" w:sz="8" w:space="0"/>
              <w:right w:val="single" w:color="000000" w:sz="8" w:space="0"/>
            </w:tcBorders>
            <w:noWrap w:val="0"/>
            <w:vAlign w:val="center"/>
          </w:tcPr>
          <w:p w14:paraId="5B3D4B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水泥、砖混等</w:t>
            </w:r>
          </w:p>
        </w:tc>
      </w:tr>
      <w:tr w14:paraId="3986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B4F06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0" w:type="auto"/>
            <w:tcBorders>
              <w:top w:val="nil"/>
              <w:left w:val="nil"/>
              <w:bottom w:val="single" w:color="000000" w:sz="8" w:space="0"/>
              <w:right w:val="single" w:color="000000" w:sz="8" w:space="0"/>
            </w:tcBorders>
            <w:noWrap/>
            <w:vAlign w:val="center"/>
          </w:tcPr>
          <w:p w14:paraId="613FB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井尺寸</w:t>
            </w:r>
          </w:p>
        </w:tc>
        <w:tc>
          <w:tcPr>
            <w:tcW w:w="6075" w:type="dxa"/>
            <w:tcBorders>
              <w:top w:val="nil"/>
              <w:left w:val="nil"/>
              <w:bottom w:val="single" w:color="000000" w:sz="8" w:space="0"/>
              <w:right w:val="single" w:color="000000" w:sz="8" w:space="0"/>
            </w:tcBorders>
            <w:noWrap w:val="0"/>
            <w:vAlign w:val="center"/>
          </w:tcPr>
          <w:p w14:paraId="63CD35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井基底的内径尺寸，单位：米</w:t>
            </w:r>
          </w:p>
        </w:tc>
      </w:tr>
      <w:tr w14:paraId="3035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1107C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0" w:type="auto"/>
            <w:tcBorders>
              <w:top w:val="nil"/>
              <w:left w:val="nil"/>
              <w:bottom w:val="single" w:color="000000" w:sz="8" w:space="0"/>
              <w:right w:val="single" w:color="000000" w:sz="8" w:space="0"/>
            </w:tcBorders>
            <w:noWrap/>
            <w:vAlign w:val="center"/>
          </w:tcPr>
          <w:p w14:paraId="5A23E7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防沉降</w:t>
            </w:r>
          </w:p>
        </w:tc>
        <w:tc>
          <w:tcPr>
            <w:tcW w:w="6075" w:type="dxa"/>
            <w:tcBorders>
              <w:top w:val="nil"/>
              <w:left w:val="nil"/>
              <w:bottom w:val="single" w:color="000000" w:sz="8" w:space="0"/>
              <w:right w:val="single" w:color="000000" w:sz="8" w:space="0"/>
            </w:tcBorders>
            <w:noWrap w:val="0"/>
            <w:vAlign w:val="center"/>
          </w:tcPr>
          <w:p w14:paraId="112C1C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w:t>
            </w:r>
          </w:p>
        </w:tc>
      </w:tr>
      <w:tr w14:paraId="6D55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100E66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0" w:type="auto"/>
            <w:tcBorders>
              <w:top w:val="nil"/>
              <w:left w:val="nil"/>
              <w:bottom w:val="single" w:color="000000" w:sz="8" w:space="0"/>
              <w:right w:val="single" w:color="000000" w:sz="8" w:space="0"/>
            </w:tcBorders>
            <w:noWrap/>
            <w:vAlign w:val="center"/>
          </w:tcPr>
          <w:p w14:paraId="51B9C4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防盗</w:t>
            </w:r>
          </w:p>
        </w:tc>
        <w:tc>
          <w:tcPr>
            <w:tcW w:w="6075" w:type="dxa"/>
            <w:tcBorders>
              <w:top w:val="nil"/>
              <w:left w:val="nil"/>
              <w:bottom w:val="single" w:color="000000" w:sz="8" w:space="0"/>
              <w:right w:val="single" w:color="000000" w:sz="8" w:space="0"/>
            </w:tcBorders>
            <w:noWrap w:val="0"/>
            <w:vAlign w:val="center"/>
          </w:tcPr>
          <w:p w14:paraId="659E5A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w:t>
            </w:r>
          </w:p>
        </w:tc>
      </w:tr>
      <w:tr w14:paraId="77BB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0988B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0" w:type="auto"/>
            <w:tcBorders>
              <w:top w:val="nil"/>
              <w:left w:val="nil"/>
              <w:bottom w:val="single" w:color="000000" w:sz="8" w:space="0"/>
              <w:right w:val="single" w:color="000000" w:sz="8" w:space="0"/>
            </w:tcBorders>
            <w:noWrap/>
            <w:vAlign w:val="center"/>
          </w:tcPr>
          <w:p w14:paraId="349C5F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防坠落</w:t>
            </w:r>
          </w:p>
        </w:tc>
        <w:tc>
          <w:tcPr>
            <w:tcW w:w="6075" w:type="dxa"/>
            <w:tcBorders>
              <w:top w:val="nil"/>
              <w:left w:val="nil"/>
              <w:bottom w:val="single" w:color="000000" w:sz="8" w:space="0"/>
              <w:right w:val="single" w:color="000000" w:sz="8" w:space="0"/>
            </w:tcBorders>
            <w:noWrap w:val="0"/>
            <w:vAlign w:val="center"/>
          </w:tcPr>
          <w:p w14:paraId="581260C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w:t>
            </w:r>
          </w:p>
        </w:tc>
      </w:tr>
      <w:tr w14:paraId="3036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tcBorders>
              <w:top w:val="nil"/>
              <w:left w:val="single" w:color="000000" w:sz="8" w:space="0"/>
              <w:bottom w:val="single" w:color="000000" w:sz="8" w:space="0"/>
              <w:right w:val="single" w:color="000000" w:sz="8" w:space="0"/>
            </w:tcBorders>
            <w:noWrap/>
            <w:vAlign w:val="center"/>
          </w:tcPr>
          <w:p w14:paraId="536B06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0" w:type="auto"/>
            <w:tcBorders>
              <w:top w:val="nil"/>
              <w:left w:val="nil"/>
              <w:bottom w:val="single" w:color="000000" w:sz="8" w:space="0"/>
              <w:right w:val="single" w:color="000000" w:sz="8" w:space="0"/>
            </w:tcBorders>
            <w:noWrap/>
            <w:vAlign w:val="center"/>
          </w:tcPr>
          <w:p w14:paraId="49DBBC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井室健康</w:t>
            </w:r>
          </w:p>
        </w:tc>
        <w:tc>
          <w:tcPr>
            <w:tcW w:w="6075" w:type="dxa"/>
            <w:tcBorders>
              <w:top w:val="nil"/>
              <w:left w:val="nil"/>
              <w:bottom w:val="single" w:color="000000" w:sz="8" w:space="0"/>
              <w:right w:val="single" w:color="000000" w:sz="8" w:space="0"/>
            </w:tcBorders>
            <w:noWrap w:val="0"/>
            <w:vAlign w:val="center"/>
          </w:tcPr>
          <w:p w14:paraId="3047DD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正常、爬梯松动或缺损、井壁泥垢、井壁裂缝、井壁渗漏、抹面脱落、管口孔洞、流槽破损、井底淤泥与杂物、水流不畅、浮渣、私接连管、井体倾斜、连管异常</w:t>
            </w:r>
          </w:p>
        </w:tc>
      </w:tr>
      <w:tr w14:paraId="1B3D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5EFE4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0" w:type="auto"/>
            <w:tcBorders>
              <w:top w:val="nil"/>
              <w:left w:val="nil"/>
              <w:bottom w:val="single" w:color="000000" w:sz="8" w:space="0"/>
              <w:right w:val="single" w:color="000000" w:sz="8" w:space="0"/>
            </w:tcBorders>
            <w:noWrap/>
            <w:vAlign w:val="center"/>
          </w:tcPr>
          <w:p w14:paraId="337DDB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淤积情况</w:t>
            </w:r>
          </w:p>
        </w:tc>
        <w:tc>
          <w:tcPr>
            <w:tcW w:w="6075" w:type="dxa"/>
            <w:tcBorders>
              <w:top w:val="nil"/>
              <w:left w:val="nil"/>
              <w:bottom w:val="single" w:color="000000" w:sz="8" w:space="0"/>
              <w:right w:val="single" w:color="000000" w:sz="8" w:space="0"/>
            </w:tcBorders>
            <w:noWrap w:val="0"/>
            <w:vAlign w:val="center"/>
          </w:tcPr>
          <w:p w14:paraId="537C8C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无淤积,1/4淤积，1/2淤积，3/4淤积，全淤积</w:t>
            </w:r>
          </w:p>
        </w:tc>
      </w:tr>
      <w:tr w14:paraId="1158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504EF1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0" w:type="auto"/>
            <w:tcBorders>
              <w:top w:val="nil"/>
              <w:left w:val="nil"/>
              <w:bottom w:val="single" w:color="000000" w:sz="8" w:space="0"/>
              <w:right w:val="single" w:color="000000" w:sz="8" w:space="0"/>
            </w:tcBorders>
            <w:noWrap/>
            <w:vAlign w:val="center"/>
          </w:tcPr>
          <w:p w14:paraId="521FAA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水位情况</w:t>
            </w:r>
          </w:p>
        </w:tc>
        <w:tc>
          <w:tcPr>
            <w:tcW w:w="6075" w:type="dxa"/>
            <w:tcBorders>
              <w:top w:val="nil"/>
              <w:left w:val="nil"/>
              <w:bottom w:val="single" w:color="000000" w:sz="8" w:space="0"/>
              <w:right w:val="single" w:color="000000" w:sz="8" w:space="0"/>
            </w:tcBorders>
            <w:noWrap w:val="0"/>
            <w:vAlign w:val="center"/>
          </w:tcPr>
          <w:p w14:paraId="05F2E48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低水位，半管、满管、</w:t>
            </w:r>
          </w:p>
        </w:tc>
      </w:tr>
      <w:tr w14:paraId="1771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3876EE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0" w:type="auto"/>
            <w:tcBorders>
              <w:top w:val="nil"/>
              <w:left w:val="nil"/>
              <w:bottom w:val="single" w:color="000000" w:sz="8" w:space="0"/>
              <w:right w:val="single" w:color="000000" w:sz="8" w:space="0"/>
            </w:tcBorders>
            <w:noWrap/>
            <w:vAlign w:val="center"/>
          </w:tcPr>
          <w:p w14:paraId="6D3DE5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井盖照片</w:t>
            </w:r>
          </w:p>
        </w:tc>
        <w:tc>
          <w:tcPr>
            <w:tcW w:w="6075" w:type="dxa"/>
            <w:tcBorders>
              <w:top w:val="nil"/>
              <w:left w:val="nil"/>
              <w:bottom w:val="single" w:color="000000" w:sz="8" w:space="0"/>
              <w:right w:val="single" w:color="000000" w:sz="8" w:space="0"/>
            </w:tcBorders>
            <w:noWrap w:val="0"/>
            <w:vAlign w:val="center"/>
          </w:tcPr>
          <w:p w14:paraId="7DC4383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应在量测标记后拍摄，包括点号</w:t>
            </w:r>
          </w:p>
        </w:tc>
      </w:tr>
      <w:tr w14:paraId="28B2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FB7A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0" w:type="auto"/>
            <w:tcBorders>
              <w:top w:val="nil"/>
              <w:left w:val="nil"/>
              <w:bottom w:val="single" w:color="000000" w:sz="8" w:space="0"/>
              <w:right w:val="single" w:color="000000" w:sz="8" w:space="0"/>
            </w:tcBorders>
            <w:noWrap/>
            <w:vAlign w:val="center"/>
          </w:tcPr>
          <w:p w14:paraId="180D5E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井内照片</w:t>
            </w:r>
          </w:p>
        </w:tc>
        <w:tc>
          <w:tcPr>
            <w:tcW w:w="6075" w:type="dxa"/>
            <w:tcBorders>
              <w:top w:val="nil"/>
              <w:left w:val="nil"/>
              <w:bottom w:val="single" w:color="000000" w:sz="8" w:space="0"/>
              <w:right w:val="single" w:color="000000" w:sz="8" w:space="0"/>
            </w:tcBorders>
            <w:noWrap w:val="0"/>
            <w:vAlign w:val="center"/>
          </w:tcPr>
          <w:p w14:paraId="728C7B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如有防坠网，应在防坠网拆除后拍摄</w:t>
            </w:r>
          </w:p>
        </w:tc>
      </w:tr>
      <w:tr w14:paraId="6E72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7BEA9D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0" w:type="auto"/>
            <w:tcBorders>
              <w:top w:val="nil"/>
              <w:left w:val="nil"/>
              <w:bottom w:val="single" w:color="000000" w:sz="8" w:space="0"/>
              <w:right w:val="single" w:color="000000" w:sz="8" w:space="0"/>
            </w:tcBorders>
            <w:noWrap/>
            <w:vAlign w:val="center"/>
          </w:tcPr>
          <w:p w14:paraId="74D8BC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环境照片</w:t>
            </w:r>
          </w:p>
        </w:tc>
        <w:tc>
          <w:tcPr>
            <w:tcW w:w="6075" w:type="dxa"/>
            <w:tcBorders>
              <w:top w:val="nil"/>
              <w:left w:val="nil"/>
              <w:bottom w:val="single" w:color="000000" w:sz="8" w:space="0"/>
              <w:right w:val="single" w:color="000000" w:sz="8" w:space="0"/>
            </w:tcBorders>
            <w:noWrap w:val="0"/>
            <w:vAlign w:val="center"/>
          </w:tcPr>
          <w:p w14:paraId="565484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表达管点现场环境位置的照片，应选取代表性环境拍摄</w:t>
            </w:r>
          </w:p>
        </w:tc>
      </w:tr>
      <w:tr w14:paraId="38D3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2A696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0" w:type="auto"/>
            <w:tcBorders>
              <w:top w:val="nil"/>
              <w:left w:val="nil"/>
              <w:bottom w:val="single" w:color="000000" w:sz="8" w:space="0"/>
              <w:right w:val="single" w:color="000000" w:sz="8" w:space="0"/>
            </w:tcBorders>
            <w:noWrap/>
            <w:vAlign w:val="center"/>
          </w:tcPr>
          <w:p w14:paraId="5BBA8F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防坠网恢复照片</w:t>
            </w:r>
          </w:p>
        </w:tc>
        <w:tc>
          <w:tcPr>
            <w:tcW w:w="6075" w:type="dxa"/>
            <w:tcBorders>
              <w:top w:val="nil"/>
              <w:left w:val="nil"/>
              <w:bottom w:val="single" w:color="000000" w:sz="8" w:space="0"/>
              <w:right w:val="single" w:color="000000" w:sz="8" w:space="0"/>
            </w:tcBorders>
            <w:noWrap w:val="0"/>
            <w:vAlign w:val="center"/>
          </w:tcPr>
          <w:p w14:paraId="75D8AF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如有防坠网，应在防坠网恢复后拍摄</w:t>
            </w:r>
          </w:p>
        </w:tc>
      </w:tr>
      <w:tr w14:paraId="3916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8AC88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0" w:type="auto"/>
            <w:tcBorders>
              <w:top w:val="nil"/>
              <w:left w:val="nil"/>
              <w:bottom w:val="single" w:color="000000" w:sz="8" w:space="0"/>
              <w:right w:val="single" w:color="000000" w:sz="8" w:space="0"/>
            </w:tcBorders>
            <w:noWrap/>
            <w:vAlign w:val="center"/>
          </w:tcPr>
          <w:p w14:paraId="6A3EB4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其他照片</w:t>
            </w:r>
          </w:p>
        </w:tc>
        <w:tc>
          <w:tcPr>
            <w:tcW w:w="6075" w:type="dxa"/>
            <w:tcBorders>
              <w:top w:val="nil"/>
              <w:left w:val="nil"/>
              <w:bottom w:val="single" w:color="000000" w:sz="8" w:space="0"/>
              <w:right w:val="single" w:color="000000" w:sz="8" w:space="0"/>
            </w:tcBorders>
            <w:noWrap w:val="0"/>
            <w:vAlign w:val="center"/>
          </w:tcPr>
          <w:p w14:paraId="5A939C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如表示管养单位名称和</w:t>
            </w:r>
          </w:p>
        </w:tc>
      </w:tr>
      <w:tr w14:paraId="4AEF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5E5F6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0" w:type="auto"/>
            <w:tcBorders>
              <w:top w:val="nil"/>
              <w:left w:val="nil"/>
              <w:bottom w:val="single" w:color="000000" w:sz="8" w:space="0"/>
              <w:right w:val="single" w:color="000000" w:sz="8" w:space="0"/>
            </w:tcBorders>
            <w:noWrap/>
            <w:vAlign w:val="center"/>
          </w:tcPr>
          <w:p w14:paraId="1C6387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视频1</w:t>
            </w:r>
          </w:p>
        </w:tc>
        <w:tc>
          <w:tcPr>
            <w:tcW w:w="6075" w:type="dxa"/>
            <w:tcBorders>
              <w:top w:val="nil"/>
              <w:left w:val="nil"/>
              <w:bottom w:val="single" w:color="000000" w:sz="8" w:space="0"/>
              <w:right w:val="single" w:color="000000" w:sz="8" w:space="0"/>
            </w:tcBorders>
            <w:noWrap w:val="0"/>
            <w:vAlign w:val="center"/>
          </w:tcPr>
          <w:p w14:paraId="7F8281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井壁或井室视频</w:t>
            </w:r>
          </w:p>
        </w:tc>
      </w:tr>
      <w:tr w14:paraId="3679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CB1DD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0" w:type="auto"/>
            <w:tcBorders>
              <w:top w:val="nil"/>
              <w:left w:val="nil"/>
              <w:bottom w:val="single" w:color="000000" w:sz="8" w:space="0"/>
              <w:right w:val="single" w:color="000000" w:sz="8" w:space="0"/>
            </w:tcBorders>
            <w:noWrap/>
            <w:vAlign w:val="center"/>
          </w:tcPr>
          <w:p w14:paraId="7DAAAA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视频2</w:t>
            </w:r>
          </w:p>
        </w:tc>
        <w:tc>
          <w:tcPr>
            <w:tcW w:w="6075" w:type="dxa"/>
            <w:tcBorders>
              <w:top w:val="nil"/>
              <w:left w:val="nil"/>
              <w:bottom w:val="single" w:color="000000" w:sz="8" w:space="0"/>
              <w:right w:val="single" w:color="000000" w:sz="8" w:space="0"/>
            </w:tcBorders>
            <w:noWrap w:val="0"/>
            <w:vAlign w:val="center"/>
          </w:tcPr>
          <w:p w14:paraId="02902F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井壁或井室视频</w:t>
            </w:r>
          </w:p>
        </w:tc>
      </w:tr>
      <w:tr w14:paraId="34B8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F46D7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0" w:type="auto"/>
            <w:tcBorders>
              <w:top w:val="nil"/>
              <w:left w:val="nil"/>
              <w:bottom w:val="single" w:color="000000" w:sz="8" w:space="0"/>
              <w:right w:val="single" w:color="000000" w:sz="8" w:space="0"/>
            </w:tcBorders>
            <w:noWrap/>
            <w:vAlign w:val="center"/>
          </w:tcPr>
          <w:p w14:paraId="0D9F57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接入点</w:t>
            </w:r>
          </w:p>
        </w:tc>
        <w:tc>
          <w:tcPr>
            <w:tcW w:w="6075" w:type="dxa"/>
            <w:tcBorders>
              <w:top w:val="nil"/>
              <w:left w:val="nil"/>
              <w:bottom w:val="single" w:color="000000" w:sz="8" w:space="0"/>
              <w:right w:val="single" w:color="000000" w:sz="8" w:space="0"/>
            </w:tcBorders>
            <w:noWrap w:val="0"/>
            <w:vAlign w:val="center"/>
          </w:tcPr>
          <w:p w14:paraId="6AFBD4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w:t>
            </w:r>
          </w:p>
        </w:tc>
      </w:tr>
      <w:tr w14:paraId="6918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5DAF8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0" w:type="auto"/>
            <w:tcBorders>
              <w:top w:val="nil"/>
              <w:left w:val="nil"/>
              <w:bottom w:val="single" w:color="000000" w:sz="8" w:space="0"/>
              <w:right w:val="single" w:color="000000" w:sz="8" w:space="0"/>
            </w:tcBorders>
            <w:noWrap/>
            <w:vAlign w:val="center"/>
          </w:tcPr>
          <w:p w14:paraId="2E5D8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接入排水户</w:t>
            </w:r>
          </w:p>
        </w:tc>
        <w:tc>
          <w:tcPr>
            <w:tcW w:w="6075" w:type="dxa"/>
            <w:tcBorders>
              <w:top w:val="nil"/>
              <w:left w:val="nil"/>
              <w:bottom w:val="single" w:color="000000" w:sz="8" w:space="0"/>
              <w:right w:val="single" w:color="000000" w:sz="8" w:space="0"/>
            </w:tcBorders>
            <w:noWrap w:val="0"/>
            <w:vAlign w:val="center"/>
          </w:tcPr>
          <w:p w14:paraId="5AD94A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据实填写排水户名称</w:t>
            </w:r>
          </w:p>
        </w:tc>
      </w:tr>
      <w:tr w14:paraId="2676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0F35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0" w:type="auto"/>
            <w:tcBorders>
              <w:top w:val="nil"/>
              <w:left w:val="nil"/>
              <w:bottom w:val="single" w:color="000000" w:sz="8" w:space="0"/>
              <w:right w:val="single" w:color="000000" w:sz="8" w:space="0"/>
            </w:tcBorders>
            <w:noWrap/>
            <w:vAlign w:val="center"/>
          </w:tcPr>
          <w:p w14:paraId="24E4EF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接入点说明</w:t>
            </w:r>
          </w:p>
        </w:tc>
        <w:tc>
          <w:tcPr>
            <w:tcW w:w="6075" w:type="dxa"/>
            <w:tcBorders>
              <w:top w:val="nil"/>
              <w:left w:val="nil"/>
              <w:bottom w:val="single" w:color="000000" w:sz="8" w:space="0"/>
              <w:right w:val="single" w:color="000000" w:sz="8" w:space="0"/>
            </w:tcBorders>
            <w:noWrap w:val="0"/>
            <w:vAlign w:val="center"/>
          </w:tcPr>
          <w:p w14:paraId="155366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接入情况、接入水体等描述</w:t>
            </w:r>
          </w:p>
        </w:tc>
      </w:tr>
      <w:tr w14:paraId="48F6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38782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0" w:type="auto"/>
            <w:tcBorders>
              <w:top w:val="nil"/>
              <w:left w:val="nil"/>
              <w:bottom w:val="single" w:color="000000" w:sz="8" w:space="0"/>
              <w:right w:val="single" w:color="000000" w:sz="8" w:space="0"/>
            </w:tcBorders>
            <w:noWrap/>
            <w:vAlign w:val="center"/>
          </w:tcPr>
          <w:p w14:paraId="0A82F0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混接点</w:t>
            </w:r>
          </w:p>
        </w:tc>
        <w:tc>
          <w:tcPr>
            <w:tcW w:w="6075" w:type="dxa"/>
            <w:tcBorders>
              <w:top w:val="nil"/>
              <w:left w:val="nil"/>
              <w:bottom w:val="single" w:color="000000" w:sz="8" w:space="0"/>
              <w:right w:val="single" w:color="000000" w:sz="8" w:space="0"/>
            </w:tcBorders>
            <w:noWrap w:val="0"/>
            <w:vAlign w:val="center"/>
          </w:tcPr>
          <w:p w14:paraId="333979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w:t>
            </w:r>
          </w:p>
        </w:tc>
      </w:tr>
      <w:tr w14:paraId="2D8E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0" w:type="auto"/>
            <w:tcBorders>
              <w:top w:val="nil"/>
              <w:left w:val="single" w:color="000000" w:sz="8" w:space="0"/>
              <w:bottom w:val="single" w:color="000000" w:sz="8" w:space="0"/>
              <w:right w:val="single" w:color="000000" w:sz="8" w:space="0"/>
            </w:tcBorders>
            <w:noWrap/>
            <w:vAlign w:val="center"/>
          </w:tcPr>
          <w:p w14:paraId="34382F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0" w:type="auto"/>
            <w:tcBorders>
              <w:top w:val="nil"/>
              <w:left w:val="nil"/>
              <w:bottom w:val="single" w:color="000000" w:sz="8" w:space="0"/>
              <w:right w:val="single" w:color="000000" w:sz="8" w:space="0"/>
            </w:tcBorders>
            <w:noWrap/>
            <w:vAlign w:val="center"/>
          </w:tcPr>
          <w:p w14:paraId="04F2E9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混接类型</w:t>
            </w:r>
          </w:p>
        </w:tc>
        <w:tc>
          <w:tcPr>
            <w:tcW w:w="6075" w:type="dxa"/>
            <w:tcBorders>
              <w:top w:val="nil"/>
              <w:left w:val="nil"/>
              <w:bottom w:val="single" w:color="000000" w:sz="8" w:space="0"/>
              <w:right w:val="single" w:color="000000" w:sz="8" w:space="0"/>
            </w:tcBorders>
            <w:noWrap w:val="0"/>
            <w:vAlign w:val="center"/>
          </w:tcPr>
          <w:p w14:paraId="444FB3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市政雨水接入市政污水，市政污水接入市政雨水，市政合流接入市政雨水，排水户污水接入市政雨水，排水户雨水接入市政污水，排水户合流接入市政雨水</w:t>
            </w:r>
          </w:p>
        </w:tc>
      </w:tr>
      <w:tr w14:paraId="41EE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3923E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0" w:type="auto"/>
            <w:tcBorders>
              <w:top w:val="nil"/>
              <w:left w:val="nil"/>
              <w:bottom w:val="single" w:color="000000" w:sz="8" w:space="0"/>
              <w:right w:val="single" w:color="000000" w:sz="8" w:space="0"/>
            </w:tcBorders>
            <w:noWrap/>
            <w:vAlign w:val="center"/>
          </w:tcPr>
          <w:p w14:paraId="1D24AB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混接说明</w:t>
            </w:r>
          </w:p>
        </w:tc>
        <w:tc>
          <w:tcPr>
            <w:tcW w:w="6075" w:type="dxa"/>
            <w:tcBorders>
              <w:top w:val="nil"/>
              <w:left w:val="nil"/>
              <w:bottom w:val="single" w:color="000000" w:sz="8" w:space="0"/>
              <w:right w:val="single" w:color="000000" w:sz="8" w:space="0"/>
            </w:tcBorders>
            <w:noWrap w:val="0"/>
            <w:vAlign w:val="center"/>
          </w:tcPr>
          <w:p w14:paraId="79F6D5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混接水体来源，水体情况等描述</w:t>
            </w:r>
          </w:p>
        </w:tc>
      </w:tr>
      <w:tr w14:paraId="454F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EF3F5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0" w:type="auto"/>
            <w:tcBorders>
              <w:top w:val="nil"/>
              <w:left w:val="nil"/>
              <w:bottom w:val="single" w:color="000000" w:sz="8" w:space="0"/>
              <w:right w:val="single" w:color="000000" w:sz="8" w:space="0"/>
            </w:tcBorders>
            <w:noWrap/>
            <w:vAlign w:val="center"/>
          </w:tcPr>
          <w:p w14:paraId="2F1689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埋设年代</w:t>
            </w:r>
          </w:p>
        </w:tc>
        <w:tc>
          <w:tcPr>
            <w:tcW w:w="6075" w:type="dxa"/>
            <w:tcBorders>
              <w:top w:val="nil"/>
              <w:left w:val="nil"/>
              <w:bottom w:val="single" w:color="000000" w:sz="8" w:space="0"/>
              <w:right w:val="single" w:color="000000" w:sz="8" w:space="0"/>
            </w:tcBorders>
            <w:noWrap w:val="0"/>
            <w:vAlign w:val="center"/>
          </w:tcPr>
          <w:p w14:paraId="35F0BF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年份</w:t>
            </w:r>
          </w:p>
        </w:tc>
      </w:tr>
      <w:tr w14:paraId="6DE27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single" w:color="000000" w:sz="8" w:space="0"/>
              <w:bottom w:val="single" w:color="000000" w:sz="8" w:space="0"/>
              <w:right w:val="single" w:color="000000" w:sz="8" w:space="0"/>
            </w:tcBorders>
            <w:noWrap/>
            <w:vAlign w:val="center"/>
          </w:tcPr>
          <w:p w14:paraId="652EE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0" w:type="auto"/>
            <w:tcBorders>
              <w:top w:val="nil"/>
              <w:left w:val="nil"/>
              <w:bottom w:val="single" w:color="000000" w:sz="8" w:space="0"/>
              <w:right w:val="single" w:color="000000" w:sz="8" w:space="0"/>
            </w:tcBorders>
            <w:noWrap/>
            <w:vAlign w:val="center"/>
          </w:tcPr>
          <w:p w14:paraId="0232D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建设单位</w:t>
            </w:r>
          </w:p>
        </w:tc>
        <w:tc>
          <w:tcPr>
            <w:tcW w:w="6075" w:type="dxa"/>
            <w:tcBorders>
              <w:top w:val="nil"/>
              <w:left w:val="nil"/>
              <w:bottom w:val="single" w:color="000000" w:sz="8" w:space="0"/>
              <w:right w:val="single" w:color="000000" w:sz="8" w:space="0"/>
            </w:tcBorders>
            <w:noWrap w:val="0"/>
            <w:vAlign w:val="center"/>
          </w:tcPr>
          <w:p w14:paraId="5EF204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5702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1D062F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0" w:type="auto"/>
            <w:tcBorders>
              <w:top w:val="nil"/>
              <w:left w:val="nil"/>
              <w:bottom w:val="single" w:color="000000" w:sz="8" w:space="0"/>
              <w:right w:val="single" w:color="000000" w:sz="8" w:space="0"/>
            </w:tcBorders>
            <w:noWrap/>
            <w:vAlign w:val="center"/>
          </w:tcPr>
          <w:p w14:paraId="4D5230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权属单位</w:t>
            </w:r>
          </w:p>
        </w:tc>
        <w:tc>
          <w:tcPr>
            <w:tcW w:w="6075" w:type="dxa"/>
            <w:tcBorders>
              <w:top w:val="nil"/>
              <w:left w:val="nil"/>
              <w:bottom w:val="single" w:color="000000" w:sz="8" w:space="0"/>
              <w:right w:val="single" w:color="000000" w:sz="8" w:space="0"/>
            </w:tcBorders>
            <w:noWrap w:val="0"/>
            <w:vAlign w:val="center"/>
          </w:tcPr>
          <w:p w14:paraId="7C40A7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0263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84F7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0" w:type="auto"/>
            <w:tcBorders>
              <w:top w:val="nil"/>
              <w:left w:val="nil"/>
              <w:bottom w:val="single" w:color="000000" w:sz="8" w:space="0"/>
              <w:right w:val="single" w:color="000000" w:sz="8" w:space="0"/>
            </w:tcBorders>
            <w:noWrap/>
            <w:vAlign w:val="center"/>
          </w:tcPr>
          <w:p w14:paraId="354C81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管养单位</w:t>
            </w:r>
          </w:p>
        </w:tc>
        <w:tc>
          <w:tcPr>
            <w:tcW w:w="6075" w:type="dxa"/>
            <w:tcBorders>
              <w:top w:val="nil"/>
              <w:left w:val="nil"/>
              <w:bottom w:val="single" w:color="000000" w:sz="8" w:space="0"/>
              <w:right w:val="single" w:color="000000" w:sz="8" w:space="0"/>
            </w:tcBorders>
            <w:noWrap w:val="0"/>
            <w:vAlign w:val="center"/>
          </w:tcPr>
          <w:p w14:paraId="07D50A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67AA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7F073B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0" w:type="auto"/>
            <w:tcBorders>
              <w:top w:val="nil"/>
              <w:left w:val="nil"/>
              <w:bottom w:val="single" w:color="000000" w:sz="8" w:space="0"/>
              <w:right w:val="single" w:color="000000" w:sz="8" w:space="0"/>
            </w:tcBorders>
            <w:noWrap/>
            <w:vAlign w:val="center"/>
          </w:tcPr>
          <w:p w14:paraId="538D7C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施工单位</w:t>
            </w:r>
          </w:p>
        </w:tc>
        <w:tc>
          <w:tcPr>
            <w:tcW w:w="6075" w:type="dxa"/>
            <w:tcBorders>
              <w:top w:val="nil"/>
              <w:left w:val="nil"/>
              <w:bottom w:val="single" w:color="000000" w:sz="8" w:space="0"/>
              <w:right w:val="single" w:color="000000" w:sz="8" w:space="0"/>
            </w:tcBorders>
            <w:noWrap w:val="0"/>
            <w:vAlign w:val="center"/>
          </w:tcPr>
          <w:p w14:paraId="2E3E83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1A2C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3F178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0" w:type="auto"/>
            <w:tcBorders>
              <w:top w:val="nil"/>
              <w:left w:val="nil"/>
              <w:bottom w:val="single" w:color="000000" w:sz="8" w:space="0"/>
              <w:right w:val="single" w:color="000000" w:sz="8" w:space="0"/>
            </w:tcBorders>
            <w:noWrap/>
            <w:vAlign w:val="center"/>
          </w:tcPr>
          <w:p w14:paraId="58D774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管养性质</w:t>
            </w:r>
          </w:p>
        </w:tc>
        <w:tc>
          <w:tcPr>
            <w:tcW w:w="6075" w:type="dxa"/>
            <w:tcBorders>
              <w:top w:val="nil"/>
              <w:left w:val="nil"/>
              <w:bottom w:val="single" w:color="000000" w:sz="8" w:space="0"/>
              <w:right w:val="single" w:color="000000" w:sz="8" w:space="0"/>
            </w:tcBorders>
            <w:noWrap w:val="0"/>
            <w:vAlign w:val="center"/>
          </w:tcPr>
          <w:p w14:paraId="22CF95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市政、户管</w:t>
            </w:r>
          </w:p>
        </w:tc>
      </w:tr>
      <w:tr w14:paraId="6090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61995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0" w:type="auto"/>
            <w:tcBorders>
              <w:top w:val="nil"/>
              <w:left w:val="nil"/>
              <w:bottom w:val="single" w:color="000000" w:sz="8" w:space="0"/>
              <w:right w:val="single" w:color="000000" w:sz="8" w:space="0"/>
            </w:tcBorders>
            <w:noWrap/>
            <w:vAlign w:val="center"/>
          </w:tcPr>
          <w:p w14:paraId="1D4BB6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所属排水系统</w:t>
            </w:r>
          </w:p>
        </w:tc>
        <w:tc>
          <w:tcPr>
            <w:tcW w:w="6075" w:type="dxa"/>
            <w:tcBorders>
              <w:top w:val="nil"/>
              <w:left w:val="nil"/>
              <w:bottom w:val="single" w:color="000000" w:sz="8" w:space="0"/>
              <w:right w:val="single" w:color="000000" w:sz="8" w:space="0"/>
            </w:tcBorders>
            <w:noWrap w:val="0"/>
            <w:vAlign w:val="center"/>
          </w:tcPr>
          <w:p w14:paraId="29D36B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填写排水系统编号</w:t>
            </w:r>
          </w:p>
        </w:tc>
      </w:tr>
      <w:tr w14:paraId="40C6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0FC89B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0" w:type="auto"/>
            <w:tcBorders>
              <w:top w:val="nil"/>
              <w:left w:val="nil"/>
              <w:bottom w:val="single" w:color="000000" w:sz="8" w:space="0"/>
              <w:right w:val="single" w:color="000000" w:sz="8" w:space="0"/>
            </w:tcBorders>
            <w:noWrap/>
            <w:vAlign w:val="center"/>
          </w:tcPr>
          <w:p w14:paraId="4EB1A0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水系名称</w:t>
            </w:r>
          </w:p>
        </w:tc>
        <w:tc>
          <w:tcPr>
            <w:tcW w:w="6075" w:type="dxa"/>
            <w:tcBorders>
              <w:top w:val="nil"/>
              <w:left w:val="nil"/>
              <w:bottom w:val="single" w:color="000000" w:sz="8" w:space="0"/>
              <w:right w:val="single" w:color="000000" w:sz="8" w:space="0"/>
            </w:tcBorders>
            <w:noWrap w:val="0"/>
            <w:vAlign w:val="center"/>
          </w:tcPr>
          <w:p w14:paraId="6A3F49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雨水填写最终流入水系，污水填写污水处理厂名称</w:t>
            </w:r>
          </w:p>
        </w:tc>
      </w:tr>
      <w:tr w14:paraId="6349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14B47C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0" w:type="auto"/>
            <w:tcBorders>
              <w:top w:val="nil"/>
              <w:left w:val="nil"/>
              <w:bottom w:val="single" w:color="000000" w:sz="8" w:space="0"/>
              <w:right w:val="single" w:color="000000" w:sz="8" w:space="0"/>
            </w:tcBorders>
            <w:noWrap/>
            <w:vAlign w:val="center"/>
          </w:tcPr>
          <w:p w14:paraId="4A5A7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系统特征</w:t>
            </w:r>
          </w:p>
        </w:tc>
        <w:tc>
          <w:tcPr>
            <w:tcW w:w="6075" w:type="dxa"/>
            <w:tcBorders>
              <w:top w:val="nil"/>
              <w:left w:val="nil"/>
              <w:bottom w:val="single" w:color="000000" w:sz="8" w:space="0"/>
              <w:right w:val="single" w:color="000000" w:sz="8" w:space="0"/>
            </w:tcBorders>
            <w:noWrap w:val="0"/>
            <w:vAlign w:val="center"/>
          </w:tcPr>
          <w:p w14:paraId="617622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起点，终点，途径点</w:t>
            </w:r>
          </w:p>
        </w:tc>
      </w:tr>
      <w:tr w14:paraId="0F6B0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29D4F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0" w:type="auto"/>
            <w:tcBorders>
              <w:top w:val="nil"/>
              <w:left w:val="nil"/>
              <w:bottom w:val="single" w:color="000000" w:sz="8" w:space="0"/>
              <w:right w:val="single" w:color="000000" w:sz="8" w:space="0"/>
            </w:tcBorders>
            <w:noWrap/>
            <w:vAlign w:val="center"/>
          </w:tcPr>
          <w:p w14:paraId="598C31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所在街坊段</w:t>
            </w:r>
          </w:p>
        </w:tc>
        <w:tc>
          <w:tcPr>
            <w:tcW w:w="6075" w:type="dxa"/>
            <w:tcBorders>
              <w:top w:val="nil"/>
              <w:left w:val="nil"/>
              <w:bottom w:val="single" w:color="000000" w:sz="8" w:space="0"/>
              <w:right w:val="single" w:color="000000" w:sz="8" w:space="0"/>
            </w:tcBorders>
            <w:noWrap w:val="0"/>
            <w:vAlign w:val="center"/>
          </w:tcPr>
          <w:p w14:paraId="1BB0C2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所在路段（起点路段-终点路段）</w:t>
            </w:r>
          </w:p>
        </w:tc>
      </w:tr>
      <w:tr w14:paraId="461C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658382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0" w:type="auto"/>
            <w:tcBorders>
              <w:top w:val="nil"/>
              <w:left w:val="nil"/>
              <w:bottom w:val="single" w:color="000000" w:sz="8" w:space="0"/>
              <w:right w:val="single" w:color="000000" w:sz="8" w:space="0"/>
            </w:tcBorders>
            <w:noWrap/>
            <w:vAlign w:val="center"/>
          </w:tcPr>
          <w:p w14:paraId="75E202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探测单位</w:t>
            </w:r>
          </w:p>
        </w:tc>
        <w:tc>
          <w:tcPr>
            <w:tcW w:w="6075" w:type="dxa"/>
            <w:tcBorders>
              <w:top w:val="nil"/>
              <w:left w:val="nil"/>
              <w:bottom w:val="single" w:color="000000" w:sz="8" w:space="0"/>
              <w:right w:val="single" w:color="000000" w:sz="8" w:space="0"/>
            </w:tcBorders>
            <w:noWrap w:val="0"/>
            <w:vAlign w:val="center"/>
          </w:tcPr>
          <w:p w14:paraId="532881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227C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15362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0" w:type="auto"/>
            <w:tcBorders>
              <w:top w:val="nil"/>
              <w:left w:val="nil"/>
              <w:bottom w:val="single" w:color="000000" w:sz="8" w:space="0"/>
              <w:right w:val="single" w:color="000000" w:sz="8" w:space="0"/>
            </w:tcBorders>
            <w:noWrap/>
            <w:vAlign w:val="center"/>
          </w:tcPr>
          <w:p w14:paraId="148A09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探测人员</w:t>
            </w:r>
          </w:p>
        </w:tc>
        <w:tc>
          <w:tcPr>
            <w:tcW w:w="6075" w:type="dxa"/>
            <w:tcBorders>
              <w:top w:val="nil"/>
              <w:left w:val="nil"/>
              <w:bottom w:val="single" w:color="000000" w:sz="8" w:space="0"/>
              <w:right w:val="single" w:color="000000" w:sz="8" w:space="0"/>
            </w:tcBorders>
            <w:noWrap w:val="0"/>
            <w:vAlign w:val="center"/>
          </w:tcPr>
          <w:p w14:paraId="6BC0459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6DF6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2073F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0" w:type="auto"/>
            <w:tcBorders>
              <w:top w:val="nil"/>
              <w:left w:val="nil"/>
              <w:bottom w:val="single" w:color="000000" w:sz="8" w:space="0"/>
              <w:right w:val="single" w:color="000000" w:sz="8" w:space="0"/>
            </w:tcBorders>
            <w:noWrap/>
            <w:vAlign w:val="center"/>
          </w:tcPr>
          <w:p w14:paraId="47B170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探测日期</w:t>
            </w:r>
          </w:p>
        </w:tc>
        <w:tc>
          <w:tcPr>
            <w:tcW w:w="6075" w:type="dxa"/>
            <w:tcBorders>
              <w:top w:val="nil"/>
              <w:left w:val="nil"/>
              <w:bottom w:val="single" w:color="000000" w:sz="8" w:space="0"/>
              <w:right w:val="single" w:color="000000" w:sz="8" w:space="0"/>
            </w:tcBorders>
            <w:noWrap w:val="0"/>
            <w:vAlign w:val="center"/>
          </w:tcPr>
          <w:p w14:paraId="7D55CD1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49C1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9E127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0" w:type="auto"/>
            <w:tcBorders>
              <w:top w:val="nil"/>
              <w:left w:val="nil"/>
              <w:bottom w:val="single" w:color="000000" w:sz="8" w:space="0"/>
              <w:right w:val="single" w:color="000000" w:sz="8" w:space="0"/>
            </w:tcBorders>
            <w:noWrap/>
            <w:vAlign w:val="center"/>
          </w:tcPr>
          <w:p w14:paraId="370D68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监理单位</w:t>
            </w:r>
          </w:p>
        </w:tc>
        <w:tc>
          <w:tcPr>
            <w:tcW w:w="6075" w:type="dxa"/>
            <w:tcBorders>
              <w:top w:val="nil"/>
              <w:left w:val="nil"/>
              <w:bottom w:val="single" w:color="000000" w:sz="8" w:space="0"/>
              <w:right w:val="single" w:color="000000" w:sz="8" w:space="0"/>
            </w:tcBorders>
            <w:noWrap w:val="0"/>
            <w:vAlign w:val="center"/>
          </w:tcPr>
          <w:p w14:paraId="3E363E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4C84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A94C3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0" w:type="auto"/>
            <w:tcBorders>
              <w:top w:val="nil"/>
              <w:left w:val="nil"/>
              <w:bottom w:val="single" w:color="000000" w:sz="8" w:space="0"/>
              <w:right w:val="single" w:color="000000" w:sz="8" w:space="0"/>
            </w:tcBorders>
            <w:noWrap/>
            <w:vAlign w:val="center"/>
          </w:tcPr>
          <w:p w14:paraId="193D40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要素编码</w:t>
            </w:r>
          </w:p>
        </w:tc>
        <w:tc>
          <w:tcPr>
            <w:tcW w:w="6075" w:type="dxa"/>
            <w:tcBorders>
              <w:top w:val="nil"/>
              <w:left w:val="nil"/>
              <w:bottom w:val="single" w:color="000000" w:sz="8" w:space="0"/>
              <w:right w:val="single" w:color="000000" w:sz="8" w:space="0"/>
            </w:tcBorders>
            <w:noWrap w:val="0"/>
            <w:vAlign w:val="center"/>
          </w:tcPr>
          <w:p w14:paraId="3F8CFA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管线要素代码</w:t>
            </w:r>
          </w:p>
        </w:tc>
      </w:tr>
      <w:tr w14:paraId="6302A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4AB291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0" w:type="auto"/>
            <w:tcBorders>
              <w:top w:val="nil"/>
              <w:left w:val="nil"/>
              <w:bottom w:val="single" w:color="000000" w:sz="8" w:space="0"/>
              <w:right w:val="single" w:color="000000" w:sz="8" w:space="0"/>
            </w:tcBorders>
            <w:noWrap/>
            <w:vAlign w:val="center"/>
          </w:tcPr>
          <w:p w14:paraId="38B5BB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图幅号</w:t>
            </w:r>
          </w:p>
        </w:tc>
        <w:tc>
          <w:tcPr>
            <w:tcW w:w="6075" w:type="dxa"/>
            <w:tcBorders>
              <w:top w:val="nil"/>
              <w:left w:val="nil"/>
              <w:bottom w:val="single" w:color="000000" w:sz="8" w:space="0"/>
              <w:right w:val="single" w:color="000000" w:sz="8" w:space="0"/>
            </w:tcBorders>
            <w:noWrap w:val="0"/>
            <w:vAlign w:val="center"/>
          </w:tcPr>
          <w:p w14:paraId="18FEA2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7732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C6357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0" w:type="auto"/>
            <w:tcBorders>
              <w:top w:val="nil"/>
              <w:left w:val="nil"/>
              <w:bottom w:val="single" w:color="000000" w:sz="8" w:space="0"/>
              <w:right w:val="single" w:color="000000" w:sz="8" w:space="0"/>
            </w:tcBorders>
            <w:noWrap/>
            <w:vAlign w:val="center"/>
          </w:tcPr>
          <w:p w14:paraId="7AFD14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图上点号</w:t>
            </w:r>
          </w:p>
        </w:tc>
        <w:tc>
          <w:tcPr>
            <w:tcW w:w="6075" w:type="dxa"/>
            <w:tcBorders>
              <w:top w:val="nil"/>
              <w:left w:val="nil"/>
              <w:bottom w:val="single" w:color="000000" w:sz="8" w:space="0"/>
              <w:right w:val="single" w:color="000000" w:sz="8" w:space="0"/>
            </w:tcBorders>
            <w:noWrap w:val="0"/>
            <w:vAlign w:val="center"/>
          </w:tcPr>
          <w:p w14:paraId="765E0C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2E60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33F16A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0" w:type="auto"/>
            <w:tcBorders>
              <w:top w:val="nil"/>
              <w:left w:val="nil"/>
              <w:bottom w:val="single" w:color="000000" w:sz="8" w:space="0"/>
              <w:right w:val="single" w:color="000000" w:sz="8" w:space="0"/>
            </w:tcBorders>
            <w:noWrap/>
            <w:vAlign w:val="center"/>
          </w:tcPr>
          <w:p w14:paraId="1B1C84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符号角度</w:t>
            </w:r>
          </w:p>
        </w:tc>
        <w:tc>
          <w:tcPr>
            <w:tcW w:w="6075" w:type="dxa"/>
            <w:tcBorders>
              <w:top w:val="nil"/>
              <w:left w:val="nil"/>
              <w:bottom w:val="single" w:color="000000" w:sz="8" w:space="0"/>
              <w:right w:val="single" w:color="000000" w:sz="8" w:space="0"/>
            </w:tcBorders>
            <w:noWrap w:val="0"/>
            <w:vAlign w:val="center"/>
          </w:tcPr>
          <w:p w14:paraId="451AFAF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点符号旋转角度</w:t>
            </w:r>
          </w:p>
        </w:tc>
      </w:tr>
      <w:tr w14:paraId="71A7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CBC73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0" w:type="auto"/>
            <w:tcBorders>
              <w:top w:val="nil"/>
              <w:left w:val="nil"/>
              <w:bottom w:val="single" w:color="000000" w:sz="8" w:space="0"/>
              <w:right w:val="single" w:color="000000" w:sz="8" w:space="0"/>
            </w:tcBorders>
            <w:noWrap/>
            <w:vAlign w:val="center"/>
          </w:tcPr>
          <w:p w14:paraId="352C63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横坐标</w:t>
            </w:r>
          </w:p>
        </w:tc>
        <w:tc>
          <w:tcPr>
            <w:tcW w:w="6075" w:type="dxa"/>
            <w:tcBorders>
              <w:top w:val="nil"/>
              <w:left w:val="nil"/>
              <w:bottom w:val="single" w:color="000000" w:sz="8" w:space="0"/>
              <w:right w:val="single" w:color="000000" w:sz="8" w:space="0"/>
            </w:tcBorders>
            <w:noWrap w:val="0"/>
            <w:vAlign w:val="center"/>
          </w:tcPr>
          <w:p w14:paraId="340649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43A7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CFB6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0" w:type="auto"/>
            <w:tcBorders>
              <w:top w:val="nil"/>
              <w:left w:val="nil"/>
              <w:bottom w:val="single" w:color="000000" w:sz="8" w:space="0"/>
              <w:right w:val="single" w:color="000000" w:sz="8" w:space="0"/>
            </w:tcBorders>
            <w:noWrap/>
            <w:vAlign w:val="center"/>
          </w:tcPr>
          <w:p w14:paraId="700D6F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纵坐标</w:t>
            </w:r>
          </w:p>
        </w:tc>
        <w:tc>
          <w:tcPr>
            <w:tcW w:w="6075" w:type="dxa"/>
            <w:tcBorders>
              <w:top w:val="nil"/>
              <w:left w:val="nil"/>
              <w:bottom w:val="single" w:color="000000" w:sz="8" w:space="0"/>
              <w:right w:val="single" w:color="000000" w:sz="8" w:space="0"/>
            </w:tcBorders>
            <w:noWrap w:val="0"/>
            <w:vAlign w:val="center"/>
          </w:tcPr>
          <w:p w14:paraId="36BA2D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4302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2199F6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w:t>
            </w:r>
          </w:p>
        </w:tc>
        <w:tc>
          <w:tcPr>
            <w:tcW w:w="0" w:type="auto"/>
            <w:tcBorders>
              <w:top w:val="nil"/>
              <w:left w:val="nil"/>
              <w:bottom w:val="single" w:color="000000" w:sz="8" w:space="0"/>
              <w:right w:val="single" w:color="000000" w:sz="8" w:space="0"/>
            </w:tcBorders>
            <w:noWrap/>
            <w:vAlign w:val="center"/>
          </w:tcPr>
          <w:p w14:paraId="44311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地面高程</w:t>
            </w:r>
          </w:p>
        </w:tc>
        <w:tc>
          <w:tcPr>
            <w:tcW w:w="6075" w:type="dxa"/>
            <w:tcBorders>
              <w:top w:val="nil"/>
              <w:left w:val="nil"/>
              <w:bottom w:val="single" w:color="000000" w:sz="8" w:space="0"/>
              <w:right w:val="single" w:color="000000" w:sz="8" w:space="0"/>
            </w:tcBorders>
            <w:noWrap w:val="0"/>
            <w:vAlign w:val="center"/>
          </w:tcPr>
          <w:p w14:paraId="223CEA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管点地面高程（单位：米）</w:t>
            </w:r>
          </w:p>
        </w:tc>
      </w:tr>
      <w:tr w14:paraId="4906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single" w:color="000000" w:sz="8" w:space="0"/>
              <w:bottom w:val="single" w:color="000000" w:sz="8" w:space="0"/>
              <w:right w:val="single" w:color="000000" w:sz="8" w:space="0"/>
            </w:tcBorders>
            <w:noWrap/>
            <w:vAlign w:val="center"/>
          </w:tcPr>
          <w:p w14:paraId="5DB09B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w:t>
            </w:r>
          </w:p>
        </w:tc>
        <w:tc>
          <w:tcPr>
            <w:tcW w:w="0" w:type="auto"/>
            <w:tcBorders>
              <w:top w:val="nil"/>
              <w:left w:val="nil"/>
              <w:bottom w:val="single" w:color="000000" w:sz="8" w:space="0"/>
              <w:right w:val="single" w:color="000000" w:sz="8" w:space="0"/>
            </w:tcBorders>
            <w:noWrap/>
            <w:vAlign w:val="center"/>
          </w:tcPr>
          <w:p w14:paraId="35706A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c>
          <w:tcPr>
            <w:tcW w:w="6075" w:type="dxa"/>
            <w:tcBorders>
              <w:top w:val="nil"/>
              <w:left w:val="nil"/>
              <w:bottom w:val="single" w:color="000000" w:sz="8" w:space="0"/>
              <w:right w:val="single" w:color="000000" w:sz="8" w:space="0"/>
            </w:tcBorders>
            <w:noWrap w:val="0"/>
            <w:vAlign w:val="center"/>
          </w:tcPr>
          <w:p w14:paraId="3DFBAB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按需选填</w:t>
            </w:r>
          </w:p>
        </w:tc>
      </w:tr>
    </w:tbl>
    <w:p w14:paraId="406A1E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管段属性内容包括但不限于：</w:t>
      </w:r>
    </w:p>
    <w:tbl>
      <w:tblPr>
        <w:tblStyle w:val="21"/>
        <w:tblW w:w="87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1900"/>
        <w:gridCol w:w="6134"/>
      </w:tblGrid>
      <w:tr w14:paraId="1C75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5DD741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57A700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属性名称</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1C0F7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说明</w:t>
            </w:r>
          </w:p>
        </w:tc>
      </w:tr>
      <w:tr w14:paraId="2317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34947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526BD6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大类</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014091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排水管线</w:t>
            </w:r>
          </w:p>
        </w:tc>
      </w:tr>
      <w:tr w14:paraId="0C76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6839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2A85A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小类</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1D6539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雨水、污水、雨污合流</w:t>
            </w:r>
          </w:p>
        </w:tc>
      </w:tr>
      <w:tr w14:paraId="14D0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E7605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D31CF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管段类型</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493F63A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管段、管沟、井内线</w:t>
            </w:r>
          </w:p>
        </w:tc>
      </w:tr>
      <w:tr w14:paraId="7D17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A52E4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27F0B2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线型</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322E51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实线、虚线</w:t>
            </w:r>
          </w:p>
        </w:tc>
      </w:tr>
      <w:tr w14:paraId="3671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BE6DA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2D720C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材质</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5198CF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161A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3491B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D4C73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管径</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260644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直径、宽X高</w:t>
            </w:r>
          </w:p>
        </w:tc>
      </w:tr>
      <w:tr w14:paraId="3DDA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00EB8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DA842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截面管径</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1FDC81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0EAE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0762FD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37DF8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流向</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2764662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正向、反向</w:t>
            </w:r>
          </w:p>
        </w:tc>
      </w:tr>
      <w:tr w14:paraId="0477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6F7728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B4C8B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埋设方式</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46EBBA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36B3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BA54A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EB60F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线等级</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75BBF5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主管、连管、户管、溢流管</w:t>
            </w:r>
          </w:p>
        </w:tc>
      </w:tr>
      <w:tr w14:paraId="7D38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9E002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EB62A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所属排水系统</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1ECA304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填写排水系统编号</w:t>
            </w:r>
          </w:p>
        </w:tc>
      </w:tr>
      <w:tr w14:paraId="4B65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2C36EB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66B854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水系名称</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58A3B8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雨水填写最终流入水系，污水填写污水处理厂名称</w:t>
            </w:r>
          </w:p>
        </w:tc>
      </w:tr>
      <w:tr w14:paraId="5916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11688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65E3F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所在街坊段</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27B37F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0B44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9C28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4BA0D7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起点编号</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0C9FB6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起始管点编号</w:t>
            </w:r>
          </w:p>
        </w:tc>
      </w:tr>
      <w:tr w14:paraId="2E32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C6652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23805D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起点埋深</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00347A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5DAB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61007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CB4C6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起点横坐标</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1DF4CBB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6AB9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B5037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2E70BF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起点纵坐标</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45915F2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2649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0B341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6D9DE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起点高程</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1A92AC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1AAE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45067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FDAC1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起点街坊段</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748F37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所在路段（起点路段-终点路段）</w:t>
            </w:r>
          </w:p>
        </w:tc>
      </w:tr>
      <w:tr w14:paraId="73DE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11517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DE53A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终点编号</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2B4E667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终止管点编号</w:t>
            </w:r>
          </w:p>
        </w:tc>
      </w:tr>
      <w:tr w14:paraId="002D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6C867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45ADE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终点埋深</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46D635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0DB6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23FC5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46FC6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终点横坐标</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01B814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5A39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608D53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DE1B3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终点纵坐标</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445C55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1581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BB232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49556D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终点高程</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643CD8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单位：米</w:t>
            </w:r>
          </w:p>
        </w:tc>
      </w:tr>
      <w:tr w14:paraId="4F51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D41ED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AFB49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终点街坊段</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38F7DF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所在路段（起点路段-终点路段）</w:t>
            </w:r>
          </w:p>
        </w:tc>
      </w:tr>
      <w:tr w14:paraId="1A32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5EB71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BA8E6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坡度</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79A1A3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4687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215B4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535ED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淤积情况</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0858FBA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无淤积,1/4淤积，1/2淤积，3/4淤积，全淤积</w:t>
            </w:r>
          </w:p>
        </w:tc>
      </w:tr>
      <w:tr w14:paraId="6F29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2FD86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809F6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水位情况</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75E067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低水位、半管、满管、</w:t>
            </w:r>
          </w:p>
        </w:tc>
      </w:tr>
      <w:tr w14:paraId="56F0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CE356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CB6A4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检测视频1</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09D2B4E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CCTV检测视频、据实填写</w:t>
            </w:r>
          </w:p>
        </w:tc>
      </w:tr>
      <w:tr w14:paraId="3B9A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6CB4D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5688CE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检测视频2</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23922CF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CCTV检测视频、据实填写</w:t>
            </w:r>
          </w:p>
        </w:tc>
      </w:tr>
      <w:tr w14:paraId="7CC2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67A5E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D8519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检测视频3</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6BC285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CCTV检测视频、据实填写</w:t>
            </w:r>
          </w:p>
        </w:tc>
      </w:tr>
      <w:tr w14:paraId="34D7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728D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48C989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检测视频4</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040827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CCTV检测视频、据实填写</w:t>
            </w:r>
          </w:p>
        </w:tc>
      </w:tr>
      <w:tr w14:paraId="0ACF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2215C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29A8E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是否混接</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4C3A5C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是、否</w:t>
            </w:r>
          </w:p>
        </w:tc>
      </w:tr>
      <w:tr w14:paraId="53E5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F441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58343B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混接类型</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414008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6606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5D3AF5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F9D46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混接说明</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127D7A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711D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37E82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C6552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埋设年代</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631AFB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年份</w:t>
            </w:r>
          </w:p>
        </w:tc>
      </w:tr>
      <w:tr w14:paraId="0B0F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7C63B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296B9A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建设单位</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13782E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2ACE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29A370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47FDE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权属单位</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4F17CA4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1AEC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5797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6767C7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管养单位</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40721C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1E33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E675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CD88C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施工单位</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363974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380F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DFD4F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A025D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管养性质</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240C086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市政、户管</w:t>
            </w:r>
          </w:p>
        </w:tc>
      </w:tr>
      <w:tr w14:paraId="5B21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00218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8D079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结构缺陷等级</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504D29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无、轻微、中等、严重、重大</w:t>
            </w:r>
          </w:p>
        </w:tc>
      </w:tr>
      <w:tr w14:paraId="3265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72EC4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6927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功能缺陷等级</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31AE40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无、轻微、中等、严重、重大</w:t>
            </w:r>
          </w:p>
        </w:tc>
      </w:tr>
      <w:tr w14:paraId="4B5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241495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734F51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检测报告</w:t>
            </w:r>
          </w:p>
        </w:tc>
        <w:tc>
          <w:tcPr>
            <w:tcW w:w="6134" w:type="dxa"/>
            <w:tcBorders>
              <w:top w:val="single" w:color="000000" w:sz="4" w:space="0"/>
              <w:left w:val="single" w:color="000000" w:sz="4" w:space="0"/>
              <w:bottom w:val="single" w:color="000000" w:sz="4" w:space="0"/>
              <w:right w:val="single" w:color="000000" w:sz="4" w:space="0"/>
            </w:tcBorders>
            <w:noWrap/>
            <w:vAlign w:val="center"/>
          </w:tcPr>
          <w:p w14:paraId="0CDF5D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报告链接</w:t>
            </w:r>
          </w:p>
        </w:tc>
      </w:tr>
      <w:tr w14:paraId="7F9BC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01427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3B4CA5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探测单位</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7FE0C7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22DF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0DB7F4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5ED38F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探测人员</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0DF6C21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11EB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6720F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12989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探测日期</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425A62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63E7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07B87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D973A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监理单位</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4DEAC63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据实填写</w:t>
            </w:r>
          </w:p>
        </w:tc>
      </w:tr>
      <w:tr w14:paraId="54CD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1DA9D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E9E9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要素编码</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7EF1A36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管线要素代码</w:t>
            </w:r>
          </w:p>
        </w:tc>
      </w:tr>
      <w:tr w14:paraId="3C03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3D1026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4C4F01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c>
          <w:tcPr>
            <w:tcW w:w="6134" w:type="dxa"/>
            <w:tcBorders>
              <w:top w:val="single" w:color="000000" w:sz="4" w:space="0"/>
              <w:left w:val="single" w:color="000000" w:sz="4" w:space="0"/>
              <w:bottom w:val="single" w:color="000000" w:sz="4" w:space="0"/>
              <w:right w:val="single" w:color="000000" w:sz="4" w:space="0"/>
            </w:tcBorders>
            <w:noWrap w:val="0"/>
            <w:vAlign w:val="center"/>
          </w:tcPr>
          <w:p w14:paraId="170B23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按需选填</w:t>
            </w:r>
          </w:p>
        </w:tc>
      </w:tr>
    </w:tbl>
    <w:p w14:paraId="28927751">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3.2管道检测</w:t>
      </w:r>
    </w:p>
    <w:p w14:paraId="6F2395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z w:val="24"/>
          <w:szCs w:val="32"/>
          <w:highlight w:val="none"/>
          <w:lang w:val="en-US" w:eastAsia="zh-CN"/>
        </w:rPr>
      </w:pPr>
      <w:r>
        <w:rPr>
          <w:rFonts w:hint="eastAsia"/>
          <w:sz w:val="24"/>
          <w:szCs w:val="32"/>
          <w:highlight w:val="none"/>
          <w:lang w:val="en-US" w:eastAsia="zh-CN"/>
        </w:rPr>
        <w:t>对300mm管径及以上的市政排水管网进行CCTV检测，对管道运行过程中存在的结构性、功能性缺陷进行调查。</w:t>
      </w:r>
    </w:p>
    <w:p w14:paraId="07BDD4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检测工作范围包括排水管道、检查井（检查井井壁、盖板等）、阀门井等附属设施；检测内容包括临时封堵、渡水、降排水、清洗、CCTV检测、检测报告（包括改造建议）制作（含影像资料）；清淤工作内容包括临时封堵、渡水、降排水、通风、清淤、安全维护等。当检查井和管道内的淤积量不能满足CCTV检测标准的需要清除。</w:t>
      </w:r>
    </w:p>
    <w:p w14:paraId="70D92D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管道内窥检测以CCTV电视检测优先、声纳检测、管道潜望镜检测、人员进入管内检测辅助。管道检测方法应根据现场的具体情况和检测设备的适用性进行选择，当CCTV电视检测无法进行时，在取得建设单位同意的情况下，可采用多种方法联合检测。</w:t>
      </w:r>
    </w:p>
    <w:p w14:paraId="430100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在成果数据上应有查明的病害管段和雨污混接点准确位置和相关属性信息；</w:t>
      </w:r>
    </w:p>
    <w:p w14:paraId="556CF8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在检测过程中对需要整改和修复的管网或损坏管道要提出有依据的科学合理且经济性的整改和修复建议。</w:t>
      </w:r>
    </w:p>
    <w:p w14:paraId="56C5C574">
      <w:pPr>
        <w:pStyle w:val="10"/>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right="0" w:righ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cs="宋体"/>
          <w:kern w:val="2"/>
          <w:sz w:val="24"/>
          <w:szCs w:val="24"/>
          <w:highlight w:val="none"/>
          <w:lang w:val="en-US" w:eastAsia="zh-CN" w:bidi="ar"/>
        </w:rPr>
        <w:t>（</w:t>
      </w:r>
      <w:r>
        <w:rPr>
          <w:rFonts w:hint="default" w:ascii="宋体" w:hAnsi="宋体" w:eastAsia="宋体" w:cs="宋体"/>
          <w:kern w:val="2"/>
          <w:sz w:val="24"/>
          <w:szCs w:val="24"/>
          <w:highlight w:val="none"/>
          <w:lang w:val="en-US" w:eastAsia="zh-CN" w:bidi="ar"/>
        </w:rPr>
        <w:t>5</w:t>
      </w:r>
      <w:r>
        <w:rPr>
          <w:rFonts w:hint="eastAsia" w:ascii="宋体" w:hAnsi="宋体" w:cs="宋体"/>
          <w:kern w:val="2"/>
          <w:sz w:val="24"/>
          <w:szCs w:val="24"/>
          <w:highlight w:val="none"/>
          <w:lang w:val="en-US" w:eastAsia="zh-CN" w:bidi="ar"/>
        </w:rPr>
        <w:t>）</w:t>
      </w:r>
      <w:r>
        <w:rPr>
          <w:rFonts w:hint="eastAsia" w:ascii="宋体" w:hAnsi="宋体" w:eastAsia="宋体" w:cs="宋体"/>
          <w:sz w:val="24"/>
          <w:szCs w:val="24"/>
          <w:highlight w:val="none"/>
          <w:lang w:val="en-US" w:eastAsia="zh-CN"/>
        </w:rPr>
        <w:t>检测数据应与管段数据关联，整体纳入数据库成果。</w:t>
      </w:r>
    </w:p>
    <w:p w14:paraId="7430C13C">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3.3市政排水管网管理系统</w:t>
      </w:r>
    </w:p>
    <w:p w14:paraId="65E30D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（1）数据统一管理需求</w:t>
      </w:r>
    </w:p>
    <w:p w14:paraId="2A06F1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通过排水GIS系统，建设排水管网数据库，实现排水管网、排水口与污水处理厂、接入点、混接点、排水户、管道结构性缺陷、管道功能性缺陷、道路、道路地下病害体等数据的统一管理，查询，汇总。</w:t>
      </w:r>
    </w:p>
    <w:p w14:paraId="3D5C80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（2）基于排水系统管理需求</w:t>
      </w:r>
    </w:p>
    <w:p w14:paraId="17FD8E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基于排水系统模型，统一管理排水管网、排水口与污水处理厂、接入点、混接点、排水户、管道结构性缺陷、管道功能性缺陷的系统化，实现各个数据间的相互查询与分析，智能分析报告制作。</w:t>
      </w:r>
    </w:p>
    <w:p w14:paraId="52F13E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（3）数据维护更新需求</w:t>
      </w:r>
    </w:p>
    <w:p w14:paraId="020EC9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通过排水GIS系统，对数据库内各类数据实现维护更新，实现对各类数据的增加、删除、修改、合并等功能，提供对各类数据的逻辑查错和自动分幅编号，保证数据的正确性和完整性。</w:t>
      </w:r>
    </w:p>
    <w:p w14:paraId="4B4310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（4）数据展示查询需求</w:t>
      </w:r>
    </w:p>
    <w:p w14:paraId="7266E8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通过排水GIS系统，基于GIS实现排水管网数据一张图，对数据库内各类数据及三维数据展示，浏览、快捷定位、查询，对各类数据的关联浏览、查询。</w:t>
      </w:r>
    </w:p>
    <w:p w14:paraId="432B8B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（5）数据统计分析报表制作需求</w:t>
      </w:r>
    </w:p>
    <w:p w14:paraId="3B4EF8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排水GIS系统，基于GIS实现各类数据的统计汇总，如基于某一路段、某一排水系统统计汇总其雨水管线、污水管线、排水户、接入点、混接点、缺陷、病害体情况，也可基于某排水系统进行分析，并制作相应的分析报告。</w:t>
      </w:r>
    </w:p>
    <w:p w14:paraId="10AFEB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（6）数据共享需求</w:t>
      </w:r>
    </w:p>
    <w:p w14:paraId="46DD8C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通过排水GIS系统，对各类数据包括雨水管线、污水管线、排水户、接入点、混接点、缺陷、病害体等提供业务上需要的各种格式的数据转出。</w:t>
      </w:r>
    </w:p>
    <w:p w14:paraId="676E97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（7）城市防汛（排水防涝）智慧管理平台接口需求</w:t>
      </w:r>
    </w:p>
    <w:p w14:paraId="6A54CA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通过排水GIS系统，为城市防汛（排水防涝）智慧管理平台提供基础数据，也将城市防汛（排水防涝）智慧管理平台设计的各个监测点位数据纳入管理。</w:t>
      </w:r>
    </w:p>
    <w:p w14:paraId="7425D9AF">
      <w:pPr>
        <w:rPr>
          <w:rFonts w:hint="eastAsia"/>
          <w:highlight w:val="none"/>
          <w:lang w:val="en-US" w:eastAsia="zh-CN"/>
        </w:rPr>
      </w:pPr>
    </w:p>
    <w:p w14:paraId="1D90151F">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成果要求</w:t>
      </w:r>
    </w:p>
    <w:p w14:paraId="63E5A0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本项目成果包括但不限于以下成果：</w:t>
      </w:r>
    </w:p>
    <w:tbl>
      <w:tblPr>
        <w:tblStyle w:val="21"/>
        <w:tblW w:w="8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5873"/>
        <w:gridCol w:w="1840"/>
      </w:tblGrid>
      <w:tr w14:paraId="764A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095FD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007582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资料名称</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34E893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存储介质</w:t>
            </w:r>
          </w:p>
        </w:tc>
      </w:tr>
      <w:tr w14:paraId="5FC5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A5AB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092138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管线探查原始记录</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1B8B1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w:t>
            </w:r>
          </w:p>
        </w:tc>
      </w:tr>
      <w:tr w14:paraId="564A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37E627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1ADDEA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控制点与管线点测量及计算资料</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1D5EC1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w:t>
            </w:r>
          </w:p>
        </w:tc>
      </w:tr>
      <w:tr w14:paraId="4295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B7D8B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2D8F68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检查及开挖验证记录</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26F2FD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15A9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25BC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12B036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调查中的照片和视频等多媒体资料</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7886AC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w:t>
            </w:r>
          </w:p>
        </w:tc>
      </w:tr>
      <w:tr w14:paraId="36EE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7DCE4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05F5FB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管道检测原始视频资料及其他原始数据</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0AE7D7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w:t>
            </w:r>
          </w:p>
        </w:tc>
      </w:tr>
      <w:tr w14:paraId="2FC6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62C05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408C3C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技术设计书</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4FA58B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6FD2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19976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3492C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控制测量报告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732A5F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076F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78095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52C3F2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质量检查报告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374501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30B2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7811C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61A915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技术总结报告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6D3B98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2569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C51B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371A1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图根控制成果表、图、库</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6AFA1E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2CF0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AC551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171A68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排水管网总表、图、库</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7FFAC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0C94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FCD91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6DFD4B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排水口、排水户、接入点、混接点等专题总表、图、库</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55690A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1B3F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F788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46680E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各排水系统运行健康分析报告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0962E4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6DE4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F91F8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50D715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检修井分析报告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44B7A1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44AE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DF491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269CE7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混接点和混接情况分析报告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23A81A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7D33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03A49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1E65EA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排水户、接入点、排水口等专题分析报告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20A8DB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6953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901DF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4E2EA1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排水管线检测分析报告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2C6EFF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08671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3DAEE4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7DBBEF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管道改造分析建议报告</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00B2D9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电子/纸质</w:t>
            </w:r>
          </w:p>
        </w:tc>
      </w:tr>
      <w:tr w14:paraId="5D6E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84061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c>
          <w:tcPr>
            <w:tcW w:w="5873" w:type="dxa"/>
            <w:tcBorders>
              <w:top w:val="single" w:color="000000" w:sz="4" w:space="0"/>
              <w:left w:val="single" w:color="000000" w:sz="4" w:space="0"/>
              <w:bottom w:val="single" w:color="000000" w:sz="4" w:space="0"/>
              <w:right w:val="single" w:color="000000" w:sz="4" w:space="0"/>
            </w:tcBorders>
            <w:noWrap/>
            <w:vAlign w:val="center"/>
          </w:tcPr>
          <w:p w14:paraId="326F82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市政排水管网管理系统（含源码）</w:t>
            </w:r>
          </w:p>
        </w:tc>
        <w:tc>
          <w:tcPr>
            <w:tcW w:w="1840" w:type="dxa"/>
            <w:tcBorders>
              <w:top w:val="single" w:color="000000" w:sz="4" w:space="0"/>
              <w:left w:val="single" w:color="000000" w:sz="4" w:space="0"/>
              <w:bottom w:val="single" w:color="000000" w:sz="4" w:space="0"/>
              <w:right w:val="single" w:color="000000" w:sz="4" w:space="0"/>
            </w:tcBorders>
            <w:noWrap/>
            <w:vAlign w:val="center"/>
          </w:tcPr>
          <w:p w14:paraId="10F624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电子</w:t>
            </w:r>
          </w:p>
        </w:tc>
      </w:tr>
    </w:tbl>
    <w:p w14:paraId="3B2270F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所有</w:t>
      </w:r>
      <w:r>
        <w:rPr>
          <w:rFonts w:hint="eastAsia" w:ascii="宋体" w:hAnsi="宋体" w:eastAsia="宋体" w:cs="宋体"/>
          <w:sz w:val="24"/>
          <w:szCs w:val="24"/>
          <w:highlight w:val="none"/>
        </w:rPr>
        <w:t>成果知识产权全部属于采购人所有</w:t>
      </w:r>
      <w:r>
        <w:rPr>
          <w:rFonts w:hint="eastAsia" w:ascii="宋体" w:hAnsi="宋体" w:eastAsia="宋体" w:cs="宋体"/>
          <w:sz w:val="24"/>
          <w:szCs w:val="24"/>
          <w:highlight w:val="none"/>
          <w:lang w:eastAsia="zh-CN"/>
        </w:rPr>
        <w:t>。</w:t>
      </w:r>
    </w:p>
    <w:p w14:paraId="177EC6C7">
      <w:pPr>
        <w:bidi w:val="0"/>
        <w:rPr>
          <w:rFonts w:hint="eastAsia"/>
          <w:highlight w:val="none"/>
        </w:rPr>
      </w:pPr>
    </w:p>
    <w:p w14:paraId="4BA614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三门峡市城区排水管网普查检测及GIS系统建设项目第二标段：</w:t>
      </w:r>
    </w:p>
    <w:p w14:paraId="554EADF1">
      <w:pPr>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道路病害体检测</w:t>
      </w:r>
      <w:r>
        <w:rPr>
          <w:rFonts w:hint="eastAsia" w:ascii="宋体" w:hAnsi="宋体" w:eastAsia="宋体" w:cs="宋体"/>
          <w:b/>
          <w:bCs/>
          <w:sz w:val="24"/>
          <w:szCs w:val="24"/>
          <w:highlight w:val="none"/>
          <w:lang w:eastAsia="zh-CN"/>
        </w:rPr>
        <w:t>：</w:t>
      </w:r>
    </w:p>
    <w:p w14:paraId="1DAC3A2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用探地雷达，沿道路延伸方向布置测线，测线间距设置合理，采用100兆天线进行探测，查明道路下方的道路安全隐患，对局部异常段采用地震影像法进行探查。查明道路下方7m内基础中存在影响道路安全使用的隐蔽性不良地质体，圈定异常范围、结合钻探验证确定异常深度。</w:t>
      </w:r>
    </w:p>
    <w:p w14:paraId="6C06459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含三年技术指导与培训服务。</w:t>
      </w:r>
    </w:p>
    <w:p w14:paraId="5793002F">
      <w:pPr>
        <w:bidi w:val="0"/>
        <w:rPr>
          <w:rFonts w:hint="eastAsia"/>
          <w:highlight w:val="none"/>
        </w:rPr>
      </w:pPr>
    </w:p>
    <w:p w14:paraId="4673EB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三门峡市城区排水管网普查检测及GIS系统建设项目第三标段：</w:t>
      </w:r>
    </w:p>
    <w:p w14:paraId="681EEF2F">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rPr>
        <w:t>建设原则</w:t>
      </w:r>
    </w:p>
    <w:p w14:paraId="05CABBD0">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bookmarkStart w:id="341" w:name="_Toc5600"/>
      <w:r>
        <w:rPr>
          <w:rFonts w:hint="eastAsia" w:ascii="宋体" w:hAnsi="宋体" w:eastAsia="宋体" w:cs="宋体"/>
          <w:sz w:val="24"/>
          <w:szCs w:val="24"/>
          <w:highlight w:val="none"/>
        </w:rPr>
        <w:t>1.1坚持系统观念、统筹推进。</w:t>
      </w:r>
      <w:bookmarkEnd w:id="341"/>
    </w:p>
    <w:p w14:paraId="4D93D6F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聚焦城市防汛（排水防涝）数据归集、加工、共享、开放、应用、安全、存储、归档各环节全过程，整体推进平台共建共治共享，提升数据资源配置效率。</w:t>
      </w:r>
    </w:p>
    <w:p w14:paraId="3BAA37EA">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bookmarkStart w:id="342" w:name="_Toc29103"/>
      <w:r>
        <w:rPr>
          <w:rFonts w:hint="eastAsia" w:ascii="宋体" w:hAnsi="宋体" w:eastAsia="宋体" w:cs="宋体"/>
          <w:sz w:val="24"/>
          <w:szCs w:val="24"/>
          <w:highlight w:val="none"/>
        </w:rPr>
        <w:t>1.2坚持继承发展、迭代升级。</w:t>
      </w:r>
      <w:bookmarkEnd w:id="342"/>
    </w:p>
    <w:p w14:paraId="0C2FEDB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充分整合利用各部门、各单位现有城市涉汛设施及要素信息等各类数据资源和信息系统，以信息数据共享为重点，适度超前布局，预留发展空间，加快推进市防汛（排水防涝）智慧管理平台建设和迭代升级。</w:t>
      </w:r>
    </w:p>
    <w:p w14:paraId="25BF59ED">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bookmarkStart w:id="343" w:name="_Toc24543"/>
      <w:r>
        <w:rPr>
          <w:rFonts w:hint="eastAsia" w:ascii="宋体" w:hAnsi="宋体" w:eastAsia="宋体" w:cs="宋体"/>
          <w:sz w:val="24"/>
          <w:szCs w:val="24"/>
          <w:highlight w:val="none"/>
        </w:rPr>
        <w:t>1.3坚持需求导向、应用牵引。</w:t>
      </w:r>
      <w:bookmarkEnd w:id="343"/>
    </w:p>
    <w:p w14:paraId="38E9A7C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从城市防汛和各部门智慧化精细化管理的需求出发，从营造各类服务场景和工作模式入手，优化处置应对思路入手，以业务应用引导数据的收集管理和使用，推进跨部门、跨层级业务协同与应用。</w:t>
      </w:r>
    </w:p>
    <w:p w14:paraId="76D62620">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bookmarkStart w:id="344" w:name="_Toc31590"/>
      <w:r>
        <w:rPr>
          <w:rFonts w:hint="eastAsia" w:ascii="宋体" w:hAnsi="宋体" w:eastAsia="宋体" w:cs="宋体"/>
          <w:sz w:val="24"/>
          <w:szCs w:val="24"/>
          <w:highlight w:val="none"/>
        </w:rPr>
        <w:t>1.4坚持创新驱动、提质增效。</w:t>
      </w:r>
      <w:bookmarkEnd w:id="344"/>
    </w:p>
    <w:p w14:paraId="1081999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坚持新发展理念，积极运用云计算、大数据、感知数据智慧物联、专业化模型仿真等技术提升城市防汛智慧化管理和服务能力，推动实现决策科学化、管理精准化、服务智能化。</w:t>
      </w:r>
    </w:p>
    <w:p w14:paraId="56EE8C1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在系统设计过程中，着重考虑安全可行与现有技术的合理运用，设计的适度超前、经济适用和可扩展结合，统一的接口标准与设计规范，统筹规划，分步实施。系统建设要遵循以下原则：</w:t>
      </w:r>
    </w:p>
    <w:p w14:paraId="18809AA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（1）以数据为中心原则</w:t>
      </w:r>
    </w:p>
    <w:p w14:paraId="18B9EC2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（2）数据管理分布与集中相结合原则</w:t>
      </w:r>
    </w:p>
    <w:p w14:paraId="2FA4AAA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（3）实用性与先进性相结合原则</w:t>
      </w:r>
    </w:p>
    <w:p w14:paraId="5B34458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（4）易操作与标准化原则</w:t>
      </w:r>
    </w:p>
    <w:p w14:paraId="7F5D0D7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（5）开放性与可扩充性原则</w:t>
      </w:r>
    </w:p>
    <w:p w14:paraId="2FDB310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（6）安全性、保密性与共享性原则</w:t>
      </w:r>
    </w:p>
    <w:p w14:paraId="06F4B17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（7）继承性原则</w:t>
      </w:r>
    </w:p>
    <w:p w14:paraId="7447CBA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（8）稳定性原则</w:t>
      </w:r>
    </w:p>
    <w:p w14:paraId="015BFDAB">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default" w:ascii="宋体" w:hAnsi="宋体" w:eastAsia="宋体" w:cs="宋体"/>
          <w:b/>
          <w:bCs/>
          <w:kern w:val="2"/>
          <w:sz w:val="24"/>
          <w:szCs w:val="24"/>
          <w:highlight w:val="none"/>
          <w:lang w:val="en-US" w:eastAsia="zh-CN" w:bidi="ar-SA"/>
        </w:rPr>
        <w:t>2．</w:t>
      </w:r>
      <w:r>
        <w:rPr>
          <w:rFonts w:hint="eastAsia" w:ascii="宋体" w:hAnsi="宋体" w:eastAsia="宋体" w:cs="宋体"/>
          <w:sz w:val="24"/>
          <w:szCs w:val="24"/>
          <w:highlight w:val="none"/>
        </w:rPr>
        <w:t>建设目标</w:t>
      </w:r>
    </w:p>
    <w:p w14:paraId="411F275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紧密围绕国家、省、市政务数字化发展要求及三门峡市城市防汛排涝工作管理特征，依托三门峡新型智慧城市建设总体规划思路，进行顶层设计，全面建成主城区涉汛设施物联感知体系，健全保障支撑环境，以云计算、感知数据智慧物联、大数据、移动互联网、专业化模型仿真等新技术为手段，建设城市防汛（排水防涝）智慧管理系统平台，对规划的治理范围内涉汛设施运行情况和关联信息要素进行全维度全方位的综合管控，以“一套信息支撑体系、一张地图展示、一个应用平台、一套处置调度机制”实现三门峡市防汛排涝我业务的全面整合与覆盖，实现数据实时监控采集、统计分析、态势研判、风险预警、调度决策、跟踪处置的全流程全要素管理；实现范围内涉汛设施的标准化、规范化信息化运维管理；实现市内涉汛排涝信息“全区域、全时空、全覆盖”，达到足不出户，可对区域防汛综合业务信息全面查询；实现各业务系统一数一源，互联互通；实现市内各类汛情防灾减灾事务指挥调度统一决策。</w:t>
      </w:r>
    </w:p>
    <w:p w14:paraId="63342FFB">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rPr>
        <w:t>项目建设总体需求</w:t>
      </w:r>
    </w:p>
    <w:p w14:paraId="6421A884">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3.1涉汛排水设施运行感知需求</w:t>
      </w:r>
    </w:p>
    <w:p w14:paraId="7A4AC53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设针对三门峡市湖滨区、经济开发区和现代服务业开发区建域内涉汛排水体系设施实时数据监测感知体系，选择重点的点位进行监测仪器仪表及数据采集传输设备的安装部署，实现包括1座污水处理厂、1座合流制泵站、122处雨污水管网监测点，3处河道水位监测点、25处沿河雨水直排口、25处城市易积水点、8处雨量监测点及防汛车辆等环节的运行及监测数据实时获取和采集上传。</w:t>
      </w:r>
    </w:p>
    <w:p w14:paraId="47EF203E">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3.2城市防汛（排水防涝）智慧管理系统平台需求</w:t>
      </w:r>
    </w:p>
    <w:p w14:paraId="3BB4CEC7">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sz w:val="24"/>
          <w:szCs w:val="24"/>
          <w:highlight w:val="none"/>
        </w:rPr>
      </w:pPr>
      <w:r>
        <w:rPr>
          <w:rFonts w:hint="eastAsia" w:ascii="宋体" w:hAnsi="宋体" w:eastAsia="宋体" w:cs="宋体"/>
          <w:sz w:val="24"/>
          <w:szCs w:val="24"/>
          <w:highlight w:val="none"/>
        </w:rPr>
        <w:t>3.2.1系统平台架构设计要求</w:t>
      </w:r>
    </w:p>
    <w:p w14:paraId="226D837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此次项目系统平台总体要求从上至下归结为平台管理体系、业务应用体系、业务支撑体系、基础设施体系（政务云资源及服务租赁）、物联感知体系五个层次，</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需要提供本项目平台架构设计图，并对上述五个层次的内容进行描述说明。</w:t>
      </w:r>
    </w:p>
    <w:p w14:paraId="5E59E1B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需要提供本项目系统功能架构图、系统数据架构图、</w:t>
      </w:r>
      <w:bookmarkStart w:id="345" w:name="_Toc28723"/>
      <w:r>
        <w:rPr>
          <w:rFonts w:hint="eastAsia" w:ascii="宋体" w:hAnsi="宋体" w:eastAsia="宋体" w:cs="宋体"/>
          <w:sz w:val="24"/>
          <w:szCs w:val="24"/>
          <w:highlight w:val="none"/>
        </w:rPr>
        <w:t>系统物联感知拓扑图</w:t>
      </w:r>
      <w:bookmarkEnd w:id="345"/>
      <w:r>
        <w:rPr>
          <w:rFonts w:hint="eastAsia" w:ascii="宋体" w:hAnsi="宋体" w:eastAsia="宋体" w:cs="宋体"/>
          <w:sz w:val="24"/>
          <w:szCs w:val="24"/>
          <w:highlight w:val="none"/>
        </w:rPr>
        <w:t>、</w:t>
      </w:r>
      <w:bookmarkStart w:id="346" w:name="_Toc438"/>
      <w:r>
        <w:rPr>
          <w:rFonts w:hint="eastAsia" w:ascii="宋体" w:hAnsi="宋体" w:eastAsia="宋体" w:cs="宋体"/>
          <w:sz w:val="24"/>
          <w:szCs w:val="24"/>
          <w:highlight w:val="none"/>
        </w:rPr>
        <w:t>系统网络架构图</w:t>
      </w:r>
      <w:bookmarkEnd w:id="346"/>
      <w:r>
        <w:rPr>
          <w:rFonts w:hint="eastAsia" w:ascii="宋体" w:hAnsi="宋体" w:eastAsia="宋体" w:cs="宋体"/>
          <w:sz w:val="24"/>
          <w:szCs w:val="24"/>
          <w:highlight w:val="none"/>
        </w:rPr>
        <w:t>、</w:t>
      </w:r>
      <w:bookmarkStart w:id="347" w:name="_Toc27250"/>
      <w:r>
        <w:rPr>
          <w:rFonts w:hint="eastAsia" w:ascii="宋体" w:hAnsi="宋体" w:eastAsia="宋体" w:cs="宋体"/>
          <w:sz w:val="24"/>
          <w:szCs w:val="24"/>
          <w:highlight w:val="none"/>
        </w:rPr>
        <w:t>系统软硬件布置图</w:t>
      </w:r>
      <w:bookmarkEnd w:id="347"/>
      <w:r>
        <w:rPr>
          <w:rFonts w:hint="eastAsia" w:ascii="宋体" w:hAnsi="宋体" w:eastAsia="宋体" w:cs="宋体"/>
          <w:sz w:val="24"/>
          <w:szCs w:val="24"/>
          <w:highlight w:val="none"/>
        </w:rPr>
        <w:t>。</w:t>
      </w:r>
    </w:p>
    <w:p w14:paraId="3934459A">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r>
        <w:rPr>
          <w:rFonts w:hint="eastAsia" w:ascii="宋体" w:hAnsi="宋体" w:eastAsia="宋体" w:cs="宋体"/>
          <w:b/>
          <w:sz w:val="24"/>
          <w:szCs w:val="24"/>
          <w:highlight w:val="none"/>
        </w:rPr>
        <w:t>3.2.2系统平台业务应用设计要求</w:t>
      </w:r>
    </w:p>
    <w:p w14:paraId="255EF9E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三门峡市防汛排涝相关数据及信息的全面整合与共享，涉汛事务管理流程全面打通，为三门峡市住建局及下属市政管理公司对区内汛情水情、气象预警信息的及时掌握、城市内涝风险评估预警、内涝事件处置调度、强降雨全过程有效应对、涉汛设施规范维护、城市整体防汛态势把控指挥、市政道路环境保畅等核心管理提供强有力的信息化支撑手段。</w:t>
      </w:r>
    </w:p>
    <w:p w14:paraId="47A65F1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涉汛排水设施运行总览：通过一张图的形式以地理信息地图为底图将涉汛设施及要素等进行落图总览式展示，查看各设施站点的关键实时统计指标，可以通过对于单点对象图标的界面操作实现单点数据分析。</w:t>
      </w:r>
    </w:p>
    <w:p w14:paraId="549B1AC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涉汛排水设施三维数字孪生展示：借助三维数字模型的建立和三维交互技术，可更加直观形象地展示涉汛设施、管网资产及属性信息，此基础上将数字孪生和视频、实时感知数据、可播放模型模拟的推演结论动态过程数据等关联信息进行有机融合让孪生体活起来，通过孪生展示界面上不同的交互触发方式进行叠加展示。</w:t>
      </w:r>
    </w:p>
    <w:p w14:paraId="5D5FE05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排水管网地理信息系统：实现数据导入、编辑维护、拓扑检查、管网分析等数据维护管理功能，实现管网资产视图浏览、数据查询、管线运维记录台账挂接、管线附属信息、管网专题分析。</w:t>
      </w:r>
    </w:p>
    <w:p w14:paraId="422E80D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涉汛设施综合监管：主要用于对涉汛设施实时数据的监测，查看接入系统的防汛相关的视频监控画面，以及历史数据的调阅查询及深度挖掘分析。</w:t>
      </w:r>
    </w:p>
    <w:p w14:paraId="0D10742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涉汛排水设施综合运维：针对涉汛排水设施及内部的各种设备资产进行完成准确的信息档案和业务台账，实现设备及资产的标准化台账管理、设备巡检、设备故障、设备维修、设备保养等业务工作的开展提供支撑。</w:t>
      </w:r>
    </w:p>
    <w:p w14:paraId="4B456FD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汛期值班及调度处置：对于汛期防汛人员进行值班的排班管理，明确人员值班值守计划，在值班过程中，针对出现异常情况，下发调度指令让现场人员对泵站等设施进行操作以缓解异常情况，或者下派外业工单指定人员到现场进行处置。</w:t>
      </w:r>
    </w:p>
    <w:p w14:paraId="41E032E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河道排口巡维管理：以沿河设置的雨水排口为对象，完成河网岸线的周期性巡查巡视及维护工作，对发现岸线排口隐患及影响正常排涝的异常情况及时上报，基于可自定义的流程，相关按照既定的流程要求以工单形式进行有序处理。</w:t>
      </w:r>
    </w:p>
    <w:p w14:paraId="510D3FF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内涝态势预报预警：排水水力模型为依托，基于雨情预报信息为数据源头，对排水管网的运行情况进行推演模拟，对于可能出现的内涝风险进行预报预警</w:t>
      </w:r>
    </w:p>
    <w:p w14:paraId="045C29E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防汛内涝指挥处置：针对城市防汛排涝工作进行全方面管理，分成雨前、雨中、雨后三个阶段进行管理，做到事前有预警、规则事项有安排，事中可跟踪、可监控、成闭环，事后有复盘、能追溯。</w:t>
      </w:r>
    </w:p>
    <w:p w14:paraId="5EC0FCE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智慧防汛统一平台：对于系统平台本身进行菜单目录、用户权限、应用分组、访问及登录记录等情况进行汇总管理，制定系统的运行规则，配置初始化策略等。此外设置登录人个人工作界面和打破各业务模块的信息资源中心，包括流程中心、报警中心、报表中心和消息中心等。</w:t>
      </w:r>
    </w:p>
    <w:p w14:paraId="2CB21BC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汛态势管理驾驶舱：汇聚城市防汛排涝全业务、全链条的核心元素，重点突出涉汛排水设施监测、涉汛设施运维管理、管网巡维管理、河道排口巡维、防汛内涝指挥等的监管信息，强化集成展示，支持总览日常运营的态势。</w:t>
      </w:r>
    </w:p>
    <w:p w14:paraId="47E08B8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城市防汛排涝综合大屏：以防汛指挥中心的大屏为媒介，在暴雨及强降雨应对处置过程中，全面、直观、地展示当前城市总体内涝态势，展示人、车、物资、事件的分布情况，便于相关人员对当前总体情况和态势进行精准研判，并高效开展指挥调度工作。</w:t>
      </w:r>
    </w:p>
    <w:p w14:paraId="0C561CB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移动应用APP：主要是各个web端功能模块在移动客户端上的应用，通过该平台的建设，便于让防汛管理人员实时了解防汛系统运行现状、监测点位实时数据、设备及设施的运行状态等，综合考虑各方面因素进行防汛体系的整体调度，保障防汛单位和设施的运行安全、支撑防汛防洪排涝工作的正常开展。</w:t>
      </w:r>
    </w:p>
    <w:p w14:paraId="5E97EA9F">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bookmarkStart w:id="348" w:name="_Toc29369"/>
      <w:r>
        <w:rPr>
          <w:rFonts w:hint="eastAsia" w:ascii="宋体" w:hAnsi="宋体" w:eastAsia="宋体" w:cs="宋体"/>
          <w:sz w:val="24"/>
          <w:szCs w:val="24"/>
          <w:highlight w:val="none"/>
        </w:rPr>
        <w:t>3.3城市防汛调度指挥中心建设</w:t>
      </w:r>
      <w:bookmarkEnd w:id="348"/>
      <w:r>
        <w:rPr>
          <w:rFonts w:hint="eastAsia" w:ascii="宋体" w:hAnsi="宋体" w:eastAsia="宋体" w:cs="宋体"/>
          <w:sz w:val="24"/>
          <w:szCs w:val="24"/>
          <w:highlight w:val="none"/>
        </w:rPr>
        <w:t>需求</w:t>
      </w:r>
    </w:p>
    <w:p w14:paraId="0510CFA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计将住建局预留的两件办公室进行整合打通为一间房间，作为防汛调度指挥中心使用。安装部署大屏展示系统，设置主席台及指挥台办公区区域，配备必要的办公设备和办公及会议桌椅，部署一套视频会议系统和相关音响系统，作为城市防汛调度枢纽，便于战时高效开展态势研判、信息互通及指挥调度工作。详见货物需求及数量一览表。</w:t>
      </w:r>
    </w:p>
    <w:p w14:paraId="70FBC143">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3.4系统平台运行环境需求</w:t>
      </w:r>
    </w:p>
    <w:p w14:paraId="053227F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计将系统平台部署安装在三门峡市政务云上，租赁政务云虚拟机资源、网络通信资源、安全运维服务、风险管理服务、应急服务、重大时期安全保障服务，采购密保服务对接适配服务够建设城市防汛（排水防涝）智慧管理系统平台的完整运行环境，此外为系统满足《（GB/T 22239-2019）信息安全技术网络安全等级保护基本要求》和《GBT39786-2021 信息安全技术信息系统密码应用基本要求》，通过等保三级测评和商用密码应用安全性测评提供坚实的支撑。设计政务云租赁时间为5年。</w:t>
      </w:r>
    </w:p>
    <w:p w14:paraId="70351077">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3.5系统平台性能要求</w:t>
      </w:r>
    </w:p>
    <w:p w14:paraId="3EC5933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按照城市防汛排涝业务的要求和国内同类业务系统的使用经验，城市防汛（排水防涝）智慧管理系统平台中各业务应用应能满足以下要求：</w:t>
      </w:r>
    </w:p>
    <w:p w14:paraId="3CADE46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（1）应具有良好的并发响应能力，整体响应性能在 5 秒以内，正常情况下并发访问量不小于 500 个用户（面向住建局内部员工），在更多用户并发访问时，系统仍能稳定运行。</w:t>
      </w:r>
    </w:p>
    <w:p w14:paraId="7620E09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（2）系统平台中涉及感知数据采集接入及涉汛设施综合监管的业务应用系统支持平台，需要支持单次30万个及以上历史查询曲线展示&lt;3 秒、在 400 用户并发中监控页面打开业务的平均响应时间&lt;2秒、历史数据保存最小间隔为1毫秒、支持 10 万个及以上物联网终端并发连接数据上传的性能指标。</w:t>
      </w:r>
    </w:p>
    <w:p w14:paraId="66550D7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（3）应具有完备的信息安全体系，能对登录用户的身份进行认证，并跟踪用户的操作，进行安全审计。</w:t>
      </w:r>
    </w:p>
    <w:p w14:paraId="67F398B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（4）应具有良好的数据安全保障机制，对数据采取集中管理和存储的模式，数据库结构设计良好，具有迅速的数据检索能力。</w:t>
      </w:r>
    </w:p>
    <w:p w14:paraId="0736FE6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（5）应具有较强的容错能力和灾难恢复能力。</w:t>
      </w:r>
    </w:p>
    <w:p w14:paraId="63C9647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（6）文本信息交换的响应时间应控制在 1 秒以内，采用消息中间件对数据交换进行管理。</w:t>
      </w:r>
    </w:p>
    <w:p w14:paraId="401F2C6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（7）应具有高度的灵活性，能适应日常业务变更的需求，实现“零代码” 或“少代码”方式的系统管理和维护。</w:t>
      </w:r>
    </w:p>
    <w:p w14:paraId="06F72DBC">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3.6终端系统及接口要求</w:t>
      </w:r>
    </w:p>
    <w:p w14:paraId="53A22F41">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r>
        <w:rPr>
          <w:rFonts w:hint="eastAsia" w:ascii="宋体" w:hAnsi="宋体" w:eastAsia="宋体" w:cs="宋体"/>
          <w:b/>
          <w:sz w:val="24"/>
          <w:szCs w:val="24"/>
          <w:highlight w:val="none"/>
        </w:rPr>
        <w:t>3.6.1基本要求</w:t>
      </w:r>
    </w:p>
    <w:p w14:paraId="0FFBC60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Wingdings" w:hAnsi="Wingdings" w:eastAsia="宋体" w:cs="宋体"/>
          <w:kern w:val="2"/>
          <w:sz w:val="24"/>
          <w:szCs w:val="24"/>
          <w:highlight w:val="none"/>
          <w:lang w:val="en-US" w:eastAsia="zh-CN" w:bidi="ar-SA"/>
        </w:rPr>
        <w:t></w:t>
      </w:r>
      <w:r>
        <w:rPr>
          <w:rFonts w:hint="eastAsia" w:ascii="宋体" w:hAnsi="宋体" w:eastAsia="宋体" w:cs="宋体"/>
          <w:sz w:val="24"/>
          <w:szCs w:val="24"/>
          <w:highlight w:val="none"/>
        </w:rPr>
        <w:t>开放性</w:t>
      </w:r>
    </w:p>
    <w:p w14:paraId="48E8C63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接口必须保持开放性，尽量保持接口的非侵入性，支持各业务系统与平台的松耦合对接，不增加原有系统的复杂度。</w:t>
      </w:r>
    </w:p>
    <w:p w14:paraId="25093DB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Wingdings" w:hAnsi="Wingdings" w:eastAsia="宋体" w:cs="宋体"/>
          <w:kern w:val="2"/>
          <w:sz w:val="24"/>
          <w:szCs w:val="24"/>
          <w:highlight w:val="none"/>
          <w:lang w:val="en-US" w:eastAsia="zh-CN" w:bidi="ar-SA"/>
        </w:rPr>
        <w:t></w:t>
      </w:r>
      <w:r>
        <w:rPr>
          <w:rFonts w:hint="eastAsia" w:ascii="宋体" w:hAnsi="宋体" w:eastAsia="宋体" w:cs="宋体"/>
          <w:sz w:val="24"/>
          <w:szCs w:val="24"/>
          <w:highlight w:val="none"/>
        </w:rPr>
        <w:t>标准化</w:t>
      </w:r>
    </w:p>
    <w:p w14:paraId="6E917A7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参照国内外相关软、硬件技术标准，统一制订和发布接口标准。</w:t>
      </w:r>
    </w:p>
    <w:p w14:paraId="5E14BB3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Wingdings" w:hAnsi="Wingdings" w:eastAsia="宋体" w:cs="宋体"/>
          <w:kern w:val="2"/>
          <w:sz w:val="24"/>
          <w:szCs w:val="24"/>
          <w:highlight w:val="none"/>
          <w:lang w:val="en-US" w:eastAsia="zh-CN" w:bidi="ar-SA"/>
        </w:rPr>
        <w:t></w:t>
      </w:r>
      <w:r>
        <w:rPr>
          <w:rFonts w:hint="eastAsia" w:ascii="宋体" w:hAnsi="宋体" w:eastAsia="宋体" w:cs="宋体"/>
          <w:sz w:val="24"/>
          <w:szCs w:val="24"/>
          <w:highlight w:val="none"/>
        </w:rPr>
        <w:t>先进性</w:t>
      </w:r>
    </w:p>
    <w:p w14:paraId="5C5E200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接口设计使用先进的Web Services技术和轻量级的SOAP协议，应用SOA的架构，保证系统接口的稳定可靠。</w:t>
      </w:r>
    </w:p>
    <w:p w14:paraId="22000649">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r>
        <w:rPr>
          <w:rFonts w:hint="eastAsia" w:ascii="宋体" w:hAnsi="宋体" w:eastAsia="宋体" w:cs="宋体"/>
          <w:b/>
          <w:sz w:val="24"/>
          <w:szCs w:val="24"/>
          <w:highlight w:val="none"/>
        </w:rPr>
        <w:t>3.6.2接口对接内容</w:t>
      </w:r>
    </w:p>
    <w:p w14:paraId="75FDF28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城市防汛排涝工作是一项业务集成度高、涉及数据源头范围广的系统工程，要求打造专门的接口渠道与与三门峡市区气象部门信息化系统、气象监测站管理系统或者其余数据服务第三方对接获取必要的有利于高效进行防汛排涝调度工作的数据；与住建局下属市政管理单位窨井信息化系统对接，获取区域已部署的智能井盖终端监测的井盖位移及井盖下缘是否水浸数据。同时也有必要预留接口将基于城市暴雨强降雨等恶劣天气预警信息、基于短时间精确降雨数据模拟推演出来的城市内涝风险预警信息、降雨过程中实际发生的内涝事件信息以及住建局下辖市政管理单位排涝作业情况中有必要对外共享的信息等同步给其余的与城市运行管理相关的电子政务系统，包括省级城市运行管理服务平台与三门峡市新型智慧城市系统平台。 </w:t>
      </w:r>
    </w:p>
    <w:p w14:paraId="2A4D7D2F">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3.7业务应用支撑系统设计要求</w:t>
      </w:r>
    </w:p>
    <w:p w14:paraId="79C835A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底层支撑防汛（排水防涝）智慧管理系统平台的各项业务应用，对数据表单和数据项目规则定义、事务流程配置、驾驶舱和大屏等可视化数据视图展示方案配置、报表模板配置、动态三维场景建模及关联数据快速叠加场景化动静态集合展示方案配置、视频码流的规范化定义管理、数据综合管理维护中台体系等提供底层架构的有力支撑，降低业务实现的代码工作量和开发复杂程度。</w:t>
      </w:r>
    </w:p>
    <w:p w14:paraId="10BE8596">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3.8系统平台网络安全等级保护建设要求</w:t>
      </w:r>
    </w:p>
    <w:p w14:paraId="7817772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本项目信息系统基本上属于非涉密计算机信息系统范畴，根据《信息安全技术网络安全等级保护定级指南 GB/T22240-2020》的条款，进行定级为信息系统安全保护等级为第三级，并且要求依据《信息安全技术网络安全等级保护基本要求》（GB/T 22239-2019）借助政务云系统和相关提供的服务进行安全建设，取得等保三级备案证书，为招标人提供一个安全、先进、统一管理的基础支撑平台。</w:t>
      </w:r>
    </w:p>
    <w:p w14:paraId="3743CF37">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3.9系统平台密码测评需求</w:t>
      </w:r>
    </w:p>
    <w:p w14:paraId="3F71511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网络安全等级保护条例》规定：“第三级以上网络运营者应在网络规划、建设和运行阶段，按照密码应用安全性评估管理办法和相关标准，委托密码应用安全性测评机构开展密码应用安全性评估。”要求系统平台借助政务云的密保服务达到通过商用密码应用安全性测评的条件，提升系统运行的安全防护。</w:t>
      </w:r>
    </w:p>
    <w:p w14:paraId="7941A118">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default" w:ascii="宋体" w:hAnsi="宋体" w:eastAsia="宋体" w:cs="宋体"/>
          <w:b/>
          <w:bCs/>
          <w:kern w:val="2"/>
          <w:sz w:val="24"/>
          <w:szCs w:val="24"/>
          <w:highlight w:val="none"/>
          <w:lang w:val="en-US" w:eastAsia="zh-CN" w:bidi="ar-SA"/>
        </w:rPr>
        <w:t>4．</w:t>
      </w:r>
      <w:r>
        <w:rPr>
          <w:rFonts w:hint="eastAsia" w:ascii="宋体" w:hAnsi="宋体" w:eastAsia="宋体" w:cs="宋体"/>
          <w:sz w:val="24"/>
          <w:szCs w:val="24"/>
          <w:highlight w:val="none"/>
        </w:rPr>
        <w:t>技术要求</w:t>
      </w:r>
    </w:p>
    <w:p w14:paraId="65CE1492">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bookmarkStart w:id="349" w:name="_Toc27016"/>
      <w:bookmarkStart w:id="350" w:name="_Toc17700"/>
      <w:r>
        <w:rPr>
          <w:rFonts w:hint="eastAsia" w:ascii="宋体" w:hAnsi="宋体" w:eastAsia="宋体" w:cs="宋体"/>
          <w:sz w:val="24"/>
          <w:szCs w:val="24"/>
          <w:highlight w:val="none"/>
        </w:rPr>
        <w:t>4.1城市防汛物联感知体系</w:t>
      </w:r>
      <w:bookmarkEnd w:id="349"/>
      <w:bookmarkEnd w:id="350"/>
    </w:p>
    <w:p w14:paraId="2DF812C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物联感知是信息化软件系统平台发挥价值的源头，防汛排涝工作的基础。在物联感知体系中，针对与城市防汛排涝工作密切相关的涉汛设施和涉汛点位合理选择感知设备，明确设备部署安装位置和方式，确定设备获取电源、网络资源的路径将物联感知体系建设的方案进行落地，具体物料清单查看详见项目本标段防汛物联感知设备清单。</w:t>
      </w:r>
    </w:p>
    <w:p w14:paraId="20F66D0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应通过现场勘查、实地走访充分了解各类型涉汛设施和涉汛点位周边环境和现场情况，</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要根据招标文件种针对每一种类型的涉汛设施设计的感知设备信息和技术参数，结合勘查情况描述各类涉汛设施和涉汛点位的数据采集方案，说明感知设备的现场安装内容，包括设备合理安装方式，数据采集及传输路径、提供设备典型安装照片和描绘感知网络拓扑图。</w:t>
      </w:r>
    </w:p>
    <w:p w14:paraId="28C0CF74">
      <w:pPr>
        <w:pStyle w:val="7"/>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4.2业务应用支撑系统</w:t>
      </w:r>
    </w:p>
    <w:p w14:paraId="07E353E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的方案中需要对业务应用支撑系统设计内容进行详细描述，业务应用支撑系统为业务应用的实现提供底层基础支撑，改变传统的全部依靠代码开发工作实现软件模块功能的模式，将部分开发工作转为数据配置实施工作，减少开发工作量同时能够快速应对需要在业务流程、数据表单字段、数据展示方案等进行变更的情况，仅仅通过修改配置即可实现，大大提升效率。业务应用支撑系统具体包括以下模块：</w:t>
      </w:r>
    </w:p>
    <w:p w14:paraId="3717B38B">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bookmarkStart w:id="351" w:name="_Toc132738231"/>
      <w:r>
        <w:rPr>
          <w:rFonts w:hint="eastAsia" w:ascii="宋体" w:hAnsi="宋体" w:eastAsia="宋体" w:cs="宋体"/>
          <w:b/>
          <w:sz w:val="24"/>
          <w:szCs w:val="24"/>
          <w:highlight w:val="none"/>
        </w:rPr>
        <w:t>4.2.1低代码管理</w:t>
      </w:r>
      <w:bookmarkEnd w:id="351"/>
      <w:r>
        <w:rPr>
          <w:rFonts w:hint="eastAsia" w:ascii="宋体" w:hAnsi="宋体" w:eastAsia="宋体" w:cs="宋体"/>
          <w:b/>
          <w:sz w:val="24"/>
          <w:szCs w:val="24"/>
          <w:highlight w:val="none"/>
        </w:rPr>
        <w:t>模块</w:t>
      </w:r>
    </w:p>
    <w:p w14:paraId="234FAC6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低代码管理模块提供强大的表单配置功能。功能包括但不限于：规则管理、实体管理、对象管理、列表管理、表单管理、表单设计器、流程管理。</w:t>
      </w:r>
    </w:p>
    <w:p w14:paraId="4296654E">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bookmarkStart w:id="352" w:name="_Toc104196416"/>
      <w:bookmarkStart w:id="353" w:name="_Toc99557599"/>
      <w:bookmarkStart w:id="354" w:name="_Toc99121378"/>
      <w:bookmarkStart w:id="355" w:name="_Toc99121554"/>
      <w:bookmarkStart w:id="356" w:name="_Toc99036177"/>
      <w:bookmarkStart w:id="357" w:name="_Toc99121850"/>
      <w:bookmarkStart w:id="358" w:name="_Toc132738232"/>
      <w:r>
        <w:rPr>
          <w:rFonts w:hint="eastAsia" w:ascii="宋体" w:hAnsi="宋体" w:eastAsia="宋体" w:cs="宋体"/>
          <w:b/>
          <w:sz w:val="24"/>
          <w:szCs w:val="24"/>
          <w:highlight w:val="none"/>
        </w:rPr>
        <w:t>4.2.2业务</w:t>
      </w:r>
      <w:bookmarkEnd w:id="352"/>
      <w:bookmarkEnd w:id="353"/>
      <w:bookmarkEnd w:id="354"/>
      <w:bookmarkEnd w:id="355"/>
      <w:bookmarkEnd w:id="356"/>
      <w:bookmarkEnd w:id="357"/>
      <w:r>
        <w:rPr>
          <w:rFonts w:hint="eastAsia" w:ascii="宋体" w:hAnsi="宋体" w:eastAsia="宋体" w:cs="宋体"/>
          <w:b/>
          <w:sz w:val="24"/>
          <w:szCs w:val="24"/>
          <w:highlight w:val="none"/>
        </w:rPr>
        <w:t>流程</w:t>
      </w:r>
      <w:bookmarkEnd w:id="358"/>
      <w:r>
        <w:rPr>
          <w:rFonts w:hint="eastAsia" w:ascii="宋体" w:hAnsi="宋体" w:eastAsia="宋体" w:cs="宋体"/>
          <w:b/>
          <w:sz w:val="24"/>
          <w:szCs w:val="24"/>
          <w:highlight w:val="none"/>
        </w:rPr>
        <w:t>模块</w:t>
      </w:r>
    </w:p>
    <w:p w14:paraId="1EB9326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实现业务和流程的统一配置和管理，自定义表单、自定义流程、完成流程与业务的整合、在WEB端和APP端联动使用。功能包括但不限于：流程定义、流程创建、流程处理、移动端流程处理、统计评估。</w:t>
      </w:r>
    </w:p>
    <w:p w14:paraId="41CFAE27">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bookmarkStart w:id="359" w:name="_Toc98750796"/>
      <w:bookmarkStart w:id="360" w:name="_Toc99439901"/>
      <w:bookmarkStart w:id="361" w:name="_Toc132738233"/>
      <w:bookmarkStart w:id="362" w:name="_Toc99557600"/>
      <w:bookmarkStart w:id="363" w:name="_Toc104196417"/>
      <w:r>
        <w:rPr>
          <w:rFonts w:hint="eastAsia" w:ascii="宋体" w:hAnsi="宋体" w:eastAsia="宋体" w:cs="宋体"/>
          <w:b/>
          <w:sz w:val="24"/>
          <w:szCs w:val="24"/>
          <w:highlight w:val="none"/>
        </w:rPr>
        <w:t>4.2.3数据可视化</w:t>
      </w:r>
      <w:bookmarkEnd w:id="359"/>
      <w:bookmarkEnd w:id="360"/>
      <w:bookmarkEnd w:id="361"/>
      <w:bookmarkEnd w:id="362"/>
      <w:bookmarkEnd w:id="363"/>
      <w:r>
        <w:rPr>
          <w:rFonts w:hint="eastAsia" w:ascii="宋体" w:hAnsi="宋体" w:eastAsia="宋体" w:cs="宋体"/>
          <w:b/>
          <w:sz w:val="24"/>
          <w:szCs w:val="24"/>
          <w:highlight w:val="none"/>
        </w:rPr>
        <w:t>配置模块</w:t>
      </w:r>
    </w:p>
    <w:p w14:paraId="5758D6F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快速连接各业务系统数据，以搭积木方式，高效、快速的开发出大屏端、APP端、WEB端等KPI及驾驶舱等综合性展示页面。功能包括但不限于：数据源管理、数据集管理、组件管理、页面设计器、页面管理、模板管理、主题管理、发布管理。</w:t>
      </w:r>
    </w:p>
    <w:p w14:paraId="063CE3C2">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bookmarkStart w:id="364" w:name="_Toc132738234"/>
      <w:bookmarkStart w:id="365" w:name="_Toc99557601"/>
      <w:bookmarkStart w:id="366" w:name="_Toc98750797"/>
      <w:bookmarkStart w:id="367" w:name="_Toc104196418"/>
      <w:r>
        <w:rPr>
          <w:rFonts w:hint="eastAsia" w:ascii="宋体" w:hAnsi="宋体" w:eastAsia="宋体" w:cs="宋体"/>
          <w:b/>
          <w:sz w:val="24"/>
          <w:szCs w:val="24"/>
          <w:highlight w:val="none"/>
        </w:rPr>
        <w:t>4.2.4报表管理工具</w:t>
      </w:r>
      <w:bookmarkEnd w:id="364"/>
      <w:bookmarkEnd w:id="365"/>
      <w:bookmarkEnd w:id="366"/>
      <w:bookmarkEnd w:id="367"/>
    </w:p>
    <w:p w14:paraId="68FA4B4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支持多维数据库、程序数据集的等各种数据源，以业务包的形式进行数据管理，可以根据不同的业务主题对不同来源的数据进行分类整合，实现简化报表开发步骤，具备通过拖拉拽，实现自定义报表的功能，从而可配置各类报表，满足业务需要；应采用类似于Excel的报表开发方式；支持各类数据库的连接和数据二次开发能力；支持图表展现。 </w:t>
      </w:r>
    </w:p>
    <w:p w14:paraId="6526359C">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rPr>
      </w:pPr>
      <w:bookmarkStart w:id="368" w:name="_Toc132738235"/>
      <w:r>
        <w:rPr>
          <w:rFonts w:hint="eastAsia" w:ascii="宋体" w:hAnsi="宋体" w:eastAsia="宋体" w:cs="宋体"/>
          <w:b/>
          <w:sz w:val="24"/>
          <w:szCs w:val="24"/>
          <w:highlight w:val="none"/>
        </w:rPr>
        <w:t>4.2.5视频流</w:t>
      </w:r>
      <w:bookmarkEnd w:id="368"/>
      <w:r>
        <w:rPr>
          <w:rFonts w:hint="eastAsia" w:ascii="宋体" w:hAnsi="宋体" w:eastAsia="宋体" w:cs="宋体"/>
          <w:b/>
          <w:sz w:val="24"/>
          <w:szCs w:val="24"/>
          <w:highlight w:val="none"/>
        </w:rPr>
        <w:t>管理模块</w:t>
      </w:r>
    </w:p>
    <w:p w14:paraId="05E38D9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对分散在各业务系统和工作场所的视频进行统一的管理，包括视频的转换、视频流服务和视频流管理。</w:t>
      </w:r>
    </w:p>
    <w:p w14:paraId="05BAE319">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4.2.6数据中台</w:t>
      </w:r>
    </w:p>
    <w:p w14:paraId="6DA6ED6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数据全生命周期管理的一站式服务，整合内部各业务版块，解决各系统间的数据孤岛现状问题，融合内外部海量数据，统一数据标准和口径，通过数据技术对海量数据进行采集、计算、存储、加工，形成数据资产，实现对数据的资产化和服务化，为安全高小的数据共享提供支撑。功能包括但不限于：数据开发、任务定义、运维中心、服务开发、数据资产、数据源中心。</w:t>
      </w:r>
    </w:p>
    <w:p w14:paraId="37ED7E07">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369" w:name="_Toc7620"/>
      <w:r>
        <w:rPr>
          <w:rFonts w:hint="eastAsia" w:ascii="宋体" w:hAnsi="宋体" w:eastAsia="宋体" w:cs="宋体"/>
          <w:b/>
          <w:sz w:val="24"/>
          <w:szCs w:val="24"/>
          <w:highlight w:val="none"/>
          <w:lang w:val="en-US" w:eastAsia="zh-CN"/>
        </w:rPr>
        <w:t>4.2.7三维场景建模及数据融合模块</w:t>
      </w:r>
      <w:bookmarkEnd w:id="369"/>
    </w:p>
    <w:p w14:paraId="2D0899A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对城市管理领域中的街道、河流、涉汛设施及各种关联设备资产对象等数字化底座的搭建，通过组件化拖拽形式，快速实现涉汛业务三维场景的建模，融合各管理对象的场所、设备、属性信息，构建起对业务数字化体系的全生命周期的管理，在此基础上融合叠加业务应用模块的过程数据，辅助快速构建业务场景的应用。</w:t>
      </w:r>
    </w:p>
    <w:p w14:paraId="3DFB5D9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以数据为核心，对各业务系统和管理区域场所的对象数据进行统一管理，建立数据关系模型，并可将此模型共享应用到各业务子系统应用；</w:t>
      </w:r>
    </w:p>
    <w:p w14:paraId="6F42D72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建立统一的数据标准，设置对象标准的静态和动态属性，并进行管理；</w:t>
      </w:r>
    </w:p>
    <w:p w14:paraId="7244D6D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具备将涉汛设施对象同物联感知实时数据挂接，并根据属性进行阈值设置，并将阈值报警信息同步至平台报警中心；</w:t>
      </w:r>
    </w:p>
    <w:p w14:paraId="55F2269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具备建立基于三维GIS的城市涉汛设施空间基座，并可以将各业务对象在基座上进行统一的展示和数据查看。</w:t>
      </w:r>
    </w:p>
    <w:p w14:paraId="45BFECF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功能包括但不限于：类别管理、实体管理、网络管理、阈值管理、报警信息。</w:t>
      </w:r>
    </w:p>
    <w:p w14:paraId="6EF18ADA">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4.3城市防汛（排水防涝）智慧管理系统平台</w:t>
      </w:r>
    </w:p>
    <w:p w14:paraId="4368BAF7">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370" w:name="_Toc132738239"/>
      <w:bookmarkStart w:id="371" w:name="_Toc19149"/>
      <w:r>
        <w:rPr>
          <w:rFonts w:hint="eastAsia" w:ascii="宋体" w:hAnsi="宋体" w:eastAsia="宋体" w:cs="宋体"/>
          <w:b/>
          <w:sz w:val="24"/>
          <w:szCs w:val="24"/>
          <w:highlight w:val="none"/>
          <w:lang w:val="en-US" w:eastAsia="zh-CN"/>
        </w:rPr>
        <w:t>4.3.1涉汛排水设施运行总览</w:t>
      </w:r>
      <w:bookmarkEnd w:id="370"/>
      <w:bookmarkEnd w:id="371"/>
    </w:p>
    <w:p w14:paraId="23D9739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整合三门峡市涉汛设施全要素综合监测指标，以三门峡市城市地图为底图，展示污水处理厂、雨污泵站、雨污水管网、雨污水管网监测点、河道水文监测点、沿河雨水直排口、城市易积水点、雨量监测点、视频探头等主题图层，以数据报表、运行工况统计图表等多种形式全面、实时展现各涉汛设施运行情况，查看各设施站点的基础档案信息及关键实时指标的统计数据，通过交互操作触发查看单点实时监测数据明细信息、报警信息等，查看历史数据曲线，并支持历史数据的检索和筛选展现。</w:t>
      </w:r>
    </w:p>
    <w:p w14:paraId="68353EB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在一张图上实现必要的相关图层控制功能，自由选择需要叠加图层，展示其相应的内容。</w:t>
      </w:r>
    </w:p>
    <w:p w14:paraId="5DB4469A">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372" w:name="_Toc11710"/>
      <w:r>
        <w:rPr>
          <w:rFonts w:hint="eastAsia" w:ascii="宋体" w:hAnsi="宋体" w:eastAsia="宋体" w:cs="宋体"/>
          <w:b/>
          <w:sz w:val="24"/>
          <w:szCs w:val="24"/>
          <w:highlight w:val="none"/>
          <w:lang w:val="en-US" w:eastAsia="zh-CN"/>
        </w:rPr>
        <w:t>4.3.2涉汛排水设施三维数字孪生展示</w:t>
      </w:r>
      <w:bookmarkEnd w:id="372"/>
    </w:p>
    <w:p w14:paraId="6805646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将二维地图、和三维模型进行整合，达到无缝切换的目的，借助三维数字模型的建立和三维交互技术，更加直观形象地展示城市道路地形、雨污管网资产及属性信息。涉及区域为三门峡市城市建成区（湖滨区、经济开发区和现代服务业开发区）共78.5平方公里范围，雨、污水管网的排水主管网及支管共计381.67公里，其中：雨水管网210.8公里，污水管网170.87公里。</w:t>
      </w:r>
    </w:p>
    <w:p w14:paraId="31E990D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该功能的开发与应用为涉汛设施的运行监控和管理提供一种更加形象和有效的方法，实现对项目范围内设施的三维展示，在地图中点击相应设施，即可以查看三维模型，显示模型详细参数。在此基础上将数字孪生体和视频、实时感知数据等关联信息进行有机融合，让孪生体活起来，将设备设施台账信息、构筑物档案、实时监控视频画面、设施工况实时感知监测数据、城市内涝预报预警信息、业务及运行统计数据、报警信息、报警方案、内涝事件、防汛排涝工单、车辆物资人员位置、设备运维台账、河道排口巡维台账等数据通过孪生展示界面上不同的交互触发方式进行叠加展示。</w:t>
      </w:r>
    </w:p>
    <w:p w14:paraId="6865941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须建设城市级地块三维场景，根据提供的区域位置的开源的卫星影像图等资料构建市级底板鸟瞰大场景，根据实际构筑物分布情况，对外立面进行随机贴模，精度为L2级别，是涉汛排水设施三维数字孪生模块的数字孪生底座。</w:t>
      </w:r>
    </w:p>
    <w:p w14:paraId="1BF015D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须以高性价比的建模方式对管网资产进行建模，实现三维立体方式全面展示城市地板和管线。三维管线是普通管线的高端形式，更直观、更立体地展现管线现状，基于管网资料，实现地下管网建模，还原管网外立面、分布及走向等还原精度需不低于L2建模级别。</w:t>
      </w:r>
    </w:p>
    <w:p w14:paraId="6482DC3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需要明确介绍城市主城区道路、街景及建筑和雨污水管网三维数字资产建立的过程步骤和具体实施内容，确保其切实可行。</w:t>
      </w:r>
    </w:p>
    <w:p w14:paraId="0B47985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在涉汛排水设施三维数字孪生展示中，实现在三维孪生场景中各种功能，包括</w:t>
      </w:r>
    </w:p>
    <w:p w14:paraId="54ABA0A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地图操作，以对三维地图进行放大、缩小、旋转、更改管线颜色，支持对当前三维地图进行视角、视点的设置，形成视角方案，并对视角方案进行管理。</w:t>
      </w:r>
    </w:p>
    <w:p w14:paraId="573E6A0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管网资产管理，查看管网动态运行及静态属性的指标总览，查看管网基础属性信息，管网普查及检测的结论信息以及相关视频画面。</w:t>
      </w:r>
    </w:p>
    <w:p w14:paraId="1077509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管网模拟动态展示，在三维孪生场景中以动态可播放形式展示管网运行状态模拟结果，以数据汇总区块形式展示内涝风险预警结论信息。</w:t>
      </w:r>
    </w:p>
    <w:p w14:paraId="4C5B587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业务规程数据及感知数据交互展示，支持实时查看涉汛排水设施设备运行状态、监测数据、报警信息、视频监控等实时感知信息。实现在三维场景中展示涉及城市防汛排涝的运行统计分析数据和业务过程数据（内涝事件、防汛排涝工单、车辆物资人员位置、设备运维台账、河道排口巡维台账）为管理人员提供运行分析功能。</w:t>
      </w:r>
    </w:p>
    <w:p w14:paraId="675EB6FB">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4.3.3排水管网地理信息系统</w:t>
      </w:r>
    </w:p>
    <w:p w14:paraId="379EB9E3">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4.3.3.1排水管网数据维护系统</w:t>
      </w:r>
    </w:p>
    <w:p w14:paraId="5F4E193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地图浏览</w:t>
      </w:r>
    </w:p>
    <w:p w14:paraId="522A7EC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功能需包括：识别、选择、平移、全幅、清除、放大、缩小、手动输入比例尺、前视图/后视图、书签、图例、地图打印、地图量算、定位查询、设置过滤。</w:t>
      </w:r>
    </w:p>
    <w:p w14:paraId="434EF87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统计查询</w:t>
      </w:r>
    </w:p>
    <w:p w14:paraId="479F4C2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支持实现：按道路查询、按年代查询、按材质/口径查询、阀门查询、地图查询、自定义查询、按口径统计管长、按材质统计管长、按年代统计管长、按口径统计阀门、自定义统计、全设备统计、多图层自定义统计。</w:t>
      </w:r>
    </w:p>
    <w:p w14:paraId="4538E98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管网编辑</w:t>
      </w:r>
    </w:p>
    <w:p w14:paraId="3363C1D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以对管网数据进行如下编辑操作，包括开始/保存/结束编辑、管段选择工具、缩放、旋转设备、删除设备、属性查看、整形、复制、粘贴、管线延长、管线合并、管线打断、直线段、直角、端点弧度、撤销、重做、捕捉设置。</w:t>
      </w:r>
    </w:p>
    <w:p w14:paraId="150F971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导入导出</w:t>
      </w:r>
    </w:p>
    <w:p w14:paraId="122331B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支持CAD、Shape、Excel格式文件的导出或者导出。</w:t>
      </w:r>
    </w:p>
    <w:p w14:paraId="6B37A28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拓朴检查</w:t>
      </w:r>
    </w:p>
    <w:p w14:paraId="50622B5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对管线基础数据进行连接度检查、孤立点检查、重叠点检查、重叠线检查、空值检查、唯一检查。</w:t>
      </w:r>
    </w:p>
    <w:p w14:paraId="6124B76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配置信息</w:t>
      </w:r>
    </w:p>
    <w:p w14:paraId="589C3F8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系统需具备属性域管理、元数据管理、日志记录、查询字段设置、图层设置功能。</w:t>
      </w:r>
    </w:p>
    <w:p w14:paraId="7D3F2EAE">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373" w:name="_Toc13385"/>
      <w:bookmarkStart w:id="374" w:name="_Toc21191"/>
      <w:r>
        <w:rPr>
          <w:rFonts w:hint="eastAsia" w:ascii="宋体" w:hAnsi="宋体" w:eastAsia="宋体" w:cs="宋体"/>
          <w:b/>
          <w:sz w:val="24"/>
          <w:szCs w:val="24"/>
          <w:highlight w:val="none"/>
          <w:lang w:val="en-US" w:eastAsia="zh-CN"/>
        </w:rPr>
        <w:t>4.3.3.2排水管网地理信息</w:t>
      </w:r>
      <w:bookmarkEnd w:id="373"/>
      <w:r>
        <w:rPr>
          <w:rFonts w:hint="eastAsia" w:ascii="宋体" w:hAnsi="宋体" w:eastAsia="宋体" w:cs="宋体"/>
          <w:b/>
          <w:sz w:val="24"/>
          <w:szCs w:val="24"/>
          <w:highlight w:val="none"/>
          <w:lang w:val="en-US" w:eastAsia="zh-CN"/>
        </w:rPr>
        <w:t>管理系统</w:t>
      </w:r>
      <w:bookmarkEnd w:id="374"/>
    </w:p>
    <w:p w14:paraId="7BEED25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地理信息首页</w:t>
      </w:r>
    </w:p>
    <w:p w14:paraId="1407C9F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首页需提供综合搜索功能菜单和快速工具栏等基本工具辅助地图浏览查看、图层展示等。主要功能需包含：图层控制、管网设备检索、信息点搜索、区域导航、数据查询、点选、平移、量算、导出、图例、标注、清除、全幅、地图卷帘、定位、缩小、放大、矢量图与影像图切换。</w:t>
      </w:r>
    </w:p>
    <w:p w14:paraId="09DAEBE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管网统计</w:t>
      </w:r>
    </w:p>
    <w:p w14:paraId="2E98F67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系统需支持对各类管网设施进行数据统计，及形成相应的统计报表，包括自定义统计、管点统计、管线统计、全设备统计、阀门统计报表</w:t>
      </w:r>
    </w:p>
    <w:p w14:paraId="3D338B7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管网分析</w:t>
      </w:r>
    </w:p>
    <w:p w14:paraId="7D795CF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系统需支管网基础数据的相关分析内容，包括污染源分析、连通性分析、横断面分析、纵断面分析。</w:t>
      </w:r>
    </w:p>
    <w:p w14:paraId="33EF832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专题图分析</w:t>
      </w:r>
    </w:p>
    <w:p w14:paraId="06878E3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管网专题图要求以“地图+数据+业务”为呈现方式，构建整个水务系统的“电子沙盘”，通过“专题图”实现基于空间的可视化展现，包括管径专题、管材专题、阀门专题。</w:t>
      </w:r>
    </w:p>
    <w:p w14:paraId="1968ABE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管线总览</w:t>
      </w:r>
    </w:p>
    <w:p w14:paraId="5F978C6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用可视化图表的形式展示雨污水管线基础数据的想跟你通过及分析结果，以不同的数据区块进行展示，涉及但不限于管网长度、管段数量、管材占比、区域管段长度占比等。</w:t>
      </w:r>
    </w:p>
    <w:p w14:paraId="53F2B3F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管网资产</w:t>
      </w:r>
    </w:p>
    <w:p w14:paraId="20F0104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需具有管网养护维修、管网附属设施操作后形成的台账记录，及管网设施详细信息台账，包括管网养护台账、修复台账、清淤台账、管网检测台账、阀门启闭台账以及其余台账信息查看。按台账类型台账信息进行统计。</w:t>
      </w:r>
    </w:p>
    <w:p w14:paraId="34AD816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资产信息</w:t>
      </w:r>
    </w:p>
    <w:p w14:paraId="7F4A582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管理管线工程信息及对应的图档信息，包括资料管理、图档管理。</w:t>
      </w:r>
    </w:p>
    <w:p w14:paraId="6224ED8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系统设置</w:t>
      </w:r>
    </w:p>
    <w:p w14:paraId="3DB8CBE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系统需支持人员地图权限、角色地图权限、地图数据配置功能。</w:t>
      </w:r>
    </w:p>
    <w:p w14:paraId="757231EE">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4.3.3.3排水管网数据大屏展示</w:t>
      </w:r>
    </w:p>
    <w:p w14:paraId="38F2645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Hans"/>
        </w:rPr>
        <w:t>地图操作</w:t>
      </w:r>
    </w:p>
    <w:p w14:paraId="45FFE7D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提供对地图的基本操作，包括实现地图的放大、缩小、漫游、平移、全幅显示、比例尺显示、地图刷新、图层控制、鹰眼视图、距离量算、面积量算、地图打印等。</w:t>
      </w:r>
    </w:p>
    <w:p w14:paraId="056F2B6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Hans"/>
        </w:rPr>
        <w:t>信息查询统计和图形化表达</w:t>
      </w:r>
    </w:p>
    <w:p w14:paraId="14E1F78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实现对各类数据：管点、管段、排水户、混接点、接入点、检测数据的各种方式的查询和统计，以不同的主题维度进行统计分析形成图形化表达和报表。</w:t>
      </w:r>
    </w:p>
    <w:p w14:paraId="3BE0A97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Hans"/>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Hans"/>
        </w:rPr>
        <w:t>智能查询</w:t>
      </w:r>
    </w:p>
    <w:p w14:paraId="34D2FEE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提供类似搜索引擎类似的查询入口，统一完成对管点、管段、混接、排水户、检测数据等各类数据的智能化查询以及对结果进行报表和图形化表达。</w:t>
      </w:r>
    </w:p>
    <w:p w14:paraId="1D8972E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Hans"/>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Hans"/>
        </w:rPr>
        <w:t>空间分析</w:t>
      </w:r>
    </w:p>
    <w:p w14:paraId="3D09EE5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具有任意横断面、纵断面生成功能。</w:t>
      </w:r>
    </w:p>
    <w:p w14:paraId="41098B6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Hans"/>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Hans"/>
        </w:rPr>
        <w:t>模拟分析</w:t>
      </w:r>
    </w:p>
    <w:p w14:paraId="263685D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实现以排水系统为基础的运行模拟，实现排水系统从收水口到出水口的完整运行状态展示。</w:t>
      </w:r>
    </w:p>
    <w:p w14:paraId="14B8D675">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4.3.3.4管网地理信息系统接口</w:t>
      </w:r>
    </w:p>
    <w:p w14:paraId="1208021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需要预留开发供智慧管理平台获取管网档案信息及属性数据及管网统计分析结论的必要接口，便于其余业务应用进行调用。</w:t>
      </w:r>
    </w:p>
    <w:p w14:paraId="584455E3">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375" w:name="_Toc32039"/>
      <w:r>
        <w:rPr>
          <w:rFonts w:hint="eastAsia" w:ascii="宋体" w:hAnsi="宋体" w:eastAsia="宋体" w:cs="宋体"/>
          <w:b/>
          <w:sz w:val="24"/>
          <w:szCs w:val="24"/>
          <w:highlight w:val="none"/>
          <w:lang w:val="en-US" w:eastAsia="zh-CN"/>
        </w:rPr>
        <w:t>4.3.4涉汛设施综合监管</w:t>
      </w:r>
      <w:bookmarkEnd w:id="375"/>
    </w:p>
    <w:p w14:paraId="509FCE24">
      <w:pPr>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在线监测数据采集</w:t>
      </w:r>
    </w:p>
    <w:p w14:paraId="1DB40B6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在线监测数据采集实现了涉汛设施运行信息在线监测数据仪表读数和监测设备运行参数的系统数据接入，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应针对各种类型涉汛设施描述其监测的数据项目、数据从产生到采集传输的过程情况。</w:t>
      </w:r>
    </w:p>
    <w:p w14:paraId="1F263D78">
      <w:pPr>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设施运行监测</w:t>
      </w:r>
    </w:p>
    <w:p w14:paraId="1910F04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376" w:name="_Toc2242"/>
      <w:bookmarkStart w:id="377" w:name="_Toc130464763"/>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涉汛设施监测实时数据</w:t>
      </w:r>
      <w:bookmarkEnd w:id="376"/>
      <w:bookmarkEnd w:id="377"/>
    </w:p>
    <w:p w14:paraId="39DE727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按照涉汛设施类别将各设施的实时监测数据以数据块的形式进行汇总展示，通过点击设施名称可以跳转到单点的数据信息页面，进行列表数据及趋势曲线的查看。</w:t>
      </w:r>
    </w:p>
    <w:p w14:paraId="25D917B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378" w:name="_Toc32639"/>
      <w:bookmarkStart w:id="379" w:name="_Toc130464764"/>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排水路径总览</w:t>
      </w:r>
      <w:bookmarkEnd w:id="378"/>
      <w:bookmarkEnd w:id="379"/>
    </w:p>
    <w:p w14:paraId="146EB57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以地图形式展示各雨水泵站、雨水管网监测点、河道水文监测点、沿河排口的地理位置和管网拓扑关系，展示各监测点关键运行监测指标，通过点击排水泵站在地图上的图标可实现泵站内部工艺组态画面的展示。</w:t>
      </w:r>
    </w:p>
    <w:p w14:paraId="7633AF9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380" w:name="_Toc13278"/>
      <w:bookmarkStart w:id="381" w:name="_Toc130464765"/>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视频监控</w:t>
      </w:r>
      <w:bookmarkEnd w:id="380"/>
      <w:bookmarkEnd w:id="381"/>
    </w:p>
    <w:p w14:paraId="37E3A07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以树形结构按照涉汛设施类型汇总所有的视频监控探头，可调阅查看实时监控画面和历史监控视频信息。</w:t>
      </w:r>
    </w:p>
    <w:p w14:paraId="328F33F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382" w:name="_Toc13486"/>
      <w:bookmarkStart w:id="383" w:name="_Toc130464766"/>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数据趋势分析</w:t>
      </w:r>
      <w:bookmarkEnd w:id="382"/>
      <w:bookmarkEnd w:id="383"/>
    </w:p>
    <w:p w14:paraId="3AC982E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可对采集的数据进行存储，对绘制历史运行趋势曲线，支持各站点各指标进行自定义选择，以一个或多个面板进行对比查看与分析。</w:t>
      </w:r>
    </w:p>
    <w:p w14:paraId="5FB0325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384" w:name="_Toc130464767"/>
      <w:bookmarkStart w:id="385" w:name="_Toc24934"/>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泵站变更记录</w:t>
      </w:r>
      <w:bookmarkEnd w:id="384"/>
      <w:bookmarkEnd w:id="385"/>
    </w:p>
    <w:p w14:paraId="0587D33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将污水提升泵站经过现场手动操作或者自控程序控制泵机操作前后的运行方案进行汇总展示，可以查看每次操作前后泵站内泵机开停组合情况。</w:t>
      </w:r>
    </w:p>
    <w:p w14:paraId="46BF2492">
      <w:pPr>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（3）历史综合数据</w:t>
      </w:r>
    </w:p>
    <w:p w14:paraId="2DEAE05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查看各涉汛设施数据运行监测记录的日报、月报及年报，也可以查看对应报表记录的数据的趋势曲线，其中月报、年报中包含有时间周期内的数据项目的极值、均值、极值发生时间、变化系数等数据统计分析内容。同时也支持以图线进行多个参数的对比分析。</w:t>
      </w:r>
    </w:p>
    <w:p w14:paraId="26AD2147">
      <w:pPr>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（4）监控预警报警</w:t>
      </w:r>
    </w:p>
    <w:p w14:paraId="5AE2790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报警一张图</w:t>
      </w:r>
    </w:p>
    <w:p w14:paraId="3D4B0D3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在地图上将监测点的位置标记出来，并通过不同的颜色来区分报警状态，用不同的形状来表示不同的设备类型。</w:t>
      </w:r>
    </w:p>
    <w:p w14:paraId="0347C05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可以通过复选框来筛选片区、设备类型、数据类型、报警状态，来达到筛选报警的目的。</w:t>
      </w:r>
    </w:p>
    <w:p w14:paraId="72AB9C8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报警态势</w:t>
      </w:r>
    </w:p>
    <w:p w14:paraId="3C9FF03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报警态势显示了对当前所有的实时报警的基本统计结果，包括传感器类型统计、处置状态统计、时报警数量变化趋势统计。</w:t>
      </w:r>
    </w:p>
    <w:p w14:paraId="5ECF0F0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报警列表</w:t>
      </w:r>
    </w:p>
    <w:p w14:paraId="488036F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一张图页面，列出报警列表的简要信息，可以查看所有实时报警的基本报警信息，并且可以对报警列表进行筛选，地图落点会联动变化。点击某一报警事件后，会显示报警详情页面，并在地图上定位到该监测点。</w:t>
      </w:r>
    </w:p>
    <w:p w14:paraId="79CA71A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报警详情</w:t>
      </w:r>
    </w:p>
    <w:p w14:paraId="6676390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点击地图上的报警点，或报警列表的某一报警事件，弹出报警详情。包括实时数据、历史报警信息，展示其报警信息的关联曲线。</w:t>
      </w:r>
    </w:p>
    <w:p w14:paraId="6075BD9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报警处置</w:t>
      </w:r>
    </w:p>
    <w:p w14:paraId="1FF74F1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针对报警信息进行派发工单，选择配置好的报警流程指定相关人员按照流程进行处置闭环。可查看工单进度情况。</w:t>
      </w:r>
    </w:p>
    <w:p w14:paraId="6DA18A7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报警统计</w:t>
      </w:r>
    </w:p>
    <w:p w14:paraId="69497C5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一段时间的报警在多个维度进行统计，包括报警方案统计、分区统计、站点类型统计、传感器类型统计、工单状态统计、报警状态统计、处置状态统计、报警等级统计、时间维度统计。并可以对报警进行自主筛选，方便用户查看不同维度的统计结果。</w:t>
      </w:r>
    </w:p>
    <w:p w14:paraId="4333637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报警方案配置</w:t>
      </w:r>
    </w:p>
    <w:p w14:paraId="257C2BA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针对需要进行监测报警的数据项目设置相关基础规则，包括报警方案的分组及报警触发规则等。</w:t>
      </w:r>
    </w:p>
    <w:p w14:paraId="27A40BA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报警通知</w:t>
      </w:r>
    </w:p>
    <w:p w14:paraId="5B5EBE0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对定义过的报警方案设置在触发报警规则后产生的报警信息通过移动客户端消息推送或者短信通知的人员对象。</w:t>
      </w:r>
    </w:p>
    <w:p w14:paraId="5CAE237C">
      <w:pPr>
        <w:pageBreakBefore w:val="0"/>
        <w:kinsoku/>
        <w:wordWrap/>
        <w:overflowPunct/>
        <w:topLinePunct w:val="0"/>
        <w:autoSpaceDE/>
        <w:autoSpaceDN/>
        <w:bidi w:val="0"/>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（5）数据统计分析</w:t>
      </w:r>
    </w:p>
    <w:p w14:paraId="1F94245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数据统计分析功能以多种丰富的图表展示监测数据的变化趋势、分布及特征值统计。</w:t>
      </w:r>
    </w:p>
    <w:p w14:paraId="1141E9D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统计概览</w:t>
      </w:r>
    </w:p>
    <w:p w14:paraId="28B5336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统计概览模块以丰富图表的方式展示城市防汛指挥管理系统平台相关的监测设备及监测数据的整体情况。包括监测设备统计、监测报警统计、降雨日历、降雨场次统计。</w:t>
      </w:r>
    </w:p>
    <w:p w14:paraId="4A81BCC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基本统计</w:t>
      </w:r>
    </w:p>
    <w:p w14:paraId="6E33E74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本统计模块是针对某个监测设备的监测指标进行详细统计，包括报表统计及图形展示。按照不同步长对监测数据进行均值、最大值、最小值、中值、最大值出现时刻、最小值出现时刻等指标进行统计，对统计数值以图线图形的形式进行可视化展示。</w:t>
      </w:r>
    </w:p>
    <w:p w14:paraId="583C3F1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降雨统计</w:t>
      </w:r>
    </w:p>
    <w:p w14:paraId="1A4E683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降雨统计模块支持对日降雨、降雨等级及降雨场次等情况进行图表分析。包括日降雨统计、降雨等级统计、降雨场次统计，支持对统计数值以图线图形的形式进行可视化展示。</w:t>
      </w:r>
    </w:p>
    <w:p w14:paraId="4D020683">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386" w:name="_Toc132738241"/>
      <w:bookmarkStart w:id="387" w:name="_Toc21894"/>
      <w:r>
        <w:rPr>
          <w:rFonts w:hint="eastAsia" w:ascii="宋体" w:hAnsi="宋体" w:eastAsia="宋体" w:cs="宋体"/>
          <w:b/>
          <w:sz w:val="24"/>
          <w:szCs w:val="24"/>
          <w:highlight w:val="none"/>
          <w:lang w:val="en-US" w:eastAsia="zh-CN"/>
        </w:rPr>
        <w:t>4.3.5汛期值班及调度处置</w:t>
      </w:r>
      <w:bookmarkEnd w:id="386"/>
      <w:bookmarkEnd w:id="387"/>
    </w:p>
    <w:p w14:paraId="61C0B052">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388" w:name="_Toc130464775"/>
      <w:bookmarkStart w:id="389" w:name="_Toc27911"/>
      <w:bookmarkStart w:id="390" w:name="_Toc79337956"/>
      <w:bookmarkStart w:id="391" w:name="_Toc79763506"/>
      <w:bookmarkStart w:id="392" w:name="_Toc76923414"/>
      <w:r>
        <w:rPr>
          <w:rFonts w:hint="eastAsia" w:ascii="宋体" w:hAnsi="宋体" w:eastAsia="宋体" w:cs="宋体"/>
          <w:b/>
          <w:sz w:val="24"/>
          <w:szCs w:val="24"/>
          <w:highlight w:val="none"/>
          <w:lang w:val="en-US" w:eastAsia="zh-CN"/>
        </w:rPr>
        <w:t>4.3.5.1调度值班管理</w:t>
      </w:r>
      <w:bookmarkEnd w:id="388"/>
      <w:bookmarkEnd w:id="389"/>
      <w:bookmarkEnd w:id="390"/>
      <w:bookmarkEnd w:id="391"/>
      <w:bookmarkEnd w:id="392"/>
    </w:p>
    <w:p w14:paraId="383926B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对于汛期指挥中心人员调度值班工作进行全面安排，包括</w:t>
      </w:r>
      <w:bookmarkStart w:id="393" w:name="_Toc79337957"/>
      <w:r>
        <w:rPr>
          <w:rFonts w:hint="eastAsia" w:ascii="宋体" w:hAnsi="宋体" w:eastAsia="宋体" w:cs="宋体"/>
          <w:sz w:val="24"/>
          <w:szCs w:val="24"/>
          <w:highlight w:val="none"/>
        </w:rPr>
        <w:t>值班方案</w:t>
      </w:r>
      <w:bookmarkEnd w:id="393"/>
      <w:bookmarkStart w:id="394" w:name="_Toc79337958"/>
      <w:r>
        <w:rPr>
          <w:rFonts w:hint="eastAsia" w:ascii="宋体" w:hAnsi="宋体" w:eastAsia="宋体" w:cs="宋体"/>
          <w:sz w:val="24"/>
          <w:szCs w:val="24"/>
          <w:highlight w:val="none"/>
        </w:rPr>
        <w:t>、排班管理</w:t>
      </w:r>
      <w:bookmarkEnd w:id="394"/>
      <w:bookmarkStart w:id="395" w:name="_Toc79337961"/>
      <w:bookmarkStart w:id="396" w:name="_Toc79337959"/>
      <w:r>
        <w:rPr>
          <w:rFonts w:hint="eastAsia" w:ascii="宋体" w:hAnsi="宋体" w:eastAsia="宋体" w:cs="宋体"/>
          <w:sz w:val="24"/>
          <w:szCs w:val="24"/>
          <w:highlight w:val="none"/>
        </w:rPr>
        <w:t>、值班管理、值班记录</w:t>
      </w:r>
      <w:bookmarkEnd w:id="395"/>
      <w:r>
        <w:rPr>
          <w:rFonts w:hint="eastAsia" w:ascii="宋体" w:hAnsi="宋体" w:eastAsia="宋体" w:cs="宋体"/>
          <w:sz w:val="24"/>
          <w:szCs w:val="24"/>
          <w:highlight w:val="none"/>
        </w:rPr>
        <w:t>、调度日志、值班填报配置</w:t>
      </w:r>
      <w:bookmarkEnd w:id="396"/>
      <w:bookmarkStart w:id="397" w:name="_Toc79337960"/>
      <w:r>
        <w:rPr>
          <w:rFonts w:hint="eastAsia" w:ascii="宋体" w:hAnsi="宋体" w:eastAsia="宋体" w:cs="宋体"/>
          <w:sz w:val="24"/>
          <w:szCs w:val="24"/>
          <w:highlight w:val="none"/>
        </w:rPr>
        <w:t>、值班数据填报</w:t>
      </w:r>
      <w:bookmarkEnd w:id="397"/>
      <w:r>
        <w:rPr>
          <w:rFonts w:hint="eastAsia" w:ascii="宋体" w:hAnsi="宋体" w:eastAsia="宋体" w:cs="宋体"/>
          <w:sz w:val="24"/>
          <w:szCs w:val="24"/>
          <w:highlight w:val="none"/>
        </w:rPr>
        <w:t>、值班表单定义。</w:t>
      </w:r>
    </w:p>
    <w:p w14:paraId="038FD830">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398" w:name="_Toc130464776"/>
      <w:bookmarkStart w:id="399" w:name="_Toc79763507"/>
      <w:bookmarkStart w:id="400" w:name="_Toc80783319"/>
      <w:bookmarkStart w:id="401" w:name="_Toc79337966"/>
      <w:bookmarkStart w:id="402" w:name="_Toc25140"/>
      <w:r>
        <w:rPr>
          <w:rFonts w:hint="eastAsia" w:ascii="宋体" w:hAnsi="宋体" w:eastAsia="宋体" w:cs="宋体"/>
          <w:b/>
          <w:sz w:val="24"/>
          <w:szCs w:val="24"/>
          <w:highlight w:val="none"/>
          <w:lang w:val="en-US" w:eastAsia="zh-CN"/>
        </w:rPr>
        <w:t>4.3.5.2调度指令管理</w:t>
      </w:r>
      <w:bookmarkEnd w:id="398"/>
      <w:bookmarkEnd w:id="399"/>
      <w:bookmarkEnd w:id="400"/>
      <w:bookmarkEnd w:id="401"/>
      <w:bookmarkEnd w:id="402"/>
    </w:p>
    <w:p w14:paraId="40654D6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03" w:name="_Toc79337967"/>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调度指令</w:t>
      </w:r>
      <w:bookmarkEnd w:id="403"/>
    </w:p>
    <w:p w14:paraId="0957497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针对异常报警事件下发调度指令，明确指令下发的关联规则进行指令下发。</w:t>
      </w:r>
    </w:p>
    <w:p w14:paraId="74A9A33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04" w:name="_Toc79337968"/>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指令台账</w:t>
      </w:r>
      <w:bookmarkEnd w:id="404"/>
    </w:p>
    <w:p w14:paraId="2AE8023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查看已下发的调度指令接收情况及完成情况。</w:t>
      </w:r>
    </w:p>
    <w:p w14:paraId="21A92A6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05" w:name="_Toc79337969"/>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指令模板</w:t>
      </w:r>
      <w:bookmarkEnd w:id="405"/>
    </w:p>
    <w:p w14:paraId="71CD97D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将针对某特定设施中某特定设备的操作内容进行编辑固定，以便在进行给设施调度进行指令下发时进行直接调用。</w:t>
      </w:r>
    </w:p>
    <w:p w14:paraId="7748450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06" w:name="_Toc79337970"/>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常用指令</w:t>
      </w:r>
      <w:bookmarkEnd w:id="406"/>
    </w:p>
    <w:p w14:paraId="2A8C7FC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可自动编辑设置指令类别并针对类别进行调度指令常用指令模板的编辑，供下发指令时进行快速选择后按定义的规则进行下发。</w:t>
      </w:r>
    </w:p>
    <w:p w14:paraId="6B0F8AC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07" w:name="_Toc79337973"/>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指令统计</w:t>
      </w:r>
      <w:bookmarkEnd w:id="407"/>
    </w:p>
    <w:p w14:paraId="4E4AD93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对一定时间内的指令的相关情况进行统计，可跳转查看各指令的详细信息。</w:t>
      </w:r>
    </w:p>
    <w:p w14:paraId="287B06F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消息发送</w:t>
      </w:r>
    </w:p>
    <w:p w14:paraId="12C612B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建立与短信平台的对接机制，实现调度指令短消息的发送。</w:t>
      </w:r>
    </w:p>
    <w:p w14:paraId="53C97F34">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08" w:name="_Toc11249"/>
      <w:bookmarkStart w:id="409" w:name="_Toc80783320"/>
      <w:bookmarkStart w:id="410" w:name="_Toc130464777"/>
      <w:bookmarkStart w:id="411" w:name="_Toc79763508"/>
      <w:r>
        <w:rPr>
          <w:rFonts w:hint="eastAsia" w:ascii="宋体" w:hAnsi="宋体" w:eastAsia="宋体" w:cs="宋体"/>
          <w:b/>
          <w:sz w:val="24"/>
          <w:szCs w:val="24"/>
          <w:highlight w:val="none"/>
          <w:lang w:val="en-US" w:eastAsia="zh-CN"/>
        </w:rPr>
        <w:t>4.3.5.3调度工单管理</w:t>
      </w:r>
      <w:bookmarkEnd w:id="408"/>
      <w:bookmarkEnd w:id="409"/>
      <w:bookmarkEnd w:id="410"/>
      <w:bookmarkEnd w:id="411"/>
    </w:p>
    <w:p w14:paraId="7421BD9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划调度工单管理模块，用于住建局下属市政管理单位日常各项工作的工单流程化管理，且规划具备高度自由配置的流程管理机制，大大提升流程配置的灵活性。包括调度工单流程设置管理、调度工单下发、调度工单查询、调度工单任务管理。</w:t>
      </w:r>
    </w:p>
    <w:p w14:paraId="4D741410">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412" w:name="_Toc132738243"/>
      <w:bookmarkStart w:id="413" w:name="_Toc6674"/>
      <w:r>
        <w:rPr>
          <w:rFonts w:hint="eastAsia" w:ascii="宋体" w:hAnsi="宋体" w:eastAsia="宋体" w:cs="宋体"/>
          <w:b/>
          <w:sz w:val="24"/>
          <w:szCs w:val="24"/>
          <w:highlight w:val="none"/>
          <w:lang w:val="en-US" w:eastAsia="zh-CN"/>
        </w:rPr>
        <w:t>4.3.6涉汛排水设施综合运维</w:t>
      </w:r>
      <w:bookmarkEnd w:id="412"/>
      <w:bookmarkEnd w:id="413"/>
    </w:p>
    <w:p w14:paraId="79329688">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4.3.6.1站闸信息管理</w:t>
      </w:r>
    </w:p>
    <w:p w14:paraId="24C5CEC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提供各站闸基本信息编辑维护管理，为站闸地图定位与信息展示提供数据基础。</w:t>
      </w:r>
    </w:p>
    <w:p w14:paraId="53997297">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4.3.6.2</w:t>
      </w:r>
      <w:bookmarkStart w:id="414" w:name="_Toc108797403"/>
      <w:bookmarkStart w:id="415" w:name="_Toc92352805"/>
      <w:bookmarkStart w:id="416" w:name="_Toc10901"/>
      <w:bookmarkStart w:id="417" w:name="_Toc8001"/>
      <w:r>
        <w:rPr>
          <w:rFonts w:hint="eastAsia" w:ascii="宋体" w:hAnsi="宋体" w:eastAsia="宋体" w:cs="宋体"/>
          <w:b/>
          <w:sz w:val="24"/>
          <w:szCs w:val="24"/>
          <w:highlight w:val="none"/>
          <w:lang w:val="en-US" w:eastAsia="zh-CN"/>
        </w:rPr>
        <w:t>设备</w:t>
      </w:r>
      <w:bookmarkEnd w:id="414"/>
      <w:bookmarkEnd w:id="415"/>
      <w:r>
        <w:rPr>
          <w:rFonts w:hint="eastAsia" w:ascii="宋体" w:hAnsi="宋体" w:eastAsia="宋体" w:cs="宋体"/>
          <w:b/>
          <w:sz w:val="24"/>
          <w:szCs w:val="24"/>
          <w:highlight w:val="none"/>
          <w:lang w:val="en-US" w:eastAsia="zh-CN"/>
        </w:rPr>
        <w:t>设施综合统计</w:t>
      </w:r>
      <w:bookmarkEnd w:id="416"/>
      <w:bookmarkEnd w:id="417"/>
    </w:p>
    <w:p w14:paraId="40CDF8B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以设备管理全局视角以图形图线形式对和设备运维的相关数据进行多维度分析，为管理决策提供数据支撑。</w:t>
      </w:r>
    </w:p>
    <w:p w14:paraId="38CACFCF">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4.3.6.3设备台账管理</w:t>
      </w:r>
    </w:p>
    <w:p w14:paraId="5792F77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提供站闸设施设备台账管理，包括设备基础信息及运维历史数据展示，支持运维业务快速发起。支持设备信息变更流程化处理和管理设备备品备件台账。</w:t>
      </w:r>
    </w:p>
    <w:p w14:paraId="3C2B6937">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18" w:name="_Toc28032"/>
      <w:r>
        <w:rPr>
          <w:rFonts w:hint="eastAsia" w:ascii="宋体" w:hAnsi="宋体" w:eastAsia="宋体" w:cs="宋体"/>
          <w:b/>
          <w:sz w:val="24"/>
          <w:szCs w:val="24"/>
          <w:highlight w:val="none"/>
          <w:lang w:val="en-US" w:eastAsia="zh-CN"/>
        </w:rPr>
        <w:t>4.3.6.4任务中心</w:t>
      </w:r>
      <w:bookmarkEnd w:id="418"/>
    </w:p>
    <w:p w14:paraId="6870418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任务查询</w:t>
      </w:r>
    </w:p>
    <w:p w14:paraId="358F2DD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设备运维管理所有业务相关任务处理及展示的功能界面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巡检、维修、保养、设备变更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，支持与业务流程引擎联动。</w:t>
      </w:r>
    </w:p>
    <w:p w14:paraId="50DD66D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我的任务</w:t>
      </w:r>
    </w:p>
    <w:p w14:paraId="58C0387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设备运维管理与当前系统登录人相关任务处理及展示的功能界面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巡检、维修、保养、设备变更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，支持与业务流程引擎联动。</w:t>
      </w:r>
    </w:p>
    <w:p w14:paraId="61437463">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19" w:name="_Toc11967"/>
      <w:r>
        <w:rPr>
          <w:rFonts w:hint="eastAsia" w:ascii="宋体" w:hAnsi="宋体" w:eastAsia="宋体" w:cs="宋体"/>
          <w:b/>
          <w:sz w:val="24"/>
          <w:szCs w:val="24"/>
          <w:highlight w:val="none"/>
          <w:lang w:val="en-US" w:eastAsia="zh-CN"/>
        </w:rPr>
        <w:t>4.3.6.5设备巡检</w:t>
      </w:r>
      <w:bookmarkEnd w:id="419"/>
    </w:p>
    <w:p w14:paraId="73D4F28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巡检排班</w:t>
      </w:r>
    </w:p>
    <w:p w14:paraId="4B68E27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以所属组织自定义配置巡检排班，通过配置的时间周期及巡检人员，自动生成巡检任务到班组/人员，支持立即生成任务及轮询排班</w:t>
      </w:r>
    </w:p>
    <w:p w14:paraId="11C586C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巡检任务</w:t>
      </w:r>
    </w:p>
    <w:p w14:paraId="61D0C1C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巡检任务相关人员任务查询及操作界面，如数据录入、分派、转派、认领、终止等</w:t>
      </w:r>
    </w:p>
    <w:p w14:paraId="20A6092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巡检详情</w:t>
      </w:r>
    </w:p>
    <w:p w14:paraId="1CBA7A5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巡检任务相关详细，含任务信息、执行反馈、异常记录、任务实际完成时间、任务执行轨迹等，支持新增计划外临时巡检任务新增</w:t>
      </w:r>
    </w:p>
    <w:p w14:paraId="38F4D6B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临时巡检</w:t>
      </w:r>
    </w:p>
    <w:p w14:paraId="23DD11C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计划外临时巡检任务新增，完成后接入到任务中心，进行任务执行</w:t>
      </w:r>
    </w:p>
    <w:p w14:paraId="72FFD21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巡检报表</w:t>
      </w:r>
    </w:p>
    <w:p w14:paraId="5B2B8B2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以所属组织、巡检日期、巡检班次、巡检路线、巡检班组等维度自动生成巡检日报</w:t>
      </w:r>
    </w:p>
    <w:p w14:paraId="308740D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以所属组织、巡检月度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按每日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等维度自动生成巡检月报</w:t>
      </w:r>
    </w:p>
    <w:p w14:paraId="4FCF963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以所属组织、巡检月度、巡检年度等维度自动生成巡检统计数据</w:t>
      </w:r>
    </w:p>
    <w:p w14:paraId="69C22CC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巡检配置</w:t>
      </w:r>
    </w:p>
    <w:p w14:paraId="593C604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对设备巡检业务进行相关配置，包含：任务库、巡检路线、巡检班组、巡检班次等功能</w:t>
      </w:r>
    </w:p>
    <w:p w14:paraId="302CFC6D">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20" w:name="_Toc16021"/>
      <w:r>
        <w:rPr>
          <w:rFonts w:hint="eastAsia" w:ascii="宋体" w:hAnsi="宋体" w:eastAsia="宋体" w:cs="宋体"/>
          <w:b/>
          <w:sz w:val="24"/>
          <w:szCs w:val="24"/>
          <w:highlight w:val="none"/>
          <w:lang w:val="en-US" w:eastAsia="zh-CN"/>
        </w:rPr>
        <w:t>4.3.6.6设备维修</w:t>
      </w:r>
      <w:bookmarkEnd w:id="420"/>
    </w:p>
    <w:p w14:paraId="48DCA1F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维修申请</w:t>
      </w:r>
    </w:p>
    <w:p w14:paraId="533E355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维修任务发起，支持从维修项配置选取故障现象及自定义新增故障现象。</w:t>
      </w:r>
    </w:p>
    <w:p w14:paraId="1490C4F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维修任务</w:t>
      </w:r>
    </w:p>
    <w:p w14:paraId="10E1DFD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对已申请的维修任务进行流程流转或直接处理等操作，并衔接业务流程引擎维修审核、处理、验收流程。</w:t>
      </w:r>
    </w:p>
    <w:p w14:paraId="44555BA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维修查询</w:t>
      </w:r>
    </w:p>
    <w:p w14:paraId="19AADF8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维修任务相关详细信息查询，含任务信息、审核信息、执行反馈、备品备件消耗信息、处理记录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含流程对照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4B4D21AB">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21" w:name="_Toc3695"/>
      <w:r>
        <w:rPr>
          <w:rFonts w:hint="eastAsia" w:ascii="宋体" w:hAnsi="宋体" w:eastAsia="宋体" w:cs="宋体"/>
          <w:b/>
          <w:sz w:val="24"/>
          <w:szCs w:val="24"/>
          <w:highlight w:val="none"/>
          <w:lang w:val="en-US" w:eastAsia="zh-CN"/>
        </w:rPr>
        <w:t>4.3.6.7设备保养</w:t>
      </w:r>
      <w:bookmarkEnd w:id="421"/>
    </w:p>
    <w:p w14:paraId="691173B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保养计划</w:t>
      </w:r>
    </w:p>
    <w:p w14:paraId="5D91F29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基于设备台账为对象，制定保养计划，以月度时间周期，将当月对象设备保养事项规划到一个保养任务中，并依据按设备分类配置的保养项中保养周期，自动生成后续保养任务。</w:t>
      </w:r>
    </w:p>
    <w:p w14:paraId="4314C8B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保养任务</w:t>
      </w:r>
    </w:p>
    <w:p w14:paraId="0F6545B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对按照保养计划已生成的保养任务进行流程流转或直接处理等操作，并衔接业务流程引擎进行保养审核、处理、验收流程。</w:t>
      </w:r>
    </w:p>
    <w:p w14:paraId="3B2F3AA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临时保养</w:t>
      </w:r>
    </w:p>
    <w:p w14:paraId="1DEA81C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计划外临时保养任务新增，完成后接入到任务中心，进行任务执行。</w:t>
      </w:r>
    </w:p>
    <w:p w14:paraId="48813FA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保养查询</w:t>
      </w:r>
    </w:p>
    <w:p w14:paraId="2172CDE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保养任务相关详细信息查询，含任务信息、审核信息、执行反馈、备品备件消耗信息、处理记录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含流程对照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4C518BD4">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22" w:name="_Toc23681"/>
      <w:r>
        <w:rPr>
          <w:rFonts w:hint="eastAsia" w:ascii="宋体" w:hAnsi="宋体" w:eastAsia="宋体" w:cs="宋体"/>
          <w:b/>
          <w:sz w:val="24"/>
          <w:szCs w:val="24"/>
          <w:highlight w:val="none"/>
          <w:lang w:val="en-US" w:eastAsia="zh-CN"/>
        </w:rPr>
        <w:t>4.3.6.8系统配置</w:t>
      </w:r>
      <w:bookmarkEnd w:id="422"/>
    </w:p>
    <w:p w14:paraId="6F6E225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设备模型:设备基础信息字段自定义，并支持按照设备分类类型、位置类型进行扩展属性自定义。</w:t>
      </w:r>
    </w:p>
    <w:p w14:paraId="6F28A47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设备分类：设备分类信息维护。</w:t>
      </w:r>
    </w:p>
    <w:p w14:paraId="053A7E6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位置台账：设备安装位置信息维护。</w:t>
      </w:r>
    </w:p>
    <w:p w14:paraId="301074D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巡检对象：巡检任务对象信息维护。</w:t>
      </w:r>
    </w:p>
    <w:p w14:paraId="025FF94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巡检内容：巡检任务内容信息维护。</w:t>
      </w:r>
    </w:p>
    <w:p w14:paraId="36EB256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维修项配置：依据设备分类进行故障库、维修库内容自定义配置。</w:t>
      </w:r>
    </w:p>
    <w:p w14:paraId="7607EAD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保养项配置：依据设备分类进行保养库内容自定义配置。</w:t>
      </w:r>
    </w:p>
    <w:p w14:paraId="28C930F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二维码配置：二维码对象生成及解/绑定维护。</w:t>
      </w:r>
    </w:p>
    <w:p w14:paraId="49676AB0">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423" w:name="_Toc132738244"/>
      <w:bookmarkStart w:id="424" w:name="_Toc872"/>
      <w:r>
        <w:rPr>
          <w:rFonts w:hint="eastAsia" w:ascii="宋体" w:hAnsi="宋体" w:eastAsia="宋体" w:cs="宋体"/>
          <w:b/>
          <w:sz w:val="24"/>
          <w:szCs w:val="24"/>
          <w:highlight w:val="none"/>
          <w:lang w:val="en-US" w:eastAsia="zh-CN"/>
        </w:rPr>
        <w:t>4.3.7河道排口巡维管理</w:t>
      </w:r>
      <w:bookmarkEnd w:id="423"/>
      <w:bookmarkEnd w:id="424"/>
    </w:p>
    <w:p w14:paraId="1F74B35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于河道排口基础数据，进行日常巡查计划（巡查、排口整治、排口隐患排查）的制定和审批；结合移动端对河道排口巡查签到打卡、巡查上报、问题处理、养护结果上报等，系统自动生成巡查养护及问题处理台账；能实时掌握河道排口的整体状态（包括河道排口基本信息、巡查记录、养护问题等）；对实现河道排口巡查流程化、养护信息化、监管精细化；同时，通过移动端的打卡记录，能实时记录巡查人员的作业轨迹，方便考勤管理展现巡查人员的在岗状况等，实现业务与人员方面的信息化管理，提高排口养护工作效率和人员监管水平。</w:t>
      </w:r>
    </w:p>
    <w:p w14:paraId="5B0FC194">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zh-CN" w:eastAsia="zh-CN"/>
        </w:rPr>
      </w:pPr>
      <w:r>
        <w:rPr>
          <w:rFonts w:hint="eastAsia" w:ascii="宋体" w:hAnsi="宋体" w:eastAsia="宋体" w:cs="宋体"/>
          <w:b/>
          <w:sz w:val="24"/>
          <w:szCs w:val="24"/>
          <w:highlight w:val="none"/>
          <w:lang w:val="en-US" w:eastAsia="zh-CN"/>
        </w:rPr>
        <w:t>4.3.7.1</w:t>
      </w:r>
      <w:r>
        <w:rPr>
          <w:rFonts w:hint="eastAsia" w:ascii="宋体" w:hAnsi="宋体" w:eastAsia="宋体" w:cs="宋体"/>
          <w:b/>
          <w:sz w:val="24"/>
          <w:szCs w:val="24"/>
          <w:highlight w:val="none"/>
          <w:lang w:val="zh-CN" w:eastAsia="zh-CN"/>
        </w:rPr>
        <w:t>河道</w:t>
      </w:r>
      <w:r>
        <w:rPr>
          <w:rFonts w:hint="eastAsia" w:ascii="宋体" w:hAnsi="宋体" w:eastAsia="宋体" w:cs="宋体"/>
          <w:b/>
          <w:sz w:val="24"/>
          <w:szCs w:val="24"/>
          <w:highlight w:val="none"/>
          <w:lang w:val="en-US" w:eastAsia="zh-CN"/>
        </w:rPr>
        <w:t>排口</w:t>
      </w:r>
      <w:r>
        <w:rPr>
          <w:rFonts w:hint="eastAsia" w:ascii="宋体" w:hAnsi="宋体" w:eastAsia="宋体" w:cs="宋体"/>
          <w:b/>
          <w:sz w:val="24"/>
          <w:szCs w:val="24"/>
          <w:highlight w:val="none"/>
          <w:lang w:val="zh-CN" w:eastAsia="zh-CN"/>
        </w:rPr>
        <w:t>巡检基础管理</w:t>
      </w:r>
    </w:p>
    <w:p w14:paraId="0682297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包括河道排口巡检工作台账管理、河道排口巡检工作统计报表、河道排口巡查打卡方案。</w:t>
      </w:r>
    </w:p>
    <w:p w14:paraId="4A7DF793">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4.3.7.2河道排口巡维计划管理</w:t>
      </w:r>
    </w:p>
    <w:p w14:paraId="5D8F9C7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包括排口养护治理工作计划制定、排口养护治理计划审批、排口养护治理计划分派、排口养护治理计划浏览。</w:t>
      </w:r>
    </w:p>
    <w:p w14:paraId="697267CE">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4.3.7.3河道排口巡维工单</w:t>
      </w:r>
    </w:p>
    <w:p w14:paraId="65053D39">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包括任务工单管理、巡查上报管理、河道排口工单台账。</w:t>
      </w:r>
    </w:p>
    <w:p w14:paraId="150AA96C">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4.3.7.4河道排口巡维绩效</w:t>
      </w:r>
    </w:p>
    <w:p w14:paraId="5512556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巡维班组管理、出勤监测、巡查轨迹回放、人员考勤管理、河道排口打卡记录表、巡查人员作业统计。</w:t>
      </w:r>
    </w:p>
    <w:p w14:paraId="3B63EB1F">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425" w:name="_Toc12702"/>
      <w:bookmarkStart w:id="426" w:name="_Toc678"/>
      <w:bookmarkStart w:id="427" w:name="_Toc4062"/>
      <w:r>
        <w:rPr>
          <w:rFonts w:hint="eastAsia" w:ascii="宋体" w:hAnsi="宋体" w:eastAsia="宋体" w:cs="宋体"/>
          <w:b/>
          <w:sz w:val="24"/>
          <w:szCs w:val="24"/>
          <w:highlight w:val="none"/>
          <w:lang w:val="en-US" w:eastAsia="zh-CN"/>
        </w:rPr>
        <w:t>4.3.8防汛内涝指挥</w:t>
      </w:r>
      <w:bookmarkEnd w:id="425"/>
      <w:bookmarkEnd w:id="426"/>
      <w:bookmarkEnd w:id="427"/>
    </w:p>
    <w:p w14:paraId="033FEAC5">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28" w:name="_Toc101509667"/>
      <w:bookmarkStart w:id="429" w:name="_Toc12063"/>
      <w:bookmarkStart w:id="430" w:name="_Toc26138"/>
      <w:bookmarkStart w:id="431" w:name="_Toc108797420"/>
      <w:r>
        <w:rPr>
          <w:rFonts w:hint="eastAsia" w:ascii="宋体" w:hAnsi="宋体" w:eastAsia="宋体" w:cs="宋体"/>
          <w:b/>
          <w:sz w:val="24"/>
          <w:szCs w:val="24"/>
          <w:highlight w:val="none"/>
          <w:lang w:val="en-US" w:eastAsia="zh-CN"/>
        </w:rPr>
        <w:t>4.3.8.1防汛指挥总览</w:t>
      </w:r>
      <w:bookmarkEnd w:id="428"/>
      <w:bookmarkEnd w:id="429"/>
      <w:bookmarkEnd w:id="430"/>
      <w:bookmarkEnd w:id="431"/>
    </w:p>
    <w:p w14:paraId="461E274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地图为底图将各防汛排涝相关的所有要素在图上进行落图展示，通过页面操作触发单个要素的详细信息查看调阅，展示防汛相关的关键信息的汇总统计数据，此外展示涉汛排水设施的运行工情及水情监测数据，动态展示</w:t>
      </w:r>
      <w:bookmarkStart w:id="432" w:name="_Toc29336"/>
      <w:r>
        <w:rPr>
          <w:rFonts w:hint="eastAsia" w:ascii="宋体" w:hAnsi="宋体" w:eastAsia="宋体" w:cs="宋体"/>
          <w:sz w:val="24"/>
          <w:szCs w:val="24"/>
          <w:highlight w:val="none"/>
        </w:rPr>
        <w:t>城市内涝态势预报预警</w:t>
      </w:r>
      <w:bookmarkEnd w:id="432"/>
      <w:r>
        <w:rPr>
          <w:rFonts w:hint="eastAsia" w:ascii="宋体" w:hAnsi="宋体" w:eastAsia="宋体" w:cs="宋体"/>
          <w:sz w:val="24"/>
          <w:szCs w:val="24"/>
          <w:highlight w:val="none"/>
        </w:rPr>
        <w:t>模块中基于水力模型推演预测的地面内涝风险演进变化趋势情况，显示当前防汛排涝工单详细情况等。</w:t>
      </w:r>
    </w:p>
    <w:p w14:paraId="0DD508D1">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33" w:name="_Toc26949"/>
      <w:bookmarkStart w:id="434" w:name="_Toc32220"/>
      <w:r>
        <w:rPr>
          <w:rFonts w:hint="eastAsia" w:ascii="宋体" w:hAnsi="宋体" w:eastAsia="宋体" w:cs="宋体"/>
          <w:b/>
          <w:sz w:val="24"/>
          <w:szCs w:val="24"/>
          <w:highlight w:val="none"/>
          <w:lang w:val="en-US" w:eastAsia="zh-CN"/>
        </w:rPr>
        <w:t>4.3.8.2防涝应急事前准备</w:t>
      </w:r>
      <w:bookmarkEnd w:id="433"/>
      <w:bookmarkEnd w:id="434"/>
    </w:p>
    <w:p w14:paraId="40BFEB6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管理查看汛期天气气象综合预警信息，包括暴雨预警、降雨量预报、天气预报、降雨雷达和台风信息。</w:t>
      </w:r>
    </w:p>
    <w:p w14:paraId="1DB5BD9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35" w:name="_Toc101509677"/>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针对各类型内部有储水空间的涉汛设施管理雨前预设排空指令</w:t>
      </w:r>
      <w:bookmarkEnd w:id="435"/>
      <w:r>
        <w:rPr>
          <w:rFonts w:hint="eastAsia" w:ascii="宋体" w:hAnsi="宋体" w:eastAsia="宋体" w:cs="宋体"/>
          <w:sz w:val="24"/>
          <w:szCs w:val="24"/>
          <w:highlight w:val="none"/>
        </w:rPr>
        <w:t>。</w:t>
      </w:r>
    </w:p>
    <w:p w14:paraId="6036D2B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管理需要进行值守巡视的易涝点信息。</w:t>
      </w:r>
    </w:p>
    <w:p w14:paraId="323DE12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36" w:name="_Toc101509679"/>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管理查看防汛应急物资分布与存储</w:t>
      </w:r>
      <w:bookmarkEnd w:id="436"/>
      <w:r>
        <w:rPr>
          <w:rFonts w:hint="eastAsia" w:ascii="宋体" w:hAnsi="宋体" w:eastAsia="宋体" w:cs="宋体"/>
          <w:sz w:val="24"/>
          <w:szCs w:val="24"/>
          <w:highlight w:val="none"/>
        </w:rPr>
        <w:t>情况。</w:t>
      </w:r>
    </w:p>
    <w:p w14:paraId="0AF2D9D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37" w:name="_Toc101509681"/>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管理针对不同类型的防汛内涝事件处置预案</w:t>
      </w:r>
      <w:bookmarkEnd w:id="437"/>
      <w:r>
        <w:rPr>
          <w:rFonts w:hint="eastAsia" w:ascii="宋体" w:hAnsi="宋体" w:eastAsia="宋体" w:cs="宋体"/>
          <w:sz w:val="24"/>
          <w:szCs w:val="24"/>
          <w:highlight w:val="none"/>
        </w:rPr>
        <w:t>，预案内容包括处置要求、处置方法、处置流程可能涉及到的物资等。</w:t>
      </w:r>
    </w:p>
    <w:p w14:paraId="219B52E3">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38" w:name="_Toc2147"/>
      <w:bookmarkStart w:id="439" w:name="_Toc32519"/>
      <w:r>
        <w:rPr>
          <w:rFonts w:hint="eastAsia" w:ascii="宋体" w:hAnsi="宋体" w:eastAsia="宋体" w:cs="宋体"/>
          <w:b/>
          <w:sz w:val="24"/>
          <w:szCs w:val="24"/>
          <w:highlight w:val="none"/>
          <w:lang w:val="en-US" w:eastAsia="zh-CN"/>
        </w:rPr>
        <w:t>4.3.8.3防涝应急抢险指挥</w:t>
      </w:r>
      <w:bookmarkEnd w:id="438"/>
      <w:bookmarkEnd w:id="439"/>
    </w:p>
    <w:p w14:paraId="5EC7A32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40" w:name="_Toc101509686"/>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防汛排涝处置启动</w:t>
      </w:r>
      <w:bookmarkEnd w:id="440"/>
      <w:r>
        <w:rPr>
          <w:rFonts w:hint="eastAsia" w:ascii="宋体" w:hAnsi="宋体" w:eastAsia="宋体" w:cs="宋体"/>
          <w:sz w:val="24"/>
          <w:szCs w:val="24"/>
          <w:highlight w:val="none"/>
        </w:rPr>
        <w:t>，防汛指挥调度人员根据暴雨预警信息启动防汛排涝处置响应。</w:t>
      </w:r>
    </w:p>
    <w:p w14:paraId="2BCA32E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41" w:name="_Toc101509688"/>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预设指令台账</w:t>
      </w:r>
      <w:bookmarkEnd w:id="441"/>
      <w:r>
        <w:rPr>
          <w:rFonts w:hint="eastAsia" w:ascii="宋体" w:hAnsi="宋体" w:eastAsia="宋体" w:cs="宋体"/>
          <w:sz w:val="24"/>
          <w:szCs w:val="24"/>
          <w:highlight w:val="none"/>
        </w:rPr>
        <w:t>，查询雨前预设指令在启动防汛排涝处置响应进行自行下发后的台账数据，可查看指令详细信息及完成情况。</w:t>
      </w:r>
    </w:p>
    <w:p w14:paraId="0710BDA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内涝推演预警，对排水水力模型基模拟出的地面积水情况进行预测，在本模块中将预测推演结果详细信息进行展示。</w:t>
      </w:r>
    </w:p>
    <w:p w14:paraId="2848D72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汛情异常事件台账，对防汛内涝异常事件进行录入，可查看事件详细信息，快速跳转至工单派发页面进行工单派发。</w:t>
      </w:r>
    </w:p>
    <w:p w14:paraId="0D720BE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42" w:name="_Toc101509690"/>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防汛排涝工单下发</w:t>
      </w:r>
      <w:bookmarkEnd w:id="442"/>
      <w:r>
        <w:rPr>
          <w:rFonts w:hint="eastAsia" w:ascii="宋体" w:hAnsi="宋体" w:eastAsia="宋体" w:cs="宋体"/>
          <w:sz w:val="24"/>
          <w:szCs w:val="24"/>
          <w:highlight w:val="none"/>
        </w:rPr>
        <w:t>，系统对易积水点和预测内涝点下发值守巡查工单，针对上报的内涝异常事件人工下发调度工单，查看已经下发的工单的历史记录和跟进工单完成进度。</w:t>
      </w:r>
    </w:p>
    <w:p w14:paraId="6B4004A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43" w:name="_Toc101509691"/>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防汛排涝工单任务管理</w:t>
      </w:r>
      <w:bookmarkEnd w:id="443"/>
      <w:r>
        <w:rPr>
          <w:rFonts w:hint="eastAsia" w:ascii="宋体" w:hAnsi="宋体" w:eastAsia="宋体" w:cs="宋体"/>
          <w:sz w:val="24"/>
          <w:szCs w:val="24"/>
          <w:highlight w:val="none"/>
        </w:rPr>
        <w:t>，工单参与的人员根据流程设置要求在本模块中进行相关操作。</w:t>
      </w:r>
    </w:p>
    <w:p w14:paraId="12000D35">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44" w:name="_Toc7315"/>
      <w:bookmarkStart w:id="445" w:name="_Toc20442"/>
      <w:r>
        <w:rPr>
          <w:rFonts w:hint="eastAsia" w:ascii="宋体" w:hAnsi="宋体" w:eastAsia="宋体" w:cs="宋体"/>
          <w:b/>
          <w:sz w:val="24"/>
          <w:szCs w:val="24"/>
          <w:highlight w:val="none"/>
          <w:lang w:val="en-US" w:eastAsia="zh-CN"/>
        </w:rPr>
        <w:t>4.3.8.4远程视频会商管理</w:t>
      </w:r>
      <w:bookmarkEnd w:id="444"/>
      <w:bookmarkEnd w:id="445"/>
    </w:p>
    <w:p w14:paraId="2707721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实现端到端的远程视频会商，实现包括PC终端、移动终端、电子大屏等介质在内的所有设备之间的视频会商。便于前端及指挥中心端人员协同判明事件严重程度和潜在后续影响，快速确定处置方案。</w:t>
      </w:r>
    </w:p>
    <w:p w14:paraId="63B17D6D">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46" w:name="_Toc25891"/>
      <w:bookmarkStart w:id="447" w:name="_Toc28419"/>
      <w:r>
        <w:rPr>
          <w:rFonts w:hint="eastAsia" w:ascii="宋体" w:hAnsi="宋体" w:eastAsia="宋体" w:cs="宋体"/>
          <w:b/>
          <w:sz w:val="24"/>
          <w:szCs w:val="24"/>
          <w:highlight w:val="none"/>
          <w:lang w:val="en-US" w:eastAsia="zh-CN"/>
        </w:rPr>
        <w:t>4.3.8.5防涝应急抢险总结</w:t>
      </w:r>
      <w:bookmarkEnd w:id="446"/>
      <w:bookmarkEnd w:id="447"/>
    </w:p>
    <w:p w14:paraId="2B25B5F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结束预警，</w:t>
      </w:r>
      <w:r>
        <w:rPr>
          <w:rFonts w:hint="eastAsia" w:ascii="宋体" w:hAnsi="宋体" w:eastAsia="宋体" w:cs="宋体"/>
          <w:sz w:val="24"/>
          <w:szCs w:val="24"/>
          <w:highlight w:val="none"/>
        </w:rPr>
        <w:t>通过系统页面操作结束应急预案。应急预案结束的通知将会通过短信或者移动端消息推送方式发送给相关人员。</w:t>
      </w:r>
    </w:p>
    <w:p w14:paraId="60C25F6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一雨一报，防汛排涝处置响应结束后，系统将会自动总结本次应急抢险所出动的人员、装备、降雨、内涝点、事件、处置工单情况等信息基于图标图形的数据汇总统计。</w:t>
      </w:r>
    </w:p>
    <w:p w14:paraId="1BD2E5B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bookmarkStart w:id="448" w:name="_Toc101509697"/>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防汛排涝KPI</w:t>
      </w:r>
      <w:bookmarkEnd w:id="448"/>
      <w:r>
        <w:rPr>
          <w:rFonts w:hint="eastAsia" w:ascii="宋体" w:hAnsi="宋体" w:eastAsia="宋体" w:cs="宋体"/>
          <w:sz w:val="24"/>
          <w:szCs w:val="24"/>
          <w:highlight w:val="none"/>
        </w:rPr>
        <w:t>，以时间周期展示单位组织防汛处置调度能力关键KPI指标，以图表图线等BI形式进行对应KPI指标统计结果数据的展示，展示一段时间内的防汛工作组织、调度、消耗、时效等各方面的绩效趋势。</w:t>
      </w:r>
    </w:p>
    <w:p w14:paraId="04C425AE">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4.3.9内涝态势预报预警</w:t>
      </w:r>
    </w:p>
    <w:p w14:paraId="73E6498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利用排水水力模型在管控区域的地形道路以及排水管网进行建模，基于率定好的模型，考虑泵闸站运行工况及来源水量及径流水量情况，模拟排水系统运行情况，对于可能发生的排水管网运行风险及城市地面内涝积水风险等进行相关主题的分析评估，为防汛排涝事指挥调度人员雨前察觉风险，事前有效干预提供可靠的数据依据。</w:t>
      </w:r>
    </w:p>
    <w:p w14:paraId="649F4DD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应该对</w:t>
      </w:r>
      <w:bookmarkStart w:id="449" w:name="_Toc18458"/>
      <w:bookmarkStart w:id="450" w:name="_Toc26569"/>
      <w:r>
        <w:rPr>
          <w:rFonts w:hint="eastAsia" w:ascii="宋体" w:hAnsi="宋体" w:eastAsia="宋体" w:cs="宋体"/>
          <w:sz w:val="24"/>
          <w:szCs w:val="24"/>
          <w:highlight w:val="none"/>
        </w:rPr>
        <w:t>城市排水管网模型搭建</w:t>
      </w:r>
      <w:bookmarkEnd w:id="449"/>
      <w:bookmarkEnd w:id="450"/>
      <w:r>
        <w:rPr>
          <w:rFonts w:hint="eastAsia" w:ascii="宋体" w:hAnsi="宋体" w:eastAsia="宋体" w:cs="宋体"/>
          <w:sz w:val="24"/>
          <w:szCs w:val="24"/>
          <w:highlight w:val="none"/>
        </w:rPr>
        <w:t>过程进行详细描述，包括</w:t>
      </w:r>
      <w:bookmarkStart w:id="451" w:name="_Toc53959580"/>
      <w:r>
        <w:rPr>
          <w:rFonts w:hint="eastAsia" w:ascii="宋体" w:hAnsi="宋体" w:eastAsia="宋体" w:cs="宋体"/>
          <w:sz w:val="24"/>
          <w:szCs w:val="24"/>
          <w:highlight w:val="none"/>
        </w:rPr>
        <w:t>城市排水系统地理空间分析</w:t>
      </w:r>
      <w:bookmarkEnd w:id="451"/>
      <w:r>
        <w:rPr>
          <w:rFonts w:hint="eastAsia" w:ascii="宋体" w:hAnsi="宋体" w:eastAsia="宋体" w:cs="宋体"/>
          <w:sz w:val="24"/>
          <w:szCs w:val="24"/>
          <w:highlight w:val="none"/>
        </w:rPr>
        <w:t>、</w:t>
      </w:r>
      <w:bookmarkStart w:id="452" w:name="_Toc114593056"/>
      <w:r>
        <w:rPr>
          <w:rFonts w:hint="eastAsia" w:ascii="宋体" w:hAnsi="宋体" w:eastAsia="宋体" w:cs="宋体"/>
          <w:sz w:val="24"/>
          <w:szCs w:val="24"/>
          <w:highlight w:val="none"/>
        </w:rPr>
        <w:t>城市排水管网构建过程</w:t>
      </w:r>
      <w:bookmarkEnd w:id="452"/>
      <w:r>
        <w:rPr>
          <w:rFonts w:hint="eastAsia" w:ascii="宋体" w:hAnsi="宋体" w:eastAsia="宋体" w:cs="宋体"/>
          <w:sz w:val="24"/>
          <w:szCs w:val="24"/>
          <w:highlight w:val="none"/>
        </w:rPr>
        <w:t>等，确保建模过程合理可靠。</w:t>
      </w:r>
    </w:p>
    <w:p w14:paraId="4E79A80A">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53" w:name="_Toc18805"/>
      <w:bookmarkStart w:id="454" w:name="_Toc22465"/>
      <w:r>
        <w:rPr>
          <w:rFonts w:hint="eastAsia" w:ascii="宋体" w:hAnsi="宋体" w:eastAsia="宋体" w:cs="宋体"/>
          <w:b/>
          <w:sz w:val="24"/>
          <w:szCs w:val="24"/>
          <w:highlight w:val="none"/>
          <w:lang w:val="en-US" w:eastAsia="zh-CN"/>
        </w:rPr>
        <w:t>4.3.9.1管网运行状态模拟</w:t>
      </w:r>
      <w:bookmarkEnd w:id="453"/>
      <w:bookmarkEnd w:id="454"/>
    </w:p>
    <w:p w14:paraId="2C30624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合流制管网和雨水管网进行建模，结合气象部门发布的短时间精确降雨量，以现有污水泵站及雨水泵站调度控制策略为基础模拟合流制管网及雨水管网内流水运行状态，包括管网节点流速、流量、充分度、液位的变化趋势，通过页面操作进行模拟结果动态播放。</w:t>
      </w:r>
    </w:p>
    <w:p w14:paraId="1314F6AE">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55" w:name="_Toc12856"/>
      <w:bookmarkStart w:id="456" w:name="_Toc4635"/>
      <w:r>
        <w:rPr>
          <w:rFonts w:hint="eastAsia" w:ascii="宋体" w:hAnsi="宋体" w:eastAsia="宋体" w:cs="宋体"/>
          <w:b/>
          <w:sz w:val="24"/>
          <w:szCs w:val="24"/>
          <w:highlight w:val="none"/>
          <w:lang w:val="en-US" w:eastAsia="zh-CN"/>
        </w:rPr>
        <w:t>4.3.9.2汛期内涝风险预警</w:t>
      </w:r>
      <w:bookmarkEnd w:id="455"/>
      <w:bookmarkEnd w:id="456"/>
    </w:p>
    <w:p w14:paraId="26481D3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基于模型计算获得的预报信息，对雨水或者合流制管网水位、地面积淹水位等信息出现超阈值时，主动进行城防体系范围内的预警提示，并将预警信息发送至管理单位。</w:t>
      </w:r>
    </w:p>
    <w:p w14:paraId="3794D28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根据监测信息和数学模型计算结果，对风险进行梳理，以平台接口消息推送的方式将预警信息实时传输给相关责任人；及时提醒相关责任部门和人员，从而采取防汛抢险措施，避免和减轻灾害。</w:t>
      </w:r>
    </w:p>
    <w:p w14:paraId="635DEDF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内涝风险预警图，基于模型的预测预警信息，根据不同的预警主题按照用颜色图例区分的不同等级，将可能发生的风险分布呈现在以地图作为底图的界面上，叠加必要的预警数据的展现。</w:t>
      </w:r>
    </w:p>
    <w:p w14:paraId="25801EC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预警的主题包括对地面积水情况、</w:t>
      </w:r>
      <w:bookmarkStart w:id="457" w:name="_Toc53959597"/>
      <w:r>
        <w:rPr>
          <w:rFonts w:hint="eastAsia" w:ascii="宋体" w:hAnsi="宋体" w:eastAsia="宋体" w:cs="宋体"/>
          <w:color w:val="000000" w:themeColor="text1"/>
          <w:sz w:val="24"/>
          <w:szCs w:val="24"/>
          <w:highlight w:val="none"/>
          <w14:textFill>
            <w14:solidFill>
              <w14:schemeClr w14:val="tx1"/>
            </w14:solidFill>
          </w14:textFill>
        </w:rPr>
        <w:t>管道流速过低</w:t>
      </w:r>
      <w:bookmarkEnd w:id="457"/>
      <w:r>
        <w:rPr>
          <w:rFonts w:hint="eastAsia" w:ascii="宋体" w:hAnsi="宋体" w:eastAsia="宋体" w:cs="宋体"/>
          <w:color w:val="000000" w:themeColor="text1"/>
          <w:sz w:val="24"/>
          <w:szCs w:val="24"/>
          <w:highlight w:val="none"/>
          <w14:textFill>
            <w14:solidFill>
              <w14:schemeClr w14:val="tx1"/>
            </w14:solidFill>
          </w14:textFill>
        </w:rPr>
        <w:t>、</w:t>
      </w:r>
      <w:bookmarkStart w:id="458" w:name="_Toc53959598"/>
      <w:r>
        <w:rPr>
          <w:rFonts w:hint="eastAsia" w:ascii="宋体" w:hAnsi="宋体" w:eastAsia="宋体" w:cs="宋体"/>
          <w:color w:val="000000" w:themeColor="text1"/>
          <w:sz w:val="24"/>
          <w:szCs w:val="24"/>
          <w:highlight w:val="none"/>
          <w14:textFill>
            <w14:solidFill>
              <w14:schemeClr w14:val="tx1"/>
            </w14:solidFill>
          </w14:textFill>
        </w:rPr>
        <w:t>拥堵管段</w:t>
      </w:r>
      <w:bookmarkEnd w:id="458"/>
      <w:r>
        <w:rPr>
          <w:rFonts w:hint="eastAsia" w:ascii="宋体" w:hAnsi="宋体" w:eastAsia="宋体" w:cs="宋体"/>
          <w:color w:val="000000" w:themeColor="text1"/>
          <w:sz w:val="24"/>
          <w:szCs w:val="24"/>
          <w:highlight w:val="none"/>
          <w14:textFill>
            <w14:solidFill>
              <w14:schemeClr w14:val="tx1"/>
            </w14:solidFill>
          </w14:textFill>
        </w:rPr>
        <w:t>情况进行预警。</w:t>
      </w:r>
    </w:p>
    <w:p w14:paraId="3F28F17C">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459" w:name="_Toc132738247"/>
      <w:bookmarkStart w:id="460" w:name="_Toc15213"/>
      <w:r>
        <w:rPr>
          <w:rFonts w:hint="eastAsia" w:ascii="宋体" w:hAnsi="宋体" w:eastAsia="宋体" w:cs="宋体"/>
          <w:b/>
          <w:sz w:val="24"/>
          <w:szCs w:val="24"/>
          <w:highlight w:val="none"/>
          <w:lang w:val="en-US" w:eastAsia="zh-CN"/>
        </w:rPr>
        <w:t>4.3.10防汛态势管理驾驶舱</w:t>
      </w:r>
      <w:bookmarkEnd w:id="459"/>
      <w:bookmarkEnd w:id="460"/>
    </w:p>
    <w:p w14:paraId="20C5094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驾驶舱汇聚城市防汛排涝全业务、全链条的核心元素，重点突出涉汛排水设施监测、涉汛设施运维管理、管网巡维管理、河道排口巡维、防汛内涝指挥等的监管信息，强化集成展示，支持总览日常运营的态势。项目要求驾驶舱需要通过数据可视化配置管理模块经过配置而实现。主要包括主要分为运行监管、设施运维、防汛调度情况3大主题驾驶舱页面。</w:t>
      </w:r>
    </w:p>
    <w:p w14:paraId="42028DF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据可视化配置模块需自带各类页面设计时所需的组件，进行页面自定义设计时，可以拖拉拽的方式配置数据展示方案。系统应支持接口方式关联数据库数据源，从而最终实现各类页面自定义设计配置后的数据展示和效果呈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需要对数据可视化配置管理模块的具体功能应用进行详细的图文描述。</w:t>
      </w:r>
    </w:p>
    <w:p w14:paraId="770DF388">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461" w:name="_Toc19166"/>
      <w:bookmarkStart w:id="462" w:name="_Toc114593008"/>
      <w:bookmarkStart w:id="463" w:name="_Toc130464787"/>
      <w:bookmarkStart w:id="464" w:name="_Toc10810"/>
      <w:bookmarkStart w:id="465" w:name="_Toc132738249"/>
      <w:r>
        <w:rPr>
          <w:rFonts w:hint="eastAsia" w:ascii="宋体" w:hAnsi="宋体" w:eastAsia="宋体" w:cs="宋体"/>
          <w:b/>
          <w:sz w:val="24"/>
          <w:szCs w:val="24"/>
          <w:highlight w:val="none"/>
          <w:lang w:val="en-US" w:eastAsia="zh-CN"/>
        </w:rPr>
        <w:t>4.3.11城市防汛智慧管理统一平台</w:t>
      </w:r>
      <w:bookmarkEnd w:id="461"/>
      <w:bookmarkEnd w:id="462"/>
      <w:bookmarkEnd w:id="463"/>
      <w:bookmarkEnd w:id="464"/>
      <w:bookmarkEnd w:id="465"/>
    </w:p>
    <w:p w14:paraId="6D449354">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城市防汛智慧管理统一平台实现所有子系统、功能和数据通过一个平台接入和访问。通过建设系统门户，将现有的各个业务子系统、以及新建的业务系统，进行集成登录和展示，为用户提供界面简洁、入口统一、展示清晰的网页展示方式</w:t>
      </w:r>
    </w:p>
    <w:p w14:paraId="7AD4DF25">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4.3.11.1工作门户</w:t>
      </w:r>
    </w:p>
    <w:p w14:paraId="5381825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采用自定义方式，根据不同登录人的角色展现关注的指标，自定义的门户显示等内容。包括单位内通知、新闻、统一消息及集成的工单等内容。</w:t>
      </w:r>
    </w:p>
    <w:p w14:paraId="2A72B6E6">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4.3.11.2统一门户</w:t>
      </w:r>
    </w:p>
    <w:p w14:paraId="0DDF673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Web端门户</w:t>
      </w:r>
    </w:p>
    <w:p w14:paraId="4E87F57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作为一体化管理平台的统一入口，实现平台统一的登录入口，应用集成访问，提供应用功能的统一认证管理、权限的统一鉴权、统一登录，还提供所有应用的集成框架。</w:t>
      </w:r>
    </w:p>
    <w:p w14:paraId="50E07E1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移动端门户</w:t>
      </w:r>
    </w:p>
    <w:p w14:paraId="4F522A7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移动端门户将现有存量移动应用无缝集成至门户平台，统一移动门户需要制定统一接入规范，对内实现已建信息化系统访问入口的整合汇总。对外提供第三方接口，支持第三方小程序接入。</w:t>
      </w:r>
    </w:p>
    <w:p w14:paraId="1E342FF0">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4.3.11.2报警中心</w:t>
      </w:r>
    </w:p>
    <w:p w14:paraId="531FC4B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统一集成、管理和处理与个人相关的各业务系统报警信息。</w:t>
      </w:r>
    </w:p>
    <w:p w14:paraId="04CA2847">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bookmarkStart w:id="466" w:name="_Toc114593012"/>
      <w:bookmarkStart w:id="467" w:name="_Toc13404"/>
      <w:bookmarkStart w:id="468" w:name="_Toc130464790"/>
      <w:r>
        <w:rPr>
          <w:rFonts w:hint="eastAsia" w:ascii="宋体" w:hAnsi="宋体" w:eastAsia="宋体" w:cs="宋体"/>
          <w:b/>
          <w:sz w:val="24"/>
          <w:szCs w:val="24"/>
          <w:highlight w:val="none"/>
          <w:lang w:val="en-US" w:eastAsia="zh-CN"/>
        </w:rPr>
        <w:t>4.3.11.3消息中心</w:t>
      </w:r>
      <w:bookmarkEnd w:id="466"/>
      <w:bookmarkEnd w:id="467"/>
      <w:bookmarkEnd w:id="468"/>
    </w:p>
    <w:p w14:paraId="5A77DB1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将平台中的各类消息进行统一管理，并提供短信、APP推送的基层服务支撑，提供统一推送接口和服务的消息管理平台。</w:t>
      </w:r>
    </w:p>
    <w:p w14:paraId="431C32FB">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4.3.11.4报表中心</w:t>
      </w:r>
    </w:p>
    <w:p w14:paraId="2BDCA12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集成各业务子系统的报表，并进行统一分类浏览、查看；报表可以按列表模式、分组模式、看板模式进行查看浏览，报表信息包括最新查看时间、访问次数、报表标签等；具备报表收藏功能，收藏后统一在我的报表功能进行管理。</w:t>
      </w:r>
    </w:p>
    <w:p w14:paraId="4A1FF498">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4.3.11.5流程中心</w:t>
      </w:r>
    </w:p>
    <w:p w14:paraId="46F73C5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统一集成各业务子系统的流程工单，查看工单状态及完成进度，按照流程设施权限进行节点相关操作。</w:t>
      </w:r>
    </w:p>
    <w:p w14:paraId="15D3B120">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4.3.11.6平台管理</w:t>
      </w:r>
    </w:p>
    <w:p w14:paraId="753EDD5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（1）实现各业务子系统的统一接入、管理和单点访问规则的管理，并为已有应用和新建应用应提供接入标准，包括应用管理、流程管理、数据字典、数据管理、应用分组、手机应用配置。</w:t>
      </w:r>
    </w:p>
    <w:p w14:paraId="07BDF56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（2）整个智慧防汛平台及各业务子系统的用户、角色和组织统一管理、权限统一控制和管理，包括统一身份认证、组织及用户管理、职位管理、标签管理、角色管理、权限管理。</w:t>
      </w:r>
    </w:p>
    <w:p w14:paraId="1D7B222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（3）实现登录日志、访问日志、安全日志等平台安全管理，包括登录日志、移动端日志、访问日志、访问统计、登录统计。</w:t>
      </w:r>
    </w:p>
    <w:p w14:paraId="1178E4CC">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4.3.12城市防汛排涝综合大屏</w:t>
      </w:r>
    </w:p>
    <w:p w14:paraId="65EE1D8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要求以指挥中心大屏为媒介按照不同的业务主题进行主题对应的关键数据及指标的综合展示，主要包括涉汛设施运行监管、内涝应急指挥和涉汛设施及河道排口运维三大块内容。</w:t>
      </w:r>
    </w:p>
    <w:p w14:paraId="7AF0BA4E">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bookmarkStart w:id="469" w:name="_Toc12769"/>
      <w:r>
        <w:rPr>
          <w:rFonts w:hint="eastAsia" w:ascii="宋体" w:hAnsi="宋体" w:eastAsia="宋体" w:cs="宋体"/>
          <w:b/>
          <w:sz w:val="24"/>
          <w:szCs w:val="24"/>
          <w:highlight w:val="none"/>
          <w:lang w:val="en-US" w:eastAsia="zh-CN"/>
        </w:rPr>
        <w:t>4.3.13移动端应用</w:t>
      </w:r>
      <w:bookmarkEnd w:id="469"/>
    </w:p>
    <w:p w14:paraId="00284DD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划城市防汛（排水防涝）智慧管理系统APP基于移动门户技术融入三门峡现有政务APP之内，以三门峡现有政务平台作为统一认证源，以集中认证系统作为认证和管理服务基础，实现用户的单点登录和应用访问权限控制，为用户提供统一的工作平台。所有系统用户都需要首先登录政务平台门户进行统一身份认证，通过认证后基于单点登录策略可以不用再次进行认证就可以跳转访问相关的信息化系统。</w:t>
      </w:r>
    </w:p>
    <w:p w14:paraId="253F866E">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4.3.13.1运行监管</w:t>
      </w:r>
    </w:p>
    <w:p w14:paraId="1114E27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在移动客户端上实现项目范围内排水涉汛体系的实时监测数据及运行态势数据查看，包括地图监测、实时数据、实时报警、分类数据、数据查询。</w:t>
      </w:r>
    </w:p>
    <w:p w14:paraId="69408914">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4.3.13.2视频监控</w:t>
      </w:r>
    </w:p>
    <w:p w14:paraId="6BD7B7A7">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以地图为底图，提供所有视频监控点的空间分布情况，支持对关注监测点的设置，实现对视频监控的实时查看。</w:t>
      </w:r>
    </w:p>
    <w:p w14:paraId="4DAD7761">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4.3.13.3涉汛设施运维</w:t>
      </w:r>
    </w:p>
    <w:p w14:paraId="12C9ABD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将涉汛设施内部的设备及构筑物运维功能扩展至客户端上，实现web端与移动端信息的互动，实现移动端上管理设备台账数据、查看设备档案及运维工单情况，加快信息流转的速度和效率。移动端的功能包括</w:t>
      </w:r>
      <w:bookmarkStart w:id="470" w:name="_Toc92352831"/>
      <w:r>
        <w:rPr>
          <w:rFonts w:hint="eastAsia" w:ascii="宋体" w:hAnsi="宋体" w:eastAsia="宋体" w:cs="宋体"/>
          <w:sz w:val="24"/>
          <w:szCs w:val="24"/>
          <w:highlight w:val="none"/>
        </w:rPr>
        <w:t>设备台账</w:t>
      </w:r>
      <w:bookmarkEnd w:id="470"/>
      <w:r>
        <w:rPr>
          <w:rFonts w:hint="eastAsia" w:ascii="宋体" w:hAnsi="宋体" w:eastAsia="宋体" w:cs="宋体"/>
          <w:sz w:val="24"/>
          <w:szCs w:val="24"/>
          <w:highlight w:val="none"/>
        </w:rPr>
        <w:t>、任务查询、我的任务、设备变更、</w:t>
      </w:r>
      <w:bookmarkStart w:id="471" w:name="_Toc92352832"/>
      <w:r>
        <w:rPr>
          <w:rFonts w:hint="eastAsia" w:ascii="宋体" w:hAnsi="宋体" w:eastAsia="宋体" w:cs="宋体"/>
          <w:sz w:val="24"/>
          <w:szCs w:val="24"/>
          <w:highlight w:val="none"/>
        </w:rPr>
        <w:t>巡检记录</w:t>
      </w:r>
      <w:bookmarkEnd w:id="471"/>
      <w:r>
        <w:rPr>
          <w:rFonts w:hint="eastAsia" w:ascii="宋体" w:hAnsi="宋体" w:eastAsia="宋体" w:cs="宋体"/>
          <w:sz w:val="24"/>
          <w:szCs w:val="24"/>
          <w:highlight w:val="none"/>
        </w:rPr>
        <w:t>、临时巡检、</w:t>
      </w:r>
      <w:bookmarkStart w:id="472" w:name="_Toc92352833"/>
      <w:r>
        <w:rPr>
          <w:rFonts w:hint="eastAsia" w:ascii="宋体" w:hAnsi="宋体" w:eastAsia="宋体" w:cs="宋体"/>
          <w:sz w:val="24"/>
          <w:szCs w:val="24"/>
          <w:highlight w:val="none"/>
        </w:rPr>
        <w:t>保养记录</w:t>
      </w:r>
      <w:bookmarkEnd w:id="472"/>
      <w:r>
        <w:rPr>
          <w:rFonts w:hint="eastAsia" w:ascii="宋体" w:hAnsi="宋体" w:eastAsia="宋体" w:cs="宋体"/>
          <w:sz w:val="24"/>
          <w:szCs w:val="24"/>
          <w:highlight w:val="none"/>
        </w:rPr>
        <w:t>、临时保养、故障登记、</w:t>
      </w:r>
      <w:bookmarkStart w:id="473" w:name="_Toc92352836"/>
      <w:r>
        <w:rPr>
          <w:rFonts w:hint="eastAsia" w:ascii="宋体" w:hAnsi="宋体" w:eastAsia="宋体" w:cs="宋体"/>
          <w:sz w:val="24"/>
          <w:szCs w:val="24"/>
          <w:highlight w:val="none"/>
        </w:rPr>
        <w:t>维修记录</w:t>
      </w:r>
      <w:bookmarkEnd w:id="473"/>
      <w:r>
        <w:rPr>
          <w:rFonts w:hint="eastAsia" w:ascii="宋体" w:hAnsi="宋体" w:eastAsia="宋体" w:cs="宋体"/>
          <w:sz w:val="24"/>
          <w:szCs w:val="24"/>
          <w:highlight w:val="none"/>
        </w:rPr>
        <w:t>、备品备件台账。</w:t>
      </w:r>
    </w:p>
    <w:p w14:paraId="5DD31F24">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4.3.13.4河道排口巡维</w:t>
      </w:r>
    </w:p>
    <w:p w14:paraId="075E8A7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排口巡查人员结合移动端，实现排口巡维工单的移动端处理，快速完成工单规定的各项工作内容和人员管理要求，及时反馈异常情况，快速完成信息反馈，保证现场隐患等问题能得到快速的处理解决，功能包括工单管理、问题上报、历史工单。</w:t>
      </w:r>
    </w:p>
    <w:p w14:paraId="50F2974D">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4.3.13.5防汛排涝工单</w:t>
      </w:r>
    </w:p>
    <w:p w14:paraId="05A334E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防汛排涝工单管理的移动端扩展实现了对内涝及地面塌陷等暴雨天气下事件处理的闭环管理，加强过程监管，提高工作效率和工作质量，保障排水系统的安全稳定。具体功能包括工单列表查询、待办任务、已完成工单查看、事件上报。</w:t>
      </w:r>
    </w:p>
    <w:p w14:paraId="6132144E">
      <w:pPr>
        <w:pStyle w:val="9"/>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6"/>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4.3.13.6视频远程会商</w:t>
      </w:r>
    </w:p>
    <w:p w14:paraId="5941D49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供一线排涝工单处置人员利用移动端和城市防汛指挥中心人员进行视频会商，结合前后端力量快速分析异常事件现状，排除问题。</w:t>
      </w:r>
    </w:p>
    <w:p w14:paraId="4D869AE6">
      <w:pPr>
        <w:pStyle w:val="8"/>
        <w:keepNext/>
        <w:keepLines/>
        <w:pageBreakBefore w:val="0"/>
        <w:widowControl w:val="0"/>
        <w:numPr>
          <w:ilvl w:val="0"/>
          <w:numId w:val="0"/>
        </w:numPr>
        <w:kinsoku/>
        <w:wordWrap/>
        <w:overflowPunct/>
        <w:topLinePunct w:val="0"/>
        <w:autoSpaceDE/>
        <w:autoSpaceDN/>
        <w:bidi w:val="0"/>
        <w:adjustRightInd/>
        <w:snapToGrid/>
        <w:spacing w:before="40" w:after="40" w:line="360" w:lineRule="auto"/>
        <w:ind w:left="0" w:leftChars="0" w:firstLine="482" w:firstLineChars="200"/>
        <w:textAlignment w:val="auto"/>
        <w:outlineLvl w:val="5"/>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4.3.14系统对接接口</w:t>
      </w:r>
    </w:p>
    <w:p w14:paraId="3FF139C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与三门峡市区气象部门信息化系统、气象监测站管理系统或者其余数据服务第三方对接，获取当日及近7日天气预报信息、短时间精确降雨预报数据、各片区实时降雨监测数据。</w:t>
      </w:r>
    </w:p>
    <w:p w14:paraId="24435BE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与住建局下属市政管理单位窨井信息化系统对接，获取区域已部署的智能井盖终端监测的井盖位移及井盖下缘是否水浸数据。</w:t>
      </w:r>
    </w:p>
    <w:p w14:paraId="472A162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与新型智慧城市系统平台对接，通过接口方式实现城市防汛（排水防涝）智慧管理平台中管理维护的涉汛公共数据信息向新型智慧城市系统平台的同步，使得一般市民通过访问新型智慧城市系统平台门户网站或者线上三门峡系统获取到城市暴雨强降雨等恶劣天气预警信息、基于短时间精确降雨数据模拟推演出来的城市内涝风险预警信息、降雨过程中实际发生的城市内涝事件信息以及市政管理单位排涝作业情况信息等，合理规划安排自己的出行。</w:t>
      </w:r>
    </w:p>
    <w:p w14:paraId="34A15A9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与省级城市运行管理服务平台对接，与新型智慧城市系统平台同步的内容一致，将三门峡市在防汛排涝工作开展期间的涉汛相关公共信息和数据同步到省级城市运行管理服务平台，此外，按照一定的周期将三门峡市降雨关联统计数据、单场降雨内涝应对处置情况和统计数据、时间周期内以住建局和市政管理单位防汛主体的整体防汛排涝工作开展绩效统计KPI数据等同步至省级城市运行管理服务平台，以便省级各单位领导能够全面详实客观的了解三门峡市降雨发生规律和整体防汛排涝工作的开展成果和问题。</w:t>
      </w:r>
    </w:p>
    <w:p w14:paraId="2D1E47ED">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default" w:ascii="宋体" w:hAnsi="宋体" w:eastAsia="宋体" w:cs="宋体"/>
          <w:b/>
          <w:bCs/>
          <w:kern w:val="2"/>
          <w:sz w:val="24"/>
          <w:szCs w:val="24"/>
          <w:highlight w:val="none"/>
          <w:lang w:val="en-US" w:eastAsia="zh-CN" w:bidi="ar-SA"/>
        </w:rPr>
        <w:t>5．</w:t>
      </w:r>
      <w:r>
        <w:rPr>
          <w:rFonts w:hint="eastAsia" w:ascii="宋体" w:hAnsi="宋体" w:eastAsia="宋体" w:cs="宋体"/>
          <w:sz w:val="24"/>
          <w:szCs w:val="24"/>
          <w:highlight w:val="none"/>
        </w:rPr>
        <w:t>项目实施要求</w:t>
      </w:r>
    </w:p>
    <w:p w14:paraId="7DBA117B">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bookmarkStart w:id="474" w:name="_Toc320801503"/>
      <w:bookmarkStart w:id="475" w:name="_Toc313015191"/>
      <w:r>
        <w:rPr>
          <w:rFonts w:hint="eastAsia" w:ascii="宋体" w:hAnsi="宋体" w:eastAsia="宋体" w:cs="宋体"/>
          <w:sz w:val="24"/>
          <w:szCs w:val="24"/>
          <w:highlight w:val="none"/>
        </w:rPr>
        <w:t>5.1总体要求</w:t>
      </w:r>
      <w:bookmarkEnd w:id="474"/>
      <w:bookmarkEnd w:id="475"/>
    </w:p>
    <w:p w14:paraId="663D995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为保障项目的按期保质完成，</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需提供详细的项目实施方案，从时间进度安排、安全管理措施、</w:t>
      </w:r>
      <w:r>
        <w:rPr>
          <w:rFonts w:hint="eastAsia" w:ascii="宋体" w:hAnsi="宋体" w:eastAsia="宋体" w:cs="宋体"/>
          <w:sz w:val="24"/>
          <w:szCs w:val="24"/>
          <w:highlight w:val="none"/>
          <w:lang w:eastAsia="zh-CN"/>
        </w:rPr>
        <w:t>质量</w:t>
      </w:r>
      <w:r>
        <w:rPr>
          <w:rFonts w:hint="eastAsia" w:ascii="宋体" w:hAnsi="宋体" w:eastAsia="宋体" w:cs="宋体"/>
          <w:sz w:val="24"/>
          <w:szCs w:val="24"/>
          <w:highlight w:val="none"/>
        </w:rPr>
        <w:t>保证措施、项目管理机制、项目风险管理、进度保障措施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项目测试方案、项目验收方案等多方面对项目实施方案进行说明。</w:t>
      </w:r>
    </w:p>
    <w:p w14:paraId="6430699B">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bookmarkStart w:id="476" w:name="_Toc313015193"/>
      <w:bookmarkStart w:id="477" w:name="_Toc320801505"/>
      <w:bookmarkStart w:id="478" w:name="_Toc38621882"/>
      <w:r>
        <w:rPr>
          <w:rFonts w:hint="eastAsia" w:ascii="宋体" w:hAnsi="宋体" w:eastAsia="宋体" w:cs="宋体"/>
          <w:sz w:val="24"/>
          <w:szCs w:val="24"/>
          <w:highlight w:val="none"/>
        </w:rPr>
        <w:t>5.2项目工期</w:t>
      </w:r>
      <w:bookmarkEnd w:id="476"/>
      <w:bookmarkEnd w:id="477"/>
    </w:p>
    <w:p w14:paraId="305058B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rPr>
        <w:t>在招标人指定地点，从合同签订之日起，</w:t>
      </w:r>
      <w:r>
        <w:rPr>
          <w:rFonts w:hint="eastAsia" w:ascii="宋体" w:hAnsi="宋体" w:eastAsia="宋体" w:cs="宋体"/>
          <w:sz w:val="24"/>
          <w:szCs w:val="24"/>
          <w:highlight w:val="none"/>
          <w:lang w:eastAsia="zh-CN"/>
        </w:rPr>
        <w:t>合同签订后90日历天</w:t>
      </w:r>
      <w:r>
        <w:rPr>
          <w:rFonts w:hint="eastAsia" w:ascii="宋体" w:hAnsi="宋体" w:eastAsia="宋体" w:cs="宋体"/>
          <w:sz w:val="24"/>
          <w:szCs w:val="24"/>
          <w:highlight w:val="none"/>
        </w:rPr>
        <w:t>内完成硬件和软件建设内容工作，含1个月试运行，试运行通过后进行验收，验收后进入硬件质保期和软件质保期。</w:t>
      </w:r>
    </w:p>
    <w:p w14:paraId="15676209">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5.3组织实施</w:t>
      </w:r>
      <w:bookmarkEnd w:id="478"/>
      <w:r>
        <w:rPr>
          <w:rFonts w:hint="eastAsia" w:ascii="宋体" w:hAnsi="宋体" w:eastAsia="宋体" w:cs="宋体"/>
          <w:sz w:val="24"/>
          <w:szCs w:val="24"/>
          <w:highlight w:val="none"/>
        </w:rPr>
        <w:t>要求</w:t>
      </w:r>
    </w:p>
    <w:p w14:paraId="3A289DAE">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为加强双方对项目的管理、监督作用，保证项目能顺利的完成，项目双方将共同成立项目小组，对项目进行监控、实施、支持。</w:t>
      </w:r>
    </w:p>
    <w:p w14:paraId="4335EEB5">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制定项目计划，便于对项目进行了解和有效的把控。可以从需求分析、系统设计、系统开发、部署调试、系统试运行、项目验收等环节进行计划制定。</w:t>
      </w:r>
    </w:p>
    <w:p w14:paraId="07136F1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项目管理的主要目标是保证在规定时间内高质量的完成项目，在项目的执行过程中要求体现质量和进度的控制措施。</w:t>
      </w:r>
    </w:p>
    <w:p w14:paraId="0F98CCC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应充分考虑满足投标项目的建设要求，提出完整的项目管理、项目实施方案。</w:t>
      </w:r>
    </w:p>
    <w:p w14:paraId="73F57DFB">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应本着认真负责的态度组织项目团队，提供项目组主要成员名单。</w:t>
      </w:r>
    </w:p>
    <w:p w14:paraId="2BEEF827">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5.4验收要求</w:t>
      </w:r>
    </w:p>
    <w:p w14:paraId="09B2AE4A">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验收标准：本次项目采取“分批次验收”的方式进行，当完成子项硬件或子项软件系统的安装、调试、上线后，即可发起验收工作。</w:t>
      </w:r>
    </w:p>
    <w:p w14:paraId="26D4F040">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default" w:ascii="宋体" w:hAnsi="宋体" w:eastAsia="宋体" w:cs="宋体"/>
          <w:b/>
          <w:bCs/>
          <w:kern w:val="2"/>
          <w:sz w:val="24"/>
          <w:szCs w:val="24"/>
          <w:highlight w:val="none"/>
          <w:lang w:val="en-US" w:eastAsia="zh-CN" w:bidi="ar-SA"/>
        </w:rPr>
        <w:t>6．</w:t>
      </w:r>
      <w:r>
        <w:rPr>
          <w:rFonts w:hint="eastAsia" w:ascii="宋体" w:hAnsi="宋体" w:eastAsia="宋体" w:cs="宋体"/>
          <w:sz w:val="24"/>
          <w:szCs w:val="24"/>
          <w:highlight w:val="none"/>
        </w:rPr>
        <w:t>项目培训要求</w:t>
      </w:r>
    </w:p>
    <w:p w14:paraId="521196E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培训是项目顺利实施重要保证和关键因素，培训日程与系统试运行过程相适应。在项目试运行过程中对相关人员进行培训，是系统搭建、运行一个必不可少的环节。根据项目建设需要和特点，需要对相关人员进行技术培训，在以后系统运行过程中亦需根据系统开发、应用的深入进行相应内容的培训，以保证系统的管理人员和应用人员能够及时、准确地了解和熟练的运行系统。</w:t>
      </w:r>
    </w:p>
    <w:p w14:paraId="07D6D29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提供针对不同阶段、不同用户的培训方案；通过对不同层面人员的培训，保证招标人能够正常、安全地运行，培训内容以专业化为宗旨，使每个接受培训的人都能熟练的使用系统，为招标人建立起一支训练有素的技术队伍，为今后更好的发展奠定良好的基础。</w:t>
      </w:r>
    </w:p>
    <w:p w14:paraId="575AC1C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须制定培训计划，明确培训目标、参训人员、课程内容、时间等相关安排。</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的报价包含培训费用，对于合同中确定的培训地点、时间等项目，如果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在实施过程中提出变更，应提出书面通知，并承担变更中发生的全部费用。</w:t>
      </w:r>
    </w:p>
    <w:p w14:paraId="4FC9BD79">
      <w:pPr>
        <w:pStyle w:val="6"/>
        <w:pageBreakBefore w:val="0"/>
        <w:numPr>
          <w:ilvl w:val="0"/>
          <w:numId w:val="0"/>
        </w:numPr>
        <w:kinsoku/>
        <w:wordWrap/>
        <w:overflowPunct/>
        <w:topLinePunct w:val="0"/>
        <w:autoSpaceDE/>
        <w:autoSpaceDN/>
        <w:bidi w:val="0"/>
        <w:snapToGrid/>
        <w:spacing w:before="40" w:after="40" w:line="360" w:lineRule="auto"/>
        <w:ind w:left="0" w:leftChars="0" w:firstLine="482" w:firstLineChars="200"/>
        <w:textAlignment w:val="auto"/>
        <w:rPr>
          <w:rFonts w:hint="eastAsia" w:ascii="宋体" w:hAnsi="宋体" w:eastAsia="宋体" w:cs="宋体"/>
          <w:sz w:val="24"/>
          <w:szCs w:val="24"/>
          <w:highlight w:val="none"/>
        </w:rPr>
      </w:pPr>
      <w:r>
        <w:rPr>
          <w:rFonts w:hint="default" w:ascii="宋体" w:hAnsi="宋体" w:eastAsia="宋体" w:cs="宋体"/>
          <w:b/>
          <w:bCs/>
          <w:kern w:val="2"/>
          <w:sz w:val="24"/>
          <w:szCs w:val="24"/>
          <w:highlight w:val="none"/>
          <w:lang w:val="en-US" w:eastAsia="zh-CN" w:bidi="ar-SA"/>
        </w:rPr>
        <w:t>7．</w:t>
      </w:r>
      <w:r>
        <w:rPr>
          <w:rFonts w:hint="eastAsia" w:ascii="宋体" w:hAnsi="宋体" w:eastAsia="宋体" w:cs="宋体"/>
          <w:sz w:val="24"/>
          <w:szCs w:val="24"/>
          <w:highlight w:val="none"/>
        </w:rPr>
        <w:t>项目售后要求</w:t>
      </w:r>
    </w:p>
    <w:p w14:paraId="0976A94C">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7.1质保期内售后服务</w:t>
      </w:r>
    </w:p>
    <w:p w14:paraId="2849700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优质的售后服务是保障系统持续、稳定为用户创造价值的重要条件，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需具有完善的售后服务体系，确保本项目的售后服务工作的顺利开展。</w:t>
      </w:r>
    </w:p>
    <w:p w14:paraId="245B5E7D">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要求硬件设备质保期为3年，软件质保期为3年，在此期间。</w:t>
      </w:r>
    </w:p>
    <w:p w14:paraId="60449FC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须承诺： </w:t>
      </w:r>
    </w:p>
    <w:p w14:paraId="43B16762">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免费提供系统维护服务、系统补丁升级服务和技术指导咨询服务。</w:t>
      </w:r>
    </w:p>
    <w:p w14:paraId="07D80441">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7×24小时服务响应和技术支持，包括各种软件系统故障及对各种突发事件采取应急措施等，服务响应时间为2小时。在维护期，须通过电话提供解决方案，或者利用远程维护方式解决问题。若不能在4小时内通过电话或远程解决故障问题，应24小时内到达现场服务，排除故障，并分析故障原因，提出书面故障分析报告及防范措施。</w:t>
      </w:r>
    </w:p>
    <w:p w14:paraId="0527E970">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定期或在系统出现性能下降情况下，提供系统性能检测服务，根据检测报告提交硬件、软件、配置等方面的优化建议，并配合招标人实施。</w:t>
      </w:r>
    </w:p>
    <w:p w14:paraId="67332D8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质保期内，免费提供同一版本内的软件升级，软件升级不得影响系统正常运行，同时免费提供由于升级带来的迁移和适配工作。</w:t>
      </w:r>
    </w:p>
    <w:p w14:paraId="31666498">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对于软件重大版本升级或新功能，承诺以低于市场报价提供给招标人。</w:t>
      </w:r>
    </w:p>
    <w:p w14:paraId="402DD8C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需提供完善的售后服务方案，并从质保期限、响应时间、响应时间保证措施、服务团队、服务标准、服务内容等方面对售后服务方案进行详细描述。</w:t>
      </w:r>
    </w:p>
    <w:p w14:paraId="39E362E1">
      <w:pPr>
        <w:pStyle w:val="7"/>
        <w:pageBreakBefore w:val="0"/>
        <w:numPr>
          <w:ilvl w:val="0"/>
          <w:numId w:val="0"/>
        </w:numPr>
        <w:tabs>
          <w:tab w:val="left" w:pos="1260"/>
        </w:tabs>
        <w:kinsoku/>
        <w:wordWrap/>
        <w:overflowPunct/>
        <w:topLinePunct w:val="0"/>
        <w:autoSpaceDE/>
        <w:autoSpaceDN/>
        <w:bidi w:val="0"/>
        <w:snapToGrid/>
        <w:spacing w:before="40" w:after="4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7.2质保期后售后服务</w:t>
      </w:r>
    </w:p>
    <w:p w14:paraId="635517DF">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须承诺，质保期后，收取低于市场价的维护费用（合同额的10％/年），提供与质保期同等的服务。</w:t>
      </w:r>
    </w:p>
    <w:p w14:paraId="5281A073">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超出维护范围的新需求、新功能模块开发等工作，中标人核算工作量，报招标人同意后，仅收取人工成本费。</w:t>
      </w:r>
    </w:p>
    <w:p w14:paraId="68B60FB1">
      <w:pPr>
        <w:kinsoku/>
        <w:overflowPunct/>
        <w:bidi w:val="0"/>
        <w:spacing w:line="360" w:lineRule="auto"/>
        <w:rPr>
          <w:rFonts w:hint="eastAsia" w:ascii="宋体" w:hAnsi="宋体" w:eastAsia="宋体" w:cs="宋体"/>
          <w:b/>
          <w:bCs w:val="0"/>
          <w:szCs w:val="32"/>
          <w:highlight w:val="none"/>
          <w:lang w:eastAsia="zh-CN"/>
        </w:rPr>
      </w:pPr>
      <w:r>
        <w:rPr>
          <w:rFonts w:hint="eastAsia" w:ascii="宋体" w:hAnsi="宋体" w:eastAsia="宋体" w:cs="宋体"/>
          <w:b/>
          <w:bCs w:val="0"/>
          <w:szCs w:val="32"/>
          <w:highlight w:val="none"/>
          <w:lang w:eastAsia="zh-CN"/>
        </w:rPr>
        <w:br w:type="page"/>
      </w:r>
    </w:p>
    <w:p w14:paraId="65A596FE">
      <w:pPr>
        <w:pStyle w:val="2"/>
        <w:keepNext w:val="0"/>
        <w:keepLines w:val="0"/>
        <w:pageBreakBefore/>
        <w:widowControl w:val="0"/>
        <w:numPr>
          <w:ilvl w:val="0"/>
          <w:numId w:val="0"/>
        </w:numPr>
        <w:suppressLineNumbers w:val="0"/>
        <w:kinsoku/>
        <w:wordWrap/>
        <w:overflowPunct/>
        <w:bidi w:val="0"/>
        <w:spacing w:before="0" w:beforeAutospacing="0" w:after="0" w:afterAutospacing="0" w:line="360" w:lineRule="auto"/>
        <w:ind w:left="0" w:right="0" w:firstLine="0"/>
        <w:jc w:val="center"/>
        <w:rPr>
          <w:rFonts w:hint="eastAsia" w:ascii="宋体" w:hAnsi="宋体" w:eastAsia="黑体" w:cs="宋体"/>
          <w:b/>
          <w:bCs w:val="0"/>
          <w:sz w:val="36"/>
          <w:szCs w:val="24"/>
          <w:highlight w:val="none"/>
          <w:lang w:val="en-US"/>
        </w:rPr>
      </w:pPr>
      <w:bookmarkStart w:id="479" w:name="_Toc22016"/>
      <w:r>
        <w:rPr>
          <w:rFonts w:hint="eastAsia" w:ascii="宋体" w:hAnsi="宋体" w:eastAsia="宋体" w:cs="宋体"/>
          <w:b/>
          <w:bCs w:val="0"/>
          <w:szCs w:val="32"/>
          <w:highlight w:val="none"/>
          <w:lang w:eastAsia="zh-CN"/>
        </w:rPr>
        <w:t>第四章</w:t>
      </w:r>
      <w:r>
        <w:rPr>
          <w:rFonts w:hint="eastAsia" w:ascii="宋体" w:hAnsi="宋体" w:eastAsia="宋体" w:cs="宋体"/>
          <w:b/>
          <w:bCs w:val="0"/>
          <w:szCs w:val="32"/>
          <w:highlight w:val="none"/>
          <w:lang w:val="en-US" w:eastAsia="zh-CN"/>
        </w:rPr>
        <w:t xml:space="preserve">  </w:t>
      </w:r>
      <w:r>
        <w:rPr>
          <w:rFonts w:hint="eastAsia" w:ascii="宋体" w:hAnsi="宋体" w:eastAsia="宋体" w:cs="宋体"/>
          <w:b/>
          <w:bCs w:val="0"/>
          <w:szCs w:val="32"/>
          <w:highlight w:val="none"/>
          <w:lang w:eastAsia="zh-CN"/>
        </w:rPr>
        <w:t>评标办法（综合评分法）</w:t>
      </w:r>
      <w:bookmarkEnd w:id="336"/>
      <w:bookmarkEnd w:id="337"/>
      <w:bookmarkEnd w:id="338"/>
      <w:bookmarkEnd w:id="339"/>
      <w:bookmarkEnd w:id="479"/>
      <w:bookmarkStart w:id="480" w:name="_Toc229994235"/>
      <w:bookmarkStart w:id="481" w:name="_Toc16071"/>
    </w:p>
    <w:bookmarkEnd w:id="480"/>
    <w:bookmarkEnd w:id="481"/>
    <w:p w14:paraId="5BC7888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本项目采用综合评分法。综合评分法是指投标文件满足招标文件全部实质性要求，且按照评审因素的量化指标评审得分最高的投标供应商为中标候选人的评标方法。</w:t>
      </w:r>
    </w:p>
    <w:p w14:paraId="0D200C8F">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1"/>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一、评标原则</w:t>
      </w:r>
    </w:p>
    <w:p w14:paraId="1FB5437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评标活动遵循公平、公正、科学和择优的原则。</w:t>
      </w:r>
    </w:p>
    <w:p w14:paraId="008AAEC2">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对所有供应商的投标评定都采用相同的程序和标准。</w:t>
      </w:r>
    </w:p>
    <w:p w14:paraId="0A2622FD">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1"/>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bidi="ar"/>
        </w:rPr>
        <w:t>二、评标程序</w:t>
      </w:r>
    </w:p>
    <w:p w14:paraId="3F47723D">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bidi="ar"/>
        </w:rPr>
        <w:t>资格性审查（开标结束后由采购人和采购代理机构共同审查）</w:t>
      </w:r>
    </w:p>
    <w:p w14:paraId="76090FB7">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审查内容详见附件一</w:t>
      </w:r>
    </w:p>
    <w:p w14:paraId="3D27E949">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符合性审查</w:t>
      </w:r>
    </w:p>
    <w:p w14:paraId="25A4B97D">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评标委员会对符合资格的供应商的投标文件进行符合性审查，以确定其是否满足招标文件的实质性要求。符合性审查详见附件</w:t>
      </w:r>
      <w:r>
        <w:rPr>
          <w:rFonts w:hint="eastAsia" w:ascii="宋体" w:hAnsi="宋体" w:eastAsia="宋体" w:cs="宋体"/>
          <w:sz w:val="24"/>
          <w:szCs w:val="24"/>
          <w:highlight w:val="none"/>
          <w:shd w:val="clear" w:color="auto" w:fill="FFFFFF"/>
          <w:lang w:val="en-US" w:eastAsia="zh-CN" w:bidi="ar"/>
        </w:rPr>
        <w:t>一</w:t>
      </w:r>
    </w:p>
    <w:p w14:paraId="329D765C">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1"/>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eastAsia="zh-CN" w:bidi="ar"/>
        </w:rPr>
        <w:t>三、</w:t>
      </w:r>
      <w:r>
        <w:rPr>
          <w:rFonts w:hint="eastAsia" w:ascii="宋体" w:hAnsi="宋体" w:eastAsia="宋体" w:cs="宋体"/>
          <w:b/>
          <w:bCs/>
          <w:sz w:val="24"/>
          <w:szCs w:val="24"/>
          <w:highlight w:val="none"/>
          <w:shd w:val="clear" w:color="auto" w:fill="FFFFFF"/>
          <w:lang w:bidi="ar"/>
        </w:rPr>
        <w:t>投标文件的澄清</w:t>
      </w:r>
    </w:p>
    <w:p w14:paraId="1B0A6DF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bidi="ar"/>
        </w:rPr>
        <w:t>在评标过程中，对于投标文件中含义不明确、同类问题表述不一致或者有明显文字和计算错误的内容，评标委员会可以通过电子化交易平台要求供应商对所提交投标文件中不明确的内容进行澄清或说明，或者对细微偏差进行补正。评标委员会不接受供应商主动提出的澄清、说明或补正。（具体操作详见电子化注意事项）</w:t>
      </w:r>
    </w:p>
    <w:p w14:paraId="602F6B06">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供应商的澄清、说明或者补正应当通过三门峡市公共资源交易平台操作进行。供应商的澄清、说明或者补正不得超出投标文件的范围或者改变投标文件的实质性内容。</w:t>
      </w:r>
    </w:p>
    <w:p w14:paraId="0382D30D">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1"/>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eastAsia="zh-CN" w:bidi="ar"/>
        </w:rPr>
        <w:t>四、</w:t>
      </w:r>
      <w:r>
        <w:rPr>
          <w:rFonts w:hint="eastAsia" w:ascii="宋体" w:hAnsi="宋体" w:eastAsia="宋体" w:cs="宋体"/>
          <w:b/>
          <w:bCs/>
          <w:sz w:val="24"/>
          <w:szCs w:val="24"/>
          <w:highlight w:val="none"/>
          <w:shd w:val="clear" w:color="auto" w:fill="FFFFFF"/>
          <w:lang w:bidi="ar"/>
        </w:rPr>
        <w:t>投标文件计算错误的修正</w:t>
      </w:r>
    </w:p>
    <w:p w14:paraId="20825E3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bidi="ar"/>
        </w:rPr>
        <w:t>评标委员会将对确定为实质上响应招标文件要求的投标文件进行校核，看其是否有计算或表达上的错误，修正错误的原则如下：</w:t>
      </w:r>
    </w:p>
    <w:p w14:paraId="743C4B84">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投标文件中的大写金额和小写金额不一致的，以大写金额为准；</w:t>
      </w:r>
    </w:p>
    <w:p w14:paraId="7B042F76">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投标文件中投标函、投标函附录、</w:t>
      </w:r>
      <w:r>
        <w:rPr>
          <w:rFonts w:hint="eastAsia" w:ascii="宋体" w:hAnsi="宋体" w:eastAsia="宋体" w:cs="宋体"/>
          <w:sz w:val="24"/>
          <w:szCs w:val="24"/>
          <w:highlight w:val="none"/>
          <w:shd w:val="clear" w:color="auto" w:fill="FFFFFF"/>
          <w:lang w:eastAsia="zh-CN" w:bidi="ar"/>
        </w:rPr>
        <w:t>报价明细表</w:t>
      </w:r>
      <w:r>
        <w:rPr>
          <w:rFonts w:hint="eastAsia" w:ascii="宋体" w:hAnsi="宋体" w:eastAsia="宋体" w:cs="宋体"/>
          <w:sz w:val="24"/>
          <w:szCs w:val="24"/>
          <w:highlight w:val="none"/>
          <w:shd w:val="clear" w:color="auto" w:fill="FFFFFF"/>
          <w:lang w:bidi="ar"/>
        </w:rPr>
        <w:t>等所有报价均一致。若出现不一致时以</w:t>
      </w:r>
      <w:r>
        <w:rPr>
          <w:rFonts w:hint="eastAsia" w:ascii="宋体" w:hAnsi="宋体" w:eastAsia="宋体" w:cs="宋体"/>
          <w:sz w:val="24"/>
          <w:szCs w:val="24"/>
          <w:highlight w:val="none"/>
          <w:shd w:val="clear" w:color="auto" w:fill="FFFFFF"/>
          <w:lang w:eastAsia="zh-CN" w:bidi="ar"/>
        </w:rPr>
        <w:t>报价明细表</w:t>
      </w:r>
      <w:r>
        <w:rPr>
          <w:rFonts w:hint="eastAsia" w:ascii="宋体" w:hAnsi="宋体" w:eastAsia="宋体" w:cs="宋体"/>
          <w:sz w:val="24"/>
          <w:szCs w:val="24"/>
          <w:highlight w:val="none"/>
          <w:shd w:val="clear" w:color="auto" w:fill="FFFFFF"/>
          <w:lang w:bidi="ar"/>
        </w:rPr>
        <w:t>报价为准；</w:t>
      </w:r>
    </w:p>
    <w:p w14:paraId="4238FFB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单价金额小数点或者百分比有明显错位的，以总价为准，并修改单价；</w:t>
      </w:r>
    </w:p>
    <w:p w14:paraId="1CFEE50A">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val="en-US" w:eastAsia="zh-CN" w:bidi="ar"/>
        </w:rPr>
        <w:t>4</w:t>
      </w:r>
      <w:r>
        <w:rPr>
          <w:rFonts w:hint="eastAsia" w:ascii="宋体" w:hAnsi="宋体" w:eastAsia="宋体" w:cs="宋体"/>
          <w:sz w:val="24"/>
          <w:szCs w:val="24"/>
          <w:highlight w:val="none"/>
          <w:shd w:val="clear" w:color="auto" w:fill="FFFFFF"/>
          <w:lang w:eastAsia="zh-CN" w:bidi="ar"/>
        </w:rPr>
        <w:t>）</w:t>
      </w:r>
      <w:r>
        <w:rPr>
          <w:rFonts w:hint="eastAsia" w:ascii="宋体" w:hAnsi="宋体" w:eastAsia="宋体" w:cs="宋体"/>
          <w:sz w:val="24"/>
          <w:szCs w:val="24"/>
          <w:highlight w:val="none"/>
          <w:shd w:val="clear" w:color="auto" w:fill="FFFFFF"/>
          <w:lang w:bidi="ar"/>
        </w:rPr>
        <w:t>总价金额与按单价汇总金额不一致的，以单价金额计算结果为准。</w:t>
      </w:r>
    </w:p>
    <w:p w14:paraId="51379E5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按上述修正错误的原则及方法调整或修正投标文件的投标报价，投标供应商同意后，调整后的投标报价对投标供应商起约束作用。如果投标供应商不接受修正后的报价，则其投标将被拒绝，并不影响评标工作。</w:t>
      </w:r>
    </w:p>
    <w:p w14:paraId="7588E126">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1"/>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eastAsia="zh-CN" w:bidi="ar"/>
        </w:rPr>
        <w:t>五、</w:t>
      </w:r>
      <w:r>
        <w:rPr>
          <w:rFonts w:hint="eastAsia" w:ascii="宋体" w:hAnsi="宋体" w:eastAsia="宋体" w:cs="宋体"/>
          <w:b/>
          <w:bCs/>
          <w:sz w:val="24"/>
          <w:szCs w:val="24"/>
          <w:highlight w:val="none"/>
          <w:shd w:val="clear" w:color="auto" w:fill="FFFFFF"/>
          <w:lang w:bidi="ar"/>
        </w:rPr>
        <w:t>投标文件有下列情形之一的，由评标委员会初审后按无效标处理：</w:t>
      </w:r>
    </w:p>
    <w:p w14:paraId="245E201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bidi="ar"/>
        </w:rPr>
        <w:t>投标供应商在生成电子化投标文件后，应对电子化投标文件进行签章，未进行签章的视为无效投标。</w:t>
      </w:r>
    </w:p>
    <w:p w14:paraId="45319BE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投标供应商资格条件不符合国家有关规定和招标文件要求的；</w:t>
      </w:r>
    </w:p>
    <w:p w14:paraId="309E5E21">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投标文件载明的招标项目完成期限超过招标文件规定期限的；</w:t>
      </w:r>
    </w:p>
    <w:p w14:paraId="3569DCFF">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4、</w:t>
      </w:r>
      <w:r>
        <w:rPr>
          <w:rFonts w:hint="eastAsia" w:ascii="宋体" w:hAnsi="宋体" w:eastAsia="宋体" w:cs="宋体"/>
          <w:sz w:val="24"/>
          <w:szCs w:val="24"/>
          <w:highlight w:val="none"/>
          <w:shd w:val="clear" w:color="auto" w:fill="FFFFFF"/>
          <w:lang w:bidi="ar"/>
        </w:rPr>
        <w:t>投标供应商的报价明显低于其他投标供应商报价，使得其投标报价可能低于其成本的，当评委会要求该投标供应商做出书面说明并提供相关证明材料，而投标供应商不能合理说明或者不能提供相关证明材料的，由评标委员会认定该投标供应商以低于成本报价竞标，其投标应做无效标处理；</w:t>
      </w:r>
    </w:p>
    <w:p w14:paraId="7F8EC5B3">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投标文件附有采购人不能接受的条件的；</w:t>
      </w:r>
    </w:p>
    <w:p w14:paraId="1EC9729D">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6、</w:t>
      </w:r>
      <w:r>
        <w:rPr>
          <w:rFonts w:hint="eastAsia" w:ascii="宋体" w:hAnsi="宋体" w:eastAsia="宋体" w:cs="宋体"/>
          <w:sz w:val="24"/>
          <w:szCs w:val="24"/>
          <w:highlight w:val="none"/>
          <w:shd w:val="clear" w:color="auto" w:fill="FFFFFF"/>
          <w:lang w:bidi="ar"/>
        </w:rPr>
        <w:t>以他人的名义投标、串通投标、以行贿手段谋取中标或者以其他弄虚作假方式投标的；</w:t>
      </w:r>
    </w:p>
    <w:p w14:paraId="1C551027">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7、</w:t>
      </w:r>
      <w:r>
        <w:rPr>
          <w:rFonts w:hint="eastAsia" w:ascii="宋体" w:hAnsi="宋体" w:eastAsia="宋体" w:cs="宋体"/>
          <w:sz w:val="24"/>
          <w:szCs w:val="24"/>
          <w:highlight w:val="none"/>
          <w:shd w:val="clear" w:color="auto" w:fill="FFFFFF"/>
          <w:lang w:bidi="ar"/>
        </w:rPr>
        <w:t>采取不正当手段谋取中标的；</w:t>
      </w:r>
    </w:p>
    <w:p w14:paraId="7BF8DEF9">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1"/>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eastAsia="zh-CN" w:bidi="ar"/>
        </w:rPr>
        <w:t>六、</w:t>
      </w:r>
      <w:r>
        <w:rPr>
          <w:rFonts w:hint="eastAsia" w:ascii="宋体" w:hAnsi="宋体" w:eastAsia="宋体" w:cs="宋体"/>
          <w:b/>
          <w:bCs/>
          <w:sz w:val="24"/>
          <w:szCs w:val="24"/>
          <w:highlight w:val="none"/>
          <w:shd w:val="clear" w:color="auto" w:fill="FFFFFF"/>
          <w:lang w:bidi="ar"/>
        </w:rPr>
        <w:t>综合比较与评价</w:t>
      </w:r>
    </w:p>
    <w:p w14:paraId="315117F6">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bidi="ar"/>
        </w:rPr>
        <w:t>评标委员会按照招标文件中规定的评标方法和标准（详见附件</w:t>
      </w:r>
      <w:r>
        <w:rPr>
          <w:rFonts w:hint="eastAsia" w:ascii="宋体" w:hAnsi="宋体" w:eastAsia="宋体" w:cs="宋体"/>
          <w:sz w:val="24"/>
          <w:szCs w:val="24"/>
          <w:highlight w:val="none"/>
          <w:shd w:val="clear" w:color="auto" w:fill="FFFFFF"/>
          <w:lang w:val="en-US" w:eastAsia="zh-CN" w:bidi="ar"/>
        </w:rPr>
        <w:t>二</w:t>
      </w:r>
      <w:r>
        <w:rPr>
          <w:rFonts w:hint="eastAsia" w:ascii="宋体" w:hAnsi="宋体" w:eastAsia="宋体" w:cs="宋体"/>
          <w:sz w:val="24"/>
          <w:szCs w:val="24"/>
          <w:highlight w:val="none"/>
          <w:shd w:val="clear" w:color="auto" w:fill="FFFFFF"/>
          <w:lang w:bidi="ar"/>
        </w:rPr>
        <w:t>：评分标准），对符合性审查合格的投标文件进行商务和技术评估，综合比较与评价。</w:t>
      </w:r>
    </w:p>
    <w:p w14:paraId="7A6834B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本项目执行相关政府采购政策</w:t>
      </w:r>
    </w:p>
    <w:p w14:paraId="38A3840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（1）本项目不接受进口产品参加投标。</w:t>
      </w:r>
    </w:p>
    <w:p w14:paraId="0E257CF4">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2）本项目非专门面向中小企业、监狱企业及残疾人福利性单位采购项目。供应商符合财库[2020]46号文件规定的小微企业，且所投标的产品为小型和微型企业制造的，按照《关于进一步加大政府采购支持中小企业力度的通知》（财库〔2022〕19号）、三财购（2022）9号《关于进一步加大政府采购支持中小企业发展有关事项的通知》，则给予该产品报价20%的扣除，用扣除后的价格参与评审。供应商为大型企业的不适用本款规定。</w:t>
      </w:r>
    </w:p>
    <w:p w14:paraId="7666796A">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根据财政部司法部《关于政府采购支持监狱企业发展有关问题的通知》（财库〔2014〕68 号）（监狱企业视同小型、微型企业）和财政部民政部中国残疾人联合会《关于促进残疾人就业政府采购政策的通知》（财库〔2017〕141 号）规定，监狱企业、残疾人福利企业作为供应商参与投标视为小微型企业，所提供的本企业生产的产品的价格给予20%的扣除。</w:t>
      </w:r>
    </w:p>
    <w:p w14:paraId="1C1481A8">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评标时，评标委员会各成员应当独立对每个供应商的投标文件进行评价，并汇总每个供应商的得分。</w:t>
      </w:r>
    </w:p>
    <w:p w14:paraId="7411B90A">
      <w:pPr>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outlineLvl w:val="1"/>
        <w:rPr>
          <w:rFonts w:hint="eastAsia" w:ascii="宋体" w:hAnsi="宋体" w:eastAsia="宋体" w:cs="宋体"/>
          <w:b/>
          <w:bCs/>
          <w:sz w:val="24"/>
          <w:szCs w:val="24"/>
          <w:highlight w:val="none"/>
          <w:shd w:val="clear" w:color="auto" w:fill="FFFFFF"/>
          <w:lang w:bidi="ar"/>
        </w:rPr>
      </w:pPr>
      <w:r>
        <w:rPr>
          <w:rFonts w:hint="eastAsia" w:ascii="宋体" w:hAnsi="宋体" w:eastAsia="宋体" w:cs="宋体"/>
          <w:b/>
          <w:bCs/>
          <w:sz w:val="24"/>
          <w:szCs w:val="24"/>
          <w:highlight w:val="none"/>
          <w:shd w:val="clear" w:color="auto" w:fill="FFFFFF"/>
          <w:lang w:eastAsia="zh-CN" w:bidi="ar"/>
        </w:rPr>
        <w:t>七、</w:t>
      </w:r>
      <w:r>
        <w:rPr>
          <w:rFonts w:hint="eastAsia" w:ascii="宋体" w:hAnsi="宋体" w:eastAsia="宋体" w:cs="宋体"/>
          <w:b/>
          <w:bCs/>
          <w:sz w:val="24"/>
          <w:szCs w:val="24"/>
          <w:highlight w:val="none"/>
          <w:shd w:val="clear" w:color="auto" w:fill="FFFFFF"/>
          <w:lang w:bidi="ar"/>
        </w:rPr>
        <w:t>评标结果</w:t>
      </w:r>
    </w:p>
    <w:p w14:paraId="4D5D79FE">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bidi="ar"/>
        </w:rPr>
        <w:t>评标结果按评审后得分由高到底顺序排列。得分相同的，按投标报价由低到高顺序排列。得分且投标报价相同的并列。投标文件满足招标文件全部实质性要求，且按照评审因素的量化指标评审得分最高的投标供应商为排名第一的中标候选人。</w:t>
      </w:r>
    </w:p>
    <w:p w14:paraId="41E88F8D">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评标委员会完成评标后，应当向采购人提交书面评标报告。</w:t>
      </w:r>
    </w:p>
    <w:p w14:paraId="6EE9D935">
      <w:pPr>
        <w:keepNext w:val="0"/>
        <w:keepLines w:val="0"/>
        <w:pageBreakBefore w:val="0"/>
        <w:widowControl w:val="0"/>
        <w:kinsoku/>
        <w:overflowPunct/>
        <w:autoSpaceDE/>
        <w:autoSpaceDN/>
        <w:bidi w:val="0"/>
        <w:adjustRightInd/>
        <w:snapToGrid/>
        <w:spacing w:line="360" w:lineRule="auto"/>
        <w:ind w:firstLine="480"/>
        <w:jc w:val="both"/>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评标委员会成员对需要共同认定的事项存在争议的，应当按照少数服从多数的原则作出结论。持不同意见的评标委员会成员应当在评标报告上签署不同意见及理由，否则视为同意评标报告。评标委员会应当对此作出书面说明并记录在案。</w:t>
      </w:r>
    </w:p>
    <w:p w14:paraId="3F8D484F">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sz w:val="24"/>
          <w:szCs w:val="24"/>
          <w:highlight w:val="none"/>
          <w:lang w:val="en-US"/>
        </w:rPr>
      </w:pPr>
    </w:p>
    <w:p w14:paraId="17569347">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sz w:val="24"/>
          <w:szCs w:val="24"/>
          <w:highlight w:val="none"/>
          <w:lang w:val="en-US"/>
        </w:rPr>
      </w:pPr>
    </w:p>
    <w:bookmarkEnd w:id="18"/>
    <w:bookmarkEnd w:id="340"/>
    <w:p w14:paraId="3CE2673B">
      <w:pPr>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1"/>
        <w:rPr>
          <w:rFonts w:hint="eastAsia" w:ascii="宋体" w:hAnsi="宋体" w:eastAsia="宋体" w:cs="宋体"/>
          <w:b/>
          <w:bCs w:val="0"/>
          <w:sz w:val="28"/>
          <w:szCs w:val="28"/>
          <w:highlight w:val="none"/>
          <w:lang w:val="en-US"/>
        </w:rPr>
      </w:pPr>
      <w:bookmarkStart w:id="482" w:name="_Toc30158"/>
      <w:r>
        <w:rPr>
          <w:rFonts w:hint="eastAsia" w:ascii="宋体" w:hAnsi="宋体" w:eastAsia="宋体" w:cs="宋体"/>
          <w:b/>
          <w:bCs w:val="0"/>
          <w:kern w:val="2"/>
          <w:sz w:val="28"/>
          <w:szCs w:val="28"/>
          <w:highlight w:val="none"/>
          <w:lang w:val="en-US" w:eastAsia="zh-CN" w:bidi="ar"/>
        </w:rPr>
        <w:t>附件1：初步评审</w:t>
      </w:r>
    </w:p>
    <w:tbl>
      <w:tblPr>
        <w:tblStyle w:val="21"/>
        <w:tblpPr w:leftFromText="180" w:rightFromText="180" w:vertAnchor="text" w:horzAnchor="page" w:tblpX="1207" w:tblpY="296"/>
        <w:tblOverlap w:val="never"/>
        <w:tblW w:w="9745" w:type="dxa"/>
        <w:tblInd w:w="0" w:type="dxa"/>
        <w:tblLayout w:type="fixed"/>
        <w:tblCellMar>
          <w:top w:w="0" w:type="dxa"/>
          <w:left w:w="108" w:type="dxa"/>
          <w:bottom w:w="0" w:type="dxa"/>
          <w:right w:w="108" w:type="dxa"/>
        </w:tblCellMar>
      </w:tblPr>
      <w:tblGrid>
        <w:gridCol w:w="1001"/>
        <w:gridCol w:w="824"/>
        <w:gridCol w:w="2111"/>
        <w:gridCol w:w="5809"/>
      </w:tblGrid>
      <w:tr w14:paraId="1CA867E0">
        <w:tblPrEx>
          <w:tblCellMar>
            <w:top w:w="0" w:type="dxa"/>
            <w:left w:w="108" w:type="dxa"/>
            <w:bottom w:w="0" w:type="dxa"/>
            <w:right w:w="108" w:type="dxa"/>
          </w:tblCellMar>
        </w:tblPrEx>
        <w:trPr>
          <w:trHeight w:val="860" w:hRule="atLeast"/>
        </w:trPr>
        <w:tc>
          <w:tcPr>
            <w:tcW w:w="1001" w:type="dxa"/>
            <w:tcBorders>
              <w:top w:val="single" w:color="auto" w:sz="4" w:space="0"/>
              <w:left w:val="single" w:color="auto" w:sz="4" w:space="0"/>
              <w:bottom w:val="single" w:color="auto" w:sz="4" w:space="0"/>
              <w:right w:val="single" w:color="auto" w:sz="4" w:space="0"/>
            </w:tcBorders>
            <w:noWrap w:val="0"/>
            <w:vAlign w:val="center"/>
          </w:tcPr>
          <w:p w14:paraId="77B12CE0">
            <w:pPr>
              <w:kinsoku/>
              <w:overflowPunct/>
              <w:bidi w:val="0"/>
              <w:adjustRightInd w:val="0"/>
              <w:spacing w:line="360" w:lineRule="auto"/>
              <w:ind w:left="0" w:leftChars="0" w:firstLine="0" w:firstLineChars="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序号</w:t>
            </w:r>
          </w:p>
        </w:tc>
        <w:tc>
          <w:tcPr>
            <w:tcW w:w="2935" w:type="dxa"/>
            <w:gridSpan w:val="2"/>
            <w:tcBorders>
              <w:top w:val="single" w:color="auto" w:sz="4" w:space="0"/>
              <w:left w:val="nil"/>
              <w:bottom w:val="single" w:color="auto" w:sz="4" w:space="0"/>
              <w:right w:val="single" w:color="auto" w:sz="4" w:space="0"/>
            </w:tcBorders>
            <w:noWrap w:val="0"/>
            <w:vAlign w:val="center"/>
          </w:tcPr>
          <w:p w14:paraId="0FA69659">
            <w:pPr>
              <w:pStyle w:val="36"/>
              <w:widowControl/>
              <w:kinsoku/>
              <w:overflow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809" w:type="dxa"/>
            <w:tcBorders>
              <w:top w:val="single" w:color="auto" w:sz="4" w:space="0"/>
              <w:left w:val="nil"/>
              <w:bottom w:val="single" w:color="auto" w:sz="4" w:space="0"/>
              <w:right w:val="single" w:color="auto" w:sz="4" w:space="0"/>
            </w:tcBorders>
            <w:noWrap w:val="0"/>
            <w:vAlign w:val="center"/>
          </w:tcPr>
          <w:p w14:paraId="3D51A04B">
            <w:pPr>
              <w:pStyle w:val="36"/>
              <w:widowControl/>
              <w:kinsoku/>
              <w:overflowPunct/>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42F46BD2">
        <w:tblPrEx>
          <w:tblCellMar>
            <w:top w:w="0" w:type="dxa"/>
            <w:left w:w="108" w:type="dxa"/>
            <w:bottom w:w="0" w:type="dxa"/>
            <w:right w:w="108" w:type="dxa"/>
          </w:tblCellMar>
        </w:tblPrEx>
        <w:trPr>
          <w:cantSplit/>
          <w:trHeight w:val="886" w:hRule="atLeast"/>
        </w:trPr>
        <w:tc>
          <w:tcPr>
            <w:tcW w:w="1001" w:type="dxa"/>
            <w:vMerge w:val="restart"/>
            <w:tcBorders>
              <w:top w:val="single" w:color="auto" w:sz="4" w:space="0"/>
              <w:left w:val="single" w:color="auto" w:sz="4" w:space="0"/>
              <w:right w:val="single" w:color="auto" w:sz="4" w:space="0"/>
            </w:tcBorders>
            <w:noWrap w:val="0"/>
            <w:vAlign w:val="center"/>
          </w:tcPr>
          <w:p w14:paraId="5D9DF69E">
            <w:pPr>
              <w:kinsoku/>
              <w:overflowPunct/>
              <w:bidi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.1.1</w:t>
            </w:r>
          </w:p>
        </w:tc>
        <w:tc>
          <w:tcPr>
            <w:tcW w:w="824" w:type="dxa"/>
            <w:vMerge w:val="restart"/>
            <w:tcBorders>
              <w:top w:val="nil"/>
              <w:left w:val="nil"/>
              <w:right w:val="single" w:color="auto" w:sz="4" w:space="0"/>
            </w:tcBorders>
            <w:noWrap w:val="0"/>
            <w:vAlign w:val="center"/>
          </w:tcPr>
          <w:p w14:paraId="7B519324">
            <w:pPr>
              <w:kinsoku/>
              <w:overflowPunct/>
              <w:bidi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p>
          <w:p w14:paraId="7E0A0D20">
            <w:pPr>
              <w:kinsoku/>
              <w:overflowPunct/>
              <w:bidi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14:paraId="14602653">
            <w:pPr>
              <w:kinsoku/>
              <w:overflowPunct/>
              <w:bidi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111" w:type="dxa"/>
            <w:tcBorders>
              <w:top w:val="single" w:color="auto" w:sz="4" w:space="0"/>
              <w:left w:val="nil"/>
              <w:bottom w:val="single" w:color="auto" w:sz="4" w:space="0"/>
              <w:right w:val="single" w:color="auto" w:sz="4" w:space="0"/>
            </w:tcBorders>
            <w:noWrap w:val="0"/>
            <w:vAlign w:val="center"/>
          </w:tcPr>
          <w:p w14:paraId="109C7C9D">
            <w:pPr>
              <w:kinsoku/>
              <w:overflowPunct/>
              <w:bidi w:val="0"/>
              <w:adjustRightInd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营业执照</w:t>
            </w:r>
          </w:p>
        </w:tc>
        <w:tc>
          <w:tcPr>
            <w:tcW w:w="5809" w:type="dxa"/>
            <w:tcBorders>
              <w:top w:val="single" w:color="auto" w:sz="4" w:space="0"/>
              <w:left w:val="nil"/>
              <w:bottom w:val="single" w:color="auto" w:sz="4" w:space="0"/>
              <w:right w:val="single" w:color="auto" w:sz="4" w:space="0"/>
            </w:tcBorders>
            <w:noWrap w:val="0"/>
            <w:vAlign w:val="center"/>
          </w:tcPr>
          <w:p w14:paraId="37A8A6DF">
            <w:pPr>
              <w:kinsoku/>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供应商应具有合法有效的营业执照。</w:t>
            </w:r>
          </w:p>
        </w:tc>
      </w:tr>
      <w:tr w14:paraId="1FC8D217">
        <w:tblPrEx>
          <w:tblCellMar>
            <w:top w:w="0" w:type="dxa"/>
            <w:left w:w="108" w:type="dxa"/>
            <w:bottom w:w="0" w:type="dxa"/>
            <w:right w:w="108" w:type="dxa"/>
          </w:tblCellMar>
        </w:tblPrEx>
        <w:trPr>
          <w:cantSplit/>
          <w:trHeight w:val="1358" w:hRule="atLeast"/>
        </w:trPr>
        <w:tc>
          <w:tcPr>
            <w:tcW w:w="1001" w:type="dxa"/>
            <w:vMerge w:val="continue"/>
            <w:tcBorders>
              <w:left w:val="single" w:color="auto" w:sz="4" w:space="0"/>
              <w:right w:val="single" w:color="auto" w:sz="4" w:space="0"/>
            </w:tcBorders>
            <w:noWrap w:val="0"/>
            <w:vAlign w:val="center"/>
          </w:tcPr>
          <w:p w14:paraId="31ED6BE0">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2E1A5FBE">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0F2A5EB8">
            <w:pPr>
              <w:kinsoku/>
              <w:overflowPunct/>
              <w:bidi w:val="0"/>
              <w:adjustRightIn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资质证书</w:t>
            </w:r>
          </w:p>
        </w:tc>
        <w:tc>
          <w:tcPr>
            <w:tcW w:w="5809" w:type="dxa"/>
            <w:tcBorders>
              <w:top w:val="single" w:color="auto" w:sz="4" w:space="0"/>
              <w:left w:val="nil"/>
              <w:bottom w:val="single" w:color="auto" w:sz="4" w:space="0"/>
              <w:right w:val="single" w:color="auto" w:sz="4" w:space="0"/>
            </w:tcBorders>
            <w:noWrap w:val="0"/>
            <w:vAlign w:val="center"/>
          </w:tcPr>
          <w:p w14:paraId="642E0873">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一标段：</w:t>
            </w:r>
          </w:p>
          <w:p w14:paraId="5A69991B">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供应商须具有国家行政主管部门颁发的工程勘察综合类甲级资质证书，并同时具有甲级测绘资质证书（专业范围须包含工程测量、地理信息系统工程）；</w:t>
            </w:r>
          </w:p>
          <w:p w14:paraId="241523B1">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二标段：</w:t>
            </w:r>
          </w:p>
          <w:p w14:paraId="420E2F4B">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供应商须具有国家行政主管部门颁发的乙级测绘资质证书及以上资质；</w:t>
            </w:r>
          </w:p>
        </w:tc>
      </w:tr>
      <w:tr w14:paraId="28763675">
        <w:tblPrEx>
          <w:tblCellMar>
            <w:top w:w="0" w:type="dxa"/>
            <w:left w:w="108" w:type="dxa"/>
            <w:bottom w:w="0" w:type="dxa"/>
            <w:right w:w="108" w:type="dxa"/>
          </w:tblCellMar>
        </w:tblPrEx>
        <w:trPr>
          <w:cantSplit/>
          <w:trHeight w:val="1358" w:hRule="atLeast"/>
        </w:trPr>
        <w:tc>
          <w:tcPr>
            <w:tcW w:w="1001" w:type="dxa"/>
            <w:vMerge w:val="continue"/>
            <w:tcBorders>
              <w:left w:val="single" w:color="auto" w:sz="4" w:space="0"/>
              <w:right w:val="single" w:color="auto" w:sz="4" w:space="0"/>
            </w:tcBorders>
            <w:noWrap w:val="0"/>
            <w:vAlign w:val="center"/>
          </w:tcPr>
          <w:p w14:paraId="51EB24A3">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6B528FD1">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159D3D91">
            <w:pPr>
              <w:kinsoku/>
              <w:overflowPunct/>
              <w:bidi w:val="0"/>
              <w:adjustRightInd w:val="0"/>
              <w:spacing w:line="360" w:lineRule="auto"/>
              <w:ind w:firstLine="240" w:firstLineChars="1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项目负责人</w:t>
            </w:r>
          </w:p>
        </w:tc>
        <w:tc>
          <w:tcPr>
            <w:tcW w:w="5809" w:type="dxa"/>
            <w:tcBorders>
              <w:top w:val="single" w:color="auto" w:sz="4" w:space="0"/>
              <w:left w:val="nil"/>
              <w:bottom w:val="single" w:color="auto" w:sz="4" w:space="0"/>
              <w:right w:val="single" w:color="auto" w:sz="4" w:space="0"/>
            </w:tcBorders>
            <w:noWrap w:val="0"/>
            <w:vAlign w:val="center"/>
          </w:tcPr>
          <w:p w14:paraId="6F3A5534">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一标段：</w:t>
            </w:r>
          </w:p>
          <w:p w14:paraId="4AEC9D70">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拟参加本项目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项目负责人须具备</w:t>
            </w:r>
            <w:r>
              <w:rPr>
                <w:rFonts w:hint="eastAsia" w:ascii="宋体" w:hAnsi="宋体" w:eastAsia="宋体" w:cs="宋体"/>
                <w:color w:val="auto"/>
                <w:sz w:val="24"/>
                <w:szCs w:val="24"/>
                <w:highlight w:val="none"/>
                <w:lang w:eastAsia="zh-CN"/>
              </w:rPr>
              <w:t>相关专业</w:t>
            </w:r>
            <w:r>
              <w:rPr>
                <w:rFonts w:hint="eastAsia" w:ascii="宋体" w:hAnsi="宋体" w:eastAsia="宋体" w:cs="宋体"/>
                <w:color w:val="auto"/>
                <w:sz w:val="24"/>
                <w:szCs w:val="24"/>
                <w:highlight w:val="none"/>
              </w:rPr>
              <w:t>高级及以上（含高级）工程师职称证，且为本单位在职人员（提供证书扫描件以及养老保险缴费部门出具的在本单位缴纳的职工基本养老保险证明）；</w:t>
            </w:r>
          </w:p>
          <w:p w14:paraId="68C1C2DD">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二标段：</w:t>
            </w:r>
          </w:p>
          <w:p w14:paraId="3952F538">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拟参加本项目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项目负责人须</w:t>
            </w:r>
            <w:r>
              <w:rPr>
                <w:rFonts w:hint="eastAsia" w:ascii="宋体" w:hAnsi="宋体" w:eastAsia="宋体" w:cs="宋体"/>
                <w:color w:val="auto"/>
                <w:sz w:val="24"/>
                <w:szCs w:val="24"/>
                <w:highlight w:val="none"/>
                <w:lang w:eastAsia="zh-CN"/>
              </w:rPr>
              <w:t>具备相关专业中级及以上(含中级)工程师职称证</w:t>
            </w:r>
            <w:r>
              <w:rPr>
                <w:rFonts w:hint="eastAsia" w:ascii="宋体" w:hAnsi="宋体" w:eastAsia="宋体" w:cs="宋体"/>
                <w:color w:val="auto"/>
                <w:sz w:val="24"/>
                <w:szCs w:val="24"/>
                <w:highlight w:val="none"/>
              </w:rPr>
              <w:t>，且为本单位在职人员（提供证书扫描件以及养老保险缴费部门出具的在本单位缴纳的职工基本养老保险证明）；</w:t>
            </w:r>
          </w:p>
          <w:p w14:paraId="21CDACB5">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三标段：</w:t>
            </w:r>
          </w:p>
          <w:p w14:paraId="54A54CAA">
            <w:pPr>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拟参加本项目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项目负责人须具备</w:t>
            </w:r>
            <w:r>
              <w:rPr>
                <w:rFonts w:hint="eastAsia" w:ascii="宋体" w:hAnsi="宋体" w:eastAsia="宋体" w:cs="宋体"/>
                <w:color w:val="auto"/>
                <w:sz w:val="24"/>
                <w:szCs w:val="24"/>
                <w:highlight w:val="none"/>
                <w:lang w:eastAsia="zh-CN"/>
              </w:rPr>
              <w:t>相关专业</w:t>
            </w:r>
            <w:r>
              <w:rPr>
                <w:rFonts w:hint="eastAsia" w:ascii="宋体" w:hAnsi="宋体" w:eastAsia="宋体" w:cs="宋体"/>
                <w:color w:val="auto"/>
                <w:sz w:val="24"/>
                <w:szCs w:val="24"/>
                <w:highlight w:val="none"/>
              </w:rPr>
              <w:t>中级及以上（含中级）工程师职称证，且为本单位在职人员（提供证书扫描件以及养老保险缴费部门出具的在本单位缴纳的职工基本养老保险证明）。</w:t>
            </w:r>
          </w:p>
        </w:tc>
      </w:tr>
      <w:tr w14:paraId="4CB5FCC3">
        <w:tblPrEx>
          <w:tblCellMar>
            <w:top w:w="0" w:type="dxa"/>
            <w:left w:w="108" w:type="dxa"/>
            <w:bottom w:w="0" w:type="dxa"/>
            <w:right w:w="108" w:type="dxa"/>
          </w:tblCellMar>
        </w:tblPrEx>
        <w:trPr>
          <w:cantSplit/>
          <w:trHeight w:val="1358" w:hRule="atLeast"/>
        </w:trPr>
        <w:tc>
          <w:tcPr>
            <w:tcW w:w="1001" w:type="dxa"/>
            <w:vMerge w:val="continue"/>
            <w:tcBorders>
              <w:left w:val="single" w:color="auto" w:sz="4" w:space="0"/>
              <w:right w:val="single" w:color="auto" w:sz="4" w:space="0"/>
            </w:tcBorders>
            <w:noWrap w:val="0"/>
            <w:vAlign w:val="center"/>
          </w:tcPr>
          <w:p w14:paraId="30DDE6A8">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0CFDBC10">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1217A591">
            <w:pPr>
              <w:kinsoku/>
              <w:overflowPunct/>
              <w:bidi w:val="0"/>
              <w:adjustRightIn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shd w:val="clear" w:color="auto" w:fill="FFFFFF"/>
                <w:lang w:val="en-US" w:eastAsia="zh-CN" w:bidi="ar"/>
              </w:rPr>
              <w:t>具有良好的商业信誉和健全的财务会计制度</w:t>
            </w:r>
          </w:p>
        </w:tc>
        <w:tc>
          <w:tcPr>
            <w:tcW w:w="5809" w:type="dxa"/>
            <w:tcBorders>
              <w:top w:val="single" w:color="auto" w:sz="4" w:space="0"/>
              <w:left w:val="nil"/>
              <w:bottom w:val="single" w:color="auto" w:sz="4" w:space="0"/>
              <w:right w:val="single" w:color="auto" w:sz="4" w:space="0"/>
            </w:tcBorders>
            <w:noWrap w:val="0"/>
            <w:vAlign w:val="center"/>
          </w:tcPr>
          <w:p w14:paraId="262F4CF0">
            <w:pPr>
              <w:kinsoku/>
              <w:overflowPunct/>
              <w:bidi w:val="0"/>
              <w:spacing w:line="360" w:lineRule="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供应商具有良好的商业信誉和健全的财务会计制度：提供2023年度经会计师事务所审计的财务审计报告；新成立的单位不能够提供财务审计报告的，投标供应商提供基本开户银行出具的资信证明；</w:t>
            </w:r>
          </w:p>
        </w:tc>
      </w:tr>
      <w:tr w14:paraId="4A12719D">
        <w:tblPrEx>
          <w:tblCellMar>
            <w:top w:w="0" w:type="dxa"/>
            <w:left w:w="108" w:type="dxa"/>
            <w:bottom w:w="0" w:type="dxa"/>
            <w:right w:w="108" w:type="dxa"/>
          </w:tblCellMar>
        </w:tblPrEx>
        <w:trPr>
          <w:cantSplit/>
          <w:trHeight w:val="1358" w:hRule="atLeast"/>
        </w:trPr>
        <w:tc>
          <w:tcPr>
            <w:tcW w:w="1001" w:type="dxa"/>
            <w:vMerge w:val="continue"/>
            <w:tcBorders>
              <w:left w:val="single" w:color="auto" w:sz="4" w:space="0"/>
              <w:right w:val="single" w:color="auto" w:sz="4" w:space="0"/>
            </w:tcBorders>
            <w:noWrap w:val="0"/>
            <w:vAlign w:val="center"/>
          </w:tcPr>
          <w:p w14:paraId="5119A6EF">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15B8452F">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46A9C8B3">
            <w:pPr>
              <w:kinsoku/>
              <w:overflowPunct/>
              <w:bidi w:val="0"/>
              <w:adjustRightInd w:val="0"/>
              <w:spacing w:line="360" w:lineRule="auto"/>
              <w:jc w:val="center"/>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具有有依法缴纳税收和社会保险的良好记录</w:t>
            </w:r>
          </w:p>
        </w:tc>
        <w:tc>
          <w:tcPr>
            <w:tcW w:w="5809" w:type="dxa"/>
            <w:tcBorders>
              <w:top w:val="single" w:color="auto" w:sz="4" w:space="0"/>
              <w:left w:val="nil"/>
              <w:bottom w:val="single" w:color="auto" w:sz="4" w:space="0"/>
              <w:right w:val="single" w:color="auto" w:sz="4" w:space="0"/>
            </w:tcBorders>
            <w:noWrap w:val="0"/>
            <w:vAlign w:val="center"/>
          </w:tcPr>
          <w:p w14:paraId="4861A5A2">
            <w:pPr>
              <w:kinsoku/>
              <w:overflowPunct/>
              <w:bidi w:val="0"/>
              <w:spacing w:line="360" w:lineRule="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供应商具有有依法缴纳税收和社会保险的良好记录：提供2024年1月1日以来任意连续三个月的税收和社保缴纳证明，成立不足三个月的提供自成立日以来的依法缴纳税收和社会保险的证明；依法免税和免缴纳社会保障金的须提供依法免缴纳证明；</w:t>
            </w:r>
          </w:p>
        </w:tc>
      </w:tr>
      <w:tr w14:paraId="16299779">
        <w:tblPrEx>
          <w:tblCellMar>
            <w:top w:w="0" w:type="dxa"/>
            <w:left w:w="108" w:type="dxa"/>
            <w:bottom w:w="0" w:type="dxa"/>
            <w:right w:w="108" w:type="dxa"/>
          </w:tblCellMar>
        </w:tblPrEx>
        <w:trPr>
          <w:cantSplit/>
          <w:trHeight w:val="1358" w:hRule="atLeast"/>
        </w:trPr>
        <w:tc>
          <w:tcPr>
            <w:tcW w:w="1001" w:type="dxa"/>
            <w:vMerge w:val="continue"/>
            <w:tcBorders>
              <w:left w:val="single" w:color="auto" w:sz="4" w:space="0"/>
              <w:right w:val="single" w:color="auto" w:sz="4" w:space="0"/>
            </w:tcBorders>
            <w:noWrap w:val="0"/>
            <w:vAlign w:val="center"/>
          </w:tcPr>
          <w:p w14:paraId="7AC9FD40">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1971B3FB">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67023C77">
            <w:pPr>
              <w:kinsoku/>
              <w:overflowPunct/>
              <w:bidi w:val="0"/>
              <w:adjustRightInd w:val="0"/>
              <w:spacing w:line="360" w:lineRule="auto"/>
              <w:jc w:val="center"/>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参加政府采购活动前3年内无行贿犯罪记录、商业贿赂、不正当竞争行为、骗取中标、严重违约及重大工程质量等问题</w:t>
            </w:r>
          </w:p>
        </w:tc>
        <w:tc>
          <w:tcPr>
            <w:tcW w:w="5809" w:type="dxa"/>
            <w:tcBorders>
              <w:top w:val="single" w:color="auto" w:sz="4" w:space="0"/>
              <w:left w:val="nil"/>
              <w:bottom w:val="single" w:color="auto" w:sz="4" w:space="0"/>
              <w:right w:val="single" w:color="auto" w:sz="4" w:space="0"/>
            </w:tcBorders>
            <w:noWrap w:val="0"/>
            <w:vAlign w:val="center"/>
          </w:tcPr>
          <w:p w14:paraId="7523291E">
            <w:pPr>
              <w:kinsoku/>
              <w:overflowPunct/>
              <w:bidi w:val="0"/>
              <w:spacing w:line="360" w:lineRule="auto"/>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val="en-US" w:eastAsia="zh-CN" w:bidi="ar"/>
              </w:rPr>
              <w:t>参加政府采购活动前3年内无行贿犯罪记录、商业贿赂、不正当竞争行为、骗取中标、严重违约及重大工程质量等问题；供应商出具无行贿犯罪记录，在中国裁判文书网自行查询或自行承诺（查询/承诺对象为企业、法定代表人、项目负责人）（查询日期必须在公告发布之日之后）；供应商出具本企业无商业贿赂和不正当竞争行为承诺书，格式自拟；</w:t>
            </w:r>
          </w:p>
        </w:tc>
      </w:tr>
      <w:tr w14:paraId="1E11CA3E">
        <w:tblPrEx>
          <w:tblCellMar>
            <w:top w:w="0" w:type="dxa"/>
            <w:left w:w="108" w:type="dxa"/>
            <w:bottom w:w="0" w:type="dxa"/>
            <w:right w:w="108" w:type="dxa"/>
          </w:tblCellMar>
        </w:tblPrEx>
        <w:trPr>
          <w:cantSplit/>
          <w:trHeight w:val="5389" w:hRule="atLeast"/>
        </w:trPr>
        <w:tc>
          <w:tcPr>
            <w:tcW w:w="1001" w:type="dxa"/>
            <w:vMerge w:val="continue"/>
            <w:tcBorders>
              <w:left w:val="single" w:color="auto" w:sz="4" w:space="0"/>
              <w:right w:val="single" w:color="auto" w:sz="4" w:space="0"/>
            </w:tcBorders>
            <w:noWrap w:val="0"/>
            <w:vAlign w:val="center"/>
          </w:tcPr>
          <w:p w14:paraId="324FE02E">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261C2DA8">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7C2513D2">
            <w:pPr>
              <w:kinsoku/>
              <w:overflowPunct/>
              <w:bidi w:val="0"/>
              <w:adjustRightInd w:val="0"/>
              <w:spacing w:line="360" w:lineRule="auto"/>
              <w:ind w:left="0" w:leftChars="0"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信用查询</w:t>
            </w:r>
          </w:p>
        </w:tc>
        <w:tc>
          <w:tcPr>
            <w:tcW w:w="5809" w:type="dxa"/>
            <w:tcBorders>
              <w:top w:val="single" w:color="auto" w:sz="4" w:space="0"/>
              <w:left w:val="nil"/>
              <w:bottom w:val="single" w:color="auto" w:sz="4" w:space="0"/>
              <w:right w:val="single" w:color="auto" w:sz="4" w:space="0"/>
            </w:tcBorders>
            <w:noWrap w:val="0"/>
            <w:vAlign w:val="center"/>
          </w:tcPr>
          <w:p w14:paraId="0E36A5D8">
            <w:pPr>
              <w:kinsoku/>
              <w:overflowPunct/>
              <w:bidi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shd w:val="clear" w:color="auto" w:fill="FFFFFF"/>
                <w:lang w:val="en-US" w:eastAsia="zh-CN" w:bidi="ar"/>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①失信被执行人查询渠道：通过“信用中国”网站（http://www.creditchina.gov.cn/）“信用服务”-“失信被执行人”会跳转至“中国执行信息公开网”网站（http://zxgk.court.gov.cn/shixin/）查询企业（省份默认全部）；②重大税收违法失信主体查询渠道：“信用中国”网站（http://www.creditchina.gov.cn/）；③政府采购严重违法失信行为记录名单查询渠道：中国政府采购网（www.ccgp.gov.cn）】提供网站的查询结果截图，截图要显示查询时间，查询时间自公告发出之日起）；</w:t>
            </w:r>
          </w:p>
        </w:tc>
      </w:tr>
      <w:tr w14:paraId="2045B38D">
        <w:tblPrEx>
          <w:tblCellMar>
            <w:top w:w="0" w:type="dxa"/>
            <w:left w:w="108" w:type="dxa"/>
            <w:bottom w:w="0" w:type="dxa"/>
            <w:right w:w="108" w:type="dxa"/>
          </w:tblCellMar>
        </w:tblPrEx>
        <w:trPr>
          <w:cantSplit/>
          <w:trHeight w:val="629" w:hRule="atLeast"/>
        </w:trPr>
        <w:tc>
          <w:tcPr>
            <w:tcW w:w="1001" w:type="dxa"/>
            <w:vMerge w:val="continue"/>
            <w:tcBorders>
              <w:left w:val="single" w:color="auto" w:sz="4" w:space="0"/>
              <w:right w:val="single" w:color="auto" w:sz="4" w:space="0"/>
            </w:tcBorders>
            <w:noWrap w:val="0"/>
            <w:vAlign w:val="center"/>
          </w:tcPr>
          <w:p w14:paraId="6E1F3884">
            <w:pPr>
              <w:kinsoku/>
              <w:overflowPunct/>
              <w:bidi w:val="0"/>
              <w:spacing w:line="360" w:lineRule="auto"/>
              <w:jc w:val="center"/>
              <w:rPr>
                <w:rFonts w:hint="eastAsia" w:ascii="宋体" w:hAnsi="宋体" w:eastAsia="宋体" w:cs="宋体"/>
                <w:color w:val="auto"/>
                <w:sz w:val="24"/>
                <w:szCs w:val="24"/>
                <w:highlight w:val="none"/>
                <w:lang w:val="en-US"/>
              </w:rPr>
            </w:pPr>
          </w:p>
        </w:tc>
        <w:tc>
          <w:tcPr>
            <w:tcW w:w="824" w:type="dxa"/>
            <w:vMerge w:val="continue"/>
            <w:tcBorders>
              <w:left w:val="nil"/>
              <w:right w:val="single" w:color="auto" w:sz="4" w:space="0"/>
            </w:tcBorders>
            <w:noWrap w:val="0"/>
            <w:vAlign w:val="center"/>
          </w:tcPr>
          <w:p w14:paraId="0C2F17CC">
            <w:pPr>
              <w:kinsoku/>
              <w:overflowPunct/>
              <w:bidi w:val="0"/>
              <w:spacing w:line="360" w:lineRule="auto"/>
              <w:jc w:val="center"/>
              <w:rPr>
                <w:rFonts w:hint="eastAsia" w:ascii="宋体" w:hAnsi="宋体" w:eastAsia="宋体" w:cs="宋体"/>
                <w:color w:val="auto"/>
                <w:sz w:val="24"/>
                <w:szCs w:val="24"/>
                <w:highlight w:val="none"/>
                <w:lang w:val="en-US"/>
              </w:rPr>
            </w:pPr>
          </w:p>
        </w:tc>
        <w:tc>
          <w:tcPr>
            <w:tcW w:w="2111" w:type="dxa"/>
            <w:tcBorders>
              <w:top w:val="single" w:color="auto" w:sz="4" w:space="0"/>
              <w:left w:val="nil"/>
              <w:bottom w:val="single" w:color="auto" w:sz="4" w:space="0"/>
              <w:right w:val="single" w:color="auto" w:sz="4" w:space="0"/>
            </w:tcBorders>
            <w:noWrap w:val="0"/>
            <w:vAlign w:val="center"/>
          </w:tcPr>
          <w:p w14:paraId="6F17E289">
            <w:pPr>
              <w:kinsoku/>
              <w:overflowPunct/>
              <w:bidi w:val="0"/>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5809" w:type="dxa"/>
            <w:tcBorders>
              <w:top w:val="single" w:color="auto" w:sz="4" w:space="0"/>
              <w:left w:val="nil"/>
              <w:bottom w:val="single" w:color="auto" w:sz="4" w:space="0"/>
              <w:right w:val="single" w:color="auto" w:sz="4" w:space="0"/>
            </w:tcBorders>
            <w:noWrap w:val="0"/>
            <w:vAlign w:val="center"/>
          </w:tcPr>
          <w:p w14:paraId="26FB2284">
            <w:pPr>
              <w:kinsoku/>
              <w:overflowPunct/>
              <w:bidi w:val="0"/>
              <w:snapToGrid w:val="0"/>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rPr>
              <w:t>1、本项目不接收联合体投标</w:t>
            </w:r>
            <w:r>
              <w:rPr>
                <w:rFonts w:hint="eastAsia" w:ascii="宋体" w:hAnsi="宋体" w:eastAsia="宋体" w:cs="宋体"/>
                <w:color w:val="auto"/>
                <w:kern w:val="2"/>
                <w:sz w:val="24"/>
                <w:szCs w:val="24"/>
                <w:highlight w:val="none"/>
                <w:lang w:val="en-US" w:eastAsia="zh-CN"/>
              </w:rPr>
              <w:t>（提供承诺书，格式自拟）；</w:t>
            </w:r>
          </w:p>
          <w:p w14:paraId="6F5A1CD3">
            <w:pPr>
              <w:kinsoku/>
              <w:overflowPunct/>
              <w:bidi w:val="0"/>
              <w:snapToGrid w:val="0"/>
              <w:spacing w:line="360" w:lineRule="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rPr>
              <w:t>、本项目实行资格后审</w:t>
            </w:r>
            <w:r>
              <w:rPr>
                <w:rFonts w:hint="eastAsia" w:ascii="宋体" w:hAnsi="宋体" w:eastAsia="宋体" w:cs="宋体"/>
                <w:color w:val="auto"/>
                <w:kern w:val="2"/>
                <w:sz w:val="24"/>
                <w:szCs w:val="24"/>
                <w:highlight w:val="none"/>
                <w:lang w:val="en-US" w:eastAsia="zh-CN"/>
              </w:rPr>
              <w:t>（提供承诺书，格式自拟）。</w:t>
            </w:r>
          </w:p>
        </w:tc>
      </w:tr>
      <w:tr w14:paraId="0DC0F060">
        <w:tblPrEx>
          <w:tblCellMar>
            <w:top w:w="0" w:type="dxa"/>
            <w:left w:w="108" w:type="dxa"/>
            <w:bottom w:w="0" w:type="dxa"/>
            <w:right w:w="108" w:type="dxa"/>
          </w:tblCellMar>
        </w:tblPrEx>
        <w:trPr>
          <w:cantSplit/>
          <w:trHeight w:val="508" w:hRule="atLeast"/>
        </w:trPr>
        <w:tc>
          <w:tcPr>
            <w:tcW w:w="1001" w:type="dxa"/>
            <w:vMerge w:val="restart"/>
            <w:tcBorders>
              <w:top w:val="single" w:color="auto" w:sz="4" w:space="0"/>
              <w:left w:val="single" w:color="auto" w:sz="4" w:space="0"/>
              <w:right w:val="single" w:color="auto" w:sz="4" w:space="0"/>
            </w:tcBorders>
            <w:noWrap w:val="0"/>
            <w:vAlign w:val="center"/>
          </w:tcPr>
          <w:p w14:paraId="361E313D">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.1.2</w:t>
            </w:r>
          </w:p>
        </w:tc>
        <w:tc>
          <w:tcPr>
            <w:tcW w:w="824" w:type="dxa"/>
            <w:vMerge w:val="restart"/>
            <w:tcBorders>
              <w:top w:val="single" w:color="auto" w:sz="4" w:space="0"/>
              <w:left w:val="nil"/>
              <w:bottom w:val="single" w:color="auto" w:sz="4" w:space="0"/>
              <w:right w:val="single" w:color="auto" w:sz="4" w:space="0"/>
            </w:tcBorders>
            <w:noWrap w:val="0"/>
            <w:vAlign w:val="center"/>
          </w:tcPr>
          <w:p w14:paraId="5ADC4869">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p>
          <w:p w14:paraId="4272D2C5">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14:paraId="7DDF002F">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111" w:type="dxa"/>
            <w:tcBorders>
              <w:top w:val="single" w:color="auto" w:sz="4" w:space="0"/>
              <w:left w:val="nil"/>
              <w:bottom w:val="single" w:color="auto" w:sz="4" w:space="0"/>
              <w:right w:val="single" w:color="auto" w:sz="4" w:space="0"/>
            </w:tcBorders>
            <w:noWrap w:val="0"/>
            <w:vAlign w:val="center"/>
          </w:tcPr>
          <w:p w14:paraId="082DF211">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投标供应商</w:t>
            </w:r>
            <w:r>
              <w:rPr>
                <w:rFonts w:hint="eastAsia" w:ascii="宋体" w:hAnsi="宋体" w:eastAsia="宋体" w:cs="宋体"/>
                <w:color w:val="auto"/>
                <w:sz w:val="24"/>
                <w:szCs w:val="24"/>
                <w:highlight w:val="none"/>
              </w:rPr>
              <w:t>名称</w:t>
            </w:r>
          </w:p>
        </w:tc>
        <w:tc>
          <w:tcPr>
            <w:tcW w:w="5809" w:type="dxa"/>
            <w:tcBorders>
              <w:top w:val="single" w:color="auto" w:sz="4" w:space="0"/>
              <w:left w:val="nil"/>
              <w:bottom w:val="single" w:color="auto" w:sz="4" w:space="0"/>
              <w:right w:val="single" w:color="auto" w:sz="4" w:space="0"/>
            </w:tcBorders>
            <w:noWrap w:val="0"/>
            <w:vAlign w:val="center"/>
          </w:tcPr>
          <w:p w14:paraId="088B4DD1">
            <w:pPr>
              <w:pStyle w:val="43"/>
              <w:kinsoku/>
              <w:overflowPunct/>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68E3C53A">
        <w:tblPrEx>
          <w:tblCellMar>
            <w:top w:w="0" w:type="dxa"/>
            <w:left w:w="108" w:type="dxa"/>
            <w:bottom w:w="0" w:type="dxa"/>
            <w:right w:w="108" w:type="dxa"/>
          </w:tblCellMar>
        </w:tblPrEx>
        <w:trPr>
          <w:cantSplit/>
          <w:trHeight w:val="533" w:hRule="atLeast"/>
        </w:trPr>
        <w:tc>
          <w:tcPr>
            <w:tcW w:w="1001" w:type="dxa"/>
            <w:vMerge w:val="continue"/>
            <w:tcBorders>
              <w:left w:val="single" w:color="auto" w:sz="4" w:space="0"/>
              <w:right w:val="single" w:color="auto" w:sz="4" w:space="0"/>
            </w:tcBorders>
            <w:noWrap w:val="0"/>
            <w:vAlign w:val="center"/>
          </w:tcPr>
          <w:p w14:paraId="12C96E58">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top w:val="nil"/>
              <w:left w:val="nil"/>
              <w:bottom w:val="single" w:color="auto" w:sz="4" w:space="0"/>
              <w:right w:val="single" w:color="auto" w:sz="4" w:space="0"/>
            </w:tcBorders>
            <w:noWrap w:val="0"/>
            <w:vAlign w:val="center"/>
          </w:tcPr>
          <w:p w14:paraId="40B8E655">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6EEF278F">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投标函电子签章</w:t>
            </w:r>
          </w:p>
        </w:tc>
        <w:tc>
          <w:tcPr>
            <w:tcW w:w="5809" w:type="dxa"/>
            <w:tcBorders>
              <w:top w:val="single" w:color="auto" w:sz="4" w:space="0"/>
              <w:left w:val="nil"/>
              <w:bottom w:val="single" w:color="auto" w:sz="4" w:space="0"/>
              <w:right w:val="single" w:color="auto" w:sz="4" w:space="0"/>
            </w:tcBorders>
            <w:noWrap w:val="0"/>
            <w:vAlign w:val="center"/>
          </w:tcPr>
          <w:p w14:paraId="08CD9D4E">
            <w:pPr>
              <w:pStyle w:val="36"/>
              <w:widowControl/>
              <w:kinsoku/>
              <w:overflowPunct/>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有单位电子签章和法定代表人电子签章</w:t>
            </w:r>
          </w:p>
        </w:tc>
      </w:tr>
      <w:tr w14:paraId="6C349CE9">
        <w:tblPrEx>
          <w:tblCellMar>
            <w:top w:w="0" w:type="dxa"/>
            <w:left w:w="108" w:type="dxa"/>
            <w:bottom w:w="0" w:type="dxa"/>
            <w:right w:w="108" w:type="dxa"/>
          </w:tblCellMar>
        </w:tblPrEx>
        <w:trPr>
          <w:cantSplit/>
          <w:trHeight w:val="253" w:hRule="atLeast"/>
        </w:trPr>
        <w:tc>
          <w:tcPr>
            <w:tcW w:w="1001" w:type="dxa"/>
            <w:vMerge w:val="continue"/>
            <w:tcBorders>
              <w:left w:val="single" w:color="auto" w:sz="4" w:space="0"/>
              <w:bottom w:val="single" w:color="auto" w:sz="4" w:space="0"/>
              <w:right w:val="single" w:color="auto" w:sz="4" w:space="0"/>
            </w:tcBorders>
            <w:noWrap w:val="0"/>
            <w:vAlign w:val="center"/>
          </w:tcPr>
          <w:p w14:paraId="0370316B">
            <w:pPr>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top w:val="nil"/>
              <w:left w:val="nil"/>
              <w:bottom w:val="single" w:color="auto" w:sz="4" w:space="0"/>
              <w:right w:val="single" w:color="auto" w:sz="4" w:space="0"/>
            </w:tcBorders>
            <w:noWrap w:val="0"/>
            <w:vAlign w:val="center"/>
          </w:tcPr>
          <w:p w14:paraId="2DA64150">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15A2CA5B">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809" w:type="dxa"/>
            <w:tcBorders>
              <w:top w:val="single" w:color="auto" w:sz="4" w:space="0"/>
              <w:left w:val="nil"/>
              <w:bottom w:val="single" w:color="auto" w:sz="4" w:space="0"/>
              <w:right w:val="single" w:color="auto" w:sz="4" w:space="0"/>
            </w:tcBorders>
            <w:noWrap w:val="0"/>
            <w:vAlign w:val="center"/>
          </w:tcPr>
          <w:p w14:paraId="450DBAA4">
            <w:pPr>
              <w:pStyle w:val="36"/>
              <w:widowControl/>
              <w:kinsoku/>
              <w:overflowPunct/>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只能有一个有效报价且不超出采购预算价</w:t>
            </w:r>
          </w:p>
        </w:tc>
      </w:tr>
      <w:tr w14:paraId="5DED1D06">
        <w:tblPrEx>
          <w:tblCellMar>
            <w:top w:w="0" w:type="dxa"/>
            <w:left w:w="108" w:type="dxa"/>
            <w:bottom w:w="0" w:type="dxa"/>
            <w:right w:w="108" w:type="dxa"/>
          </w:tblCellMar>
        </w:tblPrEx>
        <w:trPr>
          <w:cantSplit/>
          <w:trHeight w:val="598" w:hRule="atLeast"/>
        </w:trPr>
        <w:tc>
          <w:tcPr>
            <w:tcW w:w="1001" w:type="dxa"/>
            <w:vMerge w:val="restart"/>
            <w:tcBorders>
              <w:top w:val="single" w:color="auto" w:sz="4" w:space="0"/>
              <w:left w:val="single" w:color="auto" w:sz="4" w:space="0"/>
              <w:right w:val="single" w:color="auto" w:sz="4" w:space="0"/>
            </w:tcBorders>
            <w:noWrap w:val="0"/>
            <w:vAlign w:val="center"/>
          </w:tcPr>
          <w:p w14:paraId="2DFBE28D">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.1.3</w:t>
            </w:r>
          </w:p>
        </w:tc>
        <w:tc>
          <w:tcPr>
            <w:tcW w:w="824" w:type="dxa"/>
            <w:vMerge w:val="restart"/>
            <w:tcBorders>
              <w:top w:val="nil"/>
              <w:left w:val="nil"/>
              <w:right w:val="single" w:color="auto" w:sz="4" w:space="0"/>
            </w:tcBorders>
            <w:noWrap w:val="0"/>
            <w:vAlign w:val="center"/>
          </w:tcPr>
          <w:p w14:paraId="4400421D">
            <w:pPr>
              <w:pStyle w:val="36"/>
              <w:widowControl/>
              <w:kinsoku/>
              <w:overflowPunct/>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实质性</w:t>
            </w:r>
            <w:r>
              <w:rPr>
                <w:rFonts w:hint="eastAsia" w:ascii="宋体" w:hAnsi="宋体" w:eastAsia="宋体" w:cs="宋体"/>
                <w:color w:val="auto"/>
                <w:sz w:val="24"/>
                <w:szCs w:val="24"/>
                <w:highlight w:val="none"/>
                <w:lang w:eastAsia="zh-CN"/>
              </w:rPr>
              <w:t>响应</w:t>
            </w:r>
          </w:p>
          <w:p w14:paraId="1B1AC514">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p w14:paraId="2B311EEB">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111" w:type="dxa"/>
            <w:tcBorders>
              <w:top w:val="single" w:color="auto" w:sz="4" w:space="0"/>
              <w:left w:val="nil"/>
              <w:right w:val="single" w:color="auto" w:sz="4" w:space="0"/>
            </w:tcBorders>
            <w:noWrap w:val="0"/>
            <w:vAlign w:val="center"/>
          </w:tcPr>
          <w:p w14:paraId="637BE35E">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实施</w:t>
            </w:r>
            <w:r>
              <w:rPr>
                <w:rFonts w:hint="eastAsia" w:ascii="宋体" w:hAnsi="宋体" w:eastAsia="宋体" w:cs="宋体"/>
                <w:color w:val="auto"/>
                <w:sz w:val="24"/>
                <w:szCs w:val="24"/>
                <w:highlight w:val="none"/>
              </w:rPr>
              <w:t>地点</w:t>
            </w:r>
          </w:p>
        </w:tc>
        <w:tc>
          <w:tcPr>
            <w:tcW w:w="5809" w:type="dxa"/>
            <w:tcBorders>
              <w:top w:val="single" w:color="auto" w:sz="4" w:space="0"/>
              <w:left w:val="nil"/>
              <w:bottom w:val="single" w:color="auto" w:sz="4" w:space="0"/>
              <w:right w:val="single" w:color="auto" w:sz="4" w:space="0"/>
            </w:tcBorders>
            <w:noWrap w:val="0"/>
            <w:vAlign w:val="center"/>
          </w:tcPr>
          <w:p w14:paraId="3FAC7E05">
            <w:pPr>
              <w:kinsoku/>
              <w:overflowPunct/>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w:t>
            </w:r>
            <w:r>
              <w:rPr>
                <w:rFonts w:hint="eastAsia" w:ascii="宋体" w:hAnsi="宋体" w:eastAsia="宋体" w:cs="宋体"/>
                <w:color w:val="auto"/>
                <w:sz w:val="24"/>
                <w:szCs w:val="24"/>
                <w:highlight w:val="none"/>
                <w:lang w:eastAsia="zh-CN"/>
              </w:rPr>
              <w:t>城</w:t>
            </w:r>
            <w:r>
              <w:rPr>
                <w:rFonts w:hint="eastAsia" w:ascii="宋体" w:hAnsi="宋体" w:eastAsia="宋体" w:cs="宋体"/>
                <w:color w:val="auto"/>
                <w:sz w:val="24"/>
                <w:szCs w:val="24"/>
                <w:highlight w:val="none"/>
              </w:rPr>
              <w:t>区</w:t>
            </w:r>
          </w:p>
        </w:tc>
      </w:tr>
      <w:tr w14:paraId="7462C760">
        <w:tblPrEx>
          <w:tblCellMar>
            <w:top w:w="0" w:type="dxa"/>
            <w:left w:w="108" w:type="dxa"/>
            <w:bottom w:w="0" w:type="dxa"/>
            <w:right w:w="108" w:type="dxa"/>
          </w:tblCellMar>
        </w:tblPrEx>
        <w:trPr>
          <w:cantSplit/>
          <w:trHeight w:val="664" w:hRule="atLeast"/>
        </w:trPr>
        <w:tc>
          <w:tcPr>
            <w:tcW w:w="1001" w:type="dxa"/>
            <w:vMerge w:val="continue"/>
            <w:tcBorders>
              <w:left w:val="single" w:color="auto" w:sz="4" w:space="0"/>
              <w:right w:val="single" w:color="auto" w:sz="4" w:space="0"/>
            </w:tcBorders>
            <w:noWrap w:val="0"/>
            <w:vAlign w:val="center"/>
          </w:tcPr>
          <w:p w14:paraId="4E97CEF0">
            <w:pPr>
              <w:pStyle w:val="36"/>
              <w:widowControl/>
              <w:kinsoku/>
              <w:overflowPunct/>
              <w:bidi w:val="0"/>
              <w:spacing w:line="360" w:lineRule="auto"/>
              <w:jc w:val="center"/>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5A86D380">
            <w:pPr>
              <w:pStyle w:val="36"/>
              <w:widowControl/>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right w:val="single" w:color="auto" w:sz="4" w:space="0"/>
            </w:tcBorders>
            <w:noWrap w:val="0"/>
            <w:vAlign w:val="center"/>
          </w:tcPr>
          <w:p w14:paraId="56AEFCD6">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shd w:val="clear" w:color="auto" w:fill="FFFFFF"/>
                <w:lang w:bidi="ar"/>
              </w:rPr>
              <w:t>合同履行期限（</w:t>
            </w:r>
            <w:r>
              <w:rPr>
                <w:rFonts w:hint="eastAsia" w:ascii="宋体" w:hAnsi="宋体" w:eastAsia="宋体" w:cs="宋体"/>
                <w:sz w:val="24"/>
                <w:szCs w:val="24"/>
                <w:highlight w:val="none"/>
                <w:shd w:val="clear" w:color="auto" w:fill="FFFFFF"/>
                <w:lang w:eastAsia="zh-CN" w:bidi="ar"/>
              </w:rPr>
              <w:t>服务期限</w:t>
            </w:r>
            <w:r>
              <w:rPr>
                <w:rFonts w:hint="eastAsia" w:ascii="宋体" w:hAnsi="宋体" w:eastAsia="宋体" w:cs="宋体"/>
                <w:sz w:val="24"/>
                <w:szCs w:val="24"/>
                <w:highlight w:val="none"/>
                <w:shd w:val="clear" w:color="auto" w:fill="FFFFFF"/>
                <w:lang w:bidi="ar"/>
              </w:rPr>
              <w:t>）</w:t>
            </w:r>
          </w:p>
        </w:tc>
        <w:tc>
          <w:tcPr>
            <w:tcW w:w="5809" w:type="dxa"/>
            <w:tcBorders>
              <w:top w:val="single" w:color="auto" w:sz="4" w:space="0"/>
              <w:left w:val="nil"/>
              <w:bottom w:val="single" w:color="auto" w:sz="4" w:space="0"/>
              <w:right w:val="single" w:color="auto" w:sz="4" w:space="0"/>
            </w:tcBorders>
            <w:noWrap w:val="0"/>
            <w:vAlign w:val="center"/>
          </w:tcPr>
          <w:p w14:paraId="684F9B7A">
            <w:pPr>
              <w:kinsoku/>
              <w:overflowPunct/>
              <w:bidi w:val="0"/>
              <w:spacing w:line="360" w:lineRule="auto"/>
              <w:ind w:left="0" w:leftChars="0" w:firstLine="0" w:firstLineChars="0"/>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shd w:val="clear" w:color="auto" w:fill="FFFFFF"/>
                <w:lang w:val="en-US" w:eastAsia="zh-CN" w:bidi="ar"/>
              </w:rPr>
              <w:t>合同签订后90日历天</w:t>
            </w:r>
          </w:p>
        </w:tc>
      </w:tr>
      <w:tr w14:paraId="6DDA65C2">
        <w:tblPrEx>
          <w:tblCellMar>
            <w:top w:w="0" w:type="dxa"/>
            <w:left w:w="108" w:type="dxa"/>
            <w:bottom w:w="0" w:type="dxa"/>
            <w:right w:w="108" w:type="dxa"/>
          </w:tblCellMar>
        </w:tblPrEx>
        <w:trPr>
          <w:cantSplit/>
          <w:trHeight w:val="588" w:hRule="atLeast"/>
        </w:trPr>
        <w:tc>
          <w:tcPr>
            <w:tcW w:w="1001" w:type="dxa"/>
            <w:vMerge w:val="continue"/>
            <w:tcBorders>
              <w:left w:val="single" w:color="auto" w:sz="4" w:space="0"/>
              <w:right w:val="single" w:color="auto" w:sz="4" w:space="0"/>
            </w:tcBorders>
            <w:noWrap w:val="0"/>
            <w:vAlign w:val="center"/>
          </w:tcPr>
          <w:p w14:paraId="10D70F74">
            <w:pPr>
              <w:kinsoku/>
              <w:overflowPunct/>
              <w:bidi w:val="0"/>
              <w:spacing w:line="360" w:lineRule="auto"/>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31FA4338">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5A070C98">
            <w:pPr>
              <w:pStyle w:val="36"/>
              <w:widowControl/>
              <w:kinsoku/>
              <w:overflowPunct/>
              <w:bidi w:val="0"/>
              <w:spacing w:line="360" w:lineRule="auto"/>
              <w:jc w:val="center"/>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质量</w:t>
            </w:r>
            <w:r>
              <w:rPr>
                <w:rFonts w:hint="eastAsia" w:ascii="宋体" w:hAnsi="宋体" w:eastAsia="宋体" w:cs="宋体"/>
                <w:color w:val="auto"/>
                <w:sz w:val="24"/>
                <w:szCs w:val="24"/>
                <w:highlight w:val="none"/>
              </w:rPr>
              <w:t>要求</w:t>
            </w:r>
          </w:p>
        </w:tc>
        <w:tc>
          <w:tcPr>
            <w:tcW w:w="5809" w:type="dxa"/>
            <w:tcBorders>
              <w:top w:val="single" w:color="auto" w:sz="4" w:space="0"/>
              <w:left w:val="nil"/>
              <w:bottom w:val="single" w:color="auto" w:sz="4" w:space="0"/>
              <w:right w:val="single" w:color="auto" w:sz="4" w:space="0"/>
            </w:tcBorders>
            <w:noWrap w:val="0"/>
            <w:vAlign w:val="center"/>
          </w:tcPr>
          <w:p w14:paraId="03B8BB44">
            <w:pPr>
              <w:kinsoku/>
              <w:overflowPunct/>
              <w:bidi w:val="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sz w:val="24"/>
                <w:szCs w:val="24"/>
                <w:highlight w:val="none"/>
                <w:shd w:val="clear" w:color="auto" w:fill="FFFFFF"/>
                <w:lang w:eastAsia="zh-CN" w:bidi="ar"/>
              </w:rPr>
              <w:t>符合国家、省、市现行相关规范、规程、规定、标准要求,确保数据完整性、一致性、规范性、准确性，并通过相关部门验收。</w:t>
            </w:r>
          </w:p>
        </w:tc>
      </w:tr>
      <w:tr w14:paraId="19A2E6F2">
        <w:tblPrEx>
          <w:tblCellMar>
            <w:top w:w="0" w:type="dxa"/>
            <w:left w:w="108" w:type="dxa"/>
            <w:bottom w:w="0" w:type="dxa"/>
            <w:right w:w="108" w:type="dxa"/>
          </w:tblCellMar>
        </w:tblPrEx>
        <w:trPr>
          <w:cantSplit/>
          <w:trHeight w:val="588" w:hRule="atLeast"/>
        </w:trPr>
        <w:tc>
          <w:tcPr>
            <w:tcW w:w="1001" w:type="dxa"/>
            <w:vMerge w:val="continue"/>
            <w:tcBorders>
              <w:left w:val="single" w:color="auto" w:sz="4" w:space="0"/>
              <w:right w:val="single" w:color="auto" w:sz="4" w:space="0"/>
            </w:tcBorders>
            <w:noWrap w:val="0"/>
            <w:vAlign w:val="center"/>
          </w:tcPr>
          <w:p w14:paraId="05FD09C9">
            <w:pPr>
              <w:kinsoku/>
              <w:overflowPunct/>
              <w:bidi w:val="0"/>
              <w:spacing w:line="360" w:lineRule="auto"/>
              <w:rPr>
                <w:rFonts w:hint="eastAsia" w:ascii="宋体" w:hAnsi="宋体" w:eastAsia="宋体" w:cs="宋体"/>
                <w:color w:val="auto"/>
                <w:sz w:val="24"/>
                <w:szCs w:val="24"/>
                <w:highlight w:val="none"/>
              </w:rPr>
            </w:pPr>
          </w:p>
        </w:tc>
        <w:tc>
          <w:tcPr>
            <w:tcW w:w="824" w:type="dxa"/>
            <w:vMerge w:val="continue"/>
            <w:tcBorders>
              <w:left w:val="nil"/>
              <w:right w:val="single" w:color="auto" w:sz="4" w:space="0"/>
            </w:tcBorders>
            <w:noWrap w:val="0"/>
            <w:vAlign w:val="center"/>
          </w:tcPr>
          <w:p w14:paraId="25DAACB5">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2A65B332">
            <w:pPr>
              <w:pStyle w:val="36"/>
              <w:widowControl/>
              <w:kinsoku/>
              <w:overflowPunct/>
              <w:bidi w:val="0"/>
              <w:spacing w:line="360" w:lineRule="auto"/>
              <w:jc w:val="center"/>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服务内容及要求</w:t>
            </w:r>
          </w:p>
        </w:tc>
        <w:tc>
          <w:tcPr>
            <w:tcW w:w="5809" w:type="dxa"/>
            <w:tcBorders>
              <w:top w:val="single" w:color="auto" w:sz="4" w:space="0"/>
              <w:left w:val="nil"/>
              <w:bottom w:val="single" w:color="auto" w:sz="4" w:space="0"/>
              <w:right w:val="single" w:color="auto" w:sz="4" w:space="0"/>
            </w:tcBorders>
            <w:noWrap w:val="0"/>
            <w:vAlign w:val="center"/>
          </w:tcPr>
          <w:p w14:paraId="43C76783">
            <w:pPr>
              <w:pStyle w:val="36"/>
              <w:widowControl/>
              <w:kinsoku/>
              <w:overflowPunct/>
              <w:bidi w:val="0"/>
              <w:spacing w:line="360" w:lineRule="auto"/>
              <w:jc w:val="both"/>
              <w:rPr>
                <w:rFonts w:hint="eastAsia" w:hAnsi="宋体" w:cs="宋体"/>
                <w:color w:val="auto"/>
                <w:sz w:val="24"/>
                <w:szCs w:val="24"/>
                <w:highlight w:val="none"/>
                <w:lang w:eastAsia="zh-CN"/>
              </w:rPr>
            </w:pPr>
            <w:r>
              <w:rPr>
                <w:rFonts w:hint="eastAsia" w:hAnsi="宋体" w:cs="宋体"/>
                <w:color w:val="auto"/>
                <w:sz w:val="24"/>
                <w:szCs w:val="24"/>
                <w:highlight w:val="none"/>
                <w:lang w:val="zh-TW" w:eastAsia="zh-CN"/>
              </w:rPr>
              <w:t>符合“第三章服务内容及要求”</w:t>
            </w:r>
          </w:p>
        </w:tc>
      </w:tr>
      <w:tr w14:paraId="385A2E8C">
        <w:tblPrEx>
          <w:tblCellMar>
            <w:top w:w="0" w:type="dxa"/>
            <w:left w:w="108" w:type="dxa"/>
            <w:bottom w:w="0" w:type="dxa"/>
            <w:right w:w="108" w:type="dxa"/>
          </w:tblCellMar>
        </w:tblPrEx>
        <w:trPr>
          <w:cantSplit/>
          <w:trHeight w:val="588" w:hRule="atLeast"/>
        </w:trPr>
        <w:tc>
          <w:tcPr>
            <w:tcW w:w="1001" w:type="dxa"/>
            <w:vMerge w:val="continue"/>
            <w:tcBorders>
              <w:left w:val="single" w:color="auto" w:sz="4" w:space="0"/>
              <w:bottom w:val="single" w:color="auto" w:sz="4" w:space="0"/>
              <w:right w:val="single" w:color="auto" w:sz="4" w:space="0"/>
            </w:tcBorders>
            <w:noWrap w:val="0"/>
            <w:vAlign w:val="center"/>
          </w:tcPr>
          <w:p w14:paraId="6E1DDE9A">
            <w:pPr>
              <w:kinsoku/>
              <w:overflowPunct/>
              <w:bidi w:val="0"/>
              <w:spacing w:line="360" w:lineRule="auto"/>
              <w:rPr>
                <w:rFonts w:hint="eastAsia" w:ascii="宋体" w:hAnsi="宋体" w:eastAsia="宋体" w:cs="宋体"/>
                <w:color w:val="auto"/>
                <w:sz w:val="24"/>
                <w:szCs w:val="24"/>
                <w:highlight w:val="none"/>
              </w:rPr>
            </w:pPr>
          </w:p>
        </w:tc>
        <w:tc>
          <w:tcPr>
            <w:tcW w:w="824" w:type="dxa"/>
            <w:vMerge w:val="continue"/>
            <w:tcBorders>
              <w:left w:val="nil"/>
              <w:bottom w:val="single" w:color="auto" w:sz="4" w:space="0"/>
              <w:right w:val="single" w:color="auto" w:sz="4" w:space="0"/>
            </w:tcBorders>
            <w:noWrap w:val="0"/>
            <w:vAlign w:val="center"/>
          </w:tcPr>
          <w:p w14:paraId="24294E04">
            <w:pPr>
              <w:kinsoku/>
              <w:overflowPunct/>
              <w:bidi w:val="0"/>
              <w:spacing w:line="360" w:lineRule="auto"/>
              <w:jc w:val="center"/>
              <w:rPr>
                <w:rFonts w:hint="eastAsia" w:ascii="宋体" w:hAnsi="宋体" w:eastAsia="宋体" w:cs="宋体"/>
                <w:color w:val="auto"/>
                <w:sz w:val="24"/>
                <w:szCs w:val="24"/>
                <w:highlight w:val="none"/>
              </w:rPr>
            </w:pPr>
          </w:p>
        </w:tc>
        <w:tc>
          <w:tcPr>
            <w:tcW w:w="2111" w:type="dxa"/>
            <w:tcBorders>
              <w:top w:val="single" w:color="auto" w:sz="4" w:space="0"/>
              <w:left w:val="nil"/>
              <w:bottom w:val="single" w:color="auto" w:sz="4" w:space="0"/>
              <w:right w:val="single" w:color="auto" w:sz="4" w:space="0"/>
            </w:tcBorders>
            <w:noWrap w:val="0"/>
            <w:vAlign w:val="center"/>
          </w:tcPr>
          <w:p w14:paraId="181D26B7">
            <w:pPr>
              <w:pStyle w:val="36"/>
              <w:widowControl/>
              <w:kinsoku/>
              <w:overflowPunct/>
              <w:bidi w:val="0"/>
              <w:spacing w:line="360" w:lineRule="auto"/>
              <w:jc w:val="center"/>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投标有效期</w:t>
            </w:r>
          </w:p>
        </w:tc>
        <w:tc>
          <w:tcPr>
            <w:tcW w:w="5809" w:type="dxa"/>
            <w:tcBorders>
              <w:top w:val="single" w:color="auto" w:sz="4" w:space="0"/>
              <w:left w:val="nil"/>
              <w:bottom w:val="single" w:color="auto" w:sz="4" w:space="0"/>
              <w:right w:val="single" w:color="auto" w:sz="4" w:space="0"/>
            </w:tcBorders>
            <w:noWrap w:val="0"/>
            <w:vAlign w:val="center"/>
          </w:tcPr>
          <w:p w14:paraId="24FD60E1">
            <w:pPr>
              <w:pStyle w:val="36"/>
              <w:widowControl/>
              <w:kinsoku/>
              <w:overflowPunct/>
              <w:bidi w:val="0"/>
              <w:spacing w:line="360" w:lineRule="auto"/>
              <w:jc w:val="both"/>
              <w:rPr>
                <w:rFonts w:hint="eastAsia" w:hAnsi="宋体" w:cs="宋体"/>
                <w:color w:val="auto"/>
                <w:sz w:val="24"/>
                <w:szCs w:val="24"/>
                <w:highlight w:val="none"/>
                <w:lang w:val="zh-TW" w:eastAsia="zh-CN"/>
              </w:rPr>
            </w:pPr>
            <w:r>
              <w:rPr>
                <w:rFonts w:hint="eastAsia" w:hAnsi="宋体" w:cs="宋体"/>
                <w:color w:val="auto"/>
                <w:sz w:val="24"/>
                <w:szCs w:val="24"/>
                <w:highlight w:val="none"/>
                <w:lang w:val="zh-TW" w:eastAsia="zh-CN"/>
              </w:rPr>
              <w:t>符合“第二章供应商须知前附表”的规定</w:t>
            </w:r>
          </w:p>
        </w:tc>
      </w:tr>
    </w:tbl>
    <w:p w14:paraId="3B6D1B2F">
      <w:pPr>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1"/>
        <w:rPr>
          <w:rFonts w:hint="eastAsia" w:ascii="宋体" w:hAnsi="宋体" w:eastAsia="宋体" w:cs="宋体"/>
          <w:b/>
          <w:bCs w:val="0"/>
          <w:kern w:val="2"/>
          <w:sz w:val="28"/>
          <w:szCs w:val="28"/>
          <w:highlight w:val="none"/>
          <w:lang w:val="en-US" w:eastAsia="zh-CN" w:bidi="ar"/>
        </w:rPr>
      </w:pPr>
      <w:r>
        <w:rPr>
          <w:rFonts w:hint="eastAsia" w:ascii="宋体" w:hAnsi="宋体" w:eastAsia="宋体" w:cs="宋体"/>
          <w:b/>
          <w:bCs w:val="0"/>
          <w:kern w:val="2"/>
          <w:sz w:val="28"/>
          <w:szCs w:val="28"/>
          <w:highlight w:val="none"/>
          <w:lang w:val="en-US" w:eastAsia="zh-CN" w:bidi="ar"/>
        </w:rPr>
        <w:t>附件2：详细评审（一标段）</w:t>
      </w:r>
    </w:p>
    <w:tbl>
      <w:tblPr>
        <w:tblStyle w:val="21"/>
        <w:tblW w:w="967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1371"/>
        <w:gridCol w:w="900"/>
        <w:gridCol w:w="6622"/>
      </w:tblGrid>
      <w:tr w14:paraId="595E8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57" w:type="dxa"/>
            <w:gridSpan w:val="2"/>
            <w:noWrap w:val="0"/>
            <w:vAlign w:val="center"/>
          </w:tcPr>
          <w:p w14:paraId="1C5E849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评审因素</w:t>
            </w:r>
          </w:p>
        </w:tc>
        <w:tc>
          <w:tcPr>
            <w:tcW w:w="7522" w:type="dxa"/>
            <w:gridSpan w:val="2"/>
            <w:noWrap w:val="0"/>
            <w:vAlign w:val="center"/>
          </w:tcPr>
          <w:p w14:paraId="67308A5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评审标准</w:t>
            </w:r>
          </w:p>
        </w:tc>
      </w:tr>
      <w:tr w14:paraId="1EF5A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57" w:type="dxa"/>
            <w:gridSpan w:val="2"/>
            <w:noWrap w:val="0"/>
            <w:vAlign w:val="center"/>
          </w:tcPr>
          <w:p w14:paraId="0C48633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分值构成</w:t>
            </w:r>
          </w:p>
        </w:tc>
        <w:tc>
          <w:tcPr>
            <w:tcW w:w="7522" w:type="dxa"/>
            <w:gridSpan w:val="2"/>
            <w:noWrap w:val="0"/>
            <w:vAlign w:val="center"/>
          </w:tcPr>
          <w:p w14:paraId="77EC758C">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报价得分</w:t>
            </w:r>
            <w:r>
              <w:rPr>
                <w:rFonts w:hint="eastAsia" w:ascii="宋体" w:hAnsi="宋体" w:eastAsia="宋体" w:cs="宋体"/>
                <w:b/>
                <w:sz w:val="24"/>
                <w:szCs w:val="24"/>
                <w:highlight w:val="none"/>
                <w:lang w:val="en-US" w:eastAsia="zh-CN"/>
              </w:rPr>
              <w:t>20分</w:t>
            </w:r>
          </w:p>
          <w:p w14:paraId="15796389">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技术部分60分</w:t>
            </w:r>
          </w:p>
          <w:p w14:paraId="49697B7C">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商务部分20分</w:t>
            </w:r>
          </w:p>
        </w:tc>
      </w:tr>
      <w:tr w14:paraId="2C330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57" w:type="dxa"/>
            <w:gridSpan w:val="2"/>
            <w:noWrap w:val="0"/>
            <w:vAlign w:val="center"/>
          </w:tcPr>
          <w:p w14:paraId="47965B1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900" w:type="dxa"/>
            <w:noWrap w:val="0"/>
            <w:vAlign w:val="center"/>
          </w:tcPr>
          <w:p w14:paraId="261F0F5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最高分值</w:t>
            </w:r>
          </w:p>
        </w:tc>
        <w:tc>
          <w:tcPr>
            <w:tcW w:w="6622" w:type="dxa"/>
            <w:noWrap w:val="0"/>
            <w:vAlign w:val="center"/>
          </w:tcPr>
          <w:p w14:paraId="6487B435">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14:paraId="713E81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57" w:type="dxa"/>
            <w:gridSpan w:val="2"/>
            <w:noWrap w:val="0"/>
            <w:vAlign w:val="center"/>
          </w:tcPr>
          <w:p w14:paraId="713C35B3">
            <w:pPr>
              <w:pStyle w:val="10"/>
              <w:keepNext w:val="0"/>
              <w:keepLines w:val="0"/>
              <w:pageBreakBefore w:val="0"/>
              <w:widowControl w:val="0"/>
              <w:kinsoku/>
              <w:wordWrap/>
              <w:overflowPunct/>
              <w:topLinePunct w:val="0"/>
              <w:bidi w:val="0"/>
              <w:spacing w:line="360" w:lineRule="auto"/>
              <w:ind w:lef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p>
          <w:p w14:paraId="67621006">
            <w:pPr>
              <w:pStyle w:val="10"/>
              <w:keepNext w:val="0"/>
              <w:keepLines w:val="0"/>
              <w:pageBreakBefore w:val="0"/>
              <w:widowControl w:val="0"/>
              <w:kinsoku/>
              <w:wordWrap/>
              <w:overflowPunct/>
              <w:topLinePunct w:val="0"/>
              <w:bidi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20</w:t>
            </w:r>
            <w:r>
              <w:rPr>
                <w:rFonts w:hint="eastAsia" w:ascii="宋体" w:hAnsi="宋体" w:eastAsia="宋体" w:cs="宋体"/>
                <w:sz w:val="24"/>
                <w:szCs w:val="24"/>
                <w:highlight w:val="none"/>
              </w:rPr>
              <w:t>分）</w:t>
            </w:r>
          </w:p>
        </w:tc>
        <w:tc>
          <w:tcPr>
            <w:tcW w:w="900" w:type="dxa"/>
            <w:noWrap w:val="0"/>
            <w:vAlign w:val="center"/>
          </w:tcPr>
          <w:p w14:paraId="7E7E0095">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20分</w:t>
            </w:r>
          </w:p>
        </w:tc>
        <w:tc>
          <w:tcPr>
            <w:tcW w:w="6622" w:type="dxa"/>
            <w:noWrap w:val="0"/>
            <w:vAlign w:val="center"/>
          </w:tcPr>
          <w:p w14:paraId="17372E1B">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投标报价得分＝（评标基准价/投标报价）×</w:t>
            </w:r>
            <w:r>
              <w:rPr>
                <w:rFonts w:hint="eastAsia" w:cs="宋体"/>
                <w:sz w:val="24"/>
                <w:szCs w:val="24"/>
                <w:highlight w:val="none"/>
                <w:lang w:val="en-US" w:eastAsia="zh-CN"/>
              </w:rPr>
              <w:t>20</w:t>
            </w:r>
          </w:p>
          <w:p w14:paraId="43EA43D6">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【注：满足招标文件要求且投标价格最低的投标报价为评标基准价。】</w:t>
            </w:r>
          </w:p>
          <w:p w14:paraId="660F1E54">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最低报价不是中标的唯一依据。因落实政府采购政策进行价格调整的，以调整后的价格计算评标基准价和投标报价。</w:t>
            </w:r>
          </w:p>
          <w:p w14:paraId="254B8A6E">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注：价格分计算保留小数点后两位。</w:t>
            </w:r>
          </w:p>
          <w:p w14:paraId="6FFE2C09">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1、落实的政府采购政策：</w:t>
            </w:r>
          </w:p>
          <w:p w14:paraId="7B70D369">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为了促进中小企业发展，根据《三门峡市财政局关于进一步加大政府采购支持中小企业发展有关事项的通知》（三财购﹝2022﹞9号）的规定，投标供应商为小微企业的，对小微企业的价格给予10%～20%的扣除，本项目小微企业按20%扣除，用扣除后的价格作为投标报价参加评审。中小企业划型标准见《关于印发中小企业划型标准规定的通知》（工信部联企业[2011]300号）。</w:t>
            </w:r>
          </w:p>
          <w:p w14:paraId="2AFAA01E">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1397E123">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根据《关于政府采购支持监狱企业发展有关问题的通知》（财库[2014]68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3E38C68F">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（4）监狱企业、残疾人福利性单位属于小型、微型企业的，不重复享受政策，仅给予一次价格20%的扣除。</w:t>
            </w:r>
          </w:p>
          <w:p w14:paraId="22F2CE03">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2、招标小组认为</w:t>
            </w:r>
            <w:r>
              <w:rPr>
                <w:rFonts w:hint="eastAsia" w:cs="宋体"/>
                <w:sz w:val="24"/>
                <w:szCs w:val="24"/>
                <w:highlight w:val="none"/>
                <w:lang w:eastAsia="zh-CN"/>
              </w:rPr>
              <w:t>供应商</w:t>
            </w:r>
            <w:r>
              <w:rPr>
                <w:rFonts w:hint="eastAsia" w:ascii="宋体" w:hAnsi="宋体" w:eastAsia="宋体" w:cs="宋体"/>
                <w:sz w:val="24"/>
                <w:szCs w:val="24"/>
                <w:highlight w:val="none"/>
              </w:rPr>
              <w:t>的报价明显低于其他通过符合性审查</w:t>
            </w:r>
            <w:r>
              <w:rPr>
                <w:rFonts w:hint="eastAsia" w:cs="宋体"/>
                <w:sz w:val="24"/>
                <w:szCs w:val="24"/>
                <w:highlight w:val="none"/>
                <w:lang w:eastAsia="zh-CN"/>
              </w:rPr>
              <w:t xml:space="preserve">供应商 </w:t>
            </w:r>
            <w:r>
              <w:rPr>
                <w:rFonts w:hint="eastAsia" w:ascii="宋体" w:hAnsi="宋体" w:eastAsia="宋体" w:cs="宋体"/>
                <w:sz w:val="24"/>
                <w:szCs w:val="24"/>
                <w:highlight w:val="none"/>
              </w:rPr>
              <w:t>的报价，有可能影响产品质量或者不能诚信履约的，应当要求其在招标现场合理的时间内提供书面说明，必要时提交相关证明材料；</w:t>
            </w:r>
            <w:r>
              <w:rPr>
                <w:rFonts w:hint="eastAsia" w:cs="宋体"/>
                <w:sz w:val="24"/>
                <w:szCs w:val="24"/>
                <w:highlight w:val="none"/>
                <w:lang w:eastAsia="zh-CN"/>
              </w:rPr>
              <w:t>供应商</w:t>
            </w:r>
            <w:r>
              <w:rPr>
                <w:rFonts w:hint="eastAsia" w:ascii="宋体" w:hAnsi="宋体" w:eastAsia="宋体" w:cs="宋体"/>
                <w:sz w:val="24"/>
                <w:szCs w:val="24"/>
                <w:highlight w:val="none"/>
              </w:rPr>
              <w:t>不能证明其报价合理性的，招标小组应当将其作为无效报价处理。</w:t>
            </w:r>
          </w:p>
        </w:tc>
      </w:tr>
      <w:tr w14:paraId="24E73D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786" w:type="dxa"/>
            <w:vMerge w:val="restart"/>
            <w:noWrap w:val="0"/>
            <w:vAlign w:val="center"/>
          </w:tcPr>
          <w:p w14:paraId="58646AB5">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p>
          <w:p w14:paraId="712DE82A">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5A00D3CF">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60分</w:t>
            </w:r>
          </w:p>
        </w:tc>
        <w:tc>
          <w:tcPr>
            <w:tcW w:w="1371" w:type="dxa"/>
            <w:noWrap w:val="0"/>
            <w:vAlign w:val="center"/>
          </w:tcPr>
          <w:p w14:paraId="7C008417">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项目概况及需求分析</w:t>
            </w:r>
          </w:p>
        </w:tc>
        <w:tc>
          <w:tcPr>
            <w:tcW w:w="900" w:type="dxa"/>
            <w:noWrap w:val="0"/>
            <w:vAlign w:val="center"/>
          </w:tcPr>
          <w:p w14:paraId="5A610B7E">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5EA0E38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根据招标文件、</w:t>
            </w:r>
            <w:r>
              <w:rPr>
                <w:rFonts w:hint="eastAsia" w:ascii="宋体" w:hAnsi="宋体" w:eastAsia="宋体" w:cs="宋体"/>
                <w:sz w:val="24"/>
                <w:szCs w:val="24"/>
                <w:highlight w:val="none"/>
                <w:lang w:eastAsia="zh-CN"/>
              </w:rPr>
              <w:t>地方、</w:t>
            </w:r>
            <w:r>
              <w:rPr>
                <w:rFonts w:hint="eastAsia" w:ascii="宋体" w:hAnsi="宋体" w:eastAsia="宋体" w:cs="宋体"/>
                <w:sz w:val="24"/>
                <w:szCs w:val="24"/>
                <w:highlight w:val="none"/>
              </w:rPr>
              <w:t>行业、国家及相关标准对本项目的实施要求，结合项目建设地的实际情况，分析项目建设背景、作业区域熟悉程度、资料收集及利用分析、后续合理化建议等。描述清晰准确，分析透彻，资料收集齐全，对项目实施建议合理、可行，提供的内容全面优秀者得8分，良好者得5分，一般者得3分，不满足项目需求者或者未提供此项内容得0分。</w:t>
            </w:r>
          </w:p>
        </w:tc>
      </w:tr>
      <w:tr w14:paraId="3BDCE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8" w:hRule="atLeast"/>
        </w:trPr>
        <w:tc>
          <w:tcPr>
            <w:tcW w:w="786" w:type="dxa"/>
            <w:vMerge w:val="continue"/>
            <w:noWrap w:val="0"/>
            <w:vAlign w:val="center"/>
          </w:tcPr>
          <w:p w14:paraId="6F7C0410">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0044F6F7">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技术方案</w:t>
            </w:r>
          </w:p>
        </w:tc>
        <w:tc>
          <w:tcPr>
            <w:tcW w:w="900" w:type="dxa"/>
            <w:noWrap w:val="0"/>
            <w:vAlign w:val="center"/>
          </w:tcPr>
          <w:p w14:paraId="0DED2EFB">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12分</w:t>
            </w:r>
          </w:p>
        </w:tc>
        <w:tc>
          <w:tcPr>
            <w:tcW w:w="6622" w:type="dxa"/>
            <w:noWrap w:val="0"/>
            <w:vAlign w:val="center"/>
          </w:tcPr>
          <w:p w14:paraId="71A1FEA8">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制定完善的管网普查技术设计，从</w:t>
            </w:r>
            <w:r>
              <w:rPr>
                <w:rFonts w:hint="eastAsia" w:cs="宋体"/>
                <w:sz w:val="24"/>
                <w:szCs w:val="24"/>
                <w:highlight w:val="none"/>
                <w:lang w:eastAsia="zh-CN"/>
              </w:rPr>
              <w:t>工作流程</w:t>
            </w:r>
            <w:r>
              <w:rPr>
                <w:rFonts w:hint="eastAsia" w:ascii="宋体" w:hAnsi="宋体" w:eastAsia="宋体" w:cs="宋体"/>
                <w:sz w:val="24"/>
                <w:szCs w:val="24"/>
                <w:highlight w:val="none"/>
                <w:lang w:eastAsia="zh-CN"/>
              </w:rPr>
              <w:t>、</w:t>
            </w:r>
            <w:r>
              <w:rPr>
                <w:rFonts w:hint="eastAsia" w:cs="宋体"/>
                <w:sz w:val="24"/>
                <w:szCs w:val="24"/>
                <w:highlight w:val="none"/>
                <w:lang w:eastAsia="zh-CN"/>
              </w:rPr>
              <w:t>实施</w:t>
            </w:r>
            <w:r>
              <w:rPr>
                <w:rFonts w:hint="eastAsia" w:ascii="宋体" w:hAnsi="宋体" w:eastAsia="宋体" w:cs="宋体"/>
                <w:sz w:val="24"/>
                <w:szCs w:val="24"/>
                <w:highlight w:val="none"/>
                <w:lang w:eastAsia="zh-CN"/>
              </w:rPr>
              <w:t>方案、数据收集及整理、调查检测、</w:t>
            </w:r>
            <w:r>
              <w:rPr>
                <w:rFonts w:hint="eastAsia" w:cs="宋体"/>
                <w:sz w:val="24"/>
                <w:szCs w:val="24"/>
                <w:highlight w:val="none"/>
                <w:lang w:eastAsia="zh-CN"/>
              </w:rPr>
              <w:t>成果提交、</w:t>
            </w:r>
            <w:r>
              <w:rPr>
                <w:rFonts w:hint="eastAsia" w:ascii="宋体" w:hAnsi="宋体" w:eastAsia="宋体" w:cs="宋体"/>
                <w:sz w:val="24"/>
                <w:szCs w:val="24"/>
                <w:highlight w:val="none"/>
                <w:lang w:eastAsia="zh-CN"/>
              </w:rPr>
              <w:t>重点难点分析</w:t>
            </w:r>
            <w:r>
              <w:rPr>
                <w:rFonts w:hint="eastAsia" w:cs="宋体"/>
                <w:sz w:val="24"/>
                <w:szCs w:val="24"/>
                <w:highlight w:val="none"/>
                <w:lang w:eastAsia="zh-CN"/>
              </w:rPr>
              <w:t>及解决措施</w:t>
            </w:r>
            <w:r>
              <w:rPr>
                <w:rFonts w:hint="eastAsia" w:ascii="宋体" w:hAnsi="宋体" w:eastAsia="宋体" w:cs="宋体"/>
                <w:sz w:val="24"/>
                <w:szCs w:val="24"/>
                <w:highlight w:val="none"/>
                <w:lang w:eastAsia="zh-CN"/>
              </w:rPr>
              <w:t>等方面进行详细说明。提供的内容全面优秀者得12分，良好者得8分，一般者得4分，不满足以上要求或者未提供此项内容得0分。</w:t>
            </w:r>
          </w:p>
        </w:tc>
      </w:tr>
      <w:tr w14:paraId="4C0819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6" w:type="dxa"/>
            <w:vMerge w:val="continue"/>
            <w:noWrap w:val="0"/>
            <w:vAlign w:val="center"/>
          </w:tcPr>
          <w:p w14:paraId="5529D6F8">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7A4D5038">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进度计划</w:t>
            </w:r>
          </w:p>
        </w:tc>
        <w:tc>
          <w:tcPr>
            <w:tcW w:w="900" w:type="dxa"/>
            <w:noWrap w:val="0"/>
            <w:vAlign w:val="center"/>
          </w:tcPr>
          <w:p w14:paraId="345B9C6A">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554509D3">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合理的进度计划，对项目投入的人员分工及职责、项目进度计划、工期管控措施、风险管控措施等方面进行详细说明。提供的内容全面优秀者得8分，良好者得5分，一般者得3分，不满足项目需求者或者未提供此项内容得0分。</w:t>
            </w:r>
          </w:p>
        </w:tc>
      </w:tr>
      <w:tr w14:paraId="2C3F2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786" w:type="dxa"/>
            <w:vMerge w:val="continue"/>
            <w:noWrap w:val="0"/>
            <w:vAlign w:val="center"/>
          </w:tcPr>
          <w:p w14:paraId="7B181905">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17DEDCE2">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质量保证</w:t>
            </w:r>
          </w:p>
        </w:tc>
        <w:tc>
          <w:tcPr>
            <w:tcW w:w="900" w:type="dxa"/>
            <w:noWrap w:val="0"/>
            <w:vAlign w:val="center"/>
          </w:tcPr>
          <w:p w14:paraId="2627F336">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15F9F74C">
            <w:pPr>
              <w:pStyle w:val="39"/>
              <w:keepNext w:val="0"/>
              <w:keepLines w:val="0"/>
              <w:pageBreakBefore w:val="0"/>
              <w:widowControl w:val="0"/>
              <w:tabs>
                <w:tab w:val="left" w:pos="343"/>
              </w:tabs>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可靠的质量保障措施，对服务团队的质量控制目标、质量管理体系、质量保证措施、质量检查方案等方面进行详细说明。提供的内容全面优秀者得8分，良好者得5分，一般者得3分，不满足项目需求者或者未提供此项内容得0分。</w:t>
            </w:r>
          </w:p>
        </w:tc>
      </w:tr>
      <w:tr w14:paraId="4F2DE5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786" w:type="dxa"/>
            <w:vMerge w:val="continue"/>
            <w:noWrap w:val="0"/>
            <w:vAlign w:val="center"/>
          </w:tcPr>
          <w:p w14:paraId="37718A7F">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0BAF2259">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安全管理</w:t>
            </w:r>
          </w:p>
        </w:tc>
        <w:tc>
          <w:tcPr>
            <w:tcW w:w="900" w:type="dxa"/>
            <w:noWrap w:val="0"/>
            <w:vAlign w:val="center"/>
          </w:tcPr>
          <w:p w14:paraId="3111D6D7">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5A8BF865">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制定完整的安全与应急管理措施，对安全组织架构、人员设备安全、数据安全管理、应急响应措施等方面进行详细说明。 提供的内容全面优秀者得8分，良好者得5分，一般者得3分，不满足项目需求者或者未提供此项内容得0分。</w:t>
            </w:r>
          </w:p>
        </w:tc>
      </w:tr>
      <w:tr w14:paraId="12877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86" w:type="dxa"/>
            <w:vMerge w:val="continue"/>
            <w:noWrap w:val="0"/>
            <w:vAlign w:val="center"/>
          </w:tcPr>
          <w:p w14:paraId="3AC4FA60">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5A06575E">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项目组织</w:t>
            </w:r>
          </w:p>
        </w:tc>
        <w:tc>
          <w:tcPr>
            <w:tcW w:w="900" w:type="dxa"/>
            <w:noWrap w:val="0"/>
            <w:vAlign w:val="center"/>
          </w:tcPr>
          <w:p w14:paraId="12FC3077">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6分</w:t>
            </w:r>
          </w:p>
        </w:tc>
        <w:tc>
          <w:tcPr>
            <w:tcW w:w="6622" w:type="dxa"/>
            <w:noWrap w:val="0"/>
            <w:vAlign w:val="center"/>
          </w:tcPr>
          <w:p w14:paraId="39BFDE6D">
            <w:pPr>
              <w:pStyle w:val="39"/>
              <w:keepNext w:val="0"/>
              <w:keepLines w:val="0"/>
              <w:pageBreakBefore w:val="0"/>
              <w:widowControl w:val="0"/>
              <w:tabs>
                <w:tab w:val="left" w:pos="343"/>
              </w:tabs>
              <w:kinsoku/>
              <w:wordWrap/>
              <w:overflowPunct/>
              <w:topLinePunct w:val="0"/>
              <w:bidi w:val="0"/>
              <w:adjustRightInd w:val="0"/>
              <w:snapToGrid w:val="0"/>
              <w:spacing w:line="360" w:lineRule="auto"/>
              <w:ind w:left="0" w:leftChars="0" w:right="0" w:rightChars="0" w:firstLine="48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制定完整的</w:t>
            </w:r>
            <w:r>
              <w:rPr>
                <w:rFonts w:hint="eastAsia" w:cs="宋体"/>
                <w:sz w:val="24"/>
                <w:szCs w:val="24"/>
                <w:highlight w:val="none"/>
                <w:lang w:val="en-US" w:eastAsia="zh-CN"/>
              </w:rPr>
              <w:t>项目组织措施</w:t>
            </w:r>
            <w:r>
              <w:rPr>
                <w:rFonts w:hint="eastAsia" w:ascii="宋体" w:hAnsi="宋体" w:eastAsia="宋体" w:cs="宋体"/>
                <w:sz w:val="24"/>
                <w:szCs w:val="24"/>
                <w:highlight w:val="none"/>
                <w:lang w:val="en-US"/>
              </w:rPr>
              <w:t>，对</w:t>
            </w:r>
            <w:r>
              <w:rPr>
                <w:rFonts w:hint="eastAsia" w:cs="宋体"/>
                <w:sz w:val="24"/>
                <w:szCs w:val="24"/>
                <w:highlight w:val="none"/>
                <w:lang w:val="en-US" w:eastAsia="zh-CN"/>
              </w:rPr>
              <w:t>项目组织方案、项目管理制度、人员配置及仪器设备配置</w:t>
            </w:r>
            <w:r>
              <w:rPr>
                <w:rFonts w:hint="eastAsia" w:ascii="宋体" w:hAnsi="宋体" w:eastAsia="宋体" w:cs="宋体"/>
                <w:sz w:val="24"/>
                <w:szCs w:val="24"/>
                <w:highlight w:val="none"/>
                <w:lang w:val="en-US"/>
              </w:rPr>
              <w:t>等方面进行详细说明。提供的内容全面优秀者得6分，良好者得4分，一般者得2分，不满足项目需求者或者未提供此项内容得0分。</w:t>
            </w:r>
          </w:p>
        </w:tc>
      </w:tr>
      <w:tr w14:paraId="2DC4F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86" w:type="dxa"/>
            <w:vMerge w:val="continue"/>
            <w:noWrap w:val="0"/>
            <w:vAlign w:val="center"/>
          </w:tcPr>
          <w:p w14:paraId="351E8EA4">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3411F571">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售后服务</w:t>
            </w:r>
          </w:p>
        </w:tc>
        <w:tc>
          <w:tcPr>
            <w:tcW w:w="900" w:type="dxa"/>
            <w:noWrap w:val="0"/>
            <w:vAlign w:val="center"/>
          </w:tcPr>
          <w:p w14:paraId="35102014">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10分</w:t>
            </w:r>
          </w:p>
        </w:tc>
        <w:tc>
          <w:tcPr>
            <w:tcW w:w="6622" w:type="dxa"/>
            <w:noWrap w:val="0"/>
            <w:vAlign w:val="center"/>
          </w:tcPr>
          <w:p w14:paraId="79003BC3">
            <w:pPr>
              <w:pStyle w:val="39"/>
              <w:keepNext w:val="0"/>
              <w:keepLines w:val="0"/>
              <w:pageBreakBefore w:val="0"/>
              <w:widowControl w:val="0"/>
              <w:tabs>
                <w:tab w:val="left" w:pos="343"/>
              </w:tabs>
              <w:kinsoku/>
              <w:wordWrap/>
              <w:overflowPunct/>
              <w:topLinePunct w:val="0"/>
              <w:bidi w:val="0"/>
              <w:adjustRightInd w:val="0"/>
              <w:snapToGrid w:val="0"/>
              <w:spacing w:line="360" w:lineRule="auto"/>
              <w:ind w:left="0" w:leftChars="0" w:right="0" w:rightChars="0" w:firstLine="48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rPr>
              <w:t>制定售后服务方案，对后续服务工作内容、售后服务团队、售后技术支持、24小时内本地响应服务</w:t>
            </w:r>
            <w:r>
              <w:rPr>
                <w:rFonts w:hint="eastAsia" w:ascii="宋体" w:hAnsi="宋体" w:eastAsia="宋体" w:cs="宋体"/>
                <w:sz w:val="24"/>
                <w:szCs w:val="24"/>
                <w:highlight w:val="none"/>
                <w:lang w:eastAsia="zh-CN"/>
              </w:rPr>
              <w:t>、故障或事故解决处理措施</w:t>
            </w:r>
            <w:r>
              <w:rPr>
                <w:rFonts w:hint="eastAsia" w:ascii="宋体" w:hAnsi="宋体" w:eastAsia="宋体" w:cs="宋体"/>
                <w:sz w:val="24"/>
                <w:szCs w:val="24"/>
                <w:highlight w:val="none"/>
              </w:rPr>
              <w:t>等方面进行详细说明。提供的内容全面优秀者得10分，良好者得7分，一般者得4分，不满足项目需求者或者未提供此项内容得0分。</w:t>
            </w:r>
          </w:p>
        </w:tc>
      </w:tr>
      <w:tr w14:paraId="0D1026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trPr>
        <w:tc>
          <w:tcPr>
            <w:tcW w:w="786" w:type="dxa"/>
            <w:vMerge w:val="restart"/>
            <w:noWrap w:val="0"/>
            <w:vAlign w:val="center"/>
          </w:tcPr>
          <w:p w14:paraId="3A574746">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p w14:paraId="72F1E87D">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26FA7FB7">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1371" w:type="dxa"/>
            <w:noWrap w:val="0"/>
            <w:vAlign w:val="center"/>
          </w:tcPr>
          <w:p w14:paraId="5E660E71">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tc>
        <w:tc>
          <w:tcPr>
            <w:tcW w:w="900" w:type="dxa"/>
            <w:noWrap w:val="0"/>
            <w:vAlign w:val="center"/>
          </w:tcPr>
          <w:p w14:paraId="1B030EFD">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622" w:type="dxa"/>
            <w:noWrap w:val="0"/>
            <w:vAlign w:val="center"/>
          </w:tcPr>
          <w:p w14:paraId="09B7A97E">
            <w:pPr>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提供近三年（20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年至今）承担过排水管道</w:t>
            </w:r>
            <w:r>
              <w:rPr>
                <w:rFonts w:hint="eastAsia" w:ascii="宋体" w:hAnsi="宋体" w:eastAsia="宋体" w:cs="宋体"/>
                <w:sz w:val="24"/>
                <w:szCs w:val="24"/>
                <w:highlight w:val="none"/>
                <w:lang w:eastAsia="zh-CN"/>
              </w:rPr>
              <w:t>排查</w:t>
            </w:r>
            <w:r>
              <w:rPr>
                <w:rFonts w:hint="eastAsia" w:ascii="宋体" w:hAnsi="宋体" w:eastAsia="宋体" w:cs="宋体"/>
                <w:sz w:val="24"/>
                <w:szCs w:val="24"/>
                <w:highlight w:val="none"/>
              </w:rPr>
              <w:t>检测类相关业绩。每提供一个合同或中标通知书得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分，本项最高得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分，不满足不得分。</w:t>
            </w:r>
          </w:p>
          <w:p w14:paraId="58793134">
            <w:pPr>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注：</w:t>
            </w:r>
            <w:r>
              <w:rPr>
                <w:rFonts w:hint="eastAsia" w:ascii="宋体" w:hAnsi="宋体" w:eastAsia="宋体" w:cs="宋体"/>
                <w:sz w:val="24"/>
                <w:szCs w:val="24"/>
                <w:highlight w:val="none"/>
              </w:rPr>
              <w:t>业绩应附</w:t>
            </w:r>
            <w:r>
              <w:rPr>
                <w:rFonts w:hint="eastAsia" w:ascii="宋体" w:hAnsi="宋体" w:eastAsia="宋体" w:cs="宋体"/>
                <w:sz w:val="24"/>
                <w:szCs w:val="24"/>
                <w:highlight w:val="none"/>
                <w:lang w:eastAsia="zh-CN"/>
              </w:rPr>
              <w:t>中标通知书或合同</w:t>
            </w:r>
            <w:r>
              <w:rPr>
                <w:rFonts w:hint="eastAsia" w:ascii="宋体" w:hAnsi="宋体" w:eastAsia="宋体" w:cs="宋体"/>
                <w:sz w:val="24"/>
                <w:szCs w:val="24"/>
                <w:highlight w:val="none"/>
              </w:rPr>
              <w:t>，以合同签订时间为准。</w:t>
            </w:r>
          </w:p>
        </w:tc>
      </w:tr>
      <w:tr w14:paraId="7C31F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786" w:type="dxa"/>
            <w:vMerge w:val="continue"/>
            <w:noWrap w:val="0"/>
            <w:vAlign w:val="center"/>
          </w:tcPr>
          <w:p w14:paraId="7B67E978">
            <w:pPr>
              <w:keepNext w:val="0"/>
              <w:keepLines w:val="0"/>
              <w:pageBreakBefore w:val="0"/>
              <w:widowControl w:val="0"/>
              <w:kinsoku/>
              <w:wordWrap/>
              <w:overflowPunct/>
              <w:topLinePunct w:val="0"/>
              <w:bidi w:val="0"/>
              <w:spacing w:line="360" w:lineRule="auto"/>
              <w:ind w:firstLine="480"/>
              <w:jc w:val="center"/>
              <w:textAlignment w:val="auto"/>
              <w:rPr>
                <w:rFonts w:hint="eastAsia" w:ascii="宋体" w:hAnsi="宋体" w:eastAsia="宋体" w:cs="宋体"/>
                <w:sz w:val="24"/>
                <w:szCs w:val="24"/>
                <w:highlight w:val="none"/>
              </w:rPr>
            </w:pPr>
          </w:p>
        </w:tc>
        <w:tc>
          <w:tcPr>
            <w:tcW w:w="1371" w:type="dxa"/>
            <w:noWrap w:val="0"/>
            <w:vAlign w:val="center"/>
          </w:tcPr>
          <w:p w14:paraId="3582EEA0">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人员实力</w:t>
            </w:r>
          </w:p>
        </w:tc>
        <w:tc>
          <w:tcPr>
            <w:tcW w:w="900" w:type="dxa"/>
            <w:noWrap w:val="0"/>
            <w:vAlign w:val="center"/>
          </w:tcPr>
          <w:p w14:paraId="27B1A4BC">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6622" w:type="dxa"/>
            <w:noWrap w:val="0"/>
            <w:vAlign w:val="center"/>
          </w:tcPr>
          <w:p w14:paraId="09C12832">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1、拟投入项目负责人具备高级职称证书</w:t>
            </w:r>
            <w:r>
              <w:rPr>
                <w:rFonts w:hint="eastAsia" w:cs="宋体"/>
                <w:sz w:val="24"/>
                <w:szCs w:val="24"/>
                <w:highlight w:val="none"/>
                <w:lang w:eastAsia="zh-CN"/>
              </w:rPr>
              <w:t>且</w:t>
            </w:r>
            <w:r>
              <w:rPr>
                <w:rFonts w:hint="eastAsia" w:ascii="宋体" w:hAnsi="宋体" w:eastAsia="宋体" w:cs="宋体"/>
                <w:sz w:val="24"/>
                <w:szCs w:val="24"/>
                <w:highlight w:val="none"/>
              </w:rPr>
              <w:t>同时具备注册测绘师</w:t>
            </w:r>
            <w:r>
              <w:rPr>
                <w:rFonts w:hint="eastAsia" w:ascii="宋体" w:hAnsi="宋体" w:eastAsia="宋体" w:cs="宋体"/>
                <w:sz w:val="24"/>
                <w:szCs w:val="24"/>
                <w:highlight w:val="none"/>
                <w:lang w:eastAsia="zh-CN"/>
              </w:rPr>
              <w:t>执业资格</w:t>
            </w:r>
            <w:r>
              <w:rPr>
                <w:rFonts w:hint="eastAsia" w:ascii="宋体" w:hAnsi="宋体" w:eastAsia="宋体" w:cs="宋体"/>
                <w:sz w:val="24"/>
                <w:szCs w:val="24"/>
                <w:highlight w:val="none"/>
              </w:rPr>
              <w:t>证书得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58C9BD14">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2、拟投入项目技术负责人具备高级职称证书</w:t>
            </w:r>
            <w:r>
              <w:rPr>
                <w:rFonts w:hint="eastAsia" w:cs="宋体"/>
                <w:sz w:val="24"/>
                <w:szCs w:val="24"/>
                <w:highlight w:val="none"/>
                <w:lang w:eastAsia="zh-CN"/>
              </w:rPr>
              <w:t>且</w:t>
            </w:r>
            <w:r>
              <w:rPr>
                <w:rFonts w:hint="eastAsia" w:ascii="宋体" w:hAnsi="宋体" w:eastAsia="宋体" w:cs="宋体"/>
                <w:sz w:val="24"/>
                <w:szCs w:val="24"/>
                <w:highlight w:val="none"/>
              </w:rPr>
              <w:t>同时具备注册测绘师</w:t>
            </w:r>
            <w:r>
              <w:rPr>
                <w:rFonts w:hint="eastAsia" w:ascii="宋体" w:hAnsi="宋体" w:eastAsia="宋体" w:cs="宋体"/>
                <w:sz w:val="24"/>
                <w:szCs w:val="24"/>
                <w:highlight w:val="none"/>
                <w:lang w:eastAsia="zh-CN"/>
              </w:rPr>
              <w:t>执业资格</w:t>
            </w:r>
            <w:r>
              <w:rPr>
                <w:rFonts w:hint="eastAsia" w:ascii="宋体" w:hAnsi="宋体" w:eastAsia="宋体" w:cs="宋体"/>
                <w:sz w:val="24"/>
                <w:szCs w:val="24"/>
                <w:highlight w:val="none"/>
              </w:rPr>
              <w:t>证书得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1BF8C4A7">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rPr>
            </w:pPr>
            <w:r>
              <w:rPr>
                <w:rFonts w:hint="eastAsia" w:ascii="宋体" w:hAnsi="宋体" w:eastAsia="宋体" w:cs="宋体"/>
                <w:kern w:val="0"/>
                <w:sz w:val="24"/>
                <w:szCs w:val="24"/>
                <w:highlight w:val="none"/>
              </w:rPr>
              <w:t>注：需提供人员证书扫描件、身份证以及养老保险缴费部门出具的在本单位缴纳的职工基本养老保险证明。</w:t>
            </w:r>
          </w:p>
        </w:tc>
      </w:tr>
      <w:tr w14:paraId="4B6874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786" w:type="dxa"/>
            <w:vMerge w:val="continue"/>
            <w:noWrap w:val="0"/>
            <w:vAlign w:val="center"/>
          </w:tcPr>
          <w:p w14:paraId="428A3C28">
            <w:pPr>
              <w:keepNext w:val="0"/>
              <w:keepLines w:val="0"/>
              <w:pageBreakBefore w:val="0"/>
              <w:widowControl w:val="0"/>
              <w:kinsoku/>
              <w:wordWrap/>
              <w:overflowPunct/>
              <w:topLinePunct w:val="0"/>
              <w:bidi w:val="0"/>
              <w:spacing w:line="360" w:lineRule="auto"/>
              <w:ind w:firstLine="480"/>
              <w:jc w:val="center"/>
              <w:textAlignment w:val="auto"/>
              <w:rPr>
                <w:rFonts w:hint="eastAsia" w:ascii="宋体" w:hAnsi="宋体" w:eastAsia="宋体" w:cs="宋体"/>
                <w:sz w:val="24"/>
                <w:szCs w:val="24"/>
                <w:highlight w:val="none"/>
              </w:rPr>
            </w:pPr>
          </w:p>
        </w:tc>
        <w:tc>
          <w:tcPr>
            <w:tcW w:w="1371" w:type="dxa"/>
            <w:noWrap w:val="0"/>
            <w:vAlign w:val="center"/>
          </w:tcPr>
          <w:p w14:paraId="5AA0EFC4">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专业设备</w:t>
            </w:r>
          </w:p>
        </w:tc>
        <w:tc>
          <w:tcPr>
            <w:tcW w:w="900" w:type="dxa"/>
            <w:noWrap w:val="0"/>
            <w:vAlign w:val="center"/>
          </w:tcPr>
          <w:p w14:paraId="0FAB29E8">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6622" w:type="dxa"/>
            <w:noWrap w:val="0"/>
            <w:vAlign w:val="center"/>
          </w:tcPr>
          <w:p w14:paraId="00C25089">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提供拟投入本项目的管道检测机器人</w:t>
            </w:r>
            <w:r>
              <w:rPr>
                <w:rFonts w:hint="eastAsia" w:ascii="宋体" w:hAnsi="宋体" w:eastAsia="宋体" w:cs="宋体"/>
                <w:kern w:val="0"/>
                <w:sz w:val="24"/>
                <w:szCs w:val="24"/>
                <w:highlight w:val="none"/>
                <w:lang w:eastAsia="zh-CN"/>
              </w:rPr>
              <w:t>设备</w:t>
            </w:r>
            <w:r>
              <w:rPr>
                <w:rFonts w:hint="eastAsia" w:ascii="宋体" w:hAnsi="宋体" w:eastAsia="宋体" w:cs="宋体"/>
                <w:kern w:val="0"/>
                <w:sz w:val="24"/>
                <w:szCs w:val="24"/>
                <w:highlight w:val="none"/>
              </w:rPr>
              <w:t>购置发票扫描件的得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p w14:paraId="480FC999">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提供拟投入本项目的</w:t>
            </w:r>
            <w:r>
              <w:rPr>
                <w:rFonts w:hint="eastAsia" w:ascii="宋体" w:hAnsi="宋体" w:eastAsia="宋体" w:cs="宋体"/>
                <w:kern w:val="0"/>
                <w:sz w:val="24"/>
                <w:szCs w:val="24"/>
                <w:highlight w:val="none"/>
                <w:lang w:eastAsia="zh-CN"/>
              </w:rPr>
              <w:t>管道检测潜望镜设备</w:t>
            </w:r>
            <w:r>
              <w:rPr>
                <w:rFonts w:hint="eastAsia" w:ascii="宋体" w:hAnsi="宋体" w:eastAsia="宋体" w:cs="宋体"/>
                <w:kern w:val="0"/>
                <w:sz w:val="24"/>
                <w:szCs w:val="24"/>
                <w:highlight w:val="none"/>
              </w:rPr>
              <w:t>购置发票扫描件的得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p w14:paraId="21B0ED97">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提供拟投入本项目的</w:t>
            </w:r>
            <w:r>
              <w:rPr>
                <w:rFonts w:hint="eastAsia" w:ascii="宋体" w:hAnsi="宋体" w:eastAsia="宋体" w:cs="宋体"/>
                <w:kern w:val="0"/>
                <w:sz w:val="24"/>
                <w:szCs w:val="24"/>
                <w:highlight w:val="none"/>
                <w:lang w:eastAsia="zh-CN"/>
              </w:rPr>
              <w:t>地质雷达设备</w:t>
            </w:r>
            <w:r>
              <w:rPr>
                <w:rFonts w:hint="eastAsia" w:ascii="宋体" w:hAnsi="宋体" w:eastAsia="宋体" w:cs="宋体"/>
                <w:kern w:val="0"/>
                <w:sz w:val="24"/>
                <w:szCs w:val="24"/>
                <w:highlight w:val="none"/>
              </w:rPr>
              <w:t>购置发票扫描件的得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p w14:paraId="5D09D5F6">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提供拟投入本项目的地下管线探测仪</w:t>
            </w:r>
            <w:r>
              <w:rPr>
                <w:rFonts w:hint="eastAsia" w:ascii="宋体" w:hAnsi="宋体" w:eastAsia="宋体" w:cs="宋体"/>
                <w:kern w:val="0"/>
                <w:sz w:val="24"/>
                <w:szCs w:val="24"/>
                <w:highlight w:val="none"/>
                <w:lang w:eastAsia="zh-CN"/>
              </w:rPr>
              <w:t>设备</w:t>
            </w:r>
            <w:r>
              <w:rPr>
                <w:rFonts w:hint="eastAsia" w:ascii="宋体" w:hAnsi="宋体" w:eastAsia="宋体" w:cs="宋体"/>
                <w:kern w:val="0"/>
                <w:sz w:val="24"/>
                <w:szCs w:val="24"/>
                <w:highlight w:val="none"/>
              </w:rPr>
              <w:t>购置发票扫描件的得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p w14:paraId="5EAE0C8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注:发票日期需在</w:t>
            </w:r>
            <w:r>
              <w:rPr>
                <w:rFonts w:hint="eastAsia" w:ascii="宋体" w:hAnsi="宋体" w:eastAsia="宋体" w:cs="宋体"/>
                <w:kern w:val="0"/>
                <w:sz w:val="24"/>
                <w:szCs w:val="24"/>
                <w:highlight w:val="none"/>
                <w:lang w:eastAsia="zh-CN"/>
              </w:rPr>
              <w:t>本次</w:t>
            </w:r>
            <w:r>
              <w:rPr>
                <w:rFonts w:hint="eastAsia" w:ascii="宋体" w:hAnsi="宋体" w:eastAsia="宋体" w:cs="宋体"/>
                <w:kern w:val="0"/>
                <w:sz w:val="24"/>
                <w:szCs w:val="24"/>
                <w:highlight w:val="none"/>
              </w:rPr>
              <w:t>公告发布日期之前，否则不计分</w:t>
            </w:r>
            <w:r>
              <w:rPr>
                <w:rFonts w:hint="eastAsia" w:ascii="宋体" w:hAnsi="宋体" w:eastAsia="宋体" w:cs="宋体"/>
                <w:kern w:val="0"/>
                <w:sz w:val="24"/>
                <w:szCs w:val="24"/>
                <w:highlight w:val="none"/>
                <w:lang w:eastAsia="zh-CN"/>
              </w:rPr>
              <w:t>。</w:t>
            </w:r>
          </w:p>
        </w:tc>
      </w:tr>
      <w:tr w14:paraId="2A73AD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786" w:type="dxa"/>
            <w:vMerge w:val="continue"/>
            <w:noWrap w:val="0"/>
            <w:vAlign w:val="center"/>
          </w:tcPr>
          <w:p w14:paraId="336F8BB8">
            <w:pPr>
              <w:keepNext w:val="0"/>
              <w:keepLines w:val="0"/>
              <w:pageBreakBefore w:val="0"/>
              <w:widowControl w:val="0"/>
              <w:kinsoku/>
              <w:wordWrap/>
              <w:overflowPunct/>
              <w:topLinePunct w:val="0"/>
              <w:bidi w:val="0"/>
              <w:spacing w:line="360" w:lineRule="auto"/>
              <w:ind w:firstLine="480"/>
              <w:jc w:val="center"/>
              <w:textAlignment w:val="auto"/>
              <w:rPr>
                <w:rFonts w:hint="eastAsia" w:ascii="宋体" w:hAnsi="宋体" w:eastAsia="宋体" w:cs="宋体"/>
                <w:sz w:val="24"/>
                <w:szCs w:val="24"/>
                <w:highlight w:val="none"/>
              </w:rPr>
            </w:pPr>
          </w:p>
        </w:tc>
        <w:tc>
          <w:tcPr>
            <w:tcW w:w="1371" w:type="dxa"/>
            <w:noWrap w:val="0"/>
            <w:vAlign w:val="center"/>
          </w:tcPr>
          <w:p w14:paraId="4BCFD4F1">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服务承诺和措施</w:t>
            </w:r>
          </w:p>
        </w:tc>
        <w:tc>
          <w:tcPr>
            <w:tcW w:w="900" w:type="dxa"/>
            <w:noWrap w:val="0"/>
            <w:vAlign w:val="center"/>
          </w:tcPr>
          <w:p w14:paraId="37452A6F">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6622" w:type="dxa"/>
            <w:noWrap w:val="0"/>
            <w:vAlign w:val="center"/>
          </w:tcPr>
          <w:p w14:paraId="0D1D4591">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为配合采购人建设好本项目，提供相关的服务承诺和措施，提供内容全面优秀者得4分，良好者得2分，不满足项目需求者得</w:t>
            </w:r>
            <w:r>
              <w:rPr>
                <w:rFonts w:hint="eastAsia" w:cs="宋体"/>
                <w:kern w:val="0"/>
                <w:sz w:val="24"/>
                <w:szCs w:val="24"/>
                <w:highlight w:val="none"/>
                <w:lang w:val="en-US" w:eastAsia="zh-CN"/>
              </w:rPr>
              <w:t>0分。</w:t>
            </w:r>
          </w:p>
        </w:tc>
      </w:tr>
      <w:tr w14:paraId="0DCFA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2157" w:type="dxa"/>
            <w:gridSpan w:val="2"/>
            <w:noWrap w:val="0"/>
            <w:vAlign w:val="center"/>
          </w:tcPr>
          <w:p w14:paraId="3329226E">
            <w:pPr>
              <w:keepNext w:val="0"/>
              <w:keepLines w:val="0"/>
              <w:pageBreakBefore w:val="0"/>
              <w:widowControl w:val="0"/>
              <w:kinsoku/>
              <w:wordWrap/>
              <w:overflowPunct/>
              <w:topLinePunct w:val="0"/>
              <w:bidi w:val="0"/>
              <w:spacing w:line="360" w:lineRule="auto"/>
              <w:ind w:firstLine="482"/>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7522" w:type="dxa"/>
            <w:gridSpan w:val="2"/>
            <w:noWrap w:val="0"/>
            <w:vAlign w:val="center"/>
          </w:tcPr>
          <w:p w14:paraId="41E18846">
            <w:pPr>
              <w:keepNext w:val="0"/>
              <w:keepLines w:val="0"/>
              <w:pageBreakBefore w:val="0"/>
              <w:widowControl w:val="0"/>
              <w:kinsoku/>
              <w:wordWrap/>
              <w:overflowPunct/>
              <w:topLinePunct w:val="0"/>
              <w:bidi w:val="0"/>
              <w:spacing w:line="360" w:lineRule="auto"/>
              <w:ind w:firstLine="482"/>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100分</w:t>
            </w:r>
          </w:p>
        </w:tc>
      </w:tr>
    </w:tbl>
    <w:p w14:paraId="5785638A">
      <w:pPr>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1"/>
        <w:rPr>
          <w:rFonts w:hint="eastAsia" w:ascii="宋体" w:hAnsi="宋体" w:eastAsia="宋体" w:cs="宋体"/>
          <w:b/>
          <w:bCs w:val="0"/>
          <w:kern w:val="2"/>
          <w:sz w:val="28"/>
          <w:szCs w:val="28"/>
          <w:highlight w:val="none"/>
          <w:lang w:val="en-US" w:eastAsia="zh-CN" w:bidi="ar"/>
        </w:rPr>
      </w:pPr>
      <w:r>
        <w:rPr>
          <w:rFonts w:hint="eastAsia" w:ascii="宋体" w:hAnsi="宋体" w:eastAsia="宋体" w:cs="宋体"/>
          <w:b/>
          <w:bCs w:val="0"/>
          <w:kern w:val="2"/>
          <w:sz w:val="28"/>
          <w:szCs w:val="28"/>
          <w:highlight w:val="none"/>
          <w:lang w:val="en-US" w:eastAsia="zh-CN" w:bidi="ar"/>
        </w:rPr>
        <w:t>详细评审（二标段）</w:t>
      </w:r>
    </w:p>
    <w:tbl>
      <w:tblPr>
        <w:tblStyle w:val="21"/>
        <w:tblW w:w="967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1371"/>
        <w:gridCol w:w="900"/>
        <w:gridCol w:w="6622"/>
      </w:tblGrid>
      <w:tr w14:paraId="354C9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57" w:type="dxa"/>
            <w:gridSpan w:val="2"/>
            <w:noWrap w:val="0"/>
            <w:vAlign w:val="center"/>
          </w:tcPr>
          <w:p w14:paraId="3EBC16D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评审因素</w:t>
            </w:r>
          </w:p>
        </w:tc>
        <w:tc>
          <w:tcPr>
            <w:tcW w:w="7522" w:type="dxa"/>
            <w:gridSpan w:val="2"/>
            <w:noWrap w:val="0"/>
            <w:vAlign w:val="center"/>
          </w:tcPr>
          <w:p w14:paraId="06E3153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评审标准</w:t>
            </w:r>
          </w:p>
        </w:tc>
      </w:tr>
      <w:tr w14:paraId="3383F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57" w:type="dxa"/>
            <w:gridSpan w:val="2"/>
            <w:noWrap w:val="0"/>
            <w:vAlign w:val="center"/>
          </w:tcPr>
          <w:p w14:paraId="64EA7161">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分值构成</w:t>
            </w:r>
          </w:p>
        </w:tc>
        <w:tc>
          <w:tcPr>
            <w:tcW w:w="7522" w:type="dxa"/>
            <w:gridSpan w:val="2"/>
            <w:noWrap w:val="0"/>
            <w:vAlign w:val="center"/>
          </w:tcPr>
          <w:p w14:paraId="490B5080">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报价得分</w:t>
            </w:r>
            <w:r>
              <w:rPr>
                <w:rFonts w:hint="eastAsia" w:ascii="宋体" w:hAnsi="宋体" w:eastAsia="宋体" w:cs="宋体"/>
                <w:b/>
                <w:sz w:val="24"/>
                <w:szCs w:val="24"/>
                <w:highlight w:val="none"/>
                <w:lang w:val="en-US" w:eastAsia="zh-CN"/>
              </w:rPr>
              <w:t>20分</w:t>
            </w:r>
          </w:p>
          <w:p w14:paraId="384C1E9C">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技术部分60分</w:t>
            </w:r>
          </w:p>
          <w:p w14:paraId="647F5E86">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商务部分20分</w:t>
            </w:r>
          </w:p>
        </w:tc>
      </w:tr>
      <w:tr w14:paraId="1FC81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57" w:type="dxa"/>
            <w:gridSpan w:val="2"/>
            <w:noWrap w:val="0"/>
            <w:vAlign w:val="center"/>
          </w:tcPr>
          <w:p w14:paraId="03C6DFD7">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900" w:type="dxa"/>
            <w:noWrap w:val="0"/>
            <w:vAlign w:val="center"/>
          </w:tcPr>
          <w:p w14:paraId="221C39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最高分值</w:t>
            </w:r>
          </w:p>
        </w:tc>
        <w:tc>
          <w:tcPr>
            <w:tcW w:w="6622" w:type="dxa"/>
            <w:noWrap w:val="0"/>
            <w:vAlign w:val="center"/>
          </w:tcPr>
          <w:p w14:paraId="449E67E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14:paraId="6618D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57" w:type="dxa"/>
            <w:gridSpan w:val="2"/>
            <w:noWrap w:val="0"/>
            <w:vAlign w:val="center"/>
          </w:tcPr>
          <w:p w14:paraId="4D3BA309">
            <w:pPr>
              <w:pStyle w:val="10"/>
              <w:keepNext w:val="0"/>
              <w:keepLines w:val="0"/>
              <w:pageBreakBefore w:val="0"/>
              <w:widowControl w:val="0"/>
              <w:kinsoku/>
              <w:wordWrap/>
              <w:overflowPunct/>
              <w:topLinePunct w:val="0"/>
              <w:bidi w:val="0"/>
              <w:spacing w:line="360" w:lineRule="auto"/>
              <w:ind w:lef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p>
          <w:p w14:paraId="447DF94B">
            <w:pPr>
              <w:pStyle w:val="10"/>
              <w:keepNext w:val="0"/>
              <w:keepLines w:val="0"/>
              <w:pageBreakBefore w:val="0"/>
              <w:widowControl w:val="0"/>
              <w:kinsoku/>
              <w:wordWrap/>
              <w:overflowPunct/>
              <w:topLinePunct w:val="0"/>
              <w:bidi w:val="0"/>
              <w:spacing w:line="36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20</w:t>
            </w:r>
            <w:r>
              <w:rPr>
                <w:rFonts w:hint="eastAsia" w:ascii="宋体" w:hAnsi="宋体" w:eastAsia="宋体" w:cs="宋体"/>
                <w:sz w:val="24"/>
                <w:szCs w:val="24"/>
                <w:highlight w:val="none"/>
              </w:rPr>
              <w:t>分）</w:t>
            </w:r>
          </w:p>
        </w:tc>
        <w:tc>
          <w:tcPr>
            <w:tcW w:w="900" w:type="dxa"/>
            <w:noWrap w:val="0"/>
            <w:vAlign w:val="center"/>
          </w:tcPr>
          <w:p w14:paraId="40E6AE14">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20分</w:t>
            </w:r>
          </w:p>
        </w:tc>
        <w:tc>
          <w:tcPr>
            <w:tcW w:w="6622" w:type="dxa"/>
            <w:noWrap w:val="0"/>
            <w:vAlign w:val="center"/>
          </w:tcPr>
          <w:p w14:paraId="6AAA919D">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投标报价得分＝（评标基准价/投标报价）×</w:t>
            </w:r>
            <w:r>
              <w:rPr>
                <w:rFonts w:hint="eastAsia" w:cs="宋体"/>
                <w:sz w:val="24"/>
                <w:szCs w:val="24"/>
                <w:highlight w:val="none"/>
                <w:lang w:val="en-US" w:eastAsia="zh-CN"/>
              </w:rPr>
              <w:t>20</w:t>
            </w:r>
          </w:p>
          <w:p w14:paraId="0FBC2BC3">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【注：满足招标文件要求且投标价格最低的投标报价为评标基准价。】</w:t>
            </w:r>
          </w:p>
          <w:p w14:paraId="1BC10807">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最低报价不是中标的唯一依据。因落实政府采购政策进行价格调整的，以调整后的价格计算评标基准价和投标报价。</w:t>
            </w:r>
          </w:p>
          <w:p w14:paraId="78793321">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注：价格分计算保留小数点后两位。</w:t>
            </w:r>
          </w:p>
          <w:p w14:paraId="32D42305">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1、落实的政府采购政策：</w:t>
            </w:r>
          </w:p>
          <w:p w14:paraId="596ED39D">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为了促进中小企业发展，根据《三门峡市财政局关于进一步加大政府采购支持中小企业发展有关事项的通知》（三财购﹝2022﹞9号）的规定，投标供应商为小微企业的，对小微企业的价格给予10%～20%的扣除，本项目小微企业按20%扣除，用扣除后的价格作为投标报价参加评审。中小企业划型标准见《关于印发中小企业划型标准规定的通知》（工信部联企业[2011]300号）。</w:t>
            </w:r>
          </w:p>
          <w:p w14:paraId="28D71EAB">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7C6C95F1">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根据《关于政府采购支持监狱企业发展有关问题的通知》（财库[2014]68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1FC9C38A">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（4）监狱企业、残疾人福利性单位属于小型、微型企业的，不重复享受政策，仅给予一次价格20%的扣除。</w:t>
            </w:r>
          </w:p>
          <w:p w14:paraId="2DBC79FF">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2、招标小组认为</w:t>
            </w:r>
            <w:r>
              <w:rPr>
                <w:rFonts w:hint="eastAsia" w:cs="宋体"/>
                <w:sz w:val="24"/>
                <w:szCs w:val="24"/>
                <w:highlight w:val="none"/>
                <w:lang w:eastAsia="zh-CN"/>
              </w:rPr>
              <w:t>供应商</w:t>
            </w:r>
            <w:r>
              <w:rPr>
                <w:rFonts w:hint="eastAsia" w:ascii="宋体" w:hAnsi="宋体" w:eastAsia="宋体" w:cs="宋体"/>
                <w:sz w:val="24"/>
                <w:szCs w:val="24"/>
                <w:highlight w:val="none"/>
              </w:rPr>
              <w:t>的报价明显低于其他通过符合性审查</w:t>
            </w:r>
            <w:r>
              <w:rPr>
                <w:rFonts w:hint="eastAsia" w:cs="宋体"/>
                <w:sz w:val="24"/>
                <w:szCs w:val="24"/>
                <w:highlight w:val="none"/>
                <w:lang w:eastAsia="zh-CN"/>
              </w:rPr>
              <w:t>供应商</w:t>
            </w:r>
            <w:r>
              <w:rPr>
                <w:rFonts w:hint="eastAsia" w:ascii="宋体" w:hAnsi="宋体" w:eastAsia="宋体" w:cs="宋体"/>
                <w:sz w:val="24"/>
                <w:szCs w:val="24"/>
                <w:highlight w:val="none"/>
              </w:rPr>
              <w:t>的报价，有可能影响产品质量或者不能诚信履约的，应当要求其在招标现场合理的时间内提供书面说明，必要时提交相关证明材料；</w:t>
            </w:r>
            <w:r>
              <w:rPr>
                <w:rFonts w:hint="eastAsia" w:cs="宋体"/>
                <w:sz w:val="24"/>
                <w:szCs w:val="24"/>
                <w:highlight w:val="none"/>
                <w:lang w:eastAsia="zh-CN"/>
              </w:rPr>
              <w:t xml:space="preserve">供应商 </w:t>
            </w:r>
            <w:r>
              <w:rPr>
                <w:rFonts w:hint="eastAsia" w:ascii="宋体" w:hAnsi="宋体" w:eastAsia="宋体" w:cs="宋体"/>
                <w:sz w:val="24"/>
                <w:szCs w:val="24"/>
                <w:highlight w:val="none"/>
              </w:rPr>
              <w:t>不能证明其报价合理性的，招标小组应当将其作为无效报价处理。</w:t>
            </w:r>
          </w:p>
        </w:tc>
      </w:tr>
      <w:tr w14:paraId="427FB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786" w:type="dxa"/>
            <w:vMerge w:val="restart"/>
            <w:noWrap w:val="0"/>
            <w:vAlign w:val="center"/>
          </w:tcPr>
          <w:p w14:paraId="120479B5">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p>
          <w:p w14:paraId="553E571F">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7C0AEABA">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60分</w:t>
            </w:r>
          </w:p>
        </w:tc>
        <w:tc>
          <w:tcPr>
            <w:tcW w:w="1371" w:type="dxa"/>
            <w:noWrap w:val="0"/>
            <w:vAlign w:val="center"/>
          </w:tcPr>
          <w:p w14:paraId="74420757">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项目概况及需求分析</w:t>
            </w:r>
          </w:p>
        </w:tc>
        <w:tc>
          <w:tcPr>
            <w:tcW w:w="900" w:type="dxa"/>
            <w:noWrap w:val="0"/>
            <w:vAlign w:val="center"/>
          </w:tcPr>
          <w:p w14:paraId="4F52839C">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198DD7C0">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根据招标文件、</w:t>
            </w:r>
            <w:r>
              <w:rPr>
                <w:rFonts w:hint="eastAsia" w:ascii="宋体" w:hAnsi="宋体" w:eastAsia="宋体" w:cs="宋体"/>
                <w:sz w:val="24"/>
                <w:szCs w:val="24"/>
                <w:highlight w:val="none"/>
                <w:lang w:eastAsia="zh-CN"/>
              </w:rPr>
              <w:t>地方、</w:t>
            </w:r>
            <w:r>
              <w:rPr>
                <w:rFonts w:hint="eastAsia" w:ascii="宋体" w:hAnsi="宋体" w:eastAsia="宋体" w:cs="宋体"/>
                <w:sz w:val="24"/>
                <w:szCs w:val="24"/>
                <w:highlight w:val="none"/>
              </w:rPr>
              <w:t>行业、国家及相关标准对本项目的实施要求，结合项目建设地的实际情况，分析项目建设背景、作业区域熟悉程度、资料收集及利用分析、后续合理化建议等。描述清晰准确，分析透彻，资料收集齐全，对项目实施建议合理、可行，提供的内容全面优秀者得8分，良好者得5分，一般者得3分，不满足项目需求者或者未提供此项内容得0分。</w:t>
            </w:r>
          </w:p>
        </w:tc>
      </w:tr>
      <w:tr w14:paraId="09E37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8" w:hRule="atLeast"/>
          <w:jc w:val="center"/>
        </w:trPr>
        <w:tc>
          <w:tcPr>
            <w:tcW w:w="786" w:type="dxa"/>
            <w:vMerge w:val="continue"/>
            <w:noWrap w:val="0"/>
            <w:vAlign w:val="center"/>
          </w:tcPr>
          <w:p w14:paraId="61321FA8">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40F96032">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技术方案</w:t>
            </w:r>
          </w:p>
        </w:tc>
        <w:tc>
          <w:tcPr>
            <w:tcW w:w="900" w:type="dxa"/>
            <w:noWrap w:val="0"/>
            <w:vAlign w:val="center"/>
          </w:tcPr>
          <w:p w14:paraId="17B9689C">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12分</w:t>
            </w:r>
          </w:p>
        </w:tc>
        <w:tc>
          <w:tcPr>
            <w:tcW w:w="6622" w:type="dxa"/>
            <w:noWrap w:val="0"/>
            <w:vAlign w:val="center"/>
          </w:tcPr>
          <w:p w14:paraId="32F7BA8E">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制定完善的道路病害体检测技术设计，从</w:t>
            </w:r>
            <w:r>
              <w:rPr>
                <w:rFonts w:hint="eastAsia" w:cs="宋体"/>
                <w:sz w:val="24"/>
                <w:szCs w:val="24"/>
                <w:highlight w:val="none"/>
                <w:lang w:eastAsia="zh-CN"/>
              </w:rPr>
              <w:t>工作流程</w:t>
            </w:r>
            <w:r>
              <w:rPr>
                <w:rFonts w:hint="eastAsia" w:ascii="宋体" w:hAnsi="宋体" w:eastAsia="宋体" w:cs="宋体"/>
                <w:sz w:val="24"/>
                <w:szCs w:val="24"/>
                <w:highlight w:val="none"/>
                <w:lang w:eastAsia="zh-CN"/>
              </w:rPr>
              <w:t>、</w:t>
            </w:r>
            <w:r>
              <w:rPr>
                <w:rFonts w:hint="eastAsia" w:cs="宋体"/>
                <w:sz w:val="24"/>
                <w:szCs w:val="24"/>
                <w:highlight w:val="none"/>
                <w:lang w:eastAsia="zh-CN"/>
              </w:rPr>
              <w:t>实施</w:t>
            </w:r>
            <w:r>
              <w:rPr>
                <w:rFonts w:hint="eastAsia" w:ascii="宋体" w:hAnsi="宋体" w:eastAsia="宋体" w:cs="宋体"/>
                <w:sz w:val="24"/>
                <w:szCs w:val="24"/>
                <w:highlight w:val="none"/>
                <w:lang w:eastAsia="zh-CN"/>
              </w:rPr>
              <w:t>方案、数据收集及整理、调查检测、</w:t>
            </w:r>
            <w:r>
              <w:rPr>
                <w:rFonts w:hint="eastAsia" w:cs="宋体"/>
                <w:sz w:val="24"/>
                <w:szCs w:val="24"/>
                <w:highlight w:val="none"/>
                <w:lang w:eastAsia="zh-CN"/>
              </w:rPr>
              <w:t>成果提交、</w:t>
            </w:r>
            <w:r>
              <w:rPr>
                <w:rFonts w:hint="eastAsia" w:ascii="宋体" w:hAnsi="宋体" w:eastAsia="宋体" w:cs="宋体"/>
                <w:sz w:val="24"/>
                <w:szCs w:val="24"/>
                <w:highlight w:val="none"/>
                <w:lang w:eastAsia="zh-CN"/>
              </w:rPr>
              <w:t>重点难点分析</w:t>
            </w:r>
            <w:r>
              <w:rPr>
                <w:rFonts w:hint="eastAsia" w:cs="宋体"/>
                <w:sz w:val="24"/>
                <w:szCs w:val="24"/>
                <w:highlight w:val="none"/>
                <w:lang w:eastAsia="zh-CN"/>
              </w:rPr>
              <w:t>及解决措施</w:t>
            </w:r>
            <w:r>
              <w:rPr>
                <w:rFonts w:hint="eastAsia" w:ascii="宋体" w:hAnsi="宋体" w:eastAsia="宋体" w:cs="宋体"/>
                <w:sz w:val="24"/>
                <w:szCs w:val="24"/>
                <w:highlight w:val="none"/>
                <w:lang w:eastAsia="zh-CN"/>
              </w:rPr>
              <w:t>等方面进行详细说明。提供的内容全面优秀者得12分，良好者得8分，一般者得4分，不满足以上要求或者未提供此项内容得0分。</w:t>
            </w:r>
          </w:p>
        </w:tc>
      </w:tr>
      <w:tr w14:paraId="2EC50E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86" w:type="dxa"/>
            <w:vMerge w:val="continue"/>
            <w:noWrap w:val="0"/>
            <w:vAlign w:val="center"/>
          </w:tcPr>
          <w:p w14:paraId="38EEEC45">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39064154">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进度计划</w:t>
            </w:r>
          </w:p>
        </w:tc>
        <w:tc>
          <w:tcPr>
            <w:tcW w:w="900" w:type="dxa"/>
            <w:noWrap w:val="0"/>
            <w:vAlign w:val="center"/>
          </w:tcPr>
          <w:p w14:paraId="2EDB0B13">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09638798">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合理的进度计划，对项目投入的人员分工及职责、项目进度计划、工期管控措施、风险管控措施等方面进行详细说明。提供的内容全面优秀者得8分，良好者得5分，一般者得3分，不满足项目需求者或者未提供此项内容得0分。</w:t>
            </w:r>
          </w:p>
        </w:tc>
      </w:tr>
      <w:tr w14:paraId="64E86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786" w:type="dxa"/>
            <w:vMerge w:val="continue"/>
            <w:noWrap w:val="0"/>
            <w:vAlign w:val="center"/>
          </w:tcPr>
          <w:p w14:paraId="02DE735A">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3858CB92">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质量保证</w:t>
            </w:r>
          </w:p>
        </w:tc>
        <w:tc>
          <w:tcPr>
            <w:tcW w:w="900" w:type="dxa"/>
            <w:noWrap w:val="0"/>
            <w:vAlign w:val="center"/>
          </w:tcPr>
          <w:p w14:paraId="63F4D58E">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434D3B9C">
            <w:pPr>
              <w:pStyle w:val="39"/>
              <w:keepNext w:val="0"/>
              <w:keepLines w:val="0"/>
              <w:pageBreakBefore w:val="0"/>
              <w:widowControl w:val="0"/>
              <w:tabs>
                <w:tab w:val="left" w:pos="343"/>
              </w:tabs>
              <w:kinsoku/>
              <w:wordWrap/>
              <w:overflowPunct/>
              <w:topLinePunct w:val="0"/>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可靠的质量保障措施，对服务团队的质量控制目标、质量管理体系、质量保证措施、质量检查方案等方面进行详细说明。提供的内容全面优秀者得8分，良好者得5分，一般者得3分，不满足项目需求者或者未提供此项内容得0分。</w:t>
            </w:r>
          </w:p>
        </w:tc>
      </w:tr>
      <w:tr w14:paraId="22827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786" w:type="dxa"/>
            <w:vMerge w:val="continue"/>
            <w:noWrap w:val="0"/>
            <w:vAlign w:val="center"/>
          </w:tcPr>
          <w:p w14:paraId="6C2F4FA3">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1F93ADD2">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安全管理</w:t>
            </w:r>
          </w:p>
        </w:tc>
        <w:tc>
          <w:tcPr>
            <w:tcW w:w="900" w:type="dxa"/>
            <w:noWrap w:val="0"/>
            <w:vAlign w:val="center"/>
          </w:tcPr>
          <w:p w14:paraId="527779DE">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8分</w:t>
            </w:r>
          </w:p>
        </w:tc>
        <w:tc>
          <w:tcPr>
            <w:tcW w:w="6622" w:type="dxa"/>
            <w:noWrap w:val="0"/>
            <w:vAlign w:val="center"/>
          </w:tcPr>
          <w:p w14:paraId="07FC8013">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制定完整的安全与应急管理措施，对安全组织架构、人员设备安全、数据安全管理、应急响应措施等方面进行详细说明。 提供的内容全面优秀者得8分，良好者得5分，一般者得3分，不满足项目需求者或者未提供此项内容得0分。</w:t>
            </w:r>
          </w:p>
        </w:tc>
      </w:tr>
      <w:tr w14:paraId="258FDA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86" w:type="dxa"/>
            <w:vMerge w:val="continue"/>
            <w:noWrap w:val="0"/>
            <w:vAlign w:val="center"/>
          </w:tcPr>
          <w:p w14:paraId="2327802F">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34056585">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项目组织</w:t>
            </w:r>
          </w:p>
        </w:tc>
        <w:tc>
          <w:tcPr>
            <w:tcW w:w="900" w:type="dxa"/>
            <w:noWrap w:val="0"/>
            <w:vAlign w:val="center"/>
          </w:tcPr>
          <w:p w14:paraId="74C397D3">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6分</w:t>
            </w:r>
          </w:p>
        </w:tc>
        <w:tc>
          <w:tcPr>
            <w:tcW w:w="6622" w:type="dxa"/>
            <w:noWrap w:val="0"/>
            <w:vAlign w:val="center"/>
          </w:tcPr>
          <w:p w14:paraId="59BB156D">
            <w:pPr>
              <w:pStyle w:val="39"/>
              <w:keepNext w:val="0"/>
              <w:keepLines w:val="0"/>
              <w:pageBreakBefore w:val="0"/>
              <w:widowControl w:val="0"/>
              <w:tabs>
                <w:tab w:val="left" w:pos="343"/>
              </w:tabs>
              <w:kinsoku/>
              <w:wordWrap/>
              <w:overflowPunct/>
              <w:topLinePunct w:val="0"/>
              <w:bidi w:val="0"/>
              <w:adjustRightInd w:val="0"/>
              <w:snapToGrid w:val="0"/>
              <w:spacing w:line="360" w:lineRule="auto"/>
              <w:ind w:left="0" w:leftChars="0" w:right="0" w:rightChars="0" w:firstLine="48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制定完整的</w:t>
            </w:r>
            <w:r>
              <w:rPr>
                <w:rFonts w:hint="eastAsia" w:cs="宋体"/>
                <w:sz w:val="24"/>
                <w:szCs w:val="24"/>
                <w:highlight w:val="none"/>
                <w:lang w:val="en-US" w:eastAsia="zh-CN"/>
              </w:rPr>
              <w:t>项目组织措施</w:t>
            </w:r>
            <w:r>
              <w:rPr>
                <w:rFonts w:hint="eastAsia" w:ascii="宋体" w:hAnsi="宋体" w:eastAsia="宋体" w:cs="宋体"/>
                <w:sz w:val="24"/>
                <w:szCs w:val="24"/>
                <w:highlight w:val="none"/>
                <w:lang w:val="en-US"/>
              </w:rPr>
              <w:t>，对</w:t>
            </w:r>
            <w:r>
              <w:rPr>
                <w:rFonts w:hint="eastAsia" w:cs="宋体"/>
                <w:sz w:val="24"/>
                <w:szCs w:val="24"/>
                <w:highlight w:val="none"/>
                <w:lang w:val="en-US" w:eastAsia="zh-CN"/>
              </w:rPr>
              <w:t>项目组织方案、项目管理制度、人员配置及仪器设备配置</w:t>
            </w:r>
            <w:r>
              <w:rPr>
                <w:rFonts w:hint="eastAsia" w:ascii="宋体" w:hAnsi="宋体" w:eastAsia="宋体" w:cs="宋体"/>
                <w:sz w:val="24"/>
                <w:szCs w:val="24"/>
                <w:highlight w:val="none"/>
                <w:lang w:val="en-US"/>
              </w:rPr>
              <w:t>等方面进行详细说明。提供的内容全面优秀者得</w:t>
            </w:r>
            <w:r>
              <w:rPr>
                <w:rFonts w:hint="eastAsia" w:cs="宋体"/>
                <w:sz w:val="24"/>
                <w:szCs w:val="24"/>
                <w:highlight w:val="none"/>
                <w:lang w:val="en-US" w:eastAsia="zh-CN"/>
              </w:rPr>
              <w:t>6</w:t>
            </w:r>
            <w:r>
              <w:rPr>
                <w:rFonts w:hint="eastAsia" w:ascii="宋体" w:hAnsi="宋体" w:eastAsia="宋体" w:cs="宋体"/>
                <w:sz w:val="24"/>
                <w:szCs w:val="24"/>
                <w:highlight w:val="none"/>
                <w:lang w:val="en-US"/>
              </w:rPr>
              <w:t>分，良好者得</w:t>
            </w:r>
            <w:r>
              <w:rPr>
                <w:rFonts w:hint="eastAsia" w:cs="宋体"/>
                <w:sz w:val="24"/>
                <w:szCs w:val="24"/>
                <w:highlight w:val="none"/>
                <w:lang w:val="en-US" w:eastAsia="zh-CN"/>
              </w:rPr>
              <w:t>4</w:t>
            </w:r>
            <w:r>
              <w:rPr>
                <w:rFonts w:hint="eastAsia" w:ascii="宋体" w:hAnsi="宋体" w:eastAsia="宋体" w:cs="宋体"/>
                <w:sz w:val="24"/>
                <w:szCs w:val="24"/>
                <w:highlight w:val="none"/>
                <w:lang w:val="en-US"/>
              </w:rPr>
              <w:t>分，一般者得</w:t>
            </w:r>
            <w:r>
              <w:rPr>
                <w:rFonts w:hint="eastAsia" w:cs="宋体"/>
                <w:sz w:val="24"/>
                <w:szCs w:val="24"/>
                <w:highlight w:val="none"/>
                <w:lang w:val="en-US" w:eastAsia="zh-CN"/>
              </w:rPr>
              <w:t>2</w:t>
            </w:r>
            <w:r>
              <w:rPr>
                <w:rFonts w:hint="eastAsia" w:ascii="宋体" w:hAnsi="宋体" w:eastAsia="宋体" w:cs="宋体"/>
                <w:sz w:val="24"/>
                <w:szCs w:val="24"/>
                <w:highlight w:val="none"/>
                <w:lang w:val="en-US"/>
              </w:rPr>
              <w:t>分，不满足项目需求者或者未提供此项内容得0分。</w:t>
            </w:r>
          </w:p>
        </w:tc>
      </w:tr>
      <w:tr w14:paraId="6ECAA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786" w:type="dxa"/>
            <w:vMerge w:val="continue"/>
            <w:noWrap w:val="0"/>
            <w:vAlign w:val="center"/>
          </w:tcPr>
          <w:p w14:paraId="42020C68">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bCs/>
                <w:sz w:val="24"/>
                <w:szCs w:val="24"/>
                <w:highlight w:val="none"/>
              </w:rPr>
            </w:pPr>
          </w:p>
        </w:tc>
        <w:tc>
          <w:tcPr>
            <w:tcW w:w="1371" w:type="dxa"/>
            <w:noWrap w:val="0"/>
            <w:vAlign w:val="center"/>
          </w:tcPr>
          <w:p w14:paraId="5D0C68A1">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售后服务</w:t>
            </w:r>
          </w:p>
        </w:tc>
        <w:tc>
          <w:tcPr>
            <w:tcW w:w="900" w:type="dxa"/>
            <w:noWrap w:val="0"/>
            <w:vAlign w:val="center"/>
          </w:tcPr>
          <w:p w14:paraId="404EAE88">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10分</w:t>
            </w:r>
          </w:p>
        </w:tc>
        <w:tc>
          <w:tcPr>
            <w:tcW w:w="6622" w:type="dxa"/>
            <w:noWrap w:val="0"/>
            <w:vAlign w:val="center"/>
          </w:tcPr>
          <w:p w14:paraId="2533FB31">
            <w:pPr>
              <w:pStyle w:val="39"/>
              <w:keepNext w:val="0"/>
              <w:keepLines w:val="0"/>
              <w:pageBreakBefore w:val="0"/>
              <w:widowControl w:val="0"/>
              <w:tabs>
                <w:tab w:val="left" w:pos="343"/>
              </w:tabs>
              <w:kinsoku/>
              <w:wordWrap/>
              <w:overflowPunct/>
              <w:topLinePunct w:val="0"/>
              <w:bidi w:val="0"/>
              <w:adjustRightInd w:val="0"/>
              <w:snapToGrid w:val="0"/>
              <w:spacing w:line="360" w:lineRule="auto"/>
              <w:ind w:left="0" w:leftChars="0" w:right="0" w:rightChars="0" w:firstLine="48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rPr>
              <w:t>制定售后服务方案，对后续服务工作内容、售后服务团队、售后技术支持、24小时内本地响应服务</w:t>
            </w:r>
            <w:r>
              <w:rPr>
                <w:rFonts w:hint="eastAsia" w:ascii="宋体" w:hAnsi="宋体" w:eastAsia="宋体" w:cs="宋体"/>
                <w:sz w:val="24"/>
                <w:szCs w:val="24"/>
                <w:highlight w:val="none"/>
                <w:lang w:eastAsia="zh-CN"/>
              </w:rPr>
              <w:t>、故障或事故解决处理措施</w:t>
            </w:r>
            <w:r>
              <w:rPr>
                <w:rFonts w:hint="eastAsia" w:ascii="宋体" w:hAnsi="宋体" w:eastAsia="宋体" w:cs="宋体"/>
                <w:sz w:val="24"/>
                <w:szCs w:val="24"/>
                <w:highlight w:val="none"/>
              </w:rPr>
              <w:t>等方面进行详细说明。提供的内容全面优秀者得10分，良好者得7分，一般者得4分，不满足项目需求或者未提供此项内容得0分。</w:t>
            </w:r>
          </w:p>
        </w:tc>
      </w:tr>
      <w:tr w14:paraId="79A7E7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jc w:val="center"/>
        </w:trPr>
        <w:tc>
          <w:tcPr>
            <w:tcW w:w="786" w:type="dxa"/>
            <w:vMerge w:val="restart"/>
            <w:noWrap w:val="0"/>
            <w:vAlign w:val="center"/>
          </w:tcPr>
          <w:p w14:paraId="4C7DB053">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p w14:paraId="10397ED6">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2D1AA4F0">
            <w:pPr>
              <w:keepNext w:val="0"/>
              <w:keepLines w:val="0"/>
              <w:pageBreakBefore w:val="0"/>
              <w:widowControl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1371" w:type="dxa"/>
            <w:noWrap w:val="0"/>
            <w:vAlign w:val="center"/>
          </w:tcPr>
          <w:p w14:paraId="218E5367">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tc>
        <w:tc>
          <w:tcPr>
            <w:tcW w:w="900" w:type="dxa"/>
            <w:noWrap w:val="0"/>
            <w:vAlign w:val="center"/>
          </w:tcPr>
          <w:p w14:paraId="39244EA8">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622" w:type="dxa"/>
            <w:noWrap w:val="0"/>
            <w:vAlign w:val="center"/>
          </w:tcPr>
          <w:p w14:paraId="2F2490BE">
            <w:pPr>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提供近三年（20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年至今）承担过雷达探测</w:t>
            </w:r>
            <w:r>
              <w:rPr>
                <w:rFonts w:hint="eastAsia" w:ascii="宋体" w:hAnsi="宋体" w:eastAsia="宋体" w:cs="宋体"/>
                <w:sz w:val="24"/>
                <w:szCs w:val="24"/>
                <w:highlight w:val="none"/>
                <w:lang w:eastAsia="zh-CN"/>
              </w:rPr>
              <w:t>类</w:t>
            </w:r>
            <w:r>
              <w:rPr>
                <w:rFonts w:hint="eastAsia" w:ascii="宋体" w:hAnsi="宋体" w:eastAsia="宋体" w:cs="宋体"/>
                <w:sz w:val="24"/>
                <w:szCs w:val="24"/>
                <w:highlight w:val="none"/>
              </w:rPr>
              <w:t>相关业绩。每提供一个合同或中标通知书得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分，本项最高得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分，不满足不得分。</w:t>
            </w:r>
          </w:p>
          <w:p w14:paraId="5A48E976">
            <w:pPr>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注：</w:t>
            </w:r>
            <w:r>
              <w:rPr>
                <w:rFonts w:hint="eastAsia" w:ascii="宋体" w:hAnsi="宋体" w:eastAsia="宋体" w:cs="宋体"/>
                <w:sz w:val="24"/>
                <w:szCs w:val="24"/>
                <w:highlight w:val="none"/>
              </w:rPr>
              <w:t>业绩应附</w:t>
            </w:r>
            <w:r>
              <w:rPr>
                <w:rFonts w:hint="eastAsia" w:ascii="宋体" w:hAnsi="宋体" w:eastAsia="宋体" w:cs="宋体"/>
                <w:sz w:val="24"/>
                <w:szCs w:val="24"/>
                <w:highlight w:val="none"/>
                <w:lang w:eastAsia="zh-CN"/>
              </w:rPr>
              <w:t>中标通知书或合同</w:t>
            </w:r>
            <w:r>
              <w:rPr>
                <w:rFonts w:hint="eastAsia" w:ascii="宋体" w:hAnsi="宋体" w:eastAsia="宋体" w:cs="宋体"/>
                <w:sz w:val="24"/>
                <w:szCs w:val="24"/>
                <w:highlight w:val="none"/>
              </w:rPr>
              <w:t>，以合同签订时间为准。</w:t>
            </w:r>
          </w:p>
        </w:tc>
      </w:tr>
      <w:tr w14:paraId="07C18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786" w:type="dxa"/>
            <w:vMerge w:val="continue"/>
            <w:noWrap w:val="0"/>
            <w:vAlign w:val="center"/>
          </w:tcPr>
          <w:p w14:paraId="36EEF840">
            <w:pPr>
              <w:keepNext w:val="0"/>
              <w:keepLines w:val="0"/>
              <w:pageBreakBefore w:val="0"/>
              <w:widowControl w:val="0"/>
              <w:kinsoku/>
              <w:wordWrap/>
              <w:overflowPunct/>
              <w:topLinePunct w:val="0"/>
              <w:bidi w:val="0"/>
              <w:spacing w:line="360" w:lineRule="auto"/>
              <w:ind w:firstLine="480"/>
              <w:jc w:val="center"/>
              <w:textAlignment w:val="auto"/>
              <w:rPr>
                <w:rFonts w:hint="eastAsia" w:ascii="宋体" w:hAnsi="宋体" w:eastAsia="宋体" w:cs="宋体"/>
                <w:sz w:val="24"/>
                <w:szCs w:val="24"/>
                <w:highlight w:val="none"/>
              </w:rPr>
            </w:pPr>
          </w:p>
        </w:tc>
        <w:tc>
          <w:tcPr>
            <w:tcW w:w="1371" w:type="dxa"/>
            <w:noWrap w:val="0"/>
            <w:vAlign w:val="center"/>
          </w:tcPr>
          <w:p w14:paraId="7DE2092D">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人员实力</w:t>
            </w:r>
          </w:p>
        </w:tc>
        <w:tc>
          <w:tcPr>
            <w:tcW w:w="900" w:type="dxa"/>
            <w:noWrap w:val="0"/>
            <w:vAlign w:val="center"/>
          </w:tcPr>
          <w:p w14:paraId="3F3BB3A9">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c>
          <w:tcPr>
            <w:tcW w:w="6622" w:type="dxa"/>
            <w:noWrap w:val="0"/>
            <w:vAlign w:val="center"/>
          </w:tcPr>
          <w:p w14:paraId="43A1D488">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1、拟投入项目技术负责人具备高级职称证书</w:t>
            </w:r>
            <w:r>
              <w:rPr>
                <w:rFonts w:hint="eastAsia" w:cs="宋体"/>
                <w:sz w:val="24"/>
                <w:szCs w:val="24"/>
                <w:highlight w:val="none"/>
                <w:lang w:eastAsia="zh-CN"/>
              </w:rPr>
              <w:t>或</w:t>
            </w:r>
            <w:r>
              <w:rPr>
                <w:rFonts w:hint="eastAsia" w:ascii="宋体" w:hAnsi="宋体" w:eastAsia="宋体" w:cs="宋体"/>
                <w:sz w:val="24"/>
                <w:szCs w:val="24"/>
                <w:highlight w:val="none"/>
              </w:rPr>
              <w:t>具备注册测绘师</w:t>
            </w:r>
            <w:r>
              <w:rPr>
                <w:rFonts w:hint="eastAsia" w:ascii="宋体" w:hAnsi="宋体" w:eastAsia="宋体" w:cs="宋体"/>
                <w:sz w:val="24"/>
                <w:szCs w:val="24"/>
                <w:highlight w:val="none"/>
                <w:lang w:eastAsia="zh-CN"/>
              </w:rPr>
              <w:t>执业资格</w:t>
            </w:r>
            <w:r>
              <w:rPr>
                <w:rFonts w:hint="eastAsia" w:ascii="宋体" w:hAnsi="宋体" w:eastAsia="宋体" w:cs="宋体"/>
                <w:sz w:val="24"/>
                <w:szCs w:val="24"/>
                <w:highlight w:val="none"/>
              </w:rPr>
              <w:t>证书得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6A68DCD9">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rPr>
              <w:t>、</w:t>
            </w:r>
            <w:r>
              <w:rPr>
                <w:rFonts w:hint="eastAsia" w:cs="宋体"/>
                <w:sz w:val="24"/>
                <w:szCs w:val="24"/>
                <w:highlight w:val="none"/>
                <w:lang w:eastAsia="zh-CN"/>
              </w:rPr>
              <w:t>拟投入项目团队成员具有注册地球物理工程师证书的</w:t>
            </w:r>
            <w:r>
              <w:rPr>
                <w:rFonts w:hint="eastAsia" w:cs="宋体"/>
                <w:sz w:val="24"/>
                <w:szCs w:val="24"/>
                <w:highlight w:val="none"/>
                <w:lang w:val="en-US" w:eastAsia="zh-CN"/>
              </w:rPr>
              <w:t>2分。</w:t>
            </w:r>
          </w:p>
          <w:p w14:paraId="28D4903E">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注：需提供人员证书扫描件、身份证以及养老保险缴费部门出具的在本单位缴纳的职工基本养老保险证明。</w:t>
            </w:r>
          </w:p>
        </w:tc>
      </w:tr>
      <w:tr w14:paraId="7C2EF8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786" w:type="dxa"/>
            <w:vMerge w:val="continue"/>
            <w:noWrap w:val="0"/>
            <w:vAlign w:val="center"/>
          </w:tcPr>
          <w:p w14:paraId="41C5189D">
            <w:pPr>
              <w:keepNext w:val="0"/>
              <w:keepLines w:val="0"/>
              <w:pageBreakBefore w:val="0"/>
              <w:widowControl w:val="0"/>
              <w:kinsoku/>
              <w:wordWrap/>
              <w:overflowPunct/>
              <w:topLinePunct w:val="0"/>
              <w:bidi w:val="0"/>
              <w:spacing w:line="360" w:lineRule="auto"/>
              <w:ind w:firstLine="480"/>
              <w:jc w:val="center"/>
              <w:textAlignment w:val="auto"/>
              <w:rPr>
                <w:rFonts w:hint="eastAsia" w:ascii="宋体" w:hAnsi="宋体" w:eastAsia="宋体" w:cs="宋体"/>
                <w:sz w:val="24"/>
                <w:szCs w:val="24"/>
                <w:highlight w:val="none"/>
              </w:rPr>
            </w:pPr>
          </w:p>
        </w:tc>
        <w:tc>
          <w:tcPr>
            <w:tcW w:w="1371" w:type="dxa"/>
            <w:noWrap w:val="0"/>
            <w:vAlign w:val="center"/>
          </w:tcPr>
          <w:p w14:paraId="08282444">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专业设备</w:t>
            </w:r>
          </w:p>
        </w:tc>
        <w:tc>
          <w:tcPr>
            <w:tcW w:w="900" w:type="dxa"/>
            <w:noWrap w:val="0"/>
            <w:vAlign w:val="center"/>
          </w:tcPr>
          <w:p w14:paraId="06D908BB">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6622" w:type="dxa"/>
            <w:noWrap w:val="0"/>
            <w:vAlign w:val="center"/>
          </w:tcPr>
          <w:p w14:paraId="2464B738">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提供拟投入本项目的</w:t>
            </w:r>
            <w:r>
              <w:rPr>
                <w:rFonts w:hint="eastAsia" w:ascii="宋体" w:hAnsi="宋体" w:eastAsia="宋体" w:cs="宋体"/>
                <w:kern w:val="0"/>
                <w:sz w:val="24"/>
                <w:szCs w:val="24"/>
                <w:highlight w:val="none"/>
                <w:lang w:eastAsia="zh-CN"/>
              </w:rPr>
              <w:t>地质雷达设备</w:t>
            </w:r>
            <w:r>
              <w:rPr>
                <w:rFonts w:hint="eastAsia" w:ascii="宋体" w:hAnsi="宋体" w:eastAsia="宋体" w:cs="宋体"/>
                <w:kern w:val="0"/>
                <w:sz w:val="24"/>
                <w:szCs w:val="24"/>
                <w:highlight w:val="none"/>
              </w:rPr>
              <w:t>购置发票扫描件的得4分</w:t>
            </w:r>
            <w:r>
              <w:rPr>
                <w:rFonts w:hint="eastAsia" w:ascii="宋体" w:hAnsi="宋体" w:eastAsia="宋体" w:cs="宋体"/>
                <w:kern w:val="0"/>
                <w:sz w:val="24"/>
                <w:szCs w:val="24"/>
                <w:highlight w:val="none"/>
                <w:lang w:eastAsia="zh-CN"/>
              </w:rPr>
              <w:t>。</w:t>
            </w:r>
          </w:p>
          <w:p w14:paraId="5A6811EB">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注:发票日期需在</w:t>
            </w:r>
            <w:r>
              <w:rPr>
                <w:rFonts w:hint="eastAsia" w:ascii="宋体" w:hAnsi="宋体" w:eastAsia="宋体" w:cs="宋体"/>
                <w:kern w:val="0"/>
                <w:sz w:val="24"/>
                <w:szCs w:val="24"/>
                <w:highlight w:val="none"/>
                <w:lang w:eastAsia="zh-CN"/>
              </w:rPr>
              <w:t>本次</w:t>
            </w:r>
            <w:r>
              <w:rPr>
                <w:rFonts w:hint="eastAsia" w:ascii="宋体" w:hAnsi="宋体" w:eastAsia="宋体" w:cs="宋体"/>
                <w:kern w:val="0"/>
                <w:sz w:val="24"/>
                <w:szCs w:val="24"/>
                <w:highlight w:val="none"/>
              </w:rPr>
              <w:t>公告发布日期之前，否则不计分</w:t>
            </w:r>
            <w:r>
              <w:rPr>
                <w:rFonts w:hint="eastAsia" w:ascii="宋体" w:hAnsi="宋体" w:eastAsia="宋体" w:cs="宋体"/>
                <w:kern w:val="0"/>
                <w:sz w:val="24"/>
                <w:szCs w:val="24"/>
                <w:highlight w:val="none"/>
                <w:lang w:eastAsia="zh-CN"/>
              </w:rPr>
              <w:t>。</w:t>
            </w:r>
          </w:p>
        </w:tc>
      </w:tr>
      <w:tr w14:paraId="62285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786" w:type="dxa"/>
            <w:vMerge w:val="continue"/>
            <w:noWrap w:val="0"/>
            <w:vAlign w:val="center"/>
          </w:tcPr>
          <w:p w14:paraId="64C929DC">
            <w:pPr>
              <w:keepNext w:val="0"/>
              <w:keepLines w:val="0"/>
              <w:pageBreakBefore w:val="0"/>
              <w:widowControl w:val="0"/>
              <w:kinsoku/>
              <w:wordWrap/>
              <w:overflowPunct/>
              <w:topLinePunct w:val="0"/>
              <w:bidi w:val="0"/>
              <w:spacing w:line="360" w:lineRule="auto"/>
              <w:ind w:firstLine="480"/>
              <w:jc w:val="center"/>
              <w:textAlignment w:val="auto"/>
              <w:rPr>
                <w:rFonts w:hint="eastAsia" w:ascii="宋体" w:hAnsi="宋体" w:eastAsia="宋体" w:cs="宋体"/>
                <w:sz w:val="24"/>
                <w:szCs w:val="24"/>
                <w:highlight w:val="none"/>
              </w:rPr>
            </w:pPr>
          </w:p>
        </w:tc>
        <w:tc>
          <w:tcPr>
            <w:tcW w:w="1371" w:type="dxa"/>
            <w:noWrap w:val="0"/>
            <w:vAlign w:val="center"/>
          </w:tcPr>
          <w:p w14:paraId="61C5527B">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服务承诺和措施</w:t>
            </w:r>
          </w:p>
        </w:tc>
        <w:tc>
          <w:tcPr>
            <w:tcW w:w="900" w:type="dxa"/>
            <w:noWrap w:val="0"/>
            <w:vAlign w:val="center"/>
          </w:tcPr>
          <w:p w14:paraId="2EA4561F">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4分</w:t>
            </w:r>
          </w:p>
        </w:tc>
        <w:tc>
          <w:tcPr>
            <w:tcW w:w="6622" w:type="dxa"/>
            <w:noWrap w:val="0"/>
            <w:vAlign w:val="center"/>
          </w:tcPr>
          <w:p w14:paraId="7803D2A9">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为配合采购人建设好本项目，提供相关的服务承诺和措施，提供内容全面优秀者得4分，良好者得2分，不满足项目需求或者未提供此项内容得0分。</w:t>
            </w:r>
          </w:p>
        </w:tc>
      </w:tr>
      <w:tr w14:paraId="097B24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2157" w:type="dxa"/>
            <w:gridSpan w:val="2"/>
            <w:noWrap w:val="0"/>
            <w:vAlign w:val="center"/>
          </w:tcPr>
          <w:p w14:paraId="789CF0B2">
            <w:pPr>
              <w:keepNext w:val="0"/>
              <w:keepLines w:val="0"/>
              <w:pageBreakBefore w:val="0"/>
              <w:widowControl w:val="0"/>
              <w:kinsoku/>
              <w:wordWrap/>
              <w:overflowPunct/>
              <w:topLinePunct w:val="0"/>
              <w:bidi w:val="0"/>
              <w:spacing w:line="360" w:lineRule="auto"/>
              <w:ind w:firstLine="482"/>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7522" w:type="dxa"/>
            <w:gridSpan w:val="2"/>
            <w:noWrap w:val="0"/>
            <w:vAlign w:val="center"/>
          </w:tcPr>
          <w:p w14:paraId="0381F4AE">
            <w:pPr>
              <w:keepNext w:val="0"/>
              <w:keepLines w:val="0"/>
              <w:pageBreakBefore w:val="0"/>
              <w:widowControl w:val="0"/>
              <w:kinsoku/>
              <w:wordWrap/>
              <w:overflowPunct/>
              <w:topLinePunct w:val="0"/>
              <w:bidi w:val="0"/>
              <w:spacing w:line="360" w:lineRule="auto"/>
              <w:ind w:firstLine="482"/>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100分</w:t>
            </w:r>
          </w:p>
        </w:tc>
      </w:tr>
    </w:tbl>
    <w:p w14:paraId="1E2CAF31">
      <w:pPr>
        <w:keepNext w:val="0"/>
        <w:keepLines w:val="0"/>
        <w:pageBreakBefore/>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outlineLvl w:val="1"/>
        <w:rPr>
          <w:rFonts w:hint="eastAsia" w:ascii="宋体" w:hAnsi="宋体" w:eastAsia="宋体" w:cs="宋体"/>
          <w:b/>
          <w:bCs w:val="0"/>
          <w:kern w:val="2"/>
          <w:sz w:val="28"/>
          <w:szCs w:val="28"/>
          <w:highlight w:val="none"/>
          <w:lang w:val="en-US" w:eastAsia="zh-CN" w:bidi="ar"/>
        </w:rPr>
      </w:pPr>
      <w:r>
        <w:rPr>
          <w:rFonts w:hint="eastAsia" w:ascii="宋体" w:hAnsi="宋体" w:eastAsia="宋体" w:cs="宋体"/>
          <w:b/>
          <w:bCs w:val="0"/>
          <w:kern w:val="2"/>
          <w:sz w:val="28"/>
          <w:szCs w:val="28"/>
          <w:highlight w:val="none"/>
          <w:lang w:val="en-US" w:eastAsia="zh-CN" w:bidi="ar"/>
        </w:rPr>
        <w:t>详细评审（三标段）</w:t>
      </w:r>
    </w:p>
    <w:tbl>
      <w:tblPr>
        <w:tblStyle w:val="21"/>
        <w:tblW w:w="967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1371"/>
        <w:gridCol w:w="900"/>
        <w:gridCol w:w="6622"/>
      </w:tblGrid>
      <w:tr w14:paraId="2D876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57" w:type="dxa"/>
            <w:gridSpan w:val="2"/>
            <w:vAlign w:val="center"/>
          </w:tcPr>
          <w:p w14:paraId="50D28C1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7522" w:type="dxa"/>
            <w:gridSpan w:val="2"/>
            <w:vAlign w:val="center"/>
          </w:tcPr>
          <w:p w14:paraId="2081A81C">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20ECE2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57" w:type="dxa"/>
            <w:gridSpan w:val="2"/>
            <w:vAlign w:val="center"/>
          </w:tcPr>
          <w:p w14:paraId="35DC5C16">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分值构成</w:t>
            </w:r>
          </w:p>
        </w:tc>
        <w:tc>
          <w:tcPr>
            <w:tcW w:w="7522" w:type="dxa"/>
            <w:gridSpan w:val="2"/>
            <w:vAlign w:val="center"/>
          </w:tcPr>
          <w:p w14:paraId="22DEAFC7">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报价得分20分</w:t>
            </w:r>
          </w:p>
          <w:p w14:paraId="5B70498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技术部分60分</w:t>
            </w:r>
          </w:p>
          <w:p w14:paraId="15B61DB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商务部分20分</w:t>
            </w:r>
          </w:p>
        </w:tc>
      </w:tr>
      <w:tr w14:paraId="722244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57" w:type="dxa"/>
            <w:gridSpan w:val="2"/>
            <w:vAlign w:val="center"/>
          </w:tcPr>
          <w:p w14:paraId="3A15292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900" w:type="dxa"/>
            <w:vAlign w:val="center"/>
          </w:tcPr>
          <w:p w14:paraId="0767595B">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最高分值</w:t>
            </w:r>
          </w:p>
        </w:tc>
        <w:tc>
          <w:tcPr>
            <w:tcW w:w="6622" w:type="dxa"/>
            <w:vAlign w:val="center"/>
          </w:tcPr>
          <w:p w14:paraId="3F2359B1">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14:paraId="059D5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157" w:type="dxa"/>
            <w:gridSpan w:val="2"/>
            <w:vAlign w:val="center"/>
          </w:tcPr>
          <w:p w14:paraId="1ADE3190">
            <w:pPr>
              <w:pStyle w:val="1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投标报价</w:t>
            </w:r>
          </w:p>
          <w:p w14:paraId="59DBAEB9">
            <w:pPr>
              <w:pStyle w:val="10"/>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（20分）</w:t>
            </w:r>
          </w:p>
        </w:tc>
        <w:tc>
          <w:tcPr>
            <w:tcW w:w="900" w:type="dxa"/>
            <w:vAlign w:val="center"/>
          </w:tcPr>
          <w:p w14:paraId="56D737F7">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20分</w:t>
            </w:r>
          </w:p>
        </w:tc>
        <w:tc>
          <w:tcPr>
            <w:tcW w:w="6622" w:type="dxa"/>
            <w:vAlign w:val="center"/>
          </w:tcPr>
          <w:p w14:paraId="791E1C20">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投标报价得分＝（评标基准价/投标报价）×</w:t>
            </w:r>
            <w:r>
              <w:rPr>
                <w:rFonts w:hint="eastAsia" w:cs="宋体"/>
                <w:sz w:val="24"/>
                <w:szCs w:val="24"/>
                <w:highlight w:val="none"/>
                <w:lang w:val="en-US" w:eastAsia="zh-CN"/>
              </w:rPr>
              <w:t>20</w:t>
            </w:r>
          </w:p>
          <w:p w14:paraId="516CEC63">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【注：满足招标文件要求且投标价格最低的投标报价为评标基准价。】</w:t>
            </w:r>
          </w:p>
          <w:p w14:paraId="129D7A8F">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最低报价不是中标的唯一依据。因落实政府采购政策进行价格调整的，以调整后的价格计算评标基准价和投标报价。</w:t>
            </w:r>
          </w:p>
          <w:p w14:paraId="6E2BC879">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注：价格分计算保留小数点后两位。</w:t>
            </w:r>
          </w:p>
          <w:p w14:paraId="7428F7F3">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1、落实的政府采购政策：</w:t>
            </w:r>
          </w:p>
          <w:p w14:paraId="28656A98">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为了促进中小企业发展，根据《三门峡市财政局关于进一步加大政府采购支持中小企业发展有关事项的通知》（三财购﹝2022﹞9号）的规定，投标供应商为小微企业的，对小微企业的价格给予10%～20%的扣除，本项目小微企业按20%扣除，用扣除后的价格作为投标报价参加评审。中小企业划型标准见《关于印发中小企业划型标准规定的通知》（工信部联企业[2011]300号）。</w:t>
            </w:r>
          </w:p>
          <w:p w14:paraId="5346BE6D">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为了发挥政府采购促进残疾人就业的作用，进一步保障残疾人权益，根据财库【2017】141号的规定，给予残疾人福利性单位（供应商为残疾人福利性单位且提供的所有投标产品均为残疾人福利性单位产品）价格20%的扣除，用扣除后的价格参与评审，残疾人福利性单位投标报价=残疾人福利性单位报价×（1-20%）。</w:t>
            </w:r>
          </w:p>
          <w:p w14:paraId="1C6775AD">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根据《关于政府采购支持监狱企业发展有关问题的通知》（财库[2014]68号）文件规定，监狱企业视同小型、微型企业，评审中享受价格20%扣除，用扣除后的价格参与评审，监狱企业产品投标报价=监狱企业产品报价×（1-20%）。（须提供由省级以上监狱管理局、戒毒管理局（含新疆生产建设兵团）出具的属于监狱企业的证明文件）。</w:t>
            </w:r>
          </w:p>
          <w:p w14:paraId="245CF71F">
            <w:pPr>
              <w:pStyle w:val="39"/>
              <w:keepNext w:val="0"/>
              <w:keepLines w:val="0"/>
              <w:pageBreakBefore w:val="0"/>
              <w:widowControl w:val="0"/>
              <w:numPr>
                <w:ilvl w:val="0"/>
                <w:numId w:val="0"/>
              </w:numPr>
              <w:tabs>
                <w:tab w:val="left" w:pos="343"/>
              </w:tabs>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（4）监狱企业、残疾人福利性单位属于小型、微型企业的，不重复享受政策，仅给予一次价格20%的扣除。</w:t>
            </w:r>
          </w:p>
          <w:p w14:paraId="4CA705A0">
            <w:pPr>
              <w:pStyle w:val="39"/>
              <w:tabs>
                <w:tab w:val="left" w:pos="343"/>
              </w:tabs>
              <w:adjustRightInd w:val="0"/>
              <w:snapToGrid w:val="0"/>
              <w:spacing w:line="360" w:lineRule="auto"/>
              <w:rPr>
                <w:sz w:val="24"/>
                <w:szCs w:val="24"/>
                <w:highlight w:val="none"/>
              </w:rPr>
            </w:pPr>
            <w:r>
              <w:rPr>
                <w:rFonts w:hint="eastAsia" w:ascii="宋体" w:hAnsi="宋体" w:eastAsia="宋体" w:cs="宋体"/>
                <w:sz w:val="24"/>
                <w:szCs w:val="24"/>
                <w:highlight w:val="none"/>
              </w:rPr>
              <w:t>2、招标小组认为</w:t>
            </w:r>
            <w:r>
              <w:rPr>
                <w:rFonts w:hint="eastAsia" w:cs="宋体"/>
                <w:sz w:val="24"/>
                <w:szCs w:val="24"/>
                <w:highlight w:val="none"/>
                <w:lang w:eastAsia="zh-CN"/>
              </w:rPr>
              <w:t xml:space="preserve">供应商 </w:t>
            </w:r>
            <w:r>
              <w:rPr>
                <w:rFonts w:hint="eastAsia" w:ascii="宋体" w:hAnsi="宋体" w:eastAsia="宋体" w:cs="宋体"/>
                <w:sz w:val="24"/>
                <w:szCs w:val="24"/>
                <w:highlight w:val="none"/>
              </w:rPr>
              <w:t>的报价明显低于其他通过符合性审查</w:t>
            </w:r>
            <w:r>
              <w:rPr>
                <w:rFonts w:hint="eastAsia" w:cs="宋体"/>
                <w:sz w:val="24"/>
                <w:szCs w:val="24"/>
                <w:highlight w:val="none"/>
                <w:lang w:eastAsia="zh-CN"/>
              </w:rPr>
              <w:t>供应商</w:t>
            </w:r>
            <w:bookmarkStart w:id="512" w:name="_GoBack"/>
            <w:bookmarkEnd w:id="512"/>
            <w:r>
              <w:rPr>
                <w:rFonts w:hint="eastAsia" w:ascii="宋体" w:hAnsi="宋体" w:eastAsia="宋体" w:cs="宋体"/>
                <w:sz w:val="24"/>
                <w:szCs w:val="24"/>
                <w:highlight w:val="none"/>
              </w:rPr>
              <w:t>的报价，有可能影响产品质量或者不能诚信履约的，应当要求其在招标现场合理的时间内提供书面说明，必要时提交相关证明材料；</w:t>
            </w:r>
            <w:r>
              <w:rPr>
                <w:rFonts w:hint="eastAsia" w:cs="宋体"/>
                <w:sz w:val="24"/>
                <w:szCs w:val="24"/>
                <w:highlight w:val="none"/>
                <w:lang w:eastAsia="zh-CN"/>
              </w:rPr>
              <w:t xml:space="preserve">供应商 </w:t>
            </w:r>
            <w:r>
              <w:rPr>
                <w:rFonts w:hint="eastAsia" w:ascii="宋体" w:hAnsi="宋体" w:eastAsia="宋体" w:cs="宋体"/>
                <w:sz w:val="24"/>
                <w:szCs w:val="24"/>
                <w:highlight w:val="none"/>
              </w:rPr>
              <w:t>不能证明其报价合理性的，招标小组应当将其作为无效报价处理。</w:t>
            </w:r>
          </w:p>
        </w:tc>
      </w:tr>
      <w:tr w14:paraId="72FC35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786" w:type="dxa"/>
            <w:vMerge w:val="restart"/>
            <w:vAlign w:val="center"/>
          </w:tcPr>
          <w:p w14:paraId="4C001D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p>
          <w:p w14:paraId="3D30F30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055B3E8D">
            <w:pPr>
              <w:spacing w:line="360" w:lineRule="auto"/>
              <w:rPr>
                <w:rFonts w:hint="eastAsia" w:ascii="宋体" w:hAnsi="宋体" w:eastAsia="宋体" w:cs="宋体"/>
                <w:bCs/>
                <w:sz w:val="24"/>
                <w:szCs w:val="24"/>
                <w:highlight w:val="none"/>
              </w:rPr>
            </w:pPr>
            <w:r>
              <w:rPr>
                <w:rFonts w:ascii="宋体" w:hAnsi="宋体" w:eastAsia="宋体" w:cs="宋体"/>
                <w:bCs/>
                <w:sz w:val="24"/>
                <w:szCs w:val="24"/>
                <w:highlight w:val="none"/>
              </w:rPr>
              <w:t>60</w:t>
            </w:r>
            <w:r>
              <w:rPr>
                <w:rFonts w:hint="eastAsia" w:ascii="宋体" w:hAnsi="宋体" w:eastAsia="宋体" w:cs="宋体"/>
                <w:bCs/>
                <w:sz w:val="24"/>
                <w:szCs w:val="24"/>
                <w:highlight w:val="none"/>
              </w:rPr>
              <w:t>分</w:t>
            </w:r>
          </w:p>
        </w:tc>
        <w:tc>
          <w:tcPr>
            <w:tcW w:w="1371" w:type="dxa"/>
            <w:vAlign w:val="center"/>
          </w:tcPr>
          <w:p w14:paraId="17C0F6B3">
            <w:pPr>
              <w:tabs>
                <w:tab w:val="left" w:pos="960"/>
              </w:tabs>
              <w:spacing w:line="360" w:lineRule="auto"/>
              <w:ind w:right="176" w:rightChars="8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总体设计</w:t>
            </w:r>
          </w:p>
        </w:tc>
        <w:tc>
          <w:tcPr>
            <w:tcW w:w="900" w:type="dxa"/>
            <w:vAlign w:val="center"/>
          </w:tcPr>
          <w:p w14:paraId="48DEDB6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622" w:type="dxa"/>
            <w:vAlign w:val="center"/>
          </w:tcPr>
          <w:p w14:paraId="0C90E5F2">
            <w:pPr>
              <w:pStyle w:val="39"/>
              <w:tabs>
                <w:tab w:val="left" w:pos="343"/>
              </w:tabs>
              <w:adjustRightInd w:val="0"/>
              <w:snapToGrid w:val="0"/>
              <w:spacing w:line="360" w:lineRule="auto"/>
              <w:ind w:firstLine="480"/>
              <w:rPr>
                <w:rFonts w:hint="eastAsia" w:eastAsia="宋体"/>
                <w:sz w:val="24"/>
                <w:szCs w:val="24"/>
                <w:highlight w:val="none"/>
                <w:lang w:val="en-US" w:eastAsia="zh-CN"/>
              </w:rPr>
            </w:pPr>
            <w:r>
              <w:rPr>
                <w:rFonts w:cs="宋体"/>
                <w:sz w:val="24"/>
                <w:szCs w:val="24"/>
                <w:highlight w:val="none"/>
              </w:rPr>
              <w:t>根据招标文件、地方、行业、国家及相关标准对本项目的实施要求，</w:t>
            </w:r>
            <w:r>
              <w:rPr>
                <w:rFonts w:hint="eastAsia" w:cs="宋体"/>
                <w:sz w:val="24"/>
                <w:szCs w:val="24"/>
                <w:highlight w:val="none"/>
                <w:lang w:eastAsia="zh-CN"/>
              </w:rPr>
              <w:t>供应商</w:t>
            </w:r>
            <w:r>
              <w:rPr>
                <w:rFonts w:cs="宋体"/>
                <w:sz w:val="24"/>
                <w:szCs w:val="24"/>
                <w:highlight w:val="none"/>
              </w:rPr>
              <w:t>给出项目总体设计思路的分析与描述，包括项目建设背景、业务需求、业务流程、建设目标</w:t>
            </w:r>
            <w:r>
              <w:rPr>
                <w:rFonts w:hint="eastAsia" w:cs="宋体"/>
                <w:sz w:val="24"/>
                <w:szCs w:val="24"/>
                <w:highlight w:val="none"/>
                <w:lang w:eastAsia="zh-CN"/>
              </w:rPr>
              <w:t>等内容</w:t>
            </w:r>
            <w:r>
              <w:rPr>
                <w:rFonts w:cs="宋体"/>
                <w:sz w:val="24"/>
                <w:szCs w:val="24"/>
                <w:highlight w:val="none"/>
              </w:rPr>
              <w:t>。</w:t>
            </w:r>
            <w:r>
              <w:rPr>
                <w:rFonts w:hint="eastAsia" w:cs="宋体"/>
                <w:sz w:val="24"/>
                <w:szCs w:val="24"/>
                <w:highlight w:val="none"/>
              </w:rPr>
              <w:t>提供的总体设计内容全面优秀者得</w:t>
            </w:r>
            <w:r>
              <w:rPr>
                <w:rFonts w:hint="eastAsia" w:cs="宋体"/>
                <w:sz w:val="24"/>
                <w:szCs w:val="24"/>
                <w:highlight w:val="none"/>
                <w:lang w:val="en-US" w:eastAsia="zh-CN"/>
              </w:rPr>
              <w:t>8</w:t>
            </w:r>
            <w:r>
              <w:rPr>
                <w:rFonts w:hint="eastAsia" w:cs="宋体"/>
                <w:sz w:val="24"/>
                <w:szCs w:val="24"/>
                <w:highlight w:val="none"/>
              </w:rPr>
              <w:t>分，良好者得</w:t>
            </w:r>
            <w:r>
              <w:rPr>
                <w:rFonts w:hint="eastAsia" w:cs="宋体"/>
                <w:sz w:val="24"/>
                <w:szCs w:val="24"/>
                <w:highlight w:val="none"/>
                <w:lang w:val="en-US" w:eastAsia="zh-CN"/>
              </w:rPr>
              <w:t>5</w:t>
            </w:r>
            <w:r>
              <w:rPr>
                <w:rFonts w:hint="eastAsia" w:cs="宋体"/>
                <w:sz w:val="24"/>
                <w:szCs w:val="24"/>
                <w:highlight w:val="none"/>
              </w:rPr>
              <w:t>分，一般者得3分，不满足项目需求者或者未提供此项内容得0分</w:t>
            </w:r>
            <w:r>
              <w:rPr>
                <w:rFonts w:hint="eastAsia" w:cs="宋体"/>
                <w:sz w:val="24"/>
                <w:szCs w:val="24"/>
                <w:highlight w:val="none"/>
                <w:lang w:eastAsia="zh-CN"/>
              </w:rPr>
              <w:t>。（</w:t>
            </w:r>
            <w:r>
              <w:rPr>
                <w:rFonts w:hint="eastAsia" w:cs="宋体"/>
                <w:sz w:val="24"/>
                <w:szCs w:val="24"/>
                <w:highlight w:val="none"/>
              </w:rPr>
              <w:t>本项满分</w:t>
            </w:r>
            <w:r>
              <w:rPr>
                <w:rFonts w:hint="eastAsia" w:cs="宋体"/>
                <w:sz w:val="24"/>
                <w:szCs w:val="24"/>
                <w:highlight w:val="none"/>
                <w:lang w:val="en-US" w:eastAsia="zh-CN"/>
              </w:rPr>
              <w:t>8</w:t>
            </w:r>
            <w:r>
              <w:rPr>
                <w:rFonts w:hint="eastAsia" w:cs="宋体"/>
                <w:sz w:val="24"/>
                <w:szCs w:val="24"/>
                <w:highlight w:val="none"/>
              </w:rPr>
              <w:t>分</w:t>
            </w:r>
            <w:r>
              <w:rPr>
                <w:rFonts w:hint="eastAsia" w:cs="宋体"/>
                <w:sz w:val="24"/>
                <w:szCs w:val="24"/>
                <w:highlight w:val="none"/>
                <w:lang w:eastAsia="zh-CN"/>
              </w:rPr>
              <w:t>）</w:t>
            </w:r>
          </w:p>
        </w:tc>
      </w:tr>
      <w:tr w14:paraId="3B43C3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786" w:type="dxa"/>
            <w:vMerge w:val="continue"/>
            <w:vAlign w:val="center"/>
          </w:tcPr>
          <w:p w14:paraId="2FBF91E9">
            <w:pPr>
              <w:spacing w:line="360" w:lineRule="auto"/>
              <w:rPr>
                <w:rFonts w:hint="eastAsia" w:ascii="宋体" w:hAnsi="宋体" w:eastAsia="宋体" w:cs="宋体"/>
                <w:bCs/>
                <w:sz w:val="24"/>
                <w:szCs w:val="24"/>
                <w:highlight w:val="none"/>
              </w:rPr>
            </w:pPr>
          </w:p>
        </w:tc>
        <w:tc>
          <w:tcPr>
            <w:tcW w:w="1371" w:type="dxa"/>
            <w:vAlign w:val="center"/>
          </w:tcPr>
          <w:p w14:paraId="3370FB35">
            <w:pPr>
              <w:tabs>
                <w:tab w:val="left" w:pos="960"/>
              </w:tabs>
              <w:spacing w:line="360" w:lineRule="auto"/>
              <w:ind w:right="176" w:rightChars="8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技术方案</w:t>
            </w:r>
          </w:p>
        </w:tc>
        <w:tc>
          <w:tcPr>
            <w:tcW w:w="900" w:type="dxa"/>
            <w:vAlign w:val="center"/>
          </w:tcPr>
          <w:p w14:paraId="3FEBD278">
            <w:pPr>
              <w:spacing w:line="360" w:lineRule="auto"/>
              <w:jc w:val="center"/>
              <w:rPr>
                <w:rFonts w:hint="eastAsia" w:ascii="宋体" w:hAnsi="宋体" w:eastAsia="宋体" w:cs="宋体"/>
                <w:sz w:val="24"/>
                <w:szCs w:val="24"/>
                <w:highlight w:val="none"/>
              </w:rPr>
            </w:pPr>
            <w:r>
              <w:rPr>
                <w:rFonts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622" w:type="dxa"/>
            <w:vAlign w:val="center"/>
          </w:tcPr>
          <w:p w14:paraId="0DA663A5">
            <w:pPr>
              <w:pStyle w:val="39"/>
              <w:tabs>
                <w:tab w:val="left" w:pos="343"/>
              </w:tabs>
              <w:adjustRightInd w:val="0"/>
              <w:snapToGrid w:val="0"/>
              <w:spacing w:line="360" w:lineRule="auto"/>
              <w:rPr>
                <w:rFonts w:cs="宋体"/>
                <w:sz w:val="24"/>
                <w:szCs w:val="24"/>
                <w:highlight w:val="none"/>
              </w:rPr>
            </w:pPr>
            <w:r>
              <w:rPr>
                <w:rFonts w:hint="eastAsia" w:cs="宋体"/>
                <w:sz w:val="24"/>
                <w:szCs w:val="24"/>
                <w:highlight w:val="none"/>
                <w:lang w:val="en-US" w:eastAsia="zh-CN"/>
              </w:rPr>
              <w:t>1、</w:t>
            </w:r>
            <w:r>
              <w:rPr>
                <w:rFonts w:hint="eastAsia" w:cs="宋体"/>
                <w:sz w:val="24"/>
                <w:szCs w:val="24"/>
                <w:highlight w:val="none"/>
                <w:lang w:eastAsia="zh-CN"/>
              </w:rPr>
              <w:t>供应商</w:t>
            </w:r>
            <w:r>
              <w:rPr>
                <w:rFonts w:cs="宋体"/>
                <w:sz w:val="24"/>
                <w:szCs w:val="24"/>
                <w:highlight w:val="none"/>
              </w:rPr>
              <w:t>提供软件具体技术方案，业务应用功能设计完整，完全满足应用系统建设要求，各子模块功能描述明确、具体；能提供各功能菜单子模块相应的系统原型截图。</w:t>
            </w:r>
            <w:r>
              <w:rPr>
                <w:rFonts w:hint="eastAsia" w:cs="宋体"/>
                <w:sz w:val="24"/>
                <w:szCs w:val="24"/>
                <w:highlight w:val="none"/>
              </w:rPr>
              <w:t>提供的内容全面优秀者得</w:t>
            </w:r>
            <w:r>
              <w:rPr>
                <w:rFonts w:hint="eastAsia" w:cs="宋体"/>
                <w:sz w:val="24"/>
                <w:szCs w:val="24"/>
                <w:highlight w:val="none"/>
                <w:lang w:val="en-US" w:eastAsia="zh-CN"/>
              </w:rPr>
              <w:t>9</w:t>
            </w:r>
            <w:r>
              <w:rPr>
                <w:rFonts w:hint="eastAsia" w:cs="宋体"/>
                <w:sz w:val="24"/>
                <w:szCs w:val="24"/>
                <w:highlight w:val="none"/>
              </w:rPr>
              <w:t>分，良好者得</w:t>
            </w:r>
            <w:r>
              <w:rPr>
                <w:rFonts w:hint="eastAsia" w:cs="宋体"/>
                <w:sz w:val="24"/>
                <w:szCs w:val="24"/>
                <w:highlight w:val="none"/>
                <w:lang w:val="en-US" w:eastAsia="zh-CN"/>
              </w:rPr>
              <w:t>6</w:t>
            </w:r>
            <w:r>
              <w:rPr>
                <w:rFonts w:hint="eastAsia" w:cs="宋体"/>
                <w:sz w:val="24"/>
                <w:szCs w:val="24"/>
                <w:highlight w:val="none"/>
              </w:rPr>
              <w:t>分，一般者得</w:t>
            </w:r>
            <w:r>
              <w:rPr>
                <w:rFonts w:hint="eastAsia" w:cs="宋体"/>
                <w:sz w:val="24"/>
                <w:szCs w:val="24"/>
                <w:highlight w:val="none"/>
                <w:lang w:val="en-US" w:eastAsia="zh-CN"/>
              </w:rPr>
              <w:t>3</w:t>
            </w:r>
            <w:r>
              <w:rPr>
                <w:rFonts w:hint="eastAsia" w:cs="宋体"/>
                <w:sz w:val="24"/>
                <w:szCs w:val="24"/>
                <w:highlight w:val="none"/>
              </w:rPr>
              <w:t>分，不满足项目需求者或者未提供此项内容得0分。（本项满分</w:t>
            </w:r>
            <w:r>
              <w:rPr>
                <w:rFonts w:hint="eastAsia" w:cs="宋体"/>
                <w:sz w:val="24"/>
                <w:szCs w:val="24"/>
                <w:highlight w:val="none"/>
                <w:lang w:val="en-US" w:eastAsia="zh-CN"/>
              </w:rPr>
              <w:t>9</w:t>
            </w:r>
            <w:r>
              <w:rPr>
                <w:rFonts w:hint="eastAsia" w:cs="宋体"/>
                <w:sz w:val="24"/>
                <w:szCs w:val="24"/>
                <w:highlight w:val="none"/>
              </w:rPr>
              <w:t>分）</w:t>
            </w:r>
          </w:p>
          <w:p w14:paraId="15A020FC">
            <w:pPr>
              <w:pStyle w:val="39"/>
              <w:tabs>
                <w:tab w:val="left" w:pos="343"/>
              </w:tabs>
              <w:adjustRightInd w:val="0"/>
              <w:snapToGrid w:val="0"/>
              <w:spacing w:line="360" w:lineRule="auto"/>
              <w:rPr>
                <w:rFonts w:cs="宋体"/>
                <w:sz w:val="24"/>
                <w:szCs w:val="24"/>
                <w:highlight w:val="none"/>
              </w:rPr>
            </w:pPr>
            <w:r>
              <w:rPr>
                <w:rFonts w:hint="eastAsia" w:cs="宋体"/>
                <w:sz w:val="24"/>
                <w:szCs w:val="24"/>
                <w:highlight w:val="none"/>
                <w:lang w:val="en-US" w:eastAsia="zh-CN"/>
              </w:rPr>
              <w:t>2、</w:t>
            </w:r>
            <w:r>
              <w:rPr>
                <w:rFonts w:hint="eastAsia" w:cs="宋体"/>
                <w:sz w:val="24"/>
                <w:szCs w:val="24"/>
                <w:highlight w:val="none"/>
                <w:lang w:eastAsia="zh-CN"/>
              </w:rPr>
              <w:t>供应商</w:t>
            </w:r>
            <w:r>
              <w:rPr>
                <w:rFonts w:cs="宋体"/>
                <w:sz w:val="24"/>
                <w:szCs w:val="24"/>
                <w:highlight w:val="none"/>
              </w:rPr>
              <w:t>需要根据招标文件要求的涉汛设施及点位设计的监测感知设备，结合本项目的实施要求描述各类涉汛设施和点位的数据采集方案，说明感知设备的现场安装内容。</w:t>
            </w:r>
            <w:r>
              <w:rPr>
                <w:rFonts w:hint="eastAsia" w:cs="宋体"/>
                <w:sz w:val="24"/>
                <w:szCs w:val="24"/>
                <w:highlight w:val="none"/>
              </w:rPr>
              <w:t>提供的内容全面优秀者得</w:t>
            </w:r>
            <w:r>
              <w:rPr>
                <w:rFonts w:hint="eastAsia" w:cs="宋体"/>
                <w:sz w:val="24"/>
                <w:szCs w:val="24"/>
                <w:highlight w:val="none"/>
                <w:lang w:val="en-US" w:eastAsia="zh-CN"/>
              </w:rPr>
              <w:t>8</w:t>
            </w:r>
            <w:r>
              <w:rPr>
                <w:rFonts w:hint="eastAsia" w:cs="宋体"/>
                <w:sz w:val="24"/>
                <w:szCs w:val="24"/>
                <w:highlight w:val="none"/>
              </w:rPr>
              <w:t>分，良好者得</w:t>
            </w:r>
            <w:r>
              <w:rPr>
                <w:rFonts w:hint="eastAsia" w:cs="宋体"/>
                <w:sz w:val="24"/>
                <w:szCs w:val="24"/>
                <w:highlight w:val="none"/>
                <w:lang w:val="en-US" w:eastAsia="zh-CN"/>
              </w:rPr>
              <w:t>5</w:t>
            </w:r>
            <w:r>
              <w:rPr>
                <w:rFonts w:hint="eastAsia" w:cs="宋体"/>
                <w:sz w:val="24"/>
                <w:szCs w:val="24"/>
                <w:highlight w:val="none"/>
              </w:rPr>
              <w:t>分，一般者得</w:t>
            </w:r>
            <w:r>
              <w:rPr>
                <w:rFonts w:hint="eastAsia" w:cs="宋体"/>
                <w:sz w:val="24"/>
                <w:szCs w:val="24"/>
                <w:highlight w:val="none"/>
                <w:lang w:val="en-US" w:eastAsia="zh-CN"/>
              </w:rPr>
              <w:t>3</w:t>
            </w:r>
            <w:r>
              <w:rPr>
                <w:rFonts w:hint="eastAsia" w:cs="宋体"/>
                <w:sz w:val="24"/>
                <w:szCs w:val="24"/>
                <w:highlight w:val="none"/>
              </w:rPr>
              <w:t>分，不满足项目需求者或者未提供此项内容得0分。（本项满分</w:t>
            </w:r>
            <w:r>
              <w:rPr>
                <w:rFonts w:hint="eastAsia" w:cs="宋体"/>
                <w:sz w:val="24"/>
                <w:szCs w:val="24"/>
                <w:highlight w:val="none"/>
                <w:lang w:val="en-US" w:eastAsia="zh-CN"/>
              </w:rPr>
              <w:t>8</w:t>
            </w:r>
            <w:r>
              <w:rPr>
                <w:rFonts w:hint="eastAsia" w:cs="宋体"/>
                <w:sz w:val="24"/>
                <w:szCs w:val="24"/>
                <w:highlight w:val="none"/>
              </w:rPr>
              <w:t>分）</w:t>
            </w:r>
          </w:p>
          <w:p w14:paraId="5B31C661">
            <w:pPr>
              <w:pStyle w:val="39"/>
              <w:tabs>
                <w:tab w:val="left" w:pos="343"/>
              </w:tabs>
              <w:adjustRightInd w:val="0"/>
              <w:snapToGrid w:val="0"/>
              <w:spacing w:line="360" w:lineRule="auto"/>
              <w:rPr>
                <w:rFonts w:cs="宋体"/>
                <w:sz w:val="24"/>
                <w:szCs w:val="24"/>
                <w:highlight w:val="none"/>
              </w:rPr>
            </w:pPr>
            <w:r>
              <w:rPr>
                <w:rFonts w:hint="eastAsia" w:cs="宋体"/>
                <w:sz w:val="24"/>
                <w:szCs w:val="24"/>
                <w:highlight w:val="none"/>
                <w:lang w:val="en-US" w:eastAsia="zh-CN"/>
              </w:rPr>
              <w:t>3、</w:t>
            </w:r>
            <w:r>
              <w:rPr>
                <w:rFonts w:cs="宋体"/>
                <w:sz w:val="24"/>
                <w:szCs w:val="24"/>
                <w:highlight w:val="none"/>
              </w:rPr>
              <w:t>针对内涝态势预报预警软件模块建设，</w:t>
            </w:r>
            <w:r>
              <w:rPr>
                <w:rFonts w:hint="eastAsia" w:cs="宋体"/>
                <w:sz w:val="24"/>
                <w:szCs w:val="24"/>
                <w:highlight w:val="none"/>
                <w:lang w:eastAsia="zh-CN"/>
              </w:rPr>
              <w:t>供应商</w:t>
            </w:r>
            <w:r>
              <w:rPr>
                <w:rFonts w:cs="宋体"/>
                <w:sz w:val="24"/>
                <w:szCs w:val="24"/>
                <w:highlight w:val="none"/>
              </w:rPr>
              <w:t>应该对城市排水管网模型搭建过程进行详细描述，包括城市排水系统地理空间分析、城市排水管网构建过程等，确保建模过程合理可靠，</w:t>
            </w:r>
            <w:r>
              <w:rPr>
                <w:rFonts w:hint="eastAsia" w:cs="宋体"/>
                <w:sz w:val="24"/>
                <w:szCs w:val="24"/>
                <w:highlight w:val="none"/>
              </w:rPr>
              <w:t>提供的内容全面优秀者得</w:t>
            </w:r>
            <w:r>
              <w:rPr>
                <w:rFonts w:hint="eastAsia" w:cs="宋体"/>
                <w:sz w:val="24"/>
                <w:szCs w:val="24"/>
                <w:highlight w:val="none"/>
                <w:lang w:val="en-US" w:eastAsia="zh-CN"/>
              </w:rPr>
              <w:t>8</w:t>
            </w:r>
            <w:r>
              <w:rPr>
                <w:rFonts w:hint="eastAsia" w:cs="宋体"/>
                <w:sz w:val="24"/>
                <w:szCs w:val="24"/>
                <w:highlight w:val="none"/>
              </w:rPr>
              <w:t>分，良好者得</w:t>
            </w:r>
            <w:r>
              <w:rPr>
                <w:rFonts w:hint="eastAsia" w:cs="宋体"/>
                <w:sz w:val="24"/>
                <w:szCs w:val="24"/>
                <w:highlight w:val="none"/>
                <w:lang w:val="en-US" w:eastAsia="zh-CN"/>
              </w:rPr>
              <w:t>5</w:t>
            </w:r>
            <w:r>
              <w:rPr>
                <w:rFonts w:hint="eastAsia" w:cs="宋体"/>
                <w:sz w:val="24"/>
                <w:szCs w:val="24"/>
                <w:highlight w:val="none"/>
              </w:rPr>
              <w:t>分，一般者得</w:t>
            </w:r>
            <w:r>
              <w:rPr>
                <w:rFonts w:hint="eastAsia" w:cs="宋体"/>
                <w:sz w:val="24"/>
                <w:szCs w:val="24"/>
                <w:highlight w:val="none"/>
                <w:lang w:val="en-US" w:eastAsia="zh-CN"/>
              </w:rPr>
              <w:t>3</w:t>
            </w:r>
            <w:r>
              <w:rPr>
                <w:rFonts w:hint="eastAsia" w:cs="宋体"/>
                <w:sz w:val="24"/>
                <w:szCs w:val="24"/>
                <w:highlight w:val="none"/>
              </w:rPr>
              <w:t>分，不满足项目需求者或者未提供此项内容得0分。（本项满分</w:t>
            </w:r>
            <w:r>
              <w:rPr>
                <w:rFonts w:hint="eastAsia" w:cs="宋体"/>
                <w:sz w:val="24"/>
                <w:szCs w:val="24"/>
                <w:highlight w:val="none"/>
                <w:lang w:val="en-US" w:eastAsia="zh-CN"/>
              </w:rPr>
              <w:t>8</w:t>
            </w:r>
            <w:r>
              <w:rPr>
                <w:rFonts w:hint="eastAsia" w:cs="宋体"/>
                <w:sz w:val="24"/>
                <w:szCs w:val="24"/>
                <w:highlight w:val="none"/>
              </w:rPr>
              <w:t>分）</w:t>
            </w:r>
          </w:p>
          <w:p w14:paraId="27D47AF0">
            <w:pPr>
              <w:pStyle w:val="39"/>
              <w:tabs>
                <w:tab w:val="left" w:pos="343"/>
              </w:tabs>
              <w:adjustRightInd w:val="0"/>
              <w:snapToGrid w:val="0"/>
              <w:spacing w:line="360" w:lineRule="auto"/>
              <w:rPr>
                <w:rFonts w:cs="宋体"/>
                <w:sz w:val="24"/>
                <w:szCs w:val="24"/>
                <w:highlight w:val="none"/>
              </w:rPr>
            </w:pPr>
            <w:r>
              <w:rPr>
                <w:rFonts w:hint="eastAsia" w:cs="宋体"/>
                <w:sz w:val="24"/>
                <w:szCs w:val="24"/>
                <w:highlight w:val="none"/>
                <w:lang w:val="en-US" w:eastAsia="zh-CN"/>
              </w:rPr>
              <w:t>4、</w:t>
            </w:r>
            <w:r>
              <w:rPr>
                <w:rFonts w:hint="eastAsia" w:cs="宋体"/>
                <w:sz w:val="24"/>
                <w:szCs w:val="24"/>
                <w:highlight w:val="none"/>
                <w:lang w:eastAsia="zh-CN"/>
              </w:rPr>
              <w:t>供应商</w:t>
            </w:r>
            <w:r>
              <w:rPr>
                <w:rFonts w:cs="宋体"/>
                <w:sz w:val="24"/>
                <w:szCs w:val="24"/>
                <w:highlight w:val="none"/>
              </w:rPr>
              <w:t>须描述利用政务云</w:t>
            </w:r>
            <w:r>
              <w:rPr>
                <w:rFonts w:hint="eastAsia" w:cs="宋体"/>
                <w:sz w:val="24"/>
                <w:szCs w:val="24"/>
                <w:highlight w:val="none"/>
                <w:lang w:eastAsia="zh-CN"/>
              </w:rPr>
              <w:t>或其他云资源</w:t>
            </w:r>
            <w:r>
              <w:rPr>
                <w:rFonts w:cs="宋体"/>
                <w:sz w:val="24"/>
                <w:szCs w:val="24"/>
                <w:highlight w:val="none"/>
              </w:rPr>
              <w:t>服务使得系统达到能够通过商用密码应用安全性测评条件的路径，</w:t>
            </w:r>
            <w:r>
              <w:rPr>
                <w:rFonts w:hint="eastAsia" w:cs="宋体"/>
                <w:sz w:val="24"/>
                <w:szCs w:val="24"/>
                <w:highlight w:val="none"/>
              </w:rPr>
              <w:t>提供的内容全面优秀者得</w:t>
            </w:r>
            <w:r>
              <w:rPr>
                <w:rFonts w:hint="eastAsia" w:cs="宋体"/>
                <w:sz w:val="24"/>
                <w:szCs w:val="24"/>
                <w:highlight w:val="none"/>
                <w:lang w:val="en-US" w:eastAsia="zh-CN"/>
              </w:rPr>
              <w:t>3</w:t>
            </w:r>
            <w:r>
              <w:rPr>
                <w:rFonts w:hint="eastAsia" w:cs="宋体"/>
                <w:sz w:val="24"/>
                <w:szCs w:val="24"/>
                <w:highlight w:val="none"/>
              </w:rPr>
              <w:t>分，良好者得</w:t>
            </w:r>
            <w:r>
              <w:rPr>
                <w:rFonts w:hint="eastAsia" w:cs="宋体"/>
                <w:sz w:val="24"/>
                <w:szCs w:val="24"/>
                <w:highlight w:val="none"/>
                <w:lang w:val="en-US" w:eastAsia="zh-CN"/>
              </w:rPr>
              <w:t>2</w:t>
            </w:r>
            <w:r>
              <w:rPr>
                <w:rFonts w:hint="eastAsia" w:cs="宋体"/>
                <w:sz w:val="24"/>
                <w:szCs w:val="24"/>
                <w:highlight w:val="none"/>
              </w:rPr>
              <w:t>分，一般者得</w:t>
            </w:r>
            <w:r>
              <w:rPr>
                <w:rFonts w:hint="eastAsia" w:cs="宋体"/>
                <w:sz w:val="24"/>
                <w:szCs w:val="24"/>
                <w:highlight w:val="none"/>
                <w:lang w:val="en-US" w:eastAsia="zh-CN"/>
              </w:rPr>
              <w:t>1</w:t>
            </w:r>
            <w:r>
              <w:rPr>
                <w:rFonts w:hint="eastAsia" w:cs="宋体"/>
                <w:sz w:val="24"/>
                <w:szCs w:val="24"/>
                <w:highlight w:val="none"/>
              </w:rPr>
              <w:t>分，不满足项目需求者或者未提供此项内容得0分。（本项满分</w:t>
            </w:r>
            <w:r>
              <w:rPr>
                <w:rFonts w:hint="eastAsia" w:cs="宋体"/>
                <w:sz w:val="24"/>
                <w:szCs w:val="24"/>
                <w:highlight w:val="none"/>
                <w:lang w:val="en-US" w:eastAsia="zh-CN"/>
              </w:rPr>
              <w:t>3</w:t>
            </w:r>
            <w:r>
              <w:rPr>
                <w:rFonts w:hint="eastAsia" w:cs="宋体"/>
                <w:sz w:val="24"/>
                <w:szCs w:val="24"/>
                <w:highlight w:val="none"/>
              </w:rPr>
              <w:t>分）</w:t>
            </w:r>
          </w:p>
          <w:p w14:paraId="6A9228AF">
            <w:pPr>
              <w:pStyle w:val="39"/>
              <w:tabs>
                <w:tab w:val="left" w:pos="343"/>
              </w:tabs>
              <w:adjustRightInd w:val="0"/>
              <w:snapToGrid w:val="0"/>
              <w:spacing w:line="360" w:lineRule="auto"/>
              <w:rPr>
                <w:sz w:val="24"/>
                <w:szCs w:val="24"/>
                <w:highlight w:val="none"/>
              </w:rPr>
            </w:pPr>
            <w:r>
              <w:rPr>
                <w:rFonts w:hint="eastAsia" w:cs="宋体"/>
                <w:sz w:val="24"/>
                <w:szCs w:val="24"/>
                <w:highlight w:val="none"/>
                <w:lang w:val="en-US" w:eastAsia="zh-CN"/>
              </w:rPr>
              <w:t>5、</w:t>
            </w:r>
            <w:r>
              <w:rPr>
                <w:rFonts w:cs="宋体"/>
                <w:sz w:val="24"/>
                <w:szCs w:val="24"/>
                <w:highlight w:val="none"/>
              </w:rPr>
              <w:t>针对硬件，符合招标文件明确指标参数的得</w:t>
            </w:r>
            <w:r>
              <w:rPr>
                <w:rFonts w:hint="eastAsia" w:cs="宋体"/>
                <w:sz w:val="24"/>
                <w:szCs w:val="24"/>
                <w:highlight w:val="none"/>
                <w:lang w:val="en-US" w:eastAsia="zh-CN"/>
              </w:rPr>
              <w:t>8</w:t>
            </w:r>
            <w:r>
              <w:rPr>
                <w:rFonts w:hint="default" w:cs="宋体"/>
                <w:sz w:val="24"/>
                <w:szCs w:val="24"/>
                <w:highlight w:val="none"/>
              </w:rPr>
              <w:t>分。打有“▲”号的为主要性能指标，如有负偏离的，每有一项扣0.5分，扣完为止；其余技术参数每负偏离一项扣0.25分，扣完为止。（如涉及证明材料的，</w:t>
            </w:r>
            <w:r>
              <w:rPr>
                <w:rFonts w:cs="宋体"/>
                <w:sz w:val="24"/>
                <w:szCs w:val="24"/>
                <w:highlight w:val="none"/>
              </w:rPr>
              <w:t>须提供相关证明材料复印件并加盖</w:t>
            </w:r>
            <w:r>
              <w:rPr>
                <w:rFonts w:hint="eastAsia" w:cs="宋体"/>
                <w:sz w:val="24"/>
                <w:szCs w:val="24"/>
                <w:highlight w:val="none"/>
                <w:lang w:eastAsia="zh-CN"/>
              </w:rPr>
              <w:t>供应商</w:t>
            </w:r>
            <w:r>
              <w:rPr>
                <w:rFonts w:cs="宋体"/>
                <w:sz w:val="24"/>
                <w:szCs w:val="24"/>
                <w:highlight w:val="none"/>
              </w:rPr>
              <w:t>公章，否则不得分）</w:t>
            </w:r>
            <w:r>
              <w:rPr>
                <w:rFonts w:hint="eastAsia" w:cs="宋体"/>
                <w:sz w:val="24"/>
                <w:szCs w:val="24"/>
                <w:highlight w:val="none"/>
                <w:lang w:eastAsia="zh-CN"/>
              </w:rPr>
              <w:t>。（</w:t>
            </w:r>
            <w:r>
              <w:rPr>
                <w:rFonts w:cs="宋体"/>
                <w:sz w:val="24"/>
                <w:szCs w:val="24"/>
                <w:highlight w:val="none"/>
              </w:rPr>
              <w:t>本项满分</w:t>
            </w:r>
            <w:r>
              <w:rPr>
                <w:rFonts w:hint="eastAsia" w:cs="宋体"/>
                <w:sz w:val="24"/>
                <w:szCs w:val="24"/>
                <w:highlight w:val="none"/>
                <w:lang w:val="en-US" w:eastAsia="zh-CN"/>
              </w:rPr>
              <w:t>8</w:t>
            </w:r>
            <w:r>
              <w:rPr>
                <w:rFonts w:cs="宋体"/>
                <w:sz w:val="24"/>
                <w:szCs w:val="24"/>
                <w:highlight w:val="none"/>
              </w:rPr>
              <w:t>分</w:t>
            </w:r>
            <w:r>
              <w:rPr>
                <w:rFonts w:hint="eastAsia" w:cs="宋体"/>
                <w:sz w:val="24"/>
                <w:szCs w:val="24"/>
                <w:highlight w:val="none"/>
                <w:lang w:eastAsia="zh-CN"/>
              </w:rPr>
              <w:t>）</w:t>
            </w:r>
          </w:p>
        </w:tc>
      </w:tr>
      <w:tr w14:paraId="45CA8E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6" w:type="dxa"/>
            <w:vMerge w:val="continue"/>
            <w:vAlign w:val="center"/>
          </w:tcPr>
          <w:p w14:paraId="53DFD4DE">
            <w:pPr>
              <w:spacing w:line="360" w:lineRule="auto"/>
              <w:rPr>
                <w:rFonts w:hint="eastAsia" w:ascii="宋体" w:hAnsi="宋体" w:eastAsia="宋体" w:cs="宋体"/>
                <w:bCs/>
                <w:sz w:val="24"/>
                <w:szCs w:val="24"/>
                <w:highlight w:val="none"/>
              </w:rPr>
            </w:pPr>
          </w:p>
        </w:tc>
        <w:tc>
          <w:tcPr>
            <w:tcW w:w="1371" w:type="dxa"/>
            <w:vAlign w:val="center"/>
          </w:tcPr>
          <w:p w14:paraId="77DB47B3">
            <w:pPr>
              <w:tabs>
                <w:tab w:val="left" w:pos="960"/>
              </w:tabs>
              <w:spacing w:line="360" w:lineRule="auto"/>
              <w:ind w:right="176" w:rightChars="84"/>
              <w:jc w:val="center"/>
              <w:rPr>
                <w:rFonts w:hint="eastAsia" w:ascii="宋体" w:hAnsi="宋体" w:eastAsia="宋体" w:cs="宋体"/>
                <w:sz w:val="24"/>
                <w:szCs w:val="24"/>
                <w:highlight w:val="none"/>
              </w:rPr>
            </w:pPr>
            <w:r>
              <w:rPr>
                <w:rFonts w:hint="eastAsia"/>
                <w:sz w:val="24"/>
                <w:szCs w:val="24"/>
                <w:highlight w:val="none"/>
              </w:rPr>
              <w:t>实施方案</w:t>
            </w:r>
          </w:p>
        </w:tc>
        <w:tc>
          <w:tcPr>
            <w:tcW w:w="900" w:type="dxa"/>
            <w:vAlign w:val="center"/>
          </w:tcPr>
          <w:p w14:paraId="69462DD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622" w:type="dxa"/>
            <w:vAlign w:val="center"/>
          </w:tcPr>
          <w:p w14:paraId="2AC563C9">
            <w:pPr>
              <w:pStyle w:val="39"/>
              <w:tabs>
                <w:tab w:val="left" w:pos="343"/>
              </w:tabs>
              <w:adjustRightInd w:val="0"/>
              <w:snapToGrid w:val="0"/>
              <w:spacing w:line="360" w:lineRule="auto"/>
              <w:rPr>
                <w:sz w:val="24"/>
                <w:szCs w:val="24"/>
                <w:highlight w:val="none"/>
              </w:rPr>
            </w:pPr>
            <w:r>
              <w:rPr>
                <w:rFonts w:hint="eastAsia" w:cs="宋体"/>
                <w:sz w:val="24"/>
                <w:szCs w:val="24"/>
                <w:highlight w:val="none"/>
                <w:lang w:eastAsia="zh-CN"/>
              </w:rPr>
              <w:t>供应商</w:t>
            </w:r>
            <w:r>
              <w:rPr>
                <w:rFonts w:cs="宋体"/>
                <w:sz w:val="24"/>
                <w:szCs w:val="24"/>
                <w:highlight w:val="none"/>
              </w:rPr>
              <w:t>提供项目实施方案，需提供时间进度安排</w:t>
            </w:r>
            <w:r>
              <w:rPr>
                <w:rFonts w:hint="eastAsia" w:cs="宋体"/>
                <w:sz w:val="24"/>
                <w:szCs w:val="24"/>
                <w:highlight w:val="none"/>
                <w:lang w:eastAsia="zh-CN"/>
              </w:rPr>
              <w:t>及保障措施</w:t>
            </w:r>
            <w:r>
              <w:rPr>
                <w:rFonts w:cs="宋体"/>
                <w:sz w:val="24"/>
                <w:szCs w:val="24"/>
                <w:highlight w:val="none"/>
              </w:rPr>
              <w:t>、</w:t>
            </w:r>
            <w:r>
              <w:rPr>
                <w:rFonts w:hint="eastAsia" w:cs="宋体"/>
                <w:sz w:val="24"/>
                <w:szCs w:val="24"/>
                <w:highlight w:val="none"/>
                <w:lang w:eastAsia="zh-CN"/>
              </w:rPr>
              <w:t>项目组织机构及人员配备、</w:t>
            </w:r>
            <w:r>
              <w:rPr>
                <w:rFonts w:cs="宋体"/>
                <w:sz w:val="24"/>
                <w:szCs w:val="24"/>
                <w:highlight w:val="none"/>
              </w:rPr>
              <w:t>质量保证措施、安全管理措施、</w:t>
            </w:r>
            <w:r>
              <w:rPr>
                <w:rFonts w:hint="eastAsia" w:cs="宋体"/>
                <w:sz w:val="24"/>
                <w:szCs w:val="24"/>
                <w:highlight w:val="none"/>
                <w:lang w:eastAsia="zh-CN"/>
              </w:rPr>
              <w:t>应急处理方案、</w:t>
            </w:r>
            <w:r>
              <w:rPr>
                <w:rFonts w:cs="宋体"/>
                <w:sz w:val="24"/>
                <w:szCs w:val="24"/>
                <w:highlight w:val="none"/>
              </w:rPr>
              <w:t>项目管理机制、项目风险管理、项目测试方案、项目验收方案等方面详细方案</w:t>
            </w:r>
            <w:r>
              <w:rPr>
                <w:rFonts w:hint="eastAsia" w:cs="宋体"/>
                <w:sz w:val="24"/>
                <w:szCs w:val="24"/>
                <w:highlight w:val="none"/>
                <w:lang w:eastAsia="zh-CN"/>
              </w:rPr>
              <w:t>。</w:t>
            </w:r>
            <w:r>
              <w:rPr>
                <w:rFonts w:hint="eastAsia" w:cs="宋体"/>
                <w:sz w:val="24"/>
                <w:szCs w:val="24"/>
                <w:highlight w:val="none"/>
              </w:rPr>
              <w:t>提供的描述清晰得当，切实可行，优秀者得</w:t>
            </w:r>
            <w:r>
              <w:rPr>
                <w:rFonts w:hint="eastAsia" w:cs="宋体"/>
                <w:sz w:val="24"/>
                <w:szCs w:val="24"/>
                <w:highlight w:val="none"/>
                <w:lang w:val="en-US" w:eastAsia="zh-CN"/>
              </w:rPr>
              <w:t>10</w:t>
            </w:r>
            <w:r>
              <w:rPr>
                <w:rFonts w:hint="eastAsia" w:cs="宋体"/>
                <w:sz w:val="24"/>
                <w:szCs w:val="24"/>
                <w:highlight w:val="none"/>
              </w:rPr>
              <w:t>分，良好者得</w:t>
            </w:r>
            <w:r>
              <w:rPr>
                <w:rFonts w:hint="eastAsia" w:cs="宋体"/>
                <w:sz w:val="24"/>
                <w:szCs w:val="24"/>
                <w:highlight w:val="none"/>
                <w:lang w:val="en-US" w:eastAsia="zh-CN"/>
              </w:rPr>
              <w:t>7</w:t>
            </w:r>
            <w:r>
              <w:rPr>
                <w:rFonts w:hint="eastAsia" w:cs="宋体"/>
                <w:sz w:val="24"/>
                <w:szCs w:val="24"/>
                <w:highlight w:val="none"/>
              </w:rPr>
              <w:t>分，一般者得</w:t>
            </w:r>
            <w:r>
              <w:rPr>
                <w:rFonts w:hint="eastAsia" w:cs="宋体"/>
                <w:sz w:val="24"/>
                <w:szCs w:val="24"/>
                <w:highlight w:val="none"/>
                <w:lang w:val="en-US" w:eastAsia="zh-CN"/>
              </w:rPr>
              <w:t>4</w:t>
            </w:r>
            <w:r>
              <w:rPr>
                <w:rFonts w:hint="eastAsia" w:cs="宋体"/>
                <w:sz w:val="24"/>
                <w:szCs w:val="24"/>
                <w:highlight w:val="none"/>
              </w:rPr>
              <w:t>分，不满足项目需求者或者未提供此项内容得0分。（本项满分</w:t>
            </w:r>
            <w:r>
              <w:rPr>
                <w:rFonts w:hint="eastAsia" w:cs="宋体"/>
                <w:sz w:val="24"/>
                <w:szCs w:val="24"/>
                <w:highlight w:val="none"/>
                <w:lang w:val="en-US" w:eastAsia="zh-CN"/>
              </w:rPr>
              <w:t>10</w:t>
            </w:r>
            <w:r>
              <w:rPr>
                <w:rFonts w:hint="eastAsia" w:cs="宋体"/>
                <w:sz w:val="24"/>
                <w:szCs w:val="24"/>
                <w:highlight w:val="none"/>
              </w:rPr>
              <w:t>分）</w:t>
            </w:r>
            <w:r>
              <w:rPr>
                <w:rFonts w:hint="default" w:cs="宋体"/>
                <w:sz w:val="24"/>
                <w:szCs w:val="24"/>
                <w:highlight w:val="none"/>
              </w:rPr>
              <w:t>。</w:t>
            </w:r>
          </w:p>
        </w:tc>
      </w:tr>
      <w:tr w14:paraId="64279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2" w:hRule="atLeast"/>
        </w:trPr>
        <w:tc>
          <w:tcPr>
            <w:tcW w:w="786" w:type="dxa"/>
            <w:vMerge w:val="continue"/>
            <w:vAlign w:val="center"/>
          </w:tcPr>
          <w:p w14:paraId="251414B0">
            <w:pPr>
              <w:spacing w:line="360" w:lineRule="auto"/>
              <w:rPr>
                <w:rFonts w:hint="eastAsia" w:ascii="宋体" w:hAnsi="宋体" w:eastAsia="宋体" w:cs="宋体"/>
                <w:bCs/>
                <w:sz w:val="24"/>
                <w:szCs w:val="24"/>
                <w:highlight w:val="none"/>
              </w:rPr>
            </w:pPr>
          </w:p>
        </w:tc>
        <w:tc>
          <w:tcPr>
            <w:tcW w:w="1371" w:type="dxa"/>
            <w:vAlign w:val="center"/>
          </w:tcPr>
          <w:p w14:paraId="1145E39B">
            <w:pPr>
              <w:tabs>
                <w:tab w:val="left" w:pos="960"/>
              </w:tabs>
              <w:spacing w:line="360" w:lineRule="auto"/>
              <w:ind w:right="176" w:rightChars="84"/>
              <w:jc w:val="center"/>
              <w:rPr>
                <w:rFonts w:hint="eastAsia" w:ascii="宋体" w:hAnsi="宋体" w:eastAsia="宋体" w:cs="宋体"/>
                <w:sz w:val="24"/>
                <w:szCs w:val="24"/>
                <w:highlight w:val="none"/>
              </w:rPr>
            </w:pPr>
            <w:r>
              <w:rPr>
                <w:rFonts w:hint="eastAsia"/>
                <w:sz w:val="24"/>
                <w:szCs w:val="24"/>
                <w:highlight w:val="none"/>
              </w:rPr>
              <w:t>培训方案</w:t>
            </w:r>
          </w:p>
        </w:tc>
        <w:tc>
          <w:tcPr>
            <w:tcW w:w="900" w:type="dxa"/>
            <w:vAlign w:val="center"/>
          </w:tcPr>
          <w:p w14:paraId="3869C2B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622" w:type="dxa"/>
            <w:vAlign w:val="center"/>
          </w:tcPr>
          <w:p w14:paraId="2C4F44A1">
            <w:pPr>
              <w:pStyle w:val="39"/>
              <w:tabs>
                <w:tab w:val="left" w:pos="343"/>
              </w:tabs>
              <w:adjustRightInd w:val="0"/>
              <w:snapToGrid w:val="0"/>
              <w:spacing w:line="360" w:lineRule="auto"/>
              <w:rPr>
                <w:sz w:val="24"/>
                <w:szCs w:val="24"/>
                <w:highlight w:val="none"/>
              </w:rPr>
            </w:pPr>
            <w:r>
              <w:rPr>
                <w:rFonts w:hint="eastAsia" w:cs="宋体"/>
                <w:sz w:val="24"/>
                <w:szCs w:val="24"/>
                <w:highlight w:val="none"/>
                <w:lang w:eastAsia="zh-CN"/>
              </w:rPr>
              <w:t>供应商</w:t>
            </w:r>
            <w:r>
              <w:rPr>
                <w:rFonts w:cs="宋体"/>
                <w:sz w:val="24"/>
                <w:szCs w:val="24"/>
                <w:highlight w:val="none"/>
              </w:rPr>
              <w:t>提供项目培训方案，需提供培训课程、培训方式、对参训人员的具体要求、培训</w:t>
            </w:r>
            <w:r>
              <w:rPr>
                <w:rFonts w:hint="eastAsia" w:cs="宋体"/>
                <w:sz w:val="24"/>
                <w:szCs w:val="24"/>
                <w:highlight w:val="none"/>
                <w:lang w:eastAsia="zh-CN"/>
              </w:rPr>
              <w:t>场地</w:t>
            </w:r>
            <w:r>
              <w:rPr>
                <w:rFonts w:cs="宋体"/>
                <w:sz w:val="24"/>
                <w:szCs w:val="24"/>
                <w:highlight w:val="none"/>
              </w:rPr>
              <w:t>、培训跟踪、培训教材等方面详细方案</w:t>
            </w:r>
            <w:r>
              <w:rPr>
                <w:rFonts w:hint="eastAsia" w:cs="宋体"/>
                <w:sz w:val="24"/>
                <w:szCs w:val="24"/>
                <w:highlight w:val="none"/>
                <w:lang w:eastAsia="zh-CN"/>
              </w:rPr>
              <w:t>。提供的内容清晰得当、切实可行，优秀者得</w:t>
            </w:r>
            <w:r>
              <w:rPr>
                <w:rFonts w:hint="eastAsia" w:cs="宋体"/>
                <w:sz w:val="24"/>
                <w:szCs w:val="24"/>
                <w:highlight w:val="none"/>
                <w:lang w:val="en-US" w:eastAsia="zh-CN"/>
              </w:rPr>
              <w:t>6</w:t>
            </w:r>
            <w:r>
              <w:rPr>
                <w:rFonts w:hint="eastAsia" w:cs="宋体"/>
                <w:sz w:val="24"/>
                <w:szCs w:val="24"/>
                <w:highlight w:val="none"/>
                <w:lang w:eastAsia="zh-CN"/>
              </w:rPr>
              <w:t>分，良好者得</w:t>
            </w:r>
            <w:r>
              <w:rPr>
                <w:rFonts w:hint="eastAsia" w:cs="宋体"/>
                <w:sz w:val="24"/>
                <w:szCs w:val="24"/>
                <w:highlight w:val="none"/>
                <w:lang w:val="en-US" w:eastAsia="zh-CN"/>
              </w:rPr>
              <w:t>4</w:t>
            </w:r>
            <w:r>
              <w:rPr>
                <w:rFonts w:hint="eastAsia" w:cs="宋体"/>
                <w:sz w:val="24"/>
                <w:szCs w:val="24"/>
                <w:highlight w:val="none"/>
                <w:lang w:eastAsia="zh-CN"/>
              </w:rPr>
              <w:t>分，一般者得</w:t>
            </w:r>
            <w:r>
              <w:rPr>
                <w:rFonts w:hint="eastAsia" w:cs="宋体"/>
                <w:sz w:val="24"/>
                <w:szCs w:val="24"/>
                <w:highlight w:val="none"/>
                <w:lang w:val="en-US" w:eastAsia="zh-CN"/>
              </w:rPr>
              <w:t>2</w:t>
            </w:r>
            <w:r>
              <w:rPr>
                <w:rFonts w:hint="eastAsia" w:cs="宋体"/>
                <w:sz w:val="24"/>
                <w:szCs w:val="24"/>
                <w:highlight w:val="none"/>
                <w:lang w:eastAsia="zh-CN"/>
              </w:rPr>
              <w:t>分，不满足项目需求者或者未提供此项内容得0分。（本项满分</w:t>
            </w:r>
            <w:r>
              <w:rPr>
                <w:rFonts w:hint="eastAsia" w:cs="宋体"/>
                <w:sz w:val="24"/>
                <w:szCs w:val="24"/>
                <w:highlight w:val="none"/>
                <w:lang w:val="en-US" w:eastAsia="zh-CN"/>
              </w:rPr>
              <w:t>6</w:t>
            </w:r>
            <w:r>
              <w:rPr>
                <w:rFonts w:hint="eastAsia" w:cs="宋体"/>
                <w:sz w:val="24"/>
                <w:szCs w:val="24"/>
                <w:highlight w:val="none"/>
                <w:lang w:eastAsia="zh-CN"/>
              </w:rPr>
              <w:t>分）</w:t>
            </w:r>
          </w:p>
        </w:tc>
      </w:tr>
      <w:tr w14:paraId="1A103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86" w:type="dxa"/>
            <w:vMerge w:val="restart"/>
            <w:vAlign w:val="center"/>
          </w:tcPr>
          <w:p w14:paraId="6FA8225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商务</w:t>
            </w:r>
          </w:p>
          <w:p w14:paraId="4602EFA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部分</w:t>
            </w:r>
          </w:p>
          <w:p w14:paraId="0BDFF20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0</w:t>
            </w:r>
            <w:r>
              <w:rPr>
                <w:rFonts w:hint="eastAsia" w:ascii="宋体" w:hAnsi="宋体" w:eastAsia="宋体" w:cs="宋体"/>
                <w:sz w:val="24"/>
                <w:szCs w:val="24"/>
                <w:highlight w:val="none"/>
              </w:rPr>
              <w:t>分</w:t>
            </w:r>
          </w:p>
        </w:tc>
        <w:tc>
          <w:tcPr>
            <w:tcW w:w="1371" w:type="dxa"/>
            <w:vAlign w:val="center"/>
          </w:tcPr>
          <w:p w14:paraId="0EB78133">
            <w:pPr>
              <w:tabs>
                <w:tab w:val="left" w:pos="960"/>
              </w:tabs>
              <w:spacing w:line="360" w:lineRule="auto"/>
              <w:ind w:right="176" w:rightChars="8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tc>
        <w:tc>
          <w:tcPr>
            <w:tcW w:w="900" w:type="dxa"/>
            <w:vAlign w:val="center"/>
          </w:tcPr>
          <w:p w14:paraId="0556BB2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622" w:type="dxa"/>
            <w:vAlign w:val="center"/>
          </w:tcPr>
          <w:p w14:paraId="700421E8">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提供近三年（20</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年至今）</w:t>
            </w:r>
            <w:r>
              <w:rPr>
                <w:rFonts w:hint="eastAsia" w:ascii="宋体" w:hAnsi="宋体" w:eastAsia="宋体" w:cs="宋体"/>
                <w:kern w:val="0"/>
                <w:sz w:val="24"/>
                <w:szCs w:val="24"/>
                <w:highlight w:val="none"/>
              </w:rPr>
              <w:t>承接过排水</w:t>
            </w:r>
            <w:r>
              <w:rPr>
                <w:rFonts w:hint="eastAsia" w:ascii="宋体" w:hAnsi="宋体" w:eastAsia="宋体" w:cs="宋体"/>
                <w:kern w:val="0"/>
                <w:sz w:val="24"/>
                <w:szCs w:val="24"/>
                <w:highlight w:val="none"/>
                <w:lang w:eastAsia="zh-CN"/>
              </w:rPr>
              <w:t>类或污水类</w:t>
            </w:r>
            <w:r>
              <w:rPr>
                <w:rFonts w:hint="eastAsia" w:ascii="宋体" w:hAnsi="宋体" w:eastAsia="宋体" w:cs="宋体"/>
                <w:kern w:val="0"/>
                <w:sz w:val="24"/>
                <w:szCs w:val="24"/>
                <w:highlight w:val="none"/>
              </w:rPr>
              <w:t>相关信息化类项目，合同内容必须同时包含硬件和软件的建设，每提供一个合同或中标通知书得2分，本项最高得8分，不满足不得分。。</w:t>
            </w:r>
          </w:p>
          <w:p w14:paraId="4F1B7E2A">
            <w:pPr>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注：</w:t>
            </w:r>
            <w:r>
              <w:rPr>
                <w:rFonts w:hint="eastAsia" w:ascii="宋体" w:hAnsi="宋体" w:eastAsia="宋体" w:cs="宋体"/>
                <w:kern w:val="0"/>
                <w:sz w:val="24"/>
                <w:szCs w:val="24"/>
                <w:highlight w:val="none"/>
              </w:rPr>
              <w:t>业绩应附</w:t>
            </w:r>
            <w:r>
              <w:rPr>
                <w:rFonts w:hint="eastAsia" w:ascii="宋体" w:hAnsi="宋体" w:eastAsia="宋体" w:cs="宋体"/>
                <w:kern w:val="0"/>
                <w:sz w:val="24"/>
                <w:szCs w:val="24"/>
                <w:highlight w:val="none"/>
                <w:lang w:eastAsia="zh-CN"/>
              </w:rPr>
              <w:t>中标通知书或合同及项目验收文件</w:t>
            </w:r>
            <w:r>
              <w:rPr>
                <w:rFonts w:hint="eastAsia" w:ascii="宋体" w:hAnsi="宋体" w:eastAsia="宋体" w:cs="宋体"/>
                <w:kern w:val="0"/>
                <w:sz w:val="24"/>
                <w:szCs w:val="24"/>
                <w:highlight w:val="none"/>
              </w:rPr>
              <w:t>，以合同签订时间为准</w:t>
            </w:r>
            <w:r>
              <w:rPr>
                <w:rFonts w:hint="eastAsia" w:ascii="宋体" w:hAnsi="宋体" w:eastAsia="宋体" w:cs="宋体"/>
                <w:kern w:val="0"/>
                <w:sz w:val="24"/>
                <w:szCs w:val="24"/>
                <w:highlight w:val="none"/>
                <w:lang w:eastAsia="zh-CN"/>
              </w:rPr>
              <w:t>。</w:t>
            </w:r>
          </w:p>
        </w:tc>
      </w:tr>
      <w:tr w14:paraId="196B43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trPr>
        <w:tc>
          <w:tcPr>
            <w:tcW w:w="786" w:type="dxa"/>
            <w:vMerge w:val="continue"/>
            <w:vAlign w:val="center"/>
          </w:tcPr>
          <w:p w14:paraId="332A8247">
            <w:pPr>
              <w:spacing w:line="360" w:lineRule="auto"/>
              <w:rPr>
                <w:rFonts w:hint="eastAsia" w:ascii="宋体" w:hAnsi="宋体" w:eastAsia="宋体" w:cs="宋体"/>
                <w:sz w:val="24"/>
                <w:szCs w:val="24"/>
                <w:highlight w:val="none"/>
              </w:rPr>
            </w:pPr>
          </w:p>
        </w:tc>
        <w:tc>
          <w:tcPr>
            <w:tcW w:w="1371" w:type="dxa"/>
            <w:vAlign w:val="center"/>
          </w:tcPr>
          <w:p w14:paraId="3B1E2BB0">
            <w:pPr>
              <w:tabs>
                <w:tab w:val="left" w:pos="960"/>
              </w:tabs>
              <w:spacing w:line="360" w:lineRule="auto"/>
              <w:ind w:right="176" w:rightChars="84"/>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企业实力</w:t>
            </w:r>
          </w:p>
        </w:tc>
        <w:tc>
          <w:tcPr>
            <w:tcW w:w="900" w:type="dxa"/>
            <w:vAlign w:val="center"/>
          </w:tcPr>
          <w:p w14:paraId="3BB7C6B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622" w:type="dxa"/>
            <w:vAlign w:val="center"/>
          </w:tcPr>
          <w:p w14:paraId="4A6F758F">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供应商具有防汛调度、排水管网、综合监管、智能调度相关</w:t>
            </w:r>
            <w:r>
              <w:rPr>
                <w:rFonts w:hint="eastAsia" w:ascii="宋体" w:hAnsi="宋体" w:eastAsia="宋体" w:cs="宋体"/>
                <w:kern w:val="0"/>
                <w:sz w:val="24"/>
                <w:szCs w:val="24"/>
                <w:highlight w:val="none"/>
              </w:rPr>
              <w:t>软件著作权</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须提供《计算机软件著作权登记证书》</w:t>
            </w:r>
            <w:r>
              <w:rPr>
                <w:rFonts w:hint="eastAsia" w:ascii="宋体" w:hAnsi="宋体" w:eastAsia="宋体" w:cs="宋体"/>
                <w:kern w:val="0"/>
                <w:sz w:val="24"/>
                <w:szCs w:val="24"/>
                <w:highlight w:val="none"/>
                <w:lang w:eastAsia="zh-CN"/>
              </w:rPr>
              <w:t>，每提供一个得</w:t>
            </w:r>
            <w:r>
              <w:rPr>
                <w:rFonts w:hint="eastAsia" w:ascii="宋体" w:hAnsi="宋体" w:eastAsia="宋体" w:cs="宋体"/>
                <w:kern w:val="0"/>
                <w:sz w:val="24"/>
                <w:szCs w:val="24"/>
                <w:highlight w:val="none"/>
                <w:lang w:val="en-US" w:eastAsia="zh-CN"/>
              </w:rPr>
              <w:t>0.5分，最高得2分，</w:t>
            </w:r>
            <w:r>
              <w:rPr>
                <w:rFonts w:hint="eastAsia" w:ascii="宋体" w:hAnsi="宋体" w:eastAsia="宋体" w:cs="宋体"/>
                <w:kern w:val="0"/>
                <w:sz w:val="24"/>
                <w:szCs w:val="24"/>
                <w:highlight w:val="none"/>
              </w:rPr>
              <w:t>没有提供不得分。</w:t>
            </w:r>
          </w:p>
          <w:p w14:paraId="004192FF">
            <w:pPr>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注：</w:t>
            </w:r>
            <w:r>
              <w:rPr>
                <w:rFonts w:hint="eastAsia" w:ascii="宋体" w:hAnsi="宋体" w:eastAsia="宋体" w:cs="宋体"/>
                <w:kern w:val="0"/>
                <w:sz w:val="24"/>
                <w:szCs w:val="24"/>
                <w:highlight w:val="none"/>
              </w:rPr>
              <w:t>著作权登记证书时间要求在本次公告发布</w:t>
            </w:r>
            <w:r>
              <w:rPr>
                <w:rFonts w:hint="eastAsia" w:ascii="宋体" w:hAnsi="宋体" w:eastAsia="宋体" w:cs="宋体"/>
                <w:kern w:val="0"/>
                <w:sz w:val="24"/>
                <w:szCs w:val="24"/>
                <w:highlight w:val="none"/>
                <w:lang w:eastAsia="zh-CN"/>
              </w:rPr>
              <w:t>日期</w:t>
            </w:r>
            <w:r>
              <w:rPr>
                <w:rFonts w:hint="eastAsia" w:ascii="宋体" w:hAnsi="宋体" w:eastAsia="宋体" w:cs="宋体"/>
                <w:kern w:val="0"/>
                <w:sz w:val="24"/>
                <w:szCs w:val="24"/>
                <w:highlight w:val="none"/>
              </w:rPr>
              <w:t>之前</w:t>
            </w:r>
            <w:r>
              <w:rPr>
                <w:rFonts w:hint="eastAsia" w:ascii="宋体" w:hAnsi="宋体" w:eastAsia="宋体" w:cs="宋体"/>
                <w:kern w:val="0"/>
                <w:sz w:val="24"/>
                <w:szCs w:val="24"/>
                <w:highlight w:val="none"/>
                <w:lang w:eastAsia="zh-CN"/>
              </w:rPr>
              <w:t>。</w:t>
            </w:r>
          </w:p>
        </w:tc>
      </w:tr>
      <w:tr w14:paraId="28B092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trPr>
        <w:tc>
          <w:tcPr>
            <w:tcW w:w="786" w:type="dxa"/>
            <w:vMerge w:val="continue"/>
            <w:vAlign w:val="center"/>
          </w:tcPr>
          <w:p w14:paraId="667C53B2">
            <w:pPr>
              <w:spacing w:line="360" w:lineRule="auto"/>
              <w:rPr>
                <w:rFonts w:hint="eastAsia" w:ascii="宋体" w:hAnsi="宋体" w:eastAsia="宋体" w:cs="宋体"/>
                <w:sz w:val="24"/>
                <w:szCs w:val="24"/>
                <w:highlight w:val="none"/>
              </w:rPr>
            </w:pPr>
          </w:p>
        </w:tc>
        <w:tc>
          <w:tcPr>
            <w:tcW w:w="1371" w:type="dxa"/>
            <w:vAlign w:val="center"/>
          </w:tcPr>
          <w:p w14:paraId="79B3DF55">
            <w:pPr>
              <w:keepNext w:val="0"/>
              <w:keepLines w:val="0"/>
              <w:pageBreakBefore w:val="0"/>
              <w:widowControl w:val="0"/>
              <w:tabs>
                <w:tab w:val="left" w:pos="960"/>
              </w:tabs>
              <w:kinsoku/>
              <w:wordWrap/>
              <w:overflowPunct/>
              <w:topLinePunct w:val="0"/>
              <w:bidi w:val="0"/>
              <w:spacing w:line="360" w:lineRule="auto"/>
              <w:ind w:right="176" w:rightChars="84"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人员实力</w:t>
            </w:r>
          </w:p>
        </w:tc>
        <w:tc>
          <w:tcPr>
            <w:tcW w:w="900" w:type="dxa"/>
            <w:vAlign w:val="center"/>
          </w:tcPr>
          <w:p w14:paraId="2A0ADAC4">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w:t>
            </w:r>
          </w:p>
        </w:tc>
        <w:tc>
          <w:tcPr>
            <w:tcW w:w="6622" w:type="dxa"/>
            <w:vAlign w:val="center"/>
          </w:tcPr>
          <w:p w14:paraId="40F1F324">
            <w:pPr>
              <w:pStyle w:val="39"/>
              <w:keepNext w:val="0"/>
              <w:keepLines w:val="0"/>
              <w:pageBreakBefore w:val="0"/>
              <w:widowControl w:val="0"/>
              <w:tabs>
                <w:tab w:val="left" w:pos="343"/>
              </w:tabs>
              <w:kinsoku/>
              <w:wordWrap/>
              <w:overflowPunct/>
              <w:topLinePunct w:val="0"/>
              <w:bidi w:val="0"/>
              <w:adjustRightInd w:val="0"/>
              <w:snapToGrid w:val="0"/>
              <w:spacing w:line="360" w:lineRule="auto"/>
              <w:ind w:right="0" w:rightChars="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拟派项目设备分管技术负责人：具有机电工程专业二级及以上建造师注册证书同时具备信息技术专业中级及以上工程师证书的，得</w:t>
            </w:r>
            <w:r>
              <w:rPr>
                <w:rFonts w:hint="eastAsia" w:cs="宋体"/>
                <w:kern w:val="0"/>
                <w:sz w:val="24"/>
                <w:szCs w:val="24"/>
                <w:highlight w:val="none"/>
                <w:lang w:val="en-US" w:eastAsia="zh-CN"/>
              </w:rPr>
              <w:t>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p w14:paraId="187CE20B">
            <w:pPr>
              <w:pStyle w:val="39"/>
              <w:keepNext w:val="0"/>
              <w:keepLines w:val="0"/>
              <w:pageBreakBefore w:val="0"/>
              <w:widowControl w:val="0"/>
              <w:tabs>
                <w:tab w:val="left" w:pos="343"/>
              </w:tabs>
              <w:kinsoku/>
              <w:wordWrap/>
              <w:overflowPunct/>
              <w:topLinePunct w:val="0"/>
              <w:bidi w:val="0"/>
              <w:adjustRightInd w:val="0"/>
              <w:snapToGrid w:val="0"/>
              <w:spacing w:line="360" w:lineRule="auto"/>
              <w:ind w:right="0" w:rightChars="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拟派项目分管信息化技术负责人：具有信息系统项目管理师证书同时具备PMP证书的，得</w:t>
            </w:r>
            <w:r>
              <w:rPr>
                <w:rFonts w:hint="eastAsia" w:cs="宋体"/>
                <w:kern w:val="0"/>
                <w:sz w:val="24"/>
                <w:szCs w:val="24"/>
                <w:highlight w:val="none"/>
                <w:lang w:val="en-US" w:eastAsia="zh-CN"/>
              </w:rPr>
              <w:t>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p>
          <w:p w14:paraId="5D16749F">
            <w:pPr>
              <w:pStyle w:val="39"/>
              <w:keepNext w:val="0"/>
              <w:keepLines w:val="0"/>
              <w:pageBreakBefore w:val="0"/>
              <w:widowControl w:val="0"/>
              <w:tabs>
                <w:tab w:val="left" w:pos="343"/>
              </w:tabs>
              <w:kinsoku/>
              <w:wordWrap/>
              <w:overflowPunct/>
              <w:topLinePunct w:val="0"/>
              <w:bidi w:val="0"/>
              <w:adjustRightInd w:val="0"/>
              <w:snapToGrid w:val="0"/>
              <w:spacing w:line="360" w:lineRule="auto"/>
              <w:ind w:right="0" w:rightChars="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注：需提供人员证书扫描件、身份证以及养老保险缴费部门出具的在本单位缴纳的职工基本养老保险证明。</w:t>
            </w:r>
          </w:p>
        </w:tc>
      </w:tr>
      <w:tr w14:paraId="40F67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trPr>
        <w:tc>
          <w:tcPr>
            <w:tcW w:w="786" w:type="dxa"/>
            <w:vMerge w:val="continue"/>
            <w:vAlign w:val="center"/>
          </w:tcPr>
          <w:p w14:paraId="54ADE5B2">
            <w:pPr>
              <w:spacing w:line="360" w:lineRule="auto"/>
              <w:rPr>
                <w:rFonts w:hint="eastAsia" w:ascii="宋体" w:hAnsi="宋体" w:eastAsia="宋体" w:cs="宋体"/>
                <w:sz w:val="24"/>
                <w:szCs w:val="24"/>
                <w:highlight w:val="none"/>
              </w:rPr>
            </w:pPr>
          </w:p>
        </w:tc>
        <w:tc>
          <w:tcPr>
            <w:tcW w:w="1371" w:type="dxa"/>
            <w:vAlign w:val="center"/>
          </w:tcPr>
          <w:p w14:paraId="44EEDC64">
            <w:pPr>
              <w:tabs>
                <w:tab w:val="left" w:pos="960"/>
              </w:tabs>
              <w:spacing w:line="360" w:lineRule="auto"/>
              <w:ind w:right="176" w:rightChars="84"/>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售后服务</w:t>
            </w:r>
          </w:p>
        </w:tc>
        <w:tc>
          <w:tcPr>
            <w:tcW w:w="900" w:type="dxa"/>
            <w:vAlign w:val="center"/>
          </w:tcPr>
          <w:p w14:paraId="4077EEA1">
            <w:pPr>
              <w:spacing w:line="360" w:lineRule="auto"/>
              <w:jc w:val="center"/>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8</w:t>
            </w:r>
            <w:r>
              <w:rPr>
                <w:rFonts w:hint="eastAsia" w:ascii="宋体" w:hAnsi="宋体" w:eastAsia="宋体" w:cs="宋体"/>
                <w:sz w:val="24"/>
                <w:szCs w:val="24"/>
                <w:highlight w:val="none"/>
              </w:rPr>
              <w:t>分</w:t>
            </w:r>
          </w:p>
        </w:tc>
        <w:tc>
          <w:tcPr>
            <w:tcW w:w="6622" w:type="dxa"/>
            <w:vAlign w:val="center"/>
          </w:tcPr>
          <w:p w14:paraId="69C2FFDA">
            <w:pPr>
              <w:pStyle w:val="39"/>
              <w:tabs>
                <w:tab w:val="left" w:pos="343"/>
              </w:tabs>
              <w:adjustRightInd w:val="0"/>
              <w:snapToGrid w:val="0"/>
              <w:spacing w:line="360" w:lineRule="auto"/>
              <w:ind w:left="0" w:leftChars="0" w:right="0" w:rightChars="0"/>
              <w:rPr>
                <w:rFonts w:hint="eastAsia" w:ascii="宋体" w:hAnsi="宋体" w:eastAsia="宋体" w:cs="宋体"/>
                <w:kern w:val="0"/>
                <w:sz w:val="24"/>
                <w:szCs w:val="24"/>
                <w:highlight w:val="none"/>
              </w:rPr>
            </w:pPr>
            <w:r>
              <w:rPr>
                <w:rFonts w:hint="eastAsia" w:cs="宋体"/>
                <w:sz w:val="24"/>
                <w:szCs w:val="24"/>
                <w:highlight w:val="none"/>
                <w:lang w:eastAsia="zh-CN"/>
              </w:rPr>
              <w:t>供应商</w:t>
            </w:r>
            <w:r>
              <w:rPr>
                <w:rFonts w:cs="宋体"/>
                <w:sz w:val="24"/>
                <w:szCs w:val="24"/>
                <w:highlight w:val="none"/>
              </w:rPr>
              <w:t>提供项目售后方案，需提供质保期限</w:t>
            </w:r>
            <w:r>
              <w:rPr>
                <w:rFonts w:hint="eastAsia" w:cs="宋体"/>
                <w:sz w:val="24"/>
                <w:szCs w:val="24"/>
                <w:highlight w:val="none"/>
                <w:lang w:eastAsia="zh-CN"/>
              </w:rPr>
              <w:t>（不少于三年）</w:t>
            </w:r>
            <w:r>
              <w:rPr>
                <w:rFonts w:cs="宋体"/>
                <w:sz w:val="24"/>
                <w:szCs w:val="24"/>
                <w:highlight w:val="none"/>
              </w:rPr>
              <w:t>、响应时间、响应时间保证措施、服务团队、服务标准、服务内容等方面详细方案。</w:t>
            </w:r>
            <w:r>
              <w:rPr>
                <w:rFonts w:hint="eastAsia" w:cs="宋体"/>
                <w:sz w:val="24"/>
                <w:szCs w:val="24"/>
                <w:highlight w:val="none"/>
              </w:rPr>
              <w:t>提供的内容清晰得当、切实可行，优秀者得</w:t>
            </w:r>
            <w:r>
              <w:rPr>
                <w:rFonts w:hint="eastAsia" w:cs="宋体"/>
                <w:sz w:val="24"/>
                <w:szCs w:val="24"/>
                <w:highlight w:val="none"/>
                <w:lang w:val="en-US" w:eastAsia="zh-CN"/>
              </w:rPr>
              <w:t>8</w:t>
            </w:r>
            <w:r>
              <w:rPr>
                <w:rFonts w:hint="eastAsia" w:cs="宋体"/>
                <w:sz w:val="24"/>
                <w:szCs w:val="24"/>
                <w:highlight w:val="none"/>
              </w:rPr>
              <w:t>分，良好者得</w:t>
            </w:r>
            <w:r>
              <w:rPr>
                <w:rFonts w:hint="eastAsia" w:cs="宋体"/>
                <w:sz w:val="24"/>
                <w:szCs w:val="24"/>
                <w:highlight w:val="none"/>
                <w:lang w:val="en-US" w:eastAsia="zh-CN"/>
              </w:rPr>
              <w:t>5</w:t>
            </w:r>
            <w:r>
              <w:rPr>
                <w:rFonts w:hint="eastAsia" w:cs="宋体"/>
                <w:sz w:val="24"/>
                <w:szCs w:val="24"/>
                <w:highlight w:val="none"/>
              </w:rPr>
              <w:t>分，一般者得</w:t>
            </w:r>
            <w:r>
              <w:rPr>
                <w:rFonts w:hint="eastAsia" w:cs="宋体"/>
                <w:sz w:val="24"/>
                <w:szCs w:val="24"/>
                <w:highlight w:val="none"/>
                <w:lang w:val="en-US" w:eastAsia="zh-CN"/>
              </w:rPr>
              <w:t>3</w:t>
            </w:r>
            <w:r>
              <w:rPr>
                <w:rFonts w:hint="eastAsia" w:cs="宋体"/>
                <w:sz w:val="24"/>
                <w:szCs w:val="24"/>
                <w:highlight w:val="none"/>
              </w:rPr>
              <w:t>分，不满足项目需求者或者未提供此项内容得0分。</w:t>
            </w:r>
          </w:p>
        </w:tc>
      </w:tr>
      <w:tr w14:paraId="36DC1C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2157" w:type="dxa"/>
            <w:gridSpan w:val="2"/>
            <w:vAlign w:val="center"/>
          </w:tcPr>
          <w:p w14:paraId="531BBAF2">
            <w:pPr>
              <w:spacing w:line="360" w:lineRule="auto"/>
              <w:ind w:firstLine="482"/>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7522" w:type="dxa"/>
            <w:gridSpan w:val="2"/>
            <w:vAlign w:val="center"/>
          </w:tcPr>
          <w:p w14:paraId="7A61E0E6">
            <w:pPr>
              <w:spacing w:line="360" w:lineRule="auto"/>
              <w:ind w:firstLine="482"/>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100分</w:t>
            </w:r>
          </w:p>
        </w:tc>
      </w:tr>
    </w:tbl>
    <w:p w14:paraId="5B18CA23">
      <w:pPr>
        <w:kinsoku/>
        <w:overflowPunct/>
        <w:bidi w:val="0"/>
        <w:spacing w:line="360" w:lineRule="auto"/>
        <w:rPr>
          <w:rFonts w:hint="eastAsia"/>
          <w:highlight w:val="none"/>
          <w:lang w:val="en-US" w:eastAsia="zh-CN"/>
        </w:rPr>
      </w:pPr>
      <w:r>
        <w:rPr>
          <w:rFonts w:hint="eastAsia"/>
          <w:highlight w:val="none"/>
          <w:lang w:val="en-US" w:eastAsia="zh-CN"/>
        </w:rPr>
        <w:br w:type="page"/>
      </w:r>
      <w:bookmarkStart w:id="483" w:name="_Toc26313"/>
    </w:p>
    <w:p w14:paraId="7A055C42">
      <w:pPr>
        <w:pStyle w:val="2"/>
        <w:keepNext w:val="0"/>
        <w:keepLines w:val="0"/>
        <w:pageBreakBefore/>
        <w:widowControl w:val="0"/>
        <w:numPr>
          <w:ilvl w:val="0"/>
          <w:numId w:val="0"/>
        </w:numPr>
        <w:suppressLineNumbers w:val="0"/>
        <w:kinsoku/>
        <w:wordWrap/>
        <w:overflowPunct/>
        <w:bidi w:val="0"/>
        <w:spacing w:before="0" w:beforeAutospacing="0" w:after="0" w:afterAutospacing="0" w:line="360" w:lineRule="auto"/>
        <w:ind w:left="0" w:right="0" w:firstLine="0"/>
        <w:jc w:val="center"/>
        <w:rPr>
          <w:rFonts w:hint="eastAsia" w:ascii="宋体" w:hAnsi="宋体" w:eastAsia="宋体" w:cs="宋体"/>
          <w:b/>
          <w:bCs w:val="0"/>
          <w:szCs w:val="32"/>
          <w:highlight w:val="none"/>
          <w:lang w:val="en-US" w:eastAsia="zh-CN"/>
        </w:rPr>
      </w:pPr>
      <w:bookmarkStart w:id="484" w:name="_Toc7658"/>
      <w:r>
        <w:rPr>
          <w:rFonts w:hint="eastAsia" w:ascii="宋体" w:hAnsi="宋体" w:eastAsia="宋体" w:cs="宋体"/>
          <w:b/>
          <w:bCs w:val="0"/>
          <w:szCs w:val="32"/>
          <w:highlight w:val="none"/>
          <w:lang w:val="en-US" w:eastAsia="zh-CN"/>
        </w:rPr>
        <w:t>第五章  合同条款及格式</w:t>
      </w:r>
      <w:bookmarkEnd w:id="482"/>
      <w:bookmarkEnd w:id="483"/>
      <w:bookmarkEnd w:id="484"/>
    </w:p>
    <w:p w14:paraId="6915C14A">
      <w:pPr>
        <w:keepNext w:val="0"/>
        <w:keepLines w:val="0"/>
        <w:pageBreakBefore w:val="0"/>
        <w:widowControl w:val="0"/>
        <w:kinsoku/>
        <w:wordWrap/>
        <w:overflowPunct/>
        <w:topLinePunct w:val="0"/>
        <w:bidi w:val="0"/>
        <w:spacing w:line="360" w:lineRule="auto"/>
        <w:jc w:val="center"/>
        <w:textAlignment w:val="auto"/>
        <w:rPr>
          <w:rFonts w:hint="eastAsia"/>
          <w:b/>
          <w:bCs/>
          <w:sz w:val="44"/>
          <w:szCs w:val="44"/>
          <w:highlight w:val="none"/>
          <w:lang w:val="en-US" w:eastAsia="zh-CN"/>
        </w:rPr>
      </w:pPr>
      <w:bookmarkStart w:id="485" w:name="_Toc22882"/>
    </w:p>
    <w:p w14:paraId="28C9BA57">
      <w:pPr>
        <w:keepNext w:val="0"/>
        <w:keepLines w:val="0"/>
        <w:pageBreakBefore w:val="0"/>
        <w:widowControl w:val="0"/>
        <w:kinsoku/>
        <w:wordWrap/>
        <w:overflowPunct/>
        <w:topLinePunct w:val="0"/>
        <w:bidi w:val="0"/>
        <w:spacing w:line="360" w:lineRule="auto"/>
        <w:jc w:val="center"/>
        <w:textAlignment w:val="auto"/>
        <w:rPr>
          <w:rFonts w:hint="eastAsia"/>
          <w:b/>
          <w:bCs/>
          <w:sz w:val="44"/>
          <w:szCs w:val="44"/>
          <w:highlight w:val="none"/>
          <w:lang w:val="en-US" w:eastAsia="zh-CN"/>
        </w:rPr>
      </w:pPr>
      <w:r>
        <w:rPr>
          <w:rFonts w:hint="eastAsia"/>
          <w:b/>
          <w:bCs/>
          <w:sz w:val="44"/>
          <w:szCs w:val="44"/>
          <w:highlight w:val="none"/>
          <w:lang w:val="en-US" w:eastAsia="zh-CN"/>
        </w:rPr>
        <w:t>政府采购合同（合同文本）</w:t>
      </w:r>
    </w:p>
    <w:p w14:paraId="5536CDB5">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p>
    <w:p w14:paraId="1E50C660">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（填写采购单位）</w:t>
      </w:r>
    </w:p>
    <w:p w14:paraId="73DF8D63">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地址（详细地址）：</w:t>
      </w:r>
      <w:r>
        <w:rPr>
          <w:rFonts w:hint="eastAsia" w:cs="宋体"/>
          <w:sz w:val="24"/>
          <w:szCs w:val="24"/>
          <w:highlight w:val="none"/>
          <w:u w:val="single"/>
          <w:lang w:val="en-US" w:eastAsia="zh-CN"/>
        </w:rPr>
        <w:t xml:space="preserve">                     </w:t>
      </w:r>
    </w:p>
    <w:p w14:paraId="6973F651">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（填写中标</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w:t>
      </w:r>
    </w:p>
    <w:p w14:paraId="2B0AB10B">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地址（详细地址）：</w:t>
      </w:r>
      <w:r>
        <w:rPr>
          <w:rFonts w:hint="eastAsia" w:cs="宋体"/>
          <w:sz w:val="24"/>
          <w:szCs w:val="24"/>
          <w:highlight w:val="none"/>
          <w:u w:val="single"/>
          <w:lang w:val="en-US" w:eastAsia="zh-CN"/>
        </w:rPr>
        <w:t xml:space="preserve">                     </w:t>
      </w:r>
    </w:p>
    <w:p w14:paraId="5C26A193">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合同号：</w:t>
      </w:r>
      <w:r>
        <w:rPr>
          <w:rFonts w:hint="eastAsia" w:cs="宋体"/>
          <w:sz w:val="24"/>
          <w:szCs w:val="24"/>
          <w:highlight w:val="none"/>
          <w:u w:val="single"/>
          <w:lang w:val="en-US" w:eastAsia="zh-CN"/>
        </w:rPr>
        <w:t xml:space="preserve">                </w:t>
      </w:r>
    </w:p>
    <w:p w14:paraId="71A33683">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根据《中华人民共和国政府采购法》、《中华人民共和国民法典》等相关法律法规，甲、乙双方就（填写项目名称）（政府采购项目编号、备案编号：），经平等自愿协商一致达成合同如下：</w:t>
      </w:r>
    </w:p>
    <w:p w14:paraId="3BB03E3F">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1.合同文件</w:t>
      </w:r>
    </w:p>
    <w:p w14:paraId="2689C1F9">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本合同所附下列文件是构成本合同不可分割的部分：</w:t>
      </w:r>
    </w:p>
    <w:p w14:paraId="4BBD7845">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1</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合同格式以及合同条款</w:t>
      </w:r>
    </w:p>
    <w:p w14:paraId="0B254CA2">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中标结果公告及中标通知书</w:t>
      </w:r>
    </w:p>
    <w:p w14:paraId="4E0DF28E">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招标文件</w:t>
      </w:r>
    </w:p>
    <w:p w14:paraId="4F8476C4">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4</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投标文件</w:t>
      </w:r>
    </w:p>
    <w:p w14:paraId="0259B513">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5</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变更合同</w:t>
      </w:r>
    </w:p>
    <w:p w14:paraId="7B234BF4">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2.本合同所提供的标的物、数量及规格等详见中标结果公告及后附清单。</w:t>
      </w:r>
    </w:p>
    <w:p w14:paraId="73C5C8A7">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w:t>
      </w:r>
      <w:r>
        <w:rPr>
          <w:rFonts w:hint="eastAsia" w:cs="宋体"/>
          <w:sz w:val="24"/>
          <w:szCs w:val="24"/>
          <w:highlight w:val="none"/>
          <w:lang w:val="en-US" w:eastAsia="zh-CN"/>
        </w:rPr>
        <w:t>及合同价格形式</w:t>
      </w:r>
    </w:p>
    <w:p w14:paraId="0AF8B82A">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cs="宋体"/>
          <w:sz w:val="24"/>
          <w:szCs w:val="24"/>
          <w:highlight w:val="none"/>
          <w:u w:val="single"/>
          <w:lang w:val="en-US" w:eastAsia="zh-CN"/>
        </w:rPr>
      </w:pPr>
      <w:r>
        <w:rPr>
          <w:rFonts w:hint="eastAsia" w:ascii="宋体" w:hAnsi="宋体" w:eastAsia="宋体" w:cs="宋体"/>
          <w:sz w:val="24"/>
          <w:szCs w:val="24"/>
          <w:highlight w:val="none"/>
          <w:lang w:val="en-US" w:eastAsia="zh-CN"/>
        </w:rPr>
        <w:t>合同金额为人民币</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万元，大写：</w:t>
      </w:r>
      <w:r>
        <w:rPr>
          <w:rFonts w:hint="eastAsia" w:cs="宋体"/>
          <w:sz w:val="24"/>
          <w:szCs w:val="24"/>
          <w:highlight w:val="none"/>
          <w:u w:val="single"/>
          <w:lang w:val="en-US" w:eastAsia="zh-CN"/>
        </w:rPr>
        <w:t xml:space="preserve">          </w:t>
      </w:r>
    </w:p>
    <w:p w14:paraId="748B3578">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default" w:cs="宋体"/>
          <w:sz w:val="24"/>
          <w:szCs w:val="24"/>
          <w:highlight w:val="none"/>
          <w:u w:val="none"/>
          <w:lang w:val="en-US" w:eastAsia="zh-CN"/>
        </w:rPr>
      </w:pPr>
      <w:r>
        <w:rPr>
          <w:rFonts w:hint="eastAsia" w:cs="宋体"/>
          <w:sz w:val="24"/>
          <w:szCs w:val="24"/>
          <w:highlight w:val="none"/>
          <w:u w:val="none"/>
          <w:lang w:val="en-US" w:eastAsia="zh-CN"/>
        </w:rPr>
        <w:t>合同价格形式：</w:t>
      </w:r>
      <w:r>
        <w:rPr>
          <w:rFonts w:hint="eastAsia" w:cs="宋体"/>
          <w:sz w:val="24"/>
          <w:szCs w:val="24"/>
          <w:highlight w:val="none"/>
          <w:u w:val="single"/>
          <w:lang w:val="en-US" w:eastAsia="zh-CN"/>
        </w:rPr>
        <w:t xml:space="preserve">  固定单价合同  </w:t>
      </w:r>
    </w:p>
    <w:p w14:paraId="420DC299">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4.付款方式及时间</w:t>
      </w:r>
    </w:p>
    <w:p w14:paraId="65A8676D">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cs="宋体"/>
          <w:sz w:val="24"/>
          <w:szCs w:val="24"/>
          <w:highlight w:val="none"/>
          <w:u w:val="single"/>
          <w:lang w:val="en-US" w:eastAsia="zh-CN"/>
        </w:rPr>
        <w:t xml:space="preserve">                                       </w:t>
      </w:r>
    </w:p>
    <w:p w14:paraId="1FAF7187">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5.交货安装</w:t>
      </w:r>
    </w:p>
    <w:p w14:paraId="6BBF33B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交货时间：</w:t>
      </w:r>
      <w:r>
        <w:rPr>
          <w:rFonts w:hint="eastAsia" w:cs="宋体"/>
          <w:sz w:val="24"/>
          <w:szCs w:val="24"/>
          <w:highlight w:val="none"/>
          <w:u w:val="single"/>
          <w:lang w:val="en-US" w:eastAsia="zh-CN"/>
        </w:rPr>
        <w:t xml:space="preserve">                             </w:t>
      </w:r>
    </w:p>
    <w:p w14:paraId="4A4D6D56">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交货地点：</w:t>
      </w:r>
      <w:r>
        <w:rPr>
          <w:rFonts w:hint="eastAsia" w:cs="宋体"/>
          <w:sz w:val="24"/>
          <w:szCs w:val="24"/>
          <w:highlight w:val="none"/>
          <w:u w:val="single"/>
          <w:lang w:val="en-US" w:eastAsia="zh-CN"/>
        </w:rPr>
        <w:t xml:space="preserve">                             </w:t>
      </w:r>
    </w:p>
    <w:p w14:paraId="0DEF8FF5">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6.质量</w:t>
      </w:r>
    </w:p>
    <w:p w14:paraId="7CA21BA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乙方提供的标的物应符合国家相关质量验收标准，且能够提供相关权威部门出具的产品质量检测报告；提供的相关服务符合国家（或行业）规定标准。</w:t>
      </w:r>
    </w:p>
    <w:p w14:paraId="77327CE0">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7.包装</w:t>
      </w:r>
    </w:p>
    <w:p w14:paraId="592A03A0">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标的物的包装应按照国家或者行业主管部门的技术规定执行，国家或业务主管部门无技术规定的，应当按双方约定采取足以保护标的物安全、完好的包装方式。</w:t>
      </w:r>
    </w:p>
    <w:p w14:paraId="7EA7680F">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8.运输要求</w:t>
      </w:r>
    </w:p>
    <w:p w14:paraId="7FA20082">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（1）运输方式及线路：</w:t>
      </w:r>
    </w:p>
    <w:p w14:paraId="68B9E63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（2）运输及相关费用由乙方承担。</w:t>
      </w:r>
    </w:p>
    <w:p w14:paraId="0FDDC836">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9.知识产权</w:t>
      </w:r>
    </w:p>
    <w:p w14:paraId="1A690EB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乙方应保证甲方在中国境内使用标的物或标的物的任何一部分时，免受第三方提出的侵犯其知识产权的诉讼。</w:t>
      </w:r>
    </w:p>
    <w:p w14:paraId="243A1F47">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10.验收</w:t>
      </w:r>
    </w:p>
    <w:p w14:paraId="48CF4157">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（1）乙方将标的物送达至甲方指定的地点后，由甲乙双方及第三方（如有）一同验收并签字确认。</w:t>
      </w:r>
    </w:p>
    <w:p w14:paraId="2EC5F330">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14:paraId="46AA56DD">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（3）经双方共同验收，标的物达不到质量或规格要求的，甲方可以拒收，并可解除合同且不承担任何法律责任，</w:t>
      </w:r>
    </w:p>
    <w:p w14:paraId="25552A0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11.售后服务</w:t>
      </w:r>
    </w:p>
    <w:p w14:paraId="49434855">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（1）乙方应按招标文件、投标文件及乙方在谈判过程中做出的书面说明或承诺提供及时、快速、优质的售后服务。</w:t>
      </w:r>
    </w:p>
    <w:p w14:paraId="470FC77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（2）其他售后服务内容：</w:t>
      </w:r>
    </w:p>
    <w:p w14:paraId="38FFEBA0">
      <w:pPr>
        <w:pStyle w:val="39"/>
        <w:keepNext w:val="0"/>
        <w:keepLines w:val="0"/>
        <w:pageBreakBefore w:val="0"/>
        <w:widowControl w:val="0"/>
        <w:tabs>
          <w:tab w:val="left" w:pos="343"/>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sz w:val="24"/>
          <w:szCs w:val="24"/>
          <w:highlight w:val="none"/>
          <w:u w:val="single"/>
          <w:lang w:val="en-US" w:eastAsia="zh-CN"/>
        </w:rPr>
      </w:pP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（投标文件售后承诺等）</w:t>
      </w:r>
      <w:r>
        <w:rPr>
          <w:rFonts w:hint="eastAsia" w:cs="宋体"/>
          <w:sz w:val="24"/>
          <w:szCs w:val="24"/>
          <w:highlight w:val="none"/>
          <w:u w:val="single"/>
          <w:lang w:val="en-US" w:eastAsia="zh-CN"/>
        </w:rPr>
        <w:t xml:space="preserve">                     </w:t>
      </w:r>
    </w:p>
    <w:p w14:paraId="57C64A1B">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12.违约条款</w:t>
      </w:r>
    </w:p>
    <w:p w14:paraId="5018C24B">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（1）乙方逾期交付标的物、甲方逾期付款，按日承担违约部分合同金额的违约金。</w:t>
      </w:r>
    </w:p>
    <w:p w14:paraId="33700492">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（2）其他违约责任以相关法律法规规定为准，无相关规定的，双方协商解决。</w:t>
      </w:r>
    </w:p>
    <w:p w14:paraId="600FE3C1">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13.不可抗力条款</w:t>
      </w:r>
    </w:p>
    <w:p w14:paraId="2E836D1F">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因不可抗力致使一方不能及时或完全履行合同的，应及时通知另一方，双方互不承担责任，并在</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天内提供有关不可抗力的相关证明。合同未履行部分是否继续履行、如何履行等问题，双方协商解决。</w:t>
      </w:r>
    </w:p>
    <w:p w14:paraId="093E86CE">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14.争议的解决方式</w:t>
      </w:r>
    </w:p>
    <w:p w14:paraId="174FB6F1">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合同发生纠纷时，双方应协商解决，协商不成可以采用下列方式解决：</w:t>
      </w:r>
    </w:p>
    <w:p w14:paraId="326A2CA0">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（1）提交仲裁委员会仲裁。</w:t>
      </w:r>
    </w:p>
    <w:p w14:paraId="5C3ABCC5">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（2）向人民法院起诉。</w:t>
      </w:r>
    </w:p>
    <w:p w14:paraId="1C159DD3">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15.合同保存</w:t>
      </w:r>
    </w:p>
    <w:p w14:paraId="0B2C3697">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合同文本一式</w:t>
      </w:r>
      <w:r>
        <w:rPr>
          <w:rFonts w:hint="eastAsia" w:cs="宋体"/>
          <w:sz w:val="24"/>
          <w:szCs w:val="24"/>
          <w:highlight w:val="none"/>
          <w:lang w:val="en-US" w:eastAsia="zh-CN"/>
        </w:rPr>
        <w:t>五</w:t>
      </w:r>
      <w:r>
        <w:rPr>
          <w:rFonts w:hint="eastAsia" w:ascii="宋体" w:hAnsi="宋体" w:eastAsia="宋体" w:cs="宋体"/>
          <w:sz w:val="24"/>
          <w:szCs w:val="24"/>
          <w:highlight w:val="none"/>
          <w:lang w:val="en-US" w:eastAsia="zh-CN"/>
        </w:rPr>
        <w:t>份，采购单位、</w:t>
      </w:r>
      <w:r>
        <w:rPr>
          <w:rFonts w:hint="eastAsia" w:cs="宋体"/>
          <w:sz w:val="24"/>
          <w:szCs w:val="24"/>
          <w:highlight w:val="none"/>
          <w:lang w:val="en-US" w:eastAsia="zh-CN"/>
        </w:rPr>
        <w:t>供应商</w:t>
      </w:r>
      <w:r>
        <w:rPr>
          <w:rFonts w:hint="eastAsia" w:ascii="宋体" w:hAnsi="宋体" w:eastAsia="宋体" w:cs="宋体"/>
          <w:sz w:val="24"/>
          <w:szCs w:val="24"/>
          <w:highlight w:val="none"/>
          <w:lang w:val="en-US" w:eastAsia="zh-CN"/>
        </w:rPr>
        <w:t>、政府采购监管部门、采购代理机构、国库支付执行机构各一份，自双方签订之日起生效。</w:t>
      </w:r>
    </w:p>
    <w:p w14:paraId="3C25EE0C">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16.合同未尽事宜，双方另行签订补充协议，补充协议是合同的组成部分。</w:t>
      </w:r>
    </w:p>
    <w:p w14:paraId="06908051">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textAlignment w:val="auto"/>
        <w:rPr>
          <w:rFonts w:hint="eastAsia" w:ascii="宋体" w:hAnsi="宋体" w:eastAsia="宋体" w:cs="宋体"/>
          <w:sz w:val="24"/>
          <w:szCs w:val="24"/>
          <w:highlight w:val="none"/>
          <w:lang w:val="en-US"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3F3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50" w:type="dxa"/>
          </w:tcPr>
          <w:p w14:paraId="1B9AF61E">
            <w:pPr>
              <w:keepNext w:val="0"/>
              <w:keepLines w:val="0"/>
              <w:pageBreakBefore w:val="0"/>
              <w:widowControl w:val="0"/>
              <w:kinsoku/>
              <w:wordWrap/>
              <w:overflowPunct/>
              <w:topLinePunct w:val="0"/>
              <w:bidi w:val="0"/>
              <w:spacing w:line="360" w:lineRule="auto"/>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甲方：                      （盖章）</w:t>
            </w:r>
          </w:p>
        </w:tc>
        <w:tc>
          <w:tcPr>
            <w:tcW w:w="4250" w:type="dxa"/>
            <w:vAlign w:val="top"/>
          </w:tcPr>
          <w:p w14:paraId="314ACBDB">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乙方：                      （盖章）</w:t>
            </w:r>
          </w:p>
        </w:tc>
      </w:tr>
      <w:tr w14:paraId="4C06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50" w:type="dxa"/>
          </w:tcPr>
          <w:p w14:paraId="02094842">
            <w:pPr>
              <w:keepNext w:val="0"/>
              <w:keepLines w:val="0"/>
              <w:pageBreakBefore w:val="0"/>
              <w:widowControl w:val="0"/>
              <w:kinsoku/>
              <w:wordWrap/>
              <w:overflowPunct/>
              <w:topLinePunct w:val="0"/>
              <w:bidi w:val="0"/>
              <w:spacing w:line="360" w:lineRule="auto"/>
              <w:textAlignment w:val="auto"/>
              <w:rPr>
                <w:rFonts w:hint="eastAsia"/>
                <w:highlight w:val="none"/>
                <w:lang w:val="en-US" w:eastAsia="zh-CN"/>
              </w:rPr>
            </w:pPr>
            <w:r>
              <w:rPr>
                <w:rFonts w:hint="eastAsia"/>
                <w:sz w:val="24"/>
                <w:szCs w:val="24"/>
                <w:highlight w:val="none"/>
                <w:vertAlign w:val="baseline"/>
                <w:lang w:val="en-US" w:eastAsia="zh-CN"/>
              </w:rPr>
              <w:t>法定代表人：（签字或盖章）</w:t>
            </w:r>
          </w:p>
        </w:tc>
        <w:tc>
          <w:tcPr>
            <w:tcW w:w="4250" w:type="dxa"/>
            <w:vAlign w:val="top"/>
          </w:tcPr>
          <w:p w14:paraId="2B251BE2">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法定代表人：（签字或盖章）</w:t>
            </w:r>
          </w:p>
        </w:tc>
      </w:tr>
      <w:tr w14:paraId="0D97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50" w:type="dxa"/>
          </w:tcPr>
          <w:p w14:paraId="749822E9">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委托代理人：（签字或盖章）</w:t>
            </w:r>
          </w:p>
        </w:tc>
        <w:tc>
          <w:tcPr>
            <w:tcW w:w="4250" w:type="dxa"/>
            <w:vAlign w:val="top"/>
          </w:tcPr>
          <w:p w14:paraId="5F598B61">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委托代理人：（签字或盖章）</w:t>
            </w:r>
          </w:p>
        </w:tc>
      </w:tr>
      <w:tr w14:paraId="6861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50" w:type="dxa"/>
          </w:tcPr>
          <w:p w14:paraId="0F47B3BA">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开户银行：</w:t>
            </w:r>
          </w:p>
        </w:tc>
        <w:tc>
          <w:tcPr>
            <w:tcW w:w="4250" w:type="dxa"/>
            <w:vAlign w:val="top"/>
          </w:tcPr>
          <w:p w14:paraId="671EDFCB">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开户银行：</w:t>
            </w:r>
          </w:p>
        </w:tc>
      </w:tr>
      <w:tr w14:paraId="3945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50" w:type="dxa"/>
          </w:tcPr>
          <w:p w14:paraId="700770F4">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账号：</w:t>
            </w:r>
          </w:p>
        </w:tc>
        <w:tc>
          <w:tcPr>
            <w:tcW w:w="4250" w:type="dxa"/>
            <w:vAlign w:val="top"/>
          </w:tcPr>
          <w:p w14:paraId="12E0B5F8">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账号：</w:t>
            </w:r>
          </w:p>
        </w:tc>
      </w:tr>
      <w:tr w14:paraId="5E42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50" w:type="dxa"/>
          </w:tcPr>
          <w:p w14:paraId="4F842448">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地址：</w:t>
            </w:r>
          </w:p>
        </w:tc>
        <w:tc>
          <w:tcPr>
            <w:tcW w:w="4250" w:type="dxa"/>
            <w:vAlign w:val="top"/>
          </w:tcPr>
          <w:p w14:paraId="1154B75C">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地址：</w:t>
            </w:r>
          </w:p>
        </w:tc>
      </w:tr>
      <w:tr w14:paraId="59F0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4250" w:type="dxa"/>
          </w:tcPr>
          <w:p w14:paraId="33BCFBAB">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联系电话：</w:t>
            </w:r>
          </w:p>
        </w:tc>
        <w:tc>
          <w:tcPr>
            <w:tcW w:w="4250" w:type="dxa"/>
            <w:vAlign w:val="top"/>
          </w:tcPr>
          <w:p w14:paraId="0F366BBB">
            <w:pPr>
              <w:keepNext w:val="0"/>
              <w:keepLines w:val="0"/>
              <w:pageBreakBefore w:val="0"/>
              <w:widowControl w:val="0"/>
              <w:kinsoku/>
              <w:wordWrap/>
              <w:overflowPunct/>
              <w:topLinePunct w:val="0"/>
              <w:bidi w:val="0"/>
              <w:spacing w:line="360" w:lineRule="auto"/>
              <w:textAlignment w:val="auto"/>
              <w:rPr>
                <w:rFonts w:hint="eastAsia"/>
                <w:sz w:val="24"/>
                <w:szCs w:val="24"/>
                <w:highlight w:val="none"/>
                <w:vertAlign w:val="baseline"/>
                <w:lang w:val="en-US" w:eastAsia="zh-CN"/>
              </w:rPr>
            </w:pPr>
            <w:r>
              <w:rPr>
                <w:rFonts w:hint="eastAsia"/>
                <w:sz w:val="24"/>
                <w:szCs w:val="24"/>
                <w:highlight w:val="none"/>
                <w:vertAlign w:val="baseline"/>
                <w:lang w:val="en-US" w:eastAsia="zh-CN"/>
              </w:rPr>
              <w:t>联系电话：</w:t>
            </w:r>
          </w:p>
        </w:tc>
      </w:tr>
    </w:tbl>
    <w:p w14:paraId="5F7ED815">
      <w:pPr>
        <w:keepNext w:val="0"/>
        <w:keepLines w:val="0"/>
        <w:pageBreakBefore w:val="0"/>
        <w:widowControl w:val="0"/>
        <w:kinsoku/>
        <w:wordWrap/>
        <w:overflowPunct/>
        <w:topLinePunct w:val="0"/>
        <w:bidi w:val="0"/>
        <w:spacing w:line="360" w:lineRule="auto"/>
        <w:textAlignment w:val="auto"/>
        <w:rPr>
          <w:rFonts w:hint="eastAsia"/>
          <w:highlight w:val="none"/>
          <w:lang w:val="en-US" w:eastAsia="zh-CN"/>
        </w:rPr>
      </w:pPr>
    </w:p>
    <w:p w14:paraId="088BCC1B">
      <w:pPr>
        <w:pStyle w:val="39"/>
        <w:keepNext w:val="0"/>
        <w:keepLines w:val="0"/>
        <w:pageBreakBefore w:val="0"/>
        <w:widowControl w:val="0"/>
        <w:tabs>
          <w:tab w:val="left" w:pos="343"/>
        </w:tabs>
        <w:kinsoku/>
        <w:wordWrap/>
        <w:overflowPunct/>
        <w:topLinePunct w:val="0"/>
        <w:bidi w:val="0"/>
        <w:adjustRightInd w:val="0"/>
        <w:snapToGrid w:val="0"/>
        <w:spacing w:line="360" w:lineRule="auto"/>
        <w:ind w:firstLine="480"/>
        <w:jc w:val="righ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签订时间：    年    月    日</w:t>
      </w:r>
    </w:p>
    <w:p w14:paraId="4A362007">
      <w:pPr>
        <w:rPr>
          <w:rFonts w:hint="eastAsia"/>
          <w:highlight w:val="none"/>
          <w:lang w:val="en-US" w:eastAsia="zh-CN"/>
        </w:rPr>
      </w:pPr>
      <w:r>
        <w:rPr>
          <w:rFonts w:hint="eastAsia"/>
          <w:highlight w:val="none"/>
          <w:lang w:val="en-US" w:eastAsia="zh-CN"/>
        </w:rPr>
        <w:br w:type="page"/>
      </w:r>
      <w:bookmarkStart w:id="486" w:name="_Toc17817"/>
    </w:p>
    <w:p w14:paraId="610D6E4B">
      <w:pPr>
        <w:pStyle w:val="17"/>
        <w:pageBreakBefore/>
        <w:widowControl/>
        <w:kinsoku/>
        <w:wordWrap/>
        <w:overflowPunct/>
        <w:bidi w:val="0"/>
        <w:spacing w:line="360" w:lineRule="auto"/>
        <w:jc w:val="center"/>
        <w:outlineLvl w:val="0"/>
        <w:rPr>
          <w:rFonts w:hint="eastAsia" w:ascii="宋体" w:hAnsi="宋体" w:eastAsia="宋体" w:cs="宋体"/>
          <w:sz w:val="32"/>
          <w:szCs w:val="32"/>
          <w:highlight w:val="none"/>
          <w:lang w:val="en-US" w:eastAsia="zh-CN"/>
        </w:rPr>
      </w:pPr>
      <w:bookmarkStart w:id="487" w:name="_Toc32123"/>
      <w:r>
        <w:rPr>
          <w:rFonts w:hint="eastAsia" w:ascii="宋体" w:hAnsi="宋体" w:eastAsia="宋体" w:cs="宋体"/>
          <w:sz w:val="32"/>
          <w:szCs w:val="32"/>
          <w:highlight w:val="none"/>
          <w:lang w:val="en-US" w:eastAsia="zh-CN"/>
        </w:rPr>
        <w:t>第</w:t>
      </w:r>
      <w:r>
        <w:rPr>
          <w:rFonts w:hint="eastAsia" w:cs="宋体"/>
          <w:sz w:val="32"/>
          <w:szCs w:val="32"/>
          <w:highlight w:val="none"/>
          <w:lang w:val="en-US" w:eastAsia="zh-CN"/>
        </w:rPr>
        <w:t>六</w:t>
      </w:r>
      <w:r>
        <w:rPr>
          <w:rFonts w:hint="eastAsia" w:ascii="宋体" w:hAnsi="宋体" w:eastAsia="宋体" w:cs="宋体"/>
          <w:sz w:val="32"/>
          <w:szCs w:val="32"/>
          <w:highlight w:val="none"/>
          <w:lang w:val="en-US" w:eastAsia="zh-CN"/>
        </w:rPr>
        <w:t>章  投标文件格式</w:t>
      </w:r>
      <w:bookmarkEnd w:id="485"/>
      <w:bookmarkEnd w:id="486"/>
      <w:bookmarkEnd w:id="487"/>
    </w:p>
    <w:p w14:paraId="4A558894">
      <w:pPr>
        <w:pStyle w:val="40"/>
        <w:widowControl/>
        <w:tabs>
          <w:tab w:val="left" w:pos="8440"/>
        </w:tabs>
        <w:kinsoku/>
        <w:wordWrap/>
        <w:overflowPunct/>
        <w:bidi w:val="0"/>
        <w:spacing w:line="360" w:lineRule="auto"/>
        <w:ind w:left="0" w:firstLine="0"/>
        <w:rPr>
          <w:rFonts w:hint="eastAsia" w:ascii="宋体" w:hAnsi="宋体" w:eastAsia="宋体" w:cs="宋体"/>
          <w:highlight w:val="none"/>
          <w:lang w:val="en-US"/>
        </w:rPr>
      </w:pPr>
      <w:r>
        <w:rPr>
          <w:rFonts w:hint="eastAsia" w:ascii="宋体" w:hAnsi="宋体" w:eastAsia="宋体" w:cs="宋体"/>
          <w:highlight w:val="none"/>
          <w:lang w:val="en-US"/>
        </w:rPr>
        <w:tab/>
      </w:r>
    </w:p>
    <w:p w14:paraId="68AB14E1">
      <w:pPr>
        <w:pStyle w:val="14"/>
        <w:widowControl/>
        <w:kinsoku/>
        <w:wordWrap/>
        <w:overflowPunct/>
        <w:bidi w:val="0"/>
        <w:spacing w:line="360" w:lineRule="auto"/>
        <w:jc w:val="center"/>
        <w:rPr>
          <w:rFonts w:hAnsi="宋体" w:eastAsia="宋体" w:cs="宋体"/>
          <w:sz w:val="36"/>
          <w:szCs w:val="36"/>
          <w:highlight w:val="none"/>
          <w:lang w:val="en-US"/>
        </w:rPr>
      </w:pPr>
    </w:p>
    <w:p w14:paraId="628C4A6E">
      <w:pPr>
        <w:pStyle w:val="14"/>
        <w:widowControl/>
        <w:kinsoku/>
        <w:wordWrap/>
        <w:overflowPunct/>
        <w:bidi w:val="0"/>
        <w:spacing w:line="360" w:lineRule="auto"/>
        <w:jc w:val="center"/>
        <w:rPr>
          <w:rFonts w:hint="default" w:hAnsi="宋体" w:eastAsia="宋体" w:cs="宋体"/>
          <w:b/>
          <w:bCs w:val="0"/>
          <w:spacing w:val="-12"/>
          <w:sz w:val="32"/>
          <w:szCs w:val="32"/>
          <w:highlight w:val="none"/>
          <w:u w:val="single"/>
          <w:lang w:val="en-US"/>
        </w:rPr>
      </w:pPr>
      <w:r>
        <w:rPr>
          <w:rFonts w:hint="eastAsia" w:hAnsi="宋体" w:eastAsia="宋体" w:cs="宋体"/>
          <w:b/>
          <w:bCs/>
          <w:spacing w:val="-12"/>
          <w:sz w:val="32"/>
          <w:szCs w:val="32"/>
          <w:highlight w:val="none"/>
          <w:u w:val="single"/>
          <w:lang w:val="en-US" w:eastAsia="zh-CN"/>
        </w:rPr>
        <w:t xml:space="preserve">                </w:t>
      </w:r>
      <w:r>
        <w:rPr>
          <w:rFonts w:hAnsi="宋体" w:eastAsia="宋体" w:cs="宋体"/>
          <w:b/>
          <w:bCs/>
          <w:spacing w:val="-12"/>
          <w:sz w:val="32"/>
          <w:szCs w:val="32"/>
          <w:highlight w:val="none"/>
          <w:u w:val="single"/>
          <w:lang w:eastAsia="zh-CN"/>
        </w:rPr>
        <w:t>（</w:t>
      </w:r>
      <w:r>
        <w:rPr>
          <w:rFonts w:hAnsi="宋体" w:eastAsia="宋体" w:cs="宋体"/>
          <w:b/>
          <w:bCs w:val="0"/>
          <w:spacing w:val="-12"/>
          <w:sz w:val="32"/>
          <w:szCs w:val="32"/>
          <w:highlight w:val="none"/>
          <w:lang w:eastAsia="zh-CN"/>
        </w:rPr>
        <w:t>项目名称）</w:t>
      </w:r>
      <w:r>
        <w:rPr>
          <w:rFonts w:hint="eastAsia" w:hAnsi="宋体" w:eastAsia="宋体" w:cs="宋体"/>
          <w:b/>
          <w:bCs w:val="0"/>
          <w:spacing w:val="-12"/>
          <w:sz w:val="32"/>
          <w:szCs w:val="32"/>
          <w:highlight w:val="none"/>
          <w:u w:val="single"/>
          <w:lang w:val="en-US" w:eastAsia="zh-CN"/>
        </w:rPr>
        <w:t xml:space="preserve">    标段</w:t>
      </w:r>
    </w:p>
    <w:p w14:paraId="62E3570B">
      <w:pPr>
        <w:pStyle w:val="14"/>
        <w:widowControl/>
        <w:kinsoku/>
        <w:wordWrap/>
        <w:overflowPunct/>
        <w:bidi w:val="0"/>
        <w:spacing w:line="360" w:lineRule="auto"/>
        <w:ind w:left="0" w:firstLine="643"/>
        <w:rPr>
          <w:rFonts w:hAnsi="宋体" w:eastAsia="宋体" w:cs="宋体"/>
          <w:b/>
          <w:bCs/>
          <w:sz w:val="32"/>
          <w:szCs w:val="20"/>
          <w:highlight w:val="none"/>
          <w:u w:val="single"/>
          <w:lang w:val="en-US"/>
        </w:rPr>
      </w:pPr>
    </w:p>
    <w:p w14:paraId="00EC3B12">
      <w:pPr>
        <w:pStyle w:val="14"/>
        <w:widowControl/>
        <w:kinsoku/>
        <w:wordWrap/>
        <w:overflowPunct/>
        <w:bidi w:val="0"/>
        <w:spacing w:line="360" w:lineRule="auto"/>
        <w:ind w:left="0" w:firstLine="643"/>
        <w:rPr>
          <w:rFonts w:hAnsi="宋体" w:eastAsia="宋体" w:cs="宋体"/>
          <w:b/>
          <w:bCs/>
          <w:sz w:val="32"/>
          <w:szCs w:val="20"/>
          <w:highlight w:val="none"/>
          <w:u w:val="single"/>
          <w:lang w:val="en-US"/>
        </w:rPr>
      </w:pPr>
    </w:p>
    <w:p w14:paraId="3CACB194">
      <w:pPr>
        <w:pStyle w:val="14"/>
        <w:widowControl/>
        <w:kinsoku/>
        <w:wordWrap/>
        <w:overflowPunct/>
        <w:bidi w:val="0"/>
        <w:spacing w:line="360" w:lineRule="auto"/>
        <w:jc w:val="center"/>
        <w:rPr>
          <w:rFonts w:hAnsi="宋体" w:eastAsia="宋体" w:cs="宋体"/>
          <w:b/>
          <w:bCs/>
          <w:szCs w:val="28"/>
          <w:highlight w:val="none"/>
          <w:lang w:val="en-US"/>
        </w:rPr>
      </w:pPr>
      <w:r>
        <w:rPr>
          <w:rFonts w:hAnsi="宋体" w:eastAsia="宋体" w:cs="宋体"/>
          <w:b/>
          <w:bCs/>
          <w:sz w:val="72"/>
          <w:szCs w:val="72"/>
          <w:highlight w:val="none"/>
          <w:lang w:eastAsia="zh-CN"/>
        </w:rPr>
        <w:t>投 标 文 件</w:t>
      </w:r>
    </w:p>
    <w:p w14:paraId="1ED388FE">
      <w:pPr>
        <w:pStyle w:val="14"/>
        <w:widowControl/>
        <w:kinsoku/>
        <w:wordWrap/>
        <w:overflowPunct/>
        <w:bidi w:val="0"/>
        <w:spacing w:line="360" w:lineRule="auto"/>
        <w:ind w:left="0" w:firstLine="2692" w:firstLineChars="894"/>
        <w:jc w:val="left"/>
        <w:rPr>
          <w:rFonts w:hAnsi="宋体" w:eastAsia="宋体" w:cs="宋体"/>
          <w:b/>
          <w:bCs/>
          <w:sz w:val="30"/>
          <w:szCs w:val="30"/>
          <w:highlight w:val="none"/>
          <w:lang w:val="en-US"/>
        </w:rPr>
      </w:pPr>
      <w:r>
        <w:rPr>
          <w:rFonts w:hAnsi="宋体" w:eastAsia="宋体" w:cs="宋体"/>
          <w:b/>
          <w:bCs/>
          <w:sz w:val="30"/>
          <w:szCs w:val="30"/>
          <w:highlight w:val="none"/>
          <w:lang w:eastAsia="zh-CN"/>
        </w:rPr>
        <w:t>项目编号：</w:t>
      </w:r>
    </w:p>
    <w:p w14:paraId="58012AEC">
      <w:pPr>
        <w:keepNext w:val="0"/>
        <w:keepLines w:val="0"/>
        <w:widowControl w:val="0"/>
        <w:suppressLineNumbers w:val="0"/>
        <w:kinsoku/>
        <w:wordWrap/>
        <w:overflowPunct/>
        <w:bidi w:val="0"/>
        <w:spacing w:before="0" w:beforeAutospacing="0" w:after="0" w:afterAutospacing="0" w:line="360" w:lineRule="auto"/>
        <w:ind w:left="0" w:right="0" w:firstLine="614" w:firstLineChars="192"/>
        <w:jc w:val="both"/>
        <w:rPr>
          <w:rFonts w:hint="eastAsia" w:ascii="宋体" w:hAnsi="宋体" w:eastAsia="宋体" w:cs="宋体"/>
          <w:sz w:val="32"/>
          <w:szCs w:val="24"/>
          <w:highlight w:val="none"/>
          <w:lang w:val="en-US"/>
        </w:rPr>
      </w:pPr>
    </w:p>
    <w:p w14:paraId="1D3EB60C">
      <w:pPr>
        <w:keepNext w:val="0"/>
        <w:keepLines w:val="0"/>
        <w:widowControl w:val="0"/>
        <w:suppressLineNumbers w:val="0"/>
        <w:kinsoku/>
        <w:wordWrap/>
        <w:overflowPunct/>
        <w:bidi w:val="0"/>
        <w:spacing w:before="0" w:beforeAutospacing="0" w:after="0" w:afterAutospacing="0" w:line="360" w:lineRule="auto"/>
        <w:ind w:left="0" w:right="0" w:firstLine="614" w:firstLineChars="192"/>
        <w:jc w:val="both"/>
        <w:rPr>
          <w:rFonts w:hint="eastAsia" w:ascii="宋体" w:hAnsi="宋体" w:eastAsia="宋体" w:cs="宋体"/>
          <w:sz w:val="32"/>
          <w:szCs w:val="22"/>
          <w:highlight w:val="none"/>
          <w:lang w:val="en-US"/>
        </w:rPr>
      </w:pPr>
    </w:p>
    <w:p w14:paraId="5990EFD3">
      <w:pPr>
        <w:keepNext w:val="0"/>
        <w:keepLines w:val="0"/>
        <w:widowControl w:val="0"/>
        <w:suppressLineNumbers w:val="0"/>
        <w:kinsoku/>
        <w:wordWrap/>
        <w:overflowPunct/>
        <w:bidi w:val="0"/>
        <w:spacing w:before="0" w:beforeAutospacing="0" w:after="0" w:afterAutospacing="0" w:line="360" w:lineRule="auto"/>
        <w:ind w:left="0" w:right="0"/>
        <w:jc w:val="both"/>
        <w:rPr>
          <w:rFonts w:hint="eastAsia" w:ascii="宋体" w:hAnsi="宋体" w:eastAsia="宋体" w:cs="宋体"/>
          <w:sz w:val="32"/>
          <w:szCs w:val="22"/>
          <w:highlight w:val="none"/>
          <w:lang w:val="en-US"/>
        </w:rPr>
      </w:pPr>
    </w:p>
    <w:p w14:paraId="2A090957">
      <w:pPr>
        <w:keepNext w:val="0"/>
        <w:keepLines w:val="0"/>
        <w:widowControl w:val="0"/>
        <w:suppressLineNumbers w:val="0"/>
        <w:kinsoku/>
        <w:wordWrap/>
        <w:overflowPunct/>
        <w:bidi w:val="0"/>
        <w:spacing w:before="0" w:beforeAutospacing="0" w:after="0" w:afterAutospacing="0" w:line="360" w:lineRule="auto"/>
        <w:ind w:left="0" w:right="0" w:firstLine="1089" w:firstLineChars="389"/>
        <w:jc w:val="both"/>
        <w:rPr>
          <w:rFonts w:hint="eastAsia" w:ascii="宋体" w:hAnsi="宋体" w:eastAsia="宋体" w:cs="宋体"/>
          <w:sz w:val="28"/>
          <w:szCs w:val="22"/>
          <w:highlight w:val="none"/>
          <w:lang w:val="en-US"/>
        </w:rPr>
      </w:pPr>
    </w:p>
    <w:p w14:paraId="53D0D6FB">
      <w:pPr>
        <w:pStyle w:val="14"/>
        <w:widowControl/>
        <w:kinsoku/>
        <w:wordWrap/>
        <w:overflowPunct/>
        <w:bidi w:val="0"/>
        <w:spacing w:line="360" w:lineRule="auto"/>
        <w:ind w:left="0" w:firstLine="1094" w:firstLineChars="454"/>
        <w:rPr>
          <w:rFonts w:hAnsi="宋体" w:eastAsia="宋体" w:cs="宋体"/>
          <w:b/>
          <w:bCs/>
          <w:sz w:val="24"/>
          <w:szCs w:val="24"/>
          <w:highlight w:val="none"/>
          <w:lang w:val="en-US"/>
        </w:rPr>
      </w:pPr>
      <w:r>
        <w:rPr>
          <w:rFonts w:hint="eastAsia" w:hAnsi="宋体" w:eastAsia="宋体" w:cs="宋体"/>
          <w:b/>
          <w:bCs/>
          <w:sz w:val="24"/>
          <w:szCs w:val="24"/>
          <w:highlight w:val="none"/>
          <w:lang w:eastAsia="zh-CN"/>
        </w:rPr>
        <w:t>投标供应商</w:t>
      </w:r>
      <w:r>
        <w:rPr>
          <w:rFonts w:hAnsi="宋体" w:eastAsia="宋体" w:cs="宋体"/>
          <w:b/>
          <w:bCs/>
          <w:sz w:val="24"/>
          <w:szCs w:val="24"/>
          <w:highlight w:val="none"/>
          <w:lang w:eastAsia="zh-CN"/>
        </w:rPr>
        <w:t>（盖章）：</w:t>
      </w:r>
      <w:r>
        <w:rPr>
          <w:rFonts w:hAnsi="宋体" w:eastAsia="宋体" w:cs="宋体"/>
          <w:b/>
          <w:bCs/>
          <w:sz w:val="24"/>
          <w:szCs w:val="24"/>
          <w:highlight w:val="none"/>
          <w:u w:val="single"/>
          <w:lang w:val="en-US"/>
        </w:rPr>
        <w:t xml:space="preserve">                           </w:t>
      </w:r>
    </w:p>
    <w:p w14:paraId="7AB8223B">
      <w:pPr>
        <w:pStyle w:val="14"/>
        <w:widowControl/>
        <w:kinsoku/>
        <w:wordWrap/>
        <w:overflowPunct/>
        <w:bidi w:val="0"/>
        <w:spacing w:line="360" w:lineRule="auto"/>
        <w:ind w:left="0" w:firstLine="1094" w:firstLineChars="454"/>
        <w:rPr>
          <w:rFonts w:hAnsi="宋体" w:eastAsia="宋体" w:cs="宋体"/>
          <w:b/>
          <w:bCs/>
          <w:sz w:val="24"/>
          <w:szCs w:val="24"/>
          <w:highlight w:val="none"/>
          <w:u w:val="single"/>
          <w:lang w:val="en-US"/>
        </w:rPr>
      </w:pPr>
      <w:r>
        <w:rPr>
          <w:rFonts w:hAnsi="宋体" w:eastAsia="宋体" w:cs="宋体"/>
          <w:b/>
          <w:bCs/>
          <w:sz w:val="24"/>
          <w:szCs w:val="24"/>
          <w:highlight w:val="none"/>
          <w:lang w:eastAsia="zh-CN"/>
        </w:rPr>
        <w:t>法定代表人（签字或盖章）：</w:t>
      </w:r>
      <w:r>
        <w:rPr>
          <w:rFonts w:hAnsi="宋体" w:eastAsia="宋体" w:cs="宋体"/>
          <w:b/>
          <w:bCs/>
          <w:sz w:val="24"/>
          <w:szCs w:val="24"/>
          <w:highlight w:val="none"/>
          <w:u w:val="single"/>
          <w:lang w:val="en-US"/>
        </w:rPr>
        <w:t xml:space="preserve">                 </w:t>
      </w:r>
    </w:p>
    <w:p w14:paraId="6E13307C">
      <w:pPr>
        <w:pStyle w:val="13"/>
        <w:widowControl/>
        <w:kinsoku/>
        <w:wordWrap/>
        <w:overflowPunct/>
        <w:bidi w:val="0"/>
        <w:spacing w:before="0" w:beforeAutospacing="0" w:after="0" w:afterAutospacing="0" w:line="360" w:lineRule="auto"/>
        <w:ind w:left="0" w:leftChars="0" w:right="0" w:firstLine="1120" w:firstLineChars="465"/>
        <w:rPr>
          <w:rFonts w:hint="eastAsia" w:ascii="宋体" w:hAnsi="宋体" w:eastAsia="宋体" w:cs="宋体"/>
          <w:sz w:val="24"/>
          <w:szCs w:val="24"/>
          <w:highlight w:val="none"/>
          <w:lang w:val="en-US"/>
        </w:rPr>
      </w:pPr>
      <w:r>
        <w:rPr>
          <w:rFonts w:hint="eastAsia" w:ascii="宋体" w:hAnsi="宋体" w:eastAsia="宋体" w:cs="宋体"/>
          <w:b/>
          <w:bCs/>
          <w:sz w:val="24"/>
          <w:szCs w:val="24"/>
          <w:highlight w:val="none"/>
          <w:lang w:eastAsia="zh-CN"/>
        </w:rPr>
        <w:t>日</w:t>
      </w:r>
      <w:r>
        <w:rPr>
          <w:rFonts w:hint="eastAsia" w:ascii="宋体" w:hAnsi="宋体" w:eastAsia="宋体" w:cs="宋体"/>
          <w:b/>
          <w:bCs/>
          <w:sz w:val="24"/>
          <w:szCs w:val="24"/>
          <w:highlight w:val="none"/>
          <w:lang w:val="en-US"/>
        </w:rPr>
        <w:t xml:space="preserve">  </w:t>
      </w:r>
      <w:r>
        <w:rPr>
          <w:rFonts w:hint="eastAsia" w:ascii="宋体" w:hAnsi="宋体" w:eastAsia="宋体" w:cs="宋体"/>
          <w:b/>
          <w:bCs/>
          <w:sz w:val="24"/>
          <w:szCs w:val="24"/>
          <w:highlight w:val="none"/>
          <w:lang w:eastAsia="zh-CN"/>
        </w:rPr>
        <w:t xml:space="preserve">期： </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eastAsia="zh-CN"/>
        </w:rPr>
        <w:t>日</w:t>
      </w:r>
    </w:p>
    <w:p w14:paraId="6873F1AF">
      <w:pPr>
        <w:kinsoku/>
        <w:overflowPunct/>
        <w:bidi w:val="0"/>
        <w:spacing w:line="360" w:lineRule="auto"/>
        <w:rPr>
          <w:rFonts w:hint="eastAsia" w:ascii="宋体" w:hAnsi="宋体" w:eastAsia="宋体" w:cs="Times New Roman"/>
          <w:b/>
          <w:bCs w:val="0"/>
          <w:kern w:val="2"/>
          <w:sz w:val="48"/>
          <w:szCs w:val="48"/>
          <w:highlight w:val="none"/>
          <w:lang w:val="en-US" w:eastAsia="zh-CN" w:bidi="ar"/>
        </w:rPr>
      </w:pPr>
      <w:r>
        <w:rPr>
          <w:rFonts w:hint="eastAsia" w:ascii="宋体" w:hAnsi="宋体" w:eastAsia="宋体" w:cs="Times New Roman"/>
          <w:b/>
          <w:bCs w:val="0"/>
          <w:kern w:val="2"/>
          <w:sz w:val="48"/>
          <w:szCs w:val="48"/>
          <w:highlight w:val="none"/>
          <w:lang w:val="en-US" w:eastAsia="zh-CN" w:bidi="ar"/>
        </w:rPr>
        <w:br w:type="page"/>
      </w:r>
    </w:p>
    <w:p w14:paraId="46BBD683">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b/>
          <w:bCs w:val="0"/>
          <w:sz w:val="32"/>
          <w:szCs w:val="32"/>
          <w:highlight w:val="none"/>
          <w:lang w:val="en-US"/>
        </w:rPr>
      </w:pPr>
      <w:r>
        <w:rPr>
          <w:rFonts w:hint="eastAsia" w:ascii="宋体" w:hAnsi="宋体" w:eastAsia="宋体" w:cs="宋体"/>
          <w:b/>
          <w:bCs w:val="0"/>
          <w:kern w:val="2"/>
          <w:sz w:val="32"/>
          <w:szCs w:val="32"/>
          <w:highlight w:val="none"/>
          <w:lang w:val="en-US" w:eastAsia="zh-CN" w:bidi="ar"/>
        </w:rPr>
        <w:t>目  录</w:t>
      </w:r>
    </w:p>
    <w:p w14:paraId="37BB5458">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一、投标函</w:t>
      </w:r>
    </w:p>
    <w:p w14:paraId="2C3956E5">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二、投标报价</w:t>
      </w:r>
    </w:p>
    <w:p w14:paraId="5AD033AD">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三、法定代表人身份证明</w:t>
      </w:r>
    </w:p>
    <w:p w14:paraId="0D26C630">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四、授权委托书</w:t>
      </w:r>
    </w:p>
    <w:p w14:paraId="38236EE0">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五、业绩一览表及证明材料</w:t>
      </w:r>
    </w:p>
    <w:p w14:paraId="15830B5B">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六、投标承诺函</w:t>
      </w:r>
    </w:p>
    <w:p w14:paraId="2DB172EC">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七、供应商资格审查资料</w:t>
      </w:r>
    </w:p>
    <w:p w14:paraId="343CE021">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八、技术标</w:t>
      </w:r>
    </w:p>
    <w:p w14:paraId="4E326F62">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九、商务标</w:t>
      </w:r>
    </w:p>
    <w:p w14:paraId="59DB5D1F">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十、供应商认为可提交的其他资料</w:t>
      </w:r>
    </w:p>
    <w:p w14:paraId="6894F977">
      <w:pPr>
        <w:kinsoku/>
        <w:overflowPunct/>
        <w:bidi w:val="0"/>
        <w:spacing w:line="360" w:lineRule="auto"/>
        <w:rPr>
          <w:rFonts w:hint="eastAsia" w:ascii="宋体" w:hAnsi="宋体" w:eastAsia="宋体" w:cs="宋体"/>
          <w:sz w:val="24"/>
          <w:szCs w:val="22"/>
          <w:highlight w:val="none"/>
          <w:lang w:val="en-US"/>
        </w:rPr>
      </w:pPr>
      <w:r>
        <w:rPr>
          <w:rFonts w:hint="eastAsia" w:ascii="宋体" w:hAnsi="宋体" w:eastAsia="宋体" w:cs="宋体"/>
          <w:sz w:val="24"/>
          <w:szCs w:val="22"/>
          <w:highlight w:val="none"/>
          <w:lang w:val="en-US"/>
        </w:rPr>
        <w:br w:type="page"/>
      </w:r>
    </w:p>
    <w:p w14:paraId="3C2480EA">
      <w:pPr>
        <w:pStyle w:val="3"/>
        <w:keepNext w:val="0"/>
        <w:keepLines w:val="0"/>
        <w:pageBreakBefore/>
        <w:widowControl w:val="0"/>
        <w:numPr>
          <w:ilvl w:val="1"/>
          <w:numId w:val="0"/>
        </w:numPr>
        <w:suppressLineNumbers w:val="0"/>
        <w:kinsoku/>
        <w:wordWrap/>
        <w:overflowPunct/>
        <w:bidi w:val="0"/>
        <w:spacing w:before="0" w:beforeAutospacing="0" w:after="0" w:afterAutospacing="0" w:line="360" w:lineRule="auto"/>
        <w:ind w:left="0" w:right="0" w:firstLine="0"/>
        <w:jc w:val="center"/>
        <w:rPr>
          <w:rFonts w:hint="eastAsia" w:ascii="宋体" w:hAnsi="宋体" w:eastAsia="宋体" w:cs="宋体"/>
          <w:b/>
          <w:bCs/>
          <w:szCs w:val="28"/>
          <w:highlight w:val="none"/>
          <w:lang w:val="en-US"/>
        </w:rPr>
      </w:pPr>
      <w:bookmarkStart w:id="488" w:name="_Toc19275"/>
      <w:bookmarkStart w:id="489" w:name="_Toc223432389"/>
      <w:bookmarkStart w:id="490" w:name="_Toc171073044"/>
      <w:bookmarkStart w:id="491" w:name="_Toc171073209"/>
      <w:bookmarkStart w:id="492" w:name="_Toc169921409"/>
      <w:r>
        <w:rPr>
          <w:rFonts w:hint="eastAsia" w:ascii="宋体" w:hAnsi="宋体" w:eastAsia="宋体" w:cs="宋体"/>
          <w:b/>
          <w:bCs/>
          <w:szCs w:val="28"/>
          <w:highlight w:val="none"/>
          <w:lang w:eastAsia="zh-CN"/>
        </w:rPr>
        <w:t>一、投标函</w:t>
      </w:r>
      <w:bookmarkEnd w:id="488"/>
    </w:p>
    <w:bookmarkEnd w:id="489"/>
    <w:bookmarkEnd w:id="490"/>
    <w:bookmarkEnd w:id="491"/>
    <w:bookmarkEnd w:id="492"/>
    <w:p w14:paraId="14872F6C">
      <w:pPr>
        <w:keepNext w:val="0"/>
        <w:keepLines w:val="0"/>
        <w:widowControl w:val="0"/>
        <w:suppressLineNumbers w:val="0"/>
        <w:kinsoku/>
        <w:wordWrap/>
        <w:overflowPunct/>
        <w:bidi w:val="0"/>
        <w:spacing w:before="0" w:beforeAutospacing="0" w:after="0" w:afterAutospacing="0" w:line="360" w:lineRule="auto"/>
        <w:ind w:left="0" w:right="0"/>
        <w:jc w:val="both"/>
        <w:rPr>
          <w:rFonts w:hint="eastAsia" w:ascii="宋体" w:hAnsi="宋体" w:eastAsia="宋体" w:cs="宋体"/>
          <w:sz w:val="24"/>
          <w:szCs w:val="22"/>
          <w:highlight w:val="none"/>
          <w:lang w:val="en-US"/>
        </w:rPr>
      </w:pPr>
      <w:bookmarkStart w:id="493" w:name="_Toc169921410"/>
      <w:bookmarkStart w:id="494" w:name="_Toc171073045"/>
      <w:bookmarkStart w:id="495" w:name="_Toc223432390"/>
      <w:bookmarkStart w:id="496" w:name="_Toc171073210"/>
      <w:r>
        <w:rPr>
          <w:rFonts w:hint="eastAsia" w:ascii="宋体" w:hAnsi="宋体" w:eastAsia="宋体" w:cs="宋体"/>
          <w:kern w:val="2"/>
          <w:sz w:val="24"/>
          <w:szCs w:val="22"/>
          <w:highlight w:val="none"/>
          <w:lang w:val="en-US" w:eastAsia="zh-CN" w:bidi="ar"/>
        </w:rPr>
        <w:t>致：</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（采购人名称）</w:t>
      </w:r>
    </w:p>
    <w:p w14:paraId="6CAF0E05">
      <w:pPr>
        <w:widowControl w:val="0"/>
        <w:kinsoku/>
        <w:wordWrap/>
        <w:overflowPunct/>
        <w:bidi w:val="0"/>
        <w:adjustRightInd/>
        <w:snapToGrid/>
        <w:spacing w:line="360" w:lineRule="auto"/>
        <w:ind w:lef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我们收到了 </w:t>
      </w:r>
      <w:r>
        <w:rPr>
          <w:rFonts w:hint="eastAsia" w:ascii="宋体" w:hAnsi="宋体" w:eastAsia="宋体" w:cs="宋体"/>
          <w:color w:val="auto"/>
          <w:sz w:val="22"/>
          <w:szCs w:val="22"/>
          <w:highlight w:val="none"/>
          <w:u w:val="single"/>
        </w:rPr>
        <w:t xml:space="preserve">    （项目名称）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eastAsia="zh-CN"/>
        </w:rPr>
        <w:t>标段）</w:t>
      </w:r>
      <w:r>
        <w:rPr>
          <w:rFonts w:hint="eastAsia" w:ascii="宋体" w:hAnsi="宋体" w:eastAsia="宋体" w:cs="宋体"/>
          <w:color w:val="auto"/>
          <w:sz w:val="22"/>
          <w:szCs w:val="22"/>
          <w:highlight w:val="none"/>
        </w:rPr>
        <w:t>的招标文件，经详细研究，我们决定参加该</w:t>
      </w:r>
      <w:r>
        <w:rPr>
          <w:rFonts w:hint="eastAsia" w:ascii="宋体" w:hAnsi="宋体" w:eastAsia="宋体" w:cs="宋体"/>
          <w:color w:val="auto"/>
          <w:sz w:val="22"/>
          <w:szCs w:val="22"/>
          <w:highlight w:val="none"/>
          <w:lang w:eastAsia="zh-CN"/>
        </w:rPr>
        <w:t>项目</w:t>
      </w:r>
      <w:r>
        <w:rPr>
          <w:rFonts w:hint="eastAsia" w:ascii="宋体" w:hAnsi="宋体" w:eastAsia="宋体" w:cs="宋体"/>
          <w:color w:val="auto"/>
          <w:sz w:val="22"/>
          <w:szCs w:val="22"/>
          <w:highlight w:val="none"/>
        </w:rPr>
        <w:t>投标活动并投标，我们郑重声明以下诸点并负法律责任。</w:t>
      </w:r>
    </w:p>
    <w:p w14:paraId="0027E7C4">
      <w:pPr>
        <w:numPr>
          <w:ilvl w:val="0"/>
          <w:numId w:val="0"/>
        </w:numPr>
        <w:kinsoku/>
        <w:wordWrap w:val="0"/>
        <w:overflowPunct/>
        <w:bidi w:val="0"/>
        <w:spacing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sz w:val="22"/>
          <w:szCs w:val="22"/>
          <w:highlight w:val="none"/>
        </w:rPr>
        <w:t>愿按照招标文件中的条款和要求，提供服务，报价为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人民币（小写）：</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元，</w:t>
      </w:r>
      <w:r>
        <w:rPr>
          <w:rFonts w:hint="eastAsia" w:ascii="宋体" w:hAnsi="宋体" w:eastAsia="宋体" w:cs="宋体"/>
          <w:color w:val="auto"/>
          <w:sz w:val="22"/>
          <w:szCs w:val="22"/>
          <w:highlight w:val="none"/>
        </w:rPr>
        <w:t>质量</w:t>
      </w:r>
      <w:r>
        <w:rPr>
          <w:rFonts w:hint="eastAsia" w:ascii="宋体" w:hAnsi="宋体" w:cs="宋体"/>
          <w:color w:val="auto"/>
          <w:sz w:val="22"/>
          <w:szCs w:val="22"/>
          <w:highlight w:val="none"/>
          <w:lang w:val="en-US" w:eastAsia="zh-CN"/>
        </w:rPr>
        <w:t>要求</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sz w:val="24"/>
          <w:szCs w:val="24"/>
          <w:highlight w:val="none"/>
          <w:shd w:val="clear" w:color="auto" w:fill="FFFFFF"/>
          <w:lang w:bidi="ar"/>
        </w:rPr>
        <w:t>合同履行期限（</w:t>
      </w:r>
      <w:r>
        <w:rPr>
          <w:rFonts w:hint="eastAsia" w:ascii="宋体" w:hAnsi="宋体" w:eastAsia="宋体" w:cs="宋体"/>
          <w:sz w:val="24"/>
          <w:szCs w:val="24"/>
          <w:highlight w:val="none"/>
          <w:shd w:val="clear" w:color="auto" w:fill="FFFFFF"/>
          <w:lang w:eastAsia="zh-CN" w:bidi="ar"/>
        </w:rPr>
        <w:t>服务期限</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none"/>
          <w:lang w:eastAsia="zh-CN"/>
        </w:rPr>
        <w:t>，实施</w:t>
      </w:r>
      <w:r>
        <w:rPr>
          <w:rFonts w:hint="eastAsia" w:ascii="宋体" w:hAnsi="宋体" w:cs="宋体"/>
          <w:color w:val="auto"/>
          <w:sz w:val="22"/>
          <w:szCs w:val="22"/>
          <w:highlight w:val="none"/>
          <w:lang w:val="en-US" w:eastAsia="zh-CN"/>
        </w:rPr>
        <w:t>地点</w:t>
      </w:r>
      <w:r>
        <w:rPr>
          <w:rFonts w:hint="eastAsia" w:ascii="宋体" w:hAnsi="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rPr>
        <w:t>。</w:t>
      </w:r>
    </w:p>
    <w:p w14:paraId="0B7852D6">
      <w:pPr>
        <w:kinsoku/>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如果我们的投标文件被接受，我们将履行招标文件中规定的各项要求。</w:t>
      </w:r>
    </w:p>
    <w:p w14:paraId="58925514">
      <w:pPr>
        <w:kinsoku/>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我们同意按招标文件中的规定，本投标文件的有效期为自投标截止之日起</w:t>
      </w:r>
      <w:r>
        <w:rPr>
          <w:rFonts w:hint="eastAsia" w:ascii="宋体" w:hAnsi="宋体" w:eastAsia="宋体" w:cs="宋体"/>
          <w:color w:val="auto"/>
          <w:sz w:val="22"/>
          <w:szCs w:val="22"/>
          <w:highlight w:val="none"/>
          <w:u w:val="single"/>
        </w:rPr>
        <w:t>60日历天</w:t>
      </w:r>
      <w:r>
        <w:rPr>
          <w:rFonts w:hint="eastAsia" w:ascii="宋体" w:hAnsi="宋体" w:eastAsia="宋体" w:cs="宋体"/>
          <w:color w:val="auto"/>
          <w:sz w:val="22"/>
          <w:szCs w:val="22"/>
          <w:highlight w:val="none"/>
        </w:rPr>
        <w:t>。如果中标，有效期延长至合同终止日止。</w:t>
      </w:r>
    </w:p>
    <w:p w14:paraId="3B22177F">
      <w:pPr>
        <w:kinsoku/>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我们愿提供招标文件中要求的所有文件资料。</w:t>
      </w:r>
    </w:p>
    <w:p w14:paraId="507ABB33">
      <w:pPr>
        <w:kinsoku/>
        <w:overflowPunct/>
        <w:bidi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我们已经详细审核了全部招标文件，包括修改、补充的文件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如果有的话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和参考资料及有关附件，我们完全理解并同意放弃对这方面有不明及误解的权利。</w:t>
      </w:r>
    </w:p>
    <w:p w14:paraId="0A0C3FAF">
      <w:pPr>
        <w:kinsoku/>
        <w:overflowPunct/>
        <w:bidi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我们愿按《中华人民共和国合同法》履行自己的全部责任。</w:t>
      </w:r>
    </w:p>
    <w:p w14:paraId="2B59A78C">
      <w:pPr>
        <w:kinsoku/>
        <w:overflowPunct/>
        <w:bidi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随同本投标函递交的投标函附录属于合同文件的组成部分。</w:t>
      </w:r>
    </w:p>
    <w:p w14:paraId="46D0951B">
      <w:pPr>
        <w:kinsoku/>
        <w:overflowPunct/>
        <w:bidi w:val="0"/>
        <w:spacing w:line="360" w:lineRule="auto"/>
        <w:ind w:firstLine="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如果我方中标，愿履行招标文件中的各项条款和规定，并按国家有关标准向采购代理机构交纳中标服务费。</w:t>
      </w:r>
    </w:p>
    <w:p w14:paraId="03F56DC3">
      <w:pPr>
        <w:pStyle w:val="10"/>
        <w:widowControl/>
        <w:kinsoku/>
        <w:wordWrap/>
        <w:overflowPunct/>
        <w:bidi w:val="0"/>
        <w:spacing w:after="0" w:afterAutospacing="0" w:line="360" w:lineRule="auto"/>
        <w:rPr>
          <w:highlight w:val="none"/>
          <w:lang w:val="en-US"/>
        </w:rPr>
      </w:pPr>
    </w:p>
    <w:p w14:paraId="7031DDA0">
      <w:pPr>
        <w:keepNext w:val="0"/>
        <w:keepLines w:val="0"/>
        <w:widowControl w:val="0"/>
        <w:suppressLineNumbers w:val="0"/>
        <w:kinsoku/>
        <w:wordWrap/>
        <w:overflowPunct/>
        <w:bidi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572389AD">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投标供应商（盖章）：</w:t>
      </w:r>
    </w:p>
    <w:p w14:paraId="736801FC">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法人代表或委托代理人（签字或盖章）：</w:t>
      </w:r>
    </w:p>
    <w:p w14:paraId="371E5340">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日期：</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年</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月</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日</w:t>
      </w:r>
    </w:p>
    <w:p w14:paraId="071D375A">
      <w:pPr>
        <w:kinsoku/>
        <w:overflowPunct/>
        <w:bidi w:val="0"/>
        <w:spacing w:line="360" w:lineRule="auto"/>
        <w:rPr>
          <w:rFonts w:hint="eastAsia" w:ascii="宋体" w:hAnsi="宋体" w:eastAsia="宋体" w:cs="宋体"/>
          <w:b/>
          <w:bCs/>
          <w:sz w:val="28"/>
          <w:szCs w:val="28"/>
          <w:highlight w:val="none"/>
          <w:lang w:val="en-US"/>
        </w:rPr>
      </w:pPr>
      <w:r>
        <w:rPr>
          <w:rFonts w:hint="eastAsia" w:ascii="宋体" w:hAnsi="宋体" w:eastAsia="宋体" w:cs="宋体"/>
          <w:b/>
          <w:bCs/>
          <w:sz w:val="28"/>
          <w:szCs w:val="28"/>
          <w:highlight w:val="none"/>
          <w:lang w:val="en-US"/>
        </w:rPr>
        <w:br w:type="page"/>
      </w:r>
    </w:p>
    <w:p w14:paraId="594D6C26">
      <w:pPr>
        <w:keepNext w:val="0"/>
        <w:keepLines w:val="0"/>
        <w:pageBreakBefore/>
        <w:widowControl w:val="0"/>
        <w:suppressLineNumbers w:val="0"/>
        <w:kinsoku/>
        <w:wordWrap/>
        <w:overflowPunct/>
        <w:bidi w:val="0"/>
        <w:spacing w:before="0" w:beforeAutospacing="0" w:after="0" w:afterAutospacing="0" w:line="360" w:lineRule="auto"/>
        <w:ind w:left="0" w:right="0"/>
        <w:jc w:val="center"/>
        <w:outlineLvl w:val="1"/>
        <w:rPr>
          <w:rFonts w:hint="eastAsia" w:ascii="宋体" w:hAnsi="宋体" w:eastAsia="宋体" w:cs="宋体"/>
          <w:b/>
          <w:bCs/>
          <w:kern w:val="2"/>
          <w:sz w:val="28"/>
          <w:szCs w:val="28"/>
          <w:highlight w:val="none"/>
          <w:lang w:val="en-US" w:eastAsia="zh-CN" w:bidi="ar"/>
        </w:rPr>
      </w:pPr>
      <w:bookmarkStart w:id="497" w:name="_Toc12501"/>
      <w:r>
        <w:rPr>
          <w:rFonts w:hint="eastAsia" w:ascii="宋体" w:hAnsi="宋体" w:eastAsia="宋体" w:cs="宋体"/>
          <w:b/>
          <w:bCs/>
          <w:kern w:val="2"/>
          <w:sz w:val="28"/>
          <w:szCs w:val="28"/>
          <w:highlight w:val="none"/>
          <w:lang w:val="en-US" w:eastAsia="zh-CN" w:bidi="ar"/>
        </w:rPr>
        <w:t>二、投标</w:t>
      </w:r>
      <w:bookmarkEnd w:id="497"/>
      <w:r>
        <w:rPr>
          <w:rFonts w:hint="eastAsia" w:ascii="宋体" w:hAnsi="宋体" w:eastAsia="宋体" w:cs="宋体"/>
          <w:b/>
          <w:bCs/>
          <w:kern w:val="2"/>
          <w:sz w:val="28"/>
          <w:szCs w:val="28"/>
          <w:highlight w:val="none"/>
          <w:lang w:val="en-US" w:eastAsia="zh-CN" w:bidi="ar"/>
        </w:rPr>
        <w:t>报价</w:t>
      </w:r>
    </w:p>
    <w:p w14:paraId="543703AE">
      <w:pPr>
        <w:pStyle w:val="19"/>
        <w:kinsoku/>
        <w:overflowPunct/>
        <w:bidi w:val="0"/>
        <w:spacing w:line="360" w:lineRule="auto"/>
        <w:ind w:left="0" w:leftChars="0" w:firstLine="0" w:firstLineChars="0"/>
        <w:jc w:val="center"/>
        <w:rPr>
          <w:rFonts w:hint="eastAsia" w:eastAsia="宋体"/>
          <w:b/>
          <w:bCs/>
          <w:sz w:val="24"/>
          <w:szCs w:val="24"/>
          <w:highlight w:val="none"/>
          <w:lang w:val="en-US" w:eastAsia="zh-CN"/>
        </w:rPr>
      </w:pPr>
      <w:r>
        <w:rPr>
          <w:rFonts w:hint="eastAsia"/>
          <w:b/>
          <w:bCs/>
          <w:sz w:val="24"/>
          <w:szCs w:val="24"/>
          <w:highlight w:val="none"/>
          <w:lang w:val="en-US" w:eastAsia="zh-CN"/>
        </w:rPr>
        <w:t>（一）报价一览表</w:t>
      </w:r>
    </w:p>
    <w:tbl>
      <w:tblPr>
        <w:tblStyle w:val="21"/>
        <w:tblW w:w="8779"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71"/>
        <w:gridCol w:w="1261"/>
        <w:gridCol w:w="1261"/>
        <w:gridCol w:w="1261"/>
        <w:gridCol w:w="1261"/>
        <w:gridCol w:w="1264"/>
      </w:tblGrid>
      <w:tr w14:paraId="5802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0" w:hRule="exact"/>
        </w:trPr>
        <w:tc>
          <w:tcPr>
            <w:tcW w:w="2471" w:type="dxa"/>
            <w:tcBorders>
              <w:top w:val="single" w:color="000000" w:sz="4" w:space="0"/>
              <w:left w:val="single" w:color="000000" w:sz="4" w:space="0"/>
              <w:bottom w:val="single" w:color="000000" w:sz="4" w:space="0"/>
              <w:right w:val="nil"/>
            </w:tcBorders>
            <w:shd w:val="clear" w:color="auto" w:fill="auto"/>
            <w:vAlign w:val="center"/>
          </w:tcPr>
          <w:p w14:paraId="156D1A79">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及标段</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BE42C">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5FEF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3" w:hRule="exact"/>
        </w:trPr>
        <w:tc>
          <w:tcPr>
            <w:tcW w:w="2471" w:type="dxa"/>
            <w:tcBorders>
              <w:top w:val="single" w:color="000000" w:sz="4" w:space="0"/>
              <w:left w:val="single" w:color="000000" w:sz="4" w:space="0"/>
              <w:bottom w:val="single" w:color="000000" w:sz="4" w:space="0"/>
              <w:right w:val="nil"/>
            </w:tcBorders>
            <w:shd w:val="clear" w:color="auto" w:fill="auto"/>
            <w:vAlign w:val="center"/>
          </w:tcPr>
          <w:p w14:paraId="4C9DBB5D">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投标供应商</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ACDD4">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7C45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exact"/>
        </w:trPr>
        <w:tc>
          <w:tcPr>
            <w:tcW w:w="2471" w:type="dxa"/>
            <w:tcBorders>
              <w:top w:val="single" w:color="000000" w:sz="4" w:space="0"/>
              <w:left w:val="single" w:color="000000" w:sz="4" w:space="0"/>
              <w:bottom w:val="single" w:color="000000" w:sz="4" w:space="0"/>
              <w:right w:val="nil"/>
            </w:tcBorders>
            <w:shd w:val="clear" w:color="auto" w:fill="auto"/>
            <w:vAlign w:val="center"/>
          </w:tcPr>
          <w:p w14:paraId="1B65ED05">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负责人</w:t>
            </w:r>
          </w:p>
        </w:tc>
        <w:tc>
          <w:tcPr>
            <w:tcW w:w="1261" w:type="dxa"/>
            <w:tcBorders>
              <w:top w:val="single" w:color="000000" w:sz="4" w:space="0"/>
              <w:left w:val="single" w:color="000000" w:sz="4" w:space="0"/>
              <w:bottom w:val="single" w:color="000000" w:sz="4" w:space="0"/>
              <w:right w:val="nil"/>
            </w:tcBorders>
            <w:shd w:val="clear" w:color="auto" w:fill="auto"/>
            <w:vAlign w:val="center"/>
          </w:tcPr>
          <w:p w14:paraId="21B0B0F9">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c>
          <w:tcPr>
            <w:tcW w:w="1261" w:type="dxa"/>
            <w:tcBorders>
              <w:top w:val="single" w:color="000000" w:sz="4" w:space="0"/>
              <w:left w:val="single" w:color="000000" w:sz="4" w:space="0"/>
              <w:bottom w:val="single" w:color="000000" w:sz="4" w:space="0"/>
              <w:right w:val="nil"/>
            </w:tcBorders>
            <w:shd w:val="clear" w:color="auto" w:fill="auto"/>
            <w:vAlign w:val="center"/>
          </w:tcPr>
          <w:p w14:paraId="6BBF2DEF">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级别</w:t>
            </w:r>
          </w:p>
        </w:tc>
        <w:tc>
          <w:tcPr>
            <w:tcW w:w="1261" w:type="dxa"/>
            <w:tcBorders>
              <w:top w:val="single" w:color="000000" w:sz="4" w:space="0"/>
              <w:left w:val="single" w:color="000000" w:sz="4" w:space="0"/>
              <w:bottom w:val="single" w:color="000000" w:sz="4" w:space="0"/>
              <w:right w:val="nil"/>
            </w:tcBorders>
            <w:shd w:val="clear" w:color="auto" w:fill="auto"/>
            <w:vAlign w:val="center"/>
          </w:tcPr>
          <w:p w14:paraId="7EEFC2CF">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firstLine="210"/>
              <w:jc w:val="center"/>
              <w:textAlignment w:val="auto"/>
              <w:rPr>
                <w:rFonts w:hint="eastAsia" w:ascii="宋体" w:hAnsi="宋体" w:eastAsia="宋体" w:cs="宋体"/>
                <w:sz w:val="24"/>
                <w:szCs w:val="24"/>
                <w:highlight w:val="none"/>
                <w:lang w:val="en-US"/>
              </w:rPr>
            </w:pPr>
          </w:p>
        </w:tc>
        <w:tc>
          <w:tcPr>
            <w:tcW w:w="1261" w:type="dxa"/>
            <w:tcBorders>
              <w:top w:val="single" w:color="000000" w:sz="4" w:space="0"/>
              <w:left w:val="single" w:color="000000" w:sz="4" w:space="0"/>
              <w:bottom w:val="single" w:color="000000" w:sz="4" w:space="0"/>
              <w:right w:val="nil"/>
            </w:tcBorders>
            <w:shd w:val="clear" w:color="auto" w:fill="auto"/>
            <w:vAlign w:val="center"/>
          </w:tcPr>
          <w:p w14:paraId="7FB72CA6">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证书编号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DE7E">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06ED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8" w:hRule="exact"/>
        </w:trPr>
        <w:tc>
          <w:tcPr>
            <w:tcW w:w="2471" w:type="dxa"/>
            <w:tcBorders>
              <w:top w:val="single" w:color="000000" w:sz="4" w:space="0"/>
              <w:left w:val="single" w:color="000000" w:sz="4" w:space="0"/>
              <w:bottom w:val="single" w:color="000000" w:sz="4" w:space="0"/>
              <w:right w:val="nil"/>
            </w:tcBorders>
            <w:shd w:val="clear" w:color="auto" w:fill="auto"/>
            <w:vAlign w:val="center"/>
          </w:tcPr>
          <w:p w14:paraId="5503557B">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投标总报价</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81143">
            <w:pPr>
              <w:keepNext w:val="0"/>
              <w:keepLines w:val="0"/>
              <w:pageBreakBefore w:val="0"/>
              <w:widowControl w:val="0"/>
              <w:suppressLineNumbers w:val="0"/>
              <w:suppressAutoHyphens/>
              <w:kinsoku/>
              <w:wordWrap/>
              <w:overflowPunct/>
              <w:topLinePunct w:val="0"/>
              <w:autoSpaceDE w:val="0"/>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w:t>
            </w:r>
          </w:p>
          <w:p w14:paraId="14609A83">
            <w:pPr>
              <w:keepNext w:val="0"/>
              <w:keepLines w:val="0"/>
              <w:pageBreakBefore w:val="0"/>
              <w:widowControl w:val="0"/>
              <w:suppressLineNumbers w:val="0"/>
              <w:suppressAutoHyphens/>
              <w:kinsoku/>
              <w:wordWrap/>
              <w:overflowPunct/>
              <w:topLinePunct w:val="0"/>
              <w:autoSpaceDE w:val="0"/>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小写： </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元</w:t>
            </w:r>
          </w:p>
        </w:tc>
      </w:tr>
      <w:tr w14:paraId="0A49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8" w:hRule="exact"/>
        </w:trPr>
        <w:tc>
          <w:tcPr>
            <w:tcW w:w="2471" w:type="dxa"/>
            <w:tcBorders>
              <w:top w:val="single" w:color="000000" w:sz="4" w:space="0"/>
              <w:left w:val="single" w:color="000000" w:sz="4" w:space="0"/>
              <w:bottom w:val="single" w:color="000000" w:sz="4" w:space="0"/>
              <w:right w:val="nil"/>
            </w:tcBorders>
            <w:shd w:val="clear" w:color="auto" w:fill="auto"/>
            <w:vAlign w:val="center"/>
          </w:tcPr>
          <w:p w14:paraId="5885FF8F">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合同履行期限</w:t>
            </w:r>
          </w:p>
          <w:p w14:paraId="1504DDA9">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eastAsia="zh-CN" w:bidi="ar"/>
              </w:rPr>
              <w:t>服务期限</w:t>
            </w:r>
            <w:r>
              <w:rPr>
                <w:rFonts w:hint="eastAsia" w:ascii="宋体" w:hAnsi="宋体" w:eastAsia="宋体" w:cs="宋体"/>
                <w:sz w:val="24"/>
                <w:szCs w:val="24"/>
                <w:highlight w:val="none"/>
                <w:shd w:val="clear" w:color="auto" w:fill="FFFFFF"/>
                <w:lang w:bidi="ar"/>
              </w:rPr>
              <w:t>）</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3F087">
            <w:pPr>
              <w:keepNext w:val="0"/>
              <w:keepLines w:val="0"/>
              <w:pageBreakBefore w:val="0"/>
              <w:widowControl w:val="0"/>
              <w:suppressLineNumbers w:val="0"/>
              <w:suppressAutoHyphens/>
              <w:kinsoku/>
              <w:wordWrap/>
              <w:overflowPunct/>
              <w:topLinePunct w:val="0"/>
              <w:autoSpaceDE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3585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3" w:hRule="atLeast"/>
        </w:trPr>
        <w:tc>
          <w:tcPr>
            <w:tcW w:w="2471" w:type="dxa"/>
            <w:tcBorders>
              <w:top w:val="single" w:color="000000" w:sz="4" w:space="0"/>
              <w:left w:val="single" w:color="000000" w:sz="4" w:space="0"/>
              <w:bottom w:val="single" w:color="000000" w:sz="4" w:space="0"/>
              <w:right w:val="nil"/>
            </w:tcBorders>
            <w:shd w:val="clear" w:color="auto" w:fill="auto"/>
            <w:vAlign w:val="center"/>
          </w:tcPr>
          <w:p w14:paraId="42E616F1">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质量要求</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5CA70">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24CA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5" w:hRule="atLeast"/>
        </w:trPr>
        <w:tc>
          <w:tcPr>
            <w:tcW w:w="2471" w:type="dxa"/>
            <w:tcBorders>
              <w:top w:val="single" w:color="000000" w:sz="4" w:space="0"/>
              <w:left w:val="single" w:color="000000" w:sz="4" w:space="0"/>
              <w:bottom w:val="single" w:color="000000" w:sz="4" w:space="0"/>
              <w:right w:val="nil"/>
            </w:tcBorders>
            <w:shd w:val="clear" w:color="auto" w:fill="auto"/>
            <w:vAlign w:val="center"/>
          </w:tcPr>
          <w:p w14:paraId="786B085C">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实施地点</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5718E">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6F4F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 w:hRule="atLeast"/>
        </w:trPr>
        <w:tc>
          <w:tcPr>
            <w:tcW w:w="2471" w:type="dxa"/>
            <w:tcBorders>
              <w:top w:val="single" w:color="000000" w:sz="4" w:space="0"/>
              <w:left w:val="single" w:color="000000" w:sz="4" w:space="0"/>
              <w:bottom w:val="single" w:color="000000" w:sz="4" w:space="0"/>
              <w:right w:val="nil"/>
            </w:tcBorders>
            <w:shd w:val="clear" w:color="auto" w:fill="auto"/>
            <w:vAlign w:val="center"/>
          </w:tcPr>
          <w:p w14:paraId="18A8E847">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投标有效期</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FF060">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265E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2" w:hRule="exact"/>
        </w:trPr>
        <w:tc>
          <w:tcPr>
            <w:tcW w:w="2471" w:type="dxa"/>
            <w:tcBorders>
              <w:top w:val="single" w:color="000000" w:sz="4" w:space="0"/>
              <w:left w:val="single" w:color="000000" w:sz="4" w:space="0"/>
              <w:bottom w:val="single" w:color="000000" w:sz="4" w:space="0"/>
              <w:right w:val="nil"/>
            </w:tcBorders>
            <w:shd w:val="clear" w:color="auto" w:fill="auto"/>
            <w:vAlign w:val="center"/>
          </w:tcPr>
          <w:p w14:paraId="11A0E2D8">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其他优惠条件及</w:t>
            </w:r>
            <w:r>
              <w:rPr>
                <w:rFonts w:hint="eastAsia" w:ascii="宋体" w:hAnsi="宋体" w:eastAsia="宋体" w:cs="宋体"/>
                <w:sz w:val="24"/>
                <w:szCs w:val="24"/>
                <w:highlight w:val="none"/>
              </w:rPr>
              <w:t>承诺</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CBD51">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tr w14:paraId="4A50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6" w:hRule="exact"/>
        </w:trPr>
        <w:tc>
          <w:tcPr>
            <w:tcW w:w="2471" w:type="dxa"/>
            <w:tcBorders>
              <w:top w:val="single" w:color="000000" w:sz="4" w:space="0"/>
              <w:left w:val="single" w:color="000000" w:sz="4" w:space="0"/>
              <w:bottom w:val="single" w:color="000000" w:sz="4" w:space="0"/>
              <w:right w:val="nil"/>
            </w:tcBorders>
            <w:shd w:val="clear" w:color="auto" w:fill="auto"/>
            <w:vAlign w:val="center"/>
          </w:tcPr>
          <w:p w14:paraId="492BD237">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bookmarkStart w:id="498" w:name="_Toc9928"/>
            <w:r>
              <w:rPr>
                <w:rFonts w:hint="eastAsia" w:ascii="宋体" w:hAnsi="宋体" w:eastAsia="宋体" w:cs="宋体"/>
                <w:sz w:val="24"/>
                <w:szCs w:val="24"/>
                <w:highlight w:val="none"/>
                <w:lang w:eastAsia="zh-CN"/>
              </w:rPr>
              <w:t>备注</w:t>
            </w:r>
          </w:p>
        </w:tc>
        <w:tc>
          <w:tcPr>
            <w:tcW w:w="63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F9C405">
            <w:pPr>
              <w:keepNext w:val="0"/>
              <w:keepLines w:val="0"/>
              <w:pageBreakBefore w:val="0"/>
              <w:widowControl w:val="0"/>
              <w:suppressLineNumbers w:val="0"/>
              <w:suppressAutoHyphens/>
              <w:kinsoku/>
              <w:wordWrap/>
              <w:overflowPunct/>
              <w:topLinePunct w:val="0"/>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val="en-US"/>
              </w:rPr>
            </w:pPr>
          </w:p>
        </w:tc>
      </w:tr>
      <w:bookmarkEnd w:id="493"/>
      <w:bookmarkEnd w:id="494"/>
      <w:bookmarkEnd w:id="495"/>
      <w:bookmarkEnd w:id="496"/>
    </w:tbl>
    <w:p w14:paraId="3D58DB72">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kern w:val="2"/>
          <w:sz w:val="24"/>
          <w:szCs w:val="22"/>
          <w:highlight w:val="none"/>
          <w:lang w:val="en-US" w:eastAsia="zh-CN" w:bidi="ar"/>
        </w:rPr>
      </w:pPr>
    </w:p>
    <w:p w14:paraId="08A487E3">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投标供应商（盖章）：</w:t>
      </w:r>
    </w:p>
    <w:p w14:paraId="23BB5331">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法人代表或委托代理人（签字或盖章）：</w:t>
      </w:r>
    </w:p>
    <w:p w14:paraId="4FC5FB99">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日期：</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年</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月</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日</w:t>
      </w:r>
    </w:p>
    <w:p w14:paraId="607A2A2C">
      <w:pPr>
        <w:kinsoku/>
        <w:overflowPunct/>
        <w:bidi w:val="0"/>
        <w:spacing w:line="360" w:lineRule="auto"/>
        <w:rPr>
          <w:rFonts w:hint="eastAsia" w:ascii="宋体" w:hAnsi="宋体" w:eastAsia="宋体" w:cs="宋体"/>
          <w:b/>
          <w:bCs/>
          <w:kern w:val="2"/>
          <w:sz w:val="28"/>
          <w:szCs w:val="28"/>
          <w:highlight w:val="none"/>
          <w:lang w:val="en-US" w:eastAsia="zh-CN" w:bidi="ar"/>
        </w:rPr>
      </w:pPr>
      <w:r>
        <w:rPr>
          <w:rFonts w:hint="eastAsia" w:ascii="宋体" w:hAnsi="宋体" w:eastAsia="宋体" w:cs="宋体"/>
          <w:b/>
          <w:bCs/>
          <w:kern w:val="2"/>
          <w:sz w:val="28"/>
          <w:szCs w:val="28"/>
          <w:highlight w:val="none"/>
          <w:lang w:val="en-US" w:eastAsia="zh-CN" w:bidi="ar"/>
        </w:rPr>
        <w:br w:type="page"/>
      </w:r>
    </w:p>
    <w:p w14:paraId="339AD330">
      <w:pPr>
        <w:pStyle w:val="19"/>
        <w:kinsoku/>
        <w:overflowPunct/>
        <w:bidi w:val="0"/>
        <w:spacing w:line="360" w:lineRule="auto"/>
        <w:ind w:left="0" w:leftChars="0" w:firstLine="0" w:firstLineChars="0"/>
        <w:jc w:val="center"/>
        <w:rPr>
          <w:rFonts w:hint="eastAsia"/>
          <w:b/>
          <w:bCs/>
          <w:sz w:val="24"/>
          <w:szCs w:val="24"/>
          <w:highlight w:val="none"/>
          <w:lang w:val="en-US" w:eastAsia="zh-CN"/>
        </w:rPr>
      </w:pPr>
      <w:r>
        <w:rPr>
          <w:rFonts w:hint="eastAsia"/>
          <w:b/>
          <w:bCs/>
          <w:sz w:val="24"/>
          <w:szCs w:val="24"/>
          <w:highlight w:val="none"/>
          <w:lang w:val="en-US" w:eastAsia="zh-CN"/>
        </w:rPr>
        <w:t>（二）报价明细表</w:t>
      </w:r>
    </w:p>
    <w:p w14:paraId="236E3A17">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kern w:val="2"/>
          <w:sz w:val="24"/>
          <w:szCs w:val="22"/>
          <w:highlight w:val="none"/>
          <w:lang w:val="en-US" w:eastAsia="zh-CN" w:bidi="ar"/>
        </w:rPr>
      </w:pPr>
    </w:p>
    <w:p w14:paraId="4C6F4F8B">
      <w:pPr>
        <w:keepNext w:val="0"/>
        <w:keepLines w:val="0"/>
        <w:widowControl w:val="0"/>
        <w:suppressLineNumbers w:val="0"/>
        <w:kinsoku/>
        <w:wordWrap/>
        <w:overflowPunct/>
        <w:bidi w:val="0"/>
        <w:spacing w:before="0" w:beforeAutospacing="0" w:after="0" w:afterAutospacing="0" w:line="360" w:lineRule="auto"/>
        <w:ind w:right="0"/>
        <w:jc w:val="center"/>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格式自拟</w:t>
      </w:r>
    </w:p>
    <w:p w14:paraId="0A52DEAD">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kern w:val="2"/>
          <w:sz w:val="24"/>
          <w:szCs w:val="22"/>
          <w:highlight w:val="none"/>
          <w:lang w:val="en-US" w:eastAsia="zh-CN" w:bidi="ar"/>
        </w:rPr>
      </w:pPr>
    </w:p>
    <w:p w14:paraId="399F8F97">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kern w:val="2"/>
          <w:sz w:val="24"/>
          <w:szCs w:val="22"/>
          <w:highlight w:val="none"/>
          <w:lang w:val="en-US" w:eastAsia="zh-CN" w:bidi="ar"/>
        </w:rPr>
      </w:pPr>
    </w:p>
    <w:p w14:paraId="31E0B106">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投标供应商（盖章）：</w:t>
      </w:r>
    </w:p>
    <w:p w14:paraId="30A14699">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法人代表或委托代理人（签字或盖章）：</w:t>
      </w:r>
    </w:p>
    <w:p w14:paraId="19A6BEDB">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日期：</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年</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月</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日</w:t>
      </w:r>
    </w:p>
    <w:p w14:paraId="1EE67E10">
      <w:pPr>
        <w:kinsoku/>
        <w:overflowPunct/>
        <w:bidi w:val="0"/>
        <w:spacing w:line="360" w:lineRule="auto"/>
        <w:rPr>
          <w:rFonts w:hint="eastAsia" w:ascii="宋体" w:hAnsi="宋体" w:eastAsia="宋体" w:cs="宋体"/>
          <w:b/>
          <w:bCs/>
          <w:kern w:val="2"/>
          <w:sz w:val="28"/>
          <w:szCs w:val="28"/>
          <w:highlight w:val="none"/>
          <w:lang w:val="en-US" w:eastAsia="zh-CN" w:bidi="ar"/>
        </w:rPr>
      </w:pPr>
      <w:r>
        <w:rPr>
          <w:rFonts w:hint="eastAsia" w:ascii="宋体" w:hAnsi="宋体" w:eastAsia="宋体" w:cs="宋体"/>
          <w:b/>
          <w:bCs/>
          <w:kern w:val="2"/>
          <w:sz w:val="28"/>
          <w:szCs w:val="28"/>
          <w:highlight w:val="none"/>
          <w:lang w:val="en-US" w:eastAsia="zh-CN" w:bidi="ar"/>
        </w:rPr>
        <w:br w:type="page"/>
      </w:r>
    </w:p>
    <w:p w14:paraId="590F396D">
      <w:pPr>
        <w:keepNext w:val="0"/>
        <w:keepLines w:val="0"/>
        <w:pageBreakBefore/>
        <w:widowControl w:val="0"/>
        <w:suppressLineNumbers w:val="0"/>
        <w:kinsoku/>
        <w:wordWrap/>
        <w:overflowPunct/>
        <w:bidi w:val="0"/>
        <w:spacing w:before="0" w:beforeAutospacing="0" w:after="0" w:afterAutospacing="0" w:line="360" w:lineRule="auto"/>
        <w:ind w:left="0" w:right="0" w:firstLine="214" w:firstLineChars="76"/>
        <w:jc w:val="center"/>
        <w:outlineLvl w:val="1"/>
        <w:rPr>
          <w:rFonts w:hint="eastAsia" w:ascii="宋体" w:hAnsi="宋体" w:eastAsia="宋体" w:cs="宋体"/>
          <w:sz w:val="24"/>
          <w:szCs w:val="22"/>
          <w:highlight w:val="none"/>
          <w:lang w:val="en-US"/>
        </w:rPr>
      </w:pPr>
      <w:r>
        <w:rPr>
          <w:rFonts w:hint="eastAsia" w:ascii="宋体" w:hAnsi="宋体" w:eastAsia="宋体" w:cs="宋体"/>
          <w:b/>
          <w:bCs/>
          <w:kern w:val="2"/>
          <w:sz w:val="28"/>
          <w:szCs w:val="28"/>
          <w:highlight w:val="none"/>
          <w:lang w:val="en-US" w:eastAsia="zh-CN" w:bidi="ar"/>
        </w:rPr>
        <w:t>三、法定代表人身份证明</w:t>
      </w:r>
      <w:bookmarkEnd w:id="498"/>
    </w:p>
    <w:p w14:paraId="35140CF5">
      <w:pPr>
        <w:keepNext w:val="0"/>
        <w:keepLines w:val="0"/>
        <w:widowControl w:val="0"/>
        <w:suppressLineNumbers w:val="0"/>
        <w:kinsoku/>
        <w:wordWrap/>
        <w:overflowPunct/>
        <w:bidi w:val="0"/>
        <w:spacing w:before="0" w:beforeAutospacing="0" w:after="0" w:afterAutospacing="0" w:line="360" w:lineRule="auto"/>
        <w:ind w:left="0" w:right="0"/>
        <w:jc w:val="both"/>
        <w:rPr>
          <w:rFonts w:hint="eastAsia" w:ascii="宋体" w:hAnsi="宋体" w:eastAsia="宋体" w:cs="宋体"/>
          <w:b/>
          <w:bCs w:val="0"/>
          <w:highlight w:val="none"/>
          <w:lang w:val="en-US"/>
        </w:rPr>
      </w:pPr>
    </w:p>
    <w:p w14:paraId="63D6487D">
      <w:pPr>
        <w:keepNext w:val="0"/>
        <w:keepLines w:val="0"/>
        <w:widowControl w:val="0"/>
        <w:suppressLineNumbers w:val="0"/>
        <w:kinsoku/>
        <w:wordWrap/>
        <w:overflowPunct/>
        <w:bidi w:val="0"/>
        <w:spacing w:before="0" w:beforeAutospacing="0" w:after="0" w:afterAutospacing="0" w:line="360" w:lineRule="auto"/>
        <w:ind w:left="0" w:right="0" w:firstLine="612"/>
        <w:jc w:val="both"/>
        <w:rPr>
          <w:rFonts w:hint="default"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单位名称：</w:t>
      </w:r>
      <w:r>
        <w:rPr>
          <w:rFonts w:hint="eastAsia" w:ascii="宋体" w:hAnsi="宋体" w:eastAsia="宋体" w:cs="宋体"/>
          <w:kern w:val="2"/>
          <w:sz w:val="24"/>
          <w:szCs w:val="24"/>
          <w:highlight w:val="none"/>
          <w:u w:val="single"/>
          <w:lang w:val="en-US" w:eastAsia="zh-CN" w:bidi="ar"/>
        </w:rPr>
        <w:t xml:space="preserve">                                  </w:t>
      </w:r>
    </w:p>
    <w:p w14:paraId="43BD9035">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eastAsia" w:ascii="宋体" w:hAnsi="宋体" w:eastAsia="宋体" w:cs="宋体"/>
          <w:kern w:val="2"/>
          <w:sz w:val="24"/>
          <w:szCs w:val="24"/>
          <w:highlight w:val="none"/>
          <w:u w:val="single"/>
          <w:lang w:val="en-US" w:eastAsia="zh-CN" w:bidi="ar"/>
        </w:rPr>
      </w:pPr>
      <w:r>
        <w:rPr>
          <w:rFonts w:hint="eastAsia" w:ascii="宋体" w:hAnsi="宋体" w:eastAsia="宋体" w:cs="宋体"/>
          <w:kern w:val="2"/>
          <w:sz w:val="24"/>
          <w:szCs w:val="24"/>
          <w:highlight w:val="none"/>
          <w:lang w:val="en-US" w:eastAsia="zh-CN" w:bidi="ar"/>
        </w:rPr>
        <w:t>单位性质：</w:t>
      </w:r>
      <w:r>
        <w:rPr>
          <w:rFonts w:hint="eastAsia" w:ascii="宋体" w:hAnsi="宋体" w:eastAsia="宋体" w:cs="宋体"/>
          <w:kern w:val="2"/>
          <w:sz w:val="24"/>
          <w:szCs w:val="24"/>
          <w:highlight w:val="none"/>
          <w:u w:val="single"/>
          <w:lang w:val="en-US" w:eastAsia="zh-CN" w:bidi="ar"/>
        </w:rPr>
        <w:t xml:space="preserve">                                  </w:t>
      </w:r>
    </w:p>
    <w:p w14:paraId="217AF0B1">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eastAsia" w:ascii="宋体" w:hAnsi="宋体" w:eastAsia="宋体" w:cs="宋体"/>
          <w:sz w:val="24"/>
          <w:szCs w:val="24"/>
          <w:highlight w:val="none"/>
          <w:u w:val="single"/>
          <w:lang w:val="en-US"/>
        </w:rPr>
      </w:pPr>
      <w:r>
        <w:rPr>
          <w:rFonts w:hint="eastAsia" w:ascii="宋体" w:hAnsi="宋体" w:eastAsia="宋体" w:cs="宋体"/>
          <w:kern w:val="2"/>
          <w:sz w:val="24"/>
          <w:szCs w:val="24"/>
          <w:highlight w:val="none"/>
          <w:lang w:val="en-US" w:eastAsia="zh-CN" w:bidi="ar"/>
        </w:rPr>
        <w:t>地    址：</w:t>
      </w:r>
      <w:r>
        <w:rPr>
          <w:rFonts w:hint="eastAsia" w:ascii="宋体" w:hAnsi="宋体" w:eastAsia="宋体" w:cs="宋体"/>
          <w:kern w:val="2"/>
          <w:sz w:val="24"/>
          <w:szCs w:val="24"/>
          <w:highlight w:val="none"/>
          <w:u w:val="single"/>
          <w:lang w:val="en-US" w:eastAsia="zh-CN" w:bidi="ar"/>
        </w:rPr>
        <w:t xml:space="preserve">                                  </w:t>
      </w:r>
    </w:p>
    <w:p w14:paraId="5B57EBE5">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成立时间：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14:paraId="4F9B87BE">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default" w:ascii="宋体" w:hAnsi="宋体" w:eastAsia="宋体" w:cs="宋体"/>
          <w:sz w:val="24"/>
          <w:szCs w:val="24"/>
          <w:highlight w:val="none"/>
          <w:u w:val="single"/>
          <w:lang w:val="en-US"/>
        </w:rPr>
      </w:pPr>
      <w:r>
        <w:rPr>
          <w:rFonts w:hint="eastAsia" w:ascii="宋体" w:hAnsi="宋体" w:eastAsia="宋体" w:cs="宋体"/>
          <w:kern w:val="2"/>
          <w:sz w:val="24"/>
          <w:szCs w:val="24"/>
          <w:highlight w:val="none"/>
          <w:lang w:val="en-US" w:eastAsia="zh-CN" w:bidi="ar"/>
        </w:rPr>
        <w:t>经营期限：</w:t>
      </w:r>
      <w:r>
        <w:rPr>
          <w:rFonts w:hint="eastAsia" w:ascii="宋体" w:hAnsi="宋体" w:eastAsia="宋体" w:cs="宋体"/>
          <w:kern w:val="2"/>
          <w:sz w:val="24"/>
          <w:szCs w:val="24"/>
          <w:highlight w:val="none"/>
          <w:u w:val="single"/>
          <w:lang w:val="en-US" w:eastAsia="zh-CN" w:bidi="ar"/>
        </w:rPr>
        <w:t xml:space="preserve">                                  </w:t>
      </w:r>
    </w:p>
    <w:p w14:paraId="3C24200C">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eastAsia" w:ascii="宋体" w:hAnsi="宋体" w:eastAsia="宋体" w:cs="宋体"/>
          <w:kern w:val="2"/>
          <w:sz w:val="24"/>
          <w:szCs w:val="24"/>
          <w:highlight w:val="none"/>
          <w:u w:val="single"/>
          <w:lang w:val="en-US" w:eastAsia="zh-CN" w:bidi="ar"/>
        </w:rPr>
      </w:pPr>
      <w:r>
        <w:rPr>
          <w:rFonts w:hint="eastAsia" w:ascii="宋体" w:hAnsi="宋体" w:eastAsia="宋体" w:cs="宋体"/>
          <w:kern w:val="2"/>
          <w:sz w:val="24"/>
          <w:szCs w:val="24"/>
          <w:highlight w:val="none"/>
          <w:lang w:val="en-US" w:eastAsia="zh-CN" w:bidi="ar"/>
        </w:rPr>
        <w:t>姓    名：</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 xml:space="preserve"> 性    别：</w:t>
      </w:r>
      <w:r>
        <w:rPr>
          <w:rFonts w:hint="eastAsia" w:ascii="宋体" w:hAnsi="宋体" w:eastAsia="宋体" w:cs="宋体"/>
          <w:kern w:val="2"/>
          <w:sz w:val="24"/>
          <w:szCs w:val="24"/>
          <w:highlight w:val="none"/>
          <w:u w:val="single"/>
          <w:lang w:val="en-US" w:eastAsia="zh-CN" w:bidi="ar"/>
        </w:rPr>
        <w:t xml:space="preserve">           </w:t>
      </w:r>
    </w:p>
    <w:p w14:paraId="3A9CA944">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eastAsia" w:ascii="宋体" w:hAnsi="宋体" w:eastAsia="宋体" w:cs="宋体"/>
          <w:sz w:val="24"/>
          <w:szCs w:val="24"/>
          <w:highlight w:val="none"/>
          <w:u w:val="single"/>
          <w:lang w:val="en-US"/>
        </w:rPr>
      </w:pPr>
      <w:r>
        <w:rPr>
          <w:rFonts w:hint="eastAsia" w:ascii="宋体" w:hAnsi="宋体" w:eastAsia="宋体" w:cs="宋体"/>
          <w:kern w:val="2"/>
          <w:sz w:val="24"/>
          <w:szCs w:val="24"/>
          <w:highlight w:val="none"/>
          <w:lang w:val="en-US" w:eastAsia="zh-CN" w:bidi="ar"/>
        </w:rPr>
        <w:t>年    龄：</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 xml:space="preserve"> 职    务：</w:t>
      </w:r>
      <w:r>
        <w:rPr>
          <w:rFonts w:hint="eastAsia" w:ascii="宋体" w:hAnsi="宋体" w:eastAsia="宋体" w:cs="宋体"/>
          <w:kern w:val="2"/>
          <w:sz w:val="24"/>
          <w:szCs w:val="24"/>
          <w:highlight w:val="none"/>
          <w:u w:val="single"/>
          <w:lang w:val="en-US" w:eastAsia="zh-CN" w:bidi="ar"/>
        </w:rPr>
        <w:t xml:space="preserve">           </w:t>
      </w:r>
    </w:p>
    <w:p w14:paraId="5EDAC058">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系</w:t>
      </w:r>
      <w:r>
        <w:rPr>
          <w:rFonts w:hint="eastAsia" w:ascii="宋体" w:hAnsi="宋体" w:eastAsia="宋体" w:cs="宋体"/>
          <w:kern w:val="2"/>
          <w:sz w:val="24"/>
          <w:szCs w:val="24"/>
          <w:highlight w:val="none"/>
          <w:u w:val="single"/>
          <w:lang w:val="en-US" w:eastAsia="zh-CN" w:bidi="ar"/>
        </w:rPr>
        <w:t xml:space="preserve">              （投标供应商名称）</w:t>
      </w:r>
      <w:r>
        <w:rPr>
          <w:rFonts w:hint="eastAsia" w:ascii="宋体" w:hAnsi="宋体" w:eastAsia="宋体" w:cs="宋体"/>
          <w:kern w:val="2"/>
          <w:sz w:val="24"/>
          <w:szCs w:val="24"/>
          <w:highlight w:val="none"/>
          <w:lang w:val="en-US" w:eastAsia="zh-CN" w:bidi="ar"/>
        </w:rPr>
        <w:t>的法定代表人。</w:t>
      </w:r>
    </w:p>
    <w:p w14:paraId="7C9F0F9E">
      <w:pPr>
        <w:keepNext w:val="0"/>
        <w:keepLines w:val="0"/>
        <w:widowControl w:val="0"/>
        <w:suppressLineNumbers w:val="0"/>
        <w:kinsoku/>
        <w:wordWrap/>
        <w:overflowPunct/>
        <w:bidi w:val="0"/>
        <w:spacing w:before="0" w:beforeAutospacing="0" w:after="0" w:afterAutospacing="0" w:line="360" w:lineRule="auto"/>
        <w:ind w:left="0" w:right="0" w:firstLine="610"/>
        <w:jc w:val="both"/>
        <w:rPr>
          <w:rFonts w:hint="eastAsia" w:ascii="宋体" w:hAnsi="宋体" w:eastAsia="宋体" w:cs="宋体"/>
          <w:sz w:val="24"/>
          <w:szCs w:val="24"/>
          <w:highlight w:val="none"/>
          <w:lang w:val="en-US"/>
        </w:rPr>
      </w:pPr>
    </w:p>
    <w:p w14:paraId="0165F3A1">
      <w:pPr>
        <w:keepNext w:val="0"/>
        <w:keepLines w:val="0"/>
        <w:widowControl w:val="0"/>
        <w:suppressLineNumbers w:val="0"/>
        <w:kinsoku/>
        <w:wordWrap/>
        <w:overflowPunct/>
        <w:bidi w:val="0"/>
        <w:spacing w:before="0" w:beforeAutospacing="0" w:after="0" w:afterAutospacing="0" w:line="360" w:lineRule="auto"/>
        <w:ind w:left="0" w:right="0" w:firstLine="1089" w:firstLineChars="454"/>
        <w:jc w:val="both"/>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特此证明</w:t>
      </w:r>
    </w:p>
    <w:p w14:paraId="57276613">
      <w:pPr>
        <w:keepNext w:val="0"/>
        <w:keepLines w:val="0"/>
        <w:widowControl w:val="0"/>
        <w:suppressLineNumbers w:val="0"/>
        <w:tabs>
          <w:tab w:val="left" w:pos="720"/>
          <w:tab w:val="left" w:pos="900"/>
        </w:tabs>
        <w:kinsoku/>
        <w:wordWrap/>
        <w:overflowPunct/>
        <w:bidi w:val="0"/>
        <w:spacing w:before="0" w:beforeAutospacing="0" w:after="0" w:afterAutospacing="0" w:line="360" w:lineRule="auto"/>
        <w:ind w:left="0" w:right="0" w:firstLine="5040" w:firstLineChars="2100"/>
        <w:jc w:val="both"/>
        <w:rPr>
          <w:rFonts w:hint="eastAsia" w:ascii="宋体" w:hAnsi="宋体" w:eastAsia="宋体" w:cs="宋体"/>
          <w:kern w:val="2"/>
          <w:sz w:val="24"/>
          <w:szCs w:val="22"/>
          <w:highlight w:val="none"/>
          <w:lang w:val="en-US" w:eastAsia="zh-CN" w:bidi="ar"/>
        </w:rPr>
      </w:pPr>
    </w:p>
    <w:p w14:paraId="1FEB9194">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sz w:val="24"/>
          <w:szCs w:val="24"/>
          <w:highlight w:val="none"/>
          <w:lang w:val="en-US"/>
        </w:rPr>
      </w:pPr>
      <w:r>
        <w:rPr>
          <w:rFonts w:hint="eastAsia" w:ascii="Times New Roman" w:hAnsi="Times New Roman" w:eastAsia="宋体" w:cs="宋体"/>
          <w:kern w:val="2"/>
          <w:sz w:val="24"/>
          <w:szCs w:val="24"/>
          <w:highlight w:val="none"/>
          <w:lang w:val="en-US" w:eastAsia="zh-CN" w:bidi="ar"/>
        </w:rPr>
        <w:t>投标供应商：</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（盖章）</w:t>
      </w:r>
    </w:p>
    <w:p w14:paraId="23C7CA39">
      <w:pPr>
        <w:keepNext w:val="0"/>
        <w:keepLines w:val="0"/>
        <w:widowControl w:val="0"/>
        <w:suppressLineNumbers w:val="0"/>
        <w:kinsoku/>
        <w:wordWrap/>
        <w:overflowPunct/>
        <w:bidi w:val="0"/>
        <w:spacing w:before="0" w:beforeAutospacing="0" w:after="0" w:afterAutospacing="0" w:line="360" w:lineRule="auto"/>
        <w:ind w:left="0" w:right="0"/>
        <w:jc w:val="right"/>
        <w:rPr>
          <w:sz w:val="24"/>
          <w:szCs w:val="24"/>
          <w:highlight w:val="none"/>
          <w:lang w:val="en-US"/>
        </w:rPr>
      </w:pPr>
      <w:r>
        <w:rPr>
          <w:rFonts w:hint="default" w:ascii="Times New Roman" w:hAnsi="Times New Roman" w:eastAsia="宋体" w:cs="Times New Roman"/>
          <w:kern w:val="2"/>
          <w:sz w:val="24"/>
          <w:szCs w:val="24"/>
          <w:highlight w:val="none"/>
          <w:lang w:val="en-US" w:eastAsia="zh-CN" w:bidi="ar"/>
        </w:rPr>
        <w:t xml:space="preserve"> </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年</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月</w:t>
      </w:r>
      <w:r>
        <w:rPr>
          <w:rFonts w:hint="default" w:ascii="Times New Roman" w:hAnsi="Times New Roman" w:eastAsia="宋体" w:cs="Times New Roman"/>
          <w:kern w:val="2"/>
          <w:sz w:val="24"/>
          <w:szCs w:val="24"/>
          <w:highlight w:val="none"/>
          <w:u w:val="single"/>
          <w:lang w:val="en-US" w:eastAsia="zh-CN" w:bidi="ar"/>
        </w:rPr>
        <w:t xml:space="preserve">       </w:t>
      </w:r>
      <w:r>
        <w:rPr>
          <w:rFonts w:hint="eastAsia" w:ascii="Times New Roman" w:hAnsi="Times New Roman" w:eastAsia="宋体" w:cs="宋体"/>
          <w:kern w:val="2"/>
          <w:sz w:val="24"/>
          <w:szCs w:val="24"/>
          <w:highlight w:val="none"/>
          <w:lang w:val="en-US" w:eastAsia="zh-CN" w:bidi="ar"/>
        </w:rPr>
        <w:t>日</w:t>
      </w:r>
    </w:p>
    <w:p w14:paraId="259BDD02">
      <w:pPr>
        <w:pStyle w:val="10"/>
        <w:widowControl/>
        <w:kinsoku/>
        <w:wordWrap/>
        <w:overflowPunct/>
        <w:bidi w:val="0"/>
        <w:spacing w:after="0" w:afterAutospacing="0" w:line="360" w:lineRule="auto"/>
        <w:rPr>
          <w:sz w:val="24"/>
          <w:szCs w:val="22"/>
          <w:highlight w:val="none"/>
          <w:lang w:val="en-US"/>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88"/>
      </w:tblGrid>
      <w:tr w14:paraId="4BBC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shd w:val="clear" w:color="auto" w:fill="auto"/>
            <w:vAlign w:val="center"/>
          </w:tcPr>
          <w:p w14:paraId="343BAE1C">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法定代表人身份证扫描件</w:t>
            </w:r>
          </w:p>
          <w:p w14:paraId="05A65427">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（证件扫描件正、反面）</w:t>
            </w:r>
          </w:p>
        </w:tc>
      </w:tr>
    </w:tbl>
    <w:p w14:paraId="43BF5F36">
      <w:pPr>
        <w:kinsoku/>
        <w:overflowPunct/>
        <w:bidi w:val="0"/>
        <w:spacing w:line="360" w:lineRule="auto"/>
        <w:rPr>
          <w:rFonts w:hint="default"/>
          <w:highlight w:val="none"/>
          <w:lang w:val="en-US" w:eastAsia="zh-CN"/>
        </w:rPr>
      </w:pPr>
      <w:r>
        <w:rPr>
          <w:rFonts w:hint="default"/>
          <w:highlight w:val="none"/>
          <w:lang w:val="en-US" w:eastAsia="zh-CN"/>
        </w:rPr>
        <w:br w:type="page"/>
      </w:r>
      <w:bookmarkStart w:id="499" w:name="_Toc29165"/>
    </w:p>
    <w:p w14:paraId="6437E5DC">
      <w:pPr>
        <w:pStyle w:val="10"/>
        <w:widowControl/>
        <w:kinsoku/>
        <w:wordWrap/>
        <w:overflowPunct/>
        <w:bidi w:val="0"/>
        <w:spacing w:after="0" w:afterAutospacing="0" w:line="360" w:lineRule="auto"/>
        <w:jc w:val="center"/>
        <w:outlineLvl w:val="1"/>
        <w:rPr>
          <w:rFonts w:hint="eastAsia" w:ascii="宋体" w:hAnsi="宋体" w:eastAsia="宋体" w:cs="宋体"/>
          <w:b/>
          <w:bCs w:val="0"/>
          <w:highlight w:val="none"/>
          <w:lang w:val="en-US"/>
        </w:rPr>
      </w:pPr>
      <w:r>
        <w:rPr>
          <w:rFonts w:hint="eastAsia" w:ascii="宋体" w:hAnsi="宋体" w:eastAsia="宋体" w:cs="宋体"/>
          <w:b/>
          <w:bCs/>
          <w:sz w:val="28"/>
          <w:szCs w:val="28"/>
          <w:highlight w:val="none"/>
          <w:lang w:eastAsia="zh-CN"/>
        </w:rPr>
        <w:t>四、授权委托书</w:t>
      </w:r>
      <w:bookmarkEnd w:id="499"/>
    </w:p>
    <w:p w14:paraId="1C70603F">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sz w:val="24"/>
          <w:szCs w:val="22"/>
          <w:highlight w:val="none"/>
          <w:lang w:val="en-US"/>
        </w:rPr>
      </w:pPr>
    </w:p>
    <w:p w14:paraId="2282E9C4">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本人</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（姓名）系</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（投标供应商名称）的法定代表人，现委托</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（姓名）为我方代理人。代理人根据授权，以我方名义签署、澄清、说明、补正、递交、撤回、修改</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（项目名称及标段）投标文件、签订合同和处理有关事宜，其法律后果由我方承担。</w:t>
      </w:r>
    </w:p>
    <w:p w14:paraId="21EB63BE">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代理人无转委托权。</w:t>
      </w:r>
    </w:p>
    <w:p w14:paraId="3D165776">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sz w:val="24"/>
          <w:szCs w:val="22"/>
          <w:highlight w:val="none"/>
          <w:lang w:val="en-US"/>
        </w:rPr>
      </w:pPr>
    </w:p>
    <w:p w14:paraId="0F4E5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0" w:firstLineChars="1000"/>
        <w:jc w:val="both"/>
        <w:textAlignment w:val="auto"/>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投标供应商：</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（盖章）</w:t>
      </w:r>
    </w:p>
    <w:p w14:paraId="41796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0" w:firstLineChars="1000"/>
        <w:jc w:val="both"/>
        <w:textAlignment w:val="auto"/>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法定代表人：</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（签字或盖章）</w:t>
      </w:r>
    </w:p>
    <w:p w14:paraId="08AC3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0" w:firstLineChars="1000"/>
        <w:jc w:val="both"/>
        <w:textAlignment w:val="auto"/>
        <w:rPr>
          <w:rFonts w:hint="eastAsia" w:ascii="宋体" w:hAnsi="宋体" w:eastAsia="宋体" w:cs="宋体"/>
          <w:sz w:val="24"/>
          <w:szCs w:val="22"/>
          <w:highlight w:val="none"/>
          <w:u w:val="single"/>
          <w:lang w:val="en-US"/>
        </w:rPr>
      </w:pPr>
      <w:r>
        <w:rPr>
          <w:rFonts w:hint="eastAsia" w:ascii="宋体" w:hAnsi="宋体" w:eastAsia="宋体" w:cs="宋体"/>
          <w:kern w:val="2"/>
          <w:sz w:val="24"/>
          <w:szCs w:val="22"/>
          <w:highlight w:val="none"/>
          <w:lang w:val="en-US" w:eastAsia="zh-CN" w:bidi="ar"/>
        </w:rPr>
        <w:t>身份证号码：</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 xml:space="preserve"> </w:t>
      </w:r>
    </w:p>
    <w:p w14:paraId="2DBD1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0" w:firstLineChars="1000"/>
        <w:jc w:val="both"/>
        <w:textAlignment w:val="auto"/>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委托代理人：</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（签字或法定代表人签章）</w:t>
      </w:r>
    </w:p>
    <w:p w14:paraId="6BECE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0" w:firstLineChars="1000"/>
        <w:jc w:val="both"/>
        <w:textAlignment w:val="auto"/>
        <w:rPr>
          <w:rFonts w:hint="eastAsia" w:ascii="宋体" w:hAnsi="宋体" w:eastAsia="宋体" w:cs="宋体"/>
          <w:sz w:val="24"/>
          <w:szCs w:val="22"/>
          <w:highlight w:val="none"/>
          <w:u w:val="single"/>
          <w:lang w:val="en-US"/>
        </w:rPr>
      </w:pPr>
      <w:r>
        <w:rPr>
          <w:rFonts w:hint="eastAsia" w:ascii="宋体" w:hAnsi="宋体" w:eastAsia="宋体" w:cs="宋体"/>
          <w:kern w:val="2"/>
          <w:sz w:val="24"/>
          <w:szCs w:val="22"/>
          <w:highlight w:val="none"/>
          <w:lang w:val="en-US" w:eastAsia="zh-CN" w:bidi="ar"/>
        </w:rPr>
        <w:t>身份证号码：</w:t>
      </w:r>
      <w:r>
        <w:rPr>
          <w:rFonts w:hint="eastAsia" w:ascii="宋体" w:hAnsi="宋体" w:eastAsia="宋体" w:cs="宋体"/>
          <w:kern w:val="2"/>
          <w:sz w:val="24"/>
          <w:szCs w:val="22"/>
          <w:highlight w:val="none"/>
          <w:u w:val="single"/>
          <w:lang w:val="en-US" w:eastAsia="zh-CN" w:bidi="ar"/>
        </w:rPr>
        <w:t xml:space="preserve">                         </w:t>
      </w:r>
    </w:p>
    <w:p w14:paraId="4684C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2400" w:firstLineChars="1000"/>
        <w:jc w:val="left"/>
        <w:textAlignment w:val="auto"/>
        <w:rPr>
          <w:rFonts w:hint="eastAsia" w:ascii="宋体" w:hAnsi="宋体" w:eastAsia="宋体" w:cs="宋体"/>
          <w:sz w:val="24"/>
          <w:szCs w:val="22"/>
          <w:highlight w:val="none"/>
          <w:u w:val="single"/>
          <w:lang w:val="en-US"/>
        </w:rPr>
      </w:pPr>
      <w:r>
        <w:rPr>
          <w:rFonts w:hint="eastAsia" w:ascii="宋体" w:hAnsi="宋体" w:eastAsia="宋体" w:cs="宋体"/>
          <w:kern w:val="2"/>
          <w:sz w:val="24"/>
          <w:szCs w:val="22"/>
          <w:highlight w:val="none"/>
          <w:lang w:val="en-US" w:eastAsia="zh-CN" w:bidi="ar"/>
        </w:rPr>
        <w:t>委托代理人联系电话：</w:t>
      </w:r>
      <w:r>
        <w:rPr>
          <w:rFonts w:hint="eastAsia" w:ascii="宋体" w:hAnsi="宋体" w:eastAsia="宋体" w:cs="宋体"/>
          <w:kern w:val="2"/>
          <w:sz w:val="24"/>
          <w:szCs w:val="22"/>
          <w:highlight w:val="none"/>
          <w:u w:val="single"/>
          <w:lang w:val="en-US" w:eastAsia="zh-CN" w:bidi="ar"/>
        </w:rPr>
        <w:t xml:space="preserve">              </w:t>
      </w:r>
    </w:p>
    <w:p w14:paraId="6D089181">
      <w:pPr>
        <w:keepNext w:val="0"/>
        <w:keepLines w:val="0"/>
        <w:widowControl w:val="0"/>
        <w:suppressLineNumbers w:val="0"/>
        <w:kinsoku/>
        <w:wordWrap/>
        <w:overflowPunct/>
        <w:bidi w:val="0"/>
        <w:spacing w:before="0" w:beforeAutospacing="0" w:after="0" w:afterAutospacing="0" w:line="360" w:lineRule="auto"/>
        <w:ind w:left="0" w:right="0"/>
        <w:jc w:val="right"/>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年   月   日</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64"/>
      </w:tblGrid>
      <w:tr w14:paraId="5BC8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shd w:val="clear" w:color="auto" w:fill="auto"/>
            <w:vAlign w:val="center"/>
          </w:tcPr>
          <w:p w14:paraId="00E83E7D">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
              </w:rPr>
              <w:t>委托人身份证扫描件</w:t>
            </w:r>
          </w:p>
          <w:p w14:paraId="60B176DC">
            <w:pPr>
              <w:keepNext w:val="0"/>
              <w:keepLines w:val="0"/>
              <w:widowControl w:val="0"/>
              <w:suppressLineNumbers w:val="0"/>
              <w:kinsoku/>
              <w:wordWrap/>
              <w:overflowPunct/>
              <w:bidi w:val="0"/>
              <w:spacing w:before="0" w:beforeAutospacing="0" w:after="0" w:afterAutospacing="0" w:line="360" w:lineRule="auto"/>
              <w:ind w:left="0" w:right="0"/>
              <w:jc w:val="center"/>
              <w:rPr>
                <w:rFonts w:hint="eastAsia" w:ascii="宋体" w:hAnsi="宋体" w:eastAsia="宋体" w:cs="宋体"/>
                <w:szCs w:val="21"/>
                <w:highlight w:val="none"/>
                <w:lang w:val="en-US"/>
              </w:rPr>
            </w:pPr>
            <w:r>
              <w:rPr>
                <w:rFonts w:hint="eastAsia" w:ascii="宋体" w:hAnsi="宋体" w:eastAsia="宋体" w:cs="宋体"/>
                <w:kern w:val="2"/>
                <w:sz w:val="24"/>
                <w:szCs w:val="24"/>
                <w:highlight w:val="none"/>
                <w:lang w:val="en-US" w:eastAsia="zh-CN" w:bidi="ar"/>
              </w:rPr>
              <w:t>（证件扫描正、反面）</w:t>
            </w:r>
          </w:p>
        </w:tc>
      </w:tr>
    </w:tbl>
    <w:p w14:paraId="0DE29675">
      <w:pPr>
        <w:keepNext w:val="0"/>
        <w:keepLines w:val="0"/>
        <w:widowControl w:val="0"/>
        <w:suppressLineNumbers w:val="0"/>
        <w:kinsoku/>
        <w:wordWrap/>
        <w:overflowPunct/>
        <w:bidi w:val="0"/>
        <w:spacing w:before="0" w:beforeAutospacing="0" w:after="0" w:afterAutospacing="0" w:line="360" w:lineRule="auto"/>
        <w:ind w:left="0" w:right="0"/>
        <w:jc w:val="both"/>
        <w:rPr>
          <w:highlight w:val="none"/>
          <w:lang w:val="en-US"/>
        </w:rPr>
      </w:pPr>
    </w:p>
    <w:p w14:paraId="67BF4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
          <w:bCs/>
          <w:sz w:val="24"/>
          <w:szCs w:val="24"/>
          <w:highlight w:val="none"/>
          <w:lang w:val="en-US"/>
        </w:rPr>
      </w:pPr>
      <w:r>
        <w:rPr>
          <w:rFonts w:hint="eastAsia" w:ascii="宋体" w:hAnsi="Times New Roman" w:eastAsia="宋体" w:cs="宋体"/>
          <w:b/>
          <w:bCs/>
          <w:kern w:val="2"/>
          <w:sz w:val="24"/>
          <w:szCs w:val="22"/>
          <w:highlight w:val="none"/>
          <w:lang w:val="en-US" w:eastAsia="zh-CN" w:bidi="ar"/>
        </w:rPr>
        <w:t>因本项目为电子标，委托代理人无法手写签字，可以电脑打印字体为准或以法定代表人签章为准。</w:t>
      </w:r>
    </w:p>
    <w:p w14:paraId="394DF742">
      <w:pPr>
        <w:kinsoku/>
        <w:overflowPunct/>
        <w:bidi w:val="0"/>
        <w:spacing w:line="360" w:lineRule="auto"/>
        <w:rPr>
          <w:rFonts w:hint="eastAsia" w:ascii="宋体" w:hAnsi="宋体" w:eastAsia="宋体" w:cs="宋体"/>
          <w:b/>
          <w:bCs w:val="0"/>
          <w:sz w:val="24"/>
          <w:szCs w:val="22"/>
          <w:highlight w:val="none"/>
          <w:lang w:val="en-US"/>
        </w:rPr>
      </w:pPr>
      <w:r>
        <w:rPr>
          <w:rFonts w:hint="eastAsia" w:ascii="宋体" w:hAnsi="宋体" w:eastAsia="宋体" w:cs="宋体"/>
          <w:b/>
          <w:bCs w:val="0"/>
          <w:sz w:val="24"/>
          <w:szCs w:val="22"/>
          <w:highlight w:val="none"/>
          <w:lang w:val="en-US"/>
        </w:rPr>
        <w:br w:type="page"/>
      </w:r>
    </w:p>
    <w:p w14:paraId="10E7AA94">
      <w:pPr>
        <w:keepNext w:val="0"/>
        <w:keepLines w:val="0"/>
        <w:pageBreakBefore/>
        <w:widowControl w:val="0"/>
        <w:suppressLineNumbers w:val="0"/>
        <w:kinsoku/>
        <w:wordWrap/>
        <w:overflowPunct/>
        <w:bidi w:val="0"/>
        <w:spacing w:before="0" w:beforeAutospacing="0" w:after="0" w:afterAutospacing="0" w:line="360" w:lineRule="auto"/>
        <w:ind w:left="0" w:right="0"/>
        <w:jc w:val="center"/>
        <w:outlineLvl w:val="1"/>
        <w:rPr>
          <w:rFonts w:hint="eastAsia" w:ascii="宋体" w:hAnsi="宋体" w:eastAsia="宋体" w:cs="宋体"/>
          <w:b/>
          <w:bCs/>
          <w:sz w:val="28"/>
          <w:szCs w:val="28"/>
          <w:highlight w:val="none"/>
          <w:lang w:val="en-US"/>
        </w:rPr>
      </w:pPr>
      <w:bookmarkStart w:id="500" w:name="_Toc26482"/>
      <w:r>
        <w:rPr>
          <w:rFonts w:hint="eastAsia" w:ascii="宋体" w:hAnsi="宋体" w:eastAsia="宋体" w:cs="宋体"/>
          <w:b/>
          <w:bCs/>
          <w:kern w:val="2"/>
          <w:sz w:val="28"/>
          <w:szCs w:val="28"/>
          <w:highlight w:val="none"/>
          <w:lang w:val="en-US" w:eastAsia="zh-CN" w:bidi="ar"/>
        </w:rPr>
        <w:t>五、</w:t>
      </w:r>
      <w:bookmarkEnd w:id="500"/>
      <w:r>
        <w:rPr>
          <w:rFonts w:hint="eastAsia" w:ascii="宋体" w:hAnsi="宋体" w:eastAsia="宋体" w:cs="宋体"/>
          <w:b/>
          <w:bCs/>
          <w:kern w:val="2"/>
          <w:sz w:val="28"/>
          <w:szCs w:val="28"/>
          <w:highlight w:val="none"/>
          <w:lang w:val="en-US" w:eastAsia="zh-CN" w:bidi="ar"/>
        </w:rPr>
        <w:t>业绩一览表及证明材料</w:t>
      </w:r>
    </w:p>
    <w:p w14:paraId="1A17F297">
      <w:pPr>
        <w:kinsoku/>
        <w:overflowPunct/>
        <w:bidi w:val="0"/>
        <w:spacing w:line="360" w:lineRule="auto"/>
        <w:ind w:firstLine="141"/>
        <w:rPr>
          <w:rFonts w:hint="default" w:ascii="Times New Roman" w:hAnsi="Times New Roman" w:cs="Times New Roman"/>
          <w:bCs/>
          <w:color w:val="auto"/>
          <w:sz w:val="20"/>
          <w:szCs w:val="20"/>
          <w:highlight w:val="none"/>
          <w:lang w:val="en-US" w:eastAsia="zh-CN"/>
        </w:rPr>
      </w:pPr>
      <w:r>
        <w:rPr>
          <w:rFonts w:ascii="Times New Roman" w:hAnsi="Times New Roman" w:cs="Times New Roman"/>
          <w:bCs/>
          <w:color w:val="auto"/>
          <w:sz w:val="20"/>
          <w:szCs w:val="20"/>
          <w:highlight w:val="none"/>
        </w:rPr>
        <w:t>项目名称：</w:t>
      </w:r>
    </w:p>
    <w:p w14:paraId="0776D3E6">
      <w:pPr>
        <w:kinsoku/>
        <w:overflowPunct/>
        <w:bidi w:val="0"/>
        <w:spacing w:line="360" w:lineRule="auto"/>
        <w:ind w:firstLine="141"/>
        <w:rPr>
          <w:rFonts w:ascii="Times New Roman" w:hAnsi="Times New Roman" w:cs="Times New Roman"/>
          <w:color w:val="auto"/>
          <w:sz w:val="20"/>
          <w:szCs w:val="20"/>
          <w:highlight w:val="none"/>
        </w:rPr>
      </w:pPr>
      <w:r>
        <w:rPr>
          <w:rFonts w:ascii="Times New Roman" w:hAnsi="Times New Roman" w:cs="Times New Roman"/>
          <w:bCs/>
          <w:color w:val="auto"/>
          <w:sz w:val="20"/>
          <w:szCs w:val="20"/>
          <w:highlight w:val="none"/>
        </w:rPr>
        <w:t>项目编号：</w:t>
      </w:r>
    </w:p>
    <w:tbl>
      <w:tblPr>
        <w:tblStyle w:val="21"/>
        <w:tblW w:w="8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620"/>
        <w:gridCol w:w="1440"/>
        <w:gridCol w:w="1356"/>
        <w:gridCol w:w="1356"/>
        <w:gridCol w:w="1811"/>
      </w:tblGrid>
      <w:tr w14:paraId="1D72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AB77528">
            <w:pPr>
              <w:kinsoku/>
              <w:overflowPunct/>
              <w:bidi w:val="0"/>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rPr>
              <w:t>序号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529EEDC">
            <w:pPr>
              <w:kinsoku/>
              <w:overflowPunct/>
              <w:bidi w:val="0"/>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rPr>
              <w:t>项目名称</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0AAC7B">
            <w:pPr>
              <w:kinsoku/>
              <w:overflowPunct/>
              <w:bidi w:val="0"/>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eastAsia="zh-CN"/>
              </w:rPr>
              <w:t>中标日期</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85261B8">
            <w:pPr>
              <w:kinsoku/>
              <w:overflowPunct/>
              <w:bidi w:val="0"/>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eastAsia="zh-CN"/>
              </w:rPr>
              <w:t>采购</w:t>
            </w:r>
            <w:r>
              <w:rPr>
                <w:rFonts w:ascii="Times New Roman" w:hAnsi="Times New Roman" w:cs="Times New Roman"/>
                <w:color w:val="auto"/>
                <w:sz w:val="20"/>
                <w:szCs w:val="20"/>
                <w:highlight w:val="none"/>
              </w:rPr>
              <w:t>单位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CD7D9EE">
            <w:pPr>
              <w:kinsoku/>
              <w:overflowPunct/>
              <w:bidi w:val="0"/>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eastAsia="zh-CN"/>
              </w:rPr>
              <w:t>中标金额</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539955D2">
            <w:pPr>
              <w:kinsoku/>
              <w:overflowPunct/>
              <w:bidi w:val="0"/>
              <w:spacing w:line="360" w:lineRule="auto"/>
              <w:jc w:val="center"/>
              <w:rPr>
                <w:rFonts w:ascii="Times New Roman" w:hAnsi="Times New Roman" w:cs="Times New Roman"/>
                <w:color w:val="auto"/>
                <w:sz w:val="20"/>
                <w:szCs w:val="20"/>
                <w:highlight w:val="none"/>
              </w:rPr>
            </w:pPr>
            <w:r>
              <w:rPr>
                <w:rFonts w:ascii="Times New Roman" w:hAnsi="Times New Roman" w:cs="Times New Roman"/>
                <w:color w:val="auto"/>
                <w:sz w:val="20"/>
                <w:szCs w:val="20"/>
                <w:highlight w:val="none"/>
                <w:lang w:eastAsia="zh-CN"/>
              </w:rPr>
              <w:t>合同签订时间</w:t>
            </w:r>
          </w:p>
        </w:tc>
      </w:tr>
      <w:tr w14:paraId="56A6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658AB3F">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3037D19">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7A0F0CA">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5C3487C">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23DDDF8">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69141C83">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r>
      <w:tr w14:paraId="4643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A5DA437">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80829A6">
            <w:pPr>
              <w:kinsoku/>
              <w:overflowPunct/>
              <w:bidi w:val="0"/>
              <w:snapToGrid w:val="0"/>
              <w:spacing w:line="360" w:lineRule="auto"/>
              <w:jc w:val="center"/>
              <w:rPr>
                <w:rFonts w:ascii="Times New Roman" w:hAnsi="Times New Roman" w:cs="Times New Roman"/>
                <w:color w:val="auto"/>
                <w:sz w:val="20"/>
                <w:szCs w:val="20"/>
                <w:highlight w:val="none"/>
                <w:lang w:eastAsia="zh-CN"/>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21CD84C">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29E02E3">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42C0834">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B70A6D9">
            <w:pPr>
              <w:kinsoku/>
              <w:overflowPunct/>
              <w:bidi w:val="0"/>
              <w:snapToGrid w:val="0"/>
              <w:spacing w:line="360" w:lineRule="auto"/>
              <w:jc w:val="center"/>
              <w:rPr>
                <w:rFonts w:ascii="Times New Roman" w:hAnsi="Times New Roman" w:cs="Times New Roman"/>
                <w:color w:val="auto"/>
                <w:sz w:val="20"/>
                <w:szCs w:val="20"/>
                <w:highlight w:val="none"/>
              </w:rPr>
            </w:pPr>
          </w:p>
        </w:tc>
      </w:tr>
      <w:tr w14:paraId="47B5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835FABC">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C061DC1">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3CBB45D">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023BB77">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A2878ED">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526808AF">
            <w:pPr>
              <w:kinsoku/>
              <w:overflowPunct/>
              <w:bidi w:val="0"/>
              <w:snapToGrid w:val="0"/>
              <w:spacing w:line="360" w:lineRule="auto"/>
              <w:jc w:val="center"/>
              <w:rPr>
                <w:rFonts w:ascii="Times New Roman" w:hAnsi="Times New Roman" w:cs="Times New Roman"/>
                <w:color w:val="auto"/>
                <w:sz w:val="20"/>
                <w:szCs w:val="20"/>
                <w:highlight w:val="none"/>
              </w:rPr>
            </w:pPr>
          </w:p>
        </w:tc>
      </w:tr>
      <w:tr w14:paraId="2ABC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20DA23EC">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5C1DA85">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6F59603">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11E0A42">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EED3E15">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6046C440">
            <w:pPr>
              <w:kinsoku/>
              <w:overflowPunct/>
              <w:bidi w:val="0"/>
              <w:snapToGrid w:val="0"/>
              <w:spacing w:line="360" w:lineRule="auto"/>
              <w:jc w:val="center"/>
              <w:rPr>
                <w:rFonts w:ascii="Times New Roman" w:hAnsi="Times New Roman" w:cs="Times New Roman"/>
                <w:color w:val="auto"/>
                <w:sz w:val="20"/>
                <w:szCs w:val="20"/>
                <w:highlight w:val="none"/>
              </w:rPr>
            </w:pPr>
          </w:p>
        </w:tc>
      </w:tr>
      <w:tr w14:paraId="4204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E06A895">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8850D0D">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91ECD21">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25EF70D">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9A12D63">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26B14441">
            <w:pPr>
              <w:kinsoku/>
              <w:overflowPunct/>
              <w:bidi w:val="0"/>
              <w:snapToGrid w:val="0"/>
              <w:spacing w:line="360" w:lineRule="auto"/>
              <w:jc w:val="center"/>
              <w:rPr>
                <w:rFonts w:ascii="Times New Roman" w:hAnsi="Times New Roman" w:cs="Times New Roman"/>
                <w:color w:val="auto"/>
                <w:sz w:val="20"/>
                <w:szCs w:val="20"/>
                <w:highlight w:val="none"/>
              </w:rPr>
            </w:pPr>
          </w:p>
        </w:tc>
      </w:tr>
      <w:tr w14:paraId="09B6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1B00A1C7">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FF91745">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324D43">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027ADFA">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0C6F156">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3F7A40F0">
            <w:pPr>
              <w:kinsoku/>
              <w:overflowPunct/>
              <w:bidi w:val="0"/>
              <w:snapToGrid w:val="0"/>
              <w:spacing w:line="360" w:lineRule="auto"/>
              <w:jc w:val="center"/>
              <w:rPr>
                <w:rFonts w:ascii="Times New Roman" w:hAnsi="Times New Roman" w:cs="Times New Roman"/>
                <w:color w:val="auto"/>
                <w:sz w:val="20"/>
                <w:szCs w:val="20"/>
                <w:highlight w:val="none"/>
              </w:rPr>
            </w:pPr>
          </w:p>
        </w:tc>
      </w:tr>
      <w:tr w14:paraId="5F54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358A2F36">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C7236ED">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67A3BBA">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7BE9A0A">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314390E">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1628099A">
            <w:pPr>
              <w:kinsoku/>
              <w:overflowPunct/>
              <w:bidi w:val="0"/>
              <w:snapToGrid w:val="0"/>
              <w:spacing w:line="360" w:lineRule="auto"/>
              <w:jc w:val="center"/>
              <w:rPr>
                <w:rFonts w:ascii="Times New Roman" w:hAnsi="Times New Roman" w:cs="Times New Roman"/>
                <w:color w:val="auto"/>
                <w:sz w:val="20"/>
                <w:szCs w:val="20"/>
                <w:highlight w:val="none"/>
              </w:rPr>
            </w:pPr>
          </w:p>
        </w:tc>
      </w:tr>
      <w:tr w14:paraId="37C0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0F57343E">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41DA179">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202978">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242D055">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13C544D">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08941C12">
            <w:pPr>
              <w:kinsoku/>
              <w:overflowPunct/>
              <w:bidi w:val="0"/>
              <w:snapToGrid w:val="0"/>
              <w:spacing w:line="360" w:lineRule="auto"/>
              <w:jc w:val="center"/>
              <w:rPr>
                <w:rFonts w:ascii="Times New Roman" w:hAnsi="Times New Roman" w:cs="Times New Roman"/>
                <w:color w:val="auto"/>
                <w:sz w:val="20"/>
                <w:szCs w:val="20"/>
                <w:highlight w:val="none"/>
              </w:rPr>
            </w:pPr>
          </w:p>
        </w:tc>
      </w:tr>
      <w:tr w14:paraId="2037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4C6363DF">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DC46E51">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1C2E5A">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F14FC5">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94B5FEF">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69F12711">
            <w:pPr>
              <w:kinsoku/>
              <w:overflowPunct/>
              <w:bidi w:val="0"/>
              <w:snapToGrid w:val="0"/>
              <w:spacing w:line="360" w:lineRule="auto"/>
              <w:jc w:val="center"/>
              <w:rPr>
                <w:rFonts w:ascii="Times New Roman" w:hAnsi="Times New Roman" w:cs="Times New Roman"/>
                <w:color w:val="auto"/>
                <w:sz w:val="20"/>
                <w:szCs w:val="20"/>
                <w:highlight w:val="none"/>
              </w:rPr>
            </w:pPr>
          </w:p>
        </w:tc>
      </w:tr>
      <w:tr w14:paraId="310D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7C3EAFAF">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F770BE0">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2A796D4">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07574ED">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9FCADC3">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4FC109CC">
            <w:pPr>
              <w:kinsoku/>
              <w:overflowPunct/>
              <w:bidi w:val="0"/>
              <w:snapToGrid w:val="0"/>
              <w:spacing w:line="360" w:lineRule="auto"/>
              <w:jc w:val="center"/>
              <w:rPr>
                <w:rFonts w:ascii="Times New Roman" w:hAnsi="Times New Roman" w:cs="Times New Roman"/>
                <w:color w:val="auto"/>
                <w:sz w:val="20"/>
                <w:szCs w:val="20"/>
                <w:highlight w:val="none"/>
              </w:rPr>
            </w:pPr>
          </w:p>
        </w:tc>
      </w:tr>
      <w:tr w14:paraId="4988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6FE5A112">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6D81A76">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7771462">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FD6FE75">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D0487A2">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354ECAE1">
            <w:pPr>
              <w:kinsoku/>
              <w:overflowPunct/>
              <w:bidi w:val="0"/>
              <w:snapToGrid w:val="0"/>
              <w:spacing w:line="360" w:lineRule="auto"/>
              <w:jc w:val="center"/>
              <w:rPr>
                <w:rFonts w:ascii="Times New Roman" w:hAnsi="Times New Roman" w:cs="Times New Roman"/>
                <w:color w:val="auto"/>
                <w:sz w:val="20"/>
                <w:szCs w:val="20"/>
                <w:highlight w:val="none"/>
              </w:rPr>
            </w:pPr>
          </w:p>
        </w:tc>
      </w:tr>
      <w:tr w14:paraId="3064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center"/>
          </w:tcPr>
          <w:p w14:paraId="515B14FC">
            <w:pPr>
              <w:kinsoku/>
              <w:overflowPunct/>
              <w:bidi w:val="0"/>
              <w:snapToGrid w:val="0"/>
              <w:spacing w:line="360" w:lineRule="auto"/>
              <w:jc w:val="center"/>
              <w:rPr>
                <w:rFonts w:ascii="Times New Roman" w:hAnsi="Times New Roman" w:cs="Times New Roman"/>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2167B8E">
            <w:pPr>
              <w:kinsoku/>
              <w:overflowPunct/>
              <w:bidi w:val="0"/>
              <w:snapToGrid w:val="0"/>
              <w:spacing w:line="360" w:lineRule="auto"/>
              <w:jc w:val="center"/>
              <w:rPr>
                <w:rFonts w:ascii="Times New Roman" w:hAnsi="Times New Roman" w:cs="Times New Roman"/>
                <w:color w:val="auto"/>
                <w:sz w:val="20"/>
                <w:szCs w:val="20"/>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6AFA3A4">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13D9A0B">
            <w:pPr>
              <w:kinsoku/>
              <w:overflowPunct/>
              <w:bidi w:val="0"/>
              <w:snapToGrid w:val="0"/>
              <w:spacing w:line="360" w:lineRule="auto"/>
              <w:jc w:val="center"/>
              <w:rPr>
                <w:rFonts w:ascii="Times New Roman" w:hAnsi="Times New Roman" w:cs="Times New Roman"/>
                <w:color w:val="auto"/>
                <w:sz w:val="20"/>
                <w:szCs w:val="20"/>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CC90072">
            <w:pPr>
              <w:kinsoku/>
              <w:overflowPunct/>
              <w:bidi w:val="0"/>
              <w:snapToGrid w:val="0"/>
              <w:spacing w:line="360" w:lineRule="auto"/>
              <w:jc w:val="center"/>
              <w:rPr>
                <w:rFonts w:ascii="Times New Roman" w:hAnsi="Times New Roman" w:cs="Times New Roman"/>
                <w:color w:val="auto"/>
                <w:sz w:val="20"/>
                <w:szCs w:val="20"/>
                <w:highlight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14:paraId="1D98C064">
            <w:pPr>
              <w:kinsoku/>
              <w:overflowPunct/>
              <w:bidi w:val="0"/>
              <w:snapToGrid w:val="0"/>
              <w:spacing w:line="360" w:lineRule="auto"/>
              <w:jc w:val="center"/>
              <w:rPr>
                <w:rFonts w:ascii="Times New Roman" w:hAnsi="Times New Roman" w:cs="Times New Roman"/>
                <w:color w:val="auto"/>
                <w:sz w:val="20"/>
                <w:szCs w:val="20"/>
                <w:highlight w:val="none"/>
              </w:rPr>
            </w:pPr>
          </w:p>
        </w:tc>
      </w:tr>
    </w:tbl>
    <w:p w14:paraId="68DE0DAC">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kern w:val="2"/>
          <w:sz w:val="24"/>
          <w:szCs w:val="22"/>
          <w:highlight w:val="none"/>
          <w:lang w:val="en-US" w:eastAsia="zh-CN" w:bidi="ar"/>
        </w:rPr>
      </w:pPr>
    </w:p>
    <w:p w14:paraId="0474FFCC">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kern w:val="2"/>
          <w:sz w:val="24"/>
          <w:szCs w:val="22"/>
          <w:highlight w:val="none"/>
          <w:lang w:val="en-US" w:eastAsia="zh-CN" w:bidi="ar"/>
        </w:rPr>
      </w:pPr>
    </w:p>
    <w:p w14:paraId="0EE6AF72">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投标供应商（盖章）：</w:t>
      </w:r>
    </w:p>
    <w:p w14:paraId="76F8C8C9">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法人代表或委托代理人（签字或盖章）：</w:t>
      </w:r>
    </w:p>
    <w:p w14:paraId="75D453F2">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日期：</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年</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月</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日</w:t>
      </w:r>
    </w:p>
    <w:p w14:paraId="5BE2303A">
      <w:pPr>
        <w:kinsoku/>
        <w:overflowPunct/>
        <w:bidi w:val="0"/>
        <w:spacing w:line="360" w:lineRule="auto"/>
        <w:rPr>
          <w:rFonts w:hint="eastAsia" w:ascii="宋体" w:hAnsi="宋体" w:eastAsia="宋体" w:cs="宋体"/>
          <w:b/>
          <w:bCs w:val="0"/>
          <w:sz w:val="24"/>
          <w:szCs w:val="24"/>
          <w:highlight w:val="none"/>
          <w:lang w:val="en-US"/>
        </w:rPr>
      </w:pPr>
      <w:r>
        <w:rPr>
          <w:rFonts w:hint="eastAsia" w:ascii="宋体" w:hAnsi="宋体" w:eastAsia="宋体" w:cs="宋体"/>
          <w:b/>
          <w:bCs w:val="0"/>
          <w:sz w:val="24"/>
          <w:szCs w:val="24"/>
          <w:highlight w:val="none"/>
          <w:lang w:val="en-US"/>
        </w:rPr>
        <w:br w:type="page"/>
      </w:r>
    </w:p>
    <w:p w14:paraId="6BA85C82">
      <w:pPr>
        <w:pStyle w:val="36"/>
        <w:pageBreakBefore/>
        <w:widowControl/>
        <w:kinsoku/>
        <w:wordWrap/>
        <w:overflowPunct/>
        <w:bidi w:val="0"/>
        <w:spacing w:line="360" w:lineRule="auto"/>
        <w:jc w:val="center"/>
        <w:outlineLvl w:val="1"/>
        <w:rPr>
          <w:rFonts w:hAnsi="宋体"/>
          <w:color w:val="auto"/>
          <w:highlight w:val="none"/>
          <w:lang w:val="en-US"/>
        </w:rPr>
      </w:pPr>
      <w:bookmarkStart w:id="501" w:name="_Toc10294"/>
      <w:r>
        <w:rPr>
          <w:rFonts w:hAnsi="宋体"/>
          <w:b/>
          <w:bCs/>
          <w:color w:val="auto"/>
          <w:sz w:val="28"/>
          <w:szCs w:val="28"/>
          <w:highlight w:val="none"/>
          <w:lang w:eastAsia="zh-CN"/>
        </w:rPr>
        <w:t>六、</w:t>
      </w:r>
      <w:bookmarkEnd w:id="501"/>
      <w:r>
        <w:rPr>
          <w:rFonts w:hint="eastAsia" w:hAnsi="宋体"/>
          <w:b/>
          <w:bCs/>
          <w:color w:val="auto"/>
          <w:sz w:val="28"/>
          <w:szCs w:val="28"/>
          <w:highlight w:val="none"/>
          <w:lang w:eastAsia="zh-CN"/>
        </w:rPr>
        <w:t>投标承诺函</w:t>
      </w:r>
    </w:p>
    <w:p w14:paraId="53A93F66">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我公司作为本次采购项目的供应商，根据招标文件要求，现郑重承诺如下：</w:t>
      </w:r>
    </w:p>
    <w:p w14:paraId="44CB8D5F">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1、符合《中华人民共和国政府采购法》第二十二条规定的条件；</w:t>
      </w:r>
    </w:p>
    <w:p w14:paraId="7BAACDA4">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（1）具有独立承担民事责任的能力；</w:t>
      </w:r>
    </w:p>
    <w:p w14:paraId="6091D3AE">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（2）具有良好的商业信誉和健全的财务会计制度；</w:t>
      </w:r>
    </w:p>
    <w:p w14:paraId="65F84D8D">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（3）具有履行合同所必需的设备和专业技术能力；</w:t>
      </w:r>
    </w:p>
    <w:p w14:paraId="64B8BED7">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（4）有依法缴纳税收和社会保障资金的良好记录；</w:t>
      </w:r>
    </w:p>
    <w:p w14:paraId="31AA71BB">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（5）参加本次政府采购活动前三年内，在经营活动中没有重大违法记录；</w:t>
      </w:r>
    </w:p>
    <w:p w14:paraId="118FE55D">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（6）符合国家法律、行政法规规定的其他条件。</w:t>
      </w:r>
    </w:p>
    <w:p w14:paraId="42DDA1D3">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2、我公司作为本项目参加政府采购活动的供应商、法定代表人/单位负责人近3年内不具有行贿犯罪记录。</w:t>
      </w:r>
    </w:p>
    <w:p w14:paraId="62981FE4">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3、我公司在截至投标截止日未被列入失信被执行人、重大税收违法案件当事人名单、政府采购严重违法失信行为记录名单。</w:t>
      </w:r>
    </w:p>
    <w:p w14:paraId="248B3BBA">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4、我公司未违反“单位负责人为同一人或者存在直接控股、管理关系的不同供应商，不得同时参加本采购项目（包组）投标。为本项目提供整体设计、规范编制或者项目管理、监理、检测等服务的供应商，不得再参与本项目投标。”的情形。</w:t>
      </w:r>
    </w:p>
    <w:p w14:paraId="5E48C1E9">
      <w:pPr>
        <w:keepNext w:val="0"/>
        <w:keepLines w:val="0"/>
        <w:widowControl w:val="0"/>
        <w:suppressLineNumbers w:val="0"/>
        <w:kinsoku/>
        <w:wordWrap/>
        <w:overflowPunct/>
        <w:bidi w:val="0"/>
        <w:spacing w:before="0" w:beforeAutospacing="0" w:after="0" w:afterAutospacing="0" w:line="360" w:lineRule="auto"/>
        <w:ind w:left="0" w:right="0" w:firstLine="480"/>
        <w:jc w:val="both"/>
        <w:rPr>
          <w:rFonts w:hint="eastAsia" w:ascii="宋体" w:hAnsi="宋体" w:eastAsia="宋体" w:cs="宋体"/>
          <w:kern w:val="2"/>
          <w:sz w:val="24"/>
          <w:szCs w:val="22"/>
          <w:highlight w:val="none"/>
          <w:lang w:val="en-US" w:eastAsia="zh-CN" w:bidi="ar"/>
        </w:rPr>
      </w:pPr>
      <w:r>
        <w:rPr>
          <w:rFonts w:hint="eastAsia" w:ascii="宋体" w:hAnsi="宋体" w:eastAsia="宋体" w:cs="宋体"/>
          <w:kern w:val="2"/>
          <w:sz w:val="24"/>
          <w:szCs w:val="22"/>
          <w:highlight w:val="none"/>
          <w:lang w:val="en-US" w:eastAsia="zh-CN" w:bidi="ar"/>
        </w:rPr>
        <w:t>本公司对上述承诺的内容事项真实性负责。如经查实上述承诺的内容事项存在虚假，我公司愿意接受以提供虚假材料谋取中标追究法律责任。</w:t>
      </w:r>
    </w:p>
    <w:p w14:paraId="77D53187">
      <w:pPr>
        <w:kinsoku/>
        <w:overflowPunct/>
        <w:bidi w:val="0"/>
        <w:spacing w:line="360" w:lineRule="auto"/>
        <w:rPr>
          <w:rFonts w:hAnsi="宋体" w:eastAsia="宋体"/>
          <w:b/>
          <w:bCs/>
          <w:szCs w:val="28"/>
          <w:highlight w:val="none"/>
          <w:lang w:val="en-US"/>
        </w:rPr>
      </w:pPr>
    </w:p>
    <w:p w14:paraId="632EB985">
      <w:pPr>
        <w:kinsoku/>
        <w:overflowPunct/>
        <w:bidi w:val="0"/>
        <w:spacing w:line="360" w:lineRule="auto"/>
        <w:rPr>
          <w:rFonts w:hAnsi="宋体" w:eastAsia="宋体"/>
          <w:b/>
          <w:bCs/>
          <w:szCs w:val="28"/>
          <w:highlight w:val="none"/>
          <w:lang w:val="en-US"/>
        </w:rPr>
      </w:pPr>
    </w:p>
    <w:p w14:paraId="5AA4E667">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投标供应商（盖章）：</w:t>
      </w:r>
    </w:p>
    <w:p w14:paraId="255E60C2">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法人代表或委托代理人（签字或盖章）：</w:t>
      </w:r>
    </w:p>
    <w:p w14:paraId="034ADB23">
      <w:pPr>
        <w:keepNext w:val="0"/>
        <w:keepLines w:val="0"/>
        <w:widowControl w:val="0"/>
        <w:suppressLineNumbers w:val="0"/>
        <w:kinsoku/>
        <w:wordWrap/>
        <w:overflowPunct/>
        <w:bidi w:val="0"/>
        <w:spacing w:before="0" w:beforeAutospacing="0" w:after="0" w:afterAutospacing="0" w:line="360" w:lineRule="auto"/>
        <w:ind w:left="0" w:right="0" w:firstLine="4140" w:firstLineChars="1725"/>
        <w:jc w:val="both"/>
        <w:rPr>
          <w:rFonts w:hint="eastAsia" w:ascii="宋体" w:hAnsi="宋体" w:eastAsia="宋体" w:cs="宋体"/>
          <w:sz w:val="24"/>
          <w:szCs w:val="22"/>
          <w:highlight w:val="none"/>
          <w:lang w:val="en-US"/>
        </w:rPr>
      </w:pPr>
      <w:r>
        <w:rPr>
          <w:rFonts w:hint="eastAsia" w:ascii="宋体" w:hAnsi="宋体" w:eastAsia="宋体" w:cs="宋体"/>
          <w:kern w:val="2"/>
          <w:sz w:val="24"/>
          <w:szCs w:val="22"/>
          <w:highlight w:val="none"/>
          <w:lang w:val="en-US" w:eastAsia="zh-CN" w:bidi="ar"/>
        </w:rPr>
        <w:t>日期：</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年</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月</w:t>
      </w:r>
      <w:r>
        <w:rPr>
          <w:rFonts w:hint="eastAsia" w:ascii="宋体" w:hAnsi="宋体" w:eastAsia="宋体" w:cs="宋体"/>
          <w:kern w:val="2"/>
          <w:sz w:val="24"/>
          <w:szCs w:val="22"/>
          <w:highlight w:val="none"/>
          <w:u w:val="single"/>
          <w:lang w:val="en-US" w:eastAsia="zh-CN" w:bidi="ar"/>
        </w:rPr>
        <w:t xml:space="preserve">      </w:t>
      </w:r>
      <w:r>
        <w:rPr>
          <w:rFonts w:hint="eastAsia" w:ascii="宋体" w:hAnsi="宋体" w:eastAsia="宋体" w:cs="宋体"/>
          <w:kern w:val="2"/>
          <w:sz w:val="24"/>
          <w:szCs w:val="22"/>
          <w:highlight w:val="none"/>
          <w:lang w:val="en-US" w:eastAsia="zh-CN" w:bidi="ar"/>
        </w:rPr>
        <w:t>日</w:t>
      </w:r>
    </w:p>
    <w:p w14:paraId="60734B18">
      <w:pPr>
        <w:kinsoku/>
        <w:overflowPunct/>
        <w:bidi w:val="0"/>
        <w:spacing w:line="360" w:lineRule="auto"/>
        <w:rPr>
          <w:rFonts w:hAnsi="宋体" w:eastAsia="宋体"/>
          <w:b/>
          <w:bCs/>
          <w:szCs w:val="28"/>
          <w:highlight w:val="none"/>
          <w:lang w:val="en-US"/>
        </w:rPr>
      </w:pPr>
    </w:p>
    <w:p w14:paraId="112A0922">
      <w:pPr>
        <w:kinsoku/>
        <w:overflowPunct/>
        <w:bidi w:val="0"/>
        <w:spacing w:line="360" w:lineRule="auto"/>
        <w:rPr>
          <w:rFonts w:hAnsi="宋体" w:eastAsia="宋体"/>
          <w:b/>
          <w:bCs/>
          <w:szCs w:val="28"/>
          <w:highlight w:val="none"/>
          <w:lang w:val="en-US"/>
        </w:rPr>
      </w:pPr>
    </w:p>
    <w:p w14:paraId="6AB3F388">
      <w:pPr>
        <w:kinsoku/>
        <w:overflowPunct/>
        <w:bidi w:val="0"/>
        <w:spacing w:line="360" w:lineRule="auto"/>
        <w:rPr>
          <w:rFonts w:hAnsi="宋体" w:eastAsia="宋体"/>
          <w:b/>
          <w:bCs/>
          <w:szCs w:val="28"/>
          <w:highlight w:val="none"/>
          <w:lang w:val="en-US"/>
        </w:rPr>
      </w:pPr>
      <w:r>
        <w:rPr>
          <w:rFonts w:hAnsi="宋体" w:eastAsia="宋体"/>
          <w:b/>
          <w:bCs/>
          <w:szCs w:val="28"/>
          <w:highlight w:val="none"/>
          <w:lang w:val="en-US"/>
        </w:rPr>
        <w:br w:type="page"/>
      </w:r>
    </w:p>
    <w:p w14:paraId="3BBDC05E">
      <w:pPr>
        <w:pStyle w:val="41"/>
        <w:widowControl/>
        <w:numPr>
          <w:ilvl w:val="1"/>
          <w:numId w:val="0"/>
        </w:numPr>
        <w:kinsoku/>
        <w:wordWrap/>
        <w:overflowPunct/>
        <w:bidi w:val="0"/>
        <w:spacing w:before="0" w:beforeAutospacing="0" w:line="360" w:lineRule="auto"/>
        <w:ind w:left="-420" w:leftChars="0" w:right="0" w:rightChars="0"/>
        <w:jc w:val="center"/>
        <w:rPr>
          <w:rFonts w:hint="eastAsia" w:ascii="宋体" w:hAnsi="宋体" w:eastAsia="宋体" w:cs="宋体"/>
          <w:b/>
          <w:bCs/>
          <w:szCs w:val="28"/>
          <w:highlight w:val="none"/>
          <w:lang w:val="en-US"/>
        </w:rPr>
      </w:pPr>
      <w:bookmarkStart w:id="502" w:name="_Toc20318"/>
      <w:r>
        <w:rPr>
          <w:rFonts w:hint="eastAsia" w:ascii="宋体" w:hAnsi="宋体" w:eastAsia="宋体" w:cs="宋体"/>
          <w:b/>
          <w:bCs/>
          <w:szCs w:val="28"/>
          <w:highlight w:val="none"/>
          <w:lang w:eastAsia="zh-CN"/>
        </w:rPr>
        <w:t>七、</w:t>
      </w:r>
      <w:bookmarkEnd w:id="502"/>
      <w:r>
        <w:rPr>
          <w:rFonts w:hint="eastAsia" w:ascii="宋体" w:hAnsi="宋体" w:eastAsia="宋体" w:cs="宋体"/>
          <w:b/>
          <w:bCs/>
          <w:szCs w:val="28"/>
          <w:highlight w:val="none"/>
          <w:lang w:eastAsia="zh-CN"/>
        </w:rPr>
        <w:t>供应商资格审查资料</w:t>
      </w:r>
    </w:p>
    <w:p w14:paraId="177E1348">
      <w:pPr>
        <w:kinsoku/>
        <w:overflowPunct/>
        <w:bidi w:val="0"/>
        <w:spacing w:line="360" w:lineRule="auto"/>
        <w:rPr>
          <w:b/>
          <w:bCs w:val="0"/>
          <w:sz w:val="32"/>
          <w:szCs w:val="32"/>
          <w:highlight w:val="none"/>
          <w:lang w:val="en-US"/>
        </w:rPr>
      </w:pPr>
      <w:r>
        <w:rPr>
          <w:b/>
          <w:bCs w:val="0"/>
          <w:sz w:val="32"/>
          <w:szCs w:val="32"/>
          <w:highlight w:val="none"/>
          <w:lang w:val="en-US"/>
        </w:rPr>
        <w:br w:type="page"/>
      </w:r>
    </w:p>
    <w:p w14:paraId="7AE4C9EF">
      <w:pPr>
        <w:pStyle w:val="41"/>
        <w:widowControl/>
        <w:numPr>
          <w:ilvl w:val="1"/>
          <w:numId w:val="0"/>
        </w:numPr>
        <w:kinsoku/>
        <w:wordWrap/>
        <w:overflowPunct/>
        <w:bidi w:val="0"/>
        <w:spacing w:before="0" w:beforeAutospacing="0" w:line="360" w:lineRule="auto"/>
        <w:ind w:left="-420" w:leftChars="0" w:right="0" w:rightChars="0"/>
        <w:jc w:val="center"/>
        <w:rPr>
          <w:rFonts w:hint="eastAsia" w:ascii="宋体" w:hAnsi="宋体" w:eastAsia="宋体" w:cs="宋体"/>
          <w:b/>
          <w:bCs/>
          <w:szCs w:val="28"/>
          <w:highlight w:val="none"/>
          <w:lang w:val="en-US" w:eastAsia="zh-CN"/>
        </w:rPr>
      </w:pPr>
      <w:bookmarkStart w:id="503" w:name="_Toc30016"/>
      <w:r>
        <w:rPr>
          <w:rFonts w:hint="eastAsia" w:ascii="宋体" w:hAnsi="宋体" w:eastAsia="宋体" w:cs="宋体"/>
          <w:b/>
          <w:bCs/>
          <w:szCs w:val="28"/>
          <w:highlight w:val="none"/>
          <w:lang w:val="en-US" w:eastAsia="zh-CN"/>
        </w:rPr>
        <w:t>八、</w:t>
      </w:r>
      <w:bookmarkEnd w:id="503"/>
      <w:r>
        <w:rPr>
          <w:rFonts w:hint="eastAsia" w:ascii="宋体" w:hAnsi="宋体" w:eastAsia="宋体" w:cs="宋体"/>
          <w:b/>
          <w:bCs/>
          <w:szCs w:val="28"/>
          <w:highlight w:val="none"/>
          <w:lang w:val="en-US" w:eastAsia="zh-CN"/>
        </w:rPr>
        <w:t>技术标</w:t>
      </w:r>
    </w:p>
    <w:p w14:paraId="30FE49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bookmarkStart w:id="504" w:name="_Toc152042593"/>
      <w:bookmarkEnd w:id="504"/>
      <w:bookmarkStart w:id="505" w:name="_Toc152045804"/>
      <w:bookmarkEnd w:id="505"/>
      <w:bookmarkStart w:id="506" w:name="_Toc179632824"/>
      <w:bookmarkEnd w:id="506"/>
      <w:r>
        <w:rPr>
          <w:rFonts w:hint="eastAsia" w:ascii="宋体" w:hAnsi="宋体" w:eastAsia="宋体" w:cs="宋体"/>
          <w:b/>
          <w:bCs/>
          <w:sz w:val="24"/>
          <w:szCs w:val="24"/>
          <w:highlight w:val="none"/>
          <w:lang w:val="en-US" w:eastAsia="zh-CN"/>
        </w:rPr>
        <w:t>1、技术偏离表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002"/>
        <w:gridCol w:w="1420"/>
        <w:gridCol w:w="1772"/>
        <w:gridCol w:w="1237"/>
        <w:gridCol w:w="1253"/>
      </w:tblGrid>
      <w:tr w14:paraId="29B8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ACD01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2002" w:type="dxa"/>
            <w:vAlign w:val="center"/>
          </w:tcPr>
          <w:p w14:paraId="43EBB3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标的名称</w:t>
            </w:r>
          </w:p>
        </w:tc>
        <w:tc>
          <w:tcPr>
            <w:tcW w:w="1420" w:type="dxa"/>
            <w:vAlign w:val="center"/>
          </w:tcPr>
          <w:p w14:paraId="4B64A9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招标技术要求</w:t>
            </w:r>
          </w:p>
        </w:tc>
        <w:tc>
          <w:tcPr>
            <w:tcW w:w="1772" w:type="dxa"/>
            <w:vAlign w:val="center"/>
          </w:tcPr>
          <w:p w14:paraId="7E2F22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供应商提供响应内容</w:t>
            </w:r>
          </w:p>
        </w:tc>
        <w:tc>
          <w:tcPr>
            <w:tcW w:w="1237" w:type="dxa"/>
            <w:vAlign w:val="center"/>
          </w:tcPr>
          <w:p w14:paraId="11435C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偏离程度</w:t>
            </w:r>
          </w:p>
        </w:tc>
        <w:tc>
          <w:tcPr>
            <w:tcW w:w="1253" w:type="dxa"/>
            <w:vAlign w:val="center"/>
          </w:tcPr>
          <w:p w14:paraId="24D2F7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31C4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5150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1</w:t>
            </w:r>
          </w:p>
        </w:tc>
        <w:tc>
          <w:tcPr>
            <w:tcW w:w="2002" w:type="dxa"/>
            <w:vAlign w:val="center"/>
          </w:tcPr>
          <w:p w14:paraId="039A42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131FFE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7279A3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6CC43A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4F112C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r w14:paraId="0A11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EF6B9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2</w:t>
            </w:r>
          </w:p>
        </w:tc>
        <w:tc>
          <w:tcPr>
            <w:tcW w:w="2002" w:type="dxa"/>
            <w:vAlign w:val="center"/>
          </w:tcPr>
          <w:p w14:paraId="3E4733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6411E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61B59D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2D5147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1AB9DE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r w14:paraId="6EE1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FB5BD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3</w:t>
            </w:r>
          </w:p>
        </w:tc>
        <w:tc>
          <w:tcPr>
            <w:tcW w:w="2002" w:type="dxa"/>
            <w:vAlign w:val="center"/>
          </w:tcPr>
          <w:p w14:paraId="29313B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4604B3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610311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66392C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6A2596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r w14:paraId="33DA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A4977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w:t>
            </w:r>
          </w:p>
        </w:tc>
        <w:tc>
          <w:tcPr>
            <w:tcW w:w="2002" w:type="dxa"/>
            <w:vAlign w:val="center"/>
          </w:tcPr>
          <w:p w14:paraId="10FDCC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5F156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072B95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0861E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65E025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bl>
    <w:p w14:paraId="020DCC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w:t>
      </w:r>
    </w:p>
    <w:p w14:paraId="12FF8D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供应商应当如实填写上表“供应商提供响应内容”处内容，对招标文件提出的要求和条件作出明确响应，并列明具体响应数值或内容，只注明符合、满足等无具体内容表述的，将视为未实质性满足招标文件要求。</w:t>
      </w:r>
    </w:p>
    <w:p w14:paraId="2B3056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（2）“偏离程度”处可填写满足、响应或正偏离、负偏离。</w:t>
      </w:r>
    </w:p>
    <w:p w14:paraId="48381F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（3）上表中“招标技术要求”应详细填写招标要求。</w:t>
      </w:r>
    </w:p>
    <w:p w14:paraId="4BED07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2、技术方案</w:t>
      </w:r>
    </w:p>
    <w:p w14:paraId="2D10B0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689A0E05">
      <w:pPr>
        <w:pStyle w:val="41"/>
        <w:widowControl/>
        <w:numPr>
          <w:ilvl w:val="1"/>
          <w:numId w:val="0"/>
        </w:numPr>
        <w:kinsoku/>
        <w:wordWrap/>
        <w:overflowPunct/>
        <w:bidi w:val="0"/>
        <w:spacing w:before="0" w:beforeAutospacing="0" w:line="360" w:lineRule="auto"/>
        <w:ind w:left="-420" w:leftChars="0" w:right="0" w:rightChars="0"/>
        <w:jc w:val="center"/>
        <w:rPr>
          <w:rFonts w:hint="eastAsia" w:ascii="宋体" w:hAnsi="宋体" w:eastAsia="宋体" w:cs="宋体"/>
          <w:b/>
          <w:bCs/>
          <w:szCs w:val="28"/>
          <w:highlight w:val="none"/>
          <w:lang w:eastAsia="zh-CN"/>
        </w:rPr>
      </w:pPr>
      <w:bookmarkStart w:id="507" w:name="_Toc179632833"/>
      <w:bookmarkEnd w:id="507"/>
      <w:bookmarkStart w:id="508" w:name="_Toc152042602"/>
      <w:bookmarkEnd w:id="508"/>
      <w:bookmarkStart w:id="509" w:name="_Toc152045813"/>
      <w:bookmarkEnd w:id="509"/>
      <w:bookmarkStart w:id="510" w:name="_Toc27260"/>
      <w:r>
        <w:rPr>
          <w:rFonts w:hint="eastAsia" w:ascii="宋体" w:hAnsi="宋体" w:eastAsia="宋体" w:cs="宋体"/>
          <w:b/>
          <w:bCs/>
          <w:szCs w:val="28"/>
          <w:highlight w:val="none"/>
          <w:lang w:eastAsia="zh-CN"/>
        </w:rPr>
        <w:t>九、</w:t>
      </w:r>
      <w:bookmarkEnd w:id="510"/>
      <w:r>
        <w:rPr>
          <w:rFonts w:hint="eastAsia" w:ascii="宋体" w:hAnsi="宋体" w:eastAsia="宋体" w:cs="宋体"/>
          <w:b/>
          <w:bCs/>
          <w:szCs w:val="28"/>
          <w:highlight w:val="none"/>
          <w:lang w:eastAsia="zh-CN"/>
        </w:rPr>
        <w:t>商务标</w:t>
      </w:r>
    </w:p>
    <w:p w14:paraId="14382F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002"/>
        <w:gridCol w:w="1420"/>
        <w:gridCol w:w="1772"/>
        <w:gridCol w:w="1237"/>
        <w:gridCol w:w="1253"/>
      </w:tblGrid>
      <w:tr w14:paraId="5BB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55EA2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2002" w:type="dxa"/>
            <w:vAlign w:val="center"/>
          </w:tcPr>
          <w:p w14:paraId="18C4CC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商务条款</w:t>
            </w:r>
          </w:p>
        </w:tc>
        <w:tc>
          <w:tcPr>
            <w:tcW w:w="1420" w:type="dxa"/>
            <w:vAlign w:val="center"/>
          </w:tcPr>
          <w:p w14:paraId="317C5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招标技术要求</w:t>
            </w:r>
          </w:p>
        </w:tc>
        <w:tc>
          <w:tcPr>
            <w:tcW w:w="1772" w:type="dxa"/>
            <w:vAlign w:val="center"/>
          </w:tcPr>
          <w:p w14:paraId="4BDEDB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供应商提供响应内容</w:t>
            </w:r>
          </w:p>
        </w:tc>
        <w:tc>
          <w:tcPr>
            <w:tcW w:w="1237" w:type="dxa"/>
            <w:vAlign w:val="center"/>
          </w:tcPr>
          <w:p w14:paraId="57A471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偏离程度</w:t>
            </w:r>
          </w:p>
        </w:tc>
        <w:tc>
          <w:tcPr>
            <w:tcW w:w="1253" w:type="dxa"/>
            <w:vAlign w:val="center"/>
          </w:tcPr>
          <w:p w14:paraId="738FE6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7ED0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154F8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1</w:t>
            </w:r>
          </w:p>
        </w:tc>
        <w:tc>
          <w:tcPr>
            <w:tcW w:w="2002" w:type="dxa"/>
            <w:vAlign w:val="center"/>
          </w:tcPr>
          <w:p w14:paraId="53C1A5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6CFF3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40D49B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7DF094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7205F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r w14:paraId="0E0A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B8157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2</w:t>
            </w:r>
          </w:p>
        </w:tc>
        <w:tc>
          <w:tcPr>
            <w:tcW w:w="2002" w:type="dxa"/>
            <w:vAlign w:val="center"/>
          </w:tcPr>
          <w:p w14:paraId="31781C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3414AD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22C758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4D5D8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1E29BC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r w14:paraId="78A5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8E60E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3</w:t>
            </w:r>
          </w:p>
        </w:tc>
        <w:tc>
          <w:tcPr>
            <w:tcW w:w="2002" w:type="dxa"/>
            <w:vAlign w:val="center"/>
          </w:tcPr>
          <w:p w14:paraId="3B7FC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1C231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05C339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296217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631883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r w14:paraId="3E65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DF3B4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w:t>
            </w:r>
          </w:p>
        </w:tc>
        <w:tc>
          <w:tcPr>
            <w:tcW w:w="2002" w:type="dxa"/>
            <w:vAlign w:val="center"/>
          </w:tcPr>
          <w:p w14:paraId="22AA1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420" w:type="dxa"/>
            <w:vAlign w:val="center"/>
          </w:tcPr>
          <w:p w14:paraId="1D9A8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772" w:type="dxa"/>
            <w:vAlign w:val="center"/>
          </w:tcPr>
          <w:p w14:paraId="26A30B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37" w:type="dxa"/>
            <w:vAlign w:val="center"/>
          </w:tcPr>
          <w:p w14:paraId="6E465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c>
          <w:tcPr>
            <w:tcW w:w="1253" w:type="dxa"/>
            <w:vAlign w:val="center"/>
          </w:tcPr>
          <w:p w14:paraId="58C74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vertAlign w:val="baseline"/>
                <w:lang w:val="en-US" w:eastAsia="zh-CN"/>
              </w:rPr>
            </w:pPr>
          </w:p>
        </w:tc>
      </w:tr>
    </w:tbl>
    <w:p w14:paraId="780FFB88">
      <w:pPr>
        <w:bidi w:val="0"/>
        <w:rPr>
          <w:rFonts w:hint="eastAsia"/>
          <w:highlight w:val="none"/>
          <w:lang w:val="en-US" w:eastAsia="zh-CN"/>
        </w:rPr>
      </w:pPr>
    </w:p>
    <w:p w14:paraId="2BE397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2、其他商务部分</w:t>
      </w:r>
    </w:p>
    <w:p w14:paraId="7B162E97">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0489D87">
      <w:pPr>
        <w:pStyle w:val="10"/>
        <w:pageBreakBefore/>
        <w:widowControl/>
        <w:kinsoku/>
        <w:wordWrap/>
        <w:overflowPunct/>
        <w:bidi w:val="0"/>
        <w:spacing w:after="0" w:afterAutospacing="0" w:line="360" w:lineRule="auto"/>
        <w:jc w:val="center"/>
        <w:outlineLvl w:val="1"/>
        <w:rPr>
          <w:rFonts w:hint="eastAsia" w:ascii="宋体" w:hAnsi="宋体" w:eastAsia="宋体" w:cs="宋体"/>
          <w:b/>
          <w:bCs/>
          <w:sz w:val="28"/>
          <w:szCs w:val="28"/>
          <w:highlight w:val="none"/>
          <w:lang w:val="en-US"/>
        </w:rPr>
      </w:pPr>
      <w:bookmarkStart w:id="511" w:name="_Toc21632"/>
      <w:r>
        <w:rPr>
          <w:rFonts w:hint="eastAsia" w:ascii="宋体" w:hAnsi="宋体" w:eastAsia="宋体" w:cs="宋体"/>
          <w:b/>
          <w:bCs/>
          <w:sz w:val="28"/>
          <w:szCs w:val="28"/>
          <w:highlight w:val="none"/>
          <w:lang w:eastAsia="zh-CN"/>
        </w:rPr>
        <w:t>十、</w:t>
      </w:r>
      <w:r>
        <w:rPr>
          <w:rFonts w:hint="eastAsia" w:ascii="宋体" w:hAnsi="宋体" w:cs="宋体"/>
          <w:b/>
          <w:bCs/>
          <w:sz w:val="28"/>
          <w:szCs w:val="28"/>
          <w:highlight w:val="none"/>
          <w:lang w:eastAsia="zh-CN"/>
        </w:rPr>
        <w:t>投标供应商</w:t>
      </w:r>
      <w:r>
        <w:rPr>
          <w:rFonts w:hint="eastAsia" w:ascii="宋体" w:hAnsi="宋体" w:eastAsia="宋体" w:cs="宋体"/>
          <w:b/>
          <w:bCs/>
          <w:sz w:val="28"/>
          <w:szCs w:val="28"/>
          <w:highlight w:val="none"/>
          <w:lang w:eastAsia="zh-CN"/>
        </w:rPr>
        <w:t>认为有利于投标的其他证明资料</w:t>
      </w:r>
      <w:bookmarkEnd w:id="511"/>
    </w:p>
    <w:p w14:paraId="653D6177">
      <w:pPr>
        <w:keepNext w:val="0"/>
        <w:keepLines w:val="0"/>
        <w:widowControl w:val="0"/>
        <w:suppressLineNumbers w:val="0"/>
        <w:kinsoku/>
        <w:wordWrap/>
        <w:overflowPunct/>
        <w:bidi w:val="0"/>
        <w:spacing w:before="0" w:beforeAutospacing="0" w:after="0" w:afterAutospacing="0" w:line="360" w:lineRule="auto"/>
        <w:ind w:left="0" w:right="0" w:firstLine="480" w:firstLineChars="20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（评分办法中提到的其他资料及投标供应商认为应附的其他资料，格式自拟，应逐页加盖单位公章）</w:t>
      </w:r>
    </w:p>
    <w:p w14:paraId="52097819">
      <w:pPr>
        <w:kinsoku/>
        <w:overflowPunct/>
        <w:bidi w:val="0"/>
        <w:spacing w:line="360" w:lineRule="auto"/>
        <w:rPr>
          <w:highlight w:val="none"/>
        </w:rPr>
      </w:pPr>
    </w:p>
    <w:sectPr>
      <w:footerReference r:id="rId3" w:type="default"/>
      <w:pgSz w:w="11906" w:h="16838"/>
      <w:pgMar w:top="1440" w:right="1800" w:bottom="1440" w:left="1800" w:header="851" w:footer="85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A58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4388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B4388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3E4A6"/>
    <w:multiLevelType w:val="multilevel"/>
    <w:tmpl w:val="49B3E4A6"/>
    <w:lvl w:ilvl="0" w:tentative="0">
      <w:start w:val="2"/>
      <w:numFmt w:val="japaneseCounting"/>
      <w:pStyle w:val="2"/>
      <w:lvlText w:val="第%1章"/>
      <w:lvlJc w:val="left"/>
      <w:pPr>
        <w:tabs>
          <w:tab w:val="left" w:pos="2445"/>
        </w:tabs>
        <w:ind w:left="2445" w:hanging="2445"/>
      </w:pPr>
    </w:lvl>
    <w:lvl w:ilvl="1" w:tentative="0">
      <w:start w:val="1"/>
      <w:numFmt w:val="lowerLetter"/>
      <w:pStyle w:val="3"/>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jZkN2MwMDdmMDgyMTg0MDg2NjQ2OTA5YWNiMWUifQ=="/>
  </w:docVars>
  <w:rsids>
    <w:rsidRoot w:val="7AFB6BAC"/>
    <w:rsid w:val="042F7A55"/>
    <w:rsid w:val="0C483EDB"/>
    <w:rsid w:val="0DC66D05"/>
    <w:rsid w:val="13BF3CB4"/>
    <w:rsid w:val="1451301B"/>
    <w:rsid w:val="16074865"/>
    <w:rsid w:val="23E57EAB"/>
    <w:rsid w:val="32AB2A34"/>
    <w:rsid w:val="3445656C"/>
    <w:rsid w:val="35F02AFE"/>
    <w:rsid w:val="3EE873E3"/>
    <w:rsid w:val="3F0166FF"/>
    <w:rsid w:val="40AA46A6"/>
    <w:rsid w:val="4B7A736B"/>
    <w:rsid w:val="51140B00"/>
    <w:rsid w:val="5C26151C"/>
    <w:rsid w:val="638E5E8C"/>
    <w:rsid w:val="696A624D"/>
    <w:rsid w:val="69955291"/>
    <w:rsid w:val="6AC02140"/>
    <w:rsid w:val="71FA3FE3"/>
    <w:rsid w:val="72D5798D"/>
    <w:rsid w:val="789D3E6D"/>
    <w:rsid w:val="7AFB6BAC"/>
    <w:rsid w:val="7BE3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val="0"/>
      <w:numPr>
        <w:ilvl w:val="0"/>
        <w:numId w:val="1"/>
      </w:numPr>
      <w:suppressLineNumbers w:val="0"/>
      <w:spacing w:before="160" w:beforeAutospacing="0" w:after="160" w:afterAutospacing="0" w:line="160" w:lineRule="atLeast"/>
      <w:ind w:left="2445" w:right="0" w:hanging="2445"/>
      <w:jc w:val="both"/>
      <w:outlineLvl w:val="0"/>
    </w:pPr>
    <w:rPr>
      <w:rFonts w:hint="eastAsia" w:ascii="黑体" w:hAnsi="Times New Roman" w:eastAsia="黑体" w:cs="Times New Roman"/>
      <w:kern w:val="44"/>
      <w:sz w:val="32"/>
      <w:szCs w:val="24"/>
      <w:lang w:val="en-US" w:eastAsia="zh-CN" w:bidi="ar"/>
    </w:rPr>
  </w:style>
  <w:style w:type="paragraph" w:styleId="3">
    <w:name w:val="heading 2"/>
    <w:basedOn w:val="1"/>
    <w:next w:val="1"/>
    <w:autoRedefine/>
    <w:semiHidden/>
    <w:unhideWhenUsed/>
    <w:qFormat/>
    <w:uiPriority w:val="0"/>
    <w:pPr>
      <w:keepNext/>
      <w:keepLines/>
      <w:widowControl w:val="0"/>
      <w:numPr>
        <w:ilvl w:val="1"/>
        <w:numId w:val="1"/>
      </w:numPr>
      <w:suppressLineNumbers w:val="0"/>
      <w:spacing w:before="160" w:beforeAutospacing="0" w:after="160" w:afterAutospacing="0" w:line="160" w:lineRule="atLeast"/>
      <w:ind w:left="840" w:right="0" w:hanging="420"/>
      <w:jc w:val="both"/>
      <w:outlineLvl w:val="1"/>
    </w:pPr>
    <w:rPr>
      <w:rFonts w:hint="eastAsia" w:ascii="黑体" w:hAnsi="Arial" w:eastAsia="黑体" w:cs="Times New Roman"/>
      <w:kern w:val="2"/>
      <w:sz w:val="28"/>
      <w:szCs w:val="24"/>
      <w:lang w:val="en-US" w:eastAsia="zh-CN" w:bidi="ar"/>
    </w:rPr>
  </w:style>
  <w:style w:type="paragraph" w:styleId="4">
    <w:name w:val="heading 3"/>
    <w:basedOn w:val="1"/>
    <w:next w:val="5"/>
    <w:autoRedefine/>
    <w:semiHidden/>
    <w:unhideWhenUsed/>
    <w:qFormat/>
    <w:uiPriority w:val="0"/>
    <w:pPr>
      <w:keepNext/>
      <w:keepLines/>
      <w:widowControl w:val="0"/>
      <w:numPr>
        <w:ilvl w:val="2"/>
        <w:numId w:val="1"/>
      </w:numPr>
      <w:suppressLineNumbers w:val="0"/>
      <w:spacing w:before="160" w:beforeAutospacing="0" w:after="160" w:afterAutospacing="0" w:line="160" w:lineRule="atLeast"/>
      <w:ind w:left="1260" w:right="0" w:hanging="420"/>
      <w:jc w:val="both"/>
      <w:outlineLvl w:val="2"/>
    </w:pPr>
    <w:rPr>
      <w:rFonts w:hint="eastAsia" w:ascii="黑体" w:hAnsi="Times New Roman" w:eastAsia="黑体" w:cs="Times New Roman"/>
      <w:kern w:val="2"/>
      <w:sz w:val="28"/>
      <w:szCs w:val="24"/>
      <w:lang w:val="en-US" w:eastAsia="zh-CN" w:bidi="ar"/>
    </w:rPr>
  </w:style>
  <w:style w:type="paragraph" w:styleId="6">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10">
    <w:name w:val="Body Text"/>
    <w:basedOn w:val="1"/>
    <w:next w:val="11"/>
    <w:autoRedefine/>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2"/>
      <w:lang w:val="en-US" w:eastAsia="zh-CN" w:bidi="ar"/>
    </w:rPr>
  </w:style>
  <w:style w:type="paragraph" w:styleId="11">
    <w:name w:val="toc 4"/>
    <w:basedOn w:val="1"/>
    <w:next w:val="1"/>
    <w:qFormat/>
    <w:uiPriority w:val="39"/>
    <w:pPr>
      <w:ind w:left="1260" w:leftChars="600"/>
    </w:pPr>
  </w:style>
  <w:style w:type="paragraph" w:styleId="12">
    <w:name w:val="Body Text Indent"/>
    <w:basedOn w:val="1"/>
    <w:autoRedefine/>
    <w:qFormat/>
    <w:uiPriority w:val="0"/>
    <w:pPr>
      <w:spacing w:after="120" w:afterLines="0" w:afterAutospacing="0"/>
      <w:ind w:left="420" w:leftChars="200"/>
    </w:pPr>
  </w:style>
  <w:style w:type="paragraph" w:styleId="13">
    <w:name w:val="List 2"/>
    <w:basedOn w:val="1"/>
    <w:autoRedefine/>
    <w:qFormat/>
    <w:uiPriority w:val="0"/>
    <w:pPr>
      <w:keepNext w:val="0"/>
      <w:keepLines w:val="0"/>
      <w:widowControl w:val="0"/>
      <w:suppressLineNumbers w:val="0"/>
      <w:spacing w:before="0" w:beforeAutospacing="0" w:after="0" w:afterAutospacing="0"/>
      <w:ind w:left="100" w:leftChars="200" w:right="0" w:hanging="200" w:hangingChars="200"/>
      <w:jc w:val="both"/>
    </w:pPr>
    <w:rPr>
      <w:rFonts w:hint="default" w:ascii="Times New Roman" w:hAnsi="Times New Roman" w:eastAsia="宋体" w:cs="Times New Roman"/>
      <w:kern w:val="2"/>
      <w:sz w:val="21"/>
      <w:szCs w:val="20"/>
      <w:lang w:val="en-US" w:eastAsia="zh-CN" w:bidi="ar"/>
    </w:rPr>
  </w:style>
  <w:style w:type="paragraph" w:styleId="14">
    <w:name w:val="Plain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华文宋体" w:cs="Times New Roman"/>
      <w:kern w:val="0"/>
      <w:sz w:val="28"/>
      <w:szCs w:val="20"/>
      <w:lang w:val="en-US" w:eastAsia="zh-CN" w:bidi="ar"/>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toc 1"/>
    <w:basedOn w:val="1"/>
    <w:next w:val="1"/>
    <w:autoRedefine/>
    <w:qFormat/>
    <w:uiPriority w:val="0"/>
    <w:pPr>
      <w:keepNext w:val="0"/>
      <w:keepLines w:val="0"/>
      <w:widowControl w:val="0"/>
      <w:suppressLineNumbers w:val="0"/>
      <w:spacing w:before="120" w:beforeAutospacing="0" w:after="120" w:afterAutospacing="0"/>
      <w:ind w:left="0" w:right="0"/>
      <w:jc w:val="left"/>
    </w:pPr>
    <w:rPr>
      <w:rFonts w:hint="default" w:ascii="Times New Roman" w:hAnsi="Times New Roman" w:eastAsia="宋体" w:cs="Times New Roman"/>
      <w:b/>
      <w:caps/>
      <w:kern w:val="2"/>
      <w:sz w:val="20"/>
      <w:szCs w:val="24"/>
      <w:lang w:val="en-US" w:eastAsia="zh-CN" w:bidi="ar"/>
    </w:rPr>
  </w:style>
  <w:style w:type="paragraph" w:styleId="17">
    <w:name w:val="Body Text 2"/>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Times New Roman"/>
      <w:b/>
      <w:kern w:val="0"/>
      <w:sz w:val="28"/>
      <w:szCs w:val="20"/>
      <w:lang w:val="en-US" w:eastAsia="zh-CN" w:bidi="ar"/>
    </w:rPr>
  </w:style>
  <w:style w:type="paragraph" w:styleId="18">
    <w:name w:val="Normal (Web)"/>
    <w:basedOn w:val="1"/>
    <w:autoRedefine/>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9">
    <w:name w:val="Body Text First Indent"/>
    <w:basedOn w:val="1"/>
    <w:next w:val="20"/>
    <w:autoRedefine/>
    <w:qFormat/>
    <w:uiPriority w:val="0"/>
    <w:pPr>
      <w:spacing w:after="120" w:afterLines="0"/>
      <w:ind w:firstLine="420"/>
    </w:pPr>
    <w:rPr>
      <w:rFonts w:eastAsia="宋体"/>
      <w:sz w:val="32"/>
    </w:rPr>
  </w:style>
  <w:style w:type="paragraph" w:styleId="20">
    <w:name w:val="Body Text First Indent 2"/>
    <w:basedOn w:val="1"/>
    <w:autoRedefine/>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2"/>
      <w:lang w:val="en-US" w:eastAsia="zh-CN" w:bidi="ar"/>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uiPriority w:val="0"/>
    <w:rPr>
      <w:color w:val="800080"/>
      <w:u w:val="none"/>
    </w:rPr>
  </w:style>
  <w:style w:type="character" w:styleId="26">
    <w:name w:val="Emphasis"/>
    <w:basedOn w:val="23"/>
    <w:qFormat/>
    <w:uiPriority w:val="0"/>
    <w:rPr>
      <w:b/>
      <w:bCs/>
    </w:rPr>
  </w:style>
  <w:style w:type="character" w:styleId="27">
    <w:name w:val="HTML Definition"/>
    <w:basedOn w:val="23"/>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uiPriority w:val="0"/>
  </w:style>
  <w:style w:type="character" w:styleId="30">
    <w:name w:val="HTML Variable"/>
    <w:basedOn w:val="23"/>
    <w:qFormat/>
    <w:uiPriority w:val="0"/>
  </w:style>
  <w:style w:type="character" w:styleId="31">
    <w:name w:val="Hyperlink"/>
    <w:autoRedefine/>
    <w:qFormat/>
    <w:uiPriority w:val="99"/>
    <w:rPr>
      <w:color w:val="666666"/>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Times New Roman"/>
      <w:color w:val="000000"/>
      <w:kern w:val="2"/>
      <w:sz w:val="24"/>
      <w:szCs w:val="24"/>
      <w:lang w:val="en-US" w:eastAsia="zh-CN" w:bidi="ar"/>
    </w:rPr>
  </w:style>
  <w:style w:type="paragraph" w:customStyle="1" w:styleId="37">
    <w:name w:val="大标题"/>
    <w:basedOn w:val="1"/>
    <w:next w:val="20"/>
    <w:autoRedefine/>
    <w:qFormat/>
    <w:uiPriority w:val="0"/>
    <w:pPr>
      <w:keepNext w:val="0"/>
      <w:keepLines w:val="0"/>
      <w:widowControl w:val="0"/>
      <w:suppressLineNumbers w:val="0"/>
      <w:spacing w:before="0" w:beforeAutospacing="0" w:after="0" w:afterAutospacing="0"/>
      <w:ind w:left="0" w:right="0"/>
      <w:jc w:val="center"/>
    </w:pPr>
    <w:rPr>
      <w:rFonts w:hint="default" w:ascii="Arial" w:hAnsi="Arial" w:eastAsia="宋体" w:cs="Times New Roman"/>
      <w:b/>
      <w:kern w:val="2"/>
      <w:sz w:val="28"/>
      <w:szCs w:val="24"/>
      <w:lang w:val="en-US" w:eastAsia="zh-CN" w:bidi="ar"/>
    </w:rPr>
  </w:style>
  <w:style w:type="paragraph" w:customStyle="1" w:styleId="38">
    <w:name w:val="msolistparagraph"/>
    <w:basedOn w:val="1"/>
    <w:autoRedefine/>
    <w:qFormat/>
    <w:uiPriority w:val="0"/>
    <w:pPr>
      <w:keepNext w:val="0"/>
      <w:keepLines w:val="0"/>
      <w:widowControl/>
      <w:suppressLineNumbers w:val="0"/>
      <w:spacing w:before="0" w:beforeAutospacing="0" w:after="0" w:afterAutospacing="0" w:line="357" w:lineRule="atLeast"/>
      <w:ind w:left="0" w:right="0" w:firstLine="420" w:firstLineChars="200"/>
      <w:jc w:val="both"/>
    </w:pPr>
    <w:rPr>
      <w:rFonts w:hint="default" w:ascii="Times New Roman" w:hAnsi="Times New Roman" w:eastAsia="宋体" w:cs="Times New Roman"/>
      <w:color w:val="000000"/>
      <w:kern w:val="0"/>
      <w:sz w:val="21"/>
      <w:szCs w:val="20"/>
      <w:u w:color="000000"/>
      <w:lang w:val="en-US" w:eastAsia="zh-CN" w:bidi="ar"/>
    </w:rPr>
  </w:style>
  <w:style w:type="paragraph" w:customStyle="1" w:styleId="39">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0">
    <w:name w:val="文档正文"/>
    <w:basedOn w:val="1"/>
    <w:autoRedefine/>
    <w:qFormat/>
    <w:uiPriority w:val="0"/>
    <w:pPr>
      <w:keepNext w:val="0"/>
      <w:keepLines w:val="0"/>
      <w:widowControl w:val="0"/>
      <w:suppressLineNumbers w:val="0"/>
      <w:spacing w:before="0" w:beforeAutospacing="0" w:after="0" w:afterAutospacing="0" w:line="480" w:lineRule="atLeast"/>
      <w:ind w:left="0" w:right="0" w:firstLine="567"/>
      <w:jc w:val="both"/>
    </w:pPr>
    <w:rPr>
      <w:rFonts w:hint="eastAsia" w:ascii="仿宋_GB2312" w:hAnsi="Times New Roman" w:eastAsia="仿宋_GB2312" w:cs="Times New Roman"/>
      <w:kern w:val="2"/>
      <w:sz w:val="28"/>
      <w:szCs w:val="24"/>
      <w:lang w:val="en-US" w:eastAsia="zh-CN" w:bidi="ar"/>
    </w:rPr>
  </w:style>
  <w:style w:type="paragraph" w:customStyle="1" w:styleId="41">
    <w:name w:val="样式 标题 2 + Times New Roman 四号 非加粗 段前: 5 磅 段后: 0 磅 行距: 固定值 20..."/>
    <w:basedOn w:val="3"/>
    <w:autoRedefine/>
    <w:qFormat/>
    <w:uiPriority w:val="0"/>
    <w:pPr>
      <w:keepNext/>
      <w:keepLines/>
      <w:widowControl w:val="0"/>
      <w:suppressLineNumbers w:val="0"/>
      <w:spacing w:before="100" w:beforeAutospacing="0" w:after="0" w:afterAutospacing="0" w:line="400" w:lineRule="exact"/>
      <w:ind w:left="0" w:right="0"/>
      <w:jc w:val="both"/>
      <w:outlineLvl w:val="1"/>
    </w:pPr>
    <w:rPr>
      <w:rFonts w:hint="default" w:ascii="Times New Roman" w:hAnsi="Times New Roman" w:eastAsia="黑体" w:cs="宋体"/>
      <w:kern w:val="2"/>
      <w:sz w:val="28"/>
      <w:szCs w:val="20"/>
      <w:lang w:val="en-US" w:eastAsia="zh-CN" w:bidi="ar"/>
    </w:rPr>
  </w:style>
  <w:style w:type="paragraph" w:customStyle="1" w:styleId="42">
    <w:name w:val="样式 标题 3 + (中文) 黑体 小四 非加粗 段前: 7.8 磅 段后: 0 磅 行距: 固定值 20 磅"/>
    <w:basedOn w:val="4"/>
    <w:autoRedefine/>
    <w:qFormat/>
    <w:uiPriority w:val="0"/>
    <w:pPr>
      <w:keepNext/>
      <w:keepLines/>
      <w:widowControl w:val="0"/>
      <w:suppressLineNumbers w:val="0"/>
      <w:spacing w:before="0" w:beforeAutospacing="0" w:after="0" w:afterAutospacing="0" w:line="400" w:lineRule="exact"/>
      <w:ind w:left="0" w:right="0"/>
      <w:jc w:val="both"/>
      <w:outlineLvl w:val="2"/>
    </w:pPr>
    <w:rPr>
      <w:rFonts w:hint="default" w:ascii="Times New Roman" w:hAnsi="Times New Roman" w:eastAsia="黑体" w:cs="宋体"/>
      <w:kern w:val="2"/>
      <w:sz w:val="24"/>
      <w:szCs w:val="24"/>
      <w:lang w:val="en-US" w:eastAsia="zh-CN" w:bidi="ar"/>
    </w:rPr>
  </w:style>
  <w:style w:type="paragraph" w:customStyle="1" w:styleId="43">
    <w:name w:val="正文1"/>
    <w:autoRedefine/>
    <w:qFormat/>
    <w:uiPriority w:val="0"/>
    <w:pPr>
      <w:jc w:val="both"/>
    </w:pPr>
    <w:rPr>
      <w:rFonts w:ascii="Calibri" w:hAnsi="Calibri" w:eastAsia="宋体" w:cs="Calibri"/>
      <w:kern w:val="2"/>
      <w:sz w:val="21"/>
      <w:szCs w:val="21"/>
      <w:lang w:val="en-US" w:eastAsia="zh-CN" w:bidi="ar-SA"/>
    </w:rPr>
  </w:style>
  <w:style w:type="character" w:customStyle="1" w:styleId="44">
    <w:name w:val="font31"/>
    <w:basedOn w:val="23"/>
    <w:autoRedefine/>
    <w:qFormat/>
    <w:uiPriority w:val="0"/>
    <w:rPr>
      <w:rFonts w:hint="eastAsia" w:ascii="宋体" w:hAnsi="宋体" w:eastAsia="宋体" w:cs="宋体"/>
      <w:color w:val="000000"/>
      <w:sz w:val="22"/>
      <w:szCs w:val="22"/>
      <w:u w:val="none"/>
    </w:rPr>
  </w:style>
  <w:style w:type="character" w:customStyle="1" w:styleId="45">
    <w:name w:val="font51"/>
    <w:basedOn w:val="23"/>
    <w:autoRedefine/>
    <w:qFormat/>
    <w:uiPriority w:val="0"/>
    <w:rPr>
      <w:rFonts w:hint="eastAsia" w:ascii="宋体" w:hAnsi="宋体" w:eastAsia="宋体" w:cs="宋体"/>
      <w:color w:val="000000"/>
      <w:sz w:val="22"/>
      <w:szCs w:val="22"/>
      <w:u w:val="none"/>
    </w:rPr>
  </w:style>
  <w:style w:type="character" w:customStyle="1" w:styleId="46">
    <w:name w:val="font21"/>
    <w:basedOn w:val="23"/>
    <w:autoRedefine/>
    <w:qFormat/>
    <w:uiPriority w:val="0"/>
    <w:rPr>
      <w:rFonts w:hint="eastAsia" w:ascii="宋体" w:hAnsi="宋体" w:eastAsia="宋体" w:cs="宋体"/>
      <w:color w:val="000000"/>
      <w:sz w:val="20"/>
      <w:szCs w:val="20"/>
      <w:u w:val="none"/>
    </w:rPr>
  </w:style>
  <w:style w:type="character" w:customStyle="1" w:styleId="47">
    <w:name w:val="font41"/>
    <w:basedOn w:val="23"/>
    <w:autoRedefine/>
    <w:qFormat/>
    <w:uiPriority w:val="0"/>
    <w:rPr>
      <w:rFonts w:hint="eastAsia" w:ascii="宋体" w:hAnsi="宋体" w:eastAsia="宋体" w:cs="宋体"/>
      <w:color w:val="000000"/>
      <w:sz w:val="20"/>
      <w:szCs w:val="20"/>
      <w:u w:val="none"/>
    </w:rPr>
  </w:style>
  <w:style w:type="character" w:customStyle="1" w:styleId="48">
    <w:name w:val="font11"/>
    <w:basedOn w:val="23"/>
    <w:autoRedefine/>
    <w:qFormat/>
    <w:uiPriority w:val="0"/>
    <w:rPr>
      <w:rFonts w:hint="eastAsia" w:ascii="宋体" w:hAnsi="宋体" w:eastAsia="宋体" w:cs="宋体"/>
      <w:color w:val="000000"/>
      <w:sz w:val="22"/>
      <w:szCs w:val="22"/>
      <w:u w:val="none"/>
    </w:rPr>
  </w:style>
  <w:style w:type="paragraph" w:styleId="49">
    <w:name w:val="List Paragraph"/>
    <w:basedOn w:val="1"/>
    <w:qFormat/>
    <w:uiPriority w:val="34"/>
    <w:pPr>
      <w:ind w:firstLine="420" w:firstLineChars="200"/>
    </w:pPr>
  </w:style>
  <w:style w:type="character" w:customStyle="1" w:styleId="50">
    <w:name w:val="hover1"/>
    <w:basedOn w:val="23"/>
    <w:uiPriority w:val="0"/>
  </w:style>
  <w:style w:type="character" w:customStyle="1" w:styleId="51">
    <w:name w:val="hover2"/>
    <w:basedOn w:val="23"/>
    <w:qFormat/>
    <w:uiPriority w:val="0"/>
    <w:rPr>
      <w:color w:val="2590EB"/>
    </w:rPr>
  </w:style>
  <w:style w:type="character" w:customStyle="1" w:styleId="52">
    <w:name w:val="hover3"/>
    <w:basedOn w:val="23"/>
    <w:qFormat/>
    <w:uiPriority w:val="0"/>
    <w:rPr>
      <w:color w:val="2590EB"/>
    </w:rPr>
  </w:style>
  <w:style w:type="character" w:customStyle="1" w:styleId="53">
    <w:name w:val="mini-outputtext1"/>
    <w:basedOn w:val="2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62166</Words>
  <Characters>68189</Characters>
  <Lines>0</Lines>
  <Paragraphs>0</Paragraphs>
  <TotalTime>112</TotalTime>
  <ScaleCrop>false</ScaleCrop>
  <LinksUpToDate>false</LinksUpToDate>
  <CharactersWithSpaces>70219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2024-04-18T09:50:00Z</dcterms:created>
  <dc:creator>Administrator</dc:creator>
  <cp:lastModifiedBy>WPS_1528102880</cp:lastModifiedBy>
  <cp:lastPrinted>2024-05-17T04:09:00Z</cp:lastPrinted>
  <dcterms:modified xsi:type="dcterms:W3CDTF">2024-09-14T04:19:02Z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B3403A921C05428E926B98E62F1362E1_13</vt:lpwstr>
  </property>
</Properties>
</file>