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1825">
      <w:pPr>
        <w:spacing w:line="240" w:lineRule="exact"/>
        <w:jc w:val="center"/>
        <w:rPr>
          <w:rFonts w:hint="eastAsia" w:ascii="宋体" w:hAnsi="宋体" w:eastAsia="宋体" w:cs="宋体"/>
          <w:b/>
          <w:bCs/>
          <w:color w:val="auto"/>
          <w:sz w:val="44"/>
          <w:szCs w:val="44"/>
        </w:rPr>
      </w:pPr>
    </w:p>
    <w:p w14:paraId="7903B497">
      <w:pPr>
        <w:pStyle w:val="18"/>
        <w:rPr>
          <w:rFonts w:hint="eastAsia" w:ascii="宋体" w:hAnsi="宋体" w:eastAsia="宋体" w:cs="宋体"/>
        </w:rPr>
      </w:pPr>
    </w:p>
    <w:p w14:paraId="46A79DF1">
      <w:pPr>
        <w:pageBreakBefore w:val="0"/>
        <w:overflowPunct/>
        <w:bidi w:val="0"/>
        <w:spacing w:line="360" w:lineRule="auto"/>
        <w:jc w:val="center"/>
        <w:outlineLvl w:val="9"/>
        <w:rPr>
          <w:rFonts w:hint="eastAsia" w:ascii="宋体" w:hAnsi="宋体" w:eastAsia="宋体" w:cs="宋体"/>
          <w:b/>
          <w:bCs/>
          <w:sz w:val="48"/>
          <w:szCs w:val="48"/>
          <w:lang w:val="en-US" w:eastAsia="zh-CN"/>
        </w:rPr>
      </w:pPr>
      <w:r>
        <w:rPr>
          <w:rFonts w:hint="eastAsia" w:ascii="宋体" w:hAnsi="宋体" w:cs="宋体"/>
          <w:b/>
          <w:bCs/>
          <w:sz w:val="48"/>
          <w:szCs w:val="48"/>
          <w:lang w:val="en-US" w:eastAsia="zh-CN"/>
        </w:rPr>
        <w:t>三门峡市湖滨区教育体育局三门峡市湖滨区中小学校消防审验历史遗留问题现场评定项目</w:t>
      </w:r>
    </w:p>
    <w:p w14:paraId="78DEE692">
      <w:pPr>
        <w:pageBreakBefore w:val="0"/>
        <w:overflowPunct/>
        <w:bidi w:val="0"/>
        <w:spacing w:line="360" w:lineRule="auto"/>
        <w:ind w:firstLine="1120"/>
        <w:rPr>
          <w:rFonts w:hint="eastAsia" w:ascii="宋体" w:hAnsi="宋体" w:eastAsia="宋体" w:cs="宋体"/>
          <w:sz w:val="56"/>
          <w:szCs w:val="56"/>
          <w:highlight w:val="none"/>
        </w:rPr>
      </w:pPr>
    </w:p>
    <w:p w14:paraId="7209B899">
      <w:pPr>
        <w:pStyle w:val="17"/>
        <w:pageBreakBefore w:val="0"/>
        <w:overflowPunct/>
        <w:bidi w:val="0"/>
        <w:spacing w:line="360" w:lineRule="auto"/>
        <w:jc w:val="center"/>
        <w:rPr>
          <w:rFonts w:hint="eastAsia" w:ascii="方正公文小标宋" w:hAnsi="方正公文小标宋" w:eastAsia="方正公文小标宋" w:cs="方正公文小标宋"/>
          <w:color w:val="0661A7"/>
          <w:kern w:val="2"/>
          <w:sz w:val="56"/>
          <w:szCs w:val="56"/>
        </w:rPr>
      </w:pPr>
    </w:p>
    <w:p w14:paraId="74C9A8F2">
      <w:pPr>
        <w:pStyle w:val="17"/>
        <w:pageBreakBefore w:val="0"/>
        <w:overflowPunct/>
        <w:bidi w:val="0"/>
        <w:spacing w:line="360" w:lineRule="auto"/>
        <w:jc w:val="center"/>
        <w:rPr>
          <w:rFonts w:hint="eastAsia" w:ascii="方正公文小标宋" w:hAnsi="方正公文小标宋" w:eastAsia="方正公文小标宋" w:cs="方正公文小标宋"/>
          <w:b/>
          <w:bCs/>
          <w:color w:val="0661A7"/>
          <w:kern w:val="2"/>
          <w:sz w:val="56"/>
          <w:szCs w:val="56"/>
        </w:rPr>
      </w:pPr>
      <w:r>
        <w:rPr>
          <w:rFonts w:hint="eastAsia" w:ascii="方正公文小标宋" w:hAnsi="方正公文小标宋" w:eastAsia="方正公文小标宋" w:cs="方正公文小标宋"/>
          <w:b/>
          <w:bCs/>
          <w:color w:val="0661A7"/>
          <w:kern w:val="2"/>
          <w:sz w:val="56"/>
          <w:szCs w:val="56"/>
        </w:rPr>
        <w:t>竞争性</w:t>
      </w:r>
      <w:r>
        <w:rPr>
          <w:rFonts w:hint="eastAsia" w:ascii="方正公文小标宋" w:hAnsi="方正公文小标宋" w:eastAsia="方正公文小标宋" w:cs="方正公文小标宋"/>
          <w:b/>
          <w:bCs/>
          <w:color w:val="0661A7"/>
          <w:kern w:val="2"/>
          <w:sz w:val="56"/>
          <w:szCs w:val="56"/>
          <w:lang w:val="en-US" w:eastAsia="zh-CN"/>
        </w:rPr>
        <w:t>磋商</w:t>
      </w:r>
      <w:r>
        <w:rPr>
          <w:rFonts w:hint="eastAsia" w:ascii="方正公文小标宋" w:hAnsi="方正公文小标宋" w:eastAsia="方正公文小标宋" w:cs="方正公文小标宋"/>
          <w:b/>
          <w:bCs/>
          <w:color w:val="0661A7"/>
          <w:kern w:val="2"/>
          <w:sz w:val="56"/>
          <w:szCs w:val="56"/>
        </w:rPr>
        <w:t>文件</w:t>
      </w:r>
    </w:p>
    <w:p w14:paraId="2B2F22AB">
      <w:pPr>
        <w:pageBreakBefore w:val="0"/>
        <w:tabs>
          <w:tab w:val="left" w:pos="2476"/>
        </w:tabs>
        <w:overflowPunct/>
        <w:bidi w:val="0"/>
        <w:spacing w:line="360" w:lineRule="auto"/>
        <w:ind w:firstLine="1120"/>
        <w:rPr>
          <w:rFonts w:hint="eastAsia" w:ascii="宋体" w:hAnsi="宋体" w:eastAsia="宋体" w:cs="宋体"/>
          <w:color w:val="0661A7"/>
          <w:sz w:val="56"/>
          <w:szCs w:val="56"/>
          <w:highlight w:val="none"/>
        </w:rPr>
      </w:pPr>
      <w:r>
        <w:rPr>
          <w:rFonts w:hint="eastAsia" w:ascii="宋体" w:hAnsi="宋体" w:eastAsia="宋体" w:cs="宋体"/>
          <w:color w:val="0661A7"/>
          <w:sz w:val="56"/>
          <w:szCs w:val="56"/>
          <w:highlight w:val="none"/>
        </w:rPr>
        <w:tab/>
      </w:r>
    </w:p>
    <w:p w14:paraId="70EB971D">
      <w:pPr>
        <w:pageBreakBefore w:val="0"/>
        <w:overflowPunct/>
        <w:bidi w:val="0"/>
        <w:spacing w:line="360" w:lineRule="auto"/>
        <w:jc w:val="both"/>
        <w:outlineLvl w:val="9"/>
        <w:rPr>
          <w:rFonts w:hint="eastAsia" w:ascii="宋体" w:hAnsi="宋体" w:eastAsia="宋体" w:cs="宋体"/>
          <w:b/>
          <w:bCs/>
          <w:kern w:val="0"/>
          <w:sz w:val="32"/>
          <w:szCs w:val="32"/>
          <w:highlight w:val="none"/>
          <w:lang w:val="en-US" w:eastAsia="zh-CN"/>
        </w:rPr>
      </w:pPr>
    </w:p>
    <w:p w14:paraId="65F20A4D">
      <w:pPr>
        <w:pStyle w:val="6"/>
        <w:pageBreakBefore w:val="0"/>
        <w:overflowPunct/>
        <w:bidi w:val="0"/>
        <w:spacing w:line="360" w:lineRule="auto"/>
        <w:rPr>
          <w:rFonts w:hint="eastAsia"/>
          <w:lang w:val="en-US" w:eastAsia="zh-CN"/>
        </w:rPr>
      </w:pPr>
    </w:p>
    <w:p w14:paraId="382B6528">
      <w:pPr>
        <w:pageBreakBefore w:val="0"/>
        <w:overflowPunct/>
        <w:bidi w:val="0"/>
        <w:spacing w:line="360" w:lineRule="auto"/>
        <w:ind w:firstLine="1280" w:firstLineChars="400"/>
        <w:jc w:val="both"/>
        <w:outlineLvl w:val="9"/>
        <w:rPr>
          <w:rFonts w:hint="eastAsia" w:ascii="宋体" w:hAnsi="宋体" w:eastAsia="宋体" w:cs="宋体"/>
          <w:b/>
          <w:bCs/>
          <w:kern w:val="0"/>
          <w:sz w:val="32"/>
          <w:szCs w:val="32"/>
          <w:highlight w:val="none"/>
          <w:lang w:val="en-US" w:eastAsia="zh-CN"/>
        </w:rPr>
      </w:pPr>
    </w:p>
    <w:p w14:paraId="0C277C6A">
      <w:pPr>
        <w:pageBreakBefore w:val="0"/>
        <w:overflowPunct/>
        <w:bidi w:val="0"/>
        <w:spacing w:line="360" w:lineRule="auto"/>
        <w:ind w:firstLine="320" w:firstLineChars="100"/>
        <w:jc w:val="both"/>
        <w:outlineLvl w:val="9"/>
        <w:rPr>
          <w:rFonts w:hint="eastAsia" w:ascii="宋体" w:hAnsi="宋体" w:eastAsia="宋体" w:cs="宋体"/>
          <w:b/>
          <w:bCs/>
          <w:kern w:val="0"/>
          <w:sz w:val="32"/>
          <w:szCs w:val="32"/>
          <w:highlight w:val="none"/>
          <w:lang w:val="en-US" w:eastAsia="zh-CN"/>
        </w:rPr>
      </w:pPr>
    </w:p>
    <w:p w14:paraId="5D45F4A4">
      <w:pPr>
        <w:pageBreakBefore w:val="0"/>
        <w:overflowPunct/>
        <w:bidi w:val="0"/>
        <w:spacing w:line="360" w:lineRule="auto"/>
        <w:ind w:firstLine="320" w:firstLineChars="100"/>
        <w:jc w:val="both"/>
        <w:outlineLvl w:val="9"/>
        <w:rPr>
          <w:rFonts w:hint="eastAsia" w:ascii="宋体" w:hAnsi="宋体" w:eastAsia="宋体" w:cs="宋体"/>
          <w:b/>
          <w:bCs/>
          <w:kern w:val="0"/>
          <w:sz w:val="32"/>
          <w:szCs w:val="32"/>
          <w:highlight w:val="none"/>
          <w:lang w:val="en-US" w:eastAsia="zh-CN"/>
        </w:rPr>
      </w:pPr>
    </w:p>
    <w:p w14:paraId="21B99764">
      <w:pPr>
        <w:pageBreakBefore w:val="0"/>
        <w:overflowPunct/>
        <w:bidi w:val="0"/>
        <w:spacing w:line="360" w:lineRule="auto"/>
        <w:ind w:firstLine="320" w:firstLineChars="100"/>
        <w:jc w:val="both"/>
        <w:outlineLvl w:val="9"/>
        <w:rPr>
          <w:rFonts w:hint="default" w:ascii="宋体" w:hAnsi="宋体" w:eastAsia="宋体" w:cs="宋体"/>
          <w:b w:val="0"/>
          <w:bCs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项目编号</w:t>
      </w:r>
      <w:r>
        <w:rPr>
          <w:rFonts w:hint="eastAsia" w:ascii="宋体" w:hAnsi="宋体" w:eastAsia="宋体" w:cs="宋体"/>
          <w:b w:val="0"/>
          <w:bCs w:val="0"/>
          <w:kern w:val="0"/>
          <w:sz w:val="32"/>
          <w:szCs w:val="32"/>
          <w:highlight w:val="none"/>
        </w:rPr>
        <w:t>：SGZ[2025]577-ZC376</w:t>
      </w:r>
      <w:r>
        <w:rPr>
          <w:rFonts w:hint="eastAsia" w:ascii="宋体" w:hAnsi="宋体" w:cs="宋体"/>
          <w:b w:val="0"/>
          <w:bCs w:val="0"/>
          <w:kern w:val="0"/>
          <w:sz w:val="32"/>
          <w:szCs w:val="32"/>
          <w:highlight w:val="none"/>
          <w:lang w:eastAsia="zh-CN"/>
        </w:rPr>
        <w:t>、</w:t>
      </w:r>
      <w:r>
        <w:rPr>
          <w:rFonts w:hint="eastAsia" w:ascii="宋体" w:hAnsi="宋体" w:eastAsia="宋体" w:cs="宋体"/>
          <w:b w:val="0"/>
          <w:bCs w:val="0"/>
          <w:kern w:val="0"/>
          <w:sz w:val="32"/>
          <w:szCs w:val="32"/>
          <w:highlight w:val="none"/>
        </w:rPr>
        <w:t>湖滨竞磋采购-2025-35</w:t>
      </w:r>
    </w:p>
    <w:p w14:paraId="1F11AF51">
      <w:pPr>
        <w:pageBreakBefore w:val="0"/>
        <w:overflowPunct/>
        <w:bidi w:val="0"/>
        <w:spacing w:line="360" w:lineRule="auto"/>
        <w:ind w:left="2560" w:hanging="2560" w:hangingChars="800"/>
        <w:jc w:val="left"/>
        <w:outlineLvl w:val="9"/>
        <w:rPr>
          <w:rFonts w:hint="eastAsia" w:ascii="宋体" w:hAnsi="宋体" w:eastAsia="宋体" w:cs="宋体"/>
          <w:b w:val="0"/>
          <w:bCs w:val="0"/>
          <w:sz w:val="32"/>
          <w:szCs w:val="32"/>
          <w:highlight w:val="none"/>
          <w:lang w:val="en-US" w:eastAsia="zh-CN"/>
        </w:rPr>
      </w:pP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rPr>
        <w:t>采购人</w:t>
      </w:r>
      <w:r>
        <w:rPr>
          <w:rFonts w:hint="eastAsia" w:ascii="宋体" w:hAnsi="宋体" w:eastAsia="宋体" w:cs="宋体"/>
          <w:b w:val="0"/>
          <w:bCs w:val="0"/>
          <w:sz w:val="32"/>
          <w:szCs w:val="32"/>
          <w:lang w:eastAsia="zh-CN"/>
        </w:rPr>
        <w:t>：</w:t>
      </w:r>
      <w:r>
        <w:rPr>
          <w:rFonts w:hint="eastAsia" w:ascii="宋体" w:hAnsi="宋体" w:cs="宋体"/>
          <w:b w:val="0"/>
          <w:bCs w:val="0"/>
          <w:sz w:val="32"/>
          <w:szCs w:val="32"/>
          <w:lang w:val="en-US" w:eastAsia="zh-CN"/>
        </w:rPr>
        <w:t>三门峡市湖滨区教育体育局</w:t>
      </w:r>
    </w:p>
    <w:p w14:paraId="3B2D9DE4">
      <w:pPr>
        <w:pageBreakBefore w:val="0"/>
        <w:overflowPunct/>
        <w:bidi w:val="0"/>
        <w:spacing w:line="360" w:lineRule="auto"/>
        <w:ind w:firstLine="320" w:firstLineChars="100"/>
        <w:jc w:val="both"/>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采购代理机构：</w:t>
      </w:r>
      <w:r>
        <w:rPr>
          <w:rFonts w:hint="eastAsia" w:ascii="宋体" w:hAnsi="宋体" w:cs="宋体"/>
          <w:b w:val="0"/>
          <w:bCs w:val="0"/>
          <w:sz w:val="32"/>
          <w:szCs w:val="32"/>
          <w:lang w:val="en-US" w:eastAsia="zh-CN"/>
        </w:rPr>
        <w:t>信宇腾远工程咨询集团有限公司</w:t>
      </w:r>
      <w:r>
        <w:rPr>
          <w:rFonts w:hint="eastAsia" w:ascii="宋体" w:hAnsi="宋体" w:eastAsia="宋体" w:cs="宋体"/>
          <w:b w:val="0"/>
          <w:bCs w:val="0"/>
          <w:sz w:val="32"/>
          <w:szCs w:val="32"/>
          <w:lang w:val="en-US" w:eastAsia="zh-CN"/>
        </w:rPr>
        <w:t xml:space="preserve"> </w:t>
      </w:r>
    </w:p>
    <w:p w14:paraId="70BB345F">
      <w:pPr>
        <w:pageBreakBefore w:val="0"/>
        <w:overflowPunct/>
        <w:bidi w:val="0"/>
        <w:spacing w:line="360" w:lineRule="auto"/>
        <w:ind w:firstLine="320" w:firstLineChars="100"/>
        <w:jc w:val="both"/>
        <w:outlineLvl w:val="9"/>
        <w:rPr>
          <w:rFonts w:hint="eastAsia" w:ascii="宋体" w:hAnsi="宋体" w:eastAsia="宋体" w:cs="宋体"/>
          <w:b/>
          <w:bCs/>
          <w:sz w:val="32"/>
          <w:szCs w:val="32"/>
        </w:rPr>
      </w:pPr>
      <w:r>
        <w:rPr>
          <w:rFonts w:hint="eastAsia" w:ascii="宋体" w:hAnsi="宋体" w:eastAsia="宋体" w:cs="宋体"/>
          <w:b w:val="0"/>
          <w:bCs w:val="0"/>
          <w:sz w:val="32"/>
          <w:szCs w:val="32"/>
        </w:rPr>
        <w:t>日期：二Ｏ二</w:t>
      </w:r>
      <w:r>
        <w:rPr>
          <w:rFonts w:hint="eastAsia" w:ascii="宋体" w:hAnsi="宋体" w:eastAsia="宋体" w:cs="宋体"/>
          <w:b w:val="0"/>
          <w:bCs w:val="0"/>
          <w:sz w:val="32"/>
          <w:szCs w:val="32"/>
          <w:lang w:val="en-US" w:eastAsia="zh-CN"/>
        </w:rPr>
        <w:t>五</w:t>
      </w:r>
      <w:r>
        <w:rPr>
          <w:rFonts w:hint="eastAsia" w:ascii="宋体" w:hAnsi="宋体" w:eastAsia="宋体" w:cs="宋体"/>
          <w:b w:val="0"/>
          <w:bCs w:val="0"/>
          <w:sz w:val="32"/>
          <w:szCs w:val="32"/>
        </w:rPr>
        <w:t>年</w:t>
      </w:r>
      <w:r>
        <w:rPr>
          <w:rFonts w:hint="eastAsia" w:ascii="宋体" w:hAnsi="宋体" w:cs="宋体"/>
          <w:b w:val="0"/>
          <w:bCs w:val="0"/>
          <w:sz w:val="32"/>
          <w:szCs w:val="32"/>
          <w:lang w:val="en-US" w:eastAsia="zh-CN"/>
        </w:rPr>
        <w:t>十二</w:t>
      </w:r>
      <w:r>
        <w:rPr>
          <w:rFonts w:hint="eastAsia" w:ascii="宋体" w:hAnsi="宋体" w:eastAsia="宋体" w:cs="宋体"/>
          <w:b w:val="0"/>
          <w:bCs w:val="0"/>
          <w:sz w:val="32"/>
          <w:szCs w:val="32"/>
        </w:rPr>
        <w:t>月</w:t>
      </w:r>
    </w:p>
    <w:p w14:paraId="063705D3">
      <w:pPr>
        <w:pStyle w:val="10"/>
        <w:pageBreakBefore w:val="0"/>
        <w:overflowPunct/>
        <w:bidi w:val="0"/>
        <w:spacing w:before="318" w:beforeLines="100" w:after="318" w:afterLines="100" w:line="360" w:lineRule="auto"/>
        <w:jc w:val="center"/>
        <w:outlineLvl w:val="9"/>
        <w:rPr>
          <w:rFonts w:hint="eastAsia" w:ascii="宋体" w:hAnsi="宋体" w:eastAsia="宋体" w:cs="宋体"/>
          <w:b/>
          <w:bCs/>
          <w:sz w:val="32"/>
          <w:szCs w:val="32"/>
        </w:rPr>
        <w:sectPr>
          <w:footerReference r:id="rId4" w:type="first"/>
          <w:headerReference r:id="rId3" w:type="default"/>
          <w:pgSz w:w="11906" w:h="16840"/>
          <w:pgMar w:top="1440" w:right="1440" w:bottom="1440" w:left="1440" w:header="964" w:footer="981" w:gutter="0"/>
          <w:pgBorders>
            <w:top w:val="none" w:sz="0" w:space="0"/>
            <w:left w:val="none" w:sz="0" w:space="0"/>
            <w:bottom w:val="none" w:sz="0" w:space="0"/>
            <w:right w:val="none" w:sz="0" w:space="0"/>
          </w:pgBorders>
          <w:pgNumType w:start="0"/>
          <w:cols w:space="720" w:num="1"/>
          <w:rtlGutter w:val="0"/>
          <w:docGrid w:type="linesAndChars" w:linePitch="318" w:charSpace="0"/>
        </w:sectPr>
      </w:pPr>
    </w:p>
    <w:p w14:paraId="56B7AF2C">
      <w:pPr>
        <w:pStyle w:val="14"/>
        <w:rPr>
          <w:rFonts w:hint="eastAsia" w:ascii="宋体" w:hAnsi="宋体" w:eastAsia="宋体" w:cs="宋体"/>
          <w:b/>
          <w:bCs/>
          <w:color w:val="auto"/>
        </w:rPr>
      </w:pPr>
      <w:r>
        <w:rPr>
          <w:rFonts w:hint="eastAsia" w:ascii="宋体" w:hAnsi="宋体" w:eastAsia="宋体" w:cs="宋体"/>
          <w:b/>
          <w:bCs/>
          <w:color w:val="auto"/>
        </w:rPr>
        <w:t>目 录</w:t>
      </w:r>
    </w:p>
    <w:sdt>
      <w:sdtPr>
        <w:rPr>
          <w:rFonts w:hint="eastAsia" w:ascii="宋体" w:hAnsi="宋体" w:eastAsia="宋体" w:cs="宋体"/>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14:paraId="39649A6D">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4D0DF120">
          <w:pPr>
            <w:pStyle w:val="14"/>
            <w:tabs>
              <w:tab w:val="right" w:leader="dot" w:pos="9070"/>
              <w:tab w:val="clear" w:pos="9060"/>
            </w:tabs>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szCs w:val="28"/>
            </w:rPr>
            <w:instrText xml:space="preserve"> HYPERLINK \l _Toc752 </w:instrText>
          </w:r>
          <w:r>
            <w:rPr>
              <w:rFonts w:hint="eastAsia" w:ascii="宋体" w:hAnsi="宋体" w:eastAsia="宋体" w:cs="宋体"/>
              <w:szCs w:val="28"/>
            </w:rPr>
            <w:fldChar w:fldCharType="separate"/>
          </w:r>
          <w:r>
            <w:rPr>
              <w:rFonts w:hint="eastAsia" w:ascii="宋体" w:hAnsi="宋体" w:eastAsia="宋体" w:cs="宋体"/>
            </w:rPr>
            <w:t xml:space="preserve">第一章 </w:t>
          </w:r>
          <w:r>
            <w:rPr>
              <w:rFonts w:hint="eastAsia" w:ascii="宋体" w:hAnsi="宋体" w:eastAsia="宋体" w:cs="宋体"/>
              <w:lang w:val="en-US" w:eastAsia="zh-CN"/>
            </w:rPr>
            <w:t>竞争性磋商</w:t>
          </w:r>
          <w:r>
            <w:rPr>
              <w:rFonts w:hint="eastAsia" w:ascii="宋体" w:hAnsi="宋体" w:eastAsia="宋体" w:cs="宋体"/>
            </w:rPr>
            <w:t>公告</w:t>
          </w:r>
          <w:r>
            <w:tab/>
          </w:r>
          <w:r>
            <w:fldChar w:fldCharType="begin"/>
          </w:r>
          <w:r>
            <w:instrText xml:space="preserve"> PAGEREF _Toc752 \h </w:instrText>
          </w:r>
          <w:r>
            <w:fldChar w:fldCharType="separate"/>
          </w:r>
          <w:r>
            <w:t>2</w:t>
          </w:r>
          <w:r>
            <w:fldChar w:fldCharType="end"/>
          </w:r>
          <w:r>
            <w:rPr>
              <w:rFonts w:hint="eastAsia" w:ascii="宋体" w:hAnsi="宋体" w:eastAsia="宋体" w:cs="宋体"/>
              <w:color w:val="auto"/>
              <w:szCs w:val="28"/>
            </w:rPr>
            <w:fldChar w:fldCharType="end"/>
          </w:r>
        </w:p>
        <w:p w14:paraId="45035EF5">
          <w:pPr>
            <w:pStyle w:val="14"/>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_Toc24701 </w:instrText>
          </w:r>
          <w:r>
            <w:rPr>
              <w:rFonts w:hint="eastAsia" w:ascii="宋体" w:hAnsi="宋体" w:eastAsia="宋体" w:cs="宋体"/>
              <w:szCs w:val="48"/>
            </w:rPr>
            <w:fldChar w:fldCharType="separate"/>
          </w:r>
          <w:r>
            <w:rPr>
              <w:rFonts w:hint="eastAsia" w:ascii="宋体" w:hAnsi="宋体" w:eastAsia="宋体" w:cs="宋体"/>
              <w:bCs/>
              <w:kern w:val="0"/>
              <w:szCs w:val="40"/>
            </w:rPr>
            <w:t>第二章 投标供应商须知</w:t>
          </w:r>
          <w:r>
            <w:tab/>
          </w:r>
          <w:r>
            <w:fldChar w:fldCharType="begin"/>
          </w:r>
          <w:r>
            <w:instrText xml:space="preserve"> PAGEREF _Toc24701 \h </w:instrText>
          </w:r>
          <w:r>
            <w:fldChar w:fldCharType="separate"/>
          </w:r>
          <w:r>
            <w:t>6</w:t>
          </w:r>
          <w:r>
            <w:fldChar w:fldCharType="end"/>
          </w:r>
          <w:r>
            <w:rPr>
              <w:rFonts w:hint="eastAsia" w:ascii="宋体" w:hAnsi="宋体" w:eastAsia="宋体" w:cs="宋体"/>
              <w:color w:val="auto"/>
              <w:szCs w:val="48"/>
            </w:rPr>
            <w:fldChar w:fldCharType="end"/>
          </w:r>
        </w:p>
        <w:p w14:paraId="0EA8D5BE">
          <w:pPr>
            <w:pStyle w:val="14"/>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_Toc20302 </w:instrText>
          </w:r>
          <w:r>
            <w:rPr>
              <w:rFonts w:hint="eastAsia" w:ascii="宋体" w:hAnsi="宋体" w:eastAsia="宋体" w:cs="宋体"/>
              <w:szCs w:val="48"/>
            </w:rPr>
            <w:fldChar w:fldCharType="separate"/>
          </w:r>
          <w:r>
            <w:rPr>
              <w:rFonts w:hint="eastAsia" w:ascii="宋体" w:hAnsi="宋体" w:eastAsia="宋体" w:cs="宋体"/>
              <w:highlight w:val="none"/>
              <w:lang w:val="en-US" w:eastAsia="zh-CN"/>
            </w:rPr>
            <w:t xml:space="preserve">第三章 </w:t>
          </w:r>
          <w:r>
            <w:rPr>
              <w:rFonts w:hint="eastAsia" w:ascii="宋体" w:hAnsi="宋体" w:eastAsia="宋体" w:cs="宋体"/>
              <w:bCs w:val="0"/>
              <w:kern w:val="0"/>
              <w:szCs w:val="24"/>
              <w:highlight w:val="none"/>
              <w:lang w:val="en-US" w:eastAsia="zh-CN" w:bidi="ar-SA"/>
            </w:rPr>
            <w:t>服务内容及要求</w:t>
          </w:r>
          <w:r>
            <w:tab/>
          </w:r>
          <w:r>
            <w:fldChar w:fldCharType="begin"/>
          </w:r>
          <w:r>
            <w:instrText xml:space="preserve"> PAGEREF _Toc20302 \h </w:instrText>
          </w:r>
          <w:r>
            <w:fldChar w:fldCharType="separate"/>
          </w:r>
          <w:r>
            <w:t>22</w:t>
          </w:r>
          <w:r>
            <w:fldChar w:fldCharType="end"/>
          </w:r>
          <w:r>
            <w:rPr>
              <w:rFonts w:hint="eastAsia" w:ascii="宋体" w:hAnsi="宋体" w:eastAsia="宋体" w:cs="宋体"/>
              <w:color w:val="auto"/>
              <w:szCs w:val="48"/>
            </w:rPr>
            <w:fldChar w:fldCharType="end"/>
          </w:r>
        </w:p>
        <w:p w14:paraId="7AC817F5">
          <w:pPr>
            <w:pStyle w:val="14"/>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_Toc8223 </w:instrText>
          </w:r>
          <w:r>
            <w:rPr>
              <w:rFonts w:hint="eastAsia" w:ascii="宋体" w:hAnsi="宋体" w:eastAsia="宋体" w:cs="宋体"/>
              <w:szCs w:val="48"/>
            </w:rPr>
            <w:fldChar w:fldCharType="separate"/>
          </w:r>
          <w:r>
            <w:rPr>
              <w:rFonts w:hint="eastAsia" w:ascii="宋体" w:hAnsi="宋体" w:eastAsia="宋体" w:cs="宋体"/>
              <w:bCs/>
              <w:kern w:val="44"/>
              <w:szCs w:val="44"/>
              <w:highlight w:val="none"/>
              <w:lang w:val="en-US" w:eastAsia="zh-CN" w:bidi="ar-SA"/>
            </w:rPr>
            <w:t>第四章 评审办法</w:t>
          </w:r>
          <w:r>
            <w:tab/>
          </w:r>
          <w:r>
            <w:fldChar w:fldCharType="begin"/>
          </w:r>
          <w:r>
            <w:instrText xml:space="preserve"> PAGEREF _Toc8223 \h </w:instrText>
          </w:r>
          <w:r>
            <w:fldChar w:fldCharType="separate"/>
          </w:r>
          <w:r>
            <w:t>23</w:t>
          </w:r>
          <w:r>
            <w:fldChar w:fldCharType="end"/>
          </w:r>
          <w:r>
            <w:rPr>
              <w:rFonts w:hint="eastAsia" w:ascii="宋体" w:hAnsi="宋体" w:eastAsia="宋体" w:cs="宋体"/>
              <w:color w:val="auto"/>
              <w:szCs w:val="48"/>
            </w:rPr>
            <w:fldChar w:fldCharType="end"/>
          </w:r>
        </w:p>
        <w:p w14:paraId="0BA2C8F9">
          <w:pPr>
            <w:pStyle w:val="14"/>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_Toc31439 </w:instrText>
          </w:r>
          <w:r>
            <w:rPr>
              <w:rFonts w:hint="eastAsia" w:ascii="宋体" w:hAnsi="宋体" w:eastAsia="宋体" w:cs="宋体"/>
              <w:szCs w:val="48"/>
            </w:rPr>
            <w:fldChar w:fldCharType="separate"/>
          </w:r>
          <w:r>
            <w:rPr>
              <w:rFonts w:hint="eastAsia" w:ascii="宋体" w:hAnsi="宋体" w:eastAsia="宋体" w:cs="宋体"/>
              <w:szCs w:val="40"/>
            </w:rPr>
            <w:t>第五章 合同主要条款及格式</w:t>
          </w:r>
          <w:r>
            <w:tab/>
          </w:r>
          <w:r>
            <w:fldChar w:fldCharType="begin"/>
          </w:r>
          <w:r>
            <w:instrText xml:space="preserve"> PAGEREF _Toc31439 \h </w:instrText>
          </w:r>
          <w:r>
            <w:fldChar w:fldCharType="separate"/>
          </w:r>
          <w:r>
            <w:t>30</w:t>
          </w:r>
          <w:r>
            <w:fldChar w:fldCharType="end"/>
          </w:r>
          <w:r>
            <w:rPr>
              <w:rFonts w:hint="eastAsia" w:ascii="宋体" w:hAnsi="宋体" w:eastAsia="宋体" w:cs="宋体"/>
              <w:color w:val="auto"/>
              <w:szCs w:val="48"/>
            </w:rPr>
            <w:fldChar w:fldCharType="end"/>
          </w:r>
        </w:p>
        <w:p w14:paraId="73EEFE0C">
          <w:pPr>
            <w:pStyle w:val="14"/>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_Toc21640 </w:instrText>
          </w:r>
          <w:r>
            <w:rPr>
              <w:rFonts w:hint="eastAsia" w:ascii="宋体" w:hAnsi="宋体" w:eastAsia="宋体" w:cs="宋体"/>
              <w:szCs w:val="48"/>
            </w:rPr>
            <w:fldChar w:fldCharType="separate"/>
          </w:r>
          <w:r>
            <w:rPr>
              <w:rFonts w:hint="eastAsia" w:ascii="宋体" w:hAnsi="宋体" w:eastAsia="宋体" w:cs="宋体"/>
              <w:bCs/>
              <w:szCs w:val="40"/>
            </w:rPr>
            <w:t xml:space="preserve">第六章 </w:t>
          </w:r>
          <w:r>
            <w:rPr>
              <w:rFonts w:hint="eastAsia" w:ascii="宋体" w:hAnsi="宋体" w:eastAsia="宋体" w:cs="宋体"/>
              <w:bCs/>
              <w:szCs w:val="40"/>
              <w:lang w:val="en-US" w:eastAsia="zh-CN"/>
            </w:rPr>
            <w:t>响应</w:t>
          </w:r>
          <w:r>
            <w:rPr>
              <w:rFonts w:hint="eastAsia" w:ascii="宋体" w:hAnsi="宋体" w:eastAsia="宋体" w:cs="宋体"/>
              <w:bCs/>
              <w:szCs w:val="40"/>
            </w:rPr>
            <w:t>文件格式</w:t>
          </w:r>
          <w:r>
            <w:tab/>
          </w:r>
          <w:r>
            <w:fldChar w:fldCharType="begin"/>
          </w:r>
          <w:r>
            <w:instrText xml:space="preserve"> PAGEREF _Toc21640 \h </w:instrText>
          </w:r>
          <w:r>
            <w:fldChar w:fldCharType="separate"/>
          </w:r>
          <w:r>
            <w:t>31</w:t>
          </w:r>
          <w:r>
            <w:fldChar w:fldCharType="end"/>
          </w:r>
          <w:r>
            <w:rPr>
              <w:rFonts w:hint="eastAsia" w:ascii="宋体" w:hAnsi="宋体" w:eastAsia="宋体" w:cs="宋体"/>
              <w:color w:val="auto"/>
              <w:szCs w:val="48"/>
            </w:rPr>
            <w:fldChar w:fldCharType="end"/>
          </w:r>
        </w:p>
        <w:p w14:paraId="5F39AF39">
          <w:pPr>
            <w:pStyle w:val="14"/>
            <w:rPr>
              <w:rFonts w:hint="eastAsia" w:ascii="宋体" w:hAnsi="宋体" w:eastAsia="宋体" w:cs="宋体"/>
              <w:color w:val="auto"/>
            </w:rPr>
          </w:pPr>
          <w:r>
            <w:rPr>
              <w:rFonts w:hint="eastAsia" w:ascii="宋体" w:hAnsi="宋体" w:eastAsia="宋体" w:cs="宋体"/>
              <w:color w:val="auto"/>
              <w:szCs w:val="48"/>
            </w:rPr>
            <w:fldChar w:fldCharType="end"/>
          </w:r>
        </w:p>
      </w:sdtContent>
    </w:sdt>
    <w:p w14:paraId="60707E9F">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14:paraId="0C695776">
      <w:pPr>
        <w:autoSpaceDE w:val="0"/>
        <w:autoSpaceDN w:val="0"/>
        <w:adjustRightInd w:val="0"/>
        <w:spacing w:line="486" w:lineRule="atLeast"/>
        <w:rPr>
          <w:rFonts w:hint="eastAsia" w:ascii="宋体" w:hAnsi="宋体" w:eastAsia="宋体" w:cs="宋体"/>
          <w:b/>
          <w:bCs/>
          <w:color w:val="auto"/>
          <w:kern w:val="0"/>
          <w:sz w:val="32"/>
          <w:szCs w:val="32"/>
        </w:rPr>
      </w:pPr>
    </w:p>
    <w:p w14:paraId="39A0FDDB">
      <w:pPr>
        <w:autoSpaceDE w:val="0"/>
        <w:autoSpaceDN w:val="0"/>
        <w:adjustRightInd w:val="0"/>
        <w:spacing w:line="486" w:lineRule="atLeast"/>
        <w:rPr>
          <w:rFonts w:hint="eastAsia" w:ascii="宋体" w:hAnsi="宋体" w:eastAsia="宋体" w:cs="宋体"/>
          <w:b/>
          <w:bCs/>
          <w:color w:val="auto"/>
          <w:kern w:val="0"/>
          <w:sz w:val="32"/>
          <w:szCs w:val="32"/>
        </w:rPr>
      </w:pPr>
    </w:p>
    <w:p w14:paraId="62C88CA9">
      <w:pPr>
        <w:autoSpaceDE w:val="0"/>
        <w:autoSpaceDN w:val="0"/>
        <w:adjustRightInd w:val="0"/>
        <w:spacing w:line="486" w:lineRule="atLeast"/>
        <w:rPr>
          <w:rFonts w:hint="eastAsia" w:ascii="宋体" w:hAnsi="宋体" w:eastAsia="宋体" w:cs="宋体"/>
          <w:b/>
          <w:bCs/>
          <w:color w:val="auto"/>
          <w:kern w:val="0"/>
          <w:sz w:val="32"/>
          <w:szCs w:val="32"/>
        </w:rPr>
      </w:pPr>
    </w:p>
    <w:p w14:paraId="33025FC3">
      <w:pPr>
        <w:autoSpaceDE w:val="0"/>
        <w:autoSpaceDN w:val="0"/>
        <w:adjustRightInd w:val="0"/>
        <w:spacing w:line="486" w:lineRule="atLeast"/>
        <w:rPr>
          <w:rFonts w:hint="eastAsia" w:ascii="宋体" w:hAnsi="宋体" w:eastAsia="宋体" w:cs="宋体"/>
          <w:b/>
          <w:bCs/>
          <w:color w:val="auto"/>
          <w:kern w:val="0"/>
          <w:sz w:val="32"/>
          <w:szCs w:val="32"/>
        </w:rPr>
      </w:pPr>
    </w:p>
    <w:p w14:paraId="644724E6">
      <w:pPr>
        <w:autoSpaceDE w:val="0"/>
        <w:autoSpaceDN w:val="0"/>
        <w:adjustRightInd w:val="0"/>
        <w:spacing w:line="486" w:lineRule="atLeast"/>
        <w:rPr>
          <w:rFonts w:hint="eastAsia" w:ascii="宋体" w:hAnsi="宋体" w:eastAsia="宋体" w:cs="宋体"/>
          <w:b/>
          <w:bCs/>
          <w:color w:val="auto"/>
          <w:kern w:val="0"/>
          <w:sz w:val="32"/>
          <w:szCs w:val="32"/>
        </w:rPr>
      </w:pPr>
    </w:p>
    <w:p w14:paraId="784F30F1">
      <w:pPr>
        <w:autoSpaceDE w:val="0"/>
        <w:autoSpaceDN w:val="0"/>
        <w:adjustRightInd w:val="0"/>
        <w:spacing w:line="486" w:lineRule="atLeast"/>
        <w:rPr>
          <w:rFonts w:hint="eastAsia" w:ascii="宋体" w:hAnsi="宋体" w:eastAsia="宋体" w:cs="宋体"/>
          <w:b/>
          <w:bCs/>
          <w:color w:val="auto"/>
          <w:kern w:val="0"/>
          <w:sz w:val="32"/>
          <w:szCs w:val="32"/>
        </w:rPr>
      </w:pPr>
    </w:p>
    <w:p w14:paraId="5C3ECC04">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0" w:name="_Toc31146"/>
      <w:bookmarkStart w:id="1" w:name="_Toc752"/>
      <w:r>
        <w:rPr>
          <w:rStyle w:val="26"/>
          <w:rFonts w:hint="eastAsia" w:ascii="宋体" w:hAnsi="宋体" w:eastAsia="宋体" w:cs="宋体"/>
          <w:color w:val="auto"/>
        </w:rPr>
        <w:t xml:space="preserve">第一章 </w:t>
      </w:r>
      <w:r>
        <w:rPr>
          <w:rStyle w:val="26"/>
          <w:rFonts w:hint="eastAsia" w:ascii="宋体" w:hAnsi="宋体" w:eastAsia="宋体" w:cs="宋体"/>
          <w:color w:val="auto"/>
          <w:lang w:val="en-US" w:eastAsia="zh-CN"/>
        </w:rPr>
        <w:t>竞争性磋商</w:t>
      </w:r>
      <w:r>
        <w:rPr>
          <w:rStyle w:val="26"/>
          <w:rFonts w:hint="eastAsia" w:ascii="宋体" w:hAnsi="宋体" w:eastAsia="宋体" w:cs="宋体"/>
          <w:color w:val="auto"/>
        </w:rPr>
        <w:t>公告</w:t>
      </w:r>
      <w:bookmarkEnd w:id="0"/>
      <w:bookmarkEnd w:id="1"/>
    </w:p>
    <w:p w14:paraId="580106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444444"/>
          <w:kern w:val="0"/>
          <w:sz w:val="24"/>
          <w:szCs w:val="24"/>
          <w:lang w:val="en-US" w:eastAsia="zh-CN" w:bidi="ar"/>
        </w:rPr>
        <w:t>三门峡市湖滨区教育体育局三门峡市湖滨区中小学校消防审验历史遗留问题现场评定项目</w:t>
      </w:r>
      <w:r>
        <w:rPr>
          <w:rFonts w:hint="eastAsia" w:ascii="宋体" w:hAnsi="宋体" w:eastAsia="宋体" w:cs="宋体"/>
          <w:kern w:val="0"/>
          <w:sz w:val="24"/>
          <w:szCs w:val="24"/>
          <w:shd w:val="clear" w:color="auto" w:fill="auto"/>
        </w:rPr>
        <w:t>的潜在</w:t>
      </w:r>
      <w:r>
        <w:rPr>
          <w:rFonts w:hint="eastAsia" w:ascii="宋体" w:hAnsi="宋体" w:cs="宋体"/>
          <w:kern w:val="0"/>
          <w:sz w:val="24"/>
          <w:szCs w:val="24"/>
          <w:shd w:val="clear" w:color="auto" w:fill="auto"/>
          <w:lang w:eastAsia="zh-CN"/>
        </w:rPr>
        <w:t>供应商</w:t>
      </w:r>
      <w:r>
        <w:rPr>
          <w:rFonts w:hint="eastAsia" w:ascii="宋体" w:hAnsi="宋体" w:eastAsia="宋体" w:cs="宋体"/>
          <w:kern w:val="0"/>
          <w:sz w:val="24"/>
          <w:szCs w:val="24"/>
          <w:shd w:val="clear" w:color="auto" w:fill="auto"/>
        </w:rPr>
        <w:t>应在三门峡市公共资源交易中心平台获取</w:t>
      </w:r>
      <w:r>
        <w:rPr>
          <w:rFonts w:hint="eastAsia" w:ascii="宋体" w:hAnsi="宋体" w:cs="宋体"/>
          <w:kern w:val="0"/>
          <w:sz w:val="24"/>
          <w:szCs w:val="24"/>
          <w:shd w:val="clear" w:color="auto" w:fill="auto"/>
          <w:lang w:eastAsia="zh-CN"/>
        </w:rPr>
        <w:t>采购</w:t>
      </w:r>
      <w:r>
        <w:rPr>
          <w:rFonts w:hint="eastAsia" w:ascii="宋体" w:hAnsi="宋体" w:eastAsia="宋体" w:cs="宋体"/>
          <w:kern w:val="0"/>
          <w:sz w:val="24"/>
          <w:szCs w:val="24"/>
          <w:shd w:val="clear" w:color="auto" w:fill="auto"/>
        </w:rPr>
        <w:t>文件，并于</w:t>
      </w:r>
      <w:r>
        <w:rPr>
          <w:rFonts w:hint="eastAsia" w:ascii="宋体" w:hAnsi="宋体" w:eastAsia="宋体" w:cs="宋体"/>
          <w:kern w:val="0"/>
          <w:sz w:val="24"/>
          <w:szCs w:val="24"/>
          <w:highlight w:val="none"/>
          <w:shd w:val="clear" w:color="auto" w:fill="auto"/>
        </w:rPr>
        <w:t>202</w:t>
      </w:r>
      <w:r>
        <w:rPr>
          <w:rFonts w:hint="eastAsia" w:ascii="宋体" w:hAnsi="宋体" w:eastAsia="宋体" w:cs="宋体"/>
          <w:kern w:val="0"/>
          <w:sz w:val="24"/>
          <w:szCs w:val="24"/>
          <w:highlight w:val="none"/>
          <w:shd w:val="clear" w:color="auto" w:fill="auto"/>
          <w:lang w:val="en-US" w:eastAsia="zh-CN"/>
        </w:rPr>
        <w:t>5</w:t>
      </w:r>
      <w:r>
        <w:rPr>
          <w:rFonts w:hint="eastAsia" w:ascii="宋体" w:hAnsi="宋体" w:eastAsia="宋体" w:cs="宋体"/>
          <w:kern w:val="0"/>
          <w:sz w:val="24"/>
          <w:szCs w:val="24"/>
          <w:highlight w:val="none"/>
          <w:shd w:val="clear" w:color="auto" w:fill="auto"/>
        </w:rPr>
        <w:t>年</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val="en-US" w:eastAsia="zh-CN"/>
        </w:rPr>
        <w:t>日0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shd w:val="clear" w:color="auto" w:fill="auto"/>
        </w:rPr>
        <w:t>北京时间）前递交响应文件</w:t>
      </w:r>
      <w:r>
        <w:rPr>
          <w:rFonts w:hint="eastAsia" w:ascii="宋体" w:hAnsi="宋体" w:eastAsia="宋体" w:cs="宋体"/>
          <w:color w:val="auto"/>
          <w:kern w:val="0"/>
          <w:sz w:val="24"/>
          <w:szCs w:val="24"/>
        </w:rPr>
        <w:t>。</w:t>
      </w:r>
    </w:p>
    <w:p w14:paraId="57A4B20C">
      <w:pPr>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一、项目基本情况：</w:t>
      </w:r>
    </w:p>
    <w:p w14:paraId="56F32F76">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采购项目编号：SGZ[2025]577-ZC376、湖滨竞磋采购-2025-35</w:t>
      </w:r>
      <w:r>
        <w:rPr>
          <w:rFonts w:hint="eastAsia" w:ascii="宋体" w:hAnsi="宋体" w:eastAsia="宋体" w:cs="宋体"/>
          <w:color w:val="auto"/>
          <w:kern w:val="0"/>
          <w:sz w:val="24"/>
          <w:szCs w:val="24"/>
          <w:highlight w:val="none"/>
        </w:rPr>
        <w:t>；</w:t>
      </w:r>
    </w:p>
    <w:p w14:paraId="381BE9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val="en-US" w:eastAsia="zh-CN" w:bidi="ar"/>
        </w:rPr>
        <w:t>三门峡市湖滨区教育体育局三门峡市湖滨区中小学校消防审验历史遗留问题现场评定项目</w:t>
      </w:r>
    </w:p>
    <w:p w14:paraId="3CF8173B">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rPr>
        <w:t>3、采购方式</w:t>
      </w:r>
      <w:r>
        <w:rPr>
          <w:rFonts w:hint="eastAsia" w:ascii="宋体" w:hAnsi="宋体" w:eastAsia="宋体" w:cs="宋体"/>
          <w:color w:val="auto"/>
          <w:kern w:val="0"/>
          <w:sz w:val="24"/>
          <w:szCs w:val="24"/>
          <w:lang w:val="en-US" w:eastAsia="zh-CN" w:bidi="ar"/>
        </w:rPr>
        <w:t>：竞争性磋商</w:t>
      </w:r>
    </w:p>
    <w:p w14:paraId="6ABA5729">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440000</w:t>
      </w:r>
      <w:r>
        <w:rPr>
          <w:rFonts w:hint="eastAsia" w:ascii="宋体" w:hAnsi="宋体" w:eastAsia="宋体" w:cs="宋体"/>
          <w:color w:val="auto"/>
          <w:kern w:val="0"/>
          <w:sz w:val="24"/>
          <w:szCs w:val="24"/>
          <w:highlight w:val="none"/>
        </w:rPr>
        <w:t>元</w:t>
      </w:r>
    </w:p>
    <w:p w14:paraId="5BF3FE5A">
      <w:pPr>
        <w:pageBreakBefore w:val="0"/>
        <w:widowControl/>
        <w:shd w:val="clear" w:color="auto" w:fill="auto"/>
        <w:overflowPunct/>
        <w:bidi w:val="0"/>
        <w:spacing w:line="360" w:lineRule="auto"/>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440000</w:t>
      </w:r>
      <w:r>
        <w:rPr>
          <w:rFonts w:hint="eastAsia" w:ascii="宋体" w:hAnsi="宋体" w:eastAsia="宋体" w:cs="宋体"/>
          <w:color w:val="auto"/>
          <w:kern w:val="0"/>
          <w:sz w:val="24"/>
          <w:szCs w:val="24"/>
          <w:highlight w:val="none"/>
        </w:rPr>
        <w:t>元</w:t>
      </w:r>
    </w:p>
    <w:tbl>
      <w:tblPr>
        <w:tblStyle w:val="20"/>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331"/>
        <w:gridCol w:w="2919"/>
        <w:gridCol w:w="1154"/>
        <w:gridCol w:w="1326"/>
      </w:tblGrid>
      <w:tr w14:paraId="2BF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27" w:type="dxa"/>
            <w:noWrap/>
            <w:vAlign w:val="center"/>
          </w:tcPr>
          <w:p w14:paraId="19F14049">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331" w:type="dxa"/>
            <w:noWrap/>
            <w:vAlign w:val="center"/>
          </w:tcPr>
          <w:p w14:paraId="5535BC3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包号</w:t>
            </w:r>
          </w:p>
        </w:tc>
        <w:tc>
          <w:tcPr>
            <w:tcW w:w="2919" w:type="dxa"/>
            <w:noWrap/>
            <w:vAlign w:val="center"/>
          </w:tcPr>
          <w:p w14:paraId="032A71B1">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154" w:type="dxa"/>
            <w:noWrap/>
            <w:vAlign w:val="center"/>
          </w:tcPr>
          <w:p w14:paraId="5A4F057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包预算（元）</w:t>
            </w:r>
          </w:p>
        </w:tc>
        <w:tc>
          <w:tcPr>
            <w:tcW w:w="1326" w:type="dxa"/>
            <w:noWrap/>
            <w:vAlign w:val="center"/>
          </w:tcPr>
          <w:p w14:paraId="4A85CE07">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28F1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027" w:type="dxa"/>
            <w:noWrap/>
            <w:vAlign w:val="center"/>
          </w:tcPr>
          <w:p w14:paraId="401AA639">
            <w:pPr>
              <w:widowControl/>
              <w:shd w:val="clear" w:color="auto" w:fill="auto"/>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331" w:type="dxa"/>
            <w:noWrap/>
            <w:vAlign w:val="center"/>
          </w:tcPr>
          <w:p w14:paraId="4CC9C0E6">
            <w:pPr>
              <w:widowControl/>
              <w:shd w:val="clear" w:color="auto" w:fill="auto"/>
              <w:spacing w:line="360" w:lineRule="auto"/>
              <w:jc w:val="center"/>
              <w:rPr>
                <w:rFonts w:hint="default" w:ascii="宋体" w:hAnsi="宋体" w:eastAsia="微软雅黑"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SGZ[2025]577-ZC376</w:t>
            </w:r>
            <w:r>
              <w:rPr>
                <w:rFonts w:hint="eastAsia" w:ascii="宋体" w:hAnsi="宋体" w:cs="宋体"/>
                <w:color w:val="auto"/>
                <w:kern w:val="0"/>
                <w:sz w:val="24"/>
                <w:szCs w:val="24"/>
                <w:highlight w:val="none"/>
                <w:lang w:val="en-US" w:eastAsia="zh-CN"/>
              </w:rPr>
              <w:t>-1</w:t>
            </w:r>
          </w:p>
        </w:tc>
        <w:tc>
          <w:tcPr>
            <w:tcW w:w="2919" w:type="dxa"/>
            <w:noWrap/>
            <w:vAlign w:val="center"/>
          </w:tcPr>
          <w:p w14:paraId="1976F3C8">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
              </w:rPr>
              <w:t>三门峡市湖滨区教育体育局三门峡市湖滨区中小学校消防审验历史遗留问题现场评定项目</w:t>
            </w:r>
          </w:p>
        </w:tc>
        <w:tc>
          <w:tcPr>
            <w:tcW w:w="1154" w:type="dxa"/>
            <w:noWrap/>
            <w:vAlign w:val="center"/>
          </w:tcPr>
          <w:p w14:paraId="4E6D7D87">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440000</w:t>
            </w:r>
          </w:p>
        </w:tc>
        <w:tc>
          <w:tcPr>
            <w:tcW w:w="1326" w:type="dxa"/>
            <w:noWrap/>
            <w:vAlign w:val="center"/>
          </w:tcPr>
          <w:p w14:paraId="39943E36">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440000</w:t>
            </w:r>
          </w:p>
        </w:tc>
      </w:tr>
    </w:tbl>
    <w:p w14:paraId="11E499D5">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40ABDEE2">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：按照国家相关规范对</w:t>
      </w:r>
      <w:r>
        <w:rPr>
          <w:rFonts w:hint="eastAsia" w:ascii="宋体" w:hAnsi="宋体" w:eastAsia="宋体" w:cs="宋体"/>
          <w:color w:val="444444"/>
          <w:kern w:val="0"/>
          <w:sz w:val="24"/>
          <w:szCs w:val="24"/>
          <w:lang w:val="en-US" w:eastAsia="zh-CN" w:bidi="ar"/>
        </w:rPr>
        <w:t>对三门峡市湖滨区20所学校校舍</w:t>
      </w:r>
      <w:r>
        <w:rPr>
          <w:rFonts w:hint="eastAsia" w:ascii="宋体" w:hAnsi="宋体" w:eastAsia="宋体" w:cs="宋体"/>
          <w:kern w:val="0"/>
          <w:sz w:val="24"/>
          <w:szCs w:val="24"/>
          <w:highlight w:val="none"/>
        </w:rPr>
        <w:t>的建筑进行消防验收现场评定服务，按照相关技术标准规范要求进行消防现场评定工作，并出具评定报告</w:t>
      </w:r>
      <w:r>
        <w:rPr>
          <w:rFonts w:hint="eastAsia" w:ascii="宋体" w:hAnsi="宋体" w:cs="宋体"/>
          <w:kern w:val="0"/>
          <w:sz w:val="24"/>
          <w:szCs w:val="24"/>
          <w:highlight w:val="none"/>
          <w:lang w:eastAsia="zh-CN"/>
        </w:rPr>
        <w:t>。</w:t>
      </w:r>
    </w:p>
    <w:p w14:paraId="2D194A60">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5803D406">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5.3项目地点：</w:t>
      </w:r>
      <w:r>
        <w:rPr>
          <w:rFonts w:hint="eastAsia" w:ascii="宋体" w:hAnsi="宋体" w:cs="宋体"/>
          <w:spacing w:val="0"/>
          <w:w w:val="100"/>
          <w:kern w:val="0"/>
          <w:sz w:val="24"/>
          <w:szCs w:val="24"/>
          <w:highlight w:val="none"/>
          <w:u w:val="none"/>
          <w:lang w:val="en-US" w:eastAsia="zh-CN"/>
        </w:rPr>
        <w:t>三门峡市湖滨区</w:t>
      </w:r>
    </w:p>
    <w:p w14:paraId="57FFB6D8">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w:t>
      </w:r>
      <w:r>
        <w:rPr>
          <w:rFonts w:hint="eastAsia" w:ascii="宋体" w:hAnsi="宋体" w:eastAsia="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合同签订后2个月内完成并提交报告。</w:t>
      </w:r>
    </w:p>
    <w:p w14:paraId="4D96B0EF">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w:t>
      </w:r>
      <w:r>
        <w:rPr>
          <w:rFonts w:hint="eastAsia" w:ascii="宋体" w:hAnsi="宋体" w:eastAsia="宋体" w:cs="宋体"/>
          <w:sz w:val="24"/>
          <w:szCs w:val="24"/>
          <w:lang w:val="en-US" w:eastAsia="zh-CN"/>
        </w:rPr>
        <w:t>合格，符合国家相关法律、法规及规范要求，满足采购人要求</w:t>
      </w:r>
    </w:p>
    <w:p w14:paraId="0B443DD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按合同约定执行。</w:t>
      </w:r>
    </w:p>
    <w:p w14:paraId="16442FD1">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7、本项目是否接受联合体投标：</w:t>
      </w:r>
      <w:r>
        <w:rPr>
          <w:rFonts w:hint="eastAsia" w:ascii="宋体" w:hAnsi="宋体" w:cs="宋体"/>
          <w:color w:val="auto"/>
          <w:kern w:val="0"/>
          <w:sz w:val="24"/>
          <w:szCs w:val="24"/>
          <w:highlight w:val="none"/>
          <w:lang w:val="en-US" w:eastAsia="zh-CN"/>
        </w:rPr>
        <w:t>否</w:t>
      </w:r>
    </w:p>
    <w:p w14:paraId="2BF6990A">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2046825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9、是否专门面向中小企业：</w:t>
      </w:r>
      <w:r>
        <w:rPr>
          <w:rFonts w:hint="eastAsia" w:ascii="宋体" w:hAnsi="宋体" w:cs="宋体"/>
          <w:color w:val="auto"/>
          <w:kern w:val="0"/>
          <w:sz w:val="24"/>
          <w:szCs w:val="24"/>
          <w:highlight w:val="none"/>
          <w:lang w:val="en-US" w:eastAsia="zh-CN"/>
        </w:rPr>
        <w:t>否</w:t>
      </w:r>
    </w:p>
    <w:p w14:paraId="65E7B628">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二、申请人资格要求：</w:t>
      </w:r>
    </w:p>
    <w:p w14:paraId="101E011C">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1、满足《中华人民共和国政府采购法》第二十二条规定； </w:t>
      </w:r>
    </w:p>
    <w:p w14:paraId="2B4AC159">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2、落实政府采购政策需满足的资格要求:项目执行支持中小微企业(含监狱企业、残疾人福利性单位)发展政策，强制优化采购节能产品、环境标志产品等政府采购政策。</w:t>
      </w:r>
    </w:p>
    <w:p w14:paraId="6C7B2ADC">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3、本项目的特定资格要求</w:t>
      </w:r>
    </w:p>
    <w:p w14:paraId="2E9A1013">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 xml:space="preserve"> 供应商须在“社会消防技术服务信息系统”登记备案,提供消防技术服务机构査询截图</w:t>
      </w:r>
      <w:r>
        <w:rPr>
          <w:rFonts w:hint="eastAsia" w:ascii="宋体" w:hAnsi="宋体" w:eastAsia="宋体" w:cs="宋体"/>
          <w:color w:val="auto"/>
          <w:kern w:val="0"/>
          <w:sz w:val="24"/>
          <w:szCs w:val="24"/>
          <w:lang w:val="en-US" w:eastAsia="zh-CN"/>
        </w:rPr>
        <w:t>；</w:t>
      </w:r>
    </w:p>
    <w:p w14:paraId="701C854A">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 xml:space="preserve"> 拟派项目负责人应具有国家一级注册消防工程师执业资格证书，须提供社会养老保险缴纳记录证明，若存在退休后返聘人员，须提供退休证明；</w:t>
      </w:r>
    </w:p>
    <w:p w14:paraId="08DFDB57">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供应商出具无行贿记录</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在中国裁判文书网自行查询或自行承诺（查询</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承诺对象：企业、法定代表人）及企业自行承诺无商业贿赂和不正当竞争行为；</w:t>
      </w:r>
    </w:p>
    <w:p w14:paraId="5527CC76">
      <w:pPr>
        <w:pageBreakBefore w:val="0"/>
        <w:overflowPunct/>
        <w:bidi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 xml:space="preserve">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color w:val="auto"/>
          <w:kern w:val="0"/>
          <w:sz w:val="24"/>
          <w:szCs w:val="24"/>
          <w:lang w:eastAsia="zh-CN"/>
        </w:rPr>
        <w:t>；</w:t>
      </w:r>
    </w:p>
    <w:p w14:paraId="279CA3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lang w:val="en-US" w:eastAsia="zh-CN" w:bidi="ar"/>
        </w:rPr>
        <w:t>本项目不接受联合体投标（提供承诺函）。</w:t>
      </w:r>
    </w:p>
    <w:p w14:paraId="560B7B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w:t>
      </w:r>
      <w:r>
        <w:rPr>
          <w:rFonts w:hint="eastAsia" w:ascii="宋体" w:hAnsi="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w:t>
      </w:r>
    </w:p>
    <w:p w14:paraId="07144D33">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日至 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日，每天上午00:00至12:00，下午12:00至23:59（北京时间，法定节假日除外。）</w:t>
      </w:r>
    </w:p>
    <w:p w14:paraId="04C6C5C2">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09110120">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投标供应商凭CA数字证书通过三门峡市公共资源交易中心网（网址：http://gzjy.smx.gov.cn/），点击交易平台选择“市场主体登录”，登陆系统后，点击采购业务-业务管理-竞争性磋商文件领取菜单-点击领取按钮-领取.smxzf格式的电子竞争性磋商文件。办理CA证书：</w:t>
      </w:r>
    </w:p>
    <w:p w14:paraId="633323AA">
      <w:pPr>
        <w:pageBreakBefore w:val="0"/>
        <w:overflowPunct/>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"http://gzjy.smx.gov.cn/bzzx/008001/20231102/4defc9b5-408e-47f2-9e9f-1f376a06ee1f.html" </w:instrText>
      </w:r>
      <w:r>
        <w:rPr>
          <w:rFonts w:hint="eastAsia" w:ascii="宋体" w:hAnsi="宋体" w:eastAsia="宋体" w:cs="宋体"/>
          <w:color w:val="auto"/>
          <w:kern w:val="0"/>
          <w:sz w:val="24"/>
          <w:szCs w:val="24"/>
          <w:highlight w:val="none"/>
        </w:rPr>
        <w:fldChar w:fldCharType="separate"/>
      </w:r>
      <w:r>
        <w:rPr>
          <w:rStyle w:val="23"/>
          <w:rFonts w:hint="eastAsia" w:ascii="宋体" w:hAnsi="宋体" w:eastAsia="宋体" w:cs="宋体"/>
          <w:color w:val="auto"/>
          <w:kern w:val="0"/>
          <w:sz w:val="24"/>
          <w:szCs w:val="24"/>
          <w:highlight w:val="none"/>
        </w:rPr>
        <w:t>http://gzjy.smx.gov.cn/bzzx/008001/20231102/4defc9b5-408e-47f2-9e9f-1f376a06ee1f.html</w:t>
      </w:r>
      <w:r>
        <w:rPr>
          <w:rFonts w:hint="eastAsia" w:ascii="宋体" w:hAnsi="宋体" w:eastAsia="宋体" w:cs="宋体"/>
          <w:color w:val="auto"/>
          <w:kern w:val="0"/>
          <w:sz w:val="24"/>
          <w:szCs w:val="24"/>
          <w:highlight w:val="none"/>
        </w:rPr>
        <w:fldChar w:fldCharType="end"/>
      </w:r>
    </w:p>
    <w:p w14:paraId="14094CEA">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5CFDEFD7">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、投标截止时间及地点：</w:t>
      </w:r>
    </w:p>
    <w:p w14:paraId="48F4E7C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val="en-US" w:eastAsia="zh-CN"/>
        </w:rPr>
        <w:t>日0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en-US" w:eastAsia="zh-CN"/>
        </w:rPr>
        <w:t>分</w:t>
      </w:r>
    </w:p>
    <w:p w14:paraId="1AA9BEF7">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eastAsia="zh-CN"/>
        </w:rPr>
        <w:t>在三门峡市公共资源交易中心网中上传加密响应文件</w:t>
      </w:r>
    </w:p>
    <w:p w14:paraId="6EF44F19">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、开标时间及地点：</w:t>
      </w:r>
    </w:p>
    <w:p w14:paraId="16F5FA42">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val="en-US" w:eastAsia="zh-CN"/>
        </w:rPr>
        <w:t>日0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en-US" w:eastAsia="zh-CN"/>
        </w:rPr>
        <w:t>分</w:t>
      </w:r>
    </w:p>
    <w:p w14:paraId="19AE35E5">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rPr>
        <w:t>2、地点：</w:t>
      </w:r>
      <w:r>
        <w:rPr>
          <w:rFonts w:hint="eastAsia" w:ascii="宋体" w:hAnsi="宋体" w:eastAsia="宋体" w:cs="宋体"/>
          <w:color w:val="auto"/>
          <w:kern w:val="0"/>
          <w:sz w:val="24"/>
          <w:szCs w:val="24"/>
          <w:lang w:eastAsia="zh-CN"/>
        </w:rPr>
        <w:t>三门峡市公共资源交易中心</w:t>
      </w:r>
      <w:r>
        <w:rPr>
          <w:rFonts w:hint="eastAsia" w:ascii="宋体" w:hAnsi="宋体" w:cs="宋体"/>
          <w:color w:val="auto"/>
          <w:kern w:val="0"/>
          <w:sz w:val="24"/>
          <w:szCs w:val="24"/>
          <w:lang w:val="en-US" w:eastAsia="zh-CN"/>
        </w:rPr>
        <w:t>五楼</w:t>
      </w:r>
      <w:r>
        <w:rPr>
          <w:rFonts w:hint="eastAsia" w:ascii="宋体" w:hAnsi="宋体" w:eastAsia="宋体" w:cs="宋体"/>
          <w:color w:val="auto"/>
          <w:kern w:val="0"/>
          <w:sz w:val="24"/>
          <w:szCs w:val="24"/>
          <w:lang w:val="en-US" w:eastAsia="zh-CN"/>
        </w:rPr>
        <w:t>开标室</w:t>
      </w:r>
    </w:p>
    <w:p w14:paraId="28D2FEAF">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、发布公告的媒介及公告期限：</w:t>
      </w:r>
    </w:p>
    <w:p w14:paraId="79223351">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w:t>
      </w:r>
      <w:r>
        <w:rPr>
          <w:rFonts w:hint="eastAsia" w:ascii="宋体" w:hAnsi="宋体" w:cs="宋体"/>
          <w:kern w:val="0"/>
          <w:sz w:val="24"/>
          <w:szCs w:val="24"/>
          <w:lang w:eastAsia="zh-CN"/>
        </w:rPr>
        <w:t>采购</w:t>
      </w:r>
      <w:r>
        <w:rPr>
          <w:rFonts w:hint="eastAsia" w:ascii="宋体" w:hAnsi="宋体" w:eastAsia="宋体" w:cs="宋体"/>
          <w:kern w:val="0"/>
          <w:sz w:val="24"/>
          <w:szCs w:val="24"/>
        </w:rPr>
        <w:t>公告同时在</w:t>
      </w:r>
      <w:r>
        <w:rPr>
          <w:rFonts w:hint="eastAsia" w:ascii="宋体" w:hAnsi="宋体" w:eastAsia="宋体" w:cs="宋体"/>
          <w:kern w:val="0"/>
          <w:sz w:val="24"/>
          <w:szCs w:val="24"/>
          <w:lang w:eastAsia="zh-CN"/>
        </w:rPr>
        <w:t>《中国招标投标公共服务平台》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和《三门峡市公共资源交易中心网》公开发布。</w:t>
      </w:r>
    </w:p>
    <w:p w14:paraId="411D303F">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、其他补充事宜</w:t>
      </w:r>
    </w:p>
    <w:p w14:paraId="2872E76A">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1.本项目为不见面开标项目，开标当日，</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无需到开标现场参加开标会议，</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的解密时间为开标时间起30分钟内完成。因</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原因未能解密、解密失败或解密超时的将被拒绝。</w:t>
      </w:r>
    </w:p>
    <w:p w14:paraId="5FDE0FCB">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2.本项目为电子化、无纸化交易项目，开标时不再接受任何纸质资料，为保证您能投标成功，请需仔细阅读竞争性磋商文件和三门峡市公共资源交易中心官网业务办理指南。</w:t>
      </w:r>
    </w:p>
    <w:p w14:paraId="2988C107">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3.根据《河南省财政厅关于优化政府采购营商环境有关问题的通知》（豫财购【2019】4号）第6条的规定，磋商保证金不再收取。</w:t>
      </w:r>
    </w:p>
    <w:p w14:paraId="400A97AE">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4.本项目实行资格后审，审查内容以竞争性磋商响应文件为准，其上传资料真实性由供应商自行承担，同时，供应商请完善主体库。</w:t>
      </w:r>
    </w:p>
    <w:p w14:paraId="59B3A2A5">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5.评标打分部分：评标打分部分仍按照100分制原则进行，涉及到资格审查、企业荣誉、企业业绩等计分部分时，以投标单位自行上传到磋商响应文件中的相应内容为准。</w:t>
      </w:r>
    </w:p>
    <w:p w14:paraId="5525C0FD">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6.在竞争性磋商文件中要求</w:t>
      </w:r>
      <w:r>
        <w:rPr>
          <w:rFonts w:hint="eastAsia" w:ascii="宋体" w:hAnsi="宋体" w:cs="宋体"/>
          <w:color w:val="000000"/>
          <w:sz w:val="24"/>
          <w:szCs w:val="24"/>
          <w:lang w:val="en-US" w:eastAsia="zh-CN"/>
        </w:rPr>
        <w:t>响应</w:t>
      </w:r>
      <w:r>
        <w:rPr>
          <w:rFonts w:hint="eastAsia" w:ascii="宋体" w:hAnsi="宋体" w:eastAsia="宋体" w:cs="宋体"/>
          <w:kern w:val="0"/>
          <w:sz w:val="24"/>
          <w:szCs w:val="24"/>
          <w:lang w:val="en-US" w:eastAsia="zh-CN"/>
        </w:rPr>
        <w:t>人按照磋商响应文件格式进行磋商响应文件编制，在磋商响应文件编制时，应明确将供应商企业基本情况、人员情况、财务情况、业绩情况编入磋商响应文件，便于进行资格审查及评标打分。</w:t>
      </w:r>
    </w:p>
    <w:p w14:paraId="2DF1DF6C">
      <w:pPr>
        <w:keepNext w:val="0"/>
        <w:keepLines w:val="0"/>
        <w:pageBreakBefore w:val="0"/>
        <w:widowControl w:val="0"/>
        <w:kinsoku/>
        <w:overflowPunct/>
        <w:autoSpaceDE/>
        <w:autoSpaceDN/>
        <w:bidi w:val="0"/>
        <w:adjustRightInd/>
        <w:snapToGrid/>
        <w:spacing w:line="384"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7、我单位（采购人）严格按三财购（2021）9 号文要求的时限发布结果公告，发出成交通知书，签订采购合同，上传采购合同。</w:t>
      </w:r>
    </w:p>
    <w:p w14:paraId="797DFB60">
      <w:pPr>
        <w:pageBreakBefore w:val="0"/>
        <w:overflowPunct/>
        <w:bidi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、凡对本次</w:t>
      </w:r>
      <w:r>
        <w:rPr>
          <w:rFonts w:hint="eastAsia" w:ascii="宋体" w:hAnsi="宋体" w:cs="宋体"/>
          <w:b/>
          <w:bCs/>
          <w:kern w:val="0"/>
          <w:sz w:val="24"/>
          <w:szCs w:val="24"/>
          <w:lang w:eastAsia="zh-CN"/>
        </w:rPr>
        <w:t>采购</w:t>
      </w:r>
      <w:r>
        <w:rPr>
          <w:rFonts w:hint="eastAsia" w:ascii="宋体" w:hAnsi="宋体" w:eastAsia="宋体" w:cs="宋体"/>
          <w:b/>
          <w:bCs/>
          <w:kern w:val="0"/>
          <w:sz w:val="24"/>
          <w:szCs w:val="24"/>
        </w:rPr>
        <w:t>提出询问，请按照以下方式联系：</w:t>
      </w:r>
    </w:p>
    <w:p w14:paraId="1CD60EA0">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p>
    <w:p w14:paraId="14B845BA">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监</w:t>
      </w:r>
      <w:r>
        <w:rPr>
          <w:rFonts w:hint="eastAsia" w:ascii="宋体" w:hAnsi="宋体" w:eastAsia="宋体" w:cs="宋体"/>
          <w:kern w:val="0"/>
          <w:sz w:val="24"/>
          <w:szCs w:val="24"/>
          <w:highlight w:val="none"/>
          <w:lang w:val="en-US" w:eastAsia="zh-CN"/>
        </w:rPr>
        <w:t>督单位：</w:t>
      </w:r>
      <w:r>
        <w:rPr>
          <w:rFonts w:hint="eastAsia" w:ascii="宋体" w:hAnsi="宋体" w:cs="宋体"/>
          <w:kern w:val="0"/>
          <w:sz w:val="24"/>
          <w:szCs w:val="24"/>
          <w:highlight w:val="none"/>
          <w:lang w:val="en-US" w:eastAsia="zh-CN"/>
        </w:rPr>
        <w:t>三门峡市湖滨区</w:t>
      </w:r>
      <w:r>
        <w:rPr>
          <w:rFonts w:hint="eastAsia" w:ascii="宋体" w:hAnsi="宋体" w:eastAsia="宋体" w:cs="宋体"/>
          <w:kern w:val="0"/>
          <w:sz w:val="24"/>
          <w:szCs w:val="24"/>
          <w:highlight w:val="none"/>
          <w:lang w:val="en-US" w:eastAsia="zh-CN"/>
        </w:rPr>
        <w:t>财政局</w:t>
      </w:r>
    </w:p>
    <w:p w14:paraId="17A2EDB0">
      <w:pPr>
        <w:pageBreakBefore w:val="0"/>
        <w:overflowPunct/>
        <w:bidi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联系电话：0398-2751077</w:t>
      </w:r>
    </w:p>
    <w:p w14:paraId="00C3FBAB">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p>
    <w:p w14:paraId="7019806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sz w:val="24"/>
          <w:highlight w:val="none"/>
        </w:rPr>
        <w:t>采购人：</w:t>
      </w:r>
      <w:r>
        <w:rPr>
          <w:rFonts w:hint="eastAsia" w:ascii="宋体" w:hAnsi="宋体" w:cs="宋体"/>
          <w:color w:val="444444"/>
          <w:kern w:val="0"/>
          <w:sz w:val="24"/>
          <w:szCs w:val="24"/>
          <w:lang w:val="en-US" w:eastAsia="zh-CN" w:bidi="ar"/>
        </w:rPr>
        <w:t>三门峡市湖滨区教育体育局</w:t>
      </w:r>
    </w:p>
    <w:p w14:paraId="3DA8EA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color w:val="auto"/>
          <w:kern w:val="0"/>
          <w:sz w:val="24"/>
          <w:szCs w:val="24"/>
          <w:lang w:val="en-US" w:eastAsia="zh-CN"/>
        </w:rPr>
      </w:pPr>
      <w:r>
        <w:rPr>
          <w:rFonts w:hint="eastAsia"/>
          <w:color w:val="auto"/>
          <w:kern w:val="0"/>
          <w:sz w:val="24"/>
          <w:szCs w:val="24"/>
          <w:lang w:val="en-US" w:eastAsia="zh-CN"/>
        </w:rPr>
        <w:t>地址：三门峡湖滨区黄河路八街坊四号楼</w:t>
      </w:r>
    </w:p>
    <w:p w14:paraId="46D499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color w:val="auto"/>
          <w:kern w:val="0"/>
          <w:sz w:val="24"/>
          <w:szCs w:val="24"/>
          <w:lang w:val="en-US" w:eastAsia="zh-CN"/>
        </w:rPr>
      </w:pPr>
      <w:r>
        <w:rPr>
          <w:rFonts w:hint="eastAsia" w:ascii="宋体" w:hAnsi="宋体"/>
          <w:color w:val="auto"/>
          <w:kern w:val="0"/>
          <w:sz w:val="24"/>
          <w:szCs w:val="24"/>
        </w:rPr>
        <w:t>联系人：</w:t>
      </w:r>
      <w:r>
        <w:rPr>
          <w:rFonts w:hint="eastAsia" w:ascii="宋体" w:hAnsi="宋体"/>
          <w:color w:val="auto"/>
          <w:kern w:val="0"/>
          <w:sz w:val="24"/>
          <w:szCs w:val="24"/>
          <w:lang w:val="en-US" w:eastAsia="zh-CN"/>
        </w:rPr>
        <w:t>李先生</w:t>
      </w:r>
    </w:p>
    <w:p w14:paraId="62E601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olor w:val="auto"/>
          <w:kern w:val="0"/>
          <w:sz w:val="24"/>
          <w:szCs w:val="24"/>
          <w:lang w:eastAsia="zh-CN"/>
        </w:rPr>
      </w:pPr>
      <w:r>
        <w:rPr>
          <w:rFonts w:hint="eastAsia" w:ascii="宋体" w:hAnsi="宋体"/>
          <w:color w:val="auto"/>
          <w:kern w:val="0"/>
          <w:sz w:val="24"/>
          <w:szCs w:val="24"/>
        </w:rPr>
        <w:t>电话：17329176878</w:t>
      </w:r>
    </w:p>
    <w:p w14:paraId="4E21A6A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rPr>
      </w:pPr>
    </w:p>
    <w:p w14:paraId="04A2532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cs="宋体"/>
          <w:sz w:val="24"/>
          <w:szCs w:val="24"/>
          <w:highlight w:val="none"/>
          <w:lang w:val="en-US" w:eastAsia="zh-CN"/>
        </w:rPr>
        <w:t>信宇腾远工程咨询集团有限公司</w:t>
      </w:r>
      <w:r>
        <w:rPr>
          <w:rFonts w:hint="eastAsia" w:ascii="宋体" w:hAnsi="宋体" w:eastAsia="宋体" w:cs="宋体"/>
          <w:color w:val="auto"/>
          <w:kern w:val="0"/>
          <w:sz w:val="24"/>
          <w:szCs w:val="24"/>
        </w:rPr>
        <w:t xml:space="preserve">  </w:t>
      </w:r>
    </w:p>
    <w:p w14:paraId="1CD99B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olor w:val="auto"/>
          <w:kern w:val="0"/>
          <w:sz w:val="24"/>
          <w:szCs w:val="24"/>
          <w:lang w:eastAsia="zh-CN"/>
        </w:rPr>
      </w:pPr>
      <w:r>
        <w:rPr>
          <w:rFonts w:hint="eastAsia" w:ascii="宋体" w:hAnsi="宋体"/>
          <w:color w:val="auto"/>
          <w:kern w:val="0"/>
          <w:sz w:val="24"/>
          <w:szCs w:val="24"/>
        </w:rPr>
        <w:t>地址：</w:t>
      </w:r>
      <w:r>
        <w:rPr>
          <w:rFonts w:hint="eastAsia" w:ascii="宋体" w:hAnsi="宋体"/>
          <w:color w:val="auto"/>
          <w:kern w:val="0"/>
          <w:sz w:val="24"/>
          <w:szCs w:val="24"/>
          <w:lang w:eastAsia="zh-CN"/>
        </w:rPr>
        <w:t>三门峡商务中心区紫金国际</w:t>
      </w:r>
      <w:r>
        <w:rPr>
          <w:rFonts w:hint="eastAsia" w:ascii="宋体" w:hAnsi="宋体"/>
          <w:color w:val="auto"/>
          <w:kern w:val="0"/>
          <w:sz w:val="24"/>
          <w:szCs w:val="24"/>
          <w:lang w:val="en-US" w:eastAsia="zh-CN"/>
        </w:rPr>
        <w:t>23</w:t>
      </w:r>
      <w:r>
        <w:rPr>
          <w:rFonts w:hint="eastAsia" w:ascii="宋体" w:hAnsi="宋体"/>
          <w:color w:val="auto"/>
          <w:kern w:val="0"/>
          <w:sz w:val="24"/>
          <w:szCs w:val="24"/>
          <w:lang w:eastAsia="zh-CN"/>
        </w:rPr>
        <w:t>楼</w:t>
      </w:r>
    </w:p>
    <w:p w14:paraId="4AE04A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olor w:val="auto"/>
          <w:kern w:val="0"/>
          <w:sz w:val="24"/>
          <w:szCs w:val="24"/>
          <w:lang w:eastAsia="zh-CN"/>
        </w:rPr>
      </w:pPr>
      <w:r>
        <w:rPr>
          <w:rFonts w:hint="eastAsia" w:ascii="宋体" w:hAnsi="宋体"/>
          <w:color w:val="auto"/>
          <w:kern w:val="0"/>
          <w:sz w:val="24"/>
          <w:szCs w:val="24"/>
        </w:rPr>
        <w:t>联系人：</w:t>
      </w:r>
      <w:r>
        <w:rPr>
          <w:rFonts w:hint="eastAsia" w:ascii="宋体" w:hAnsi="宋体"/>
          <w:color w:val="auto"/>
          <w:kern w:val="0"/>
          <w:sz w:val="24"/>
          <w:szCs w:val="24"/>
          <w:lang w:eastAsia="zh-CN"/>
        </w:rPr>
        <w:t>翟女士</w:t>
      </w:r>
    </w:p>
    <w:p w14:paraId="689DA2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宋体" w:eastAsia="宋体"/>
          <w:color w:val="auto"/>
          <w:kern w:val="0"/>
          <w:sz w:val="24"/>
          <w:szCs w:val="24"/>
          <w:lang w:val="en-US" w:eastAsia="zh-CN"/>
        </w:rPr>
      </w:pPr>
      <w:r>
        <w:rPr>
          <w:rFonts w:hint="eastAsia" w:ascii="宋体" w:hAnsi="宋体"/>
          <w:color w:val="auto"/>
          <w:kern w:val="0"/>
          <w:sz w:val="24"/>
          <w:szCs w:val="24"/>
        </w:rPr>
        <w:t>联系方式：</w:t>
      </w:r>
      <w:r>
        <w:rPr>
          <w:rFonts w:hint="eastAsia" w:ascii="宋体" w:hAnsi="宋体"/>
          <w:color w:val="auto"/>
          <w:kern w:val="0"/>
          <w:sz w:val="24"/>
          <w:szCs w:val="24"/>
          <w:lang w:val="en-US" w:eastAsia="zh-CN"/>
        </w:rPr>
        <w:t>15603988214</w:t>
      </w:r>
    </w:p>
    <w:p w14:paraId="19BFC60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5E85D4C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5FA2711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p w14:paraId="37A41DC9">
      <w:pPr>
        <w:pageBreakBefore w:val="0"/>
        <w:overflowPunct/>
        <w:bidi w:val="0"/>
        <w:spacing w:line="360" w:lineRule="auto"/>
        <w:ind w:firstLine="480" w:firstLineChars="200"/>
        <w:jc w:val="left"/>
        <w:rPr>
          <w:rFonts w:hint="eastAsia" w:ascii="宋体" w:hAnsi="宋体" w:eastAsia="宋体" w:cs="宋体"/>
          <w:kern w:val="0"/>
          <w:sz w:val="24"/>
          <w:szCs w:val="24"/>
        </w:rPr>
      </w:pPr>
    </w:p>
    <w:p w14:paraId="4F2ED0BE">
      <w:pPr>
        <w:pageBreakBefore w:val="0"/>
        <w:overflowPunct/>
        <w:bidi w:val="0"/>
        <w:spacing w:line="360" w:lineRule="auto"/>
        <w:jc w:val="center"/>
        <w:rPr>
          <w:rFonts w:hint="eastAsia" w:ascii="宋体" w:hAnsi="宋体" w:eastAsia="宋体" w:cs="宋体"/>
          <w:b/>
          <w:bCs/>
          <w:color w:val="auto"/>
          <w:kern w:val="0"/>
          <w:sz w:val="40"/>
          <w:szCs w:val="40"/>
        </w:rPr>
      </w:pPr>
    </w:p>
    <w:p w14:paraId="5AAA39BF">
      <w:pPr>
        <w:spacing w:line="360" w:lineRule="auto"/>
        <w:ind w:firstLine="480" w:firstLineChars="200"/>
        <w:jc w:val="left"/>
        <w:rPr>
          <w:rFonts w:hint="eastAsia" w:ascii="宋体" w:hAnsi="宋体" w:eastAsia="宋体" w:cs="宋体"/>
          <w:kern w:val="0"/>
          <w:sz w:val="24"/>
          <w:szCs w:val="24"/>
        </w:rPr>
      </w:pPr>
    </w:p>
    <w:p w14:paraId="5610A8F8">
      <w:pPr>
        <w:spacing w:line="360" w:lineRule="auto"/>
        <w:jc w:val="center"/>
        <w:rPr>
          <w:rFonts w:hint="eastAsia" w:ascii="宋体" w:hAnsi="宋体" w:eastAsia="宋体" w:cs="宋体"/>
          <w:b/>
          <w:bCs/>
          <w:color w:val="auto"/>
          <w:kern w:val="0"/>
          <w:sz w:val="40"/>
          <w:szCs w:val="40"/>
        </w:rPr>
      </w:pPr>
    </w:p>
    <w:p w14:paraId="618184AD">
      <w:pPr>
        <w:spacing w:line="360" w:lineRule="auto"/>
        <w:jc w:val="center"/>
        <w:rPr>
          <w:rFonts w:hint="eastAsia" w:ascii="宋体" w:hAnsi="宋体" w:eastAsia="宋体" w:cs="宋体"/>
          <w:b/>
          <w:bCs/>
          <w:color w:val="auto"/>
          <w:kern w:val="0"/>
          <w:sz w:val="40"/>
          <w:szCs w:val="40"/>
        </w:rPr>
      </w:pPr>
    </w:p>
    <w:p w14:paraId="290807E0">
      <w:pPr>
        <w:rPr>
          <w:rFonts w:hint="eastAsia" w:ascii="宋体" w:hAnsi="宋体" w:eastAsia="宋体" w:cs="宋体"/>
          <w:b/>
          <w:bCs/>
          <w:color w:val="auto"/>
          <w:kern w:val="0"/>
          <w:sz w:val="40"/>
          <w:szCs w:val="40"/>
        </w:rPr>
      </w:pPr>
      <w:bookmarkStart w:id="2" w:name="_Toc24701"/>
      <w:bookmarkStart w:id="3" w:name="_Toc28751"/>
      <w:r>
        <w:rPr>
          <w:rFonts w:hint="eastAsia" w:ascii="宋体" w:hAnsi="宋体" w:eastAsia="宋体" w:cs="宋体"/>
          <w:b/>
          <w:bCs/>
          <w:color w:val="auto"/>
          <w:kern w:val="0"/>
          <w:sz w:val="40"/>
          <w:szCs w:val="40"/>
        </w:rPr>
        <w:br w:type="page"/>
      </w:r>
    </w:p>
    <w:p w14:paraId="5F84265B">
      <w:pPr>
        <w:spacing w:line="360" w:lineRule="auto"/>
        <w:jc w:val="center"/>
        <w:outlineLvl w:val="0"/>
        <w:rPr>
          <w:rFonts w:hint="eastAsia" w:ascii="宋体" w:hAnsi="宋体" w:eastAsia="宋体" w:cs="宋体"/>
          <w:b/>
          <w:bCs/>
          <w:color w:val="auto"/>
          <w:kern w:val="0"/>
          <w:sz w:val="44"/>
          <w:szCs w:val="44"/>
        </w:rPr>
      </w:pPr>
      <w:r>
        <w:rPr>
          <w:rFonts w:hint="eastAsia" w:ascii="宋体" w:hAnsi="宋体" w:eastAsia="宋体" w:cs="宋体"/>
          <w:b/>
          <w:bCs/>
          <w:color w:val="auto"/>
          <w:kern w:val="0"/>
          <w:sz w:val="40"/>
          <w:szCs w:val="40"/>
        </w:rPr>
        <w:t>第二章 投标供应商须知</w:t>
      </w:r>
      <w:bookmarkEnd w:id="2"/>
      <w:bookmarkEnd w:id="3"/>
    </w:p>
    <w:p w14:paraId="61232C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2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74"/>
        <w:gridCol w:w="7076"/>
      </w:tblGrid>
      <w:tr w14:paraId="521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6" w:type="dxa"/>
            <w:noWrap w:val="0"/>
            <w:vAlign w:val="center"/>
          </w:tcPr>
          <w:p w14:paraId="685F19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条款号</w:t>
            </w:r>
          </w:p>
        </w:tc>
        <w:tc>
          <w:tcPr>
            <w:tcW w:w="1974" w:type="dxa"/>
            <w:noWrap w:val="0"/>
            <w:vAlign w:val="center"/>
          </w:tcPr>
          <w:p w14:paraId="0BC477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 款 名 称</w:t>
            </w:r>
          </w:p>
        </w:tc>
        <w:tc>
          <w:tcPr>
            <w:tcW w:w="7076" w:type="dxa"/>
            <w:noWrap w:val="0"/>
            <w:vAlign w:val="center"/>
          </w:tcPr>
          <w:p w14:paraId="6B324C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  列  内  容</w:t>
            </w:r>
          </w:p>
        </w:tc>
      </w:tr>
      <w:tr w14:paraId="07B3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46" w:type="dxa"/>
            <w:noWrap w:val="0"/>
            <w:vAlign w:val="center"/>
          </w:tcPr>
          <w:p w14:paraId="00B0D8D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.1</w:t>
            </w:r>
          </w:p>
        </w:tc>
        <w:tc>
          <w:tcPr>
            <w:tcW w:w="1974" w:type="dxa"/>
            <w:noWrap w:val="0"/>
            <w:vAlign w:val="center"/>
          </w:tcPr>
          <w:p w14:paraId="00418B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w:t>
            </w:r>
          </w:p>
        </w:tc>
        <w:tc>
          <w:tcPr>
            <w:tcW w:w="7076" w:type="dxa"/>
            <w:noWrap w:val="0"/>
            <w:vAlign w:val="center"/>
          </w:tcPr>
          <w:p w14:paraId="1595EBB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三门峡市湖滨区教育体育局</w:t>
            </w:r>
          </w:p>
          <w:p w14:paraId="0AC5E96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地址：三门峡湖滨区黄河路八街坊四号楼</w:t>
            </w:r>
          </w:p>
          <w:p w14:paraId="082D290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联系人：李先生</w:t>
            </w:r>
          </w:p>
          <w:p w14:paraId="0D47726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电话：17329176878</w:t>
            </w:r>
          </w:p>
        </w:tc>
      </w:tr>
      <w:tr w14:paraId="7DA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46" w:type="dxa"/>
            <w:noWrap w:val="0"/>
            <w:vAlign w:val="center"/>
          </w:tcPr>
          <w:p w14:paraId="6736AB84">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974" w:type="dxa"/>
            <w:noWrap w:val="0"/>
            <w:vAlign w:val="center"/>
          </w:tcPr>
          <w:p w14:paraId="7DD91E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采购代理机构</w:t>
            </w:r>
          </w:p>
        </w:tc>
        <w:tc>
          <w:tcPr>
            <w:tcW w:w="7076" w:type="dxa"/>
            <w:noWrap w:val="0"/>
            <w:vAlign w:val="center"/>
          </w:tcPr>
          <w:p w14:paraId="0EE7A26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cs="宋体"/>
                <w:color w:val="auto"/>
                <w:kern w:val="0"/>
                <w:sz w:val="24"/>
                <w:szCs w:val="24"/>
                <w:lang w:val="en-US" w:eastAsia="zh-CN"/>
              </w:rPr>
              <w:t>信宇腾远工程咨询集团有限公司</w:t>
            </w:r>
          </w:p>
          <w:p w14:paraId="07E8E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地址：三门峡商务中心区紫金国际23楼</w:t>
            </w:r>
          </w:p>
          <w:p w14:paraId="6E197BA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联系人：翟女士</w:t>
            </w:r>
          </w:p>
          <w:p w14:paraId="2B808067">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联系方式：15603988214</w:t>
            </w:r>
          </w:p>
        </w:tc>
      </w:tr>
      <w:tr w14:paraId="4AF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946" w:type="dxa"/>
            <w:noWrap w:val="0"/>
            <w:vAlign w:val="center"/>
          </w:tcPr>
          <w:p w14:paraId="0D1F66BD">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974" w:type="dxa"/>
            <w:noWrap w:val="0"/>
            <w:vAlign w:val="center"/>
          </w:tcPr>
          <w:p w14:paraId="787CB8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项目名称</w:t>
            </w:r>
          </w:p>
        </w:tc>
        <w:tc>
          <w:tcPr>
            <w:tcW w:w="7076" w:type="dxa"/>
            <w:noWrap w:val="0"/>
            <w:vAlign w:val="center"/>
          </w:tcPr>
          <w:p w14:paraId="5EB7A8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三门峡市湖滨区教育体育局三门峡市湖滨区中小学校消防审验历史遗留问题现场评定项目</w:t>
            </w:r>
          </w:p>
          <w:p w14:paraId="7C5F1E4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p>
        </w:tc>
      </w:tr>
      <w:tr w14:paraId="56C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6" w:type="dxa"/>
            <w:noWrap w:val="0"/>
            <w:vAlign w:val="center"/>
          </w:tcPr>
          <w:p w14:paraId="1BAC1BF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3.1</w:t>
            </w:r>
          </w:p>
        </w:tc>
        <w:tc>
          <w:tcPr>
            <w:tcW w:w="1974" w:type="dxa"/>
            <w:noWrap w:val="0"/>
            <w:vAlign w:val="center"/>
          </w:tcPr>
          <w:p w14:paraId="22541A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w:t>
            </w:r>
          </w:p>
        </w:tc>
        <w:tc>
          <w:tcPr>
            <w:tcW w:w="7076" w:type="dxa"/>
            <w:noWrap w:val="0"/>
            <w:vAlign w:val="center"/>
          </w:tcPr>
          <w:p w14:paraId="397F934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财政资金</w:t>
            </w:r>
          </w:p>
        </w:tc>
      </w:tr>
      <w:tr w14:paraId="476C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46" w:type="dxa"/>
            <w:noWrap w:val="0"/>
            <w:vAlign w:val="center"/>
          </w:tcPr>
          <w:p w14:paraId="39D26D8D">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3.2</w:t>
            </w:r>
          </w:p>
        </w:tc>
        <w:tc>
          <w:tcPr>
            <w:tcW w:w="1974" w:type="dxa"/>
            <w:noWrap w:val="0"/>
            <w:vAlign w:val="center"/>
          </w:tcPr>
          <w:p w14:paraId="239CC39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出资比例</w:t>
            </w:r>
          </w:p>
        </w:tc>
        <w:tc>
          <w:tcPr>
            <w:tcW w:w="7076" w:type="dxa"/>
            <w:noWrap w:val="0"/>
            <w:vAlign w:val="center"/>
          </w:tcPr>
          <w:p w14:paraId="204D3B3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r w14:paraId="60F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46" w:type="dxa"/>
            <w:noWrap w:val="0"/>
            <w:vAlign w:val="center"/>
          </w:tcPr>
          <w:p w14:paraId="620C5BE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974" w:type="dxa"/>
            <w:noWrap w:val="0"/>
            <w:vAlign w:val="center"/>
          </w:tcPr>
          <w:p w14:paraId="171597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资金落实情况</w:t>
            </w:r>
          </w:p>
        </w:tc>
        <w:tc>
          <w:tcPr>
            <w:tcW w:w="7076" w:type="dxa"/>
            <w:noWrap w:val="0"/>
            <w:vAlign w:val="center"/>
          </w:tcPr>
          <w:p w14:paraId="5D73B6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已落实</w:t>
            </w:r>
          </w:p>
        </w:tc>
      </w:tr>
      <w:tr w14:paraId="540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 w:type="dxa"/>
            <w:noWrap w:val="0"/>
            <w:vAlign w:val="center"/>
          </w:tcPr>
          <w:p w14:paraId="473F1A5E">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974" w:type="dxa"/>
            <w:noWrap w:val="0"/>
            <w:vAlign w:val="center"/>
          </w:tcPr>
          <w:p w14:paraId="31F35D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采购内容</w:t>
            </w:r>
          </w:p>
        </w:tc>
        <w:tc>
          <w:tcPr>
            <w:tcW w:w="7076" w:type="dxa"/>
            <w:noWrap w:val="0"/>
            <w:vAlign w:val="center"/>
          </w:tcPr>
          <w:p w14:paraId="16C96445">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444444"/>
                <w:kern w:val="0"/>
                <w:sz w:val="24"/>
                <w:szCs w:val="24"/>
                <w:lang w:val="en-US" w:eastAsia="zh-CN" w:bidi="ar"/>
              </w:rPr>
              <w:t>按照国家相关规范对对三门峡市湖滨区20所学校校舍的建筑进行消防验收现场评定服务，按照相关技术标准规范要求进行消防现场评定工作，并出具评定报告。</w:t>
            </w:r>
          </w:p>
        </w:tc>
      </w:tr>
      <w:tr w14:paraId="653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46" w:type="dxa"/>
            <w:noWrap w:val="0"/>
            <w:vAlign w:val="center"/>
          </w:tcPr>
          <w:p w14:paraId="7CD32C3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w:t>
            </w:r>
          </w:p>
        </w:tc>
        <w:tc>
          <w:tcPr>
            <w:tcW w:w="1974" w:type="dxa"/>
            <w:noWrap w:val="0"/>
            <w:vAlign w:val="center"/>
          </w:tcPr>
          <w:p w14:paraId="4326B3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r>
              <w:rPr>
                <w:rFonts w:hint="eastAsia" w:ascii="宋体" w:hAnsi="宋体" w:cs="宋体"/>
                <w:color w:val="auto"/>
                <w:kern w:val="0"/>
                <w:sz w:val="24"/>
                <w:szCs w:val="24"/>
                <w:lang w:val="en-US" w:eastAsia="zh-CN"/>
              </w:rPr>
              <w:t>周期</w:t>
            </w:r>
          </w:p>
        </w:tc>
        <w:tc>
          <w:tcPr>
            <w:tcW w:w="7076" w:type="dxa"/>
            <w:noWrap w:val="0"/>
            <w:vAlign w:val="center"/>
          </w:tcPr>
          <w:p w14:paraId="45F6F5EB">
            <w:pPr>
              <w:pStyle w:val="27"/>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合同签订后2个月内完成并提交报告</w:t>
            </w:r>
          </w:p>
        </w:tc>
      </w:tr>
      <w:tr w14:paraId="63DE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 w:type="dxa"/>
            <w:noWrap w:val="0"/>
            <w:vAlign w:val="center"/>
          </w:tcPr>
          <w:p w14:paraId="57EE21A0">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1974" w:type="dxa"/>
            <w:noWrap w:val="0"/>
            <w:vAlign w:val="center"/>
          </w:tcPr>
          <w:p w14:paraId="3D6EF8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质量要求</w:t>
            </w:r>
          </w:p>
        </w:tc>
        <w:tc>
          <w:tcPr>
            <w:tcW w:w="7076" w:type="dxa"/>
            <w:noWrap w:val="0"/>
            <w:vAlign w:val="center"/>
          </w:tcPr>
          <w:p w14:paraId="6A08C5FE">
            <w:pPr>
              <w:keepNext w:val="0"/>
              <w:keepLines w:val="0"/>
              <w:pageBreakBefore w:val="0"/>
              <w:widowControl/>
              <w:kinsoku/>
              <w:wordWrap/>
              <w:overflowPunct/>
              <w:topLinePunct w:val="0"/>
              <w:bidi w:val="0"/>
              <w:snapToGrid/>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sz w:val="24"/>
                <w:szCs w:val="24"/>
                <w:lang w:val="en-US" w:eastAsia="zh-CN"/>
              </w:rPr>
              <w:t>合格，符合国家相关法律、法规及规范要求，满足采购人要求</w:t>
            </w:r>
          </w:p>
        </w:tc>
      </w:tr>
      <w:tr w14:paraId="03E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6" w:type="dxa"/>
            <w:noWrap w:val="0"/>
            <w:vAlign w:val="center"/>
          </w:tcPr>
          <w:p w14:paraId="5E487E92">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974" w:type="dxa"/>
            <w:noWrap w:val="0"/>
            <w:vAlign w:val="center"/>
          </w:tcPr>
          <w:p w14:paraId="434A30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highlight w:val="none"/>
              </w:rPr>
              <w:t>供应商资质条件、能力和信誉</w:t>
            </w:r>
          </w:p>
        </w:tc>
        <w:tc>
          <w:tcPr>
            <w:tcW w:w="7076" w:type="dxa"/>
            <w:noWrap w:val="0"/>
            <w:vAlign w:val="center"/>
          </w:tcPr>
          <w:p w14:paraId="22FEC3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color w:val="auto"/>
                <w:sz w:val="24"/>
                <w:szCs w:val="24"/>
                <w:lang w:eastAsia="zh-CN"/>
              </w:rPr>
              <w:t>见竞争性磋商公告二、申请人资格要求。</w:t>
            </w:r>
          </w:p>
        </w:tc>
      </w:tr>
      <w:tr w14:paraId="491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C1568D7">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9</w:t>
            </w:r>
          </w:p>
        </w:tc>
        <w:tc>
          <w:tcPr>
            <w:tcW w:w="1974" w:type="dxa"/>
            <w:noWrap w:val="0"/>
            <w:vAlign w:val="center"/>
          </w:tcPr>
          <w:p w14:paraId="513AECC1">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磋商有效</w:t>
            </w:r>
            <w:r>
              <w:rPr>
                <w:rFonts w:hint="eastAsia" w:ascii="宋体" w:hAnsi="宋体" w:eastAsia="宋体" w:cs="宋体"/>
                <w:color w:val="000000" w:themeColor="text1"/>
                <w:sz w:val="24"/>
                <w:szCs w:val="24"/>
                <w14:textFill>
                  <w14:solidFill>
                    <w14:schemeClr w14:val="tx1"/>
                  </w14:solidFill>
                </w14:textFill>
              </w:rPr>
              <w:t>期</w:t>
            </w:r>
          </w:p>
        </w:tc>
        <w:tc>
          <w:tcPr>
            <w:tcW w:w="7076" w:type="dxa"/>
            <w:noWrap w:val="0"/>
            <w:vAlign w:val="center"/>
          </w:tcPr>
          <w:p w14:paraId="41C56871">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60日历天(从磋商截止之日算起)</w:t>
            </w:r>
          </w:p>
        </w:tc>
      </w:tr>
      <w:tr w14:paraId="211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17D0A">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10</w:t>
            </w:r>
          </w:p>
        </w:tc>
        <w:tc>
          <w:tcPr>
            <w:tcW w:w="1974" w:type="dxa"/>
            <w:noWrap w:val="0"/>
            <w:vAlign w:val="center"/>
          </w:tcPr>
          <w:p w14:paraId="4FEAF724">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10"/>
                <w:sz w:val="24"/>
                <w:szCs w:val="24"/>
                <w14:textFill>
                  <w14:solidFill>
                    <w14:schemeClr w14:val="tx1"/>
                  </w14:solidFill>
                </w14:textFill>
              </w:rPr>
              <w:t>竞争性磋商保证金</w:t>
            </w:r>
          </w:p>
        </w:tc>
        <w:tc>
          <w:tcPr>
            <w:tcW w:w="7076" w:type="dxa"/>
            <w:noWrap w:val="0"/>
            <w:vAlign w:val="center"/>
          </w:tcPr>
          <w:p w14:paraId="672B2779">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根据《河南省财政厅关于优化政府采购营商环境有关问题的通知》（豫财购【2019】4号）第6条的规定，磋商保证金不再收取。</w:t>
            </w:r>
          </w:p>
        </w:tc>
      </w:tr>
      <w:tr w14:paraId="1EF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0888DEB6">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11</w:t>
            </w:r>
          </w:p>
        </w:tc>
        <w:tc>
          <w:tcPr>
            <w:tcW w:w="1974" w:type="dxa"/>
            <w:noWrap w:val="0"/>
            <w:vAlign w:val="center"/>
          </w:tcPr>
          <w:p w14:paraId="41DCE82B">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付款方式</w:t>
            </w:r>
          </w:p>
        </w:tc>
        <w:tc>
          <w:tcPr>
            <w:tcW w:w="7076" w:type="dxa"/>
            <w:noWrap w:val="0"/>
            <w:vAlign w:val="center"/>
          </w:tcPr>
          <w:p w14:paraId="203BDE9E">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双方协商</w:t>
            </w:r>
          </w:p>
        </w:tc>
      </w:tr>
      <w:tr w14:paraId="13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34FA19A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12</w:t>
            </w:r>
          </w:p>
        </w:tc>
        <w:tc>
          <w:tcPr>
            <w:tcW w:w="1974" w:type="dxa"/>
            <w:noWrap w:val="0"/>
            <w:vAlign w:val="center"/>
          </w:tcPr>
          <w:p w14:paraId="02E1E615">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竞争性磋商响应文件份数</w:t>
            </w:r>
          </w:p>
        </w:tc>
        <w:tc>
          <w:tcPr>
            <w:tcW w:w="7076" w:type="dxa"/>
            <w:noWrap w:val="0"/>
            <w:vAlign w:val="center"/>
          </w:tcPr>
          <w:p w14:paraId="30530EA7">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本项目为电子化、无纸化交易项目。（不适用）</w:t>
            </w:r>
          </w:p>
        </w:tc>
      </w:tr>
      <w:tr w14:paraId="27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F64701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13</w:t>
            </w:r>
          </w:p>
        </w:tc>
        <w:tc>
          <w:tcPr>
            <w:tcW w:w="1974" w:type="dxa"/>
            <w:noWrap w:val="0"/>
            <w:vAlign w:val="center"/>
          </w:tcPr>
          <w:p w14:paraId="0DFE6319">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磋商响应文件递交截止时间</w:t>
            </w:r>
          </w:p>
        </w:tc>
        <w:tc>
          <w:tcPr>
            <w:tcW w:w="7076" w:type="dxa"/>
            <w:noWrap w:val="0"/>
            <w:vAlign w:val="center"/>
          </w:tcPr>
          <w:p w14:paraId="0C72B5A5">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时间：</w:t>
            </w:r>
            <w:r>
              <w:rPr>
                <w:rFonts w:hint="eastAsia" w:ascii="宋体" w:hAnsi="宋体" w:eastAsia="宋体" w:cs="宋体"/>
                <w:bCs/>
                <w:color w:val="000000" w:themeColor="text1"/>
                <w:kern w:val="0"/>
                <w:sz w:val="24"/>
                <w:szCs w:val="24"/>
                <w14:textFill>
                  <w14:solidFill>
                    <w14:schemeClr w14:val="tx1"/>
                  </w14:solidFill>
                </w14:textFill>
              </w:rPr>
              <w:t>详见竞争性磋商公告</w:t>
            </w:r>
          </w:p>
        </w:tc>
      </w:tr>
      <w:tr w14:paraId="451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6E88BA29">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14</w:t>
            </w:r>
          </w:p>
        </w:tc>
        <w:tc>
          <w:tcPr>
            <w:tcW w:w="1974" w:type="dxa"/>
            <w:noWrap w:val="0"/>
            <w:vAlign w:val="center"/>
          </w:tcPr>
          <w:p w14:paraId="57ACB50F">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w:t>
            </w:r>
          </w:p>
        </w:tc>
        <w:tc>
          <w:tcPr>
            <w:tcW w:w="7076" w:type="dxa"/>
            <w:noWrap w:val="0"/>
            <w:vAlign w:val="center"/>
          </w:tcPr>
          <w:p w14:paraId="5999F2D5">
            <w:pPr>
              <w:adjustRightInd w:val="0"/>
              <w:spacing w:line="324"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spacing w:val="6"/>
                <w:sz w:val="24"/>
                <w:szCs w:val="24"/>
                <w:lang w:val="en-US" w:eastAsia="zh-CN"/>
                <w14:textFill>
                  <w14:solidFill>
                    <w14:schemeClr w14:val="tx1"/>
                  </w14:solidFill>
                </w14:textFill>
              </w:rPr>
              <w:t>化</w:t>
            </w:r>
            <w:r>
              <w:rPr>
                <w:rFonts w:hint="eastAsia" w:ascii="宋体" w:hAnsi="宋体" w:eastAsia="宋体" w:cs="宋体"/>
                <w:color w:val="000000" w:themeColor="text1"/>
                <w:spacing w:val="6"/>
                <w:sz w:val="24"/>
                <w:szCs w:val="24"/>
                <w14:textFill>
                  <w14:solidFill>
                    <w14:schemeClr w14:val="tx1"/>
                  </w14:solidFill>
                </w14:textFill>
              </w:rPr>
              <w:t>响应文件</w:t>
            </w:r>
            <w:r>
              <w:rPr>
                <w:rFonts w:hint="eastAsia" w:ascii="宋体" w:hAnsi="宋体" w:eastAsia="宋体" w:cs="宋体"/>
                <w:color w:val="000000" w:themeColor="text1"/>
                <w:spacing w:val="6"/>
                <w:sz w:val="24"/>
                <w:szCs w:val="24"/>
                <w:lang w:val="en-US" w:eastAsia="zh-CN"/>
                <w14:textFill>
                  <w14:solidFill>
                    <w14:schemeClr w14:val="tx1"/>
                  </w14:solidFill>
                </w14:textFill>
              </w:rPr>
              <w:t>在</w:t>
            </w:r>
            <w:r>
              <w:rPr>
                <w:rFonts w:hint="eastAsia" w:ascii="宋体" w:hAnsi="宋体" w:eastAsia="宋体" w:cs="宋体"/>
                <w:color w:val="000000" w:themeColor="text1"/>
                <w:spacing w:val="6"/>
                <w:sz w:val="24"/>
                <w:szCs w:val="24"/>
                <w14:textFill>
                  <w14:solidFill>
                    <w14:schemeClr w14:val="tx1"/>
                  </w14:solidFill>
                </w14:textFill>
              </w:rPr>
              <w:t>磋商截止时间前上传至“三门峡市公共资源交易中心网站”</w:t>
            </w:r>
          </w:p>
        </w:tc>
      </w:tr>
      <w:tr w14:paraId="332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30655">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15</w:t>
            </w:r>
          </w:p>
        </w:tc>
        <w:tc>
          <w:tcPr>
            <w:tcW w:w="1974" w:type="dxa"/>
            <w:noWrap w:val="0"/>
            <w:vAlign w:val="center"/>
          </w:tcPr>
          <w:p w14:paraId="2576763D">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磋商时间及地点</w:t>
            </w:r>
          </w:p>
        </w:tc>
        <w:tc>
          <w:tcPr>
            <w:tcW w:w="7076" w:type="dxa"/>
            <w:noWrap w:val="0"/>
            <w:vAlign w:val="center"/>
          </w:tcPr>
          <w:p w14:paraId="31F958C8">
            <w:pPr>
              <w:jc w:val="left"/>
              <w:rPr>
                <w:rFonts w:hint="eastAsia" w:ascii="宋体" w:hAnsi="宋体" w:eastAsia="宋体" w:cs="宋体"/>
                <w:color w:val="0000FF"/>
                <w:sz w:val="24"/>
                <w:szCs w:val="24"/>
              </w:rPr>
            </w:pPr>
            <w:r>
              <w:rPr>
                <w:rFonts w:hint="eastAsia" w:ascii="宋体" w:hAnsi="宋体" w:eastAsia="宋体" w:cs="宋体"/>
                <w:color w:val="000000" w:themeColor="text1"/>
                <w:spacing w:val="6"/>
                <w:sz w:val="24"/>
                <w:szCs w:val="24"/>
                <w14:textFill>
                  <w14:solidFill>
                    <w14:schemeClr w14:val="tx1"/>
                  </w14:solidFill>
                </w14:textFill>
              </w:rPr>
              <w:t>时间：</w:t>
            </w:r>
            <w:r>
              <w:rPr>
                <w:rFonts w:hint="eastAsia" w:ascii="宋体" w:hAnsi="宋体" w:eastAsia="宋体" w:cs="宋体"/>
                <w:bCs/>
                <w:color w:val="auto"/>
                <w:kern w:val="0"/>
                <w:sz w:val="24"/>
                <w:szCs w:val="24"/>
              </w:rPr>
              <w:t>2025年</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val="en-US" w:eastAsia="zh-CN"/>
              </w:rPr>
              <w:t>日0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en-US" w:eastAsia="zh-CN"/>
              </w:rPr>
              <w:t>分</w:t>
            </w:r>
          </w:p>
          <w:p w14:paraId="692A3F49">
            <w:pPr>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地点：三门峡市公共资源交易中心开标</w:t>
            </w:r>
            <w:r>
              <w:rPr>
                <w:rFonts w:hint="eastAsia" w:ascii="宋体" w:hAnsi="宋体" w:cs="宋体"/>
                <w:color w:val="000000" w:themeColor="text1"/>
                <w:spacing w:val="6"/>
                <w:sz w:val="24"/>
                <w:szCs w:val="24"/>
                <w:lang w:val="en-US" w:eastAsia="zh-CN"/>
                <w14:textFill>
                  <w14:solidFill>
                    <w14:schemeClr w14:val="tx1"/>
                  </w14:solidFill>
                </w14:textFill>
              </w:rPr>
              <w:t>二</w:t>
            </w:r>
            <w:r>
              <w:rPr>
                <w:rFonts w:hint="eastAsia" w:ascii="宋体" w:hAnsi="宋体" w:eastAsia="宋体" w:cs="宋体"/>
                <w:color w:val="000000" w:themeColor="text1"/>
                <w:spacing w:val="6"/>
                <w:sz w:val="24"/>
                <w:szCs w:val="24"/>
                <w14:textFill>
                  <w14:solidFill>
                    <w14:schemeClr w14:val="tx1"/>
                  </w14:solidFill>
                </w14:textFill>
              </w:rPr>
              <w:t>室</w:t>
            </w:r>
          </w:p>
        </w:tc>
      </w:tr>
      <w:tr w14:paraId="2AC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641C75B">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16</w:t>
            </w:r>
          </w:p>
        </w:tc>
        <w:tc>
          <w:tcPr>
            <w:tcW w:w="1974" w:type="dxa"/>
            <w:noWrap w:val="0"/>
            <w:vAlign w:val="center"/>
          </w:tcPr>
          <w:p w14:paraId="1D1D8569">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磋商小组的组建</w:t>
            </w:r>
          </w:p>
        </w:tc>
        <w:tc>
          <w:tcPr>
            <w:tcW w:w="7076" w:type="dxa"/>
            <w:noWrap w:val="0"/>
            <w:vAlign w:val="center"/>
          </w:tcPr>
          <w:p w14:paraId="01FA808B">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4DB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20A1FF98">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17</w:t>
            </w:r>
          </w:p>
        </w:tc>
        <w:tc>
          <w:tcPr>
            <w:tcW w:w="1974" w:type="dxa"/>
            <w:noWrap w:val="0"/>
            <w:vAlign w:val="center"/>
          </w:tcPr>
          <w:p w14:paraId="72FE09AE">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磋商标准及方法</w:t>
            </w:r>
          </w:p>
        </w:tc>
        <w:tc>
          <w:tcPr>
            <w:tcW w:w="7076" w:type="dxa"/>
            <w:noWrap w:val="0"/>
            <w:vAlign w:val="center"/>
          </w:tcPr>
          <w:p w14:paraId="34319710">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69F1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B710A9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18</w:t>
            </w:r>
          </w:p>
        </w:tc>
        <w:tc>
          <w:tcPr>
            <w:tcW w:w="1974" w:type="dxa"/>
            <w:noWrap w:val="0"/>
            <w:vAlign w:val="center"/>
          </w:tcPr>
          <w:p w14:paraId="4F5A0D43">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715C0796">
            <w:pPr>
              <w:widowControl/>
              <w:spacing w:line="400" w:lineRule="atLeast"/>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41B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35EA20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19</w:t>
            </w:r>
          </w:p>
        </w:tc>
        <w:tc>
          <w:tcPr>
            <w:tcW w:w="1974" w:type="dxa"/>
            <w:noWrap w:val="0"/>
            <w:vAlign w:val="center"/>
          </w:tcPr>
          <w:p w14:paraId="1A8E3F7B">
            <w:pPr>
              <w:widowControl/>
              <w:spacing w:line="400" w:lineRule="atLeast"/>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采购标的对应的中小企业划分标准所属行业</w:t>
            </w:r>
          </w:p>
        </w:tc>
        <w:tc>
          <w:tcPr>
            <w:tcW w:w="7076" w:type="dxa"/>
            <w:noWrap w:val="0"/>
            <w:vAlign w:val="center"/>
          </w:tcPr>
          <w:p w14:paraId="13CA1CA5">
            <w:pPr>
              <w:widowControl/>
              <w:spacing w:line="400" w:lineRule="atLeast"/>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本次采购标的对应的中小企业划分标准所属行业为：其他未列明行业。</w:t>
            </w:r>
          </w:p>
        </w:tc>
      </w:tr>
      <w:tr w14:paraId="64C0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738DA44">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20</w:t>
            </w:r>
          </w:p>
        </w:tc>
        <w:tc>
          <w:tcPr>
            <w:tcW w:w="1974" w:type="dxa"/>
            <w:noWrap w:val="0"/>
            <w:vAlign w:val="center"/>
          </w:tcPr>
          <w:p w14:paraId="77C531C5">
            <w:pPr>
              <w:widowControl/>
              <w:spacing w:line="400" w:lineRule="atLeast"/>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p>
        </w:tc>
        <w:tc>
          <w:tcPr>
            <w:tcW w:w="7076" w:type="dxa"/>
            <w:noWrap w:val="0"/>
            <w:vAlign w:val="center"/>
          </w:tcPr>
          <w:p w14:paraId="21B0EE92">
            <w:pPr>
              <w:widowControl/>
              <w:spacing w:line="400" w:lineRule="atLeast"/>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cs="宋体"/>
                <w:color w:val="000000" w:themeColor="text1"/>
                <w:spacing w:val="6"/>
                <w:sz w:val="24"/>
                <w:szCs w:val="24"/>
                <w:lang w:val="en-US" w:eastAsia="zh-CN"/>
                <w14:textFill>
                  <w14:solidFill>
                    <w14:schemeClr w14:val="tx1"/>
                  </w14:solidFill>
                </w14:textFill>
              </w:rPr>
              <w:t>440000</w:t>
            </w:r>
            <w:r>
              <w:rPr>
                <w:rFonts w:hint="eastAsia" w:ascii="宋体" w:hAnsi="宋体" w:eastAsia="宋体" w:cs="宋体"/>
                <w:color w:val="000000" w:themeColor="text1"/>
                <w:spacing w:val="6"/>
                <w:sz w:val="24"/>
                <w:szCs w:val="24"/>
                <w14:textFill>
                  <w14:solidFill>
                    <w14:schemeClr w14:val="tx1"/>
                  </w14:solidFill>
                </w14:textFill>
              </w:rPr>
              <w:t>.00元</w:t>
            </w:r>
          </w:p>
          <w:p w14:paraId="0539DA2F">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”的，该磋商供应商按无效处理。</w:t>
            </w:r>
          </w:p>
        </w:tc>
      </w:tr>
      <w:tr w14:paraId="66CA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7CC92B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21</w:t>
            </w:r>
          </w:p>
        </w:tc>
        <w:tc>
          <w:tcPr>
            <w:tcW w:w="1974" w:type="dxa"/>
            <w:noWrap w:val="0"/>
            <w:vAlign w:val="center"/>
          </w:tcPr>
          <w:p w14:paraId="777E479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报价</w:t>
            </w:r>
          </w:p>
        </w:tc>
        <w:tc>
          <w:tcPr>
            <w:tcW w:w="7076" w:type="dxa"/>
            <w:noWrap w:val="0"/>
            <w:vAlign w:val="center"/>
          </w:tcPr>
          <w:p w14:paraId="7F0523E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0E3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33F2190">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22</w:t>
            </w:r>
          </w:p>
        </w:tc>
        <w:tc>
          <w:tcPr>
            <w:tcW w:w="1974" w:type="dxa"/>
            <w:noWrap w:val="0"/>
            <w:vAlign w:val="center"/>
          </w:tcPr>
          <w:p w14:paraId="0C85C70A">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知识产权</w:t>
            </w:r>
          </w:p>
        </w:tc>
        <w:tc>
          <w:tcPr>
            <w:tcW w:w="7076" w:type="dxa"/>
            <w:noWrap w:val="0"/>
            <w:vAlign w:val="center"/>
          </w:tcPr>
          <w:p w14:paraId="777EDAC9">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竞争性磋商文件各个组成部分的文件，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019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C48FA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w:t>
            </w:r>
          </w:p>
        </w:tc>
        <w:tc>
          <w:tcPr>
            <w:tcW w:w="1974" w:type="dxa"/>
            <w:noWrap w:val="0"/>
            <w:vAlign w:val="center"/>
          </w:tcPr>
          <w:p w14:paraId="31849A0E">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2FBD6F07">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不收取</w:t>
            </w:r>
          </w:p>
        </w:tc>
      </w:tr>
      <w:tr w14:paraId="007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36D85A">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24</w:t>
            </w:r>
          </w:p>
        </w:tc>
        <w:tc>
          <w:tcPr>
            <w:tcW w:w="1974" w:type="dxa"/>
            <w:noWrap w:val="0"/>
            <w:vAlign w:val="center"/>
          </w:tcPr>
          <w:p w14:paraId="1FD45A77">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结果公示</w:t>
            </w:r>
          </w:p>
        </w:tc>
        <w:tc>
          <w:tcPr>
            <w:tcW w:w="7076" w:type="dxa"/>
            <w:noWrap w:val="0"/>
            <w:vAlign w:val="center"/>
          </w:tcPr>
          <w:p w14:paraId="3270AB8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本项目磋商结果公告在磋商公告发布的同一媒介予以公示，公示期为一个工作日</w:t>
            </w:r>
          </w:p>
        </w:tc>
      </w:tr>
      <w:tr w14:paraId="5FE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3437F9F">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25</w:t>
            </w:r>
          </w:p>
        </w:tc>
        <w:tc>
          <w:tcPr>
            <w:tcW w:w="1974" w:type="dxa"/>
            <w:noWrap w:val="0"/>
            <w:vAlign w:val="center"/>
          </w:tcPr>
          <w:p w14:paraId="2328CE0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同义词语</w:t>
            </w:r>
          </w:p>
        </w:tc>
        <w:tc>
          <w:tcPr>
            <w:tcW w:w="7076" w:type="dxa"/>
            <w:noWrap w:val="0"/>
            <w:vAlign w:val="center"/>
          </w:tcPr>
          <w:p w14:paraId="330632EE">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构成磋商文件组成部分的“通用合同条款”、“专用合同条款”、“技术标准和要求”等章节中出现的措辞“发包人”和“承包人”，在</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投标阶段应当分别按“采购人”和“供应商”进行理解。</w:t>
            </w:r>
          </w:p>
        </w:tc>
      </w:tr>
      <w:tr w14:paraId="0D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F703D61">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26</w:t>
            </w:r>
          </w:p>
        </w:tc>
        <w:tc>
          <w:tcPr>
            <w:tcW w:w="1974" w:type="dxa"/>
            <w:noWrap w:val="0"/>
            <w:vAlign w:val="center"/>
          </w:tcPr>
          <w:p w14:paraId="226C9C4D">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解释权</w:t>
            </w:r>
          </w:p>
        </w:tc>
        <w:tc>
          <w:tcPr>
            <w:tcW w:w="7076" w:type="dxa"/>
            <w:noWrap w:val="0"/>
            <w:vAlign w:val="center"/>
          </w:tcPr>
          <w:p w14:paraId="564A53E3">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投标阶段的规定，按磋商公告、供应商须知、</w:t>
            </w:r>
            <w:r>
              <w:rPr>
                <w:rFonts w:hint="eastAsia" w:ascii="宋体" w:hAnsi="宋体" w:cs="宋体"/>
                <w:color w:val="000000" w:themeColor="text1"/>
                <w:spacing w:val="6"/>
                <w:sz w:val="24"/>
                <w:szCs w:val="24"/>
                <w:lang w:eastAsia="zh-CN"/>
                <w14:textFill>
                  <w14:solidFill>
                    <w14:schemeClr w14:val="tx1"/>
                  </w14:solidFill>
                </w14:textFill>
              </w:rPr>
              <w:t>评审办法</w:t>
            </w:r>
            <w:r>
              <w:rPr>
                <w:rFonts w:hint="eastAsia" w:ascii="宋体" w:hAnsi="宋体" w:eastAsia="宋体" w:cs="宋体"/>
                <w:color w:val="000000" w:themeColor="text1"/>
                <w:spacing w:val="6"/>
                <w:sz w:val="24"/>
                <w:szCs w:val="24"/>
                <w14:textFill>
                  <w14:solidFill>
                    <w14:schemeClr w14:val="tx1"/>
                  </w14:solidFill>
                </w14:textFill>
              </w:rPr>
              <w:t>、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FA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EA34AE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w:t>
            </w:r>
            <w:r>
              <w:rPr>
                <w:rFonts w:hint="eastAsia" w:ascii="宋体" w:hAnsi="宋体" w:eastAsia="宋体" w:cs="宋体"/>
                <w:color w:val="000000" w:themeColor="text1"/>
                <w:spacing w:val="6"/>
                <w:sz w:val="24"/>
                <w:szCs w:val="24"/>
                <w:lang w:val="en-US" w:eastAsia="zh-CN"/>
                <w14:textFill>
                  <w14:solidFill>
                    <w14:schemeClr w14:val="tx1"/>
                  </w14:solidFill>
                </w14:textFill>
              </w:rPr>
              <w:t>7</w:t>
            </w:r>
          </w:p>
        </w:tc>
        <w:tc>
          <w:tcPr>
            <w:tcW w:w="1974" w:type="dxa"/>
            <w:noWrap w:val="0"/>
            <w:vAlign w:val="center"/>
          </w:tcPr>
          <w:p w14:paraId="0F84022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代理服务费</w:t>
            </w:r>
          </w:p>
        </w:tc>
        <w:tc>
          <w:tcPr>
            <w:tcW w:w="7076" w:type="dxa"/>
            <w:noWrap w:val="0"/>
            <w:vAlign w:val="center"/>
          </w:tcPr>
          <w:p w14:paraId="78A810F5">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1.收取标准：参考河南省</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代理服务收费指导意见（豫招协[2023]002号）规定的收费标准计算，由</w:t>
            </w:r>
            <w:r>
              <w:rPr>
                <w:rFonts w:hint="eastAsia" w:ascii="宋体" w:hAnsi="宋体" w:cs="宋体"/>
                <w:color w:val="000000" w:themeColor="text1"/>
                <w:spacing w:val="6"/>
                <w:sz w:val="24"/>
                <w:szCs w:val="24"/>
                <w:lang w:eastAsia="zh-CN"/>
                <w14:textFill>
                  <w14:solidFill>
                    <w14:schemeClr w14:val="tx1"/>
                  </w14:solidFill>
                </w14:textFill>
              </w:rPr>
              <w:t>成交</w:t>
            </w:r>
            <w:r>
              <w:rPr>
                <w:rFonts w:hint="eastAsia" w:ascii="宋体" w:hAnsi="宋体" w:eastAsia="宋体" w:cs="宋体"/>
                <w:color w:val="000000" w:themeColor="text1"/>
                <w:spacing w:val="6"/>
                <w:sz w:val="24"/>
                <w:szCs w:val="24"/>
                <w14:textFill>
                  <w14:solidFill>
                    <w14:schemeClr w14:val="tx1"/>
                  </w14:solidFill>
                </w14:textFill>
              </w:rPr>
              <w:t>人支付。</w:t>
            </w:r>
          </w:p>
          <w:p w14:paraId="7638A27A">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2.收取方式：成交单位在领取成交通知书时，以现金或转账的方式一次性向代理机构缴纳代理服务费。</w:t>
            </w:r>
          </w:p>
        </w:tc>
      </w:tr>
      <w:tr w14:paraId="791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9B3E388">
            <w:pPr>
              <w:adjustRightInd w:val="0"/>
              <w:spacing w:line="324" w:lineRule="auto"/>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cs="宋体"/>
                <w:color w:val="000000" w:themeColor="text1"/>
                <w:spacing w:val="6"/>
                <w:sz w:val="24"/>
                <w:szCs w:val="24"/>
                <w:lang w:val="en-US" w:eastAsia="zh-CN"/>
                <w14:textFill>
                  <w14:solidFill>
                    <w14:schemeClr w14:val="tx1"/>
                  </w14:solidFill>
                </w14:textFill>
              </w:rPr>
              <w:t>28</w:t>
            </w:r>
          </w:p>
        </w:tc>
        <w:tc>
          <w:tcPr>
            <w:tcW w:w="1974" w:type="dxa"/>
            <w:noWrap w:val="0"/>
            <w:vAlign w:val="center"/>
          </w:tcPr>
          <w:p w14:paraId="11848C86">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电子化注意事项</w:t>
            </w:r>
          </w:p>
        </w:tc>
        <w:tc>
          <w:tcPr>
            <w:tcW w:w="7076" w:type="dxa"/>
            <w:noWrap w:val="0"/>
            <w:vAlign w:val="center"/>
          </w:tcPr>
          <w:p w14:paraId="0FD42673">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88680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98496E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4B81A944">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0F196A2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7937D8F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39BC87A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43A9796F">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1905488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随身携带。</w:t>
            </w:r>
          </w:p>
          <w:p w14:paraId="1710F60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68CB1B2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312D1C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BD0FC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3F80C469">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76358C7B">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5D23F901">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F2B1F9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A0D13AE">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2D43BF4">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00D2B052">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1FA5E446">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321338DA">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72CCB0">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37B24697">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32C162A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6AE11EBC">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w:t>
            </w:r>
          </w:p>
          <w:p w14:paraId="34D68181">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对需要回复的响应人连续三次致电未接通的，视为响应人放弃回复，</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将自行对需要回复的内容进行认定。</w:t>
            </w:r>
          </w:p>
          <w:p w14:paraId="5608F878">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419C1C15">
            <w:pPr>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05E8CB9A">
      <w:pPr>
        <w:spacing w:line="440" w:lineRule="exact"/>
        <w:jc w:val="both"/>
        <w:rPr>
          <w:rFonts w:hint="eastAsia" w:ascii="宋体" w:hAnsi="宋体" w:eastAsia="宋体" w:cs="宋体"/>
          <w:b/>
          <w:bCs/>
          <w:color w:val="auto"/>
          <w:sz w:val="28"/>
          <w:szCs w:val="24"/>
        </w:rPr>
      </w:pPr>
    </w:p>
    <w:p w14:paraId="58EA8AF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29F62458">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14:paraId="6A6AFCB1">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cs="宋体"/>
          <w:snapToGrid w:val="0"/>
          <w:color w:val="auto"/>
          <w:spacing w:val="2"/>
          <w:kern w:val="0"/>
          <w:sz w:val="24"/>
          <w:szCs w:val="24"/>
          <w:lang w:eastAsia="zh-CN"/>
        </w:rPr>
        <w:t>磋商</w:t>
      </w:r>
      <w:r>
        <w:rPr>
          <w:rFonts w:hint="eastAsia" w:ascii="宋体" w:hAnsi="宋体" w:eastAsia="宋体" w:cs="宋体"/>
          <w:snapToGrid w:val="0"/>
          <w:color w:val="auto"/>
          <w:spacing w:val="-5"/>
          <w:kern w:val="0"/>
          <w:sz w:val="24"/>
          <w:szCs w:val="24"/>
        </w:rPr>
        <w:t>项目已具备</w:t>
      </w:r>
      <w:r>
        <w:rPr>
          <w:rFonts w:hint="eastAsia" w:ascii="宋体" w:hAnsi="宋体" w:cs="宋体"/>
          <w:snapToGrid w:val="0"/>
          <w:color w:val="auto"/>
          <w:spacing w:val="-5"/>
          <w:kern w:val="0"/>
          <w:sz w:val="24"/>
          <w:szCs w:val="24"/>
          <w:lang w:eastAsia="zh-CN"/>
        </w:rPr>
        <w:t>磋商</w:t>
      </w:r>
      <w:r>
        <w:rPr>
          <w:rFonts w:hint="eastAsia" w:ascii="宋体" w:hAnsi="宋体" w:eastAsia="宋体" w:cs="宋体"/>
          <w:snapToGrid w:val="0"/>
          <w:color w:val="auto"/>
          <w:spacing w:val="-5"/>
          <w:kern w:val="0"/>
          <w:sz w:val="24"/>
          <w:szCs w:val="24"/>
        </w:rPr>
        <w:t>条件，现对本项目进行</w:t>
      </w:r>
      <w:r>
        <w:rPr>
          <w:rFonts w:hint="eastAsia" w:ascii="宋体" w:hAnsi="宋体" w:cs="宋体"/>
          <w:snapToGrid w:val="0"/>
          <w:color w:val="auto"/>
          <w:spacing w:val="-5"/>
          <w:kern w:val="0"/>
          <w:sz w:val="24"/>
          <w:szCs w:val="24"/>
          <w:lang w:val="en-US" w:eastAsia="zh-CN"/>
        </w:rPr>
        <w:t>竞争性磋商</w:t>
      </w:r>
      <w:r>
        <w:rPr>
          <w:rFonts w:hint="eastAsia" w:ascii="宋体" w:hAnsi="宋体" w:eastAsia="宋体" w:cs="宋体"/>
          <w:snapToGrid w:val="0"/>
          <w:color w:val="auto"/>
          <w:spacing w:val="-4"/>
          <w:kern w:val="0"/>
          <w:sz w:val="24"/>
          <w:szCs w:val="24"/>
        </w:rPr>
        <w:t>。</w:t>
      </w:r>
    </w:p>
    <w:p w14:paraId="119AC15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58BA52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E9A446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1.1.4采购项目名称：见投标供应商须知前附表。</w:t>
      </w:r>
    </w:p>
    <w:p w14:paraId="4015A339">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AA7949">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6ABECD6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8246E2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lang w:eastAsia="zh-CN"/>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w:t>
      </w:r>
      <w:r>
        <w:rPr>
          <w:rFonts w:hint="eastAsia" w:ascii="宋体" w:hAnsi="宋体" w:cs="宋体"/>
          <w:b/>
          <w:color w:val="auto"/>
          <w:kern w:val="0"/>
          <w:sz w:val="24"/>
          <w:szCs w:val="24"/>
          <w:lang w:val="en-US" w:eastAsia="zh-CN"/>
        </w:rPr>
        <w:t>周期</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cs="宋体"/>
          <w:b/>
          <w:color w:val="auto"/>
          <w:spacing w:val="-3"/>
          <w:kern w:val="0"/>
          <w:sz w:val="24"/>
          <w:szCs w:val="24"/>
          <w:lang w:eastAsia="zh-CN"/>
        </w:rPr>
        <w:t>、</w:t>
      </w:r>
      <w:r>
        <w:rPr>
          <w:rFonts w:hint="eastAsia" w:ascii="宋体" w:hAnsi="宋体" w:eastAsia="宋体" w:cs="宋体"/>
          <w:b/>
          <w:color w:val="auto"/>
          <w:spacing w:val="-3"/>
          <w:kern w:val="0"/>
          <w:sz w:val="24"/>
          <w:szCs w:val="24"/>
        </w:rPr>
        <w:t>合同履约期限</w:t>
      </w:r>
    </w:p>
    <w:p w14:paraId="19919F7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562183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w:t>
      </w:r>
      <w:r>
        <w:rPr>
          <w:rFonts w:hint="eastAsia" w:ascii="宋体" w:hAnsi="宋体" w:cs="宋体"/>
          <w:color w:val="auto"/>
          <w:kern w:val="0"/>
          <w:sz w:val="24"/>
          <w:szCs w:val="24"/>
          <w:lang w:val="en-US" w:eastAsia="zh-CN"/>
        </w:rPr>
        <w:t>周期</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254E823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w:t>
      </w:r>
      <w:r>
        <w:rPr>
          <w:rFonts w:hint="eastAsia" w:ascii="宋体" w:hAnsi="宋体" w:cs="宋体"/>
          <w:bCs/>
          <w:color w:val="auto"/>
          <w:sz w:val="24"/>
          <w:szCs w:val="24"/>
          <w:lang w:val="en-US" w:eastAsia="zh-CN"/>
        </w:rPr>
        <w:t>3</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B845921">
      <w:pPr>
        <w:spacing w:line="360" w:lineRule="auto"/>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 xml:space="preserve">1.3.4 </w:t>
      </w:r>
      <w:r>
        <w:rPr>
          <w:rFonts w:hint="eastAsia" w:ascii="宋体" w:hAnsi="宋体" w:eastAsia="宋体" w:cs="宋体"/>
          <w:kern w:val="0"/>
          <w:sz w:val="24"/>
          <w:szCs w:val="24"/>
          <w:highlight w:val="none"/>
        </w:rPr>
        <w:t>合同履约期限</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2F052E0">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4BADCB6">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cs="宋体"/>
          <w:color w:val="auto"/>
          <w:kern w:val="0"/>
          <w:sz w:val="24"/>
          <w:szCs w:val="24"/>
          <w:lang w:eastAsia="zh-CN"/>
        </w:rPr>
        <w:t>磋商</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14:paraId="394213FB">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w:t>
      </w:r>
      <w:r>
        <w:rPr>
          <w:rFonts w:hint="eastAsia" w:ascii="宋体" w:hAnsi="宋体" w:cs="宋体"/>
          <w:color w:val="auto"/>
          <w:spacing w:val="-2"/>
          <w:kern w:val="0"/>
          <w:position w:val="-1"/>
          <w:sz w:val="24"/>
          <w:szCs w:val="24"/>
          <w:lang w:val="en-US" w:eastAsia="zh-CN"/>
        </w:rPr>
        <w:t>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14:paraId="13D75B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2352B64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cs="宋体"/>
          <w:color w:val="auto"/>
          <w:spacing w:val="-2"/>
          <w:kern w:val="0"/>
          <w:sz w:val="24"/>
          <w:szCs w:val="24"/>
          <w:lang w:eastAsia="zh-CN"/>
        </w:rPr>
        <w:t>磋商</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5DDDA9D1">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项目的其他投标供应商的单位负责人为同一人；</w:t>
      </w:r>
    </w:p>
    <w:p w14:paraId="39F6131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项目的其他投标供应商存在直接控股、管理关系；</w:t>
      </w:r>
    </w:p>
    <w:p w14:paraId="40EF16ED">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11540A0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0C44D01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30D14823">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14:paraId="2EAF19E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2582B68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7FF25AF6">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9C1ECF1">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投标活动的各方应对</w:t>
      </w: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val="en-US" w:eastAsia="zh-CN"/>
        </w:rPr>
        <w:t>响应文件</w:t>
      </w:r>
      <w:r>
        <w:rPr>
          <w:rFonts w:hint="eastAsia" w:ascii="宋体" w:hAnsi="宋体" w:eastAsia="宋体" w:cs="宋体"/>
          <w:color w:val="auto"/>
          <w:kern w:val="0"/>
          <w:sz w:val="24"/>
          <w:szCs w:val="24"/>
        </w:rPr>
        <w:t>中的商业和技术等秘密保密，否则应承担相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ABCCF7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280A4FD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highlight w:val="none"/>
          <w:lang w:eastAsia="zh-CN"/>
        </w:rPr>
        <w:t>及响应文件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72B45DF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62BCF6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2D2F61B0">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068241D7">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14:paraId="46D591B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14:paraId="30F012E6">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14:paraId="46246DF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14:paraId="76B1D714">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4F39B145">
      <w:pPr>
        <w:pStyle w:val="1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14:paraId="41808522">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325667D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文件的实质性要求和条件作出满足性或更有利于采购人的响应，否则，投标供应商的投标将被否决。实质性要求和条件见投标供应商须知前附表。</w:t>
      </w:r>
    </w:p>
    <w:p w14:paraId="467F319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2B49E1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14:paraId="77CCA3C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66B5BD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14:paraId="6856BE7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222947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文件规定而提供的货物及其他有关资料和材料。</w:t>
      </w:r>
    </w:p>
    <w:p w14:paraId="332E77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文件提供的服务。</w:t>
      </w:r>
    </w:p>
    <w:p w14:paraId="63B477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cs="宋体"/>
          <w:color w:val="auto"/>
          <w:sz w:val="24"/>
          <w:szCs w:val="24"/>
          <w:lang w:val="en-US" w:eastAsia="zh-CN"/>
        </w:rPr>
        <w:t>三门峡市湖滨区教育体育局</w:t>
      </w:r>
    </w:p>
    <w:p w14:paraId="51FEDA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、参加投标竞争的法人或者其他组织。</w:t>
      </w:r>
    </w:p>
    <w:p w14:paraId="644C70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1.14.5采购代理机构：</w:t>
      </w:r>
      <w:r>
        <w:rPr>
          <w:rFonts w:hint="eastAsia" w:ascii="宋体" w:hAnsi="宋体" w:cs="宋体"/>
          <w:color w:val="auto"/>
          <w:sz w:val="24"/>
          <w:szCs w:val="24"/>
          <w:lang w:eastAsia="zh-CN"/>
        </w:rPr>
        <w:t>信宇腾远工程咨询集团有限公司</w:t>
      </w:r>
      <w:r>
        <w:rPr>
          <w:rFonts w:hint="eastAsia" w:ascii="宋体" w:hAnsi="宋体" w:eastAsia="宋体" w:cs="宋体"/>
          <w:color w:val="auto"/>
          <w:sz w:val="24"/>
          <w:szCs w:val="24"/>
        </w:rPr>
        <w:t>。</w:t>
      </w:r>
    </w:p>
    <w:p w14:paraId="5234BA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1.14.6</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：是指按照《中华人民共和国政府采购法》和《政府采购竞争性磋商采购方式管理暂行办法》的规定组建的专门负责本次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的评标工作的临时机构。</w:t>
      </w:r>
    </w:p>
    <w:p w14:paraId="243AE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14:paraId="2534BB40">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竞争性磋</w:t>
      </w:r>
      <w:r>
        <w:rPr>
          <w:rFonts w:hint="eastAsia" w:ascii="宋体" w:hAnsi="宋体" w:cs="宋体"/>
          <w:b/>
          <w:bCs/>
          <w:color w:val="auto"/>
          <w:sz w:val="24"/>
          <w:szCs w:val="24"/>
          <w:highlight w:val="none"/>
          <w:lang w:val="en-US" w:eastAsia="zh-CN"/>
        </w:rPr>
        <w:t>商</w:t>
      </w:r>
      <w:r>
        <w:rPr>
          <w:rFonts w:hint="eastAsia" w:ascii="宋体" w:hAnsi="宋体" w:eastAsia="宋体" w:cs="宋体"/>
          <w:b/>
          <w:bCs/>
          <w:color w:val="auto"/>
          <w:sz w:val="24"/>
          <w:szCs w:val="24"/>
          <w:highlight w:val="none"/>
        </w:rPr>
        <w:t>文件</w:t>
      </w:r>
    </w:p>
    <w:p w14:paraId="1164C0E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文件的组成</w:t>
      </w:r>
    </w:p>
    <w:p w14:paraId="5F6681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w:t>
      </w:r>
      <w:r>
        <w:rPr>
          <w:rFonts w:hint="eastAsia" w:ascii="宋体" w:hAnsi="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rPr>
        <w:t>文件</w:t>
      </w:r>
      <w:r>
        <w:rPr>
          <w:rFonts w:hint="eastAsia" w:ascii="宋体" w:hAnsi="宋体" w:eastAsia="宋体" w:cs="宋体"/>
          <w:bCs/>
          <w:color w:val="auto"/>
          <w:sz w:val="24"/>
          <w:szCs w:val="24"/>
        </w:rPr>
        <w:t>包括：</w:t>
      </w:r>
    </w:p>
    <w:p w14:paraId="02A138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2.1.1.1</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公告</w:t>
      </w:r>
    </w:p>
    <w:p w14:paraId="250FB2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2.1.1.2投标供应商须知</w:t>
      </w:r>
    </w:p>
    <w:p w14:paraId="4BC1B0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14:paraId="6FC5A4E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2.1.1.4</w:t>
      </w:r>
      <w:r>
        <w:rPr>
          <w:rFonts w:hint="eastAsia" w:ascii="宋体" w:hAnsi="宋体" w:cs="宋体"/>
          <w:color w:val="auto"/>
          <w:sz w:val="24"/>
          <w:szCs w:val="24"/>
          <w:lang w:eastAsia="zh-CN"/>
        </w:rPr>
        <w:t>评审办法</w:t>
      </w:r>
    </w:p>
    <w:p w14:paraId="3218FB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14:paraId="1CC412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cs="宋体"/>
          <w:bCs/>
          <w:color w:val="auto"/>
          <w:sz w:val="24"/>
          <w:szCs w:val="24"/>
          <w:lang w:val="en-US" w:eastAsia="zh-CN"/>
        </w:rPr>
        <w:t>响</w:t>
      </w:r>
      <w:r>
        <w:rPr>
          <w:rFonts w:hint="eastAsia" w:ascii="宋体" w:hAnsi="宋体" w:cs="宋体"/>
          <w:bCs/>
          <w:color w:val="auto"/>
          <w:sz w:val="24"/>
          <w:szCs w:val="24"/>
          <w:highlight w:val="none"/>
          <w:lang w:val="en-US" w:eastAsia="zh-CN"/>
        </w:rPr>
        <w:t>应</w:t>
      </w:r>
      <w:r>
        <w:rPr>
          <w:rFonts w:hint="eastAsia" w:ascii="宋体" w:hAnsi="宋体" w:eastAsia="宋体" w:cs="宋体"/>
          <w:color w:val="auto"/>
          <w:sz w:val="24"/>
          <w:szCs w:val="24"/>
          <w:highlight w:val="none"/>
        </w:rPr>
        <w:t>文件格式</w:t>
      </w:r>
    </w:p>
    <w:p w14:paraId="68FF6A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文件所做的澄清、修改，构成</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文件的组成部分。</w:t>
      </w:r>
    </w:p>
    <w:p w14:paraId="5A4EE6D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文件的澄清或者修改</w:t>
      </w:r>
    </w:p>
    <w:p w14:paraId="58B1AE8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2.2.1投标供应商应详细阅读</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文件中的全部内容。如对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文件有异议的，应在</w:t>
      </w:r>
      <w:r>
        <w:rPr>
          <w:rFonts w:hint="eastAsia" w:ascii="宋体" w:hAnsi="宋体" w:eastAsia="宋体" w:cs="宋体"/>
          <w:bCs/>
          <w:color w:val="auto"/>
          <w:sz w:val="24"/>
          <w:szCs w:val="24"/>
          <w:lang w:eastAsia="zh-CN"/>
        </w:rPr>
        <w:t>提交首次响应文件截止时间前</w:t>
      </w:r>
      <w:r>
        <w:rPr>
          <w:rFonts w:hint="eastAsia" w:ascii="宋体" w:hAnsi="宋体" w:eastAsia="宋体" w:cs="宋体"/>
          <w:bCs/>
          <w:color w:val="auto"/>
          <w:sz w:val="24"/>
          <w:szCs w:val="24"/>
          <w:lang w:val="en-US" w:eastAsia="zh-CN"/>
        </w:rPr>
        <w:t>5日</w:t>
      </w:r>
      <w:r>
        <w:rPr>
          <w:rFonts w:hint="eastAsia" w:ascii="宋体" w:hAnsi="宋体" w:eastAsia="宋体" w:cs="宋体"/>
          <w:bCs/>
          <w:color w:val="auto"/>
          <w:sz w:val="24"/>
          <w:szCs w:val="24"/>
        </w:rPr>
        <w:t>在三门峡市公共资源交易平台上一次性提出，否则，将被视为完全理解并接受</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文件的全部内容。</w:t>
      </w:r>
    </w:p>
    <w:p w14:paraId="70A5E9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2.2.2采购人或者采购代理机构可以对已发出的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文件进行必要的澄清或者修改，但不得改变采购标的和资格条件。澄清或者修改的内容为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文件的组成部分。澄清或者修改的内容可能影响投标文件编制的，采购人或者采购代理机构在投标截止时间至少5日前，通知所有获取</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文件的潜在投标供应商；不足5日的，顺延提交投标文件的截止时间。</w:t>
      </w:r>
    </w:p>
    <w:p w14:paraId="4DAB2F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文件的澄清或者修改将通过交易平台系统内部“答疑文件”告知投标供应商，发布给所有下载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文件的投标供应商，并在原公告发布媒体上发布澄清公告，但不指明澄清问题的来源。对于项目中已经下载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文件的投标供应商，系统将通过第三方短信群发方式提醒投标供应商进行查询。各投标供应商须重新下载最新的答疑文件，以此编制投标文件。</w:t>
      </w:r>
    </w:p>
    <w:p w14:paraId="5ECBFF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6F6994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14:paraId="7AF1E4A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p>
    <w:p w14:paraId="46C37CB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文件的组成</w:t>
      </w:r>
    </w:p>
    <w:p w14:paraId="5B5003E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、响应函及响应函附录</w:t>
      </w:r>
    </w:p>
    <w:p w14:paraId="1F4A3E54">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、法定代表人身份证明</w:t>
      </w:r>
    </w:p>
    <w:p w14:paraId="6B8AB399">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、授权委托书</w:t>
      </w:r>
    </w:p>
    <w:p w14:paraId="535F090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、资格审查</w:t>
      </w:r>
    </w:p>
    <w:p w14:paraId="34ABD58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、供应商基本情况表</w:t>
      </w:r>
    </w:p>
    <w:p w14:paraId="3B13BE86">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、技术部分</w:t>
      </w:r>
    </w:p>
    <w:p w14:paraId="2378C777">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val="en-US" w:eastAsia="zh-CN"/>
        </w:rPr>
        <w:t>、商务部分</w:t>
      </w:r>
    </w:p>
    <w:p w14:paraId="1199595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lang w:val="en-US" w:eastAsia="zh-CN"/>
        </w:rPr>
        <w:t>、其他内容</w:t>
      </w:r>
    </w:p>
    <w:p w14:paraId="6EEA89DC">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3.2磋商报价</w:t>
      </w:r>
    </w:p>
    <w:p w14:paraId="2D8A79A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w:t>
      </w:r>
      <w:r>
        <w:rPr>
          <w:rFonts w:hint="eastAsia" w:ascii="宋体" w:hAnsi="宋体" w:cs="宋体"/>
          <w:bCs/>
          <w:color w:val="auto"/>
          <w:sz w:val="24"/>
          <w:szCs w:val="24"/>
          <w:lang w:val="en-US" w:eastAsia="zh-CN"/>
        </w:rPr>
        <w:t>磋商报价</w:t>
      </w:r>
      <w:r>
        <w:rPr>
          <w:rFonts w:hint="eastAsia" w:ascii="宋体" w:hAnsi="宋体" w:eastAsia="宋体" w:cs="宋体"/>
          <w:bCs/>
          <w:color w:val="auto"/>
          <w:sz w:val="24"/>
          <w:szCs w:val="24"/>
          <w:lang w:val="en-US" w:eastAsia="zh-CN"/>
        </w:rPr>
        <w:t>应是投标文件所确定的服务范围内的全部工作内容的价格体现。</w:t>
      </w:r>
    </w:p>
    <w:p w14:paraId="1F488DFE">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14:paraId="79E8F61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bCs/>
          <w:color w:val="auto"/>
          <w:sz w:val="24"/>
          <w:szCs w:val="24"/>
          <w:lang w:val="en-US" w:eastAsia="zh-CN"/>
        </w:rPr>
        <w:t>认定该报价人以低于成本报价，其报价应作无效报价处理。</w:t>
      </w:r>
    </w:p>
    <w:p w14:paraId="2ACE235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14:paraId="511B168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14:paraId="0540EACC">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3.3.1</w:t>
      </w:r>
      <w:r>
        <w:rPr>
          <w:rFonts w:hint="eastAsia" w:ascii="宋体" w:hAnsi="宋体" w:eastAsia="宋体" w:cs="宋体"/>
          <w:b w:val="0"/>
          <w:bCs w:val="0"/>
          <w:color w:val="auto"/>
          <w:sz w:val="24"/>
          <w:szCs w:val="24"/>
          <w:lang w:val="en-US" w:eastAsia="zh-CN"/>
        </w:rPr>
        <w:t>磋商有效期为</w:t>
      </w:r>
      <w:r>
        <w:rPr>
          <w:rFonts w:hint="eastAsia" w:ascii="宋体" w:hAnsi="宋体" w:eastAsia="宋体" w:cs="宋体"/>
          <w:b w:val="0"/>
          <w:bCs w:val="0"/>
          <w:color w:val="auto"/>
          <w:sz w:val="24"/>
          <w:szCs w:val="24"/>
        </w:rPr>
        <w:t>60日历天(从磋商截止之日算起)。</w:t>
      </w:r>
    </w:p>
    <w:p w14:paraId="2498E9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在特殊情况下，采购人可征求投标供应商同意延长投标有效期。投标供应商可以拒绝采购人的这种要求。同意延长投标有效期的投标供应商不需要也不允许修改其电子化投标文件。</w:t>
      </w:r>
    </w:p>
    <w:p w14:paraId="14C186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14:paraId="288F6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14:paraId="1C9E178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14:paraId="1C1543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0B0AF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文件中要求供应商按照投标文件格式进行投标文件编制，在投标文件编制时，应明确将投标单位企业基本情况、业绩情况编入投标文件，便于进行资格审查及评标打分。</w:t>
      </w:r>
    </w:p>
    <w:p w14:paraId="1A78AB8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14:paraId="4E75B338">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1533243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7E16C79C">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14:paraId="60E3336E">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14:paraId="7AD226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14:paraId="11ADC274">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14:paraId="2399C63D">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1E777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14:paraId="2431728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14:paraId="737A7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14:paraId="25FC78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3A1035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w:t>
      </w:r>
    </w:p>
    <w:p w14:paraId="0E71D74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14:paraId="377729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14:paraId="2B81577A">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14:paraId="3B39AA1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14:paraId="0B2B93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0C54E3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31543F00">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14:paraId="03FC0CD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14:paraId="6AA55B2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14:paraId="7ABDFD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14:paraId="2761083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14:paraId="070E80E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14:paraId="4356CDD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14:paraId="28D92E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14:paraId="33E9239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14:paraId="35D7B3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14:paraId="126660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200EF6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14:paraId="44BF8F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E8DF1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方操作，对所有已解密文件进行唱标。</w:t>
      </w:r>
    </w:p>
    <w:p w14:paraId="4728C4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E802CC6">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14:paraId="024E0257">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152DB2F0">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14:paraId="2FD54EDC">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6.1磋商小组</w:t>
      </w:r>
    </w:p>
    <w:p w14:paraId="6886E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负责。</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由采购人，以及有关技术、经济等方面的专家组成。</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成员人数以及技术、经济等方面专家的确定方式见投标供应商须知前附表。</w:t>
      </w:r>
    </w:p>
    <w:p w14:paraId="745C170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成员有下列情形之一的，应当回避：</w:t>
      </w:r>
    </w:p>
    <w:p w14:paraId="3601180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1C37B5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713FF16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14:paraId="1069BCC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、评标以及其他与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投标有关活动中从事违法行为而受过行政处罚或刑事处罚的。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成员有前款规定情形之一的，应当主动提出回避；</w:t>
      </w:r>
    </w:p>
    <w:p w14:paraId="14507B4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14:paraId="6072C1E5">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成员有回避事由、擅离职守或者因健康等原因不能继续评标的，采购人有权更换。被更换的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成员作出的评审结论无效，由更换后的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成员重新进行评审。</w:t>
      </w:r>
    </w:p>
    <w:p w14:paraId="60411B25">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14:paraId="6F6C2C06">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14:paraId="05A6B272">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14:paraId="3E58CB1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文件第四章。</w:t>
      </w:r>
    </w:p>
    <w:p w14:paraId="7FC3F33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w:t>
      </w:r>
    </w:p>
    <w:p w14:paraId="05BB2F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应当对投标供应商的投标文件进行</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形式评审和符合性评审，以确定其是否满足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文件的实质性要求。</w:t>
      </w:r>
    </w:p>
    <w:p w14:paraId="2E917E0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14:paraId="4794AAB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在评标中发现的计算错误并进行核实的修改不在此列。</w:t>
      </w:r>
    </w:p>
    <w:p w14:paraId="56858C93">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14:paraId="2DB62F9A">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将对确定为实质上响应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文件要求的电子化投标文件进行校核，看其是否有计算或表达上的错误，修正错误的原则如下：</w:t>
      </w:r>
    </w:p>
    <w:p w14:paraId="27227D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14:paraId="69B828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14:paraId="4E3FB849">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，投标供应商同意后，调整后的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对投标供应商起约束作用。</w:t>
      </w:r>
    </w:p>
    <w:p w14:paraId="2A9A5BC1">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14:paraId="202F3EE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初审后按无效标处理：</w:t>
      </w:r>
    </w:p>
    <w:p w14:paraId="0366BF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文件规定要求签署、盖章的；</w:t>
      </w:r>
    </w:p>
    <w:p w14:paraId="03264D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高于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文件中投标最高限价的；</w:t>
      </w:r>
    </w:p>
    <w:p w14:paraId="50713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14:paraId="6FC744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或者以其他弄虚作假方式投标的；</w:t>
      </w:r>
    </w:p>
    <w:p w14:paraId="68203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的。</w:t>
      </w:r>
    </w:p>
    <w:p w14:paraId="665FB6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是评标的重要依据，但不是唯一依据，</w:t>
      </w:r>
      <w:r>
        <w:rPr>
          <w:rFonts w:hint="eastAsia" w:ascii="宋体" w:hAnsi="宋体" w:eastAsia="宋体" w:cs="宋体"/>
          <w:color w:val="auto"/>
          <w:sz w:val="24"/>
          <w:szCs w:val="24"/>
        </w:rPr>
        <w:t>采购人不承诺将合同授予报价最低或最高的投标供应商。</w:t>
      </w:r>
    </w:p>
    <w:p w14:paraId="29C847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应当将其作为无效投标处理。</w:t>
      </w:r>
    </w:p>
    <w:p w14:paraId="6FBC080E">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依据本须知规定的评标标准和方法，对电子化投标文件进行评审和比较，按评委计分结果,</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按照得分由高到低的顺序推荐3名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供应商，并向采购人提供书面评标报告。</w:t>
      </w:r>
    </w:p>
    <w:p w14:paraId="748B9829">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由低到高的顺序排列。得分且</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相同的，按技术标得分由高到低的顺序排列。技术指标仍相同的，按商务标由高到低的顺序排列，以上各项都相同的，由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确定排名第一的为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8DA8DA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14:paraId="5EC9D3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供应商合同为止，凡属于对电子化投标文件的审查、澄清、评价和比较有关的资料，</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候选供应商的推荐情况，及其他任何与评标有关的情况均应严格保密。</w:t>
      </w:r>
    </w:p>
    <w:p w14:paraId="7E195F1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候选供应商推荐以及授予合同的过程中，投标供应商向采购人和</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施加影响的任何行为，都将会导致其投标被拒绝。</w:t>
      </w:r>
    </w:p>
    <w:p w14:paraId="1D64B3A0">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供应商确定后，采购人不对未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供应商就评标过程以及未能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原因做出任何解释。未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供应商不得向</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组成人员或其他有关人员索问评标过程的情况和材料。</w:t>
      </w:r>
    </w:p>
    <w:p w14:paraId="45BB5796">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14:paraId="26221767">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w:t>
      </w:r>
    </w:p>
    <w:p w14:paraId="79FD276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候选供应商名单中，选定排名第一</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候选供应商并列的，由采购人按照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文件规定的方式确定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文件未规定的，采取随机抽取的方式确定。采购人在收到评标报告5个工作日内未按评标报告推荐的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候选供应商顺序确定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供应商，又不能说明合法理由的，视同按评标报告推荐的顺序确定排名第一的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228F0A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供应商确定之日起2个工作日内，在</w:t>
      </w:r>
      <w:r>
        <w:rPr>
          <w:rFonts w:hint="eastAsia" w:ascii="宋体" w:hAnsi="宋体" w:eastAsia="宋体" w:cs="宋体"/>
          <w:kern w:val="0"/>
          <w:sz w:val="24"/>
          <w:szCs w:val="24"/>
          <w:highlight w:val="none"/>
          <w:lang w:eastAsia="zh-CN"/>
        </w:rPr>
        <w:t>《中国</w:t>
      </w:r>
      <w:r>
        <w:rPr>
          <w:rFonts w:hint="eastAsia" w:ascii="宋体" w:hAnsi="宋体" w:cs="宋体"/>
          <w:kern w:val="0"/>
          <w:sz w:val="24"/>
          <w:szCs w:val="24"/>
          <w:highlight w:val="none"/>
          <w:lang w:val="en-US" w:eastAsia="zh-CN"/>
        </w:rPr>
        <w:t>招标</w:t>
      </w:r>
      <w:r>
        <w:rPr>
          <w:rFonts w:hint="eastAsia" w:ascii="宋体" w:hAnsi="宋体" w:eastAsia="宋体" w:cs="宋体"/>
          <w:kern w:val="0"/>
          <w:sz w:val="24"/>
          <w:szCs w:val="24"/>
          <w:highlight w:val="none"/>
          <w:lang w:eastAsia="zh-CN"/>
        </w:rPr>
        <w:t>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文件随</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结果同时公告。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供应商为中小企业的，同时公告其《中小企业声明函》；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供应商为残疾人福利性单位的，同时公告其《残疾人福利性单位声明函》，接受社会监督。</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公告期限为1个工作日。</w:t>
      </w:r>
    </w:p>
    <w:p w14:paraId="5AAF1E7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7.2</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A4B258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rPr>
        <w:t>的同时，向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供应商发出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通知书发出后，采购人不得违法改变</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供应商无正当理由不得放弃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AE11D3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14:paraId="78FF61E3">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14:paraId="1CFE65A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14:paraId="3B46D5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供应商应当在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文件订立书面合同。所签订的合同不得对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文件确定的事项和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文件作实质性修改。</w:t>
      </w:r>
    </w:p>
    <w:p w14:paraId="683B3CB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供应商无正当理由拒签合同、在签订合同时向采购人提出附加条件的，采购人有权取消其</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资格，给采购人带来损失的，还应给予赔偿；采购人可以按照评标报告推荐的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候选供应商排序，确定排名下一位的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供应商，也可以重新开展采购活动。当出现法规规定的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无效或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结果无效情形时，采购人可与排名下一位的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候选供应商另行签订合同，或依法重新开展采购活动。</w:t>
      </w:r>
    </w:p>
    <w:p w14:paraId="797FD73A">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供应商提出任何不合理的要求作为签订合同的条件。</w:t>
      </w:r>
    </w:p>
    <w:p w14:paraId="1A7DFC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14:paraId="5751972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结果有异议的，可以在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结果公告期限届满之日起七个工作日内，按《政府采购质疑和投诉办法》（财政部令第94号）要求以书面形式同时向采购人和采购代理机构提出质疑，逾期提交或未按照要求提交的质疑函将不予受理。</w:t>
      </w:r>
    </w:p>
    <w:p w14:paraId="1C4A6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14:paraId="14682B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14:paraId="41691B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w:t>
      </w:r>
      <w:r>
        <w:rPr>
          <w:rFonts w:hint="eastAsia" w:ascii="宋体" w:hAnsi="宋体" w:cs="宋体"/>
          <w:color w:val="auto"/>
          <w:sz w:val="24"/>
          <w:szCs w:val="24"/>
          <w:lang w:eastAsia="zh-CN"/>
        </w:rPr>
        <w:t>磋商响应</w:t>
      </w:r>
      <w:r>
        <w:rPr>
          <w:rFonts w:hint="eastAsia" w:ascii="宋体" w:hAnsi="宋体" w:eastAsia="宋体" w:cs="宋体"/>
          <w:color w:val="auto"/>
          <w:sz w:val="24"/>
          <w:szCs w:val="24"/>
        </w:rPr>
        <w:t>活动中应当保密的情况和资料，不得与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供应商串通损害国家利益、社会公共利益或者他人合法权益。</w:t>
      </w:r>
    </w:p>
    <w:p w14:paraId="0DEF5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供应商的纪律要求</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或者与采购人串通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，不得向采购人或者</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成员行贿谋取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或者以其他方式弄虚作假骗取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供应商不得以任何方式干扰、影响评标工作。</w:t>
      </w:r>
    </w:p>
    <w:p w14:paraId="272287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437BA8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供应商之间协商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文件的实质性内容；</w:t>
      </w:r>
    </w:p>
    <w:p w14:paraId="111736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224D22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供应商之间约定部分供应商放弃</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971E1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供应商之间为谋取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或者排斥特定供应商而采取的其他联合行动。</w:t>
      </w:r>
    </w:p>
    <w:p w14:paraId="7CA1B7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502C3F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文件由同一单位或者个人编制；</w:t>
      </w:r>
    </w:p>
    <w:p w14:paraId="544A6E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供应商委托同一单位或者个人办理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事宜；</w:t>
      </w:r>
    </w:p>
    <w:p w14:paraId="5C1AC1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文件载明的项目管理成员为同一人；</w:t>
      </w:r>
    </w:p>
    <w:p w14:paraId="51DB21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文件异常一致或者</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报价呈规律性差异；</w:t>
      </w:r>
    </w:p>
    <w:p w14:paraId="1356EA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文件制作机器码一致视为串通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行为；</w:t>
      </w:r>
    </w:p>
    <w:p w14:paraId="1FE90D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2C07CF43">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的</w:t>
      </w:r>
    </w:p>
    <w:p w14:paraId="10261C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14:paraId="723D05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14:paraId="7BAA41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14:paraId="1CB05F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14:paraId="292BE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14:paraId="33EDDD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14:paraId="50564A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成员的纪律要求</w:t>
      </w:r>
    </w:p>
    <w:p w14:paraId="48347876">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成员应当客观、公正地履行职责，遵守职业道德，不得擅离职守，影响评标程序正常进行，不得使用第四章“评标方法和标准”没有规定的评审因素和标准进行评标。</w:t>
      </w:r>
    </w:p>
    <w:p w14:paraId="4FFE1D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14:paraId="4721EA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候选供应商的推荐情况以及评标有关的其他情况。在评标活动中，与评标活动有关的工作人员不得擅离职守，影响评标程序正常进行。</w:t>
      </w:r>
    </w:p>
    <w:p w14:paraId="09CF78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14:paraId="2A3526F7">
      <w:pPr>
        <w:spacing w:line="360" w:lineRule="auto"/>
        <w:ind w:firstLine="480" w:firstLineChars="200"/>
        <w:jc w:val="left"/>
        <w:rPr>
          <w:rFonts w:hint="eastAsia" w:ascii="宋体" w:hAnsi="宋体" w:eastAsia="宋体" w:cs="宋体"/>
          <w:color w:val="auto"/>
          <w:sz w:val="24"/>
          <w:szCs w:val="24"/>
        </w:rPr>
        <w:sectPr>
          <w:footerReference r:id="rId5"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供应商须知前附表。</w:t>
      </w:r>
    </w:p>
    <w:p w14:paraId="5CB6EE8A">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0000FF"/>
          <w:highlight w:val="none"/>
          <w:lang w:eastAsia="zh-CN"/>
        </w:rPr>
      </w:pPr>
      <w:bookmarkStart w:id="4" w:name="_Toc8061"/>
      <w:bookmarkStart w:id="5" w:name="_Toc20302"/>
      <w:r>
        <w:rPr>
          <w:rFonts w:hint="eastAsia" w:ascii="宋体" w:hAnsi="宋体" w:eastAsia="宋体" w:cs="宋体"/>
          <w:color w:val="auto"/>
          <w:highlight w:val="none"/>
          <w:lang w:val="en-US" w:eastAsia="zh-CN"/>
        </w:rPr>
        <w:t>第三章 服务内容及要求</w:t>
      </w:r>
      <w:bookmarkEnd w:id="4"/>
      <w:bookmarkEnd w:id="5"/>
    </w:p>
    <w:p w14:paraId="66861F43">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采购项目编号：SGZ[2025]577-ZC376、湖滨竞磋采购-2025-35</w:t>
      </w:r>
      <w:r>
        <w:rPr>
          <w:rFonts w:hint="eastAsia" w:ascii="宋体" w:hAnsi="宋体" w:eastAsia="宋体" w:cs="宋体"/>
          <w:color w:val="auto"/>
          <w:kern w:val="0"/>
          <w:sz w:val="24"/>
          <w:szCs w:val="24"/>
          <w:highlight w:val="none"/>
        </w:rPr>
        <w:t>；</w:t>
      </w:r>
    </w:p>
    <w:p w14:paraId="4B509907">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val="en-US" w:eastAsia="zh-CN" w:bidi="ar"/>
        </w:rPr>
        <w:t>三门峡市湖滨区教育体育局三门峡市湖滨区中小学校消防审验历史遗留问题现场评定项目</w:t>
      </w:r>
    </w:p>
    <w:p w14:paraId="0A6FA5E5">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rPr>
        <w:t>3、采购方式</w:t>
      </w:r>
      <w:r>
        <w:rPr>
          <w:rFonts w:hint="eastAsia" w:ascii="宋体" w:hAnsi="宋体" w:eastAsia="宋体" w:cs="宋体"/>
          <w:color w:val="auto"/>
          <w:kern w:val="0"/>
          <w:sz w:val="24"/>
          <w:szCs w:val="24"/>
          <w:lang w:val="en-US" w:eastAsia="zh-CN" w:bidi="ar"/>
        </w:rPr>
        <w:t>：竞争性磋商</w:t>
      </w:r>
    </w:p>
    <w:p w14:paraId="15D31C18">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440000</w:t>
      </w:r>
      <w:r>
        <w:rPr>
          <w:rFonts w:hint="eastAsia" w:ascii="宋体" w:hAnsi="宋体" w:eastAsia="宋体" w:cs="宋体"/>
          <w:color w:val="auto"/>
          <w:kern w:val="0"/>
          <w:sz w:val="24"/>
          <w:szCs w:val="24"/>
          <w:highlight w:val="none"/>
        </w:rPr>
        <w:t>元</w:t>
      </w:r>
    </w:p>
    <w:p w14:paraId="1A8EFF71">
      <w:pPr>
        <w:pageBreakBefore w:val="0"/>
        <w:widowControl/>
        <w:shd w:val="clear" w:color="auto" w:fill="auto"/>
        <w:overflowPunct/>
        <w:bidi w:val="0"/>
        <w:spacing w:line="360" w:lineRule="auto"/>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440000</w:t>
      </w:r>
      <w:r>
        <w:rPr>
          <w:rFonts w:hint="eastAsia" w:ascii="宋体" w:hAnsi="宋体" w:eastAsia="宋体" w:cs="宋体"/>
          <w:color w:val="auto"/>
          <w:kern w:val="0"/>
          <w:sz w:val="24"/>
          <w:szCs w:val="24"/>
          <w:highlight w:val="none"/>
        </w:rPr>
        <w:t>元</w:t>
      </w:r>
    </w:p>
    <w:p w14:paraId="7C405D93">
      <w:pPr>
        <w:pageBreakBefore w:val="0"/>
        <w:overflowPunct/>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1CFF14A1">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：按照国家相关规范对</w:t>
      </w:r>
      <w:r>
        <w:rPr>
          <w:rFonts w:hint="eastAsia" w:ascii="宋体" w:hAnsi="宋体" w:eastAsia="宋体" w:cs="宋体"/>
          <w:color w:val="444444"/>
          <w:kern w:val="0"/>
          <w:sz w:val="24"/>
          <w:szCs w:val="24"/>
          <w:lang w:val="en-US" w:eastAsia="zh-CN" w:bidi="ar"/>
        </w:rPr>
        <w:t>对三门峡市湖滨区20所学校校舍</w:t>
      </w:r>
      <w:r>
        <w:rPr>
          <w:rFonts w:hint="eastAsia" w:ascii="宋体" w:hAnsi="宋体" w:eastAsia="宋体" w:cs="宋体"/>
          <w:kern w:val="0"/>
          <w:sz w:val="24"/>
          <w:szCs w:val="24"/>
          <w:highlight w:val="none"/>
        </w:rPr>
        <w:t>的建筑进行消防验收现场评定服务，按照相关技术标准规范要求进行消防现场评定工作，并出具评定报告</w:t>
      </w:r>
      <w:r>
        <w:rPr>
          <w:rFonts w:hint="eastAsia" w:ascii="宋体" w:hAnsi="宋体" w:cs="宋体"/>
          <w:kern w:val="0"/>
          <w:sz w:val="24"/>
          <w:szCs w:val="24"/>
          <w:highlight w:val="none"/>
          <w:lang w:eastAsia="zh-CN"/>
        </w:rPr>
        <w:t>。</w:t>
      </w:r>
    </w:p>
    <w:p w14:paraId="1B944820">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6DA938AA">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5.3项目地点：</w:t>
      </w:r>
      <w:r>
        <w:rPr>
          <w:rFonts w:hint="eastAsia" w:ascii="宋体" w:hAnsi="宋体" w:cs="宋体"/>
          <w:spacing w:val="0"/>
          <w:w w:val="100"/>
          <w:kern w:val="0"/>
          <w:sz w:val="24"/>
          <w:szCs w:val="24"/>
          <w:highlight w:val="none"/>
          <w:u w:val="none"/>
          <w:lang w:val="en-US" w:eastAsia="zh-CN"/>
        </w:rPr>
        <w:t>三门峡市湖滨区</w:t>
      </w:r>
    </w:p>
    <w:p w14:paraId="092A527F">
      <w:pPr>
        <w:pageBreakBefore w:val="0"/>
        <w:overflowPunct/>
        <w:bidi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w:t>
      </w:r>
      <w:r>
        <w:rPr>
          <w:rFonts w:hint="eastAsia" w:ascii="宋体" w:hAnsi="宋体" w:eastAsia="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合同签订后2个月内完成并提交报告。</w:t>
      </w:r>
    </w:p>
    <w:p w14:paraId="6550A8ED">
      <w:pPr>
        <w:pageBreakBefore w:val="0"/>
        <w:overflowPunct/>
        <w:bidi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w:t>
      </w:r>
      <w:r>
        <w:rPr>
          <w:rFonts w:hint="eastAsia" w:ascii="宋体" w:hAnsi="宋体" w:eastAsia="宋体" w:cs="宋体"/>
          <w:sz w:val="24"/>
          <w:szCs w:val="24"/>
          <w:lang w:val="en-US" w:eastAsia="zh-CN"/>
        </w:rPr>
        <w:t>合格，符合国家相关法律、法规及规范要求，满足采购人要求</w:t>
      </w:r>
    </w:p>
    <w:p w14:paraId="445DFFC7">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按合同约定执行。</w:t>
      </w:r>
    </w:p>
    <w:p w14:paraId="06961A5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7、本项目是否接受联合体投标：</w:t>
      </w:r>
      <w:r>
        <w:rPr>
          <w:rFonts w:hint="eastAsia" w:ascii="宋体" w:hAnsi="宋体" w:cs="宋体"/>
          <w:color w:val="auto"/>
          <w:kern w:val="0"/>
          <w:sz w:val="24"/>
          <w:szCs w:val="24"/>
          <w:highlight w:val="none"/>
          <w:lang w:val="en-US" w:eastAsia="zh-CN"/>
        </w:rPr>
        <w:t>否</w:t>
      </w:r>
    </w:p>
    <w:p w14:paraId="7684B3F2">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49FBBC8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9、是否专门面向中小企业：</w:t>
      </w:r>
      <w:r>
        <w:rPr>
          <w:rFonts w:hint="eastAsia" w:ascii="宋体" w:hAnsi="宋体" w:cs="宋体"/>
          <w:color w:val="auto"/>
          <w:kern w:val="0"/>
          <w:sz w:val="24"/>
          <w:szCs w:val="24"/>
          <w:highlight w:val="none"/>
          <w:lang w:val="en-US" w:eastAsia="zh-CN"/>
        </w:rPr>
        <w:t>否</w:t>
      </w:r>
    </w:p>
    <w:p w14:paraId="2C454935">
      <w:pPr>
        <w:pStyle w:val="4"/>
        <w:outlineLvl w:val="9"/>
        <w:rPr>
          <w:rFonts w:hint="eastAsia" w:ascii="宋体" w:hAnsi="宋体" w:eastAsia="宋体" w:cs="宋体"/>
          <w:color w:val="auto"/>
          <w:sz w:val="24"/>
          <w:szCs w:val="24"/>
        </w:rPr>
      </w:pPr>
    </w:p>
    <w:p w14:paraId="5373E181">
      <w:pPr>
        <w:rPr>
          <w:rFonts w:hint="eastAsia" w:ascii="宋体" w:hAnsi="宋体" w:eastAsia="宋体" w:cs="宋体"/>
          <w:color w:val="auto"/>
          <w:sz w:val="24"/>
          <w:szCs w:val="24"/>
        </w:rPr>
      </w:pPr>
    </w:p>
    <w:p w14:paraId="0285DE2C">
      <w:pPr>
        <w:pStyle w:val="4"/>
        <w:outlineLvl w:val="9"/>
        <w:rPr>
          <w:rFonts w:hint="eastAsia" w:ascii="宋体" w:hAnsi="宋体" w:eastAsia="宋体" w:cs="宋体"/>
          <w:color w:val="auto"/>
          <w:sz w:val="24"/>
          <w:szCs w:val="24"/>
        </w:rPr>
      </w:pPr>
    </w:p>
    <w:p w14:paraId="3491D9C3">
      <w:pPr>
        <w:rPr>
          <w:rFonts w:hint="eastAsia" w:ascii="宋体" w:hAnsi="宋体" w:eastAsia="宋体" w:cs="宋体"/>
          <w:color w:val="auto"/>
          <w:sz w:val="24"/>
          <w:szCs w:val="24"/>
        </w:rPr>
      </w:pPr>
    </w:p>
    <w:p w14:paraId="66F328E6">
      <w:pPr>
        <w:pageBreakBefore w:val="0"/>
        <w:overflowPunct/>
        <w:bidi w:val="0"/>
        <w:spacing w:line="360" w:lineRule="auto"/>
        <w:jc w:val="left"/>
        <w:rPr>
          <w:rFonts w:hint="eastAsia" w:ascii="宋体" w:hAnsi="宋体" w:eastAsia="宋体" w:cs="宋体"/>
          <w:kern w:val="0"/>
          <w:sz w:val="24"/>
          <w:szCs w:val="24"/>
          <w:lang w:eastAsia="zh-CN"/>
        </w:rPr>
      </w:pPr>
      <w:bookmarkStart w:id="6" w:name="_Toc23949"/>
      <w:r>
        <w:rPr>
          <w:rFonts w:hint="eastAsia" w:ascii="宋体" w:hAnsi="宋体" w:eastAsia="宋体" w:cs="宋体"/>
          <w:b/>
          <w:bCs/>
          <w:color w:val="auto"/>
          <w:sz w:val="40"/>
          <w:szCs w:val="40"/>
        </w:rPr>
        <w:br w:type="page"/>
      </w:r>
    </w:p>
    <w:p w14:paraId="1F552C2B">
      <w:pPr>
        <w:jc w:val="center"/>
        <w:outlineLvl w:val="0"/>
        <w:rPr>
          <w:rFonts w:hint="eastAsia" w:ascii="宋体" w:hAnsi="宋体" w:eastAsia="宋体" w:cs="宋体"/>
          <w:b/>
          <w:bCs/>
          <w:color w:val="auto"/>
          <w:kern w:val="44"/>
          <w:sz w:val="32"/>
          <w:szCs w:val="44"/>
          <w:highlight w:val="none"/>
          <w:lang w:val="en-US" w:eastAsia="zh-CN" w:bidi="ar-SA"/>
        </w:rPr>
      </w:pPr>
      <w:bookmarkStart w:id="7" w:name="_Toc8223"/>
      <w:r>
        <w:rPr>
          <w:rFonts w:hint="eastAsia" w:ascii="宋体" w:hAnsi="宋体" w:eastAsia="宋体" w:cs="宋体"/>
          <w:b/>
          <w:bCs/>
          <w:color w:val="auto"/>
          <w:kern w:val="44"/>
          <w:sz w:val="32"/>
          <w:szCs w:val="44"/>
          <w:highlight w:val="none"/>
          <w:lang w:val="en-US" w:eastAsia="zh-CN" w:bidi="ar-SA"/>
        </w:rPr>
        <w:t xml:space="preserve">第四章 </w:t>
      </w:r>
      <w:bookmarkEnd w:id="6"/>
      <w:r>
        <w:rPr>
          <w:rFonts w:hint="eastAsia" w:ascii="宋体" w:hAnsi="宋体" w:eastAsia="宋体" w:cs="宋体"/>
          <w:b/>
          <w:bCs/>
          <w:color w:val="auto"/>
          <w:kern w:val="44"/>
          <w:sz w:val="32"/>
          <w:szCs w:val="44"/>
          <w:highlight w:val="none"/>
          <w:lang w:val="en-US" w:eastAsia="zh-CN" w:bidi="ar-SA"/>
        </w:rPr>
        <w:t>评审办法</w:t>
      </w:r>
      <w:bookmarkEnd w:id="7"/>
    </w:p>
    <w:p w14:paraId="1D82C06E">
      <w:pPr>
        <w:widowControl/>
        <w:spacing w:line="425" w:lineRule="atLeast"/>
        <w:jc w:val="center"/>
        <w:textAlignment w:val="baseline"/>
        <w:rPr>
          <w:rFonts w:hint="eastAsia" w:ascii="宋体" w:hAnsi="宋体" w:eastAsia="宋体" w:cs="宋体"/>
          <w:b/>
          <w:sz w:val="28"/>
          <w:szCs w:val="21"/>
          <w:lang w:val="zh-CN"/>
        </w:rPr>
      </w:pPr>
      <w:r>
        <w:rPr>
          <w:rFonts w:hint="eastAsia" w:ascii="宋体" w:hAnsi="宋体" w:cs="宋体"/>
          <w:b/>
          <w:kern w:val="0"/>
          <w:sz w:val="28"/>
          <w:szCs w:val="22"/>
          <w:lang w:eastAsia="zh-CN"/>
        </w:rPr>
        <w:t>评审办法</w:t>
      </w:r>
      <w:r>
        <w:rPr>
          <w:rFonts w:hint="eastAsia" w:ascii="宋体" w:hAnsi="宋体" w:eastAsia="宋体" w:cs="宋体"/>
          <w:b/>
          <w:kern w:val="0"/>
          <w:sz w:val="28"/>
          <w:szCs w:val="22"/>
        </w:rPr>
        <w:t>前附表</w:t>
      </w:r>
    </w:p>
    <w:tbl>
      <w:tblPr>
        <w:tblStyle w:val="20"/>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62"/>
        <w:gridCol w:w="1914"/>
        <w:gridCol w:w="5701"/>
      </w:tblGrid>
      <w:tr w14:paraId="47D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1E7C9A23">
            <w:pPr>
              <w:pageBreakBefore w:val="0"/>
              <w:overflowPunct/>
              <w:bidi w:val="0"/>
              <w:spacing w:before="206" w:line="360" w:lineRule="auto"/>
              <w:ind w:left="147" w:right="139"/>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14" w:type="dxa"/>
            <w:noWrap w:val="0"/>
            <w:tcMar>
              <w:left w:w="57" w:type="dxa"/>
              <w:right w:w="57" w:type="dxa"/>
            </w:tcMar>
            <w:vAlign w:val="center"/>
          </w:tcPr>
          <w:p w14:paraId="3C8A8C56">
            <w:pPr>
              <w:pageBreakBefore w:val="0"/>
              <w:overflowPunct/>
              <w:bidi w:val="0"/>
              <w:spacing w:before="206" w:line="360" w:lineRule="auto"/>
              <w:ind w:left="147" w:right="139"/>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701" w:type="dxa"/>
            <w:noWrap w:val="0"/>
            <w:tcMar>
              <w:left w:w="57" w:type="dxa"/>
              <w:right w:w="57" w:type="dxa"/>
            </w:tcMar>
            <w:vAlign w:val="center"/>
          </w:tcPr>
          <w:p w14:paraId="29CC2F23">
            <w:pPr>
              <w:pageBreakBefore w:val="0"/>
              <w:overflowPunct/>
              <w:bidi w:val="0"/>
              <w:spacing w:before="206" w:line="360" w:lineRule="auto"/>
              <w:ind w:left="147" w:right="139"/>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67D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64327D49">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2.1.1</w:t>
            </w:r>
          </w:p>
        </w:tc>
        <w:tc>
          <w:tcPr>
            <w:tcW w:w="1362" w:type="dxa"/>
            <w:vMerge w:val="restart"/>
            <w:noWrap w:val="0"/>
            <w:tcMar>
              <w:left w:w="57" w:type="dxa"/>
              <w:right w:w="57" w:type="dxa"/>
            </w:tcMar>
            <w:vAlign w:val="center"/>
          </w:tcPr>
          <w:p w14:paraId="7AEDB6C8">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符合性评审标准</w:t>
            </w:r>
          </w:p>
        </w:tc>
        <w:tc>
          <w:tcPr>
            <w:tcW w:w="1914" w:type="dxa"/>
            <w:noWrap w:val="0"/>
            <w:tcMar>
              <w:left w:w="57" w:type="dxa"/>
              <w:right w:w="57" w:type="dxa"/>
            </w:tcMar>
            <w:vAlign w:val="center"/>
          </w:tcPr>
          <w:p w14:paraId="53423222">
            <w:pPr>
              <w:pageBreakBefore w:val="0"/>
              <w:overflowPunct/>
              <w:bidi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供应商名称</w:t>
            </w:r>
          </w:p>
        </w:tc>
        <w:tc>
          <w:tcPr>
            <w:tcW w:w="5701" w:type="dxa"/>
            <w:noWrap w:val="0"/>
            <w:tcMar>
              <w:left w:w="57" w:type="dxa"/>
              <w:right w:w="57" w:type="dxa"/>
            </w:tcMar>
            <w:vAlign w:val="center"/>
          </w:tcPr>
          <w:p w14:paraId="6F7531D7">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与营业执照一致</w:t>
            </w:r>
          </w:p>
        </w:tc>
      </w:tr>
      <w:tr w14:paraId="66A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2FC71CBE">
            <w:pPr>
              <w:pageBreakBefore w:val="0"/>
              <w:overflowPunct/>
              <w:bidi w:val="0"/>
              <w:spacing w:line="360" w:lineRule="auto"/>
              <w:rPr>
                <w:rFonts w:hint="eastAsia" w:ascii="宋体" w:hAnsi="宋体" w:eastAsia="宋体" w:cs="宋体"/>
                <w:color w:val="000000"/>
                <w:sz w:val="24"/>
                <w:szCs w:val="24"/>
                <w:lang w:val="en-US" w:eastAsia="zh-CN"/>
              </w:rPr>
            </w:pPr>
          </w:p>
        </w:tc>
        <w:tc>
          <w:tcPr>
            <w:tcW w:w="1362" w:type="dxa"/>
            <w:vMerge w:val="continue"/>
            <w:noWrap w:val="0"/>
            <w:tcMar>
              <w:left w:w="57" w:type="dxa"/>
              <w:right w:w="57" w:type="dxa"/>
            </w:tcMar>
            <w:vAlign w:val="center"/>
          </w:tcPr>
          <w:p w14:paraId="0C7F4BA2">
            <w:pPr>
              <w:pageBreakBefore w:val="0"/>
              <w:overflowPunct/>
              <w:bidi w:val="0"/>
              <w:spacing w:line="360" w:lineRule="auto"/>
              <w:rPr>
                <w:rFonts w:hint="eastAsia" w:ascii="宋体" w:hAnsi="宋体" w:eastAsia="宋体" w:cs="宋体"/>
                <w:color w:val="000000"/>
                <w:sz w:val="24"/>
                <w:szCs w:val="24"/>
                <w:lang w:val="en-US" w:eastAsia="zh-CN"/>
              </w:rPr>
            </w:pPr>
          </w:p>
        </w:tc>
        <w:tc>
          <w:tcPr>
            <w:tcW w:w="1914" w:type="dxa"/>
            <w:noWrap w:val="0"/>
            <w:tcMar>
              <w:left w:w="57" w:type="dxa"/>
              <w:right w:w="57" w:type="dxa"/>
            </w:tcMar>
            <w:vAlign w:val="center"/>
          </w:tcPr>
          <w:p w14:paraId="3BBE3192">
            <w:pPr>
              <w:pageBreakBefore w:val="0"/>
              <w:overflowPunct/>
              <w:bidi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签字盖章</w:t>
            </w:r>
          </w:p>
        </w:tc>
        <w:tc>
          <w:tcPr>
            <w:tcW w:w="5701" w:type="dxa"/>
            <w:noWrap w:val="0"/>
            <w:tcMar>
              <w:left w:w="57" w:type="dxa"/>
              <w:right w:w="57" w:type="dxa"/>
            </w:tcMar>
            <w:vAlign w:val="center"/>
          </w:tcPr>
          <w:p w14:paraId="32A70D52">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w:t>
            </w: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lang w:val="en-US" w:eastAsia="zh-CN"/>
              </w:rPr>
              <w:t>文件要求签署、盖章</w:t>
            </w:r>
          </w:p>
        </w:tc>
      </w:tr>
      <w:tr w14:paraId="415F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485E59F">
            <w:pPr>
              <w:pageBreakBefore w:val="0"/>
              <w:overflowPunct/>
              <w:bidi w:val="0"/>
              <w:spacing w:line="360" w:lineRule="auto"/>
              <w:rPr>
                <w:rFonts w:hint="eastAsia" w:ascii="宋体" w:hAnsi="宋体" w:eastAsia="宋体" w:cs="宋体"/>
                <w:color w:val="000000"/>
                <w:sz w:val="24"/>
                <w:szCs w:val="24"/>
                <w:lang w:val="en-US" w:eastAsia="zh-CN"/>
              </w:rPr>
            </w:pPr>
          </w:p>
        </w:tc>
        <w:tc>
          <w:tcPr>
            <w:tcW w:w="1362" w:type="dxa"/>
            <w:vMerge w:val="continue"/>
            <w:noWrap w:val="0"/>
            <w:tcMar>
              <w:left w:w="57" w:type="dxa"/>
              <w:right w:w="57" w:type="dxa"/>
            </w:tcMar>
            <w:vAlign w:val="center"/>
          </w:tcPr>
          <w:p w14:paraId="0E71D82D">
            <w:pPr>
              <w:pageBreakBefore w:val="0"/>
              <w:overflowPunct/>
              <w:bidi w:val="0"/>
              <w:spacing w:line="360" w:lineRule="auto"/>
              <w:rPr>
                <w:rFonts w:hint="eastAsia" w:ascii="宋体" w:hAnsi="宋体" w:eastAsia="宋体" w:cs="宋体"/>
                <w:color w:val="000000"/>
                <w:sz w:val="24"/>
                <w:szCs w:val="24"/>
                <w:lang w:val="en-US" w:eastAsia="zh-CN"/>
              </w:rPr>
            </w:pPr>
          </w:p>
        </w:tc>
        <w:tc>
          <w:tcPr>
            <w:tcW w:w="1914" w:type="dxa"/>
            <w:noWrap w:val="0"/>
            <w:tcMar>
              <w:left w:w="57" w:type="dxa"/>
              <w:right w:w="57" w:type="dxa"/>
            </w:tcMar>
            <w:vAlign w:val="center"/>
          </w:tcPr>
          <w:p w14:paraId="7D5D83AC">
            <w:pPr>
              <w:pageBreakBefore w:val="0"/>
              <w:overflowPunct/>
              <w:bidi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报价唯一</w:t>
            </w:r>
          </w:p>
        </w:tc>
        <w:tc>
          <w:tcPr>
            <w:tcW w:w="5701" w:type="dxa"/>
            <w:noWrap w:val="0"/>
            <w:tcMar>
              <w:left w:w="57" w:type="dxa"/>
              <w:right w:w="57" w:type="dxa"/>
            </w:tcMar>
            <w:vAlign w:val="center"/>
          </w:tcPr>
          <w:p w14:paraId="7C88FEED">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只能有一个有效报价。</w:t>
            </w:r>
          </w:p>
        </w:tc>
      </w:tr>
      <w:tr w14:paraId="2411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0699A404">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2.1.2</w:t>
            </w:r>
          </w:p>
        </w:tc>
        <w:tc>
          <w:tcPr>
            <w:tcW w:w="1362" w:type="dxa"/>
            <w:vMerge w:val="restart"/>
            <w:noWrap w:val="0"/>
            <w:tcMar>
              <w:left w:w="57" w:type="dxa"/>
              <w:right w:w="57" w:type="dxa"/>
            </w:tcMar>
            <w:vAlign w:val="center"/>
          </w:tcPr>
          <w:p w14:paraId="777EC716">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资格评审标准</w:t>
            </w:r>
          </w:p>
        </w:tc>
        <w:tc>
          <w:tcPr>
            <w:tcW w:w="1914" w:type="dxa"/>
            <w:noWrap w:val="0"/>
            <w:tcMar>
              <w:left w:w="57" w:type="dxa"/>
              <w:right w:w="57" w:type="dxa"/>
            </w:tcMar>
            <w:vAlign w:val="center"/>
          </w:tcPr>
          <w:p w14:paraId="23FFC696">
            <w:pPr>
              <w:pageBreakBefore w:val="0"/>
              <w:overflowPunct/>
              <w:bidi w:val="0"/>
              <w:spacing w:line="360" w:lineRule="auto"/>
              <w:jc w:val="center"/>
              <w:rPr>
                <w:rFonts w:hint="eastAsia" w:ascii="宋体" w:hAnsi="宋体" w:eastAsia="宋体" w:cs="宋体"/>
                <w:color w:val="000000"/>
                <w:sz w:val="24"/>
                <w:szCs w:val="24"/>
                <w:lang w:val="en-US" w:eastAsia="zh-CN"/>
              </w:rPr>
            </w:pPr>
            <w:r>
              <w:rPr>
                <w:rFonts w:hint="eastAsia" w:ascii="宋体" w:hAnsi="宋体"/>
                <w:color w:val="000000"/>
                <w:sz w:val="24"/>
                <w:szCs w:val="24"/>
              </w:rPr>
              <w:t>合格的</w:t>
            </w:r>
            <w:r>
              <w:rPr>
                <w:rFonts w:hint="eastAsia" w:ascii="宋体" w:hAnsi="宋体"/>
                <w:color w:val="000000"/>
                <w:sz w:val="24"/>
                <w:szCs w:val="24"/>
                <w:lang w:eastAsia="zh-CN"/>
              </w:rPr>
              <w:t>供应商</w:t>
            </w:r>
          </w:p>
        </w:tc>
        <w:tc>
          <w:tcPr>
            <w:tcW w:w="5701" w:type="dxa"/>
            <w:noWrap w:val="0"/>
            <w:vAlign w:val="center"/>
          </w:tcPr>
          <w:p w14:paraId="01A0868D">
            <w:pPr>
              <w:pageBreakBefore w:val="0"/>
              <w:overflowPunct/>
              <w:bidi w:val="0"/>
              <w:spacing w:line="360" w:lineRule="auto"/>
              <w:rPr>
                <w:rFonts w:hint="eastAsia" w:ascii="宋体" w:hAnsi="宋体" w:eastAsia="宋体" w:cs="宋体"/>
                <w:color w:val="000000"/>
                <w:sz w:val="24"/>
                <w:szCs w:val="24"/>
                <w:lang w:val="en-US" w:eastAsia="zh-CN"/>
              </w:rPr>
            </w:pPr>
            <w:r>
              <w:rPr>
                <w:rFonts w:hint="eastAsia" w:ascii="宋体" w:hAnsi="宋体"/>
                <w:color w:val="000000"/>
                <w:sz w:val="24"/>
                <w:szCs w:val="24"/>
              </w:rPr>
              <w:t>符合《中华人民共和国政府采购法》第二十二条规定</w:t>
            </w:r>
            <w:r>
              <w:rPr>
                <w:rFonts w:hint="eastAsia" w:ascii="宋体" w:hAnsi="宋体"/>
                <w:color w:val="000000"/>
                <w:sz w:val="24"/>
                <w:szCs w:val="24"/>
                <w:lang w:eastAsia="zh-CN"/>
              </w:rPr>
              <w:t>；</w:t>
            </w:r>
          </w:p>
        </w:tc>
      </w:tr>
      <w:tr w14:paraId="776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14A069E5">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2669BD72">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3A2F34B8">
            <w:pPr>
              <w:pageBreakBefore w:val="0"/>
              <w:overflowPunct/>
              <w:bidi w:val="0"/>
              <w:spacing w:line="360" w:lineRule="auto"/>
              <w:jc w:val="center"/>
              <w:rPr>
                <w:rFonts w:hint="eastAsia" w:ascii="宋体" w:hAnsi="宋体" w:eastAsia="宋体" w:cs="宋体"/>
                <w:b/>
                <w:bCs/>
                <w:sz w:val="24"/>
                <w:szCs w:val="24"/>
              </w:rPr>
            </w:pPr>
            <w:r>
              <w:rPr>
                <w:rFonts w:hint="eastAsia" w:ascii="宋体" w:hAnsi="宋体"/>
                <w:color w:val="000000"/>
                <w:sz w:val="24"/>
                <w:szCs w:val="24"/>
                <w:lang w:eastAsia="zh-CN"/>
              </w:rPr>
              <w:t>供应商</w:t>
            </w:r>
            <w:r>
              <w:rPr>
                <w:rFonts w:hint="eastAsia" w:ascii="宋体" w:hAnsi="宋体"/>
                <w:color w:val="000000"/>
                <w:sz w:val="24"/>
                <w:szCs w:val="24"/>
                <w:lang w:val="en-US" w:eastAsia="zh-CN"/>
              </w:rPr>
              <w:t>资质</w:t>
            </w:r>
          </w:p>
        </w:tc>
        <w:tc>
          <w:tcPr>
            <w:tcW w:w="5701" w:type="dxa"/>
            <w:noWrap w:val="0"/>
            <w:vAlign w:val="center"/>
          </w:tcPr>
          <w:p w14:paraId="139BB1A4">
            <w:pPr>
              <w:pageBreakBefore w:val="0"/>
              <w:widowControl/>
              <w:overflowPunct/>
              <w:bidi w:val="0"/>
              <w:spacing w:line="360" w:lineRule="auto"/>
              <w:jc w:val="left"/>
              <w:rPr>
                <w:rFonts w:hint="eastAsia" w:ascii="宋体" w:hAnsi="宋体" w:eastAsia="宋体" w:cs="宋体"/>
                <w:b/>
                <w:bCs/>
                <w:sz w:val="24"/>
                <w:szCs w:val="24"/>
              </w:rPr>
            </w:pPr>
            <w:r>
              <w:rPr>
                <w:rFonts w:hint="eastAsia" w:ascii="宋体" w:hAnsi="宋体" w:eastAsia="宋体" w:cs="宋体"/>
                <w:color w:val="auto"/>
                <w:kern w:val="0"/>
                <w:sz w:val="24"/>
                <w:szCs w:val="24"/>
              </w:rPr>
              <w:t>供应商须在“社会消防技术服务信息系统”登记备案,提供消防技术服务机构査询截图</w:t>
            </w:r>
          </w:p>
        </w:tc>
      </w:tr>
      <w:tr w14:paraId="2A03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69D64A56">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45149AEA">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5A94CFC5">
            <w:pPr>
              <w:pageBreakBefore w:val="0"/>
              <w:overflowPunct/>
              <w:bidi w:val="0"/>
              <w:spacing w:line="360" w:lineRule="auto"/>
              <w:jc w:val="center"/>
              <w:rPr>
                <w:rFonts w:hint="eastAsia" w:ascii="宋体" w:hAnsi="宋体" w:eastAsia="宋体" w:cs="宋体"/>
                <w:b/>
                <w:bCs/>
                <w:color w:val="000000"/>
                <w:sz w:val="24"/>
                <w:szCs w:val="24"/>
                <w:lang w:val="en-US" w:eastAsia="zh-CN"/>
              </w:rPr>
            </w:pPr>
            <w:r>
              <w:rPr>
                <w:rFonts w:hint="eastAsia" w:ascii="宋体" w:hAnsi="宋体"/>
                <w:color w:val="000000"/>
                <w:sz w:val="24"/>
                <w:szCs w:val="24"/>
              </w:rPr>
              <w:t>项目负责人</w:t>
            </w:r>
          </w:p>
        </w:tc>
        <w:tc>
          <w:tcPr>
            <w:tcW w:w="5701" w:type="dxa"/>
            <w:noWrap w:val="0"/>
            <w:vAlign w:val="center"/>
          </w:tcPr>
          <w:p w14:paraId="630603FF">
            <w:pPr>
              <w:pageBreakBefore w:val="0"/>
              <w:widowControl/>
              <w:overflowPunct/>
              <w:bidi w:val="0"/>
              <w:spacing w:line="360" w:lineRule="auto"/>
              <w:jc w:val="left"/>
              <w:rPr>
                <w:rFonts w:hint="eastAsia" w:ascii="宋体" w:hAnsi="宋体" w:eastAsia="宋体" w:cs="宋体"/>
                <w:b/>
                <w:bCs/>
                <w:sz w:val="24"/>
                <w:szCs w:val="24"/>
              </w:rPr>
            </w:pPr>
            <w:r>
              <w:rPr>
                <w:rFonts w:hint="eastAsia" w:ascii="宋体" w:hAnsi="宋体" w:eastAsia="宋体" w:cs="宋体"/>
                <w:color w:val="auto"/>
                <w:kern w:val="0"/>
                <w:sz w:val="24"/>
                <w:szCs w:val="24"/>
                <w:lang w:val="en-US" w:eastAsia="zh-CN"/>
              </w:rPr>
              <w:t>拟派项目负责人应具有国家一级注册消防工程师执业资格证书，须提供社会养老保险缴纳记录证明，若存在退休后返聘人员，须提供退休证明</w:t>
            </w:r>
          </w:p>
        </w:tc>
      </w:tr>
      <w:tr w14:paraId="3104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F2E79CB">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4F8F6649">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368CCAE1">
            <w:pPr>
              <w:pageBreakBefore w:val="0"/>
              <w:overflowPunct/>
              <w:bidi w:val="0"/>
              <w:spacing w:line="360" w:lineRule="auto"/>
              <w:jc w:val="center"/>
              <w:rPr>
                <w:rFonts w:hint="eastAsia" w:ascii="宋体" w:hAnsi="宋体" w:eastAsia="宋体" w:cs="宋体"/>
                <w:b/>
                <w:bCs/>
                <w:color w:val="000000"/>
                <w:sz w:val="24"/>
                <w:szCs w:val="24"/>
                <w:lang w:val="en-US" w:eastAsia="zh-CN"/>
              </w:rPr>
            </w:pPr>
            <w:r>
              <w:rPr>
                <w:rFonts w:hint="eastAsia" w:ascii="宋体" w:hAnsi="宋体"/>
                <w:color w:val="000000"/>
                <w:sz w:val="24"/>
                <w:szCs w:val="24"/>
              </w:rPr>
              <w:t>承诺书</w:t>
            </w:r>
          </w:p>
        </w:tc>
        <w:tc>
          <w:tcPr>
            <w:tcW w:w="5701" w:type="dxa"/>
            <w:noWrap w:val="0"/>
            <w:vAlign w:val="center"/>
          </w:tcPr>
          <w:p w14:paraId="3CB53301">
            <w:pPr>
              <w:pageBreakBefore w:val="0"/>
              <w:overflowPunct/>
              <w:bidi w:val="0"/>
              <w:spacing w:line="360" w:lineRule="auto"/>
              <w:rPr>
                <w:rFonts w:hint="eastAsia" w:ascii="宋体" w:hAnsi="宋体" w:eastAsia="宋体" w:cs="宋体"/>
                <w:b/>
                <w:bCs/>
                <w:sz w:val="24"/>
                <w:szCs w:val="24"/>
              </w:rPr>
            </w:pPr>
            <w:r>
              <w:rPr>
                <w:rFonts w:hint="eastAsia" w:ascii="宋体" w:hAnsi="宋体" w:eastAsia="宋体" w:cs="宋体"/>
                <w:kern w:val="0"/>
                <w:sz w:val="24"/>
                <w:szCs w:val="24"/>
              </w:rPr>
              <w:t>供应商出具无行贿记录</w:t>
            </w:r>
            <w:r>
              <w:rPr>
                <w:rFonts w:hint="eastAsia" w:ascii="宋体" w:hAnsi="宋体" w:cs="宋体"/>
                <w:kern w:val="0"/>
                <w:sz w:val="24"/>
                <w:szCs w:val="24"/>
                <w:lang w:eastAsia="zh-CN"/>
              </w:rPr>
              <w:t>，</w:t>
            </w:r>
            <w:r>
              <w:rPr>
                <w:rFonts w:hint="eastAsia" w:ascii="宋体" w:hAnsi="宋体" w:eastAsia="宋体" w:cs="宋体"/>
                <w:kern w:val="0"/>
                <w:sz w:val="24"/>
                <w:szCs w:val="24"/>
              </w:rPr>
              <w:t>在中国裁判文书网自行查询或自行承诺（查询</w:t>
            </w:r>
            <w:r>
              <w:rPr>
                <w:rFonts w:hint="eastAsia" w:ascii="宋体" w:hAnsi="宋体" w:cs="宋体"/>
                <w:kern w:val="0"/>
                <w:sz w:val="24"/>
                <w:szCs w:val="24"/>
                <w:lang w:val="en-US" w:eastAsia="zh-CN"/>
              </w:rPr>
              <w:t>/</w:t>
            </w:r>
            <w:r>
              <w:rPr>
                <w:rFonts w:hint="eastAsia" w:ascii="宋体" w:hAnsi="宋体" w:eastAsia="宋体" w:cs="宋体"/>
                <w:kern w:val="0"/>
                <w:sz w:val="24"/>
                <w:szCs w:val="24"/>
              </w:rPr>
              <w:t>承诺对象：企业、法定代表人）及企业自行承诺无商业贿赂和不正当竞争行为</w:t>
            </w:r>
          </w:p>
        </w:tc>
      </w:tr>
      <w:tr w14:paraId="3665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2888E2BB">
            <w:pPr>
              <w:pageBreakBefore w:val="0"/>
              <w:overflowPunct/>
              <w:bidi w:val="0"/>
              <w:spacing w:line="360" w:lineRule="auto"/>
              <w:rPr>
                <w:rFonts w:hint="eastAsia" w:ascii="宋体" w:hAnsi="宋体" w:eastAsia="宋体" w:cs="宋体"/>
                <w:sz w:val="24"/>
                <w:szCs w:val="24"/>
              </w:rPr>
            </w:pPr>
          </w:p>
        </w:tc>
        <w:tc>
          <w:tcPr>
            <w:tcW w:w="1362" w:type="dxa"/>
            <w:vMerge w:val="continue"/>
            <w:noWrap w:val="0"/>
            <w:tcMar>
              <w:left w:w="57" w:type="dxa"/>
              <w:right w:w="57" w:type="dxa"/>
            </w:tcMar>
            <w:vAlign w:val="center"/>
          </w:tcPr>
          <w:p w14:paraId="0852898D">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64637E45">
            <w:pPr>
              <w:pageBreakBefore w:val="0"/>
              <w:overflowPunct/>
              <w:bidi w:val="0"/>
              <w:spacing w:line="360" w:lineRule="auto"/>
              <w:jc w:val="center"/>
              <w:rPr>
                <w:rFonts w:hint="eastAsia" w:ascii="宋体" w:hAnsi="宋体" w:eastAsia="宋体" w:cs="宋体"/>
                <w:color w:val="000000"/>
                <w:sz w:val="24"/>
                <w:szCs w:val="24"/>
              </w:rPr>
            </w:pPr>
            <w:r>
              <w:rPr>
                <w:rFonts w:hint="eastAsia" w:ascii="宋体" w:hAnsi="宋体"/>
                <w:color w:val="000000"/>
                <w:sz w:val="24"/>
                <w:szCs w:val="24"/>
              </w:rPr>
              <w:t>信誉及信用查询</w:t>
            </w:r>
          </w:p>
        </w:tc>
        <w:tc>
          <w:tcPr>
            <w:tcW w:w="5701" w:type="dxa"/>
            <w:noWrap w:val="0"/>
            <w:vAlign w:val="center"/>
          </w:tcPr>
          <w:p w14:paraId="3B47D99D">
            <w:pPr>
              <w:pageBreakBefore w:val="0"/>
              <w:overflowPunct/>
              <w:bidi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kern w:val="0"/>
                <w:sz w:val="24"/>
                <w:szCs w:val="24"/>
                <w:lang w:eastAsia="zh-CN"/>
              </w:rPr>
              <w:t>；</w:t>
            </w:r>
          </w:p>
        </w:tc>
      </w:tr>
      <w:tr w14:paraId="69BE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4420B3B2">
            <w:pPr>
              <w:pageBreakBefore w:val="0"/>
              <w:overflowPunct/>
              <w:bidi w:val="0"/>
              <w:spacing w:line="360" w:lineRule="auto"/>
              <w:rPr>
                <w:rFonts w:hint="eastAsia" w:ascii="宋体" w:hAnsi="宋体" w:eastAsia="宋体" w:cs="宋体"/>
                <w:sz w:val="24"/>
                <w:szCs w:val="24"/>
              </w:rPr>
            </w:pPr>
          </w:p>
        </w:tc>
        <w:tc>
          <w:tcPr>
            <w:tcW w:w="1362" w:type="dxa"/>
            <w:vMerge w:val="continue"/>
            <w:noWrap w:val="0"/>
            <w:tcMar>
              <w:left w:w="57" w:type="dxa"/>
              <w:right w:w="57" w:type="dxa"/>
            </w:tcMar>
            <w:vAlign w:val="center"/>
          </w:tcPr>
          <w:p w14:paraId="66D07443">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337EE159">
            <w:pPr>
              <w:pageBreakBefore w:val="0"/>
              <w:overflowPunct/>
              <w:bidi w:val="0"/>
              <w:spacing w:line="360" w:lineRule="auto"/>
              <w:jc w:val="center"/>
              <w:rPr>
                <w:rFonts w:hint="eastAsia" w:ascii="宋体" w:hAnsi="宋体"/>
                <w:color w:val="000000"/>
                <w:sz w:val="24"/>
                <w:szCs w:val="24"/>
              </w:rPr>
            </w:pPr>
            <w:r>
              <w:rPr>
                <w:rFonts w:hint="eastAsia" w:ascii="宋体" w:hAnsi="宋体"/>
                <w:color w:val="000000"/>
                <w:sz w:val="24"/>
                <w:szCs w:val="24"/>
                <w:lang w:val="en-US" w:eastAsia="zh-CN"/>
              </w:rPr>
              <w:t>非</w:t>
            </w:r>
            <w:r>
              <w:rPr>
                <w:rFonts w:hint="eastAsia" w:ascii="宋体" w:hAnsi="宋体"/>
                <w:color w:val="000000"/>
                <w:sz w:val="24"/>
                <w:szCs w:val="24"/>
              </w:rPr>
              <w:t>联合体投标</w:t>
            </w:r>
          </w:p>
        </w:tc>
        <w:tc>
          <w:tcPr>
            <w:tcW w:w="5701" w:type="dxa"/>
            <w:noWrap w:val="0"/>
            <w:vAlign w:val="center"/>
          </w:tcPr>
          <w:p w14:paraId="6C83F48A">
            <w:pPr>
              <w:pageBreakBefore w:val="0"/>
              <w:overflowPunct/>
              <w:bidi w:val="0"/>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本项目不接受联合体投标（提供承诺函）</w:t>
            </w:r>
          </w:p>
        </w:tc>
      </w:tr>
      <w:tr w14:paraId="04A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41391066">
            <w:pPr>
              <w:pageBreakBefore w:val="0"/>
              <w:overflowPunct/>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362" w:type="dxa"/>
            <w:vMerge w:val="restart"/>
            <w:noWrap w:val="0"/>
            <w:tcMar>
              <w:left w:w="57" w:type="dxa"/>
              <w:right w:w="57" w:type="dxa"/>
            </w:tcMar>
            <w:vAlign w:val="center"/>
          </w:tcPr>
          <w:p w14:paraId="7CD584B4">
            <w:pPr>
              <w:pageBreakBefore w:val="0"/>
              <w:overflowPunct/>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实质</w:t>
            </w:r>
            <w:r>
              <w:rPr>
                <w:rFonts w:hint="eastAsia" w:ascii="宋体" w:hAnsi="宋体" w:eastAsia="宋体" w:cs="宋体"/>
                <w:sz w:val="24"/>
                <w:szCs w:val="24"/>
              </w:rPr>
              <w:t>性响应评审标准</w:t>
            </w:r>
          </w:p>
        </w:tc>
        <w:tc>
          <w:tcPr>
            <w:tcW w:w="1914" w:type="dxa"/>
            <w:noWrap w:val="0"/>
            <w:tcMar>
              <w:left w:w="57" w:type="dxa"/>
              <w:right w:w="57" w:type="dxa"/>
            </w:tcMar>
            <w:vAlign w:val="center"/>
          </w:tcPr>
          <w:p w14:paraId="3A3EE8C8">
            <w:pPr>
              <w:pageBreakBefore w:val="0"/>
              <w:overflowPunct/>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服务范围</w:t>
            </w:r>
          </w:p>
        </w:tc>
        <w:tc>
          <w:tcPr>
            <w:tcW w:w="5701" w:type="dxa"/>
            <w:noWrap w:val="0"/>
            <w:vAlign w:val="center"/>
          </w:tcPr>
          <w:p w14:paraId="66554CA3">
            <w:pPr>
              <w:pStyle w:val="1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444444"/>
                <w:kern w:val="0"/>
                <w:sz w:val="24"/>
                <w:szCs w:val="24"/>
                <w:lang w:val="en-US" w:eastAsia="zh-CN" w:bidi="ar"/>
              </w:rPr>
              <w:t>按照国家相关规范对对三门峡市湖滨区20所学校校舍的建筑进行消防验收现场评定服务，按照相关技术标准规范要求进行消防现场评定工作，并出具评定报告。</w:t>
            </w:r>
          </w:p>
        </w:tc>
      </w:tr>
      <w:tr w14:paraId="5F7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60C948C">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7A627D16">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5238A485">
            <w:pPr>
              <w:pageBreakBefore w:val="0"/>
              <w:overflowPunct/>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服务</w:t>
            </w:r>
            <w:r>
              <w:rPr>
                <w:rFonts w:hint="eastAsia" w:ascii="宋体" w:hAnsi="宋体" w:cs="宋体"/>
                <w:color w:val="000000"/>
                <w:sz w:val="24"/>
                <w:szCs w:val="24"/>
                <w:lang w:val="en-US" w:eastAsia="zh-CN"/>
              </w:rPr>
              <w:t>周期</w:t>
            </w:r>
          </w:p>
        </w:tc>
        <w:tc>
          <w:tcPr>
            <w:tcW w:w="5701" w:type="dxa"/>
            <w:noWrap w:val="0"/>
            <w:vAlign w:val="center"/>
          </w:tcPr>
          <w:p w14:paraId="45C7B2AD">
            <w:pPr>
              <w:pStyle w:val="27"/>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合同签订后2个月内完成并提交报告</w:t>
            </w:r>
          </w:p>
        </w:tc>
      </w:tr>
      <w:tr w14:paraId="576D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vMerge w:val="continue"/>
            <w:noWrap w:val="0"/>
            <w:tcMar>
              <w:left w:w="57" w:type="dxa"/>
              <w:right w:w="57" w:type="dxa"/>
            </w:tcMar>
            <w:vAlign w:val="center"/>
          </w:tcPr>
          <w:p w14:paraId="1C5DD685">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5BD31842">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63D3B086">
            <w:pPr>
              <w:pageBreakBefore w:val="0"/>
              <w:overflowPunct/>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质量要求</w:t>
            </w:r>
          </w:p>
        </w:tc>
        <w:tc>
          <w:tcPr>
            <w:tcW w:w="5701" w:type="dxa"/>
            <w:noWrap w:val="0"/>
            <w:vAlign w:val="center"/>
          </w:tcPr>
          <w:p w14:paraId="5F8C770A">
            <w:pPr>
              <w:pStyle w:val="17"/>
              <w:pageBreakBefore w:val="0"/>
              <w:overflowPunct/>
              <w:bidi w:val="0"/>
              <w:spacing w:beforeAutospacing="0" w:afterAutospacing="0"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合格，符合国家相关法律、法规及规范要求，满足采购人要求；</w:t>
            </w:r>
          </w:p>
        </w:tc>
      </w:tr>
      <w:tr w14:paraId="04C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9" w:type="dxa"/>
            <w:vMerge w:val="continue"/>
            <w:noWrap w:val="0"/>
            <w:tcMar>
              <w:left w:w="57" w:type="dxa"/>
              <w:right w:w="57" w:type="dxa"/>
            </w:tcMar>
            <w:vAlign w:val="center"/>
          </w:tcPr>
          <w:p w14:paraId="7CF0BB40">
            <w:pPr>
              <w:pageBreakBefore w:val="0"/>
              <w:overflowPunct/>
              <w:bidi w:val="0"/>
              <w:spacing w:line="360" w:lineRule="auto"/>
              <w:jc w:val="center"/>
              <w:rPr>
                <w:rFonts w:hint="eastAsia" w:ascii="宋体" w:hAnsi="宋体" w:eastAsia="宋体" w:cs="宋体"/>
                <w:sz w:val="24"/>
                <w:szCs w:val="24"/>
              </w:rPr>
            </w:pPr>
          </w:p>
        </w:tc>
        <w:tc>
          <w:tcPr>
            <w:tcW w:w="1362" w:type="dxa"/>
            <w:vMerge w:val="continue"/>
            <w:noWrap w:val="0"/>
            <w:tcMar>
              <w:left w:w="57" w:type="dxa"/>
              <w:right w:w="57" w:type="dxa"/>
            </w:tcMar>
            <w:vAlign w:val="center"/>
          </w:tcPr>
          <w:p w14:paraId="4BCC61BB">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4E787CCF">
            <w:pPr>
              <w:pageBreakBefore w:val="0"/>
              <w:overflowPunct/>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响应</w:t>
            </w:r>
            <w:r>
              <w:rPr>
                <w:rFonts w:hint="eastAsia" w:ascii="宋体" w:hAnsi="宋体" w:eastAsia="宋体" w:cs="宋体"/>
                <w:kern w:val="2"/>
                <w:sz w:val="24"/>
                <w:szCs w:val="24"/>
                <w:highlight w:val="none"/>
                <w:lang w:val="en-US" w:eastAsia="zh-CN" w:bidi="ar-SA"/>
              </w:rPr>
              <w:t>价格</w:t>
            </w:r>
          </w:p>
        </w:tc>
        <w:tc>
          <w:tcPr>
            <w:tcW w:w="5701" w:type="dxa"/>
            <w:noWrap w:val="0"/>
            <w:vAlign w:val="center"/>
          </w:tcPr>
          <w:p w14:paraId="049CD591">
            <w:pPr>
              <w:pageBreakBefore w:val="0"/>
              <w:overflowPunct/>
              <w:bidi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响应</w:t>
            </w:r>
            <w:r>
              <w:rPr>
                <w:rFonts w:hint="eastAsia" w:ascii="宋体" w:hAnsi="宋体" w:eastAsia="宋体" w:cs="宋体"/>
                <w:kern w:val="2"/>
                <w:sz w:val="24"/>
                <w:szCs w:val="24"/>
                <w:highlight w:val="none"/>
                <w:lang w:val="en-US" w:eastAsia="zh-CN" w:bidi="ar-SA"/>
              </w:rPr>
              <w:t>报价都不得高于采购人公布的</w:t>
            </w:r>
            <w:r>
              <w:rPr>
                <w:rFonts w:hint="eastAsia" w:ascii="宋体" w:hAnsi="宋体" w:cs="宋体"/>
                <w:kern w:val="2"/>
                <w:sz w:val="24"/>
                <w:szCs w:val="24"/>
                <w:highlight w:val="none"/>
                <w:lang w:val="en-US" w:eastAsia="zh-CN" w:bidi="ar-SA"/>
              </w:rPr>
              <w:t>最高限价</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zh-CN" w:bidi="ar-SA"/>
              </w:rPr>
              <w:t>控制价），否则其投标将被否决。</w:t>
            </w:r>
          </w:p>
        </w:tc>
      </w:tr>
      <w:tr w14:paraId="03B4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0CD98978">
            <w:pPr>
              <w:pageBreakBefore w:val="0"/>
              <w:tabs>
                <w:tab w:val="right" w:pos="2948"/>
              </w:tabs>
              <w:overflowPunct/>
              <w:bidi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条款号</w:t>
            </w:r>
          </w:p>
        </w:tc>
        <w:tc>
          <w:tcPr>
            <w:tcW w:w="1914" w:type="dxa"/>
            <w:noWrap w:val="0"/>
            <w:tcMar>
              <w:left w:w="57" w:type="dxa"/>
              <w:right w:w="57" w:type="dxa"/>
            </w:tcMar>
            <w:vAlign w:val="center"/>
          </w:tcPr>
          <w:p w14:paraId="14A49DC7">
            <w:pPr>
              <w:pageBreakBefore w:val="0"/>
              <w:overflowPunct/>
              <w:bidi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条款内容</w:t>
            </w:r>
          </w:p>
        </w:tc>
        <w:tc>
          <w:tcPr>
            <w:tcW w:w="5701" w:type="dxa"/>
            <w:noWrap w:val="0"/>
            <w:tcMar>
              <w:left w:w="57" w:type="dxa"/>
              <w:right w:w="57" w:type="dxa"/>
            </w:tcMar>
            <w:vAlign w:val="center"/>
          </w:tcPr>
          <w:p w14:paraId="7BCF969D">
            <w:pPr>
              <w:pageBreakBefore w:val="0"/>
              <w:overflowPunct/>
              <w:bidi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编列内容</w:t>
            </w:r>
          </w:p>
        </w:tc>
      </w:tr>
      <w:tr w14:paraId="5E2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0DFCB6B1">
            <w:pPr>
              <w:keepNext w:val="0"/>
              <w:keepLines w:val="0"/>
              <w:pageBreakBefore w:val="0"/>
              <w:kinsoku/>
              <w:wordWrap/>
              <w:overflowPunct/>
              <w:topLinePunct w:val="0"/>
              <w:autoSpaceDE/>
              <w:autoSpaceDN/>
              <w:bidi w:val="0"/>
              <w:spacing w:beforeAutospacing="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2.2.1</w:t>
            </w:r>
          </w:p>
        </w:tc>
        <w:tc>
          <w:tcPr>
            <w:tcW w:w="1914" w:type="dxa"/>
            <w:noWrap w:val="0"/>
            <w:tcMar>
              <w:left w:w="57" w:type="dxa"/>
              <w:right w:w="57" w:type="dxa"/>
            </w:tcMar>
            <w:vAlign w:val="center"/>
          </w:tcPr>
          <w:p w14:paraId="3DC5A8CF">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p w14:paraId="3B6AD3CC">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（总分100分）</w:t>
            </w:r>
          </w:p>
        </w:tc>
        <w:tc>
          <w:tcPr>
            <w:tcW w:w="5701" w:type="dxa"/>
            <w:noWrap w:val="0"/>
            <w:tcMar>
              <w:left w:w="57" w:type="dxa"/>
              <w:right w:w="57" w:type="dxa"/>
            </w:tcMar>
            <w:vAlign w:val="center"/>
          </w:tcPr>
          <w:p w14:paraId="52211784">
            <w:pPr>
              <w:keepNext w:val="0"/>
              <w:keepLines w:val="0"/>
              <w:pageBreakBefore w:val="0"/>
              <w:widowControl/>
              <w:kinsoku/>
              <w:wordWrap/>
              <w:overflowPunct/>
              <w:topLinePunct w:val="0"/>
              <w:autoSpaceDE/>
              <w:autoSpaceDN/>
              <w:bidi w:val="0"/>
              <w:spacing w:before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rPr>
              <w:t>磋商</w:t>
            </w:r>
            <w:r>
              <w:rPr>
                <w:rFonts w:hint="eastAsia" w:ascii="宋体" w:hAnsi="宋体" w:eastAsia="宋体" w:cs="宋体"/>
                <w:sz w:val="24"/>
                <w:szCs w:val="24"/>
              </w:rPr>
              <w:t>报价：</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3E055807">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cs="宋体"/>
                <w:sz w:val="24"/>
                <w:szCs w:val="24"/>
                <w:lang w:val="en-US" w:eastAsia="zh-CN"/>
              </w:rPr>
              <w:t>55</w:t>
            </w:r>
            <w:r>
              <w:rPr>
                <w:rFonts w:hint="eastAsia" w:ascii="宋体" w:hAnsi="宋体" w:eastAsia="宋体" w:cs="宋体"/>
                <w:sz w:val="24"/>
                <w:szCs w:val="24"/>
              </w:rPr>
              <w:t>分</w:t>
            </w:r>
          </w:p>
          <w:p w14:paraId="61B0A5B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商务</w:t>
            </w:r>
            <w:r>
              <w:rPr>
                <w:rFonts w:hint="eastAsia" w:ascii="宋体" w:hAnsi="宋体" w:eastAsia="宋体" w:cs="宋体"/>
                <w:sz w:val="24"/>
                <w:szCs w:val="24"/>
              </w:rPr>
              <w:t>标：</w:t>
            </w:r>
            <w:r>
              <w:rPr>
                <w:rFonts w:hint="eastAsia" w:ascii="宋体" w:hAnsi="宋体" w:cs="宋体"/>
                <w:sz w:val="24"/>
                <w:szCs w:val="24"/>
                <w:lang w:val="en-US" w:eastAsia="zh-CN"/>
              </w:rPr>
              <w:t>25</w:t>
            </w:r>
            <w:r>
              <w:rPr>
                <w:rFonts w:hint="eastAsia" w:ascii="宋体" w:hAnsi="宋体" w:eastAsia="宋体" w:cs="宋体"/>
                <w:sz w:val="24"/>
                <w:szCs w:val="24"/>
              </w:rPr>
              <w:t>分</w:t>
            </w:r>
          </w:p>
        </w:tc>
      </w:tr>
      <w:tr w14:paraId="5A90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4E8255C8">
            <w:pPr>
              <w:pageBreakBefore w:val="0"/>
              <w:tabs>
                <w:tab w:val="right" w:pos="2948"/>
              </w:tabs>
              <w:overflowPunct/>
              <w:bidi w:val="0"/>
              <w:spacing w:line="360" w:lineRule="auto"/>
              <w:jc w:val="center"/>
              <w:rPr>
                <w:rFonts w:hint="eastAsia" w:ascii="宋体" w:hAnsi="宋体" w:eastAsia="宋体" w:cs="宋体"/>
                <w:kern w:val="0"/>
                <w:sz w:val="24"/>
                <w:szCs w:val="24"/>
              </w:rPr>
            </w:pPr>
            <w:r>
              <w:rPr>
                <w:rFonts w:hint="eastAsia" w:ascii="宋体" w:hAnsi="宋体" w:eastAsia="宋体" w:cs="宋体"/>
                <w:b/>
                <w:bCs/>
                <w:kern w:val="0"/>
                <w:sz w:val="24"/>
                <w:szCs w:val="24"/>
              </w:rPr>
              <w:t>条款号</w:t>
            </w:r>
          </w:p>
        </w:tc>
        <w:tc>
          <w:tcPr>
            <w:tcW w:w="1914" w:type="dxa"/>
            <w:noWrap w:val="0"/>
            <w:tcMar>
              <w:left w:w="57" w:type="dxa"/>
              <w:right w:w="57" w:type="dxa"/>
            </w:tcMar>
            <w:vAlign w:val="center"/>
          </w:tcPr>
          <w:p w14:paraId="7FEE84E9">
            <w:pPr>
              <w:pageBreakBefore w:val="0"/>
              <w:overflowPunct/>
              <w:bidi w:val="0"/>
              <w:spacing w:line="360" w:lineRule="auto"/>
              <w:jc w:val="center"/>
              <w:rPr>
                <w:rFonts w:hint="eastAsia" w:ascii="宋体" w:hAnsi="宋体" w:eastAsia="宋体" w:cs="宋体"/>
                <w:kern w:val="0"/>
                <w:sz w:val="24"/>
                <w:szCs w:val="24"/>
              </w:rPr>
            </w:pPr>
            <w:r>
              <w:rPr>
                <w:rFonts w:hint="eastAsia" w:ascii="宋体" w:hAnsi="宋体" w:eastAsia="宋体" w:cs="宋体"/>
                <w:b/>
                <w:kern w:val="0"/>
                <w:sz w:val="24"/>
                <w:szCs w:val="24"/>
              </w:rPr>
              <w:t>评分因素</w:t>
            </w:r>
          </w:p>
        </w:tc>
        <w:tc>
          <w:tcPr>
            <w:tcW w:w="5701" w:type="dxa"/>
            <w:noWrap w:val="0"/>
            <w:tcMar>
              <w:left w:w="57" w:type="dxa"/>
              <w:right w:w="57" w:type="dxa"/>
            </w:tcMar>
            <w:vAlign w:val="center"/>
          </w:tcPr>
          <w:p w14:paraId="07F65A72">
            <w:pPr>
              <w:pageBreakBefore w:val="0"/>
              <w:overflowPunct/>
              <w:bidi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评分标准</w:t>
            </w:r>
          </w:p>
        </w:tc>
      </w:tr>
      <w:tr w14:paraId="42E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9" w:type="dxa"/>
            <w:noWrap w:val="0"/>
            <w:tcMar>
              <w:left w:w="57" w:type="dxa"/>
              <w:right w:w="57" w:type="dxa"/>
            </w:tcMar>
            <w:vAlign w:val="center"/>
          </w:tcPr>
          <w:p w14:paraId="73275CBD">
            <w:pPr>
              <w:pageBreakBefore w:val="0"/>
              <w:overflowPunct/>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w:t>
            </w:r>
          </w:p>
        </w:tc>
        <w:tc>
          <w:tcPr>
            <w:tcW w:w="1362" w:type="dxa"/>
            <w:noWrap w:val="0"/>
            <w:tcMar>
              <w:left w:w="57" w:type="dxa"/>
              <w:right w:w="57" w:type="dxa"/>
            </w:tcMar>
            <w:vAlign w:val="center"/>
          </w:tcPr>
          <w:p w14:paraId="6C82E2CA">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410D8A7C">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55F26D24">
            <w:pPr>
              <w:pageBreakBefore w:val="0"/>
              <w:overflowPunct/>
              <w:bidi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（20分）</w:t>
            </w:r>
          </w:p>
        </w:tc>
        <w:tc>
          <w:tcPr>
            <w:tcW w:w="1914" w:type="dxa"/>
            <w:noWrap w:val="0"/>
            <w:tcMar>
              <w:left w:w="57" w:type="dxa"/>
              <w:right w:w="57" w:type="dxa"/>
            </w:tcMar>
            <w:vAlign w:val="center"/>
          </w:tcPr>
          <w:p w14:paraId="7807F81B">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1B58141F">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54B5C455">
            <w:pPr>
              <w:pStyle w:val="24"/>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（20分）</w:t>
            </w:r>
          </w:p>
        </w:tc>
        <w:tc>
          <w:tcPr>
            <w:tcW w:w="5701" w:type="dxa"/>
            <w:noWrap w:val="0"/>
            <w:tcMar>
              <w:left w:w="57" w:type="dxa"/>
              <w:right w:w="57" w:type="dxa"/>
            </w:tcMar>
            <w:vAlign w:val="center"/>
          </w:tcPr>
          <w:p w14:paraId="20650C27">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1、超出采购人最高限价的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报价为无效报价、按废标处理。</w:t>
            </w:r>
          </w:p>
          <w:p w14:paraId="28F02B8A">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2、所有未进入详细评审的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为无效</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，其报价不作为评分依据。</w:t>
            </w:r>
          </w:p>
          <w:p w14:paraId="04CC2945">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3、价格分统一采用低价优先法计算，既满足</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文件要求且</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价格最低的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报价为评标基准价，其价格分为满分。其他供应商的价格分统一按照下列公式计算：</w:t>
            </w:r>
          </w:p>
          <w:p w14:paraId="7443F2EE">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磋商报价超出最高限价的，采购人不予接受，且磋商为无效标。磋商报价得分：价格分采用低价优先法计算，即满足竞争性磋商文件要求且磋商价格最低的磋商报价为评标基准价，得20分，其他磋商供应商的价格分按照下列公式计算：</w:t>
            </w:r>
          </w:p>
          <w:p w14:paraId="0D64A2D5">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报价得分=（评标基准价/磋商报价）×20×100%</w:t>
            </w:r>
          </w:p>
          <w:p w14:paraId="3F153578">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1.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F939BF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2.如</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sz w:val="24"/>
                <w:szCs w:val="24"/>
              </w:rPr>
              <w:t>一致认为</w:t>
            </w:r>
            <w:r>
              <w:rPr>
                <w:rFonts w:hint="eastAsia" w:ascii="宋体" w:hAnsi="宋体" w:cs="宋体"/>
                <w:sz w:val="24"/>
                <w:szCs w:val="24"/>
                <w:lang w:eastAsia="zh-CN"/>
              </w:rPr>
              <w:t>响应</w:t>
            </w:r>
            <w:r>
              <w:rPr>
                <w:rFonts w:hint="eastAsia" w:ascii="宋体" w:hAnsi="宋体" w:eastAsia="宋体" w:cs="宋体"/>
                <w:sz w:val="24"/>
                <w:szCs w:val="24"/>
              </w:rPr>
              <w:t>报价明显低于其他通过符合性审查</w:t>
            </w:r>
            <w:r>
              <w:rPr>
                <w:rFonts w:hint="eastAsia" w:ascii="宋体" w:hAnsi="宋体" w:cs="宋体"/>
                <w:sz w:val="24"/>
                <w:szCs w:val="24"/>
                <w:lang w:eastAsia="zh-CN"/>
              </w:rPr>
              <w:t>响应</w:t>
            </w:r>
            <w:r>
              <w:rPr>
                <w:rFonts w:hint="eastAsia" w:ascii="宋体" w:hAnsi="宋体" w:eastAsia="宋体" w:cs="宋体"/>
                <w:sz w:val="24"/>
                <w:szCs w:val="24"/>
              </w:rPr>
              <w:t>供应商的报价，有可能影响产品质量或者不能诚信履约的，应当要求其在评标现场合理的时间内提供说明资料，必要时提交相关证明材料；</w:t>
            </w:r>
            <w:r>
              <w:rPr>
                <w:rFonts w:hint="eastAsia" w:ascii="宋体" w:hAnsi="宋体" w:cs="宋体"/>
                <w:sz w:val="24"/>
                <w:szCs w:val="24"/>
                <w:lang w:eastAsia="zh-CN"/>
              </w:rPr>
              <w:t>响应</w:t>
            </w:r>
            <w:r>
              <w:rPr>
                <w:rFonts w:hint="eastAsia" w:ascii="宋体" w:hAnsi="宋体" w:eastAsia="宋体" w:cs="宋体"/>
                <w:sz w:val="24"/>
                <w:szCs w:val="24"/>
              </w:rPr>
              <w:t>供应商不能证明其报价合理性的，经</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sz w:val="24"/>
                <w:szCs w:val="24"/>
              </w:rPr>
              <w:t>取得一致意见后，</w:t>
            </w:r>
            <w:r>
              <w:rPr>
                <w:rFonts w:hint="eastAsia" w:ascii="宋体" w:hAnsi="宋体" w:cs="宋体"/>
                <w:sz w:val="24"/>
                <w:szCs w:val="24"/>
                <w:lang w:eastAsia="zh-CN"/>
              </w:rPr>
              <w:t>磋商小组</w:t>
            </w:r>
            <w:r>
              <w:rPr>
                <w:rFonts w:hint="eastAsia" w:ascii="宋体" w:hAnsi="宋体" w:eastAsia="宋体" w:cs="宋体"/>
                <w:sz w:val="24"/>
                <w:szCs w:val="24"/>
              </w:rPr>
              <w:t>应当将其作为无效</w:t>
            </w:r>
            <w:r>
              <w:rPr>
                <w:rFonts w:hint="eastAsia" w:ascii="宋体" w:hAnsi="宋体" w:cs="宋体"/>
                <w:sz w:val="24"/>
                <w:szCs w:val="24"/>
                <w:lang w:eastAsia="zh-CN"/>
              </w:rPr>
              <w:t>响应</w:t>
            </w:r>
            <w:r>
              <w:rPr>
                <w:rFonts w:hint="eastAsia" w:ascii="宋体" w:hAnsi="宋体" w:eastAsia="宋体" w:cs="宋体"/>
                <w:sz w:val="24"/>
                <w:szCs w:val="24"/>
              </w:rPr>
              <w:t>处理。</w:t>
            </w:r>
          </w:p>
        </w:tc>
      </w:tr>
      <w:tr w14:paraId="7964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9" w:type="dxa"/>
            <w:vMerge w:val="restart"/>
            <w:noWrap w:val="0"/>
            <w:tcMar>
              <w:left w:w="57" w:type="dxa"/>
              <w:right w:w="57" w:type="dxa"/>
            </w:tcMar>
            <w:vAlign w:val="center"/>
          </w:tcPr>
          <w:p w14:paraId="6562E5F2">
            <w:pPr>
              <w:pageBreakBefore w:val="0"/>
              <w:overflowPunct/>
              <w:bidi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 (2)</w:t>
            </w:r>
          </w:p>
        </w:tc>
        <w:tc>
          <w:tcPr>
            <w:tcW w:w="1362" w:type="dxa"/>
            <w:vMerge w:val="restart"/>
            <w:noWrap w:val="0"/>
            <w:tcMar>
              <w:left w:w="57" w:type="dxa"/>
              <w:right w:w="57" w:type="dxa"/>
            </w:tcMar>
            <w:vAlign w:val="center"/>
          </w:tcPr>
          <w:p w14:paraId="60A1247C">
            <w:pPr>
              <w:pageBreakBefore w:val="0"/>
              <w:overflowPunct/>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技术标评分（</w:t>
            </w:r>
            <w:r>
              <w:rPr>
                <w:rFonts w:hint="eastAsia" w:ascii="宋体" w:hAnsi="宋体" w:cs="宋体"/>
                <w:sz w:val="24"/>
                <w:szCs w:val="24"/>
                <w:lang w:val="en-US" w:eastAsia="zh-CN"/>
              </w:rPr>
              <w:t>55</w:t>
            </w:r>
            <w:r>
              <w:rPr>
                <w:rFonts w:hint="eastAsia" w:ascii="宋体" w:hAnsi="宋体" w:eastAsia="宋体" w:cs="宋体"/>
                <w:sz w:val="24"/>
                <w:szCs w:val="24"/>
              </w:rPr>
              <w:t>分）</w:t>
            </w:r>
          </w:p>
        </w:tc>
        <w:tc>
          <w:tcPr>
            <w:tcW w:w="1914" w:type="dxa"/>
            <w:noWrap w:val="0"/>
            <w:tcMar>
              <w:left w:w="57" w:type="dxa"/>
              <w:right w:w="57" w:type="dxa"/>
            </w:tcMar>
            <w:vAlign w:val="center"/>
          </w:tcPr>
          <w:p w14:paraId="771DFA6A">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sz w:val="24"/>
                <w:szCs w:val="24"/>
                <w:lang w:eastAsia="zh-CN"/>
              </w:rPr>
              <w:t>项目整体实施方案（</w:t>
            </w:r>
            <w:r>
              <w:rPr>
                <w:rFonts w:hint="eastAsia" w:ascii="宋体" w:hAnsi="宋体" w:cs="宋体"/>
                <w:sz w:val="24"/>
                <w:szCs w:val="24"/>
                <w:lang w:val="en-US" w:eastAsia="zh-CN"/>
              </w:rPr>
              <w:t>25分）</w:t>
            </w:r>
          </w:p>
        </w:tc>
        <w:tc>
          <w:tcPr>
            <w:tcW w:w="5701" w:type="dxa"/>
            <w:noWrap w:val="0"/>
            <w:tcMar>
              <w:left w:w="57" w:type="dxa"/>
              <w:right w:w="57" w:type="dxa"/>
            </w:tcMar>
            <w:vAlign w:val="center"/>
          </w:tcPr>
          <w:p w14:paraId="17638E24">
            <w:pPr>
              <w:keepNext w:val="0"/>
              <w:keepLines w:val="0"/>
              <w:pageBreakBefore w:val="0"/>
              <w:numPr>
                <w:ilvl w:val="0"/>
                <w:numId w:val="1"/>
              </w:numPr>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项目理解与思路：精准把握湖滨区校园消防历史遗留问题特点，明确评定工作核心目标与重难点，思路清晰、定位准确得5分；理解基本到位但重难点分析不足得3分；理解浅显、思路模糊得1分；</w:t>
            </w:r>
          </w:p>
          <w:p w14:paraId="258ABC58">
            <w:pPr>
              <w:keepNext w:val="0"/>
              <w:keepLines w:val="0"/>
              <w:pageBreakBefore w:val="0"/>
              <w:numPr>
                <w:ilvl w:val="0"/>
                <w:numId w:val="1"/>
              </w:numPr>
              <w:kinsoku/>
              <w:wordWrap/>
              <w:overflowPunct/>
              <w:topLinePunct w:val="0"/>
              <w:autoSpaceDE/>
              <w:autoSpaceDN/>
              <w:bidi w:val="0"/>
              <w:spacing w:beforeAutospacing="0"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工作流程设计：流程涵盖现场勘查、数据采集、标准比对、问题判定、报告编制等全环节，且针对校园场景优化（如错峰勘查避免影响教学）得</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分；流程完整但无针对性优化得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分；流程简略、逻辑不连贯得1分；</w:t>
            </w:r>
          </w:p>
          <w:p w14:paraId="56CED94C">
            <w:pPr>
              <w:keepNext w:val="0"/>
              <w:keepLines w:val="0"/>
              <w:pageBreakBefore w:val="0"/>
              <w:numPr>
                <w:ilvl w:val="0"/>
                <w:numId w:val="1"/>
              </w:numPr>
              <w:kinsoku/>
              <w:wordWrap/>
              <w:overflowPunct/>
              <w:topLinePunct w:val="0"/>
              <w:autoSpaceDE/>
              <w:autoSpaceDN/>
              <w:bidi w:val="0"/>
              <w:spacing w:beforeAutospacing="0"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进度计划：结合服务期限制定细化到周的进度表，明确各阶段时间节点、人员分工及交付成果，得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分；有进度计划但未细化或分工不明确得2分；仅提及总工期未做分解得0分；</w:t>
            </w:r>
          </w:p>
          <w:p w14:paraId="3D7D26F2">
            <w:pPr>
              <w:keepNext w:val="0"/>
              <w:keepLines w:val="0"/>
              <w:pageBreakBefore w:val="0"/>
              <w:numPr>
                <w:ilvl w:val="0"/>
                <w:numId w:val="1"/>
              </w:numPr>
              <w:kinsoku/>
              <w:wordWrap/>
              <w:overflowPunct/>
              <w:topLinePunct w:val="0"/>
              <w:autoSpaceDE/>
              <w:autoSpaceDN/>
              <w:bidi w:val="0"/>
              <w:spacing w:beforeAutospacing="0"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沟通协调机制：建立与校方、教体局的双向沟</w:t>
            </w:r>
          </w:p>
          <w:p w14:paraId="56154A4F">
            <w:pPr>
              <w:keepNext w:val="0"/>
              <w:keepLines w:val="0"/>
              <w:pageBreakBefore w:val="0"/>
              <w:numPr>
                <w:ilvl w:val="0"/>
                <w:numId w:val="0"/>
              </w:numPr>
              <w:kinsoku/>
              <w:wordWrap/>
              <w:overflowPunct/>
              <w:topLinePunct w:val="0"/>
              <w:autoSpaceDE/>
              <w:autoSpaceDN/>
              <w:bidi w:val="0"/>
              <w:spacing w:beforeAutospacing="0"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通机制，明确沟通频率、方式及问题反馈流程，得5分；有基本沟通计划但机制不健全得2分；未提及沟通协调内容得0分。</w:t>
            </w:r>
          </w:p>
        </w:tc>
      </w:tr>
      <w:tr w14:paraId="2308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noWrap w:val="0"/>
            <w:tcMar>
              <w:left w:w="57" w:type="dxa"/>
              <w:right w:w="57" w:type="dxa"/>
            </w:tcMar>
            <w:vAlign w:val="center"/>
          </w:tcPr>
          <w:p w14:paraId="657798F7">
            <w:pPr>
              <w:pageBreakBefore w:val="0"/>
              <w:overflowPunct/>
              <w:bidi w:val="0"/>
              <w:spacing w:line="360" w:lineRule="auto"/>
              <w:jc w:val="center"/>
              <w:rPr>
                <w:rFonts w:hint="eastAsia" w:ascii="宋体" w:hAnsi="宋体" w:eastAsia="宋体" w:cs="宋体"/>
                <w:kern w:val="0"/>
                <w:sz w:val="24"/>
                <w:szCs w:val="24"/>
              </w:rPr>
            </w:pPr>
          </w:p>
        </w:tc>
        <w:tc>
          <w:tcPr>
            <w:tcW w:w="1362" w:type="dxa"/>
            <w:vMerge w:val="continue"/>
            <w:noWrap w:val="0"/>
            <w:tcMar>
              <w:left w:w="57" w:type="dxa"/>
              <w:right w:w="57" w:type="dxa"/>
            </w:tcMar>
            <w:vAlign w:val="center"/>
          </w:tcPr>
          <w:p w14:paraId="21C4FAA7">
            <w:pPr>
              <w:pageBreakBefore w:val="0"/>
              <w:overflowPunct/>
              <w:bidi w:val="0"/>
              <w:spacing w:line="360" w:lineRule="auto"/>
              <w:jc w:val="center"/>
              <w:rPr>
                <w:rFonts w:hint="eastAsia" w:ascii="宋体" w:hAnsi="宋体" w:eastAsia="宋体" w:cs="宋体"/>
                <w:kern w:val="0"/>
                <w:sz w:val="24"/>
                <w:szCs w:val="24"/>
              </w:rPr>
            </w:pPr>
          </w:p>
        </w:tc>
        <w:tc>
          <w:tcPr>
            <w:tcW w:w="1914" w:type="dxa"/>
            <w:noWrap w:val="0"/>
            <w:tcMar>
              <w:left w:w="57" w:type="dxa"/>
              <w:right w:w="57" w:type="dxa"/>
            </w:tcMar>
            <w:vAlign w:val="center"/>
          </w:tcPr>
          <w:p w14:paraId="75F983DF">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kern w:val="0"/>
                <w:sz w:val="24"/>
                <w:szCs w:val="24"/>
              </w:rPr>
            </w:pPr>
            <w:r>
              <w:rPr>
                <w:rFonts w:hint="eastAsia" w:ascii="宋体" w:hAnsi="宋体" w:cs="宋体"/>
                <w:sz w:val="24"/>
                <w:szCs w:val="24"/>
                <w:lang w:eastAsia="zh-CN"/>
              </w:rPr>
              <w:t>成果输出与质量保障（</w:t>
            </w:r>
            <w:r>
              <w:rPr>
                <w:rFonts w:hint="eastAsia" w:ascii="宋体" w:hAnsi="宋体" w:cs="宋体"/>
                <w:sz w:val="24"/>
                <w:szCs w:val="24"/>
                <w:lang w:val="en-US" w:eastAsia="zh-CN"/>
              </w:rPr>
              <w:t>20分）</w:t>
            </w:r>
          </w:p>
          <w:p w14:paraId="219D3D8F">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color w:val="000000"/>
                <w:sz w:val="24"/>
                <w:szCs w:val="24"/>
              </w:rPr>
            </w:pPr>
          </w:p>
        </w:tc>
        <w:tc>
          <w:tcPr>
            <w:tcW w:w="5701" w:type="dxa"/>
            <w:noWrap w:val="0"/>
            <w:tcMar>
              <w:left w:w="57" w:type="dxa"/>
              <w:right w:w="57" w:type="dxa"/>
            </w:tcMar>
            <w:vAlign w:val="center"/>
          </w:tcPr>
          <w:p w14:paraId="32CB5C0E">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 成果形式：明确输出《现场评定总报告》《单校问题清单》《整改建议方案》等成果，报告内容涵盖数据汇总、问题分析、整改优先级排序得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分；成果形式完整但内容说明简略得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分；仅提及报告名称得0分；</w:t>
            </w:r>
          </w:p>
          <w:p w14:paraId="0DC376A6">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 质量控制：建立“现场人员自检-项目负责人复检-技术总监终审”三级质控流程，明确各环节审核要点与纠错机制得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分；有质控措施但流程不完整得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分；无质控说明得0分；</w:t>
            </w:r>
          </w:p>
          <w:p w14:paraId="69ED4A62">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 后续服务：承诺为招标人提供报告解读、整改技术咨询（服务期不少于6个月），响应时间≤24小时得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分；有服务承诺但期限或响应时间不满足得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分；无后续服务承诺得0分。</w:t>
            </w:r>
          </w:p>
        </w:tc>
      </w:tr>
      <w:tr w14:paraId="254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452AB370">
            <w:pPr>
              <w:pageBreakBefore w:val="0"/>
              <w:overflowPunct/>
              <w:bidi w:val="0"/>
              <w:spacing w:line="360" w:lineRule="auto"/>
              <w:jc w:val="center"/>
              <w:rPr>
                <w:rFonts w:hint="eastAsia" w:ascii="宋体" w:hAnsi="宋体" w:eastAsia="宋体" w:cs="宋体"/>
                <w:kern w:val="0"/>
                <w:sz w:val="24"/>
                <w:szCs w:val="24"/>
              </w:rPr>
            </w:pPr>
          </w:p>
        </w:tc>
        <w:tc>
          <w:tcPr>
            <w:tcW w:w="1362" w:type="dxa"/>
            <w:vMerge w:val="continue"/>
            <w:noWrap w:val="0"/>
            <w:tcMar>
              <w:left w:w="57" w:type="dxa"/>
              <w:right w:w="57" w:type="dxa"/>
            </w:tcMar>
            <w:vAlign w:val="center"/>
          </w:tcPr>
          <w:p w14:paraId="79E292FA">
            <w:pPr>
              <w:pageBreakBefore w:val="0"/>
              <w:overflowPunct/>
              <w:bidi w:val="0"/>
              <w:spacing w:line="360" w:lineRule="auto"/>
              <w:jc w:val="center"/>
              <w:rPr>
                <w:rFonts w:hint="eastAsia" w:ascii="宋体" w:hAnsi="宋体" w:eastAsia="宋体" w:cs="宋体"/>
                <w:kern w:val="0"/>
                <w:sz w:val="24"/>
                <w:szCs w:val="24"/>
              </w:rPr>
            </w:pPr>
          </w:p>
        </w:tc>
        <w:tc>
          <w:tcPr>
            <w:tcW w:w="1914" w:type="dxa"/>
            <w:noWrap w:val="0"/>
            <w:tcMar>
              <w:left w:w="57" w:type="dxa"/>
              <w:right w:w="57" w:type="dxa"/>
            </w:tcMar>
            <w:vAlign w:val="center"/>
          </w:tcPr>
          <w:p w14:paraId="041C696D">
            <w:pPr>
              <w:keepNext w:val="0"/>
              <w:keepLines w:val="0"/>
              <w:widowControl/>
              <w:suppressLineNumbers w:val="0"/>
              <w:jc w:val="left"/>
              <w:rPr>
                <w:rFonts w:hint="eastAsia" w:ascii="宋体" w:hAnsi="宋体" w:eastAsia="宋体" w:cs="宋体"/>
                <w:color w:val="000000"/>
                <w:kern w:val="0"/>
                <w:sz w:val="24"/>
                <w:szCs w:val="24"/>
                <w:lang w:val="en-US" w:eastAsia="zh-CN" w:bidi="ar-SA"/>
              </w:rPr>
            </w:pPr>
            <w:r>
              <w:rPr>
                <w:rFonts w:ascii="宋体" w:hAnsi="宋体" w:eastAsia="宋体" w:cs="宋体"/>
                <w:kern w:val="0"/>
                <w:sz w:val="24"/>
                <w:szCs w:val="24"/>
                <w:lang w:val="en-US" w:eastAsia="zh-CN" w:bidi="ar"/>
              </w:rPr>
              <w:t>应急保障方案</w:t>
            </w:r>
            <w:r>
              <w:rPr>
                <w:rFonts w:hint="eastAsia" w:ascii="宋体" w:hAnsi="宋体" w:cs="宋体"/>
                <w:sz w:val="24"/>
                <w:szCs w:val="24"/>
                <w:lang w:eastAsia="zh-CN"/>
              </w:rPr>
              <w:t>（</w:t>
            </w:r>
            <w:r>
              <w:rPr>
                <w:rFonts w:hint="eastAsia" w:ascii="宋体" w:hAnsi="宋体" w:cs="宋体"/>
                <w:sz w:val="24"/>
                <w:szCs w:val="24"/>
                <w:lang w:val="en-US" w:eastAsia="zh-CN"/>
              </w:rPr>
              <w:t>10分）</w:t>
            </w:r>
          </w:p>
        </w:tc>
        <w:tc>
          <w:tcPr>
            <w:tcW w:w="5701" w:type="dxa"/>
            <w:noWrap w:val="0"/>
            <w:tcMar>
              <w:left w:w="57" w:type="dxa"/>
              <w:right w:w="57" w:type="dxa"/>
            </w:tcMar>
            <w:vAlign w:val="center"/>
          </w:tcPr>
          <w:p w14:paraId="240B13C1">
            <w:pPr>
              <w:keepNext w:val="0"/>
              <w:keepLines w:val="0"/>
              <w:pageBreakBefore w:val="0"/>
              <w:numPr>
                <w:ilvl w:val="0"/>
                <w:numId w:val="2"/>
              </w:numPr>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针对现场勘查中可能出现的突发情况（如设备故障、校园临时活动）制定应急处置方案，措施具体可行得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分；方案基本完整但针对性不足得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分；无应急方案得0分；</w:t>
            </w:r>
          </w:p>
          <w:p w14:paraId="5A768ECD">
            <w:pPr>
              <w:keepNext w:val="0"/>
              <w:keepLines w:val="0"/>
              <w:pageBreakBefore w:val="0"/>
              <w:numPr>
                <w:ilvl w:val="0"/>
                <w:numId w:val="0"/>
              </w:numPr>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 明确应急联络人及备用技术人员，确保突发情况下工作连续开展得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分；未明确联络机制或备用人员得0分。</w:t>
            </w:r>
          </w:p>
        </w:tc>
      </w:tr>
      <w:tr w14:paraId="000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A3F1F63">
            <w:pPr>
              <w:pageBreakBefore w:val="0"/>
              <w:overflowPunct/>
              <w:bidi w:val="0"/>
              <w:spacing w:line="360" w:lineRule="auto"/>
              <w:jc w:val="center"/>
              <w:rPr>
                <w:rFonts w:hint="eastAsia" w:ascii="宋体" w:hAnsi="宋体" w:eastAsia="宋体" w:cs="宋体"/>
                <w:kern w:val="0"/>
                <w:sz w:val="24"/>
                <w:szCs w:val="24"/>
              </w:rPr>
            </w:pPr>
          </w:p>
        </w:tc>
        <w:tc>
          <w:tcPr>
            <w:tcW w:w="1362" w:type="dxa"/>
            <w:vMerge w:val="continue"/>
            <w:noWrap w:val="0"/>
            <w:tcMar>
              <w:left w:w="57" w:type="dxa"/>
              <w:right w:w="57" w:type="dxa"/>
            </w:tcMar>
            <w:vAlign w:val="center"/>
          </w:tcPr>
          <w:p w14:paraId="0A2B4506">
            <w:pPr>
              <w:pageBreakBefore w:val="0"/>
              <w:overflowPunct/>
              <w:bidi w:val="0"/>
              <w:spacing w:line="360" w:lineRule="auto"/>
              <w:jc w:val="center"/>
              <w:rPr>
                <w:rFonts w:hint="eastAsia" w:ascii="宋体" w:hAnsi="宋体" w:eastAsia="宋体" w:cs="宋体"/>
                <w:kern w:val="0"/>
                <w:sz w:val="24"/>
                <w:szCs w:val="24"/>
              </w:rPr>
            </w:pPr>
          </w:p>
        </w:tc>
        <w:tc>
          <w:tcPr>
            <w:tcW w:w="7615" w:type="dxa"/>
            <w:gridSpan w:val="2"/>
            <w:noWrap w:val="0"/>
            <w:tcMar>
              <w:left w:w="57" w:type="dxa"/>
              <w:right w:w="57" w:type="dxa"/>
            </w:tcMar>
            <w:vAlign w:val="center"/>
          </w:tcPr>
          <w:p w14:paraId="614404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cs="宋体"/>
                <w:color w:val="000000"/>
                <w:sz w:val="24"/>
                <w:szCs w:val="24"/>
                <w:lang w:val="en-US" w:eastAsia="zh-CN"/>
              </w:rPr>
              <w:t>磋商小组</w:t>
            </w:r>
            <w:r>
              <w:rPr>
                <w:rFonts w:hint="eastAsia" w:ascii="宋体" w:hAnsi="宋体" w:eastAsia="宋体" w:cs="宋体"/>
                <w:color w:val="000000"/>
                <w:sz w:val="24"/>
                <w:szCs w:val="24"/>
                <w:lang w:val="en-US" w:eastAsia="zh-CN"/>
              </w:rPr>
              <w:t>将根据</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人技术部分编制水平，酌情给予打分。如有缺项，则该项按零分处理。</w:t>
            </w:r>
          </w:p>
        </w:tc>
      </w:tr>
      <w:tr w14:paraId="24FD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9" w:type="dxa"/>
            <w:vMerge w:val="restart"/>
            <w:noWrap w:val="0"/>
            <w:tcMar>
              <w:left w:w="57" w:type="dxa"/>
              <w:right w:w="57" w:type="dxa"/>
            </w:tcMar>
            <w:vAlign w:val="center"/>
          </w:tcPr>
          <w:p w14:paraId="1392361D">
            <w:pPr>
              <w:pageBreakBefore w:val="0"/>
              <w:overflowPunct/>
              <w:bidi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2.2.</w:t>
            </w:r>
            <w:r>
              <w:rPr>
                <w:rFonts w:hint="eastAsia" w:ascii="宋体" w:hAnsi="宋体" w:eastAsia="宋体" w:cs="宋体"/>
                <w:kern w:val="0"/>
                <w:sz w:val="24"/>
                <w:szCs w:val="24"/>
                <w:lang w:val="en-US" w:eastAsia="zh-CN"/>
              </w:rPr>
              <w:t>2</w:t>
            </w:r>
          </w:p>
          <w:p w14:paraId="685D01F3">
            <w:pPr>
              <w:pageBreakBefore w:val="0"/>
              <w:overflowPunct/>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62" w:type="dxa"/>
            <w:vMerge w:val="restart"/>
            <w:noWrap w:val="0"/>
            <w:tcMar>
              <w:left w:w="57" w:type="dxa"/>
              <w:right w:w="57" w:type="dxa"/>
            </w:tcMar>
            <w:vAlign w:val="center"/>
          </w:tcPr>
          <w:p w14:paraId="69CB509E">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商务</w:t>
            </w:r>
            <w:r>
              <w:rPr>
                <w:rFonts w:hint="eastAsia" w:ascii="宋体" w:hAnsi="宋体" w:eastAsia="宋体" w:cs="宋体"/>
                <w:sz w:val="24"/>
                <w:szCs w:val="24"/>
              </w:rPr>
              <w:t>标评分</w:t>
            </w:r>
          </w:p>
          <w:p w14:paraId="4956E851">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25</w:t>
            </w:r>
            <w:r>
              <w:rPr>
                <w:rFonts w:hint="eastAsia" w:ascii="宋体" w:hAnsi="宋体" w:eastAsia="宋体" w:cs="宋体"/>
                <w:sz w:val="24"/>
                <w:szCs w:val="24"/>
              </w:rPr>
              <w:t>分）</w:t>
            </w:r>
          </w:p>
        </w:tc>
        <w:tc>
          <w:tcPr>
            <w:tcW w:w="1914" w:type="dxa"/>
            <w:noWrap w:val="0"/>
            <w:tcMar>
              <w:left w:w="57" w:type="dxa"/>
              <w:right w:w="57" w:type="dxa"/>
            </w:tcMar>
            <w:vAlign w:val="center"/>
          </w:tcPr>
          <w:p w14:paraId="7364D321">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sz w:val="24"/>
                <w:szCs w:val="24"/>
              </w:rPr>
              <w:t>业绩</w:t>
            </w:r>
            <w:r>
              <w:rPr>
                <w:rFonts w:hint="eastAsia" w:ascii="宋体" w:hAnsi="宋体" w:cs="宋体"/>
                <w:sz w:val="24"/>
                <w:szCs w:val="24"/>
                <w:lang w:eastAsia="zh-CN"/>
              </w:rPr>
              <w:t>（</w:t>
            </w:r>
            <w:r>
              <w:rPr>
                <w:rFonts w:hint="eastAsia" w:ascii="宋体" w:hAnsi="宋体" w:cs="宋体"/>
                <w:sz w:val="24"/>
                <w:szCs w:val="24"/>
                <w:lang w:val="en-US" w:eastAsia="zh-CN"/>
              </w:rPr>
              <w:t>10分）</w:t>
            </w:r>
          </w:p>
        </w:tc>
        <w:tc>
          <w:tcPr>
            <w:tcW w:w="5701" w:type="dxa"/>
            <w:noWrap w:val="0"/>
            <w:tcMar>
              <w:left w:w="57" w:type="dxa"/>
              <w:right w:w="57" w:type="dxa"/>
            </w:tcMar>
            <w:vAlign w:val="top"/>
          </w:tcPr>
          <w:p w14:paraId="7B0BBCC9">
            <w:pPr>
              <w:keepNext w:val="0"/>
              <w:keepLines w:val="0"/>
              <w:pageBreakBefore w:val="0"/>
              <w:kinsoku/>
              <w:wordWrap/>
              <w:overflowPunct/>
              <w:topLinePunct w:val="0"/>
              <w:autoSpaceDE/>
              <w:autoSpaceDN/>
              <w:bidi w:val="0"/>
              <w:spacing w:beforeAutospacing="0"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供应商自202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1月1日</w:t>
            </w:r>
            <w:r>
              <w:rPr>
                <w:rFonts w:hint="eastAsia" w:ascii="宋体" w:hAnsi="宋体" w:eastAsia="宋体" w:cs="宋体"/>
                <w:sz w:val="24"/>
                <w:szCs w:val="24"/>
                <w:highlight w:val="none"/>
              </w:rPr>
              <w:t>以来（以合同签订时间为准）具有</w:t>
            </w:r>
            <w:r>
              <w:rPr>
                <w:rFonts w:hint="eastAsia" w:ascii="宋体" w:hAnsi="宋体" w:cs="宋体"/>
                <w:sz w:val="24"/>
                <w:szCs w:val="24"/>
                <w:highlight w:val="none"/>
                <w:lang w:val="en-US" w:eastAsia="zh-CN"/>
              </w:rPr>
              <w:t>类似项目业绩</w:t>
            </w:r>
            <w:r>
              <w:rPr>
                <w:rFonts w:hint="eastAsia" w:ascii="宋体" w:hAnsi="宋体" w:eastAsia="宋体" w:cs="宋体"/>
                <w:sz w:val="24"/>
                <w:szCs w:val="24"/>
                <w:highlight w:val="none"/>
              </w:rPr>
              <w:t>，每个项目得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分，最多得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响应</w:t>
            </w:r>
            <w:r>
              <w:rPr>
                <w:rFonts w:hint="eastAsia" w:ascii="宋体" w:hAnsi="宋体" w:eastAsia="宋体" w:cs="宋体"/>
                <w:sz w:val="24"/>
                <w:szCs w:val="24"/>
                <w:highlight w:val="none"/>
              </w:rPr>
              <w:t>文件提供合同</w:t>
            </w:r>
            <w:r>
              <w:rPr>
                <w:rFonts w:hint="eastAsia" w:ascii="宋体" w:hAnsi="宋体" w:eastAsia="宋体" w:cs="宋体"/>
                <w:sz w:val="24"/>
                <w:szCs w:val="24"/>
                <w:highlight w:val="none"/>
                <w:lang w:val="en-US" w:eastAsia="zh-CN"/>
              </w:rPr>
              <w:t>首页及盖章页</w:t>
            </w:r>
            <w:r>
              <w:rPr>
                <w:rFonts w:hint="eastAsia" w:ascii="宋体" w:hAnsi="宋体" w:eastAsia="宋体" w:cs="宋体"/>
                <w:sz w:val="24"/>
                <w:szCs w:val="24"/>
                <w:highlight w:val="none"/>
              </w:rPr>
              <w:t>复印件加盖供应商公章，否则不予计分。）</w:t>
            </w:r>
          </w:p>
        </w:tc>
      </w:tr>
      <w:tr w14:paraId="36D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524BEE61">
            <w:pPr>
              <w:pageBreakBefore w:val="0"/>
              <w:overflowPunct/>
              <w:bidi w:val="0"/>
              <w:spacing w:line="360" w:lineRule="auto"/>
              <w:jc w:val="center"/>
              <w:rPr>
                <w:rFonts w:hint="eastAsia" w:ascii="宋体" w:hAnsi="宋体" w:eastAsia="宋体" w:cs="宋体"/>
                <w:kern w:val="0"/>
                <w:sz w:val="24"/>
                <w:szCs w:val="24"/>
              </w:rPr>
            </w:pPr>
          </w:p>
        </w:tc>
        <w:tc>
          <w:tcPr>
            <w:tcW w:w="1362" w:type="dxa"/>
            <w:vMerge w:val="continue"/>
            <w:noWrap w:val="0"/>
            <w:tcMar>
              <w:left w:w="57" w:type="dxa"/>
              <w:right w:w="57" w:type="dxa"/>
            </w:tcMar>
            <w:vAlign w:val="center"/>
          </w:tcPr>
          <w:p w14:paraId="2788A9FE">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203E57FA">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rPr>
              <w:t>服务承诺</w:t>
            </w:r>
            <w:r>
              <w:rPr>
                <w:rFonts w:hint="eastAsia" w:ascii="宋体" w:hAnsi="宋体" w:cs="宋体"/>
                <w:sz w:val="24"/>
                <w:szCs w:val="24"/>
                <w:lang w:eastAsia="zh-CN"/>
              </w:rPr>
              <w:t>（</w:t>
            </w:r>
            <w:r>
              <w:rPr>
                <w:rFonts w:hint="eastAsia" w:ascii="宋体" w:hAnsi="宋体" w:cs="宋体"/>
                <w:sz w:val="24"/>
                <w:szCs w:val="24"/>
                <w:lang w:val="en-US" w:eastAsia="zh-CN"/>
              </w:rPr>
              <w:t>8分）</w:t>
            </w:r>
          </w:p>
        </w:tc>
        <w:tc>
          <w:tcPr>
            <w:tcW w:w="5701" w:type="dxa"/>
            <w:noWrap w:val="0"/>
            <w:tcMar>
              <w:left w:w="57" w:type="dxa"/>
              <w:right w:w="57" w:type="dxa"/>
            </w:tcMar>
            <w:vAlign w:val="top"/>
          </w:tcPr>
          <w:p w14:paraId="2400AA12">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根据供应商针对本项目提供的服务承诺进行综合评审，服务承诺完善，能充分贴合本项目采购需求，针对性强，可行性高的，得</w:t>
            </w:r>
            <w:r>
              <w:rPr>
                <w:rFonts w:hint="eastAsia" w:ascii="宋体" w:hAnsi="宋体" w:cs="宋体"/>
                <w:sz w:val="24"/>
                <w:szCs w:val="24"/>
                <w:lang w:val="en-US" w:eastAsia="zh-CN"/>
              </w:rPr>
              <w:t>18</w:t>
            </w:r>
            <w:r>
              <w:rPr>
                <w:rFonts w:hint="eastAsia" w:ascii="宋体" w:hAnsi="宋体" w:eastAsia="宋体" w:cs="宋体"/>
                <w:sz w:val="24"/>
                <w:szCs w:val="24"/>
              </w:rPr>
              <w:t>分；服务承诺较完善，基本贴合本项目采购需求的，得</w:t>
            </w:r>
            <w:r>
              <w:rPr>
                <w:rFonts w:hint="eastAsia" w:ascii="宋体" w:hAnsi="宋体" w:cs="宋体"/>
                <w:sz w:val="24"/>
                <w:szCs w:val="24"/>
                <w:lang w:val="en-US" w:eastAsia="zh-CN"/>
              </w:rPr>
              <w:t>4</w:t>
            </w:r>
            <w:r>
              <w:rPr>
                <w:rFonts w:hint="eastAsia" w:ascii="宋体" w:hAnsi="宋体" w:eastAsia="宋体" w:cs="宋体"/>
                <w:sz w:val="24"/>
                <w:szCs w:val="24"/>
              </w:rPr>
              <w:t>分；服务承诺跟本项目实际需求不贴合，有较大缺陷的，得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分；未提供的不计分。</w:t>
            </w:r>
          </w:p>
        </w:tc>
      </w:tr>
      <w:tr w14:paraId="022D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7E5C19DB">
            <w:pPr>
              <w:pageBreakBefore w:val="0"/>
              <w:overflowPunct/>
              <w:bidi w:val="0"/>
              <w:spacing w:line="360" w:lineRule="auto"/>
              <w:jc w:val="center"/>
              <w:rPr>
                <w:rFonts w:hint="eastAsia" w:ascii="宋体" w:hAnsi="宋体" w:eastAsia="宋体" w:cs="宋体"/>
                <w:kern w:val="0"/>
                <w:sz w:val="24"/>
                <w:szCs w:val="24"/>
              </w:rPr>
            </w:pPr>
          </w:p>
        </w:tc>
        <w:tc>
          <w:tcPr>
            <w:tcW w:w="1362" w:type="dxa"/>
            <w:vMerge w:val="continue"/>
            <w:noWrap w:val="0"/>
            <w:tcMar>
              <w:left w:w="57" w:type="dxa"/>
              <w:right w:w="57" w:type="dxa"/>
            </w:tcMar>
            <w:vAlign w:val="center"/>
          </w:tcPr>
          <w:p w14:paraId="35FE3EDF">
            <w:pPr>
              <w:pageBreakBefore w:val="0"/>
              <w:overflowPunct/>
              <w:bidi w:val="0"/>
              <w:spacing w:line="360" w:lineRule="auto"/>
              <w:jc w:val="center"/>
              <w:rPr>
                <w:rFonts w:hint="eastAsia" w:ascii="宋体" w:hAnsi="宋体" w:eastAsia="宋体" w:cs="宋体"/>
                <w:sz w:val="24"/>
                <w:szCs w:val="24"/>
              </w:rPr>
            </w:pPr>
          </w:p>
        </w:tc>
        <w:tc>
          <w:tcPr>
            <w:tcW w:w="1914" w:type="dxa"/>
            <w:noWrap w:val="0"/>
            <w:tcMar>
              <w:left w:w="57" w:type="dxa"/>
              <w:right w:w="57" w:type="dxa"/>
            </w:tcMar>
            <w:vAlign w:val="center"/>
          </w:tcPr>
          <w:p w14:paraId="7FD94F8D">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项目团队</w:t>
            </w:r>
            <w:r>
              <w:rPr>
                <w:rFonts w:hint="eastAsia" w:ascii="宋体" w:hAnsi="宋体" w:cs="宋体"/>
                <w:sz w:val="24"/>
                <w:szCs w:val="24"/>
                <w:lang w:eastAsia="zh-CN"/>
              </w:rPr>
              <w:t>（</w:t>
            </w:r>
            <w:r>
              <w:rPr>
                <w:rFonts w:hint="eastAsia" w:ascii="宋体" w:hAnsi="宋体" w:cs="宋体"/>
                <w:sz w:val="24"/>
                <w:szCs w:val="24"/>
                <w:lang w:val="en-US" w:eastAsia="zh-CN"/>
              </w:rPr>
              <w:t>7分）</w:t>
            </w:r>
          </w:p>
        </w:tc>
        <w:tc>
          <w:tcPr>
            <w:tcW w:w="5701" w:type="dxa"/>
            <w:noWrap w:val="0"/>
            <w:tcMar>
              <w:left w:w="57" w:type="dxa"/>
              <w:right w:w="57" w:type="dxa"/>
            </w:tcMar>
            <w:vAlign w:val="top"/>
          </w:tcPr>
          <w:p w14:paraId="26FDC5E0">
            <w:pPr>
              <w:pStyle w:val="6"/>
              <w:keepNext w:val="0"/>
              <w:keepLines w:val="0"/>
              <w:pageBreakBefore w:val="0"/>
              <w:kinsoku/>
              <w:wordWrap/>
              <w:overflowPunct/>
              <w:topLinePunct w:val="0"/>
              <w:autoSpaceDE/>
              <w:autoSpaceDN/>
              <w:bidi w:val="0"/>
              <w:spacing w:beforeAutospacing="0" w:after="0"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针对供应商拟派项目成员进行评审：</w:t>
            </w:r>
          </w:p>
          <w:p w14:paraId="20A07033">
            <w:pPr>
              <w:pageBreakBefore w:val="0"/>
              <w:numPr>
                <w:numId w:val="0"/>
              </w:numPr>
              <w:overflowPunct/>
              <w:bidi w:val="0"/>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成员：团队中</w:t>
            </w:r>
            <w:r>
              <w:rPr>
                <w:rFonts w:hint="eastAsia" w:ascii="宋体" w:hAnsi="宋体" w:cs="宋体"/>
                <w:kern w:val="2"/>
                <w:sz w:val="24"/>
                <w:szCs w:val="24"/>
                <w:highlight w:val="none"/>
                <w:lang w:val="en-US" w:eastAsia="zh-CN" w:bidi="ar-SA"/>
              </w:rPr>
              <w:t>除</w:t>
            </w:r>
            <w:r>
              <w:rPr>
                <w:rFonts w:hint="eastAsia" w:ascii="宋体" w:hAnsi="宋体" w:eastAsia="宋体" w:cs="宋体"/>
                <w:kern w:val="2"/>
                <w:sz w:val="24"/>
                <w:szCs w:val="24"/>
                <w:highlight w:val="none"/>
                <w:lang w:val="en-US" w:eastAsia="zh-CN" w:bidi="ar-SA"/>
              </w:rPr>
              <w:t>项目负责人外</w:t>
            </w:r>
            <w:r>
              <w:rPr>
                <w:rFonts w:hint="eastAsia" w:ascii="宋体" w:hAnsi="宋体" w:eastAsia="宋体" w:cs="宋体"/>
                <w:kern w:val="2"/>
                <w:sz w:val="24"/>
                <w:szCs w:val="24"/>
                <w:highlight w:val="none"/>
                <w:lang w:val="en-US" w:eastAsia="zh-CN" w:bidi="ar-SA"/>
              </w:rPr>
              <w:t>，每有1名一级注册消防工程师加2分，最多加</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分；每有1名持有中级及以上消防设施操作员证书人员加1分，最多加</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w:t>
            </w:r>
          </w:p>
          <w:p w14:paraId="7F2C270F">
            <w:pPr>
              <w:pageBreakBefore w:val="0"/>
              <w:overflowPunct/>
              <w:bidi w:val="0"/>
              <w:spacing w:line="360" w:lineRule="auto"/>
              <w:ind w:firstLine="480" w:firstLineChars="200"/>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需提供团队成员资格证书</w:t>
            </w:r>
            <w:r>
              <w:rPr>
                <w:rFonts w:hint="eastAsia" w:ascii="宋体" w:hAnsi="宋体" w:cs="宋体"/>
                <w:kern w:val="2"/>
                <w:sz w:val="24"/>
                <w:szCs w:val="24"/>
                <w:highlight w:val="none"/>
                <w:lang w:val="en-US" w:eastAsia="zh-CN" w:bidi="ar-SA"/>
              </w:rPr>
              <w:t>，</w:t>
            </w:r>
            <w:bookmarkStart w:id="45" w:name="_GoBack"/>
            <w:bookmarkEnd w:id="45"/>
            <w:r>
              <w:rPr>
                <w:rFonts w:hint="eastAsia" w:ascii="宋体" w:hAnsi="宋体" w:cs="宋体"/>
                <w:kern w:val="2"/>
                <w:sz w:val="24"/>
                <w:szCs w:val="24"/>
                <w:highlight w:val="none"/>
                <w:lang w:val="en-US" w:eastAsia="zh-CN" w:bidi="ar-SA"/>
              </w:rPr>
              <w:t>不提供</w:t>
            </w:r>
            <w:r>
              <w:rPr>
                <w:rFonts w:hint="eastAsia" w:ascii="宋体" w:hAnsi="宋体" w:eastAsia="宋体" w:cs="宋体"/>
                <w:kern w:val="2"/>
                <w:sz w:val="24"/>
                <w:szCs w:val="24"/>
                <w:highlight w:val="none"/>
                <w:lang w:val="en-US" w:eastAsia="zh-CN" w:bidi="ar-SA"/>
              </w:rPr>
              <w:t>不计分。</w:t>
            </w:r>
          </w:p>
        </w:tc>
      </w:tr>
    </w:tbl>
    <w:p w14:paraId="21051A1D">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14:paraId="45CE7626">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bookmarkStart w:id="8" w:name="_Toc29118"/>
      <w:r>
        <w:rPr>
          <w:rStyle w:val="34"/>
          <w:rFonts w:hint="eastAsia" w:ascii="宋体" w:hAnsi="宋体" w:eastAsia="宋体" w:cs="宋体"/>
          <w:b/>
          <w:bCs w:val="0"/>
          <w:color w:val="auto"/>
          <w:kern w:val="0"/>
          <w:sz w:val="24"/>
          <w:szCs w:val="24"/>
          <w:lang w:val="en-US" w:eastAsia="zh-CN" w:bidi="ar-SA"/>
        </w:rPr>
        <w:t>备注：</w:t>
      </w:r>
    </w:p>
    <w:p w14:paraId="7DF9C197">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highlight w:val="cyan"/>
          <w:lang w:val="en-US" w:eastAsia="zh-CN" w:bidi="ar-SA"/>
        </w:rPr>
      </w:pPr>
      <w:r>
        <w:rPr>
          <w:rStyle w:val="34"/>
          <w:rFonts w:hint="eastAsia" w:ascii="宋体" w:hAnsi="宋体" w:eastAsia="宋体" w:cs="宋体"/>
          <w:b/>
          <w:bCs w:val="0"/>
          <w:color w:val="auto"/>
          <w:kern w:val="0"/>
          <w:sz w:val="24"/>
          <w:szCs w:val="24"/>
          <w:lang w:val="en-US" w:eastAsia="zh-CN" w:bidi="ar-SA"/>
        </w:rPr>
        <w:t>1、评委可以根据各磋商响应文件编制的内容在各分项区间进行打分；以上</w:t>
      </w:r>
      <w:r>
        <w:rPr>
          <w:rStyle w:val="34"/>
          <w:rFonts w:hint="eastAsia" w:ascii="宋体" w:hAnsi="宋体" w:eastAsia="宋体" w:cs="宋体"/>
          <w:b/>
          <w:bCs w:val="0"/>
          <w:color w:val="auto"/>
          <w:kern w:val="0"/>
          <w:sz w:val="24"/>
          <w:szCs w:val="24"/>
          <w:highlight w:val="none"/>
          <w:lang w:val="en-US" w:eastAsia="zh-CN" w:bidi="ar-SA"/>
        </w:rPr>
        <w:t>项目若有缺项，该项为0分。供应商得分＝报价部分得分+</w:t>
      </w:r>
      <w:r>
        <w:rPr>
          <w:rStyle w:val="34"/>
          <w:rFonts w:hint="eastAsia" w:ascii="宋体" w:hAnsi="宋体" w:cs="宋体"/>
          <w:b/>
          <w:bCs w:val="0"/>
          <w:color w:val="auto"/>
          <w:kern w:val="0"/>
          <w:sz w:val="24"/>
          <w:szCs w:val="24"/>
          <w:highlight w:val="none"/>
          <w:lang w:val="en-US" w:eastAsia="zh-CN" w:bidi="ar-SA"/>
        </w:rPr>
        <w:t>商务部分</w:t>
      </w:r>
      <w:r>
        <w:rPr>
          <w:rStyle w:val="34"/>
          <w:rFonts w:hint="eastAsia" w:ascii="宋体" w:hAnsi="宋体" w:eastAsia="宋体" w:cs="宋体"/>
          <w:b/>
          <w:bCs w:val="0"/>
          <w:color w:val="auto"/>
          <w:kern w:val="0"/>
          <w:sz w:val="24"/>
          <w:szCs w:val="24"/>
          <w:highlight w:val="none"/>
          <w:lang w:val="en-US" w:eastAsia="zh-CN" w:bidi="ar-SA"/>
        </w:rPr>
        <w:t>得分+技术部分得分。</w:t>
      </w:r>
    </w:p>
    <w:p w14:paraId="5BE48289">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r>
        <w:rPr>
          <w:rStyle w:val="34"/>
          <w:rFonts w:hint="eastAsia" w:ascii="宋体" w:hAnsi="宋体" w:eastAsia="宋体" w:cs="宋体"/>
          <w:b/>
          <w:bCs w:val="0"/>
          <w:color w:val="auto"/>
          <w:kern w:val="0"/>
          <w:sz w:val="24"/>
          <w:szCs w:val="24"/>
          <w:lang w:val="en-US" w:eastAsia="zh-CN" w:bidi="ar-SA"/>
        </w:rPr>
        <w:t>2、潜在供应商提供资料必须真实、有效，一经发现有造假的，取消其</w:t>
      </w:r>
      <w:r>
        <w:rPr>
          <w:rStyle w:val="34"/>
          <w:rFonts w:hint="eastAsia" w:ascii="宋体" w:hAnsi="宋体" w:cs="宋体"/>
          <w:b/>
          <w:bCs w:val="0"/>
          <w:color w:val="auto"/>
          <w:kern w:val="0"/>
          <w:sz w:val="24"/>
          <w:szCs w:val="24"/>
          <w:lang w:val="en-US" w:eastAsia="zh-CN" w:bidi="ar-SA"/>
        </w:rPr>
        <w:t>成交</w:t>
      </w:r>
      <w:r>
        <w:rPr>
          <w:rStyle w:val="34"/>
          <w:rFonts w:hint="eastAsia" w:ascii="宋体" w:hAnsi="宋体" w:eastAsia="宋体" w:cs="宋体"/>
          <w:b/>
          <w:bCs w:val="0"/>
          <w:color w:val="auto"/>
          <w:kern w:val="0"/>
          <w:sz w:val="24"/>
          <w:szCs w:val="24"/>
          <w:lang w:val="en-US" w:eastAsia="zh-CN" w:bidi="ar-SA"/>
        </w:rPr>
        <w:t>资格。</w:t>
      </w:r>
    </w:p>
    <w:p w14:paraId="10B02B47">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1.评</w:t>
      </w:r>
      <w:r>
        <w:rPr>
          <w:rFonts w:hint="eastAsia" w:ascii="宋体" w:hAnsi="宋体" w:eastAsia="宋体" w:cs="宋体"/>
          <w:b/>
          <w:sz w:val="24"/>
          <w:lang w:val="en-US" w:eastAsia="zh-CN"/>
        </w:rPr>
        <w:t>审</w:t>
      </w:r>
      <w:r>
        <w:rPr>
          <w:rFonts w:hint="eastAsia" w:ascii="宋体" w:hAnsi="宋体" w:eastAsia="宋体" w:cs="宋体"/>
          <w:b/>
          <w:sz w:val="24"/>
        </w:rPr>
        <w:t>方法</w:t>
      </w:r>
    </w:p>
    <w:p w14:paraId="584CF79F">
      <w:pPr>
        <w:spacing w:line="360" w:lineRule="auto"/>
        <w:ind w:firstLine="480" w:firstLineChars="200"/>
        <w:rPr>
          <w:rFonts w:hint="eastAsia" w:ascii="宋体" w:hAnsi="宋体" w:eastAsia="宋体" w:cs="宋体"/>
          <w:sz w:val="24"/>
        </w:rPr>
      </w:pPr>
      <w:bookmarkStart w:id="9" w:name="_Toc449367501"/>
      <w:r>
        <w:rPr>
          <w:rFonts w:hint="eastAsia" w:ascii="宋体" w:hAnsi="宋体" w:eastAsia="宋体" w:cs="宋体"/>
          <w:sz w:val="24"/>
        </w:rPr>
        <w:t>本项目采用综合评分法进行评审，即在最大限度地满足竞争性磋商文件全部实质性要求且按评审因素的量化指标评审得分最高的供应商为成交候选供应商的评审方法。</w:t>
      </w:r>
    </w:p>
    <w:p w14:paraId="5C50353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2.评审标准</w:t>
      </w:r>
      <w:bookmarkEnd w:id="9"/>
    </w:p>
    <w:p w14:paraId="4E126EB3">
      <w:pPr>
        <w:keepNext w:val="0"/>
        <w:keepLines w:val="0"/>
        <w:pageBreakBefore w:val="0"/>
        <w:widowControl/>
        <w:kinsoku/>
        <w:wordWrap/>
        <w:overflowPunct/>
        <w:topLinePunct w:val="0"/>
        <w:autoSpaceDE/>
        <w:autoSpaceDN/>
        <w:bidi w:val="0"/>
        <w:adjustRightInd/>
        <w:spacing w:line="480" w:lineRule="exact"/>
        <w:ind w:firstLine="482" w:firstLineChars="200"/>
        <w:jc w:val="left"/>
        <w:textAlignment w:val="baseline"/>
        <w:rPr>
          <w:rFonts w:hint="eastAsia" w:ascii="宋体" w:hAnsi="宋体" w:eastAsia="宋体" w:cs="宋体"/>
        </w:rPr>
      </w:pPr>
      <w:r>
        <w:rPr>
          <w:rFonts w:hint="eastAsia" w:ascii="宋体" w:hAnsi="宋体" w:eastAsia="宋体" w:cs="宋体"/>
          <w:b/>
          <w:sz w:val="24"/>
        </w:rPr>
        <w:t>2.1初步评审标准</w:t>
      </w:r>
    </w:p>
    <w:p w14:paraId="6B5B284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2.1.1</w:t>
      </w:r>
      <w:r>
        <w:rPr>
          <w:rFonts w:hint="eastAsia" w:ascii="宋体" w:hAnsi="宋体" w:eastAsia="宋体" w:cs="宋体"/>
          <w:sz w:val="24"/>
          <w:lang w:eastAsia="zh-CN"/>
        </w:rPr>
        <w:t>符合性</w:t>
      </w:r>
      <w:r>
        <w:rPr>
          <w:rFonts w:hint="eastAsia" w:ascii="宋体" w:hAnsi="宋体" w:eastAsia="宋体" w:cs="宋体"/>
          <w:sz w:val="24"/>
        </w:rPr>
        <w:t>评审标准：见</w:t>
      </w:r>
      <w:r>
        <w:rPr>
          <w:rFonts w:hint="eastAsia" w:ascii="宋体" w:hAnsi="宋体" w:cs="宋体"/>
          <w:sz w:val="24"/>
          <w:lang w:eastAsia="zh-CN"/>
        </w:rPr>
        <w:t>评审办法</w:t>
      </w:r>
      <w:r>
        <w:rPr>
          <w:rFonts w:hint="eastAsia" w:ascii="宋体" w:hAnsi="宋体" w:eastAsia="宋体" w:cs="宋体"/>
          <w:sz w:val="24"/>
        </w:rPr>
        <w:t>前附表。</w:t>
      </w:r>
    </w:p>
    <w:p w14:paraId="0B0662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2.1.2资格评审标准：见</w:t>
      </w:r>
      <w:r>
        <w:rPr>
          <w:rFonts w:hint="eastAsia" w:ascii="宋体" w:hAnsi="宋体" w:cs="宋体"/>
          <w:sz w:val="24"/>
          <w:lang w:eastAsia="zh-CN"/>
        </w:rPr>
        <w:t>评审办法</w:t>
      </w:r>
      <w:r>
        <w:rPr>
          <w:rFonts w:hint="eastAsia" w:ascii="宋体" w:hAnsi="宋体" w:eastAsia="宋体" w:cs="宋体"/>
          <w:sz w:val="24"/>
        </w:rPr>
        <w:t>前附表。</w:t>
      </w:r>
    </w:p>
    <w:p w14:paraId="34C2250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2.1.3响应性评审标准：见</w:t>
      </w:r>
      <w:r>
        <w:rPr>
          <w:rFonts w:hint="eastAsia" w:ascii="宋体" w:hAnsi="宋体" w:cs="宋体"/>
          <w:sz w:val="24"/>
          <w:lang w:eastAsia="zh-CN"/>
        </w:rPr>
        <w:t>评审办法</w:t>
      </w:r>
      <w:r>
        <w:rPr>
          <w:rFonts w:hint="eastAsia" w:ascii="宋体" w:hAnsi="宋体" w:eastAsia="宋体" w:cs="宋体"/>
          <w:sz w:val="24"/>
        </w:rPr>
        <w:t>前附表。</w:t>
      </w:r>
    </w:p>
    <w:p w14:paraId="23B01256">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2.2分值构成与评分标准</w:t>
      </w:r>
    </w:p>
    <w:p w14:paraId="733C9B9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2.2.1分值构成</w:t>
      </w:r>
    </w:p>
    <w:p w14:paraId="1F0C099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报价得分：</w:t>
      </w:r>
      <w:r>
        <w:rPr>
          <w:rFonts w:hint="eastAsia" w:ascii="宋体" w:hAnsi="宋体" w:cs="宋体"/>
          <w:sz w:val="24"/>
          <w:lang w:val="en-US" w:eastAsia="zh-CN"/>
        </w:rPr>
        <w:t>20</w:t>
      </w:r>
      <w:r>
        <w:rPr>
          <w:rFonts w:hint="eastAsia" w:ascii="宋体" w:hAnsi="宋体" w:eastAsia="宋体" w:cs="宋体"/>
          <w:sz w:val="24"/>
          <w:lang w:val="en-US" w:eastAsia="zh-CN"/>
        </w:rPr>
        <w:t>分</w:t>
      </w:r>
    </w:p>
    <w:p w14:paraId="7327C48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rPr>
      </w:pPr>
      <w:r>
        <w:rPr>
          <w:rFonts w:hint="eastAsia" w:ascii="宋体" w:hAnsi="宋体" w:eastAsia="宋体" w:cs="宋体"/>
          <w:sz w:val="24"/>
        </w:rPr>
        <w:t>（2）技术</w:t>
      </w:r>
      <w:r>
        <w:rPr>
          <w:rFonts w:hint="eastAsia" w:ascii="宋体" w:hAnsi="宋体" w:eastAsia="宋体" w:cs="宋体"/>
          <w:sz w:val="24"/>
          <w:lang w:val="en-US" w:eastAsia="zh-CN"/>
        </w:rPr>
        <w:t>得分：</w:t>
      </w:r>
      <w:r>
        <w:rPr>
          <w:rFonts w:hint="eastAsia" w:ascii="宋体" w:hAnsi="宋体" w:cs="宋体"/>
          <w:sz w:val="24"/>
          <w:lang w:val="en-US" w:eastAsia="zh-CN"/>
        </w:rPr>
        <w:t>55</w:t>
      </w:r>
      <w:r>
        <w:rPr>
          <w:rFonts w:hint="eastAsia" w:ascii="宋体" w:hAnsi="宋体" w:eastAsia="宋体" w:cs="宋体"/>
          <w:sz w:val="24"/>
          <w:lang w:val="en-US" w:eastAsia="zh-CN"/>
        </w:rPr>
        <w:t>分</w:t>
      </w:r>
    </w:p>
    <w:p w14:paraId="5B1040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rPr>
        <w:t>（3）</w:t>
      </w:r>
      <w:r>
        <w:rPr>
          <w:rFonts w:hint="eastAsia" w:ascii="宋体" w:hAnsi="宋体" w:eastAsia="宋体" w:cs="宋体"/>
          <w:sz w:val="24"/>
          <w:highlight w:val="none"/>
        </w:rPr>
        <w:t>综合</w:t>
      </w:r>
      <w:r>
        <w:rPr>
          <w:rFonts w:hint="eastAsia" w:ascii="宋体" w:hAnsi="宋体" w:eastAsia="宋体" w:cs="宋体"/>
          <w:sz w:val="24"/>
          <w:highlight w:val="none"/>
          <w:lang w:val="en-US" w:eastAsia="zh-CN"/>
        </w:rPr>
        <w:t>得分：</w:t>
      </w:r>
      <w:r>
        <w:rPr>
          <w:rFonts w:hint="eastAsia" w:ascii="宋体" w:hAnsi="宋体" w:cs="宋体"/>
          <w:sz w:val="24"/>
          <w:highlight w:val="none"/>
          <w:lang w:val="en-US" w:eastAsia="zh-CN"/>
        </w:rPr>
        <w:t>25</w:t>
      </w:r>
      <w:r>
        <w:rPr>
          <w:rFonts w:hint="eastAsia" w:ascii="宋体" w:hAnsi="宋体" w:eastAsia="宋体" w:cs="宋体"/>
          <w:sz w:val="24"/>
          <w:highlight w:val="none"/>
          <w:lang w:val="en-US" w:eastAsia="zh-CN"/>
        </w:rPr>
        <w:t>分</w:t>
      </w:r>
    </w:p>
    <w:p w14:paraId="213A5E4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2.2.</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评分标准</w:t>
      </w:r>
    </w:p>
    <w:p w14:paraId="0C2201F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（1）报价部分：见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374BC4B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（2）技术部分：见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6710CCF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highlight w:val="none"/>
        </w:rPr>
        <w:t>（3）</w:t>
      </w:r>
      <w:r>
        <w:rPr>
          <w:rFonts w:hint="eastAsia" w:ascii="宋体" w:hAnsi="宋体" w:cs="宋体"/>
          <w:sz w:val="24"/>
          <w:highlight w:val="none"/>
          <w:lang w:val="en-US" w:eastAsia="zh-CN"/>
        </w:rPr>
        <w:t>商务部分</w:t>
      </w:r>
      <w:r>
        <w:rPr>
          <w:rFonts w:hint="eastAsia" w:ascii="宋体" w:hAnsi="宋体" w:eastAsia="宋体" w:cs="宋体"/>
          <w:sz w:val="24"/>
          <w:highlight w:val="none"/>
        </w:rPr>
        <w:t>：见</w:t>
      </w:r>
      <w:r>
        <w:rPr>
          <w:rFonts w:hint="eastAsia" w:ascii="宋体" w:hAnsi="宋体" w:cs="宋体"/>
          <w:sz w:val="24"/>
          <w:highlight w:val="none"/>
          <w:lang w:eastAsia="zh-CN"/>
        </w:rPr>
        <w:t>评</w:t>
      </w:r>
      <w:r>
        <w:rPr>
          <w:rFonts w:hint="eastAsia" w:ascii="宋体" w:hAnsi="宋体" w:cs="宋体"/>
          <w:sz w:val="24"/>
          <w:lang w:eastAsia="zh-CN"/>
        </w:rPr>
        <w:t>审办法</w:t>
      </w:r>
      <w:r>
        <w:rPr>
          <w:rFonts w:hint="eastAsia" w:ascii="宋体" w:hAnsi="宋体" w:eastAsia="宋体" w:cs="宋体"/>
          <w:sz w:val="24"/>
        </w:rPr>
        <w:t>前附表；</w:t>
      </w:r>
    </w:p>
    <w:p w14:paraId="1B5C69F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bookmarkStart w:id="10" w:name="_Toc449367502"/>
      <w:r>
        <w:rPr>
          <w:rFonts w:hint="eastAsia" w:ascii="宋体" w:hAnsi="宋体" w:eastAsia="宋体" w:cs="宋体"/>
          <w:b/>
          <w:sz w:val="24"/>
        </w:rPr>
        <w:t>3.评标程序</w:t>
      </w:r>
      <w:bookmarkEnd w:id="10"/>
    </w:p>
    <w:p w14:paraId="344A840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3.1初步评审</w:t>
      </w:r>
    </w:p>
    <w:p w14:paraId="4385844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3.1.1磋商小组依据本章第2.1项规定的评审标准对磋商响应文件进行初步评审。有一项不符合评审标准的，作废标处理。</w:t>
      </w:r>
    </w:p>
    <w:p w14:paraId="059054F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3.1.2供应商有以下情形之一的，磋商小组应当否决其磋商响应文件：</w:t>
      </w:r>
    </w:p>
    <w:p w14:paraId="56F56CD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（1）未按磋商文件规定要求签署、盖章的；</w:t>
      </w:r>
    </w:p>
    <w:p w14:paraId="7ABE061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（2）供应商不按要求参加磋商的；</w:t>
      </w:r>
    </w:p>
    <w:p w14:paraId="747DC48A">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（3）有弄虚作假、串通、行贿等违法行为的；</w:t>
      </w:r>
    </w:p>
    <w:p w14:paraId="1526E6E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（4）响应内容与采购需求及采购项目要求有实质性偏离的；</w:t>
      </w:r>
    </w:p>
    <w:p w14:paraId="1ECF5FC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（5）同一供应商提交两个以上不同报价的；</w:t>
      </w:r>
    </w:p>
    <w:p w14:paraId="79E9BFD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（6）恶意提高（压低）报价或报价超过预算控制金额的；</w:t>
      </w:r>
    </w:p>
    <w:p w14:paraId="3F5BB9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kern w:val="0"/>
          <w:sz w:val="24"/>
          <w:szCs w:val="24"/>
          <w:highlight w:val="none"/>
        </w:rPr>
        <w:t>服务周期</w:t>
      </w:r>
      <w:r>
        <w:rPr>
          <w:rFonts w:hint="eastAsia" w:ascii="宋体" w:hAnsi="宋体" w:eastAsia="宋体" w:cs="宋体"/>
          <w:kern w:val="0"/>
          <w:sz w:val="24"/>
          <w:szCs w:val="24"/>
          <w:highlight w:val="none"/>
          <w:lang w:val="en-US" w:eastAsia="zh-CN"/>
        </w:rPr>
        <w:t>、质量要求</w:t>
      </w:r>
      <w:r>
        <w:rPr>
          <w:rFonts w:hint="eastAsia" w:ascii="宋体" w:hAnsi="宋体" w:eastAsia="宋体" w:cs="宋体"/>
          <w:sz w:val="24"/>
        </w:rPr>
        <w:t>不满足磋商文件要求的；</w:t>
      </w:r>
    </w:p>
    <w:p w14:paraId="16C3955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（8）资格证明不全或者不具备磋商文件中规定的供应商资格要求的；</w:t>
      </w:r>
    </w:p>
    <w:p w14:paraId="1C37142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（9）不符合法律、法规和磋商文件中规定的其他实质性要求的。</w:t>
      </w:r>
    </w:p>
    <w:p w14:paraId="1154B20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3.1.3</w:t>
      </w:r>
      <w:r>
        <w:rPr>
          <w:rFonts w:hint="eastAsia" w:ascii="宋体" w:hAnsi="宋体" w:cs="宋体"/>
          <w:sz w:val="24"/>
          <w:lang w:eastAsia="zh-CN"/>
        </w:rPr>
        <w:t>磋商报价</w:t>
      </w:r>
      <w:r>
        <w:rPr>
          <w:rFonts w:hint="eastAsia" w:ascii="宋体" w:hAnsi="宋体" w:eastAsia="宋体" w:cs="宋体"/>
          <w:sz w:val="24"/>
        </w:rPr>
        <w:t>有算术错误的，磋商小组按以下原则对报价进行修正，修正的价格经供应商书面确认后具有约束力。供应商不接受修正价格的，其</w:t>
      </w:r>
      <w:r>
        <w:rPr>
          <w:rFonts w:hint="eastAsia" w:ascii="宋体" w:hAnsi="宋体" w:cs="宋体"/>
          <w:sz w:val="24"/>
          <w:lang w:eastAsia="zh-CN"/>
        </w:rPr>
        <w:t>响应</w:t>
      </w:r>
      <w:r>
        <w:rPr>
          <w:rFonts w:hint="eastAsia" w:ascii="宋体" w:hAnsi="宋体" w:eastAsia="宋体" w:cs="宋体"/>
          <w:sz w:val="24"/>
        </w:rPr>
        <w:t>作废标处理。</w:t>
      </w:r>
    </w:p>
    <w:p w14:paraId="21F67A9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29F257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（3）单价金额小数点或者百分比有明显错位的，以报价一览表的总价为准，并修改单价；</w:t>
      </w:r>
    </w:p>
    <w:p w14:paraId="5AF39CC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（4）总价金额与按单价汇总金额不一致的，以单价金额计算结果为准。</w:t>
      </w:r>
    </w:p>
    <w:p w14:paraId="31FBFD0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7CF77B00">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lang w:eastAsia="zh-CN"/>
        </w:rPr>
      </w:pPr>
      <w:r>
        <w:rPr>
          <w:rFonts w:hint="eastAsia" w:ascii="宋体" w:hAnsi="宋体" w:eastAsia="宋体" w:cs="宋体"/>
          <w:b/>
          <w:sz w:val="24"/>
        </w:rPr>
        <w:t>3.2详细评审</w:t>
      </w:r>
    </w:p>
    <w:p w14:paraId="671164A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3.2.1磋商小组按本章第2.2款规定的量化因素和分值进行打分，并计算出综合评估得分。</w:t>
      </w:r>
      <w:r>
        <w:rPr>
          <w:rFonts w:hint="eastAsia" w:ascii="宋体" w:hAnsi="宋体" w:eastAsia="宋体" w:cs="宋体"/>
          <w:b/>
          <w:sz w:val="24"/>
        </w:rPr>
        <w:t>每个供应商最终得分为各评委打分的算术平均值。</w:t>
      </w:r>
    </w:p>
    <w:p w14:paraId="25B19B5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3.2.2评分分值计算保留小数点后两位，小数点后第三位“四舍五入”。</w:t>
      </w:r>
    </w:p>
    <w:p w14:paraId="57F3D33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3.2.3磋商小组汇总供应商的各项得分，相加后为供应商最终得分。</w:t>
      </w:r>
    </w:p>
    <w:p w14:paraId="21A6CDA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3.2.4本项目有</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w:t>
      </w:r>
      <w:r>
        <w:rPr>
          <w:rFonts w:hint="eastAsia" w:ascii="宋体" w:hAnsi="宋体" w:eastAsia="宋体" w:cs="宋体"/>
          <w:sz w:val="24"/>
          <w:lang w:eastAsia="zh-CN"/>
        </w:rPr>
        <w:t>，</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二轮报价）是供应商响应文件的有效组成部分。</w:t>
      </w:r>
    </w:p>
    <w:p w14:paraId="69834E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3.2.</w:t>
      </w:r>
      <w:r>
        <w:rPr>
          <w:rFonts w:hint="eastAsia" w:ascii="宋体" w:hAnsi="宋体" w:cs="宋体"/>
          <w:sz w:val="24"/>
          <w:lang w:val="en-US" w:eastAsia="zh-CN"/>
        </w:rPr>
        <w:t>5</w:t>
      </w:r>
      <w:r>
        <w:rPr>
          <w:rFonts w:hint="eastAsia" w:ascii="宋体" w:hAnsi="宋体" w:eastAsia="宋体" w:cs="宋体"/>
          <w:sz w:val="24"/>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14:paraId="255EC738">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3.3磋商响应文件的澄清和补正</w:t>
      </w:r>
    </w:p>
    <w:p w14:paraId="542A618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3.3.1在评标过程中，磋商小组可以书面形式要求供应商对所提交磋商响应文件中不明确的内容进行书面澄清或说明，或者对细微偏差进行补正。磋商小组不接受供应商主动提出的澄清、说明或补正。</w:t>
      </w:r>
    </w:p>
    <w:p w14:paraId="7ED801F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3.3.2澄清、说明和补正不得改变磋商响应文件的实质性内容（算术性错误修正的除外）。供应商的书面澄清、说明和补正属于磋商响应文件的组成部分。</w:t>
      </w:r>
    </w:p>
    <w:p w14:paraId="307036C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3.3.3磋商小组对供应商提交的澄清、说明或补正有疑问的，可以要求供应商进一步澄清、说明或补正，直至满足磋商小组的要求。</w:t>
      </w:r>
    </w:p>
    <w:p w14:paraId="0D25BA6F">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3.4定标办法</w:t>
      </w:r>
    </w:p>
    <w:p w14:paraId="183EF1C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3.4.1磋商小组按照上述办法打分，最后按照各供应商最终得分从高到低排序。</w:t>
      </w:r>
    </w:p>
    <w:p w14:paraId="35D6AA8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3.4.2磋商小组完成评标后，应当向采购人提交书面评</w:t>
      </w:r>
      <w:r>
        <w:rPr>
          <w:rFonts w:hint="eastAsia" w:ascii="宋体" w:hAnsi="宋体" w:eastAsia="宋体" w:cs="宋体"/>
          <w:sz w:val="24"/>
          <w:lang w:val="en-US" w:eastAsia="zh-CN"/>
        </w:rPr>
        <w:t>审</w:t>
      </w:r>
      <w:r>
        <w:rPr>
          <w:rFonts w:hint="eastAsia" w:ascii="宋体" w:hAnsi="宋体" w:eastAsia="宋体" w:cs="宋体"/>
          <w:sz w:val="24"/>
        </w:rPr>
        <w:t>报告。向采购人推荐</w:t>
      </w: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3家成交候选人，得分最高的供应商为第一成交候选人，得分第二的供应商为第二成交候选人。</w:t>
      </w:r>
    </w:p>
    <w:p w14:paraId="105CE0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3.4.3按供应商得分由高到低排序，采购人应当确定排名第一的成交候选人为成交人。排名第一的成交候选人放弃</w:t>
      </w:r>
      <w:r>
        <w:rPr>
          <w:rFonts w:hint="eastAsia" w:ascii="宋体" w:hAnsi="宋体" w:cs="宋体"/>
          <w:sz w:val="24"/>
          <w:lang w:eastAsia="zh-CN"/>
        </w:rPr>
        <w:t>成交</w:t>
      </w:r>
      <w:r>
        <w:rPr>
          <w:rFonts w:hint="eastAsia" w:ascii="宋体" w:hAnsi="宋体" w:eastAsia="宋体" w:cs="宋体"/>
          <w:sz w:val="24"/>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cs="宋体"/>
          <w:sz w:val="24"/>
          <w:lang w:eastAsia="zh-CN"/>
        </w:rPr>
        <w:t>磋商</w:t>
      </w:r>
      <w:r>
        <w:rPr>
          <w:rFonts w:hint="eastAsia" w:ascii="宋体" w:hAnsi="宋体" w:eastAsia="宋体" w:cs="宋体"/>
          <w:sz w:val="24"/>
        </w:rPr>
        <w:t>。</w:t>
      </w:r>
    </w:p>
    <w:p w14:paraId="305F7A8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sz w:val="24"/>
        </w:rPr>
      </w:pPr>
      <w:bookmarkStart w:id="11" w:name="_Toc449367503"/>
      <w:r>
        <w:rPr>
          <w:rFonts w:hint="eastAsia" w:ascii="宋体" w:hAnsi="宋体" w:eastAsia="宋体" w:cs="宋体"/>
          <w:b/>
          <w:sz w:val="24"/>
        </w:rPr>
        <w:t>4.评标报告</w:t>
      </w:r>
      <w:bookmarkEnd w:id="11"/>
    </w:p>
    <w:p w14:paraId="44E0229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磋商小组根据供应商须知前附表的规定向采购人提交评标报告。评标报告应当由磋商小组</w:t>
      </w:r>
      <w:r>
        <w:rPr>
          <w:rFonts w:hint="eastAsia" w:ascii="宋体" w:hAnsi="宋体" w:eastAsia="宋体" w:cs="宋体"/>
          <w:sz w:val="24"/>
          <w:lang w:val="en-US" w:eastAsia="zh-CN"/>
        </w:rPr>
        <w:t>全体</w:t>
      </w:r>
      <w:r>
        <w:rPr>
          <w:rFonts w:hint="eastAsia" w:ascii="宋体" w:hAnsi="宋体" w:eastAsia="宋体" w:cs="宋体"/>
          <w:sz w:val="24"/>
        </w:rPr>
        <w:t>成员签字，并于</w:t>
      </w:r>
      <w:r>
        <w:rPr>
          <w:rFonts w:hint="eastAsia" w:ascii="宋体" w:hAnsi="宋体" w:eastAsia="宋体" w:cs="宋体"/>
          <w:sz w:val="24"/>
          <w:lang w:val="en-US" w:eastAsia="zh-CN"/>
        </w:rPr>
        <w:t>评审</w:t>
      </w:r>
      <w:r>
        <w:rPr>
          <w:rFonts w:hint="eastAsia" w:ascii="宋体" w:hAnsi="宋体" w:eastAsia="宋体" w:cs="宋体"/>
          <w:sz w:val="24"/>
        </w:rPr>
        <w:t>结束后抄送有关行政监督部门。</w:t>
      </w:r>
    </w:p>
    <w:p w14:paraId="1E0E7933">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1F0EF89E">
      <w:pPr>
        <w:rPr>
          <w:rFonts w:hint="eastAsia" w:ascii="宋体" w:hAnsi="宋体" w:eastAsia="宋体" w:cs="宋体"/>
          <w:color w:val="auto"/>
          <w:sz w:val="40"/>
          <w:szCs w:val="40"/>
        </w:rPr>
      </w:pPr>
      <w:bookmarkStart w:id="12" w:name="_Toc31439"/>
      <w:r>
        <w:rPr>
          <w:rFonts w:hint="eastAsia" w:ascii="宋体" w:hAnsi="宋体" w:eastAsia="宋体" w:cs="宋体"/>
          <w:color w:val="auto"/>
          <w:sz w:val="40"/>
          <w:szCs w:val="40"/>
        </w:rPr>
        <w:br w:type="page"/>
      </w:r>
    </w:p>
    <w:p w14:paraId="658B8AE9">
      <w:pPr>
        <w:pStyle w:val="3"/>
        <w:keepNext w:val="0"/>
        <w:keepLines w:val="0"/>
        <w:spacing w:before="0" w:after="0" w:line="500"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第五章</w:t>
      </w:r>
      <w:bookmarkStart w:id="13" w:name="_Toc269828236"/>
      <w:r>
        <w:rPr>
          <w:rFonts w:hint="eastAsia" w:ascii="宋体" w:hAnsi="宋体" w:eastAsia="宋体" w:cs="宋体"/>
          <w:color w:val="auto"/>
          <w:sz w:val="40"/>
          <w:szCs w:val="40"/>
        </w:rPr>
        <w:t xml:space="preserve"> 合同主要条款</w:t>
      </w:r>
      <w:bookmarkEnd w:id="13"/>
      <w:r>
        <w:rPr>
          <w:rFonts w:hint="eastAsia" w:ascii="宋体" w:hAnsi="宋体" w:eastAsia="宋体" w:cs="宋体"/>
          <w:color w:val="auto"/>
          <w:sz w:val="40"/>
          <w:szCs w:val="40"/>
        </w:rPr>
        <w:t>及格式</w:t>
      </w:r>
      <w:bookmarkEnd w:id="8"/>
      <w:bookmarkEnd w:id="12"/>
    </w:p>
    <w:p w14:paraId="43164426">
      <w:pPr>
        <w:spacing w:line="360" w:lineRule="auto"/>
        <w:jc w:val="center"/>
        <w:textAlignment w:val="baseline"/>
        <w:rPr>
          <w:rFonts w:hint="eastAsia" w:ascii="宋体" w:hAnsi="宋体" w:eastAsia="宋体" w:cs="宋体"/>
          <w:b/>
          <w:bCs/>
          <w:kern w:val="0"/>
          <w:sz w:val="24"/>
          <w:szCs w:val="24"/>
        </w:rPr>
      </w:pPr>
    </w:p>
    <w:p w14:paraId="7463EBEC">
      <w:pPr>
        <w:spacing w:line="360" w:lineRule="auto"/>
        <w:jc w:val="center"/>
        <w:textAlignment w:val="baseline"/>
        <w:rPr>
          <w:rFonts w:hint="eastAsia" w:ascii="宋体" w:hAnsi="宋体" w:eastAsia="宋体" w:cs="宋体"/>
          <w:b/>
          <w:bCs/>
          <w:kern w:val="0"/>
          <w:sz w:val="24"/>
          <w:szCs w:val="24"/>
        </w:rPr>
      </w:pPr>
    </w:p>
    <w:p w14:paraId="121C15C4">
      <w:pPr>
        <w:pStyle w:val="11"/>
        <w:numPr>
          <w:ilvl w:val="0"/>
          <w:numId w:val="0"/>
        </w:numPr>
        <w:ind w:leftChars="0"/>
        <w:jc w:val="center"/>
        <w:rPr>
          <w:rFonts w:hint="eastAsia" w:ascii="宋体" w:hAnsi="宋体" w:eastAsia="宋体" w:cs="宋体"/>
          <w:lang w:eastAsia="zh-CN"/>
        </w:rPr>
      </w:pPr>
      <w:r>
        <w:rPr>
          <w:rFonts w:hint="eastAsia" w:ascii="宋体" w:hAnsi="宋体" w:eastAsia="宋体" w:cs="宋体"/>
          <w:lang w:val="en-US" w:eastAsia="zh-CN"/>
        </w:rPr>
        <w:t>以实际签订合同为准</w:t>
      </w:r>
    </w:p>
    <w:p w14:paraId="38F94A67">
      <w:pPr>
        <w:rPr>
          <w:rFonts w:hint="eastAsia" w:ascii="宋体" w:hAnsi="宋体" w:eastAsia="宋体" w:cs="宋体"/>
          <w:b/>
          <w:bCs/>
          <w:color w:val="auto"/>
          <w:sz w:val="40"/>
          <w:szCs w:val="40"/>
        </w:rPr>
      </w:pPr>
      <w:r>
        <w:rPr>
          <w:rFonts w:hint="eastAsia" w:ascii="宋体" w:hAnsi="宋体" w:eastAsia="宋体" w:cs="宋体"/>
          <w:b/>
          <w:bCs/>
          <w:color w:val="auto"/>
          <w:sz w:val="40"/>
          <w:szCs w:val="40"/>
        </w:rPr>
        <w:br w:type="page"/>
      </w:r>
    </w:p>
    <w:p w14:paraId="1D44F845">
      <w:pPr>
        <w:spacing w:line="360" w:lineRule="auto"/>
        <w:jc w:val="center"/>
        <w:textAlignment w:val="baseline"/>
        <w:outlineLvl w:val="0"/>
        <w:rPr>
          <w:rFonts w:hint="eastAsia" w:ascii="宋体" w:hAnsi="宋体" w:eastAsia="宋体" w:cs="宋体"/>
          <w:b/>
          <w:bCs/>
          <w:color w:val="auto"/>
          <w:sz w:val="40"/>
          <w:szCs w:val="40"/>
        </w:rPr>
      </w:pPr>
      <w:bookmarkStart w:id="14" w:name="_Toc21640"/>
      <w:r>
        <w:rPr>
          <w:rFonts w:hint="eastAsia" w:ascii="宋体" w:hAnsi="宋体" w:eastAsia="宋体" w:cs="宋体"/>
          <w:b/>
          <w:bCs/>
          <w:color w:val="auto"/>
          <w:sz w:val="40"/>
          <w:szCs w:val="40"/>
        </w:rPr>
        <w:t xml:space="preserve">第六章 </w:t>
      </w:r>
      <w:r>
        <w:rPr>
          <w:rFonts w:hint="eastAsia" w:ascii="宋体" w:hAnsi="宋体" w:eastAsia="宋体" w:cs="宋体"/>
          <w:b/>
          <w:bCs/>
          <w:color w:val="auto"/>
          <w:sz w:val="40"/>
          <w:szCs w:val="40"/>
          <w:lang w:val="en-US" w:eastAsia="zh-CN"/>
        </w:rPr>
        <w:t>响应</w:t>
      </w:r>
      <w:r>
        <w:rPr>
          <w:rFonts w:hint="eastAsia" w:ascii="宋体" w:hAnsi="宋体" w:eastAsia="宋体" w:cs="宋体"/>
          <w:b/>
          <w:bCs/>
          <w:color w:val="auto"/>
          <w:sz w:val="40"/>
          <w:szCs w:val="40"/>
        </w:rPr>
        <w:t>文件格式</w:t>
      </w:r>
      <w:bookmarkEnd w:id="14"/>
    </w:p>
    <w:p w14:paraId="5D115FDB">
      <w:pPr>
        <w:pStyle w:val="4"/>
        <w:ind w:left="0" w:leftChars="0" w:firstLine="0" w:firstLineChars="0"/>
        <w:outlineLvl w:val="9"/>
        <w:rPr>
          <w:rFonts w:hint="eastAsia" w:ascii="宋体" w:hAnsi="宋体" w:eastAsia="宋体" w:cs="宋体"/>
        </w:rPr>
      </w:pPr>
    </w:p>
    <w:p w14:paraId="6C19F528">
      <w:pPr>
        <w:widowControl/>
        <w:spacing w:line="360" w:lineRule="auto"/>
        <w:jc w:val="center"/>
        <w:rPr>
          <w:rFonts w:hint="eastAsia" w:ascii="宋体" w:hAnsi="宋体" w:eastAsia="宋体" w:cs="宋体"/>
          <w:b/>
          <w:bCs/>
          <w:color w:val="auto"/>
          <w:sz w:val="36"/>
          <w:szCs w:val="36"/>
          <w:u w:val="none"/>
          <w:lang w:val="en-US"/>
        </w:rPr>
      </w:pPr>
      <w:r>
        <w:rPr>
          <w:rFonts w:hint="eastAsia" w:ascii="宋体" w:hAnsi="宋体" w:eastAsia="宋体" w:cs="宋体"/>
          <w:b/>
          <w:bCs/>
          <w:color w:val="auto"/>
          <w:spacing w:val="0"/>
          <w:w w:val="100"/>
          <w:kern w:val="2"/>
          <w:sz w:val="36"/>
          <w:szCs w:val="36"/>
          <w:u w:val="single"/>
          <w:lang w:val="en-US" w:eastAsia="zh-CN"/>
        </w:rPr>
        <w:t xml:space="preserve">                    </w:t>
      </w:r>
      <w:r>
        <w:rPr>
          <w:rFonts w:hint="eastAsia" w:ascii="宋体" w:hAnsi="宋体" w:eastAsia="宋体" w:cs="宋体"/>
          <w:b/>
          <w:bCs/>
          <w:color w:val="auto"/>
          <w:spacing w:val="0"/>
          <w:w w:val="100"/>
          <w:kern w:val="2"/>
          <w:sz w:val="36"/>
          <w:szCs w:val="36"/>
          <w:u w:val="none"/>
          <w:lang w:val="en-US" w:eastAsia="zh-CN"/>
        </w:rPr>
        <w:t>（项目名称）</w:t>
      </w:r>
    </w:p>
    <w:p w14:paraId="52AC8A0C">
      <w:pPr>
        <w:pStyle w:val="18"/>
        <w:ind w:firstLine="210"/>
        <w:rPr>
          <w:rFonts w:hint="eastAsia" w:ascii="宋体" w:hAnsi="宋体" w:eastAsia="宋体" w:cs="宋体"/>
          <w:color w:val="auto"/>
        </w:rPr>
      </w:pPr>
    </w:p>
    <w:p w14:paraId="71CFFC85">
      <w:pPr>
        <w:widowControl/>
        <w:spacing w:line="360" w:lineRule="auto"/>
        <w:jc w:val="center"/>
        <w:rPr>
          <w:rFonts w:hint="eastAsia" w:ascii="宋体" w:hAnsi="宋体" w:eastAsia="宋体" w:cs="宋体"/>
          <w:b/>
          <w:bCs/>
          <w:color w:val="auto"/>
          <w:kern w:val="0"/>
          <w:sz w:val="84"/>
          <w:szCs w:val="84"/>
          <w:lang w:val="en-US" w:eastAsia="zh-CN"/>
        </w:rPr>
      </w:pPr>
    </w:p>
    <w:p w14:paraId="4991F3B0">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lang w:val="en-US" w:eastAsia="zh-CN"/>
        </w:rPr>
        <w:t>响 应</w:t>
      </w:r>
      <w:r>
        <w:rPr>
          <w:rFonts w:hint="eastAsia" w:ascii="宋体" w:hAnsi="宋体" w:eastAsia="宋体" w:cs="宋体"/>
          <w:b/>
          <w:bCs/>
          <w:color w:val="auto"/>
          <w:kern w:val="0"/>
          <w:sz w:val="84"/>
          <w:szCs w:val="84"/>
        </w:rPr>
        <w:t xml:space="preserve"> 文 件</w:t>
      </w:r>
    </w:p>
    <w:p w14:paraId="38E7148E">
      <w:pPr>
        <w:spacing w:line="360" w:lineRule="auto"/>
        <w:rPr>
          <w:rFonts w:hint="eastAsia" w:ascii="宋体" w:hAnsi="宋体" w:eastAsia="宋体" w:cs="宋体"/>
          <w:b/>
          <w:bCs/>
          <w:color w:val="auto"/>
          <w:sz w:val="32"/>
          <w:szCs w:val="32"/>
        </w:rPr>
      </w:pPr>
    </w:p>
    <w:p w14:paraId="71909D2E">
      <w:pPr>
        <w:ind w:firstLine="2891" w:firstLineChars="900"/>
        <w:rPr>
          <w:rFonts w:hint="default" w:ascii="宋体" w:hAnsi="宋体" w:eastAsia="宋体" w:cs="宋体"/>
          <w:bCs/>
          <w:color w:val="auto"/>
          <w:sz w:val="30"/>
          <w:szCs w:val="30"/>
          <w:u w:val="single"/>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u w:val="single"/>
          <w:lang w:val="en-US" w:eastAsia="zh-CN"/>
        </w:rPr>
        <w:t xml:space="preserve">            </w:t>
      </w:r>
    </w:p>
    <w:p w14:paraId="54CE6B7B">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14:paraId="2DDE17F2">
      <w:pPr>
        <w:spacing w:line="480" w:lineRule="auto"/>
        <w:rPr>
          <w:rFonts w:hint="eastAsia" w:ascii="宋体" w:hAnsi="宋体" w:eastAsia="宋体" w:cs="宋体"/>
          <w:b/>
          <w:bCs/>
          <w:color w:val="auto"/>
          <w:sz w:val="28"/>
          <w:szCs w:val="28"/>
        </w:rPr>
      </w:pPr>
    </w:p>
    <w:p w14:paraId="162AA538">
      <w:pPr>
        <w:pStyle w:val="18"/>
        <w:ind w:firstLine="210"/>
        <w:rPr>
          <w:rFonts w:hint="eastAsia" w:ascii="宋体" w:hAnsi="宋体" w:eastAsia="宋体" w:cs="宋体"/>
          <w:color w:val="auto"/>
        </w:rPr>
      </w:pPr>
    </w:p>
    <w:p w14:paraId="6CD87999">
      <w:pPr>
        <w:pStyle w:val="18"/>
        <w:ind w:firstLine="0" w:firstLineChars="0"/>
        <w:rPr>
          <w:rFonts w:hint="eastAsia" w:ascii="宋体" w:hAnsi="宋体" w:eastAsia="宋体" w:cs="宋体"/>
          <w:color w:val="auto"/>
        </w:rPr>
      </w:pPr>
    </w:p>
    <w:p w14:paraId="032E273D">
      <w:pPr>
        <w:spacing w:line="480" w:lineRule="auto"/>
        <w:rPr>
          <w:rFonts w:hint="eastAsia" w:ascii="宋体" w:hAnsi="宋体" w:eastAsia="宋体" w:cs="宋体"/>
          <w:color w:val="auto"/>
          <w:sz w:val="28"/>
          <w:szCs w:val="28"/>
        </w:rPr>
      </w:pPr>
    </w:p>
    <w:p w14:paraId="249746E9">
      <w:pPr>
        <w:pStyle w:val="18"/>
        <w:ind w:firstLine="210"/>
        <w:rPr>
          <w:rFonts w:hint="eastAsia" w:ascii="宋体" w:hAnsi="宋体" w:eastAsia="宋体" w:cs="宋体"/>
          <w:color w:val="auto"/>
        </w:rPr>
      </w:pPr>
    </w:p>
    <w:p w14:paraId="56B43B47">
      <w:pPr>
        <w:pStyle w:val="4"/>
        <w:ind w:left="0" w:leftChars="0" w:firstLine="0" w:firstLineChars="0"/>
        <w:outlineLvl w:val="9"/>
        <w:rPr>
          <w:rFonts w:hint="eastAsia" w:ascii="宋体" w:hAnsi="宋体" w:eastAsia="宋体" w:cs="宋体"/>
          <w:color w:val="auto"/>
        </w:rPr>
      </w:pPr>
    </w:p>
    <w:p w14:paraId="1F9C0CC3">
      <w:pPr>
        <w:spacing w:line="360" w:lineRule="auto"/>
        <w:ind w:firstLine="1280" w:firstLineChars="400"/>
        <w:jc w:val="both"/>
        <w:rPr>
          <w:rFonts w:hint="eastAsia" w:ascii="宋体" w:hAnsi="宋体" w:eastAsia="宋体" w:cs="宋体"/>
          <w:sz w:val="32"/>
          <w:szCs w:val="32"/>
        </w:rPr>
      </w:pPr>
      <w:r>
        <w:rPr>
          <w:rFonts w:hint="eastAsia" w:ascii="宋体" w:hAnsi="宋体" w:eastAsia="宋体" w:cs="宋体"/>
          <w:sz w:val="32"/>
          <w:szCs w:val="32"/>
        </w:rPr>
        <w:t>供应商名称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（盖章）</w:t>
      </w:r>
    </w:p>
    <w:p w14:paraId="5FF90D94">
      <w:pPr>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rPr>
        <w:t>（</w:t>
      </w:r>
      <w:r>
        <w:rPr>
          <w:rFonts w:hint="eastAsia" w:ascii="宋体" w:hAnsi="宋体" w:eastAsia="宋体" w:cs="宋体"/>
          <w:sz w:val="32"/>
          <w:szCs w:val="32"/>
        </w:rPr>
        <w:t>签字或盖章）</w:t>
      </w:r>
    </w:p>
    <w:p w14:paraId="7EF3ED21">
      <w:pPr>
        <w:jc w:val="center"/>
        <w:rPr>
          <w:rFonts w:hint="eastAsia" w:ascii="宋体" w:hAnsi="宋体" w:eastAsia="宋体" w:cs="宋体"/>
          <w:sz w:val="32"/>
          <w:szCs w:val="32"/>
        </w:rPr>
      </w:pPr>
      <w:r>
        <w:rPr>
          <w:rFonts w:hint="eastAsia" w:ascii="宋体" w:hAnsi="宋体" w:eastAsia="宋体" w:cs="宋体"/>
          <w:sz w:val="32"/>
          <w:szCs w:val="32"/>
        </w:rPr>
        <w:t>年  月  日</w:t>
      </w:r>
    </w:p>
    <w:p w14:paraId="6F72F1F6">
      <w:pPr>
        <w:rPr>
          <w:rFonts w:hint="eastAsia" w:ascii="宋体" w:hAnsi="宋体" w:eastAsia="宋体" w:cs="宋体"/>
          <w:color w:val="auto"/>
        </w:rPr>
      </w:pPr>
    </w:p>
    <w:p w14:paraId="547F319D">
      <w:pPr>
        <w:spacing w:line="360" w:lineRule="auto"/>
        <w:ind w:firstLine="1066" w:firstLineChars="295"/>
        <w:jc w:val="center"/>
        <w:rPr>
          <w:rFonts w:hint="eastAsia" w:ascii="宋体" w:hAnsi="宋体" w:eastAsia="宋体" w:cs="宋体"/>
          <w:b/>
          <w:bCs/>
          <w:color w:val="auto"/>
          <w:sz w:val="36"/>
          <w:szCs w:val="36"/>
        </w:rPr>
      </w:pPr>
    </w:p>
    <w:p w14:paraId="457ABEBA">
      <w:pPr>
        <w:spacing w:line="360" w:lineRule="auto"/>
        <w:jc w:val="center"/>
        <w:rPr>
          <w:rFonts w:hint="eastAsia" w:ascii="宋体" w:hAnsi="宋体" w:eastAsia="宋体" w:cs="宋体"/>
          <w:b/>
          <w:bCs/>
          <w:color w:val="auto"/>
          <w:sz w:val="36"/>
          <w:szCs w:val="36"/>
        </w:rPr>
      </w:pPr>
    </w:p>
    <w:p w14:paraId="0E8A05A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6FE1B650">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14:paraId="1AC995E3">
      <w:pPr>
        <w:spacing w:line="360" w:lineRule="auto"/>
        <w:rPr>
          <w:rFonts w:hint="eastAsia" w:ascii="宋体" w:hAnsi="宋体" w:eastAsia="宋体" w:cs="宋体"/>
          <w:bCs/>
          <w:color w:val="auto"/>
          <w:sz w:val="24"/>
          <w:szCs w:val="24"/>
        </w:rPr>
      </w:pPr>
    </w:p>
    <w:p w14:paraId="456165DE">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一、响应函及响应函附录</w:t>
      </w:r>
    </w:p>
    <w:p w14:paraId="636CD175">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二、法定代表人身份证明</w:t>
      </w:r>
    </w:p>
    <w:p w14:paraId="01CD80E3">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三、授权委托书</w:t>
      </w:r>
    </w:p>
    <w:p w14:paraId="1C488BC6">
      <w:pPr>
        <w:spacing w:beforeLines="100" w:line="510" w:lineRule="exact"/>
        <w:ind w:left="1260" w:leftChars="600"/>
        <w:rPr>
          <w:rFonts w:hint="eastAsia" w:ascii="宋体" w:hAnsi="宋体" w:eastAsia="宋体" w:cs="宋体"/>
          <w:sz w:val="24"/>
        </w:rPr>
      </w:pPr>
      <w:r>
        <w:rPr>
          <w:rFonts w:hint="eastAsia" w:ascii="宋体" w:hAnsi="宋体" w:eastAsia="宋体" w:cs="宋体"/>
          <w:sz w:val="24"/>
          <w:lang w:val="zh-CN"/>
        </w:rPr>
        <w:t>四、</w:t>
      </w:r>
      <w:r>
        <w:rPr>
          <w:rFonts w:hint="eastAsia" w:ascii="宋体" w:hAnsi="宋体" w:eastAsia="宋体" w:cs="宋体"/>
          <w:sz w:val="24"/>
        </w:rPr>
        <w:t>资格审查</w:t>
      </w:r>
    </w:p>
    <w:p w14:paraId="64EA0422">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五、供应商基本情况表</w:t>
      </w:r>
    </w:p>
    <w:p w14:paraId="31228A66">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zh-CN"/>
        </w:rPr>
        <w:t>、</w:t>
      </w:r>
      <w:r>
        <w:rPr>
          <w:rFonts w:hint="eastAsia" w:ascii="宋体" w:hAnsi="宋体" w:eastAsia="宋体" w:cs="宋体"/>
          <w:sz w:val="24"/>
        </w:rPr>
        <w:t>技术部分</w:t>
      </w:r>
    </w:p>
    <w:p w14:paraId="25058B38">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rPr>
        <w:t>七</w:t>
      </w:r>
      <w:r>
        <w:rPr>
          <w:rFonts w:hint="eastAsia" w:ascii="宋体" w:hAnsi="宋体" w:eastAsia="宋体" w:cs="宋体"/>
          <w:sz w:val="24"/>
          <w:lang w:val="zh-CN"/>
        </w:rPr>
        <w:t>、</w:t>
      </w:r>
      <w:r>
        <w:rPr>
          <w:rFonts w:hint="eastAsia" w:ascii="宋体" w:hAnsi="宋体" w:eastAsia="宋体" w:cs="宋体"/>
          <w:sz w:val="24"/>
        </w:rPr>
        <w:t>商务部分</w:t>
      </w:r>
    </w:p>
    <w:p w14:paraId="4EEF6407">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八</w:t>
      </w:r>
      <w:r>
        <w:rPr>
          <w:rFonts w:hint="eastAsia" w:ascii="宋体" w:hAnsi="宋体" w:eastAsia="宋体" w:cs="宋体"/>
          <w:sz w:val="24"/>
          <w:lang w:val="zh-CN"/>
        </w:rPr>
        <w:t>、其他内容</w:t>
      </w:r>
    </w:p>
    <w:p w14:paraId="6D891448">
      <w:pPr>
        <w:spacing w:beforeLines="100" w:line="510" w:lineRule="exact"/>
        <w:rPr>
          <w:rFonts w:hint="eastAsia" w:ascii="宋体" w:hAnsi="宋体" w:eastAsia="宋体" w:cs="宋体"/>
          <w:sz w:val="24"/>
        </w:rPr>
      </w:pPr>
    </w:p>
    <w:p w14:paraId="7C2EA436">
      <w:pPr>
        <w:spacing w:beforeLines="100" w:line="510" w:lineRule="exact"/>
        <w:rPr>
          <w:rFonts w:hint="eastAsia" w:ascii="宋体" w:hAnsi="宋体" w:eastAsia="宋体" w:cs="宋体"/>
          <w:sz w:val="24"/>
        </w:rPr>
      </w:pPr>
    </w:p>
    <w:p w14:paraId="6E01BF64">
      <w:pPr>
        <w:spacing w:beforeLines="100" w:line="510" w:lineRule="exact"/>
        <w:rPr>
          <w:rFonts w:hint="eastAsia" w:ascii="宋体" w:hAnsi="宋体" w:eastAsia="宋体" w:cs="宋体"/>
          <w:sz w:val="24"/>
        </w:rPr>
      </w:pPr>
    </w:p>
    <w:p w14:paraId="18FDACF3">
      <w:pPr>
        <w:spacing w:beforeLines="100" w:line="510" w:lineRule="exact"/>
        <w:rPr>
          <w:rFonts w:hint="eastAsia" w:ascii="宋体" w:hAnsi="宋体" w:eastAsia="宋体" w:cs="宋体"/>
          <w:sz w:val="24"/>
        </w:rPr>
      </w:pPr>
    </w:p>
    <w:p w14:paraId="11247053">
      <w:pPr>
        <w:spacing w:beforeLines="100" w:line="510" w:lineRule="exact"/>
        <w:rPr>
          <w:rFonts w:hint="eastAsia" w:ascii="宋体" w:hAnsi="宋体" w:eastAsia="宋体" w:cs="宋体"/>
          <w:sz w:val="24"/>
        </w:rPr>
      </w:pPr>
      <w:r>
        <w:rPr>
          <w:rFonts w:hint="eastAsia" w:ascii="宋体" w:hAnsi="宋体" w:eastAsia="宋体" w:cs="宋体"/>
          <w:sz w:val="24"/>
        </w:rPr>
        <w:br w:type="page"/>
      </w:r>
    </w:p>
    <w:p w14:paraId="00399DD9">
      <w:pPr>
        <w:pStyle w:val="4"/>
        <w:pageBreakBefore w:val="0"/>
        <w:widowControl w:val="0"/>
        <w:kinsoku/>
        <w:overflowPunct/>
        <w:autoSpaceDE/>
        <w:autoSpaceDN/>
        <w:bidi w:val="0"/>
        <w:adjustRightInd/>
        <w:spacing w:before="0" w:beforeAutospacing="0" w:after="0" w:afterAutospacing="0" w:line="480" w:lineRule="auto"/>
        <w:rPr>
          <w:rFonts w:hint="eastAsia"/>
          <w:lang w:val="en-US" w:eastAsia="zh-CN"/>
        </w:rPr>
      </w:pPr>
      <w:bookmarkStart w:id="15" w:name="_Toc384309419"/>
      <w:bookmarkStart w:id="16" w:name="_Toc374947247"/>
      <w:bookmarkStart w:id="17" w:name="_Toc375041569"/>
      <w:bookmarkStart w:id="18" w:name="_Toc375040623"/>
      <w:bookmarkStart w:id="19" w:name="_Toc375040687"/>
      <w:bookmarkStart w:id="20" w:name="_Toc375041763"/>
      <w:bookmarkStart w:id="21" w:name="_Toc375041320"/>
      <w:r>
        <w:rPr>
          <w:rFonts w:hint="eastAsia"/>
          <w:lang w:val="en-US" w:eastAsia="zh-CN"/>
        </w:rPr>
        <w:t>一、响应函及</w:t>
      </w:r>
      <w:bookmarkEnd w:id="15"/>
      <w:bookmarkEnd w:id="16"/>
      <w:bookmarkEnd w:id="17"/>
      <w:bookmarkEnd w:id="18"/>
      <w:bookmarkEnd w:id="19"/>
      <w:bookmarkEnd w:id="20"/>
      <w:bookmarkEnd w:id="21"/>
      <w:r>
        <w:rPr>
          <w:rFonts w:hint="eastAsia"/>
          <w:lang w:val="en-US" w:eastAsia="zh-CN"/>
        </w:rPr>
        <w:t>响应函附录</w:t>
      </w:r>
    </w:p>
    <w:p w14:paraId="53633F02">
      <w:pPr>
        <w:pageBreakBefore w:val="0"/>
        <w:widowControl w:val="0"/>
        <w:kinsoku/>
        <w:overflowPunct/>
        <w:autoSpaceDE/>
        <w:autoSpaceDN/>
        <w:bidi w:val="0"/>
        <w:adjustRightInd/>
        <w:spacing w:beforeAutospacing="0" w:afterAutospacing="0" w:line="480" w:lineRule="auto"/>
        <w:jc w:val="center"/>
        <w:rPr>
          <w:rFonts w:hint="eastAsia" w:ascii="宋体" w:hAnsi="宋体" w:eastAsia="宋体" w:cs="宋体"/>
          <w:b/>
          <w:sz w:val="24"/>
        </w:rPr>
      </w:pPr>
      <w:bookmarkStart w:id="22" w:name="_Toc375041321"/>
      <w:bookmarkStart w:id="23" w:name="_Toc375041570"/>
      <w:r>
        <w:rPr>
          <w:rFonts w:hint="eastAsia" w:ascii="宋体" w:hAnsi="宋体" w:eastAsia="宋体" w:cs="宋体"/>
          <w:b/>
          <w:sz w:val="24"/>
        </w:rPr>
        <w:t>（一）响应函</w:t>
      </w:r>
      <w:bookmarkEnd w:id="22"/>
      <w:bookmarkEnd w:id="23"/>
    </w:p>
    <w:p w14:paraId="20139CF7">
      <w:pPr>
        <w:pageBreakBefore w:val="0"/>
        <w:widowControl w:val="0"/>
        <w:kinsoku/>
        <w:overflowPunct/>
        <w:autoSpaceDE/>
        <w:autoSpaceDN/>
        <w:bidi w:val="0"/>
        <w:adjustRightInd/>
        <w:spacing w:beforeAutospacing="0" w:afterAutospacing="0" w:line="480" w:lineRule="auto"/>
        <w:rPr>
          <w:rFonts w:hint="eastAsia" w:ascii="宋体" w:hAnsi="宋体" w:eastAsia="宋体" w:cs="宋体"/>
          <w:sz w:val="24"/>
          <w:szCs w:val="24"/>
          <w:u w:val="single"/>
          <w:lang w:bidi="zh-CN"/>
        </w:rPr>
      </w:pPr>
      <w:r>
        <w:rPr>
          <w:rFonts w:hint="eastAsia" w:ascii="宋体" w:hAnsi="宋体" w:eastAsia="宋体" w:cs="宋体"/>
          <w:sz w:val="24"/>
          <w:szCs w:val="24"/>
          <w:u w:val="single"/>
          <w:lang w:bidi="zh-CN"/>
        </w:rPr>
        <w:t>致：</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（采购人名称）：</w:t>
      </w:r>
    </w:p>
    <w:p w14:paraId="678AE868">
      <w:pPr>
        <w:pageBreakBefore w:val="0"/>
        <w:widowControl w:val="0"/>
        <w:numPr>
          <w:ilvl w:val="0"/>
          <w:numId w:val="3"/>
        </w:numPr>
        <w:kinsoku/>
        <w:wordWrap w:val="0"/>
        <w:overflowPunct/>
        <w:topLinePunct/>
        <w:autoSpaceDE/>
        <w:autoSpaceDN/>
        <w:bidi w:val="0"/>
        <w:adjustRightInd/>
        <w:snapToGrid w:val="0"/>
        <w:spacing w:beforeAutospacing="0" w:afterAutospacing="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zh-CN"/>
        </w:rPr>
        <w:t>我方已仔细研究了</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磋商文件的全部内容，愿以报价</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val="en-US" w:bidi="zh-CN"/>
        </w:rPr>
        <w:t xml:space="preserve"> </w:t>
      </w:r>
      <w:r>
        <w:rPr>
          <w:rFonts w:hint="eastAsia" w:ascii="宋体" w:hAnsi="宋体" w:eastAsia="宋体" w:cs="宋体"/>
          <w:sz w:val="24"/>
          <w:szCs w:val="24"/>
          <w:lang w:bidi="zh-CN"/>
        </w:rPr>
        <w:t>（大写）</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（小写），对本项目进行第一轮报价；服务</w:t>
      </w:r>
      <w:r>
        <w:rPr>
          <w:rFonts w:hint="eastAsia" w:ascii="宋体" w:hAnsi="宋体" w:cs="宋体"/>
          <w:sz w:val="24"/>
          <w:szCs w:val="24"/>
          <w:lang w:val="en-US" w:bidi="zh-CN"/>
        </w:rPr>
        <w:t>周期</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，质量要求</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w:t>
      </w:r>
    </w:p>
    <w:p w14:paraId="6742A730">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u w:val="single"/>
          <w:lang w:bidi="zh-CN"/>
        </w:rPr>
      </w:pPr>
      <w:r>
        <w:rPr>
          <w:rFonts w:hint="eastAsia" w:ascii="宋体" w:hAnsi="宋体" w:eastAsia="宋体" w:cs="宋体"/>
          <w:sz w:val="24"/>
          <w:szCs w:val="24"/>
          <w:lang w:bidi="zh-CN"/>
        </w:rPr>
        <w:t>2．我方承诺在响应文件递交截止之日起</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日历天内不修改、撤销响应文件。</w:t>
      </w:r>
    </w:p>
    <w:p w14:paraId="4E0A4F0A">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3．我方已详细审阅全部竞争性磋商文件，包括修改文件（如果有的话），及有关附件，我方完全知道必须放弃提出含糊不清或误解的权力。</w:t>
      </w:r>
    </w:p>
    <w:p w14:paraId="3ABD7AC6">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4. 我方承认</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u w:val="none"/>
          <w:lang w:bidi="zh-CN"/>
        </w:rPr>
        <w:t>函附表</w:t>
      </w:r>
      <w:r>
        <w:rPr>
          <w:rFonts w:hint="eastAsia" w:ascii="宋体" w:hAnsi="宋体" w:eastAsia="宋体" w:cs="宋体"/>
          <w:sz w:val="24"/>
          <w:szCs w:val="24"/>
          <w:highlight w:val="none"/>
          <w:lang w:bidi="zh-CN"/>
        </w:rPr>
        <w:t>是我方</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lang w:bidi="zh-CN"/>
        </w:rPr>
        <w:t>函的组</w:t>
      </w:r>
      <w:r>
        <w:rPr>
          <w:rFonts w:hint="eastAsia" w:ascii="宋体" w:hAnsi="宋体" w:eastAsia="宋体" w:cs="宋体"/>
          <w:sz w:val="24"/>
          <w:szCs w:val="24"/>
          <w:lang w:bidi="zh-CN"/>
        </w:rPr>
        <w:t>成部分。</w:t>
      </w:r>
    </w:p>
    <w:p w14:paraId="245BE9B2">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5. 一旦我方</w:t>
      </w:r>
      <w:r>
        <w:rPr>
          <w:rFonts w:hint="eastAsia" w:ascii="宋体" w:hAnsi="宋体" w:cs="宋体"/>
          <w:sz w:val="24"/>
          <w:szCs w:val="24"/>
          <w:lang w:bidi="zh-CN"/>
        </w:rPr>
        <w:t>成交</w:t>
      </w:r>
      <w:r>
        <w:rPr>
          <w:rFonts w:hint="eastAsia" w:ascii="宋体" w:hAnsi="宋体" w:eastAsia="宋体" w:cs="宋体"/>
          <w:sz w:val="24"/>
          <w:szCs w:val="24"/>
          <w:lang w:bidi="zh-CN"/>
        </w:rPr>
        <w:t>，我们将按照竞争性磋商文件中规定的各项要求和我们的响应文件中的表述和承诺，按期、按质、按量完成工作内容及义务。</w:t>
      </w:r>
    </w:p>
    <w:p w14:paraId="02C76E28">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6.我方在此声明，所递交的响应文件及有关资料内容完整、真实和准确。</w:t>
      </w:r>
    </w:p>
    <w:p w14:paraId="59081CC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7．若我方</w:t>
      </w:r>
      <w:r>
        <w:rPr>
          <w:rFonts w:hint="eastAsia" w:ascii="宋体" w:hAnsi="宋体" w:cs="宋体"/>
          <w:sz w:val="24"/>
          <w:szCs w:val="24"/>
          <w:lang w:bidi="zh-CN"/>
        </w:rPr>
        <w:t>成交</w:t>
      </w:r>
      <w:r>
        <w:rPr>
          <w:rFonts w:hint="eastAsia" w:ascii="宋体" w:hAnsi="宋体" w:eastAsia="宋体" w:cs="宋体"/>
          <w:sz w:val="24"/>
          <w:szCs w:val="24"/>
          <w:lang w:bidi="zh-CN"/>
        </w:rPr>
        <w:t>，我方承诺按照国家相关规定向代理机构缴纳</w:t>
      </w:r>
      <w:r>
        <w:rPr>
          <w:rFonts w:hint="eastAsia" w:ascii="宋体" w:hAnsi="宋体" w:cs="宋体"/>
          <w:sz w:val="24"/>
          <w:szCs w:val="24"/>
          <w:lang w:bidi="zh-CN"/>
        </w:rPr>
        <w:t>磋商</w:t>
      </w:r>
      <w:r>
        <w:rPr>
          <w:rFonts w:hint="eastAsia" w:ascii="宋体" w:hAnsi="宋体" w:eastAsia="宋体" w:cs="宋体"/>
          <w:sz w:val="24"/>
          <w:szCs w:val="24"/>
          <w:lang w:bidi="zh-CN"/>
        </w:rPr>
        <w:t>代理服务费。</w:t>
      </w:r>
    </w:p>
    <w:p w14:paraId="0B4C85A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8.</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（其他补充说明）。</w:t>
      </w:r>
    </w:p>
    <w:p w14:paraId="7BE5706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p>
    <w:p w14:paraId="6CD924E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3B93E99E">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18A414C1">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575E0D9">
      <w:pPr>
        <w:rPr>
          <w:rFonts w:hint="eastAsia" w:ascii="宋体" w:hAnsi="宋体" w:eastAsia="宋体" w:cs="宋体"/>
          <w:b/>
          <w:bCs/>
          <w:szCs w:val="28"/>
        </w:rPr>
      </w:pPr>
      <w:r>
        <w:rPr>
          <w:rFonts w:hint="eastAsia" w:ascii="宋体" w:hAnsi="宋体" w:eastAsia="宋体" w:cs="宋体"/>
          <w:b/>
          <w:bCs/>
          <w:szCs w:val="28"/>
        </w:rPr>
        <w:br w:type="page"/>
      </w:r>
    </w:p>
    <w:p w14:paraId="6E9A2219">
      <w:pPr>
        <w:pStyle w:val="4"/>
        <w:numPr>
          <w:ilvl w:val="1"/>
          <w:numId w:val="0"/>
        </w:numPr>
        <w:ind w:left="419" w:leftChars="0"/>
        <w:jc w:val="center"/>
        <w:rPr>
          <w:rFonts w:hint="eastAsia" w:ascii="宋体" w:hAnsi="宋体" w:eastAsia="宋体" w:cs="宋体"/>
          <w:bCs/>
          <w:szCs w:val="28"/>
        </w:rPr>
      </w:pPr>
      <w:r>
        <w:rPr>
          <w:rFonts w:hint="eastAsia" w:ascii="宋体" w:hAnsi="宋体" w:eastAsia="宋体" w:cs="宋体"/>
          <w:bCs/>
          <w:szCs w:val="28"/>
        </w:rPr>
        <w:t>（二）响应函附录</w:t>
      </w:r>
    </w:p>
    <w:tbl>
      <w:tblPr>
        <w:tblStyle w:val="20"/>
        <w:tblW w:w="9299" w:type="dxa"/>
        <w:tblInd w:w="-45" w:type="dxa"/>
        <w:tblLayout w:type="fixed"/>
        <w:tblCellMar>
          <w:top w:w="0" w:type="dxa"/>
          <w:left w:w="108" w:type="dxa"/>
          <w:bottom w:w="0" w:type="dxa"/>
          <w:right w:w="108" w:type="dxa"/>
        </w:tblCellMar>
      </w:tblPr>
      <w:tblGrid>
        <w:gridCol w:w="1973"/>
        <w:gridCol w:w="3264"/>
        <w:gridCol w:w="1265"/>
        <w:gridCol w:w="2797"/>
      </w:tblGrid>
      <w:tr w14:paraId="000B529B">
        <w:tblPrEx>
          <w:tblCellMar>
            <w:top w:w="0" w:type="dxa"/>
            <w:left w:w="108" w:type="dxa"/>
            <w:bottom w:w="0" w:type="dxa"/>
            <w:right w:w="108" w:type="dxa"/>
          </w:tblCellMar>
        </w:tblPrEx>
        <w:trPr>
          <w:cantSplit/>
          <w:trHeight w:val="867" w:hRule="exact"/>
        </w:trPr>
        <w:tc>
          <w:tcPr>
            <w:tcW w:w="1973" w:type="dxa"/>
            <w:tcBorders>
              <w:top w:val="single" w:color="000000" w:sz="4" w:space="0"/>
              <w:left w:val="single" w:color="000000" w:sz="4" w:space="0"/>
              <w:bottom w:val="single" w:color="000000" w:sz="4" w:space="0"/>
              <w:right w:val="nil"/>
            </w:tcBorders>
            <w:vAlign w:val="center"/>
          </w:tcPr>
          <w:p w14:paraId="54B999C7">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935FC03">
            <w:pPr>
              <w:suppressAutoHyphens/>
              <w:snapToGrid w:val="0"/>
              <w:spacing w:line="400" w:lineRule="exact"/>
              <w:jc w:val="center"/>
              <w:rPr>
                <w:rFonts w:hint="eastAsia" w:ascii="宋体" w:hAnsi="宋体" w:eastAsia="宋体" w:cs="宋体"/>
                <w:sz w:val="24"/>
                <w:szCs w:val="24"/>
              </w:rPr>
            </w:pPr>
          </w:p>
        </w:tc>
      </w:tr>
      <w:tr w14:paraId="190A0628">
        <w:tblPrEx>
          <w:tblCellMar>
            <w:top w:w="0" w:type="dxa"/>
            <w:left w:w="108" w:type="dxa"/>
            <w:bottom w:w="0" w:type="dxa"/>
            <w:right w:w="108" w:type="dxa"/>
          </w:tblCellMar>
        </w:tblPrEx>
        <w:trPr>
          <w:cantSplit/>
          <w:trHeight w:val="884" w:hRule="exact"/>
        </w:trPr>
        <w:tc>
          <w:tcPr>
            <w:tcW w:w="1973" w:type="dxa"/>
            <w:tcBorders>
              <w:top w:val="single" w:color="000000" w:sz="4" w:space="0"/>
              <w:left w:val="single" w:color="000000" w:sz="4" w:space="0"/>
              <w:bottom w:val="single" w:color="000000" w:sz="4" w:space="0"/>
              <w:right w:val="nil"/>
            </w:tcBorders>
            <w:vAlign w:val="center"/>
          </w:tcPr>
          <w:p w14:paraId="5AE3940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2503E3D">
            <w:pPr>
              <w:suppressAutoHyphens/>
              <w:snapToGrid w:val="0"/>
              <w:spacing w:line="400" w:lineRule="exact"/>
              <w:jc w:val="center"/>
              <w:rPr>
                <w:rFonts w:hint="eastAsia" w:ascii="宋体" w:hAnsi="宋体" w:eastAsia="宋体" w:cs="宋体"/>
                <w:sz w:val="24"/>
                <w:szCs w:val="24"/>
              </w:rPr>
            </w:pPr>
          </w:p>
        </w:tc>
      </w:tr>
      <w:tr w14:paraId="04D3F548">
        <w:tblPrEx>
          <w:tblCellMar>
            <w:top w:w="0" w:type="dxa"/>
            <w:left w:w="108" w:type="dxa"/>
            <w:bottom w:w="0" w:type="dxa"/>
            <w:right w:w="108" w:type="dxa"/>
          </w:tblCellMar>
        </w:tblPrEx>
        <w:trPr>
          <w:cantSplit/>
          <w:trHeight w:val="1256" w:hRule="exact"/>
        </w:trPr>
        <w:tc>
          <w:tcPr>
            <w:tcW w:w="1973" w:type="dxa"/>
            <w:tcBorders>
              <w:top w:val="single" w:color="000000" w:sz="4" w:space="0"/>
              <w:left w:val="single" w:color="000000" w:sz="4" w:space="0"/>
              <w:bottom w:val="single" w:color="000000" w:sz="4" w:space="0"/>
              <w:right w:val="nil"/>
            </w:tcBorders>
            <w:vAlign w:val="center"/>
          </w:tcPr>
          <w:p w14:paraId="4A1A048F">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3264" w:type="dxa"/>
            <w:tcBorders>
              <w:top w:val="single" w:color="000000" w:sz="4" w:space="0"/>
              <w:left w:val="single" w:color="000000" w:sz="4" w:space="0"/>
              <w:bottom w:val="single" w:color="000000" w:sz="4" w:space="0"/>
              <w:right w:val="nil"/>
            </w:tcBorders>
            <w:vAlign w:val="center"/>
          </w:tcPr>
          <w:p w14:paraId="4DB50041">
            <w:pPr>
              <w:suppressAutoHyphens/>
              <w:snapToGrid w:val="0"/>
              <w:spacing w:line="400" w:lineRule="exact"/>
              <w:ind w:firstLine="210"/>
              <w:jc w:val="center"/>
              <w:rPr>
                <w:rFonts w:hint="eastAsia" w:ascii="宋体" w:hAnsi="宋体" w:eastAsia="宋体" w:cs="宋体"/>
                <w:sz w:val="24"/>
                <w:szCs w:val="24"/>
              </w:rPr>
            </w:pPr>
          </w:p>
        </w:tc>
        <w:tc>
          <w:tcPr>
            <w:tcW w:w="1265" w:type="dxa"/>
            <w:tcBorders>
              <w:top w:val="single" w:color="000000" w:sz="4" w:space="0"/>
              <w:left w:val="single" w:color="000000" w:sz="4" w:space="0"/>
              <w:bottom w:val="single" w:color="000000" w:sz="4" w:space="0"/>
              <w:right w:val="nil"/>
            </w:tcBorders>
            <w:vAlign w:val="center"/>
          </w:tcPr>
          <w:p w14:paraId="53D69C26">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797" w:type="dxa"/>
            <w:tcBorders>
              <w:top w:val="single" w:color="000000" w:sz="4" w:space="0"/>
              <w:left w:val="single" w:color="000000" w:sz="4" w:space="0"/>
              <w:bottom w:val="single" w:color="000000" w:sz="4" w:space="0"/>
              <w:right w:val="single" w:color="000000" w:sz="4" w:space="0"/>
            </w:tcBorders>
            <w:vAlign w:val="center"/>
          </w:tcPr>
          <w:p w14:paraId="5B99B569">
            <w:pPr>
              <w:suppressAutoHyphens/>
              <w:snapToGrid w:val="0"/>
              <w:spacing w:line="400" w:lineRule="exact"/>
              <w:rPr>
                <w:rFonts w:hint="eastAsia" w:ascii="宋体" w:hAnsi="宋体" w:eastAsia="宋体" w:cs="宋体"/>
                <w:sz w:val="24"/>
                <w:szCs w:val="24"/>
              </w:rPr>
            </w:pPr>
          </w:p>
        </w:tc>
      </w:tr>
      <w:tr w14:paraId="6FB36D03">
        <w:tblPrEx>
          <w:tblCellMar>
            <w:top w:w="0" w:type="dxa"/>
            <w:left w:w="108" w:type="dxa"/>
            <w:bottom w:w="0" w:type="dxa"/>
            <w:right w:w="108" w:type="dxa"/>
          </w:tblCellMar>
        </w:tblPrEx>
        <w:trPr>
          <w:cantSplit/>
          <w:trHeight w:val="1225" w:hRule="exact"/>
        </w:trPr>
        <w:tc>
          <w:tcPr>
            <w:tcW w:w="1973" w:type="dxa"/>
            <w:tcBorders>
              <w:top w:val="single" w:color="000000" w:sz="4" w:space="0"/>
              <w:left w:val="single" w:color="000000" w:sz="4" w:space="0"/>
              <w:bottom w:val="single" w:color="000000" w:sz="4" w:space="0"/>
              <w:right w:val="nil"/>
            </w:tcBorders>
            <w:vAlign w:val="center"/>
          </w:tcPr>
          <w:p w14:paraId="459368D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第一轮报价</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31034B8">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1BC0908E">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tc>
      </w:tr>
      <w:tr w14:paraId="582D3A0A">
        <w:tblPrEx>
          <w:tblCellMar>
            <w:top w:w="0" w:type="dxa"/>
            <w:left w:w="108" w:type="dxa"/>
            <w:bottom w:w="0" w:type="dxa"/>
            <w:right w:w="108" w:type="dxa"/>
          </w:tblCellMar>
        </w:tblPrEx>
        <w:trPr>
          <w:cantSplit/>
          <w:trHeight w:val="940" w:hRule="exact"/>
        </w:trPr>
        <w:tc>
          <w:tcPr>
            <w:tcW w:w="1973" w:type="dxa"/>
            <w:tcBorders>
              <w:top w:val="single" w:color="000000" w:sz="4" w:space="0"/>
              <w:left w:val="single" w:color="000000" w:sz="4" w:space="0"/>
              <w:bottom w:val="single" w:color="000000" w:sz="4" w:space="0"/>
              <w:right w:val="nil"/>
            </w:tcBorders>
            <w:vAlign w:val="center"/>
          </w:tcPr>
          <w:p w14:paraId="051EAB5D">
            <w:pPr>
              <w:suppressAutoHyphens/>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CA87C57">
            <w:pPr>
              <w:suppressAutoHyphens/>
              <w:autoSpaceDE w:val="0"/>
              <w:snapToGrid w:val="0"/>
              <w:spacing w:line="400" w:lineRule="exact"/>
              <w:rPr>
                <w:rFonts w:hint="eastAsia" w:ascii="宋体" w:hAnsi="宋体" w:eastAsia="宋体" w:cs="宋体"/>
                <w:sz w:val="24"/>
                <w:szCs w:val="24"/>
              </w:rPr>
            </w:pPr>
          </w:p>
        </w:tc>
      </w:tr>
      <w:tr w14:paraId="643E811C">
        <w:tblPrEx>
          <w:tblCellMar>
            <w:top w:w="0" w:type="dxa"/>
            <w:left w:w="108" w:type="dxa"/>
            <w:bottom w:w="0" w:type="dxa"/>
            <w:right w:w="108" w:type="dxa"/>
          </w:tblCellMar>
        </w:tblPrEx>
        <w:trPr>
          <w:cantSplit/>
          <w:trHeight w:val="798" w:hRule="atLeast"/>
        </w:trPr>
        <w:tc>
          <w:tcPr>
            <w:tcW w:w="1973" w:type="dxa"/>
            <w:tcBorders>
              <w:top w:val="single" w:color="000000" w:sz="4" w:space="0"/>
              <w:left w:val="single" w:color="000000" w:sz="4" w:space="0"/>
              <w:bottom w:val="single" w:color="000000" w:sz="4" w:space="0"/>
              <w:right w:val="nil"/>
            </w:tcBorders>
            <w:vAlign w:val="center"/>
          </w:tcPr>
          <w:p w14:paraId="596A2C9E">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475EC19C">
            <w:pPr>
              <w:suppressAutoHyphens/>
              <w:snapToGrid w:val="0"/>
              <w:spacing w:line="400" w:lineRule="exact"/>
              <w:jc w:val="center"/>
              <w:rPr>
                <w:rFonts w:hint="eastAsia" w:ascii="宋体" w:hAnsi="宋体" w:eastAsia="宋体" w:cs="宋体"/>
                <w:sz w:val="24"/>
                <w:szCs w:val="24"/>
              </w:rPr>
            </w:pPr>
          </w:p>
        </w:tc>
      </w:tr>
      <w:tr w14:paraId="2FDE3CB3">
        <w:tblPrEx>
          <w:tblCellMar>
            <w:top w:w="0" w:type="dxa"/>
            <w:left w:w="108" w:type="dxa"/>
            <w:bottom w:w="0" w:type="dxa"/>
            <w:right w:w="108" w:type="dxa"/>
          </w:tblCellMar>
        </w:tblPrEx>
        <w:trPr>
          <w:cantSplit/>
          <w:trHeight w:val="1004" w:hRule="atLeast"/>
        </w:trPr>
        <w:tc>
          <w:tcPr>
            <w:tcW w:w="1973" w:type="dxa"/>
            <w:tcBorders>
              <w:top w:val="single" w:color="000000" w:sz="4" w:space="0"/>
              <w:left w:val="single" w:color="000000" w:sz="4" w:space="0"/>
              <w:bottom w:val="single" w:color="000000" w:sz="4" w:space="0"/>
              <w:right w:val="nil"/>
            </w:tcBorders>
            <w:vAlign w:val="center"/>
          </w:tcPr>
          <w:p w14:paraId="13D76672">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3252277">
            <w:pPr>
              <w:suppressAutoHyphens/>
              <w:snapToGrid w:val="0"/>
              <w:spacing w:line="400" w:lineRule="exact"/>
              <w:jc w:val="center"/>
              <w:rPr>
                <w:rFonts w:hint="eastAsia" w:ascii="宋体" w:hAnsi="宋体" w:eastAsia="宋体" w:cs="宋体"/>
                <w:sz w:val="24"/>
                <w:szCs w:val="24"/>
              </w:rPr>
            </w:pPr>
          </w:p>
        </w:tc>
      </w:tr>
      <w:tr w14:paraId="4B1946B6">
        <w:tblPrEx>
          <w:tblCellMar>
            <w:top w:w="0" w:type="dxa"/>
            <w:left w:w="108" w:type="dxa"/>
            <w:bottom w:w="0" w:type="dxa"/>
            <w:right w:w="108" w:type="dxa"/>
          </w:tblCellMar>
        </w:tblPrEx>
        <w:trPr>
          <w:cantSplit/>
          <w:trHeight w:val="1138" w:hRule="exact"/>
        </w:trPr>
        <w:tc>
          <w:tcPr>
            <w:tcW w:w="1973" w:type="dxa"/>
            <w:tcBorders>
              <w:top w:val="single" w:color="000000" w:sz="4" w:space="0"/>
              <w:left w:val="single" w:color="000000" w:sz="4" w:space="0"/>
              <w:bottom w:val="single" w:color="000000" w:sz="4" w:space="0"/>
              <w:right w:val="nil"/>
            </w:tcBorders>
            <w:vAlign w:val="center"/>
          </w:tcPr>
          <w:p w14:paraId="6ABB34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775CD36F">
            <w:pPr>
              <w:suppressAutoHyphens/>
              <w:snapToGrid w:val="0"/>
              <w:spacing w:line="400" w:lineRule="exact"/>
              <w:jc w:val="center"/>
              <w:rPr>
                <w:rFonts w:hint="eastAsia" w:ascii="宋体" w:hAnsi="宋体" w:eastAsia="宋体" w:cs="宋体"/>
                <w:sz w:val="24"/>
                <w:szCs w:val="24"/>
              </w:rPr>
            </w:pPr>
          </w:p>
        </w:tc>
      </w:tr>
    </w:tbl>
    <w:p w14:paraId="0D9DE110">
      <w:pPr>
        <w:spacing w:line="360" w:lineRule="auto"/>
        <w:ind w:right="720"/>
        <w:jc w:val="center"/>
        <w:rPr>
          <w:rFonts w:hint="eastAsia" w:ascii="宋体" w:hAnsi="宋体" w:eastAsia="宋体" w:cs="宋体"/>
          <w:sz w:val="24"/>
        </w:rPr>
      </w:pPr>
    </w:p>
    <w:p w14:paraId="761A27D4">
      <w:pPr>
        <w:spacing w:line="360" w:lineRule="auto"/>
        <w:ind w:right="720"/>
        <w:jc w:val="center"/>
        <w:rPr>
          <w:rFonts w:hint="eastAsia" w:ascii="宋体" w:hAnsi="宋体" w:eastAsia="宋体" w:cs="宋体"/>
          <w:sz w:val="24"/>
        </w:rPr>
      </w:pPr>
    </w:p>
    <w:p w14:paraId="45C49813">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2725B70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5513E00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C406469">
      <w:pPr>
        <w:rPr>
          <w:rFonts w:hint="eastAsia" w:ascii="宋体" w:hAnsi="宋体" w:eastAsia="宋体" w:cs="宋体"/>
          <w:sz w:val="30"/>
          <w:szCs w:val="30"/>
        </w:rPr>
      </w:pPr>
      <w:r>
        <w:rPr>
          <w:rFonts w:hint="eastAsia" w:ascii="宋体" w:hAnsi="宋体" w:eastAsia="宋体" w:cs="宋体"/>
          <w:sz w:val="30"/>
          <w:szCs w:val="30"/>
        </w:rPr>
        <w:br w:type="page"/>
      </w:r>
    </w:p>
    <w:p w14:paraId="7AAD225E">
      <w:pPr>
        <w:pStyle w:val="4"/>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二、法定代表人身份证明</w:t>
      </w:r>
    </w:p>
    <w:p w14:paraId="52F64008">
      <w:pPr>
        <w:spacing w:line="48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w:t>
      </w:r>
    </w:p>
    <w:p w14:paraId="5FC5DAB1">
      <w:pPr>
        <w:spacing w:line="480" w:lineRule="auto"/>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2A066D93">
      <w:pPr>
        <w:spacing w:line="48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8A7CE14">
      <w:pPr>
        <w:spacing w:line="480" w:lineRule="auto"/>
        <w:rPr>
          <w:rFonts w:hint="eastAsia" w:ascii="宋体" w:hAnsi="宋体" w:eastAsia="宋体" w:cs="宋体"/>
          <w:sz w:val="24"/>
          <w:szCs w:val="24"/>
        </w:rPr>
      </w:pPr>
      <w:r>
        <w:rPr>
          <w:rFonts w:hint="eastAsia" w:ascii="宋体" w:hAnsi="宋体" w:eastAsia="宋体" w:cs="宋体"/>
          <w:sz w:val="24"/>
          <w:szCs w:val="24"/>
        </w:rPr>
        <w:t>成立时间：   年   月   日</w:t>
      </w:r>
    </w:p>
    <w:p w14:paraId="71E12DE8">
      <w:pPr>
        <w:spacing w:line="480" w:lineRule="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1EB9C5B">
      <w:pPr>
        <w:spacing w:line="480" w:lineRule="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6689352D">
      <w:pPr>
        <w:spacing w:line="480" w:lineRule="auto"/>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5C5BC53E">
      <w:pPr>
        <w:spacing w:line="480" w:lineRule="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14:paraId="4887354B">
      <w:pPr>
        <w:spacing w:line="480" w:lineRule="auto"/>
        <w:rPr>
          <w:rFonts w:hint="eastAsia" w:ascii="宋体" w:hAnsi="宋体" w:eastAsia="宋体" w:cs="宋体"/>
          <w:sz w:val="24"/>
          <w:szCs w:val="24"/>
        </w:rPr>
      </w:pPr>
      <w:r>
        <w:rPr>
          <w:rFonts w:hint="eastAsia" w:ascii="宋体" w:hAnsi="宋体" w:eastAsia="宋体" w:cs="宋体"/>
          <w:sz w:val="24"/>
          <w:szCs w:val="24"/>
        </w:rPr>
        <w:t>特此证明。</w:t>
      </w:r>
    </w:p>
    <w:p w14:paraId="2182A1F7">
      <w:pPr>
        <w:spacing w:line="480" w:lineRule="auto"/>
        <w:ind w:right="480"/>
        <w:rPr>
          <w:rFonts w:hint="eastAsia" w:ascii="宋体" w:hAnsi="宋体" w:eastAsia="宋体" w:cs="宋体"/>
          <w:sz w:val="24"/>
          <w:szCs w:val="24"/>
        </w:rPr>
      </w:pPr>
    </w:p>
    <w:p w14:paraId="7BA2F625">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0504271C">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70C541CD">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7EB85C9A">
      <w:pPr>
        <w:spacing w:line="480" w:lineRule="auto"/>
        <w:rPr>
          <w:rFonts w:hint="eastAsia" w:ascii="宋体" w:hAnsi="宋体" w:eastAsia="宋体" w:cs="宋体"/>
          <w:b/>
          <w:sz w:val="24"/>
          <w:szCs w:val="24"/>
        </w:rPr>
      </w:pPr>
      <w:r>
        <w:rPr>
          <w:rFonts w:hint="eastAsia" w:ascii="宋体" w:hAnsi="宋体" w:eastAsia="宋体" w:cs="宋体"/>
          <w:b/>
          <w:sz w:val="24"/>
          <w:szCs w:val="24"/>
        </w:rPr>
        <w:t>（后附法定代表人身份证扫描件）</w:t>
      </w:r>
    </w:p>
    <w:p w14:paraId="6F0C8190">
      <w:pPr>
        <w:rPr>
          <w:rFonts w:hint="eastAsia" w:ascii="宋体" w:hAnsi="宋体" w:eastAsia="宋体" w:cs="宋体"/>
        </w:rPr>
      </w:pPr>
    </w:p>
    <w:p w14:paraId="7AE7367B">
      <w:pPr>
        <w:rPr>
          <w:rFonts w:hint="eastAsia" w:ascii="宋体" w:hAnsi="宋体" w:eastAsia="宋体" w:cs="宋体"/>
        </w:rPr>
      </w:pPr>
    </w:p>
    <w:p w14:paraId="041579F1">
      <w:pPr>
        <w:rPr>
          <w:rFonts w:hint="eastAsia" w:ascii="宋体" w:hAnsi="宋体" w:eastAsia="宋体" w:cs="宋体"/>
        </w:rPr>
      </w:pPr>
    </w:p>
    <w:p w14:paraId="0EC91463">
      <w:pPr>
        <w:rPr>
          <w:rFonts w:hint="eastAsia" w:ascii="宋体" w:hAnsi="宋体" w:eastAsia="宋体" w:cs="宋体"/>
        </w:rPr>
      </w:pPr>
    </w:p>
    <w:p w14:paraId="41287465">
      <w:pPr>
        <w:pStyle w:val="4"/>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jc w:val="center"/>
        <w:textAlignment w:val="baseline"/>
        <w:rPr>
          <w:rFonts w:hint="eastAsia" w:ascii="宋体" w:hAnsi="宋体" w:eastAsia="宋体" w:cs="宋体"/>
          <w:sz w:val="24"/>
        </w:rPr>
      </w:pPr>
      <w:r>
        <w:rPr>
          <w:rFonts w:hint="eastAsia" w:ascii="宋体" w:hAnsi="宋体" w:eastAsia="宋体" w:cs="宋体"/>
          <w:sz w:val="30"/>
          <w:szCs w:val="30"/>
        </w:rPr>
        <w:br w:type="page"/>
      </w:r>
      <w:r>
        <w:rPr>
          <w:rFonts w:hint="eastAsia" w:ascii="宋体" w:hAnsi="宋体" w:eastAsia="宋体" w:cs="宋体"/>
          <w:sz w:val="30"/>
          <w:szCs w:val="30"/>
        </w:rPr>
        <w:t>三、授权委托书</w:t>
      </w:r>
    </w:p>
    <w:p w14:paraId="5F3975E7">
      <w:pPr>
        <w:spacing w:line="48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（供应商名称）</w:t>
      </w:r>
      <w:r>
        <w:rPr>
          <w:rFonts w:hint="eastAsia" w:ascii="宋体" w:hAnsi="宋体" w:eastAsia="宋体" w:cs="宋体"/>
          <w:sz w:val="24"/>
        </w:rPr>
        <w:t>的法定代表人，现委托</w:t>
      </w:r>
    </w:p>
    <w:p w14:paraId="7BF0774F">
      <w:pPr>
        <w:spacing w:line="480" w:lineRule="auto"/>
        <w:rPr>
          <w:rFonts w:hint="eastAsia" w:ascii="宋体" w:hAnsi="宋体" w:eastAsia="宋体" w:cs="宋体"/>
          <w:sz w:val="24"/>
        </w:rPr>
      </w:pP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（项目名称）</w:t>
      </w:r>
      <w:r>
        <w:rPr>
          <w:rFonts w:hint="eastAsia" w:ascii="宋体" w:hAnsi="宋体" w:eastAsia="宋体" w:cs="宋体"/>
          <w:sz w:val="24"/>
        </w:rPr>
        <w:t>竞争性磋商文件、签订合同和处理有关事宜，其法律后果由我方承担。</w:t>
      </w:r>
    </w:p>
    <w:p w14:paraId="67EE731D">
      <w:pPr>
        <w:spacing w:beforeLines="50" w:line="48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w:t>
      </w:r>
    </w:p>
    <w:p w14:paraId="4602D3FD">
      <w:pPr>
        <w:spacing w:beforeLines="100" w:afterLines="100" w:line="48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555BE789">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162D5430">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258B43DE">
      <w:pPr>
        <w:spacing w:line="480" w:lineRule="auto"/>
        <w:ind w:firstLine="3360" w:firstLineChars="14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（签字）</w:t>
      </w:r>
    </w:p>
    <w:p w14:paraId="606A72F3">
      <w:pPr>
        <w:spacing w:line="360" w:lineRule="auto"/>
        <w:ind w:left="2940" w:leftChars="1400" w:firstLine="360" w:firstLineChars="15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EC517CF">
      <w:pPr>
        <w:rPr>
          <w:rFonts w:hint="eastAsia" w:ascii="宋体" w:hAnsi="宋体" w:eastAsia="宋体" w:cs="宋体"/>
        </w:rPr>
      </w:pPr>
    </w:p>
    <w:p w14:paraId="726F018A">
      <w:pPr>
        <w:spacing w:line="480" w:lineRule="auto"/>
        <w:ind w:firstLine="2409" w:firstLineChars="1000"/>
        <w:rPr>
          <w:rFonts w:hint="eastAsia" w:ascii="宋体" w:hAnsi="宋体" w:eastAsia="宋体" w:cs="宋体"/>
          <w:b/>
          <w:sz w:val="24"/>
          <w:szCs w:val="24"/>
        </w:rPr>
      </w:pPr>
      <w:r>
        <w:rPr>
          <w:rFonts w:hint="eastAsia" w:ascii="宋体" w:hAnsi="宋体" w:eastAsia="宋体" w:cs="宋体"/>
          <w:b/>
          <w:sz w:val="24"/>
          <w:szCs w:val="24"/>
        </w:rPr>
        <w:t>（后附法定代表人、委托代理人身份证扫描件）</w:t>
      </w:r>
      <w:bookmarkStart w:id="24" w:name="OLE_LINK5"/>
      <w:bookmarkStart w:id="25" w:name="OLE_LINK6"/>
    </w:p>
    <w:p w14:paraId="222C174B">
      <w:pPr>
        <w:widowControl/>
        <w:suppressAutoHyphens/>
        <w:spacing w:line="480" w:lineRule="exact"/>
        <w:ind w:firstLine="482" w:firstLineChars="200"/>
        <w:jc w:val="left"/>
        <w:rPr>
          <w:rFonts w:hint="eastAsia" w:ascii="宋体" w:hAnsi="宋体" w:cs="宋体"/>
          <w:b/>
          <w:bCs/>
          <w:color w:val="auto"/>
          <w:kern w:val="0"/>
          <w:sz w:val="24"/>
          <w:szCs w:val="24"/>
          <w:highlight w:val="none"/>
        </w:rPr>
      </w:pPr>
    </w:p>
    <w:p w14:paraId="4245B83A">
      <w:pPr>
        <w:widowControl/>
        <w:suppressAutoHyphens/>
        <w:spacing w:line="480" w:lineRule="exact"/>
        <w:jc w:val="left"/>
        <w:rPr>
          <w:rFonts w:ascii="宋体" w:hAnsi="宋体" w:cs="宋体"/>
          <w:b/>
          <w:bCs/>
          <w:color w:val="auto"/>
          <w:kern w:val="1"/>
          <w:sz w:val="24"/>
          <w:szCs w:val="24"/>
          <w:highlight w:val="none"/>
        </w:rPr>
      </w:pPr>
      <w:r>
        <w:rPr>
          <w:rFonts w:hint="eastAsia" w:ascii="宋体" w:hAnsi="宋体" w:cs="宋体"/>
          <w:b/>
          <w:bCs/>
          <w:color w:val="auto"/>
          <w:kern w:val="0"/>
          <w:sz w:val="24"/>
          <w:szCs w:val="24"/>
          <w:highlight w:val="none"/>
        </w:rPr>
        <w:t>注：因</w:t>
      </w:r>
      <w:r>
        <w:rPr>
          <w:rFonts w:hint="eastAsia" w:ascii="宋体" w:hAnsi="宋体" w:cs="宋体"/>
          <w:b/>
          <w:bCs/>
          <w:color w:val="auto"/>
          <w:kern w:val="0"/>
          <w:sz w:val="24"/>
          <w:szCs w:val="24"/>
          <w:highlight w:val="none"/>
          <w:lang w:eastAsia="zh-CN"/>
        </w:rPr>
        <w:t>响应</w:t>
      </w:r>
      <w:r>
        <w:rPr>
          <w:rFonts w:hint="eastAsia" w:ascii="宋体" w:hAnsi="宋体" w:cs="宋体"/>
          <w:b/>
          <w:bCs/>
          <w:color w:val="auto"/>
          <w:kern w:val="0"/>
          <w:sz w:val="24"/>
          <w:szCs w:val="24"/>
          <w:highlight w:val="none"/>
        </w:rPr>
        <w:t>文件中授权委托书授权代理人无法手写签字，可以以印刷体代替（印刷体为电脑打出的字体）。</w:t>
      </w:r>
    </w:p>
    <w:p w14:paraId="76614B09">
      <w:pPr>
        <w:rPr>
          <w:rFonts w:hint="eastAsia" w:ascii="宋体" w:hAnsi="宋体" w:eastAsia="宋体" w:cs="宋体"/>
        </w:rPr>
      </w:pPr>
    </w:p>
    <w:p w14:paraId="66C73474">
      <w:pPr>
        <w:rPr>
          <w:rFonts w:hint="eastAsia" w:ascii="宋体" w:hAnsi="宋体" w:eastAsia="宋体" w:cs="宋体"/>
        </w:rPr>
      </w:pPr>
    </w:p>
    <w:p w14:paraId="1495F356">
      <w:pPr>
        <w:rPr>
          <w:rFonts w:hint="eastAsia" w:ascii="宋体" w:hAnsi="宋体" w:eastAsia="宋体" w:cs="宋体"/>
        </w:rPr>
      </w:pPr>
    </w:p>
    <w:bookmarkEnd w:id="24"/>
    <w:bookmarkEnd w:id="25"/>
    <w:p w14:paraId="0189A58F">
      <w:pPr>
        <w:rPr>
          <w:rFonts w:hint="eastAsia" w:ascii="宋体" w:hAnsi="宋体" w:eastAsia="宋体" w:cs="宋体"/>
        </w:rPr>
      </w:pPr>
      <w:r>
        <w:rPr>
          <w:rFonts w:hint="eastAsia" w:ascii="宋体" w:hAnsi="宋体" w:eastAsia="宋体" w:cs="宋体"/>
        </w:rPr>
        <w:br w:type="page"/>
      </w:r>
    </w:p>
    <w:p w14:paraId="6B5A5B17">
      <w:pPr>
        <w:pStyle w:val="4"/>
        <w:numPr>
          <w:ilvl w:val="1"/>
          <w:numId w:val="0"/>
        </w:numPr>
        <w:ind w:left="419" w:leftChars="0"/>
        <w:jc w:val="center"/>
        <w:rPr>
          <w:rFonts w:hint="eastAsia" w:ascii="宋体" w:hAnsi="宋体" w:eastAsia="宋体" w:cs="宋体"/>
          <w:sz w:val="30"/>
          <w:szCs w:val="30"/>
          <w:lang w:val="en-US" w:eastAsia="zh-CN"/>
        </w:rPr>
      </w:pPr>
      <w:r>
        <w:rPr>
          <w:rFonts w:hint="eastAsia" w:ascii="宋体" w:hAnsi="宋体" w:eastAsia="宋体" w:cs="宋体"/>
          <w:sz w:val="30"/>
          <w:szCs w:val="30"/>
        </w:rPr>
        <w:t>四、资格审查</w:t>
      </w:r>
      <w:r>
        <w:rPr>
          <w:rFonts w:hint="eastAsia" w:ascii="宋体" w:hAnsi="宋体" w:eastAsia="宋体" w:cs="宋体"/>
          <w:sz w:val="30"/>
          <w:szCs w:val="30"/>
          <w:lang w:val="en-US" w:eastAsia="zh-CN"/>
        </w:rPr>
        <w:t>资料</w:t>
      </w:r>
    </w:p>
    <w:p w14:paraId="6C20363D">
      <w:pPr>
        <w:rPr>
          <w:rFonts w:hint="eastAsia" w:ascii="宋体" w:hAnsi="宋体" w:eastAsia="宋体" w:cs="宋体"/>
          <w:sz w:val="24"/>
          <w:szCs w:val="24"/>
        </w:rPr>
      </w:pPr>
    </w:p>
    <w:p w14:paraId="7B529F8D">
      <w:pPr>
        <w:jc w:val="left"/>
        <w:rPr>
          <w:rFonts w:hint="eastAsia" w:ascii="宋体" w:hAnsi="宋体" w:eastAsia="宋体" w:cs="宋体"/>
          <w:sz w:val="30"/>
          <w:szCs w:val="30"/>
        </w:rPr>
      </w:pPr>
      <w:r>
        <w:rPr>
          <w:rFonts w:hint="eastAsia" w:ascii="宋体" w:hAnsi="宋体" w:eastAsia="宋体" w:cs="宋体"/>
          <w:sz w:val="30"/>
          <w:szCs w:val="30"/>
        </w:rPr>
        <w:br w:type="page"/>
      </w:r>
    </w:p>
    <w:p w14:paraId="559726E9">
      <w:pPr>
        <w:pStyle w:val="4"/>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五、供应商基本情况表</w:t>
      </w:r>
    </w:p>
    <w:p w14:paraId="6A4638EB">
      <w:pPr>
        <w:spacing w:beforeLines="50" w:afterLines="100" w:line="440" w:lineRule="exact"/>
        <w:rPr>
          <w:rFonts w:hint="eastAsia" w:ascii="宋体" w:hAnsi="宋体" w:eastAsia="宋体" w:cs="宋体"/>
          <w:sz w:val="24"/>
          <w:szCs w:val="24"/>
        </w:rPr>
      </w:pPr>
      <w:r>
        <w:rPr>
          <w:rFonts w:hint="eastAsia" w:ascii="宋体" w:hAnsi="宋体" w:eastAsia="宋体" w:cs="宋体"/>
          <w:sz w:val="24"/>
          <w:szCs w:val="24"/>
        </w:rPr>
        <w:t>1、供应商基本情况表</w:t>
      </w:r>
    </w:p>
    <w:tbl>
      <w:tblPr>
        <w:tblStyle w:val="20"/>
        <w:tblW w:w="9219" w:type="dxa"/>
        <w:jc w:val="center"/>
        <w:tblLayout w:type="fixed"/>
        <w:tblCellMar>
          <w:top w:w="0" w:type="dxa"/>
          <w:left w:w="84" w:type="dxa"/>
          <w:bottom w:w="0" w:type="dxa"/>
          <w:right w:w="0" w:type="dxa"/>
        </w:tblCellMar>
      </w:tblPr>
      <w:tblGrid>
        <w:gridCol w:w="2096"/>
        <w:gridCol w:w="1163"/>
        <w:gridCol w:w="2152"/>
        <w:gridCol w:w="1433"/>
        <w:gridCol w:w="2375"/>
      </w:tblGrid>
      <w:tr w14:paraId="402187DB">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26563">
            <w:pPr>
              <w:widowControl/>
              <w:spacing w:line="360" w:lineRule="auto"/>
              <w:jc w:val="center"/>
              <w:rPr>
                <w:rFonts w:ascii="宋体" w:hAnsi="宋体" w:cs="宋体"/>
                <w:color w:val="auto"/>
                <w:sz w:val="24"/>
                <w:szCs w:val="24"/>
                <w:highlight w:val="none"/>
              </w:rPr>
            </w:pP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cs="宋体"/>
                <w:color w:val="auto"/>
                <w:sz w:val="24"/>
                <w:szCs w:val="24"/>
                <w:highlight w:val="none"/>
              </w:rPr>
              <w:t>名称</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C288EE0">
            <w:pPr>
              <w:widowControl/>
              <w:spacing w:line="360" w:lineRule="auto"/>
              <w:jc w:val="center"/>
              <w:rPr>
                <w:rFonts w:ascii="宋体" w:hAnsi="宋体" w:cs="宋体"/>
                <w:color w:val="auto"/>
                <w:sz w:val="24"/>
                <w:szCs w:val="24"/>
                <w:highlight w:val="none"/>
              </w:rPr>
            </w:pPr>
          </w:p>
        </w:tc>
      </w:tr>
      <w:tr w14:paraId="17124CBE">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A999759">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15" w:type="dxa"/>
            <w:gridSpan w:val="2"/>
            <w:tcBorders>
              <w:top w:val="single" w:color="auto" w:sz="4" w:space="0"/>
              <w:left w:val="single" w:color="auto" w:sz="4" w:space="0"/>
              <w:bottom w:val="single" w:color="auto" w:sz="4" w:space="0"/>
              <w:right w:val="single" w:color="auto" w:sz="4" w:space="0"/>
            </w:tcBorders>
            <w:vAlign w:val="center"/>
          </w:tcPr>
          <w:p w14:paraId="18D9AAD0">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7FFB8C5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75" w:type="dxa"/>
            <w:tcBorders>
              <w:top w:val="single" w:color="auto" w:sz="4" w:space="0"/>
              <w:left w:val="single" w:color="auto" w:sz="4" w:space="0"/>
              <w:bottom w:val="single" w:color="auto" w:sz="4" w:space="0"/>
              <w:right w:val="single" w:color="auto" w:sz="4" w:space="0"/>
            </w:tcBorders>
            <w:vAlign w:val="center"/>
          </w:tcPr>
          <w:p w14:paraId="4CD32866">
            <w:pPr>
              <w:widowControl/>
              <w:spacing w:line="360" w:lineRule="auto"/>
              <w:jc w:val="center"/>
              <w:rPr>
                <w:rFonts w:ascii="宋体" w:hAnsi="宋体" w:cs="宋体"/>
                <w:color w:val="auto"/>
                <w:sz w:val="24"/>
                <w:szCs w:val="24"/>
                <w:highlight w:val="none"/>
              </w:rPr>
            </w:pPr>
          </w:p>
        </w:tc>
      </w:tr>
      <w:tr w14:paraId="154387CF">
        <w:tblPrEx>
          <w:tblCellMar>
            <w:top w:w="0" w:type="dxa"/>
            <w:left w:w="84" w:type="dxa"/>
            <w:bottom w:w="0" w:type="dxa"/>
            <w:right w:w="0" w:type="dxa"/>
          </w:tblCellMar>
        </w:tblPrEx>
        <w:trPr>
          <w:trHeight w:val="713" w:hRule="atLeast"/>
          <w:jc w:val="center"/>
        </w:trPr>
        <w:tc>
          <w:tcPr>
            <w:tcW w:w="2096" w:type="dxa"/>
            <w:vMerge w:val="restart"/>
            <w:tcBorders>
              <w:top w:val="single" w:color="auto" w:sz="4" w:space="0"/>
              <w:left w:val="single" w:color="auto" w:sz="4" w:space="0"/>
              <w:right w:val="single" w:color="auto" w:sz="4" w:space="0"/>
            </w:tcBorders>
            <w:vAlign w:val="center"/>
          </w:tcPr>
          <w:p w14:paraId="36A6D5E5">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63" w:type="dxa"/>
            <w:tcBorders>
              <w:top w:val="single" w:color="auto" w:sz="4" w:space="0"/>
              <w:left w:val="single" w:color="auto" w:sz="4" w:space="0"/>
              <w:bottom w:val="single" w:color="auto" w:sz="4" w:space="0"/>
              <w:right w:val="single" w:color="auto" w:sz="4" w:space="0"/>
            </w:tcBorders>
            <w:vAlign w:val="center"/>
          </w:tcPr>
          <w:p w14:paraId="54F1CE6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152" w:type="dxa"/>
            <w:tcBorders>
              <w:top w:val="single" w:color="auto" w:sz="4" w:space="0"/>
              <w:left w:val="single" w:color="auto" w:sz="4" w:space="0"/>
              <w:bottom w:val="single" w:color="auto" w:sz="4" w:space="0"/>
              <w:right w:val="single" w:color="auto" w:sz="4" w:space="0"/>
            </w:tcBorders>
            <w:vAlign w:val="center"/>
          </w:tcPr>
          <w:p w14:paraId="3413413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0C1F636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55F643A0">
            <w:pPr>
              <w:widowControl/>
              <w:spacing w:line="360" w:lineRule="auto"/>
              <w:jc w:val="center"/>
              <w:rPr>
                <w:rFonts w:ascii="宋体" w:hAnsi="宋体" w:cs="宋体"/>
                <w:color w:val="auto"/>
                <w:sz w:val="24"/>
                <w:szCs w:val="24"/>
                <w:highlight w:val="none"/>
              </w:rPr>
            </w:pPr>
          </w:p>
        </w:tc>
      </w:tr>
      <w:tr w14:paraId="2C4709CE">
        <w:tblPrEx>
          <w:tblCellMar>
            <w:top w:w="0" w:type="dxa"/>
            <w:left w:w="84" w:type="dxa"/>
            <w:bottom w:w="0" w:type="dxa"/>
            <w:right w:w="0" w:type="dxa"/>
          </w:tblCellMar>
        </w:tblPrEx>
        <w:trPr>
          <w:trHeight w:val="713" w:hRule="atLeast"/>
          <w:jc w:val="center"/>
        </w:trPr>
        <w:tc>
          <w:tcPr>
            <w:tcW w:w="2096" w:type="dxa"/>
            <w:vMerge w:val="continue"/>
            <w:tcBorders>
              <w:left w:val="single" w:color="auto" w:sz="4" w:space="0"/>
              <w:bottom w:val="single" w:color="auto" w:sz="4" w:space="0"/>
              <w:right w:val="single" w:color="auto" w:sz="4" w:space="0"/>
            </w:tcBorders>
            <w:vAlign w:val="center"/>
          </w:tcPr>
          <w:p w14:paraId="4421D917">
            <w:pPr>
              <w:widowControl/>
              <w:spacing w:line="360" w:lineRule="auto"/>
              <w:jc w:val="center"/>
              <w:rPr>
                <w:rFonts w:ascii="宋体" w:hAnsi="宋体" w:cs="宋体"/>
                <w:color w:val="auto"/>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EC677AB">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2152" w:type="dxa"/>
            <w:tcBorders>
              <w:top w:val="single" w:color="auto" w:sz="4" w:space="0"/>
              <w:left w:val="single" w:color="auto" w:sz="4" w:space="0"/>
              <w:bottom w:val="single" w:color="auto" w:sz="4" w:space="0"/>
              <w:right w:val="single" w:color="auto" w:sz="4" w:space="0"/>
            </w:tcBorders>
            <w:vAlign w:val="center"/>
          </w:tcPr>
          <w:p w14:paraId="539DBE5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5BACE07E">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375" w:type="dxa"/>
            <w:tcBorders>
              <w:top w:val="single" w:color="auto" w:sz="4" w:space="0"/>
              <w:left w:val="single" w:color="auto" w:sz="4" w:space="0"/>
              <w:bottom w:val="single" w:color="auto" w:sz="4" w:space="0"/>
              <w:right w:val="single" w:color="auto" w:sz="4" w:space="0"/>
            </w:tcBorders>
            <w:vAlign w:val="center"/>
          </w:tcPr>
          <w:p w14:paraId="171BD861">
            <w:pPr>
              <w:widowControl/>
              <w:spacing w:line="360" w:lineRule="auto"/>
              <w:jc w:val="center"/>
              <w:rPr>
                <w:rFonts w:ascii="宋体" w:hAnsi="宋体" w:cs="宋体"/>
                <w:color w:val="auto"/>
                <w:sz w:val="24"/>
                <w:szCs w:val="24"/>
                <w:highlight w:val="none"/>
              </w:rPr>
            </w:pPr>
          </w:p>
        </w:tc>
      </w:tr>
      <w:tr w14:paraId="05C931C7">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FEA28">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63" w:type="dxa"/>
            <w:tcBorders>
              <w:top w:val="single" w:color="auto" w:sz="4" w:space="0"/>
              <w:left w:val="single" w:color="auto" w:sz="4" w:space="0"/>
              <w:bottom w:val="single" w:color="auto" w:sz="4" w:space="0"/>
              <w:right w:val="single" w:color="auto" w:sz="4" w:space="0"/>
            </w:tcBorders>
            <w:vAlign w:val="center"/>
          </w:tcPr>
          <w:p w14:paraId="31ACFFB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152" w:type="dxa"/>
            <w:tcBorders>
              <w:top w:val="single" w:color="auto" w:sz="4" w:space="0"/>
              <w:left w:val="single" w:color="auto" w:sz="4" w:space="0"/>
              <w:bottom w:val="single" w:color="auto" w:sz="4" w:space="0"/>
              <w:right w:val="single" w:color="auto" w:sz="4" w:space="0"/>
            </w:tcBorders>
            <w:vAlign w:val="center"/>
          </w:tcPr>
          <w:p w14:paraId="53899CA2">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3B0612F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7DEE74E7">
            <w:pPr>
              <w:widowControl/>
              <w:spacing w:line="360" w:lineRule="auto"/>
              <w:jc w:val="center"/>
              <w:rPr>
                <w:rFonts w:ascii="宋体" w:hAnsi="宋体" w:cs="宋体"/>
                <w:color w:val="auto"/>
                <w:sz w:val="24"/>
                <w:szCs w:val="24"/>
                <w:highlight w:val="none"/>
              </w:rPr>
            </w:pPr>
          </w:p>
        </w:tc>
      </w:tr>
      <w:tr w14:paraId="05D57FD1">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CECACD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0B51B74">
            <w:pPr>
              <w:widowControl/>
              <w:spacing w:line="360" w:lineRule="auto"/>
              <w:jc w:val="center"/>
              <w:rPr>
                <w:rFonts w:ascii="宋体" w:hAnsi="宋体" w:cs="宋体"/>
                <w:color w:val="auto"/>
                <w:sz w:val="24"/>
                <w:szCs w:val="24"/>
                <w:highlight w:val="none"/>
              </w:rPr>
            </w:pPr>
          </w:p>
        </w:tc>
      </w:tr>
      <w:tr w14:paraId="275F21C6">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40927C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0FED06D5">
            <w:pPr>
              <w:widowControl/>
              <w:spacing w:line="360" w:lineRule="auto"/>
              <w:jc w:val="center"/>
              <w:rPr>
                <w:rFonts w:ascii="宋体" w:hAnsi="宋体" w:cs="宋体"/>
                <w:color w:val="auto"/>
                <w:sz w:val="24"/>
                <w:szCs w:val="24"/>
                <w:highlight w:val="none"/>
              </w:rPr>
            </w:pPr>
          </w:p>
        </w:tc>
      </w:tr>
      <w:tr w14:paraId="23D95606">
        <w:tblPrEx>
          <w:tblCellMar>
            <w:top w:w="0" w:type="dxa"/>
            <w:left w:w="84" w:type="dxa"/>
            <w:bottom w:w="0" w:type="dxa"/>
            <w:right w:w="0" w:type="dxa"/>
          </w:tblCellMar>
        </w:tblPrEx>
        <w:trPr>
          <w:trHeight w:val="356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AFB53B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365569E3">
            <w:pPr>
              <w:widowControl/>
              <w:spacing w:line="360" w:lineRule="auto"/>
              <w:jc w:val="center"/>
              <w:rPr>
                <w:rFonts w:ascii="宋体" w:hAnsi="宋体" w:cs="宋体"/>
                <w:color w:val="auto"/>
                <w:sz w:val="24"/>
                <w:szCs w:val="24"/>
                <w:highlight w:val="none"/>
              </w:rPr>
            </w:pPr>
          </w:p>
        </w:tc>
      </w:tr>
      <w:tr w14:paraId="0DF4BEA8">
        <w:tblPrEx>
          <w:tblCellMar>
            <w:top w:w="0" w:type="dxa"/>
            <w:left w:w="84" w:type="dxa"/>
            <w:bottom w:w="0" w:type="dxa"/>
            <w:right w:w="0" w:type="dxa"/>
          </w:tblCellMar>
        </w:tblPrEx>
        <w:trPr>
          <w:trHeight w:val="847"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1E9DAEA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29A8BAB1">
            <w:pPr>
              <w:widowControl/>
              <w:spacing w:line="360" w:lineRule="auto"/>
              <w:jc w:val="center"/>
              <w:rPr>
                <w:rFonts w:ascii="宋体" w:hAnsi="宋体" w:cs="宋体"/>
                <w:color w:val="auto"/>
                <w:sz w:val="24"/>
                <w:szCs w:val="24"/>
                <w:highlight w:val="none"/>
              </w:rPr>
            </w:pPr>
          </w:p>
        </w:tc>
      </w:tr>
    </w:tbl>
    <w:p w14:paraId="67A58249">
      <w:pPr>
        <w:tabs>
          <w:tab w:val="left" w:pos="1135"/>
        </w:tabs>
        <w:spacing w:line="360" w:lineRule="auto"/>
        <w:ind w:left="360" w:hanging="360"/>
        <w:rPr>
          <w:rFonts w:hint="eastAsia" w:ascii="宋体" w:hAnsi="宋体" w:eastAsia="宋体" w:cs="宋体"/>
          <w:sz w:val="24"/>
          <w:szCs w:val="24"/>
          <w:u w:val="single"/>
        </w:rPr>
      </w:pPr>
      <w:r>
        <w:rPr>
          <w:rFonts w:hint="eastAsia" w:ascii="宋体" w:hAnsi="宋体" w:eastAsia="宋体" w:cs="宋体"/>
          <w:sz w:val="24"/>
          <w:szCs w:val="24"/>
        </w:rPr>
        <w:t>注：本表不够时可自制和扩</w:t>
      </w:r>
      <w:r>
        <w:rPr>
          <w:rFonts w:hint="eastAsia" w:ascii="宋体" w:hAnsi="宋体" w:eastAsia="宋体" w:cs="宋体"/>
          <w:sz w:val="24"/>
          <w:szCs w:val="24"/>
          <w:u w:val="none"/>
        </w:rPr>
        <w:t>展。</w:t>
      </w:r>
    </w:p>
    <w:p w14:paraId="7662CFCE">
      <w:pPr>
        <w:spacing w:line="360" w:lineRule="auto"/>
        <w:ind w:left="2940" w:leftChars="1400" w:firstLine="360" w:firstLineChars="150"/>
        <w:rPr>
          <w:rFonts w:hint="eastAsia" w:ascii="宋体" w:hAnsi="宋体" w:eastAsia="宋体" w:cs="宋体"/>
          <w:sz w:val="24"/>
          <w:szCs w:val="24"/>
        </w:rPr>
      </w:pPr>
    </w:p>
    <w:p w14:paraId="78D99743">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46568947">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3918838B">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3C198EE7">
      <w:pPr>
        <w:rPr>
          <w:rFonts w:hint="eastAsia" w:ascii="宋体" w:hAnsi="宋体" w:eastAsia="宋体" w:cs="宋体"/>
          <w:sz w:val="24"/>
          <w:szCs w:val="24"/>
        </w:rPr>
      </w:pPr>
    </w:p>
    <w:p w14:paraId="23DB83C5">
      <w:pPr>
        <w:rPr>
          <w:rFonts w:hint="eastAsia" w:ascii="宋体" w:hAnsi="宋体" w:eastAsia="宋体" w:cs="宋体"/>
          <w:sz w:val="24"/>
          <w:szCs w:val="24"/>
        </w:rPr>
      </w:pPr>
    </w:p>
    <w:p w14:paraId="4266E988">
      <w:pPr>
        <w:spacing w:beforeLines="50" w:afterLines="50"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2、近年来完成的类似项目情况表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14:paraId="140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47C17D6F">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89" w:type="dxa"/>
            <w:vAlign w:val="center"/>
          </w:tcPr>
          <w:p w14:paraId="09FEB497">
            <w:pPr>
              <w:jc w:val="center"/>
              <w:rPr>
                <w:rFonts w:hint="eastAsia" w:ascii="宋体" w:hAnsi="宋体" w:eastAsia="宋体" w:cs="宋体"/>
                <w:sz w:val="24"/>
                <w:szCs w:val="24"/>
              </w:rPr>
            </w:pPr>
          </w:p>
        </w:tc>
      </w:tr>
      <w:tr w14:paraId="061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0C8FD5E">
            <w:pPr>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5889" w:type="dxa"/>
            <w:vAlign w:val="center"/>
          </w:tcPr>
          <w:p w14:paraId="1F6EE0E5">
            <w:pPr>
              <w:jc w:val="center"/>
              <w:rPr>
                <w:rFonts w:hint="eastAsia" w:ascii="宋体" w:hAnsi="宋体" w:eastAsia="宋体" w:cs="宋体"/>
                <w:sz w:val="24"/>
                <w:szCs w:val="24"/>
              </w:rPr>
            </w:pPr>
          </w:p>
        </w:tc>
      </w:tr>
      <w:tr w14:paraId="46E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70BE7F3">
            <w:pPr>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5889" w:type="dxa"/>
            <w:vAlign w:val="center"/>
          </w:tcPr>
          <w:p w14:paraId="0150BF70">
            <w:pPr>
              <w:jc w:val="center"/>
              <w:rPr>
                <w:rFonts w:hint="eastAsia" w:ascii="宋体" w:hAnsi="宋体" w:eastAsia="宋体" w:cs="宋体"/>
                <w:sz w:val="24"/>
                <w:szCs w:val="24"/>
              </w:rPr>
            </w:pPr>
          </w:p>
        </w:tc>
      </w:tr>
      <w:tr w14:paraId="2A3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1F56D4BE">
            <w:pPr>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5889" w:type="dxa"/>
            <w:vAlign w:val="center"/>
          </w:tcPr>
          <w:p w14:paraId="49074D25">
            <w:pPr>
              <w:jc w:val="center"/>
              <w:rPr>
                <w:rFonts w:hint="eastAsia" w:ascii="宋体" w:hAnsi="宋体" w:eastAsia="宋体" w:cs="宋体"/>
                <w:sz w:val="24"/>
                <w:szCs w:val="24"/>
              </w:rPr>
            </w:pPr>
          </w:p>
        </w:tc>
      </w:tr>
      <w:tr w14:paraId="144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81FBF0D">
            <w:pPr>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5889" w:type="dxa"/>
            <w:vAlign w:val="center"/>
          </w:tcPr>
          <w:p w14:paraId="55EBE9FF">
            <w:pPr>
              <w:jc w:val="center"/>
              <w:rPr>
                <w:rFonts w:hint="eastAsia" w:ascii="宋体" w:hAnsi="宋体" w:eastAsia="宋体" w:cs="宋体"/>
                <w:sz w:val="24"/>
                <w:szCs w:val="24"/>
              </w:rPr>
            </w:pPr>
          </w:p>
        </w:tc>
      </w:tr>
      <w:tr w14:paraId="7A1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AC29579">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889" w:type="dxa"/>
            <w:vAlign w:val="center"/>
          </w:tcPr>
          <w:p w14:paraId="47D26844">
            <w:pPr>
              <w:jc w:val="center"/>
              <w:rPr>
                <w:rFonts w:hint="eastAsia" w:ascii="宋体" w:hAnsi="宋体" w:eastAsia="宋体" w:cs="宋体"/>
                <w:sz w:val="24"/>
                <w:szCs w:val="24"/>
              </w:rPr>
            </w:pPr>
          </w:p>
        </w:tc>
      </w:tr>
      <w:tr w14:paraId="35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990" w:type="dxa"/>
            <w:vAlign w:val="center"/>
          </w:tcPr>
          <w:p w14:paraId="59A13186">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5889" w:type="dxa"/>
            <w:vAlign w:val="center"/>
          </w:tcPr>
          <w:p w14:paraId="51AAE28A">
            <w:pPr>
              <w:jc w:val="center"/>
              <w:rPr>
                <w:rFonts w:hint="eastAsia" w:ascii="宋体" w:hAnsi="宋体" w:eastAsia="宋体" w:cs="宋体"/>
                <w:sz w:val="24"/>
                <w:szCs w:val="24"/>
              </w:rPr>
            </w:pPr>
          </w:p>
        </w:tc>
      </w:tr>
    </w:tbl>
    <w:p w14:paraId="48DE43E5">
      <w:pPr>
        <w:spacing w:line="44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备注：本表后附合同协议书的扫描件，具体年份要求2022年1月1日以来。每张表格只填写一个项目，并标明序号。</w:t>
      </w:r>
    </w:p>
    <w:p w14:paraId="35C6D836">
      <w:pPr>
        <w:spacing w:beforeLines="50" w:afterLines="50" w:line="440" w:lineRule="exact"/>
        <w:rPr>
          <w:rFonts w:hint="eastAsia" w:ascii="宋体" w:hAnsi="宋体" w:eastAsia="宋体" w:cs="宋体"/>
          <w:sz w:val="24"/>
          <w:szCs w:val="24"/>
        </w:rPr>
      </w:pPr>
    </w:p>
    <w:p w14:paraId="2E24825A">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br w:type="page"/>
      </w:r>
    </w:p>
    <w:p w14:paraId="1D764A8B">
      <w:pPr>
        <w:pStyle w:val="4"/>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六</w:t>
      </w:r>
      <w:r>
        <w:rPr>
          <w:rFonts w:hint="eastAsia" w:ascii="宋体" w:hAnsi="宋体" w:eastAsia="宋体" w:cs="宋体"/>
          <w:sz w:val="30"/>
          <w:szCs w:val="30"/>
          <w:lang w:val="zh-CN"/>
        </w:rPr>
        <w:t>、</w:t>
      </w:r>
      <w:r>
        <w:rPr>
          <w:rFonts w:hint="eastAsia" w:ascii="宋体" w:hAnsi="宋体" w:eastAsia="宋体" w:cs="宋体"/>
          <w:sz w:val="30"/>
          <w:szCs w:val="30"/>
        </w:rPr>
        <w:t>技术部分</w:t>
      </w:r>
    </w:p>
    <w:p w14:paraId="7E8FDB05">
      <w:pPr>
        <w:pStyle w:val="18"/>
        <w:ind w:firstLine="301"/>
        <w:rPr>
          <w:rFonts w:hint="eastAsia" w:ascii="宋体" w:hAnsi="宋体" w:eastAsia="宋体" w:cs="宋体"/>
          <w:b/>
          <w:sz w:val="30"/>
          <w:szCs w:val="30"/>
        </w:rPr>
      </w:pPr>
    </w:p>
    <w:p w14:paraId="6684FB89">
      <w:pPr>
        <w:pStyle w:val="19"/>
        <w:ind w:firstLine="440"/>
        <w:rPr>
          <w:rFonts w:hint="eastAsia" w:ascii="宋体" w:hAnsi="宋体" w:eastAsia="宋体" w:cs="宋体"/>
          <w:lang w:eastAsia="zh-CN"/>
        </w:rPr>
      </w:pPr>
    </w:p>
    <w:p w14:paraId="50B38283">
      <w:pPr>
        <w:pStyle w:val="18"/>
        <w:ind w:firstLine="240"/>
        <w:rPr>
          <w:rFonts w:hint="eastAsia" w:ascii="宋体" w:hAnsi="宋体" w:eastAsia="宋体" w:cs="宋体"/>
        </w:rPr>
      </w:pPr>
    </w:p>
    <w:p w14:paraId="693644B7">
      <w:pPr>
        <w:pStyle w:val="19"/>
        <w:ind w:firstLine="440"/>
        <w:rPr>
          <w:rFonts w:hint="eastAsia" w:ascii="宋体" w:hAnsi="宋体" w:eastAsia="宋体" w:cs="宋体"/>
          <w:lang w:eastAsia="zh-CN"/>
        </w:rPr>
      </w:pPr>
    </w:p>
    <w:p w14:paraId="11AD1BAD">
      <w:pPr>
        <w:pStyle w:val="18"/>
        <w:ind w:firstLine="240"/>
        <w:rPr>
          <w:rFonts w:hint="eastAsia" w:ascii="宋体" w:hAnsi="宋体" w:eastAsia="宋体" w:cs="宋体"/>
        </w:rPr>
      </w:pPr>
    </w:p>
    <w:p w14:paraId="601DC5FC">
      <w:pPr>
        <w:pStyle w:val="19"/>
        <w:ind w:firstLine="440"/>
        <w:rPr>
          <w:rFonts w:hint="eastAsia" w:ascii="宋体" w:hAnsi="宋体" w:eastAsia="宋体" w:cs="宋体"/>
          <w:lang w:eastAsia="zh-CN"/>
        </w:rPr>
      </w:pPr>
    </w:p>
    <w:p w14:paraId="1FF48DAF">
      <w:pPr>
        <w:pStyle w:val="18"/>
        <w:ind w:firstLine="240"/>
        <w:rPr>
          <w:rFonts w:hint="eastAsia" w:ascii="宋体" w:hAnsi="宋体" w:eastAsia="宋体" w:cs="宋体"/>
        </w:rPr>
      </w:pPr>
    </w:p>
    <w:p w14:paraId="381D41AC">
      <w:pPr>
        <w:pStyle w:val="19"/>
        <w:ind w:firstLine="440"/>
        <w:rPr>
          <w:rFonts w:hint="eastAsia" w:ascii="宋体" w:hAnsi="宋体" w:eastAsia="宋体" w:cs="宋体"/>
          <w:lang w:eastAsia="zh-CN"/>
        </w:rPr>
      </w:pPr>
    </w:p>
    <w:p w14:paraId="0393D697">
      <w:pPr>
        <w:pStyle w:val="18"/>
        <w:ind w:firstLine="240"/>
        <w:rPr>
          <w:rFonts w:hint="eastAsia" w:ascii="宋体" w:hAnsi="宋体" w:eastAsia="宋体" w:cs="宋体"/>
        </w:rPr>
      </w:pPr>
    </w:p>
    <w:p w14:paraId="5B98C9CF">
      <w:pPr>
        <w:pStyle w:val="19"/>
        <w:ind w:firstLine="440"/>
        <w:rPr>
          <w:rFonts w:hint="eastAsia" w:ascii="宋体" w:hAnsi="宋体" w:eastAsia="宋体" w:cs="宋体"/>
          <w:lang w:eastAsia="zh-CN"/>
        </w:rPr>
      </w:pPr>
    </w:p>
    <w:p w14:paraId="0EC0B109">
      <w:pPr>
        <w:pStyle w:val="18"/>
        <w:ind w:firstLine="240"/>
        <w:rPr>
          <w:rFonts w:hint="eastAsia" w:ascii="宋体" w:hAnsi="宋体" w:eastAsia="宋体" w:cs="宋体"/>
        </w:rPr>
      </w:pPr>
    </w:p>
    <w:p w14:paraId="384E23C9">
      <w:pPr>
        <w:pStyle w:val="19"/>
        <w:ind w:firstLine="440"/>
        <w:rPr>
          <w:rFonts w:hint="eastAsia" w:ascii="宋体" w:hAnsi="宋体" w:eastAsia="宋体" w:cs="宋体"/>
          <w:lang w:eastAsia="zh-CN"/>
        </w:rPr>
      </w:pPr>
    </w:p>
    <w:p w14:paraId="21160114">
      <w:pPr>
        <w:pStyle w:val="18"/>
        <w:ind w:firstLine="240"/>
        <w:rPr>
          <w:rFonts w:hint="eastAsia" w:ascii="宋体" w:hAnsi="宋体" w:eastAsia="宋体" w:cs="宋体"/>
        </w:rPr>
      </w:pPr>
    </w:p>
    <w:p w14:paraId="3B71B49B">
      <w:pPr>
        <w:pStyle w:val="19"/>
        <w:ind w:firstLine="440"/>
        <w:rPr>
          <w:rFonts w:hint="eastAsia" w:ascii="宋体" w:hAnsi="宋体" w:eastAsia="宋体" w:cs="宋体"/>
          <w:lang w:eastAsia="zh-CN"/>
        </w:rPr>
      </w:pPr>
    </w:p>
    <w:p w14:paraId="676CE024">
      <w:pPr>
        <w:pStyle w:val="18"/>
        <w:ind w:firstLine="240"/>
        <w:rPr>
          <w:rFonts w:hint="eastAsia" w:ascii="宋体" w:hAnsi="宋体" w:eastAsia="宋体" w:cs="宋体"/>
        </w:rPr>
      </w:pPr>
    </w:p>
    <w:p w14:paraId="6D82A9A4">
      <w:pPr>
        <w:pStyle w:val="19"/>
        <w:ind w:firstLine="440"/>
        <w:rPr>
          <w:rFonts w:hint="eastAsia" w:ascii="宋体" w:hAnsi="宋体" w:eastAsia="宋体" w:cs="宋体"/>
          <w:lang w:eastAsia="zh-CN"/>
        </w:rPr>
      </w:pPr>
    </w:p>
    <w:p w14:paraId="5798173E">
      <w:pPr>
        <w:pStyle w:val="18"/>
        <w:ind w:firstLine="240"/>
        <w:rPr>
          <w:rFonts w:hint="eastAsia" w:ascii="宋体" w:hAnsi="宋体" w:eastAsia="宋体" w:cs="宋体"/>
        </w:rPr>
      </w:pPr>
    </w:p>
    <w:p w14:paraId="3EEA2C7C">
      <w:pPr>
        <w:pStyle w:val="19"/>
        <w:ind w:firstLine="440"/>
        <w:rPr>
          <w:rFonts w:hint="eastAsia" w:ascii="宋体" w:hAnsi="宋体" w:eastAsia="宋体" w:cs="宋体"/>
          <w:lang w:eastAsia="zh-CN"/>
        </w:rPr>
      </w:pPr>
    </w:p>
    <w:p w14:paraId="5AE41B87">
      <w:pPr>
        <w:pStyle w:val="18"/>
        <w:ind w:firstLine="240"/>
        <w:rPr>
          <w:rFonts w:hint="eastAsia" w:ascii="宋体" w:hAnsi="宋体" w:eastAsia="宋体" w:cs="宋体"/>
        </w:rPr>
      </w:pPr>
    </w:p>
    <w:p w14:paraId="573AF968">
      <w:pPr>
        <w:jc w:val="left"/>
        <w:rPr>
          <w:rFonts w:hint="eastAsia" w:ascii="宋体" w:hAnsi="宋体" w:eastAsia="宋体" w:cs="宋体"/>
          <w:sz w:val="30"/>
          <w:szCs w:val="30"/>
        </w:rPr>
      </w:pPr>
      <w:r>
        <w:rPr>
          <w:rFonts w:hint="eastAsia" w:ascii="宋体" w:hAnsi="宋体" w:eastAsia="宋体" w:cs="宋体"/>
          <w:sz w:val="30"/>
          <w:szCs w:val="30"/>
        </w:rPr>
        <w:br w:type="page"/>
      </w:r>
    </w:p>
    <w:p w14:paraId="535795BF">
      <w:pPr>
        <w:pStyle w:val="4"/>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七、商务部分</w:t>
      </w:r>
    </w:p>
    <w:p w14:paraId="2B0F19BF">
      <w:pPr>
        <w:wordWrap w:val="0"/>
        <w:spacing w:line="360" w:lineRule="auto"/>
        <w:ind w:right="600"/>
        <w:rPr>
          <w:rFonts w:hint="eastAsia" w:ascii="宋体" w:hAnsi="宋体" w:eastAsia="宋体" w:cs="宋体"/>
          <w:sz w:val="24"/>
        </w:rPr>
      </w:pPr>
    </w:p>
    <w:p w14:paraId="363E8CCB">
      <w:pPr>
        <w:spacing w:beforeLines="100" w:afterLines="50"/>
        <w:jc w:val="center"/>
        <w:rPr>
          <w:rFonts w:hint="eastAsia" w:ascii="宋体" w:hAnsi="宋体" w:eastAsia="宋体" w:cs="宋体"/>
          <w:sz w:val="24"/>
          <w:u w:val="single"/>
        </w:rPr>
      </w:pPr>
    </w:p>
    <w:p w14:paraId="32A88CB8">
      <w:pPr>
        <w:spacing w:beforeLines="50" w:afterLines="50" w:line="440" w:lineRule="exact"/>
        <w:ind w:left="630" w:hanging="630" w:hangingChars="300"/>
        <w:rPr>
          <w:rFonts w:hint="eastAsia" w:ascii="宋体" w:hAnsi="宋体" w:eastAsia="宋体" w:cs="宋体"/>
          <w:szCs w:val="21"/>
        </w:rPr>
      </w:pPr>
    </w:p>
    <w:p w14:paraId="2DEDF93A">
      <w:pPr>
        <w:spacing w:beforeLines="100" w:line="440" w:lineRule="exact"/>
        <w:rPr>
          <w:rFonts w:hint="eastAsia" w:ascii="宋体" w:hAnsi="宋体" w:eastAsia="宋体" w:cs="宋体"/>
          <w:szCs w:val="21"/>
        </w:rPr>
      </w:pPr>
    </w:p>
    <w:p w14:paraId="5743CAD3">
      <w:pPr>
        <w:spacing w:beforeLines="100" w:line="440" w:lineRule="exact"/>
        <w:rPr>
          <w:rFonts w:hint="eastAsia" w:ascii="宋体" w:hAnsi="宋体" w:eastAsia="宋体" w:cs="宋体"/>
          <w:szCs w:val="21"/>
        </w:rPr>
      </w:pPr>
    </w:p>
    <w:p w14:paraId="2D2EC6D8">
      <w:pPr>
        <w:spacing w:beforeLines="100" w:line="440" w:lineRule="exact"/>
        <w:rPr>
          <w:rFonts w:hint="eastAsia" w:ascii="宋体" w:hAnsi="宋体" w:eastAsia="宋体" w:cs="宋体"/>
          <w:szCs w:val="21"/>
        </w:rPr>
      </w:pPr>
    </w:p>
    <w:p w14:paraId="70B8990A">
      <w:pPr>
        <w:spacing w:line="480" w:lineRule="auto"/>
        <w:rPr>
          <w:rFonts w:hint="eastAsia" w:ascii="宋体" w:hAnsi="宋体" w:eastAsia="宋体" w:cs="宋体"/>
          <w:sz w:val="24"/>
        </w:rPr>
      </w:pPr>
    </w:p>
    <w:p w14:paraId="2759A1D6">
      <w:pPr>
        <w:bidi w:val="0"/>
        <w:rPr>
          <w:rFonts w:hint="eastAsia" w:ascii="宋体" w:hAnsi="宋体" w:eastAsia="宋体" w:cs="宋体"/>
        </w:rPr>
      </w:pPr>
      <w:bookmarkStart w:id="26" w:name="_Toc468276954"/>
      <w:r>
        <w:rPr>
          <w:rFonts w:hint="eastAsia" w:ascii="宋体" w:hAnsi="宋体" w:eastAsia="宋体" w:cs="宋体"/>
        </w:rPr>
        <w:br w:type="page"/>
      </w:r>
    </w:p>
    <w:p w14:paraId="6365B8C4">
      <w:pPr>
        <w:pStyle w:val="4"/>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八、其他</w:t>
      </w:r>
      <w:bookmarkEnd w:id="26"/>
      <w:bookmarkStart w:id="27" w:name="_Toc16414"/>
      <w:bookmarkStart w:id="28" w:name="_Hlk89422773"/>
      <w:r>
        <w:rPr>
          <w:rFonts w:hint="eastAsia" w:ascii="宋体" w:hAnsi="宋体" w:eastAsia="宋体" w:cs="宋体"/>
          <w:sz w:val="30"/>
          <w:szCs w:val="30"/>
        </w:rPr>
        <w:t>资料</w:t>
      </w:r>
    </w:p>
    <w:p w14:paraId="08FEABC8">
      <w:pPr>
        <w:spacing w:line="600" w:lineRule="exact"/>
        <w:jc w:val="center"/>
        <w:rPr>
          <w:rFonts w:hint="eastAsia" w:ascii="宋体" w:hAnsi="宋体" w:eastAsia="宋体" w:cs="宋体"/>
          <w:sz w:val="30"/>
          <w:szCs w:val="30"/>
        </w:rPr>
      </w:pPr>
    </w:p>
    <w:p w14:paraId="32D57C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0FBAF87E">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附表一：</w:t>
      </w:r>
    </w:p>
    <w:bookmarkEnd w:id="27"/>
    <w:bookmarkEnd w:id="28"/>
    <w:p w14:paraId="7234E384">
      <w:pPr>
        <w:pStyle w:val="4"/>
        <w:bidi w:val="0"/>
        <w:ind w:left="0" w:leftChars="0" w:firstLine="0" w:firstLineChars="0"/>
        <w:jc w:val="center"/>
        <w:rPr>
          <w:rFonts w:hint="eastAsia" w:ascii="宋体" w:hAnsi="宋体" w:eastAsia="宋体" w:cs="宋体"/>
          <w:b/>
          <w:sz w:val="24"/>
        </w:rPr>
      </w:pPr>
      <w:bookmarkStart w:id="29" w:name="_Toc7902"/>
      <w:bookmarkStart w:id="30" w:name="_Toc22412"/>
      <w:r>
        <w:rPr>
          <w:rFonts w:hint="eastAsia" w:ascii="宋体" w:hAnsi="宋体" w:eastAsia="宋体" w:cs="宋体"/>
        </w:rPr>
        <w:t>磋商</w:t>
      </w:r>
      <w:r>
        <w:rPr>
          <w:rFonts w:hint="eastAsia" w:ascii="宋体" w:hAnsi="宋体" w:eastAsia="宋体" w:cs="宋体"/>
          <w:lang w:val="en-US" w:eastAsia="zh-CN"/>
        </w:rPr>
        <w:t>承诺函</w:t>
      </w:r>
    </w:p>
    <w:p w14:paraId="3FE3AECC">
      <w:pPr>
        <w:spacing w:line="360" w:lineRule="auto"/>
        <w:ind w:right="-340" w:rightChars="-162"/>
        <w:jc w:val="center"/>
        <w:rPr>
          <w:rFonts w:hint="eastAsia" w:ascii="宋体" w:hAnsi="宋体" w:eastAsia="宋体" w:cs="宋体"/>
          <w:sz w:val="24"/>
        </w:rPr>
      </w:pPr>
      <w:r>
        <w:rPr>
          <w:rFonts w:hint="eastAsia" w:ascii="宋体" w:hAnsi="宋体" w:eastAsia="宋体" w:cs="宋体"/>
          <w:sz w:val="24"/>
        </w:rPr>
        <w:t>（自行承诺）</w:t>
      </w:r>
    </w:p>
    <w:p w14:paraId="6980B7DB">
      <w:pPr>
        <w:keepNext w:val="0"/>
        <w:pageBreakBefore w:val="0"/>
        <w:widowControl/>
        <w:kinsoku/>
        <w:wordWrap/>
        <w:overflowPunct/>
        <w:topLinePunct w:val="0"/>
        <w:autoSpaceDE/>
        <w:autoSpaceDN/>
        <w:bidi w:val="0"/>
        <w:adjustRightInd/>
        <w:snapToGrid/>
        <w:spacing w:line="480" w:lineRule="exact"/>
        <w:textAlignment w:val="baseline"/>
        <w:rPr>
          <w:rStyle w:val="34"/>
          <w:rFonts w:hint="eastAsia" w:ascii="宋体" w:hAnsi="宋体" w:eastAsia="宋体" w:cs="宋体"/>
          <w:sz w:val="24"/>
          <w:u w:val="single"/>
          <w:lang w:val="en-US" w:eastAsia="zh-CN"/>
        </w:rPr>
      </w:pPr>
      <w:r>
        <w:rPr>
          <w:rStyle w:val="34"/>
          <w:rFonts w:hint="eastAsia" w:ascii="宋体" w:hAnsi="宋体" w:eastAsia="宋体" w:cs="宋体"/>
          <w:sz w:val="24"/>
        </w:rPr>
        <w:t>致（采购人及采购代理机构）：</w:t>
      </w:r>
      <w:r>
        <w:rPr>
          <w:rStyle w:val="34"/>
          <w:rFonts w:hint="eastAsia" w:ascii="宋体" w:hAnsi="宋体" w:eastAsia="宋体" w:cs="宋体"/>
          <w:sz w:val="24"/>
          <w:u w:val="single"/>
          <w:lang w:val="en-US" w:eastAsia="zh-CN"/>
        </w:rPr>
        <w:t xml:space="preserve">                 </w:t>
      </w:r>
    </w:p>
    <w:p w14:paraId="3246DDC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我公司作为本次采购项目的</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，根据</w:t>
      </w:r>
      <w:r>
        <w:rPr>
          <w:rStyle w:val="34"/>
          <w:rFonts w:hint="eastAsia" w:ascii="宋体" w:hAnsi="宋体" w:cs="宋体"/>
          <w:sz w:val="24"/>
          <w:lang w:eastAsia="zh-CN"/>
        </w:rPr>
        <w:t>磋商</w:t>
      </w:r>
      <w:r>
        <w:rPr>
          <w:rStyle w:val="34"/>
          <w:rFonts w:hint="eastAsia" w:ascii="宋体" w:hAnsi="宋体" w:eastAsia="宋体" w:cs="宋体"/>
          <w:sz w:val="24"/>
        </w:rPr>
        <w:t>文件要求，现郑重承诺如下：</w:t>
      </w:r>
    </w:p>
    <w:p w14:paraId="5FEEE8DC">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一、具备《中华人民共和国政府采购法》第二十二条第一款和本项目规定的条件：</w:t>
      </w:r>
    </w:p>
    <w:p w14:paraId="1E02A34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（一）具有独立承担民事责任的能力； 　　</w:t>
      </w:r>
    </w:p>
    <w:p w14:paraId="3D77584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（二）具有良好的商业信誉和健全的财务会计制度； 　</w:t>
      </w:r>
    </w:p>
    <w:p w14:paraId="481EC0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（三）具有履行合同所必需的设备和专业技术能力； 　　</w:t>
      </w:r>
    </w:p>
    <w:p w14:paraId="41EC0AB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（四）有依法缴纳税收和社会保障资金的良好记录； 　　</w:t>
      </w:r>
    </w:p>
    <w:p w14:paraId="275F8C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（五）参加政府采购活动前三年内，在经营活动中没有重大违法记录；</w:t>
      </w:r>
    </w:p>
    <w:p w14:paraId="0461A4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（六）法律、行政法规规定的其他条件；</w:t>
      </w:r>
    </w:p>
    <w:p w14:paraId="73BA776D">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（七）根据采购项目提出的特殊条件。</w:t>
      </w:r>
    </w:p>
    <w:p w14:paraId="481FCDF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二、完全接受和满足本项目</w:t>
      </w:r>
      <w:r>
        <w:rPr>
          <w:rStyle w:val="34"/>
          <w:rFonts w:hint="eastAsia" w:ascii="宋体" w:hAnsi="宋体" w:cs="宋体"/>
          <w:sz w:val="24"/>
          <w:lang w:eastAsia="zh-CN"/>
        </w:rPr>
        <w:t>磋商</w:t>
      </w:r>
      <w:r>
        <w:rPr>
          <w:rStyle w:val="34"/>
          <w:rFonts w:hint="eastAsia" w:ascii="宋体" w:hAnsi="宋体" w:eastAsia="宋体" w:cs="宋体"/>
          <w:sz w:val="24"/>
        </w:rPr>
        <w:t>文件中规定的实质性要求，如对</w:t>
      </w:r>
      <w:r>
        <w:rPr>
          <w:rStyle w:val="34"/>
          <w:rFonts w:hint="eastAsia" w:ascii="宋体" w:hAnsi="宋体" w:cs="宋体"/>
          <w:sz w:val="24"/>
          <w:lang w:eastAsia="zh-CN"/>
        </w:rPr>
        <w:t>磋商</w:t>
      </w:r>
      <w:r>
        <w:rPr>
          <w:rStyle w:val="34"/>
          <w:rFonts w:hint="eastAsia" w:ascii="宋体" w:hAnsi="宋体" w:eastAsia="宋体" w:cs="宋体"/>
          <w:sz w:val="24"/>
        </w:rPr>
        <w:t>文件有异议，已经在</w:t>
      </w:r>
      <w:r>
        <w:rPr>
          <w:rStyle w:val="34"/>
          <w:rFonts w:hint="eastAsia" w:ascii="宋体" w:hAnsi="宋体" w:cs="宋体"/>
          <w:sz w:val="24"/>
          <w:lang w:eastAsia="zh-CN"/>
        </w:rPr>
        <w:t>响应</w:t>
      </w:r>
      <w:r>
        <w:rPr>
          <w:rStyle w:val="34"/>
          <w:rFonts w:hint="eastAsia" w:ascii="宋体" w:hAnsi="宋体" w:eastAsia="宋体" w:cs="宋体"/>
          <w:sz w:val="24"/>
        </w:rPr>
        <w:t>截止时间届满前依法进行维权救济，不存在对</w:t>
      </w:r>
      <w:r>
        <w:rPr>
          <w:rStyle w:val="34"/>
          <w:rFonts w:hint="eastAsia" w:ascii="宋体" w:hAnsi="宋体" w:cs="宋体"/>
          <w:sz w:val="24"/>
          <w:lang w:eastAsia="zh-CN"/>
        </w:rPr>
        <w:t>磋商</w:t>
      </w:r>
      <w:r>
        <w:rPr>
          <w:rStyle w:val="34"/>
          <w:rFonts w:hint="eastAsia" w:ascii="宋体" w:hAnsi="宋体" w:eastAsia="宋体" w:cs="宋体"/>
          <w:sz w:val="24"/>
        </w:rPr>
        <w:t>文件有异议的同时又参加</w:t>
      </w:r>
      <w:r>
        <w:rPr>
          <w:rStyle w:val="34"/>
          <w:rFonts w:hint="eastAsia" w:ascii="宋体" w:hAnsi="宋体" w:cs="宋体"/>
          <w:sz w:val="24"/>
          <w:lang w:eastAsia="zh-CN"/>
        </w:rPr>
        <w:t>响应</w:t>
      </w:r>
      <w:r>
        <w:rPr>
          <w:rStyle w:val="34"/>
          <w:rFonts w:hint="eastAsia" w:ascii="宋体" w:hAnsi="宋体" w:eastAsia="宋体" w:cs="宋体"/>
          <w:sz w:val="24"/>
        </w:rPr>
        <w:t>以求侥幸</w:t>
      </w:r>
      <w:r>
        <w:rPr>
          <w:rStyle w:val="34"/>
          <w:rFonts w:hint="eastAsia" w:ascii="宋体" w:hAnsi="宋体" w:cs="宋体"/>
          <w:sz w:val="24"/>
          <w:lang w:eastAsia="zh-CN"/>
        </w:rPr>
        <w:t>成交</w:t>
      </w:r>
      <w:r>
        <w:rPr>
          <w:rStyle w:val="34"/>
          <w:rFonts w:hint="eastAsia" w:ascii="宋体" w:hAnsi="宋体" w:eastAsia="宋体" w:cs="宋体"/>
          <w:sz w:val="24"/>
        </w:rPr>
        <w:t>或者为实现其他非法目的的行为。</w:t>
      </w:r>
    </w:p>
    <w:p w14:paraId="56931AC8">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三、参加本次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采购活动，不存在与单位负责人为同一人或者存在直接控股、管理关系的其他供应商参与同一合同项下的政府采购活动的行为。    </w:t>
      </w:r>
    </w:p>
    <w:p w14:paraId="5183F15A">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四、参加本次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采购活动，不存在为采购项目提供整体设计、规范编制或者项目管理、监理、检测等服务的行为。</w:t>
      </w:r>
    </w:p>
    <w:p w14:paraId="19D5EDE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五、参加本次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采购活动，不存在和其他供应商在同一合同项下的采购项目中，同时委托同一个自然人、同一家庭的人员、同一单位的人员作为代理人的行为。</w:t>
      </w:r>
    </w:p>
    <w:p w14:paraId="797DC1A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六、</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参加本次政府采购活动要求在近三年内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和其法定代表人没有行贿犯罪行为。</w:t>
      </w:r>
    </w:p>
    <w:p w14:paraId="3BB961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七、参加本次</w:t>
      </w:r>
      <w:r>
        <w:rPr>
          <w:rStyle w:val="34"/>
          <w:rFonts w:hint="eastAsia" w:ascii="宋体" w:hAnsi="宋体" w:cs="宋体"/>
          <w:sz w:val="24"/>
          <w:lang w:eastAsia="zh-CN"/>
        </w:rPr>
        <w:t>磋商</w:t>
      </w:r>
      <w:r>
        <w:rPr>
          <w:rStyle w:val="34"/>
          <w:rFonts w:hint="eastAsia" w:ascii="宋体" w:hAnsi="宋体" w:eastAsia="宋体" w:cs="宋体"/>
          <w:sz w:val="24"/>
        </w:rPr>
        <w:t>采购活动，不存在联合体投标。</w:t>
      </w:r>
    </w:p>
    <w:p w14:paraId="450CFBD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八、</w:t>
      </w:r>
      <w:r>
        <w:rPr>
          <w:rStyle w:val="34"/>
          <w:rFonts w:hint="eastAsia" w:ascii="宋体" w:hAnsi="宋体" w:cs="宋体"/>
          <w:sz w:val="24"/>
          <w:lang w:eastAsia="zh-CN"/>
        </w:rPr>
        <w:t>响应</w:t>
      </w:r>
      <w:r>
        <w:rPr>
          <w:rStyle w:val="34"/>
          <w:rFonts w:hint="eastAsia" w:ascii="宋体" w:hAnsi="宋体" w:eastAsia="宋体" w:cs="宋体"/>
          <w:sz w:val="24"/>
        </w:rPr>
        <w:t>文件中提供的能够给予我公司带来优惠、好处的任何材料资料和技术、服务、商务等响应承诺情况都是真实的、有效的、合法的。</w:t>
      </w:r>
    </w:p>
    <w:p w14:paraId="06CAA7C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九、如本项目评标过程中需要提供样品，则我公司提供的样品即为</w:t>
      </w:r>
      <w:r>
        <w:rPr>
          <w:rStyle w:val="34"/>
          <w:rFonts w:hint="eastAsia" w:ascii="宋体" w:hAnsi="宋体" w:cs="宋体"/>
          <w:sz w:val="24"/>
          <w:lang w:eastAsia="zh-CN"/>
        </w:rPr>
        <w:t>成交</w:t>
      </w:r>
      <w:r>
        <w:rPr>
          <w:rStyle w:val="34"/>
          <w:rFonts w:hint="eastAsia" w:ascii="宋体" w:hAnsi="宋体" w:eastAsia="宋体" w:cs="宋体"/>
          <w:sz w:val="24"/>
        </w:rPr>
        <w:t>后将要提供的</w:t>
      </w:r>
      <w:r>
        <w:rPr>
          <w:rStyle w:val="34"/>
          <w:rFonts w:hint="eastAsia" w:ascii="宋体" w:hAnsi="宋体" w:cs="宋体"/>
          <w:sz w:val="24"/>
          <w:lang w:eastAsia="zh-CN"/>
        </w:rPr>
        <w:t>成交</w:t>
      </w:r>
      <w:r>
        <w:rPr>
          <w:rStyle w:val="34"/>
          <w:rFonts w:hint="eastAsia" w:ascii="宋体" w:hAnsi="宋体" w:eastAsia="宋体" w:cs="宋体"/>
          <w:sz w:val="24"/>
        </w:rPr>
        <w:t>产品，我公司对提供样品的性能和质量负责，因样品存在缺陷或者不符合</w:t>
      </w:r>
      <w:r>
        <w:rPr>
          <w:rStyle w:val="34"/>
          <w:rFonts w:hint="eastAsia" w:ascii="宋体" w:hAnsi="宋体" w:cs="宋体"/>
          <w:sz w:val="24"/>
          <w:lang w:eastAsia="zh-CN"/>
        </w:rPr>
        <w:t>磋商</w:t>
      </w:r>
      <w:r>
        <w:rPr>
          <w:rStyle w:val="34"/>
          <w:rFonts w:hint="eastAsia" w:ascii="宋体" w:hAnsi="宋体" w:eastAsia="宋体" w:cs="宋体"/>
          <w:sz w:val="24"/>
        </w:rPr>
        <w:t>文件要求导致未能</w:t>
      </w:r>
      <w:r>
        <w:rPr>
          <w:rStyle w:val="34"/>
          <w:rFonts w:hint="eastAsia" w:ascii="宋体" w:hAnsi="宋体" w:cs="宋体"/>
          <w:sz w:val="24"/>
          <w:lang w:eastAsia="zh-CN"/>
        </w:rPr>
        <w:t>成交</w:t>
      </w:r>
      <w:r>
        <w:rPr>
          <w:rStyle w:val="34"/>
          <w:rFonts w:hint="eastAsia" w:ascii="宋体" w:hAnsi="宋体" w:eastAsia="宋体" w:cs="宋体"/>
          <w:sz w:val="24"/>
        </w:rPr>
        <w:t>的，我公司愿意承担相应不利后果。（如提供样品）    </w:t>
      </w:r>
    </w:p>
    <w:p w14:paraId="08804F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十、存在以下行为之一的愿意接受相关部门的处理：</w:t>
      </w:r>
    </w:p>
    <w:p w14:paraId="4BE30B4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（一）</w:t>
      </w:r>
      <w:r>
        <w:rPr>
          <w:rStyle w:val="34"/>
          <w:rFonts w:hint="eastAsia" w:ascii="宋体" w:hAnsi="宋体" w:cs="宋体"/>
          <w:sz w:val="24"/>
          <w:lang w:eastAsia="zh-CN"/>
        </w:rPr>
        <w:t>响应</w:t>
      </w:r>
      <w:r>
        <w:rPr>
          <w:rStyle w:val="34"/>
          <w:rFonts w:hint="eastAsia" w:ascii="宋体" w:hAnsi="宋体" w:eastAsia="宋体" w:cs="宋体"/>
          <w:sz w:val="24"/>
        </w:rPr>
        <w:t>有效期内撤销</w:t>
      </w:r>
      <w:r>
        <w:rPr>
          <w:rStyle w:val="34"/>
          <w:rFonts w:hint="eastAsia" w:ascii="宋体" w:hAnsi="宋体" w:cs="宋体"/>
          <w:sz w:val="24"/>
          <w:lang w:eastAsia="zh-CN"/>
        </w:rPr>
        <w:t>响应</w:t>
      </w:r>
      <w:r>
        <w:rPr>
          <w:rStyle w:val="34"/>
          <w:rFonts w:hint="eastAsia" w:ascii="宋体" w:hAnsi="宋体" w:eastAsia="宋体" w:cs="宋体"/>
          <w:sz w:val="24"/>
        </w:rPr>
        <w:t>文件的；</w:t>
      </w:r>
    </w:p>
    <w:p w14:paraId="18761172">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（二）在采购人确定</w:t>
      </w:r>
      <w:r>
        <w:rPr>
          <w:rStyle w:val="34"/>
          <w:rFonts w:hint="eastAsia" w:ascii="宋体" w:hAnsi="宋体" w:cs="宋体"/>
          <w:sz w:val="24"/>
          <w:lang w:eastAsia="zh-CN"/>
        </w:rPr>
        <w:t>成交</w:t>
      </w:r>
      <w:r>
        <w:rPr>
          <w:rStyle w:val="34"/>
          <w:rFonts w:hint="eastAsia" w:ascii="宋体" w:hAnsi="宋体" w:eastAsia="宋体" w:cs="宋体"/>
          <w:sz w:val="24"/>
        </w:rPr>
        <w:t>人以前放弃</w:t>
      </w:r>
      <w:r>
        <w:rPr>
          <w:rStyle w:val="34"/>
          <w:rFonts w:hint="eastAsia" w:ascii="宋体" w:hAnsi="宋体" w:cs="宋体"/>
          <w:sz w:val="24"/>
          <w:lang w:eastAsia="zh-CN"/>
        </w:rPr>
        <w:t>成交</w:t>
      </w:r>
      <w:r>
        <w:rPr>
          <w:rStyle w:val="34"/>
          <w:rFonts w:hint="eastAsia" w:ascii="宋体" w:hAnsi="宋体" w:eastAsia="宋体" w:cs="宋体"/>
          <w:sz w:val="24"/>
        </w:rPr>
        <w:t>候选资格的；</w:t>
      </w:r>
    </w:p>
    <w:p w14:paraId="09914304">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（三）由于</w:t>
      </w:r>
      <w:r>
        <w:rPr>
          <w:rStyle w:val="34"/>
          <w:rFonts w:hint="eastAsia" w:ascii="宋体" w:hAnsi="宋体" w:cs="宋体"/>
          <w:sz w:val="24"/>
          <w:lang w:eastAsia="zh-CN"/>
        </w:rPr>
        <w:t>成交</w:t>
      </w:r>
      <w:r>
        <w:rPr>
          <w:rStyle w:val="34"/>
          <w:rFonts w:hint="eastAsia" w:ascii="宋体" w:hAnsi="宋体" w:eastAsia="宋体" w:cs="宋体"/>
          <w:sz w:val="24"/>
        </w:rPr>
        <w:t>人的原因未能按照</w:t>
      </w:r>
      <w:r>
        <w:rPr>
          <w:rStyle w:val="34"/>
          <w:rFonts w:hint="eastAsia" w:ascii="宋体" w:hAnsi="宋体" w:cs="宋体"/>
          <w:sz w:val="24"/>
          <w:lang w:eastAsia="zh-CN"/>
        </w:rPr>
        <w:t>磋商</w:t>
      </w:r>
      <w:r>
        <w:rPr>
          <w:rStyle w:val="34"/>
          <w:rFonts w:hint="eastAsia" w:ascii="宋体" w:hAnsi="宋体" w:eastAsia="宋体" w:cs="宋体"/>
          <w:sz w:val="24"/>
        </w:rPr>
        <w:t>文件的规定与采购人签订合同；</w:t>
      </w:r>
    </w:p>
    <w:p w14:paraId="2282BDA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（四）由于</w:t>
      </w:r>
      <w:r>
        <w:rPr>
          <w:rStyle w:val="34"/>
          <w:rFonts w:hint="eastAsia" w:ascii="宋体" w:hAnsi="宋体" w:cs="宋体"/>
          <w:sz w:val="24"/>
          <w:lang w:eastAsia="zh-CN"/>
        </w:rPr>
        <w:t>成交</w:t>
      </w:r>
      <w:r>
        <w:rPr>
          <w:rStyle w:val="34"/>
          <w:rFonts w:hint="eastAsia" w:ascii="宋体" w:hAnsi="宋体" w:eastAsia="宋体" w:cs="宋体"/>
          <w:sz w:val="24"/>
        </w:rPr>
        <w:t>人的原因未能按照</w:t>
      </w:r>
      <w:r>
        <w:rPr>
          <w:rStyle w:val="34"/>
          <w:rFonts w:hint="eastAsia" w:ascii="宋体" w:hAnsi="宋体" w:cs="宋体"/>
          <w:sz w:val="24"/>
          <w:lang w:eastAsia="zh-CN"/>
        </w:rPr>
        <w:t>磋商</w:t>
      </w:r>
      <w:r>
        <w:rPr>
          <w:rStyle w:val="34"/>
          <w:rFonts w:hint="eastAsia" w:ascii="宋体" w:hAnsi="宋体" w:eastAsia="宋体" w:cs="宋体"/>
          <w:sz w:val="24"/>
        </w:rPr>
        <w:t>文件的规定交纳履约保证金；</w:t>
      </w:r>
    </w:p>
    <w:p w14:paraId="6F18F9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（五）在</w:t>
      </w:r>
      <w:r>
        <w:rPr>
          <w:rStyle w:val="34"/>
          <w:rFonts w:hint="eastAsia" w:ascii="宋体" w:hAnsi="宋体" w:cs="宋体"/>
          <w:sz w:val="24"/>
          <w:lang w:eastAsia="zh-CN"/>
        </w:rPr>
        <w:t>响应</w:t>
      </w:r>
      <w:r>
        <w:rPr>
          <w:rStyle w:val="34"/>
          <w:rFonts w:hint="eastAsia" w:ascii="宋体" w:hAnsi="宋体" w:eastAsia="宋体" w:cs="宋体"/>
          <w:sz w:val="24"/>
        </w:rPr>
        <w:t>文件中提供虚假材料谋取</w:t>
      </w:r>
      <w:r>
        <w:rPr>
          <w:rStyle w:val="34"/>
          <w:rFonts w:hint="eastAsia" w:ascii="宋体" w:hAnsi="宋体" w:cs="宋体"/>
          <w:sz w:val="24"/>
          <w:lang w:eastAsia="zh-CN"/>
        </w:rPr>
        <w:t>成交</w:t>
      </w:r>
      <w:r>
        <w:rPr>
          <w:rStyle w:val="34"/>
          <w:rFonts w:hint="eastAsia" w:ascii="宋体" w:hAnsi="宋体" w:eastAsia="宋体" w:cs="宋体"/>
          <w:sz w:val="24"/>
        </w:rPr>
        <w:t>；</w:t>
      </w:r>
    </w:p>
    <w:p w14:paraId="08D4FBC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（六）与采购人、其他供应商或者采购代理机构恶意串通的；</w:t>
      </w:r>
    </w:p>
    <w:p w14:paraId="6E443C2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  （七）</w:t>
      </w:r>
      <w:r>
        <w:rPr>
          <w:rStyle w:val="34"/>
          <w:rFonts w:hint="eastAsia" w:ascii="宋体" w:hAnsi="宋体" w:cs="宋体"/>
          <w:sz w:val="24"/>
          <w:lang w:eastAsia="zh-CN"/>
        </w:rPr>
        <w:t>响应</w:t>
      </w:r>
      <w:r>
        <w:rPr>
          <w:rStyle w:val="34"/>
          <w:rFonts w:hint="eastAsia" w:ascii="宋体" w:hAnsi="宋体" w:eastAsia="宋体" w:cs="宋体"/>
          <w:sz w:val="24"/>
        </w:rPr>
        <w:t>有效期内，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4"/>
          <w:rFonts w:hint="eastAsia" w:ascii="宋体" w:hAnsi="宋体" w:eastAsia="宋体" w:cs="宋体"/>
          <w:sz w:val="24"/>
        </w:rPr>
        <w:t>在政府采购活动中有违法、违规、违纪行为。</w:t>
      </w:r>
    </w:p>
    <w:p w14:paraId="5832D5B3">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sz w:val="24"/>
        </w:rPr>
      </w:pPr>
      <w:r>
        <w:rPr>
          <w:rStyle w:val="34"/>
          <w:rFonts w:hint="eastAsia" w:ascii="宋体" w:hAnsi="宋体" w:eastAsia="宋体" w:cs="宋体"/>
          <w:sz w:val="24"/>
        </w:rPr>
        <w:t>由此产生的一切法律后果和责任由我公司承担。我公司声明放弃对此提出任何异议和追索的权利。</w:t>
      </w:r>
    </w:p>
    <w:p w14:paraId="38DEF211">
      <w:pPr>
        <w:pStyle w:val="9"/>
        <w:spacing w:line="360" w:lineRule="exact"/>
        <w:ind w:right="-340" w:rightChars="-162"/>
        <w:rPr>
          <w:rStyle w:val="34"/>
          <w:rFonts w:hint="eastAsia" w:ascii="宋体" w:hAnsi="宋体" w:eastAsia="宋体" w:cs="宋体"/>
          <w:sz w:val="24"/>
        </w:rPr>
      </w:pPr>
    </w:p>
    <w:p w14:paraId="4C36C382">
      <w:pPr>
        <w:pStyle w:val="9"/>
        <w:spacing w:line="360" w:lineRule="exact"/>
        <w:ind w:right="-340" w:rightChars="-162"/>
        <w:rPr>
          <w:rFonts w:hint="eastAsia" w:ascii="宋体" w:hAnsi="宋体" w:eastAsia="宋体" w:cs="宋体"/>
          <w:sz w:val="24"/>
        </w:rPr>
      </w:pPr>
      <w:r>
        <w:rPr>
          <w:rStyle w:val="34"/>
          <w:rFonts w:hint="eastAsia" w:ascii="宋体" w:hAnsi="宋体" w:eastAsia="宋体" w:cs="宋体"/>
          <w:sz w:val="24"/>
        </w:rPr>
        <w:t>本公司对上述承诺的内容事项真实性负责。如经查实上述承诺的内容事项存在虚假，我公司愿意接受以提供虚假材料谋取</w:t>
      </w:r>
      <w:r>
        <w:rPr>
          <w:rStyle w:val="34"/>
          <w:rFonts w:hint="eastAsia" w:ascii="宋体" w:hAnsi="宋体" w:cs="宋体"/>
          <w:sz w:val="24"/>
          <w:lang w:eastAsia="zh-CN"/>
        </w:rPr>
        <w:t>成交</w:t>
      </w:r>
      <w:r>
        <w:rPr>
          <w:rStyle w:val="34"/>
          <w:rFonts w:hint="eastAsia" w:ascii="宋体" w:hAnsi="宋体" w:eastAsia="宋体" w:cs="宋体"/>
          <w:sz w:val="24"/>
        </w:rPr>
        <w:t>追究法律责任。</w:t>
      </w:r>
    </w:p>
    <w:p w14:paraId="0C92529C">
      <w:pPr>
        <w:pStyle w:val="9"/>
        <w:spacing w:line="360" w:lineRule="exact"/>
        <w:ind w:left="1" w:leftChars="0" w:right="-340" w:rightChars="-162" w:firstLine="2880" w:firstLineChars="1200"/>
        <w:rPr>
          <w:rFonts w:hint="eastAsia" w:ascii="宋体" w:hAnsi="宋体" w:eastAsia="宋体" w:cs="宋体"/>
          <w:sz w:val="24"/>
        </w:rPr>
      </w:pPr>
    </w:p>
    <w:p w14:paraId="22D44D50">
      <w:pPr>
        <w:pStyle w:val="9"/>
        <w:spacing w:line="360" w:lineRule="exact"/>
        <w:ind w:left="1" w:leftChars="0" w:right="-340" w:rightChars="-162" w:firstLine="2880" w:firstLineChars="1200"/>
        <w:rPr>
          <w:rFonts w:hint="eastAsia" w:ascii="宋体" w:hAnsi="宋体" w:eastAsia="宋体" w:cs="宋体"/>
          <w:sz w:val="24"/>
        </w:rPr>
      </w:pPr>
    </w:p>
    <w:p w14:paraId="3446114A">
      <w:pPr>
        <w:pStyle w:val="9"/>
        <w:spacing w:line="360" w:lineRule="exact"/>
        <w:ind w:left="1" w:leftChars="0" w:right="-340" w:rightChars="-162" w:firstLine="2880" w:firstLineChars="1200"/>
        <w:rPr>
          <w:rFonts w:hint="eastAsia" w:ascii="宋体" w:hAnsi="宋体" w:eastAsia="宋体" w:cs="宋体"/>
          <w:sz w:val="24"/>
        </w:rPr>
      </w:pPr>
    </w:p>
    <w:p w14:paraId="65C5D6F6">
      <w:pPr>
        <w:pStyle w:val="9"/>
        <w:spacing w:line="360" w:lineRule="exact"/>
        <w:ind w:left="1" w:leftChars="0" w:right="-340" w:rightChars="-162" w:firstLine="2880" w:firstLineChars="1200"/>
        <w:rPr>
          <w:rFonts w:hint="eastAsia" w:ascii="宋体" w:hAnsi="宋体" w:eastAsia="宋体" w:cs="宋体"/>
          <w:sz w:val="24"/>
          <w:u w:val="single"/>
        </w:rPr>
      </w:pPr>
      <w:r>
        <w:rPr>
          <w:rFonts w:hint="eastAsia" w:ascii="宋体" w:hAnsi="宋体" w:eastAsia="宋体" w:cs="宋体"/>
          <w:sz w:val="24"/>
        </w:rPr>
        <w:t>供  应  商：</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13ED08EB">
      <w:pPr>
        <w:pStyle w:val="9"/>
        <w:spacing w:line="360" w:lineRule="exact"/>
        <w:ind w:left="1" w:leftChars="0" w:right="-340" w:rightChars="-162" w:firstLine="2880" w:firstLineChars="1200"/>
        <w:rPr>
          <w:rFonts w:hint="eastAsia" w:ascii="宋体" w:hAnsi="宋体" w:eastAsia="宋体" w:cs="宋体"/>
          <w:sz w:val="24"/>
          <w:u w:val="single"/>
        </w:rPr>
      </w:pPr>
    </w:p>
    <w:p w14:paraId="60A0BEE7">
      <w:pPr>
        <w:pStyle w:val="9"/>
        <w:spacing w:line="360" w:lineRule="exact"/>
        <w:ind w:left="1" w:leftChars="0" w:right="-340" w:rightChars="-162" w:firstLine="2880" w:firstLineChars="1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7A5C7473">
      <w:pPr>
        <w:pStyle w:val="9"/>
        <w:spacing w:line="360" w:lineRule="exact"/>
        <w:ind w:left="1" w:leftChars="0" w:right="-340" w:rightChars="-162" w:firstLine="480" w:firstLineChars="200"/>
        <w:rPr>
          <w:rFonts w:hint="eastAsia" w:ascii="宋体" w:hAnsi="宋体" w:eastAsia="宋体" w:cs="宋体"/>
          <w:sz w:val="24"/>
        </w:rPr>
      </w:pPr>
      <w:r>
        <w:rPr>
          <w:rFonts w:hint="eastAsia" w:ascii="宋体" w:hAnsi="宋体" w:eastAsia="宋体" w:cs="宋体"/>
          <w:sz w:val="24"/>
        </w:rPr>
        <w:t xml:space="preserve"> </w:t>
      </w:r>
    </w:p>
    <w:p w14:paraId="24CDB922">
      <w:pPr>
        <w:pStyle w:val="9"/>
        <w:spacing w:line="360" w:lineRule="exact"/>
        <w:ind w:left="99" w:leftChars="47" w:right="-340" w:rightChars="-162" w:firstLine="2760" w:firstLineChars="1150"/>
        <w:rPr>
          <w:rFonts w:hint="eastAsia" w:ascii="宋体" w:hAnsi="宋体" w:eastAsia="宋体" w:cs="宋体"/>
          <w:b/>
          <w:bCs/>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年     月    日</w:t>
      </w:r>
    </w:p>
    <w:p w14:paraId="0062AE64">
      <w:pPr>
        <w:rPr>
          <w:rFonts w:hint="eastAsia" w:ascii="宋体" w:hAnsi="宋体" w:eastAsia="宋体" w:cs="宋体"/>
          <w:sz w:val="28"/>
          <w:szCs w:val="21"/>
        </w:rPr>
      </w:pPr>
    </w:p>
    <w:p w14:paraId="0DE47E60">
      <w:pPr>
        <w:rPr>
          <w:rFonts w:hint="eastAsia" w:ascii="宋体" w:hAnsi="宋体" w:eastAsia="宋体" w:cs="宋体"/>
          <w:sz w:val="28"/>
          <w:szCs w:val="21"/>
        </w:rPr>
      </w:pPr>
      <w:r>
        <w:rPr>
          <w:rFonts w:hint="eastAsia" w:ascii="宋体" w:hAnsi="宋体" w:eastAsia="宋体" w:cs="宋体"/>
          <w:sz w:val="28"/>
          <w:szCs w:val="21"/>
        </w:rPr>
        <w:br w:type="page"/>
      </w:r>
    </w:p>
    <w:p w14:paraId="6EB5C33A">
      <w:pPr>
        <w:pStyle w:val="4"/>
        <w:numPr>
          <w:ilvl w:val="1"/>
          <w:numId w:val="0"/>
        </w:numPr>
        <w:wordWrap w:val="0"/>
        <w:topLinePunct/>
        <w:spacing w:before="0" w:after="0" w:line="360" w:lineRule="auto"/>
        <w:jc w:val="left"/>
        <w:rPr>
          <w:rFonts w:hint="eastAsia" w:ascii="宋体" w:hAnsi="宋体" w:eastAsia="宋体" w:cs="宋体"/>
          <w:sz w:val="24"/>
        </w:rPr>
      </w:pPr>
      <w:r>
        <w:rPr>
          <w:rFonts w:hint="eastAsia" w:ascii="宋体" w:hAnsi="宋体" w:eastAsia="宋体" w:cs="宋体"/>
          <w:sz w:val="28"/>
          <w:szCs w:val="21"/>
        </w:rPr>
        <w:t>附件2：</w:t>
      </w:r>
      <w:bookmarkEnd w:id="29"/>
    </w:p>
    <w:p w14:paraId="21769903">
      <w:pPr>
        <w:pStyle w:val="4"/>
        <w:numPr>
          <w:ilvl w:val="1"/>
          <w:numId w:val="0"/>
        </w:numPr>
        <w:wordWrap w:val="0"/>
        <w:topLinePunct/>
        <w:spacing w:before="0" w:after="0" w:line="360" w:lineRule="auto"/>
        <w:rPr>
          <w:rFonts w:hint="eastAsia" w:ascii="宋体" w:hAnsi="宋体" w:eastAsia="宋体" w:cs="宋体"/>
        </w:rPr>
      </w:pPr>
      <w:r>
        <w:rPr>
          <w:rFonts w:hint="eastAsia" w:ascii="宋体" w:hAnsi="宋体" w:eastAsia="宋体" w:cs="宋体"/>
          <w:bCs/>
          <w:szCs w:val="24"/>
          <w:lang w:val="zh-CN"/>
        </w:rPr>
        <w:t>中小企业声明函</w:t>
      </w:r>
      <w:bookmarkEnd w:id="30"/>
    </w:p>
    <w:p w14:paraId="30C174DA">
      <w:pPr>
        <w:bidi w:val="0"/>
        <w:rPr>
          <w:rFonts w:hint="eastAsia" w:ascii="宋体" w:hAnsi="宋体" w:eastAsia="宋体" w:cs="宋体"/>
        </w:rPr>
      </w:pPr>
      <w:bookmarkStart w:id="31" w:name="_Toc82111747"/>
      <w:bookmarkEnd w:id="31"/>
      <w:bookmarkStart w:id="32" w:name="_Toc10422"/>
      <w:bookmarkEnd w:id="32"/>
      <w:bookmarkStart w:id="33" w:name="_Toc7247"/>
      <w:bookmarkEnd w:id="33"/>
      <w:bookmarkStart w:id="34" w:name="_Toc12921"/>
      <w:bookmarkEnd w:id="34"/>
      <w:bookmarkStart w:id="35" w:name="_Toc13133"/>
      <w:bookmarkEnd w:id="35"/>
      <w:bookmarkStart w:id="36" w:name="_Toc9430"/>
      <w:bookmarkEnd w:id="36"/>
      <w:bookmarkStart w:id="37" w:name="_Toc14000"/>
      <w:bookmarkEnd w:id="37"/>
      <w:bookmarkStart w:id="38" w:name="_Toc10652"/>
      <w:bookmarkEnd w:id="38"/>
      <w:bookmarkStart w:id="39" w:name="_Toc22972"/>
      <w:bookmarkEnd w:id="39"/>
      <w:bookmarkStart w:id="40" w:name="_Toc22139"/>
      <w:bookmarkEnd w:id="40"/>
    </w:p>
    <w:p w14:paraId="5A8EA40A">
      <w:pPr>
        <w:widowControl/>
        <w:spacing w:before="100" w:beforeAutospacing="1" w:after="100" w:afterAutospacing="1" w:line="360" w:lineRule="auto"/>
        <w:ind w:firstLine="600" w:firstLineChars="250"/>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采购活动，服务全部由符合政策要求的中小企业承接。相关企业（含联合体中的中小企业、签订分包意向协议的中小企业）的具体情况如下：</w:t>
      </w:r>
    </w:p>
    <w:p w14:paraId="667B018C">
      <w:pPr>
        <w:spacing w:before="100" w:beforeAutospacing="1" w:after="100" w:afterAutospacing="1" w:line="360" w:lineRule="auto"/>
        <w:ind w:firstLine="420" w:firstLineChars="200"/>
        <w:rPr>
          <w:rFonts w:hint="eastAsia" w:ascii="宋体" w:hAnsi="宋体" w:eastAsia="宋体" w:cs="宋体"/>
          <w:kern w:val="0"/>
          <w:sz w:val="24"/>
        </w:rPr>
      </w:pPr>
      <w:r>
        <w:rPr>
          <w:rFonts w:hint="eastAsia"/>
          <w:u w:val="single"/>
          <w:lang w:val="en-US" w:eastAsia="zh-CN"/>
        </w:rPr>
        <w:t xml:space="preserve">         </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u w:val="single"/>
          <w:lang w:val="en-US" w:eastAsia="zh-CN"/>
        </w:rPr>
        <w:t xml:space="preserve">         </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u w:val="single"/>
          <w:lang w:val="en-US" w:eastAsia="zh-CN"/>
        </w:rPr>
        <w:t xml:space="preserve">         </w:t>
      </w:r>
      <w:r>
        <w:rPr>
          <w:rFonts w:hint="eastAsia" w:ascii="宋体" w:hAnsi="宋体" w:eastAsia="宋体" w:cs="宋体"/>
          <w:kern w:val="0"/>
          <w:sz w:val="24"/>
        </w:rPr>
        <w:t>人，营业收入为</w:t>
      </w:r>
      <w:r>
        <w:rPr>
          <w:rFonts w:hint="eastAsia"/>
          <w:u w:val="single"/>
          <w:lang w:val="en-US" w:eastAsia="zh-CN"/>
        </w:rPr>
        <w:t xml:space="preserve">         </w:t>
      </w:r>
      <w:r>
        <w:rPr>
          <w:rFonts w:hint="eastAsia" w:ascii="宋体" w:hAnsi="宋体" w:eastAsia="宋体" w:cs="宋体"/>
          <w:kern w:val="0"/>
          <w:sz w:val="24"/>
        </w:rPr>
        <w:t>万元，资产总额为</w:t>
      </w:r>
      <w:r>
        <w:rPr>
          <w:rFonts w:hint="eastAsia"/>
          <w:u w:val="single"/>
          <w:lang w:val="en-US" w:eastAsia="zh-CN"/>
        </w:rPr>
        <w:t xml:space="preserve">         </w:t>
      </w:r>
      <w:r>
        <w:rPr>
          <w:rFonts w:hint="eastAsia" w:ascii="宋体" w:hAnsi="宋体" w:eastAsia="宋体" w:cs="宋体"/>
          <w:kern w:val="0"/>
          <w:sz w:val="24"/>
        </w:rPr>
        <w:t>万元，属于</w:t>
      </w:r>
      <w:r>
        <w:rPr>
          <w:rFonts w:hint="eastAsia"/>
          <w:u w:val="single"/>
          <w:lang w:val="en-US" w:eastAsia="zh-CN"/>
        </w:rPr>
        <w:t xml:space="preserve">         </w:t>
      </w:r>
      <w:r>
        <w:rPr>
          <w:rFonts w:hint="eastAsia" w:ascii="宋体" w:hAnsi="宋体" w:eastAsia="宋体" w:cs="宋体"/>
          <w:kern w:val="0"/>
          <w:sz w:val="24"/>
        </w:rPr>
        <w:t>（</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 xml:space="preserve">）； </w:t>
      </w:r>
    </w:p>
    <w:p w14:paraId="541C64BA">
      <w:pPr>
        <w:widowControl/>
        <w:spacing w:before="100" w:beforeAutospacing="1" w:after="100" w:afterAutospacing="1" w:line="360" w:lineRule="auto"/>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以上企业，不属于大企业的分支机构，不存在控股股东为大企业的情形，也不存在与大企业的负责人为同一人的情形。本企业对上述声明内容的真实性负责。如有虚假，将依 法承担相应责任。</w:t>
      </w:r>
    </w:p>
    <w:p w14:paraId="529F94DE">
      <w:pPr>
        <w:spacing w:line="360" w:lineRule="auto"/>
        <w:ind w:firstLine="4320" w:firstLineChars="1800"/>
        <w:rPr>
          <w:rFonts w:hint="eastAsia" w:ascii="宋体" w:hAnsi="宋体" w:eastAsia="宋体" w:cs="宋体"/>
          <w:sz w:val="24"/>
        </w:rPr>
      </w:pPr>
      <w:r>
        <w:rPr>
          <w:rFonts w:hint="eastAsia" w:ascii="宋体" w:hAnsi="宋体" w:eastAsia="宋体" w:cs="宋体"/>
          <w:bCs/>
          <w:sz w:val="24"/>
        </w:rPr>
        <w:t>供应商（公章）：</w:t>
      </w:r>
    </w:p>
    <w:p w14:paraId="4B290AD2">
      <w:pPr>
        <w:spacing w:line="360" w:lineRule="auto"/>
        <w:ind w:firstLine="4320" w:firstLineChars="1800"/>
        <w:rPr>
          <w:rFonts w:hint="eastAsia" w:ascii="宋体" w:hAnsi="宋体" w:eastAsia="宋体" w:cs="宋体"/>
          <w:kern w:val="0"/>
          <w:sz w:val="24"/>
        </w:rPr>
      </w:pPr>
      <w:r>
        <w:rPr>
          <w:rFonts w:hint="eastAsia" w:ascii="宋体" w:hAnsi="宋体" w:eastAsia="宋体" w:cs="宋体"/>
          <w:sz w:val="24"/>
        </w:rPr>
        <w:t>日期：年月日</w:t>
      </w:r>
    </w:p>
    <w:p w14:paraId="138CC378">
      <w:pPr>
        <w:widowControl/>
        <w:spacing w:before="100" w:beforeAutospacing="1" w:after="100" w:afterAutospacing="1" w:line="360" w:lineRule="auto"/>
        <w:rPr>
          <w:rFonts w:hint="eastAsia" w:ascii="宋体" w:hAnsi="宋体" w:eastAsia="宋体" w:cs="宋体"/>
          <w:kern w:val="0"/>
          <w:szCs w:val="21"/>
        </w:rPr>
      </w:pPr>
      <w:r>
        <w:rPr>
          <w:rFonts w:hint="eastAsia" w:ascii="宋体" w:hAnsi="宋体" w:eastAsia="宋体" w:cs="宋体"/>
          <w:kern w:val="0"/>
          <w:szCs w:val="21"/>
        </w:rPr>
        <w:t>注：从业人员、营业收入、资产总额填报上一年度数据，无上一年度数据的新成立企业可不填报。</w:t>
      </w:r>
    </w:p>
    <w:p w14:paraId="1CA03973">
      <w:pPr>
        <w:widowControl/>
        <w:spacing w:before="100" w:beforeAutospacing="1" w:after="100" w:afterAutospacing="1" w:line="360" w:lineRule="auto"/>
        <w:rPr>
          <w:rFonts w:hint="eastAsia" w:ascii="宋体" w:hAnsi="宋体" w:eastAsia="宋体" w:cs="宋体"/>
          <w:kern w:val="0"/>
          <w:szCs w:val="21"/>
        </w:rPr>
      </w:pPr>
    </w:p>
    <w:p w14:paraId="775802BD">
      <w:pPr>
        <w:widowControl/>
        <w:spacing w:before="100" w:beforeAutospacing="1" w:after="100" w:afterAutospacing="1" w:line="360" w:lineRule="auto"/>
        <w:rPr>
          <w:rFonts w:hint="eastAsia" w:ascii="宋体" w:hAnsi="宋体" w:eastAsia="宋体" w:cs="宋体"/>
          <w:kern w:val="0"/>
          <w:szCs w:val="21"/>
        </w:rPr>
      </w:pPr>
    </w:p>
    <w:p w14:paraId="10AA8425">
      <w:pPr>
        <w:pStyle w:val="19"/>
        <w:ind w:firstLine="440"/>
        <w:rPr>
          <w:rFonts w:hint="eastAsia" w:ascii="宋体" w:hAnsi="宋体" w:eastAsia="宋体" w:cs="宋体"/>
          <w:lang w:eastAsia="zh-CN"/>
        </w:rPr>
      </w:pPr>
    </w:p>
    <w:p w14:paraId="1F731E7A">
      <w:pPr>
        <w:widowControl/>
        <w:spacing w:line="500" w:lineRule="exact"/>
        <w:jc w:val="center"/>
        <w:rPr>
          <w:rFonts w:hint="eastAsia" w:ascii="宋体" w:hAnsi="宋体" w:eastAsia="宋体" w:cs="宋体"/>
          <w:sz w:val="28"/>
          <w:szCs w:val="28"/>
        </w:rPr>
      </w:pPr>
      <w:r>
        <w:rPr>
          <w:rFonts w:hint="eastAsia" w:ascii="宋体" w:hAnsi="宋体" w:eastAsia="宋体" w:cs="宋体"/>
          <w:b/>
        </w:rPr>
        <w:br w:type="page"/>
      </w:r>
      <w:r>
        <w:rPr>
          <w:rFonts w:hint="eastAsia" w:ascii="宋体" w:hAnsi="宋体" w:eastAsia="宋体" w:cs="宋体"/>
          <w:sz w:val="28"/>
          <w:szCs w:val="28"/>
        </w:rPr>
        <w:t>工业和信息化部、国家统计局、国家发展和改革委员会、财政部</w:t>
      </w:r>
    </w:p>
    <w:p w14:paraId="60790143">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《关于印发中小企业划型标准规定的通知》</w:t>
      </w:r>
    </w:p>
    <w:p w14:paraId="42C7C659">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工信部联企业〔2011〕300号</w:t>
      </w:r>
    </w:p>
    <w:p w14:paraId="2B59BF6F">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各省、自治区、直辖市人民政府，国务院各部委、各直属机构及有关单位： </w:t>
      </w:r>
    </w:p>
    <w:p w14:paraId="20CB273E">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5A89FEA">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工业和信息化部 国家统计局 国家发展和改革委员会 财政部 </w:t>
      </w:r>
    </w:p>
    <w:p w14:paraId="3010A49F">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二○一一年六月十八日 </w:t>
      </w:r>
    </w:p>
    <w:p w14:paraId="1F51B03A">
      <w:pPr>
        <w:widowControl/>
        <w:spacing w:line="500" w:lineRule="exact"/>
        <w:jc w:val="center"/>
        <w:rPr>
          <w:rFonts w:hint="eastAsia" w:ascii="宋体" w:hAnsi="宋体" w:eastAsia="宋体" w:cs="宋体"/>
          <w:b/>
          <w:bCs/>
          <w:sz w:val="24"/>
        </w:rPr>
      </w:pPr>
      <w:r>
        <w:rPr>
          <w:rFonts w:hint="eastAsia" w:ascii="宋体" w:hAnsi="宋体" w:eastAsia="宋体" w:cs="宋体"/>
          <w:b/>
          <w:bCs/>
          <w:sz w:val="24"/>
        </w:rPr>
        <w:t>中小企业划型标准规定</w:t>
      </w:r>
    </w:p>
    <w:p w14:paraId="0CBBCF45">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一、根据《中华人民共和国中小企业促进法》和《国务院关于进一步促进中小企业发展的若干意见》(国发〔2009〕36号)，制定本规定。 </w:t>
      </w:r>
    </w:p>
    <w:p w14:paraId="4DBF58F4">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二、中小企业划分为中型、小型、微型三种类型，具体标准根据企业从业人员、营业收入、资产总额等指标，结合行业特点制定。 </w:t>
      </w:r>
    </w:p>
    <w:p w14:paraId="6AE1B041">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73323F2">
      <w:pPr>
        <w:widowControl/>
        <w:spacing w:line="500" w:lineRule="exact"/>
        <w:ind w:firstLine="480" w:firstLineChars="200"/>
        <w:jc w:val="left"/>
        <w:rPr>
          <w:rFonts w:hint="eastAsia" w:ascii="宋体" w:hAnsi="宋体" w:eastAsia="宋体" w:cs="宋体"/>
          <w:sz w:val="24"/>
        </w:rPr>
      </w:pPr>
      <w:bookmarkStart w:id="41" w:name="_Toc16544"/>
      <w:bookmarkStart w:id="42" w:name="_Toc26934"/>
      <w:r>
        <w:rPr>
          <w:rFonts w:hint="eastAsia" w:ascii="宋体" w:hAnsi="宋体" w:eastAsia="宋体" w:cs="宋体"/>
          <w:sz w:val="24"/>
        </w:rPr>
        <w:t>四、各行业划型标准为</w:t>
      </w:r>
      <w:bookmarkEnd w:id="41"/>
      <w:bookmarkEnd w:id="42"/>
    </w:p>
    <w:p w14:paraId="1C416EE8">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FAF828">
      <w:pPr>
        <w:widowControl/>
        <w:spacing w:line="500" w:lineRule="exact"/>
        <w:ind w:firstLine="480" w:firstLineChars="200"/>
        <w:jc w:val="left"/>
        <w:rPr>
          <w:rFonts w:hint="eastAsia" w:ascii="宋体" w:hAnsi="宋体" w:eastAsia="宋体" w:cs="宋体"/>
          <w:sz w:val="24"/>
        </w:rPr>
      </w:pPr>
      <w:bookmarkStart w:id="43" w:name="_Toc30260"/>
      <w:bookmarkStart w:id="44" w:name="_Toc15897"/>
      <w:r>
        <w:rPr>
          <w:rFonts w:hint="eastAsia" w:ascii="宋体" w:hAnsi="宋体" w:eastAsia="宋体" w:cs="宋体"/>
          <w:sz w:val="24"/>
        </w:rPr>
        <w:t>五、企业类型的划分以统计部门的统计数据为依据。</w:t>
      </w:r>
      <w:bookmarkEnd w:id="43"/>
      <w:bookmarkEnd w:id="44"/>
    </w:p>
    <w:p w14:paraId="594F6176">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六、本规定适用于在中华人民共和国境内依法设立的各类所有制和各种组织形式的企业。个体工商户和本规定以外的行业，参照本规定进行划型。 </w:t>
      </w:r>
    </w:p>
    <w:p w14:paraId="285FB59A">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E642B6E">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八、本规定由工业和信息化部、国家统计局会同有关部门根据《国民经济行业分类》修订情况和企业发展变化情况适时修订。 </w:t>
      </w:r>
    </w:p>
    <w:p w14:paraId="7B4A319C">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九、本规定由工业和信息化部、国家统计局会同有关部门负责解释。 </w:t>
      </w:r>
    </w:p>
    <w:p w14:paraId="3D379AA7">
      <w:pPr>
        <w:widowControl/>
        <w:spacing w:line="500" w:lineRule="exact"/>
        <w:rPr>
          <w:rFonts w:hint="eastAsia" w:ascii="宋体" w:hAnsi="宋体" w:eastAsia="宋体" w:cs="宋体"/>
          <w:sz w:val="24"/>
        </w:rPr>
      </w:pPr>
      <w:r>
        <w:rPr>
          <w:rFonts w:hint="eastAsia" w:ascii="宋体" w:hAnsi="宋体" w:eastAsia="宋体" w:cs="宋体"/>
          <w:sz w:val="24"/>
        </w:rPr>
        <w:t xml:space="preserve">十、本规定自发布之日起执行，原国家经贸委、原国家计委、财政部和国家统计局2003年颁布的《中小企业标准暂行规定》同时废止。 </w:t>
      </w:r>
    </w:p>
    <w:p w14:paraId="2821C422">
      <w:pPr>
        <w:rPr>
          <w:rFonts w:hint="eastAsia" w:ascii="宋体" w:hAnsi="宋体" w:eastAsia="宋体" w:cs="宋体"/>
        </w:rPr>
      </w:pPr>
    </w:p>
    <w:p w14:paraId="4E8646B5">
      <w:pPr>
        <w:widowControl/>
        <w:spacing w:line="340" w:lineRule="exact"/>
        <w:rPr>
          <w:rFonts w:hint="eastAsia" w:ascii="宋体" w:hAnsi="宋体" w:eastAsia="宋体" w:cs="宋体"/>
          <w:b/>
          <w:sz w:val="24"/>
          <w:szCs w:val="24"/>
        </w:rPr>
      </w:pPr>
    </w:p>
    <w:p w14:paraId="3F5B125C">
      <w:pPr>
        <w:widowControl/>
        <w:spacing w:before="100" w:beforeAutospacing="1" w:after="100" w:afterAutospacing="1" w:line="360" w:lineRule="auto"/>
        <w:jc w:val="center"/>
        <w:rPr>
          <w:rFonts w:hint="eastAsia" w:ascii="宋体" w:hAnsi="宋体" w:eastAsia="宋体" w:cs="宋体"/>
          <w:b/>
          <w:kern w:val="0"/>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供应商监狱企业声明函</w:t>
      </w:r>
    </w:p>
    <w:p w14:paraId="7C24C068">
      <w:pPr>
        <w:widowControl/>
        <w:spacing w:before="100" w:beforeAutospacing="1" w:after="100" w:afterAutospacing="1"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（属于残疾人福利性单位的填写，不属于的无需填写此项内容）</w:t>
      </w:r>
    </w:p>
    <w:p w14:paraId="340E7D19">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本企业（单位）郑重声明下列事项（按照实际情况填写：是、不是）：</w:t>
      </w:r>
    </w:p>
    <w:p w14:paraId="05D21853">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本企业（单位）为直接供应商提供本企业（单位）制造的货物。</w:t>
      </w:r>
    </w:p>
    <w:p w14:paraId="6F54ADC3">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（1）本企业（单位）（请填写：是、不是）监狱企业。后附省级以上监狱管理局、戒毒管理局（含新疆生产建设兵团）出具的属于监狱企业的证明文件。</w:t>
      </w:r>
    </w:p>
    <w:p w14:paraId="795B6C7E">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（2）本企业（单位）（请填写：是、不是）为联合体一方，提供本企业（单位）制造的货物，由本企业（单位）承担工程、提供服务。本企业（单位）提供协议合同金额占到共同</w:t>
      </w:r>
      <w:r>
        <w:rPr>
          <w:rFonts w:hint="eastAsia" w:ascii="宋体" w:hAnsi="宋体" w:cs="宋体"/>
          <w:kern w:val="0"/>
          <w:sz w:val="24"/>
          <w:szCs w:val="24"/>
          <w:lang w:eastAsia="zh-CN"/>
        </w:rPr>
        <w:t>响应</w:t>
      </w:r>
      <w:r>
        <w:rPr>
          <w:rFonts w:hint="eastAsia" w:ascii="宋体" w:hAnsi="宋体" w:eastAsia="宋体" w:cs="宋体"/>
          <w:kern w:val="0"/>
          <w:sz w:val="24"/>
          <w:szCs w:val="24"/>
        </w:rPr>
        <w:t>协议合同总金额的比例为</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w:t>
      </w:r>
    </w:p>
    <w:p w14:paraId="578BC145">
      <w:pPr>
        <w:widowControl/>
        <w:spacing w:before="100" w:beforeAutospacing="1" w:after="100" w:afterAutospacing="1" w:line="360" w:lineRule="auto"/>
        <w:ind w:firstLine="475"/>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14:paraId="72696A8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5C6344B7">
      <w:pPr>
        <w:widowControl/>
        <w:spacing w:before="100" w:beforeAutospacing="1" w:after="100" w:afterAutospacing="1" w:line="360" w:lineRule="auto"/>
        <w:jc w:val="left"/>
        <w:rPr>
          <w:rFonts w:hint="eastAsia" w:ascii="宋体" w:hAnsi="宋体" w:eastAsia="宋体" w:cs="宋体"/>
          <w:kern w:val="0"/>
          <w:sz w:val="24"/>
          <w:szCs w:val="24"/>
        </w:rPr>
      </w:pPr>
    </w:p>
    <w:p w14:paraId="46FB9E6D">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072D04C">
      <w:pPr>
        <w:spacing w:line="360" w:lineRule="auto"/>
        <w:ind w:firstLine="4320" w:firstLineChars="1800"/>
        <w:rPr>
          <w:rFonts w:hint="eastAsia" w:ascii="宋体" w:hAnsi="宋体" w:eastAsia="宋体" w:cs="宋体"/>
          <w:sz w:val="24"/>
          <w:szCs w:val="24"/>
        </w:rPr>
      </w:pPr>
    </w:p>
    <w:p w14:paraId="57B0DD58">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日期：年月日</w:t>
      </w:r>
    </w:p>
    <w:p w14:paraId="06AE2C18">
      <w:pPr>
        <w:pStyle w:val="19"/>
        <w:ind w:firstLine="480"/>
        <w:rPr>
          <w:rFonts w:hint="eastAsia" w:ascii="宋体" w:hAnsi="宋体" w:eastAsia="宋体" w:cs="宋体"/>
          <w:sz w:val="24"/>
          <w:szCs w:val="24"/>
          <w:lang w:eastAsia="zh-CN"/>
        </w:rPr>
      </w:pPr>
    </w:p>
    <w:p w14:paraId="74FA863E">
      <w:pPr>
        <w:pStyle w:val="19"/>
        <w:ind w:firstLine="480"/>
        <w:rPr>
          <w:rFonts w:hint="eastAsia" w:ascii="宋体" w:hAnsi="宋体" w:eastAsia="宋体" w:cs="宋体"/>
          <w:sz w:val="24"/>
          <w:szCs w:val="24"/>
          <w:lang w:eastAsia="zh-CN"/>
        </w:rPr>
      </w:pPr>
    </w:p>
    <w:p w14:paraId="1A6C0369">
      <w:pPr>
        <w:pStyle w:val="19"/>
        <w:ind w:firstLine="480"/>
        <w:rPr>
          <w:rFonts w:hint="eastAsia" w:ascii="宋体" w:hAnsi="宋体" w:eastAsia="宋体" w:cs="宋体"/>
          <w:sz w:val="24"/>
          <w:szCs w:val="24"/>
          <w:lang w:eastAsia="zh-CN"/>
        </w:rPr>
      </w:pPr>
    </w:p>
    <w:p w14:paraId="2B3CABE0">
      <w:pPr>
        <w:pStyle w:val="19"/>
        <w:ind w:firstLine="480"/>
        <w:rPr>
          <w:rFonts w:hint="eastAsia" w:ascii="宋体" w:hAnsi="宋体" w:eastAsia="宋体" w:cs="宋体"/>
          <w:sz w:val="24"/>
          <w:szCs w:val="24"/>
          <w:lang w:eastAsia="zh-CN"/>
        </w:rPr>
      </w:pPr>
    </w:p>
    <w:p w14:paraId="484F2D70">
      <w:pPr>
        <w:pStyle w:val="6"/>
        <w:rPr>
          <w:rFonts w:hint="eastAsia" w:ascii="宋体" w:hAnsi="宋体" w:eastAsia="宋体" w:cs="宋体"/>
        </w:rPr>
      </w:pPr>
    </w:p>
    <w:p w14:paraId="07E350F9">
      <w:pPr>
        <w:pStyle w:val="4"/>
        <w:numPr>
          <w:ilvl w:val="1"/>
          <w:numId w:val="0"/>
        </w:numPr>
        <w:wordWrap w:val="0"/>
        <w:topLinePunct/>
        <w:spacing w:before="0" w:after="0" w:line="360" w:lineRule="auto"/>
        <w:rPr>
          <w:rFonts w:hint="eastAsia" w:ascii="宋体" w:hAnsi="宋体" w:eastAsia="宋体" w:cs="宋体"/>
          <w:bCs/>
          <w:sz w:val="24"/>
          <w:szCs w:val="24"/>
        </w:rPr>
      </w:pPr>
    </w:p>
    <w:p w14:paraId="068B5AA7">
      <w:pPr>
        <w:rPr>
          <w:rFonts w:hint="eastAsia" w:ascii="宋体" w:hAnsi="宋体" w:eastAsia="宋体" w:cs="宋体"/>
          <w:sz w:val="24"/>
          <w:szCs w:val="24"/>
        </w:rPr>
      </w:pPr>
    </w:p>
    <w:p w14:paraId="58F9C928">
      <w:pPr>
        <w:widowControl/>
        <w:spacing w:before="100" w:beforeAutospacing="1" w:after="100" w:afterAutospacing="1" w:line="360" w:lineRule="auto"/>
        <w:ind w:firstLine="3120" w:firstLineChars="1300"/>
        <w:jc w:val="left"/>
        <w:rPr>
          <w:rFonts w:hint="eastAsia" w:ascii="宋体" w:hAnsi="宋体" w:eastAsia="宋体" w:cs="宋体"/>
          <w:b/>
          <w:bCs/>
          <w:sz w:val="24"/>
          <w:szCs w:val="24"/>
        </w:rPr>
      </w:pPr>
      <w:r>
        <w:rPr>
          <w:rFonts w:hint="eastAsia" w:ascii="宋体" w:hAnsi="宋体" w:eastAsia="宋体" w:cs="宋体"/>
          <w:bCs/>
          <w:sz w:val="24"/>
          <w:szCs w:val="24"/>
        </w:rPr>
        <w:br w:type="page"/>
      </w:r>
      <w:r>
        <w:rPr>
          <w:rFonts w:hint="eastAsia" w:ascii="宋体" w:hAnsi="宋体" w:eastAsia="宋体" w:cs="宋体"/>
          <w:b/>
          <w:bCs/>
          <w:sz w:val="24"/>
          <w:szCs w:val="24"/>
        </w:rPr>
        <w:t>残疾人福利性单位声明函</w:t>
      </w:r>
    </w:p>
    <w:p w14:paraId="140536AE">
      <w:pPr>
        <w:spacing w:line="360" w:lineRule="auto"/>
        <w:jc w:val="center"/>
        <w:rPr>
          <w:rFonts w:hint="eastAsia" w:ascii="宋体" w:hAnsi="宋体" w:eastAsia="宋体" w:cs="宋体"/>
        </w:rPr>
      </w:pPr>
      <w:r>
        <w:rPr>
          <w:rFonts w:hint="eastAsia" w:ascii="宋体" w:hAnsi="宋体" w:eastAsia="宋体" w:cs="宋体"/>
          <w:kern w:val="0"/>
          <w:sz w:val="24"/>
          <w:szCs w:val="24"/>
        </w:rPr>
        <w:t>（属于监狱企业的提供，不属于的无需提供此项内容）</w:t>
      </w:r>
    </w:p>
    <w:p w14:paraId="6BADADAD">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27D7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36E81F57">
      <w:pPr>
        <w:spacing w:line="360" w:lineRule="auto"/>
        <w:ind w:firstLine="4320" w:firstLineChars="1800"/>
        <w:rPr>
          <w:rFonts w:hint="eastAsia" w:ascii="宋体" w:hAnsi="宋体" w:eastAsia="宋体" w:cs="宋体"/>
          <w:bCs/>
          <w:sz w:val="24"/>
          <w:szCs w:val="24"/>
        </w:rPr>
      </w:pPr>
    </w:p>
    <w:p w14:paraId="52B35F74">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44D3A43">
      <w:pPr>
        <w:spacing w:line="360" w:lineRule="auto"/>
        <w:ind w:firstLine="4320" w:firstLineChars="1800"/>
        <w:rPr>
          <w:rFonts w:hint="eastAsia" w:ascii="宋体" w:hAnsi="宋体" w:eastAsia="宋体" w:cs="宋体"/>
          <w:sz w:val="24"/>
          <w:szCs w:val="24"/>
        </w:rPr>
      </w:pPr>
    </w:p>
    <w:p w14:paraId="099E8DD7">
      <w:pPr>
        <w:spacing w:line="360" w:lineRule="auto"/>
        <w:ind w:firstLine="4320" w:firstLineChars="1800"/>
        <w:rPr>
          <w:rFonts w:hint="eastAsia" w:ascii="宋体" w:hAnsi="宋体" w:eastAsia="宋体" w:cs="宋体"/>
          <w:b/>
          <w:sz w:val="28"/>
          <w:szCs w:val="28"/>
        </w:rPr>
      </w:pPr>
      <w:r>
        <w:rPr>
          <w:rFonts w:hint="eastAsia" w:ascii="宋体" w:hAnsi="宋体" w:eastAsia="宋体" w:cs="宋体"/>
          <w:sz w:val="24"/>
          <w:szCs w:val="24"/>
        </w:rPr>
        <w:t>日期：年月日</w:t>
      </w:r>
    </w:p>
    <w:p w14:paraId="50FB1ADD">
      <w:pPr>
        <w:spacing w:line="360" w:lineRule="auto"/>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44B8B9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57C6499D">
      <w:pPr>
        <w:spacing w:line="360" w:lineRule="auto"/>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17E5C1EA">
      <w:pPr>
        <w:spacing w:line="360" w:lineRule="auto"/>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780966DB">
      <w:pPr>
        <w:spacing w:line="360" w:lineRule="auto"/>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47884644">
      <w:pPr>
        <w:spacing w:line="360" w:lineRule="auto"/>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22E4A56D">
      <w:pPr>
        <w:spacing w:line="360" w:lineRule="auto"/>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264F52F7">
      <w:pPr>
        <w:pStyle w:val="10"/>
        <w:rPr>
          <w:rFonts w:hint="eastAsia" w:ascii="宋体" w:hAnsi="宋体" w:eastAsia="宋体" w:cs="宋体"/>
        </w:rPr>
      </w:pPr>
      <w:r>
        <w:rPr>
          <w:rFonts w:hint="eastAsia" w:ascii="宋体" w:hAnsi="宋体" w:eastAsia="宋体" w:cs="宋体"/>
          <w:sz w:val="24"/>
          <w:szCs w:val="24"/>
        </w:rPr>
        <w:t>2. 成交人为残疾人福利性单位的，采购人或者其委托的采购代理机构应当随成交、成交结果同时公告其《残疾人福利性单位声明函》，接受社会监督。</w:t>
      </w:r>
    </w:p>
    <w:p w14:paraId="2B55DCFD">
      <w:pPr>
        <w:rPr>
          <w:rFonts w:hint="eastAsia" w:ascii="宋体" w:hAnsi="宋体" w:eastAsia="宋体" w:cs="宋体"/>
        </w:rPr>
      </w:pPr>
    </w:p>
    <w:sectPr>
      <w:footerReference r:id="rId6"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4416">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B0D97">
                          <w:pPr>
                            <w:pStyle w:val="12"/>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CB0D97">
                    <w:pPr>
                      <w:pStyle w:val="12"/>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rPr>
      <w:t xml:space="preserve"> </w:t>
    </w:r>
  </w:p>
  <w:p w14:paraId="695FFB81">
    <w:pPr>
      <w:pStyle w:val="12"/>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08F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1EDC4">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01EDC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881E">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AD97">
    <w:pPr>
      <w:pStyle w:val="13"/>
      <w:pBdr>
        <w:bottom w:val="none" w:color="auto" w:sz="0" w:space="1"/>
      </w:pBdr>
      <w:jc w:val="both"/>
      <w:rPr>
        <w:rFonts w:hint="eastAsia" w:eastAsia="楷体_GB2312"/>
        <w:sz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32FD"/>
    <w:multiLevelType w:val="singleLevel"/>
    <w:tmpl w:val="84CB32FD"/>
    <w:lvl w:ilvl="0" w:tentative="0">
      <w:start w:val="1"/>
      <w:numFmt w:val="decimal"/>
      <w:suff w:val="nothing"/>
      <w:lvlText w:val="%1．"/>
      <w:lvlJc w:val="left"/>
    </w:lvl>
  </w:abstractNum>
  <w:abstractNum w:abstractNumId="1">
    <w:nsid w:val="DB36A7FF"/>
    <w:multiLevelType w:val="singleLevel"/>
    <w:tmpl w:val="DB36A7FF"/>
    <w:lvl w:ilvl="0" w:tentative="0">
      <w:start w:val="1"/>
      <w:numFmt w:val="decimal"/>
      <w:suff w:val="space"/>
      <w:lvlText w:val="%1."/>
      <w:lvlJc w:val="left"/>
    </w:lvl>
  </w:abstractNum>
  <w:abstractNum w:abstractNumId="2">
    <w:nsid w:val="3DCFD06D"/>
    <w:multiLevelType w:val="singleLevel"/>
    <w:tmpl w:val="3DCFD06D"/>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07D623A"/>
    <w:rsid w:val="010E1A9E"/>
    <w:rsid w:val="018362EB"/>
    <w:rsid w:val="01AA3534"/>
    <w:rsid w:val="025E49B5"/>
    <w:rsid w:val="02AB7BCB"/>
    <w:rsid w:val="02D277CC"/>
    <w:rsid w:val="02F55DCF"/>
    <w:rsid w:val="03FE2AA0"/>
    <w:rsid w:val="041D1922"/>
    <w:rsid w:val="047F723D"/>
    <w:rsid w:val="062B53E9"/>
    <w:rsid w:val="07B62F76"/>
    <w:rsid w:val="080A60FE"/>
    <w:rsid w:val="091044E3"/>
    <w:rsid w:val="09AC45E5"/>
    <w:rsid w:val="0A2C7464"/>
    <w:rsid w:val="0C8F4FAD"/>
    <w:rsid w:val="0E097652"/>
    <w:rsid w:val="0E1E00BD"/>
    <w:rsid w:val="0F791001"/>
    <w:rsid w:val="109F15B9"/>
    <w:rsid w:val="112D5D20"/>
    <w:rsid w:val="117D41DC"/>
    <w:rsid w:val="1193257A"/>
    <w:rsid w:val="11C56289"/>
    <w:rsid w:val="13ED41C3"/>
    <w:rsid w:val="17896C10"/>
    <w:rsid w:val="18351C95"/>
    <w:rsid w:val="19E5593D"/>
    <w:rsid w:val="1A33403F"/>
    <w:rsid w:val="1AE8597C"/>
    <w:rsid w:val="1BC07217"/>
    <w:rsid w:val="1C6761D9"/>
    <w:rsid w:val="1CB5754E"/>
    <w:rsid w:val="1E447DCD"/>
    <w:rsid w:val="1EB66D1F"/>
    <w:rsid w:val="21625D51"/>
    <w:rsid w:val="218D51B0"/>
    <w:rsid w:val="221D1D08"/>
    <w:rsid w:val="23250B5A"/>
    <w:rsid w:val="23CC114F"/>
    <w:rsid w:val="24F25ADF"/>
    <w:rsid w:val="254E5A36"/>
    <w:rsid w:val="27FA08BD"/>
    <w:rsid w:val="2B490F98"/>
    <w:rsid w:val="2B884CFD"/>
    <w:rsid w:val="2C9E7773"/>
    <w:rsid w:val="2CC524C5"/>
    <w:rsid w:val="2D200D0E"/>
    <w:rsid w:val="2D965D5F"/>
    <w:rsid w:val="2E554EA6"/>
    <w:rsid w:val="2F155F25"/>
    <w:rsid w:val="2F462582"/>
    <w:rsid w:val="315216B2"/>
    <w:rsid w:val="31B05492"/>
    <w:rsid w:val="325672C6"/>
    <w:rsid w:val="32DB0CF8"/>
    <w:rsid w:val="341300DC"/>
    <w:rsid w:val="342A426F"/>
    <w:rsid w:val="34565015"/>
    <w:rsid w:val="35DC65C4"/>
    <w:rsid w:val="36FD79CA"/>
    <w:rsid w:val="374D38C1"/>
    <w:rsid w:val="37517D16"/>
    <w:rsid w:val="37D87C8E"/>
    <w:rsid w:val="38323A20"/>
    <w:rsid w:val="393E3225"/>
    <w:rsid w:val="39A93E39"/>
    <w:rsid w:val="39D46A6F"/>
    <w:rsid w:val="3C820B92"/>
    <w:rsid w:val="3CE8111C"/>
    <w:rsid w:val="3D7D42CA"/>
    <w:rsid w:val="3F300D14"/>
    <w:rsid w:val="3F8B5CAB"/>
    <w:rsid w:val="3FBD5D22"/>
    <w:rsid w:val="40B67C10"/>
    <w:rsid w:val="40B72B6C"/>
    <w:rsid w:val="4247088E"/>
    <w:rsid w:val="428A38B6"/>
    <w:rsid w:val="441553C5"/>
    <w:rsid w:val="46364D58"/>
    <w:rsid w:val="46A62983"/>
    <w:rsid w:val="46C86449"/>
    <w:rsid w:val="47086643"/>
    <w:rsid w:val="47B91468"/>
    <w:rsid w:val="47F06A69"/>
    <w:rsid w:val="48582ADB"/>
    <w:rsid w:val="4A5D5169"/>
    <w:rsid w:val="4CAC7A71"/>
    <w:rsid w:val="4D33474B"/>
    <w:rsid w:val="4D573E80"/>
    <w:rsid w:val="4D602609"/>
    <w:rsid w:val="4D930C30"/>
    <w:rsid w:val="4DBE5CAD"/>
    <w:rsid w:val="4E59377A"/>
    <w:rsid w:val="4E93331A"/>
    <w:rsid w:val="4F93316A"/>
    <w:rsid w:val="4FC97F74"/>
    <w:rsid w:val="504979F3"/>
    <w:rsid w:val="5114309A"/>
    <w:rsid w:val="53042CF9"/>
    <w:rsid w:val="54D87F56"/>
    <w:rsid w:val="55202DAA"/>
    <w:rsid w:val="55DC6E08"/>
    <w:rsid w:val="56815ACA"/>
    <w:rsid w:val="568F468B"/>
    <w:rsid w:val="56C4440E"/>
    <w:rsid w:val="57793B44"/>
    <w:rsid w:val="57AA2DFF"/>
    <w:rsid w:val="59A3044D"/>
    <w:rsid w:val="5ABE2FC1"/>
    <w:rsid w:val="5C2E2250"/>
    <w:rsid w:val="5E015742"/>
    <w:rsid w:val="600B025F"/>
    <w:rsid w:val="60E00C13"/>
    <w:rsid w:val="617701F5"/>
    <w:rsid w:val="62C462FD"/>
    <w:rsid w:val="637E1BB3"/>
    <w:rsid w:val="64133100"/>
    <w:rsid w:val="64E7589A"/>
    <w:rsid w:val="665A314B"/>
    <w:rsid w:val="66803392"/>
    <w:rsid w:val="66D87988"/>
    <w:rsid w:val="68295FC1"/>
    <w:rsid w:val="68F77E6E"/>
    <w:rsid w:val="6ABC136F"/>
    <w:rsid w:val="6CBA00EA"/>
    <w:rsid w:val="6CCD33BF"/>
    <w:rsid w:val="6CDB5C47"/>
    <w:rsid w:val="715B3690"/>
    <w:rsid w:val="71E60A7F"/>
    <w:rsid w:val="743261B5"/>
    <w:rsid w:val="74DC361D"/>
    <w:rsid w:val="74F95639"/>
    <w:rsid w:val="75262AE9"/>
    <w:rsid w:val="759572A2"/>
    <w:rsid w:val="76A81A2D"/>
    <w:rsid w:val="76E61C4D"/>
    <w:rsid w:val="77207516"/>
    <w:rsid w:val="77356731"/>
    <w:rsid w:val="774C293D"/>
    <w:rsid w:val="78681D5F"/>
    <w:rsid w:val="78CE1DCE"/>
    <w:rsid w:val="7A23674E"/>
    <w:rsid w:val="7B3B184D"/>
    <w:rsid w:val="7DE22A43"/>
    <w:rsid w:val="7E691CC3"/>
    <w:rsid w:val="7F842940"/>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0"/>
    <w:pPr>
      <w:keepNext/>
      <w:keepLines/>
      <w:spacing w:before="340" w:after="330" w:line="578" w:lineRule="auto"/>
      <w:outlineLvl w:val="0"/>
    </w:pPr>
    <w:rPr>
      <w:rFonts w:ascii="Calibri" w:hAnsi="Calibri" w:eastAsia="仿宋"/>
      <w:b/>
      <w:bCs/>
      <w:kern w:val="44"/>
      <w:sz w:val="32"/>
      <w:szCs w:val="44"/>
    </w:rPr>
  </w:style>
  <w:style w:type="paragraph" w:styleId="4">
    <w:name w:val="heading 2"/>
    <w:basedOn w:val="1"/>
    <w:next w:val="1"/>
    <w:qFormat/>
    <w:uiPriority w:val="0"/>
    <w:pPr>
      <w:keepNext/>
      <w:keepLines/>
      <w:spacing w:before="100" w:beforeAutospacing="1" w:after="100" w:afterAutospacing="1" w:line="240" w:lineRule="atLeast"/>
      <w:ind w:left="419"/>
      <w:jc w:val="center"/>
      <w:textAlignment w:val="baseline"/>
      <w:outlineLvl w:val="1"/>
    </w:pPr>
    <w:rPr>
      <w:rFonts w:ascii="宋体" w:hAnsi="宋体" w:cs="宋体"/>
      <w:b/>
      <w:sz w:val="28"/>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rPr>
      <w:kern w:val="0"/>
      <w:sz w:val="20"/>
    </w:rPr>
  </w:style>
  <w:style w:type="paragraph" w:styleId="7">
    <w:name w:val="Body Text Indent"/>
    <w:basedOn w:val="1"/>
    <w:next w:val="8"/>
    <w:unhideWhenUsed/>
    <w:qFormat/>
    <w:uiPriority w:val="0"/>
    <w:pPr>
      <w:spacing w:after="120"/>
      <w:ind w:left="420" w:leftChars="200"/>
    </w:pPr>
    <w:rPr>
      <w:kern w:val="0"/>
      <w:sz w:val="20"/>
    </w:rPr>
  </w:style>
  <w:style w:type="paragraph" w:styleId="8">
    <w:name w:val="envelope return"/>
    <w:basedOn w:val="1"/>
    <w:unhideWhenUsed/>
    <w:qFormat/>
    <w:uiPriority w:val="99"/>
    <w:pPr>
      <w:snapToGrid w:val="0"/>
    </w:pPr>
    <w:rPr>
      <w:rFonts w:ascii="等线 Light" w:hAnsi="等线 Light" w:eastAsia="等线 Light" w:cs="Times New Roman"/>
    </w:rPr>
  </w:style>
  <w:style w:type="paragraph" w:styleId="9">
    <w:name w:val="List 2"/>
    <w:basedOn w:val="1"/>
    <w:qFormat/>
    <w:uiPriority w:val="0"/>
    <w:pPr>
      <w:ind w:left="100" w:leftChars="200" w:hanging="200" w:hangingChars="200"/>
    </w:pPr>
  </w:style>
  <w:style w:type="paragraph" w:styleId="10">
    <w:name w:val="Plain Text"/>
    <w:basedOn w:val="1"/>
    <w:qFormat/>
    <w:uiPriority w:val="99"/>
    <w:pPr>
      <w:adjustRightInd w:val="0"/>
      <w:textAlignment w:val="baseline"/>
    </w:pPr>
    <w:rPr>
      <w:rFonts w:ascii="宋体" w:hAnsi="Courier New"/>
      <w:kern w:val="0"/>
      <w:sz w:val="20"/>
      <w:szCs w:val="20"/>
    </w:rPr>
  </w:style>
  <w:style w:type="paragraph" w:styleId="11">
    <w:name w:val="Body Text Indent 2"/>
    <w:basedOn w:val="1"/>
    <w:qFormat/>
    <w:uiPriority w:val="99"/>
    <w:pPr>
      <w:spacing w:line="500" w:lineRule="exact"/>
      <w:ind w:firstLine="420" w:firstLineChars="200"/>
    </w:pPr>
    <w:rPr>
      <w:rFonts w:ascii="Calibri" w:hAnsi="Calibri"/>
      <w:kern w:val="0"/>
      <w:sz w:val="24"/>
    </w:rPr>
  </w:style>
  <w:style w:type="paragraph" w:styleId="12">
    <w:name w:val="footer"/>
    <w:basedOn w:val="1"/>
    <w:unhideWhenUsed/>
    <w:qFormat/>
    <w:uiPriority w:val="99"/>
    <w:pPr>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060"/>
      </w:tabs>
      <w:jc w:val="center"/>
    </w:pPr>
    <w:rPr>
      <w:rFonts w:ascii="方正小标宋简体" w:hAnsi="方正小标宋简体" w:eastAsia="宋体"/>
      <w:sz w:val="28"/>
      <w:szCs w:val="32"/>
    </w:rPr>
  </w:style>
  <w:style w:type="paragraph" w:styleId="15">
    <w:name w:val="footnote text"/>
    <w:basedOn w:val="1"/>
    <w:qFormat/>
    <w:uiPriority w:val="0"/>
    <w:pPr>
      <w:snapToGrid w:val="0"/>
      <w:jc w:val="left"/>
    </w:pPr>
    <w:rPr>
      <w:rFonts w:asciiTheme="minorHAnsi" w:hAnsiTheme="minorHAnsi" w:eastAsiaTheme="minorEastAsia" w:cstheme="minorBidi"/>
      <w:sz w:val="18"/>
      <w:szCs w:val="18"/>
    </w:rPr>
  </w:style>
  <w:style w:type="paragraph" w:styleId="16">
    <w:name w:val="Body Text 2"/>
    <w:basedOn w:val="1"/>
    <w:next w:val="6"/>
    <w:unhideWhenUsed/>
    <w:qFormat/>
    <w:uiPriority w:val="99"/>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next w:val="19"/>
    <w:unhideWhenUsed/>
    <w:qFormat/>
    <w:uiPriority w:val="99"/>
    <w:pPr>
      <w:ind w:firstLine="420" w:firstLineChars="100"/>
    </w:pPr>
  </w:style>
  <w:style w:type="paragraph" w:styleId="19">
    <w:name w:val="Body Text First Indent 2"/>
    <w:basedOn w:val="1"/>
    <w:next w:val="1"/>
    <w:unhideWhenUsed/>
    <w:qFormat/>
    <w:uiPriority w:val="0"/>
    <w:pPr>
      <w:ind w:firstLine="420" w:firstLineChars="200"/>
    </w:pPr>
  </w:style>
  <w:style w:type="table" w:styleId="21">
    <w:name w:val="Table Grid"/>
    <w:basedOn w:val="20"/>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Default"/>
    <w:next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26">
    <w:name w:val="标题 1 Char"/>
    <w:link w:val="3"/>
    <w:qFormat/>
    <w:uiPriority w:val="0"/>
    <w:rPr>
      <w:rFonts w:ascii="Calibri" w:hAnsi="Calibri" w:eastAsia="仿宋"/>
      <w:b/>
      <w:bCs/>
      <w:kern w:val="44"/>
      <w:sz w:val="32"/>
      <w:szCs w:val="44"/>
    </w:rPr>
  </w:style>
  <w:style w:type="paragraph" w:styleId="27">
    <w:name w:val="List Paragraph"/>
    <w:basedOn w:val="1"/>
    <w:qFormat/>
    <w:uiPriority w:val="34"/>
    <w:pPr>
      <w:ind w:firstLine="420" w:firstLineChars="200"/>
    </w:pPr>
    <w:rPr>
      <w:szCs w:val="24"/>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Table Paragraph"/>
    <w:basedOn w:val="1"/>
    <w:qFormat/>
    <w:uiPriority w:val="1"/>
  </w:style>
  <w:style w:type="paragraph" w:customStyle="1" w:styleId="31">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24443</Words>
  <Characters>26440</Characters>
  <Lines>0</Lines>
  <Paragraphs>0</Paragraphs>
  <TotalTime>10</TotalTime>
  <ScaleCrop>false</ScaleCrop>
  <LinksUpToDate>false</LinksUpToDate>
  <CharactersWithSpaces>27468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Administrator</cp:lastModifiedBy>
  <dcterms:modified xsi:type="dcterms:W3CDTF">2025-12-08T03:09:32Z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442FAECD11884A89882C00D4A37D9465_13</vt:lpwstr>
  </property>
  <property fmtid="{D5CDD505-2E9C-101B-9397-08002B2CF9AE}" pid="4" name="KSOTemplateDocerSaveRecord">
    <vt:lpwstr>eyJoZGlkIjoiMmQ2MjI1NmU1YzY5ZmFlOWRlYTA4NzliZGE3NTZiOWEiLCJ1c2VySWQiOiI3NTU5ODA1OTUifQ==</vt:lpwstr>
  </property>
</Properties>
</file>