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color w:val="auto"/>
          <w:sz w:val="44"/>
          <w:szCs w:val="44"/>
          <w:highlight w:val="none"/>
          <w:lang w:eastAsia="zh-CN"/>
        </w:rPr>
      </w:pPr>
      <w:bookmarkStart w:id="36" w:name="_GoBack"/>
      <w:bookmarkEnd w:id="36"/>
      <w:r>
        <w:rPr>
          <w:rFonts w:hint="eastAsia" w:ascii="宋体" w:hAnsi="宋体" w:eastAsia="宋体" w:cs="宋体"/>
          <w:b/>
          <w:bCs/>
          <w:color w:val="auto"/>
          <w:sz w:val="44"/>
          <w:szCs w:val="44"/>
          <w:highlight w:val="none"/>
          <w:lang w:eastAsia="zh-CN"/>
        </w:rPr>
        <w:t xml:space="preserve">卢氏县污染地块土壤污染状况       </w:t>
      </w:r>
      <w:r>
        <w:rPr>
          <w:rFonts w:hint="eastAsia" w:ascii="宋体" w:hAnsi="宋体" w:eastAsia="宋体" w:cs="宋体"/>
          <w:b/>
          <w:bCs/>
          <w:color w:val="auto"/>
          <w:sz w:val="44"/>
          <w:szCs w:val="44"/>
          <w:highlight w:val="none"/>
          <w:lang w:val="en-US" w:eastAsia="zh-CN"/>
        </w:rPr>
        <w:t xml:space="preserve">           </w:t>
      </w:r>
      <w:r>
        <w:rPr>
          <w:rFonts w:hint="eastAsia" w:ascii="宋体" w:hAnsi="宋体" w:eastAsia="宋体" w:cs="宋体"/>
          <w:b/>
          <w:bCs/>
          <w:color w:val="auto"/>
          <w:sz w:val="44"/>
          <w:szCs w:val="44"/>
          <w:highlight w:val="none"/>
          <w:lang w:eastAsia="zh-CN"/>
        </w:rPr>
        <w:t>详细补充调查和风险评估项目</w:t>
      </w:r>
    </w:p>
    <w:p>
      <w:pPr>
        <w:jc w:val="center"/>
        <w:rPr>
          <w:rFonts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lang w:val="en-US" w:eastAsia="zh-CN"/>
        </w:rPr>
        <w:t xml:space="preserve">招 标 </w:t>
      </w:r>
      <w:r>
        <w:rPr>
          <w:rFonts w:hint="eastAsia" w:ascii="宋体" w:hAnsi="宋体" w:eastAsia="宋体" w:cs="宋体"/>
          <w:b/>
          <w:bCs/>
          <w:color w:val="auto"/>
          <w:sz w:val="44"/>
          <w:szCs w:val="44"/>
          <w:highlight w:val="none"/>
        </w:rPr>
        <w:t>文 件</w:t>
      </w:r>
    </w:p>
    <w:p>
      <w:pPr>
        <w:jc w:val="center"/>
        <w:rPr>
          <w:rFonts w:ascii="宋体" w:hAnsi="宋体" w:eastAsia="宋体" w:cs="宋体"/>
          <w:b/>
          <w:bCs/>
          <w:color w:val="auto"/>
          <w:sz w:val="44"/>
          <w:szCs w:val="44"/>
          <w:highlight w:val="none"/>
        </w:rPr>
      </w:pPr>
    </w:p>
    <w:p>
      <w:pPr>
        <w:spacing w:after="120"/>
        <w:ind w:firstLine="964" w:firstLineChars="300"/>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2"/>
          <w:szCs w:val="32"/>
          <w:highlight w:val="none"/>
        </w:rPr>
        <w:t>项目编号:</w:t>
      </w:r>
      <w:r>
        <w:rPr>
          <w:rFonts w:hint="eastAsia" w:ascii="宋体" w:hAnsi="宋体" w:eastAsia="宋体" w:cs="宋体"/>
          <w:b/>
          <w:bCs/>
          <w:color w:val="auto"/>
          <w:sz w:val="30"/>
          <w:szCs w:val="30"/>
          <w:highlight w:val="none"/>
        </w:rPr>
        <w:t xml:space="preserve"> </w:t>
      </w:r>
      <w:r>
        <w:rPr>
          <w:rFonts w:hint="eastAsia" w:ascii="宋体" w:hAnsi="宋体" w:eastAsia="宋体" w:cs="宋体"/>
          <w:b/>
          <w:bCs/>
          <w:color w:val="auto"/>
          <w:sz w:val="30"/>
          <w:szCs w:val="30"/>
          <w:highlight w:val="none"/>
          <w:lang w:val="en-US" w:eastAsia="zh-CN"/>
        </w:rPr>
        <w:t>三卢公开采购-2025-87、LSGZ[2025]362-ZC213</w:t>
      </w:r>
    </w:p>
    <w:p>
      <w:pPr>
        <w:spacing w:after="120"/>
        <w:ind w:firstLine="602" w:firstLineChars="200"/>
        <w:rPr>
          <w:rFonts w:hint="eastAsia" w:ascii="宋体" w:hAnsi="宋体" w:eastAsia="宋体" w:cs="宋体"/>
          <w:b/>
          <w:bCs/>
          <w:color w:val="auto"/>
          <w:sz w:val="30"/>
          <w:szCs w:val="30"/>
          <w:highlight w:val="none"/>
        </w:rPr>
      </w:pPr>
    </w:p>
    <w:p>
      <w:pPr>
        <w:spacing w:after="120"/>
        <w:ind w:firstLine="200" w:firstLineChars="100"/>
        <w:rPr>
          <w:rFonts w:ascii="Times New Roman" w:hAnsi="Times New Roman" w:eastAsia="宋体" w:cs="Times New Roman"/>
          <w:color w:val="auto"/>
          <w:kern w:val="0"/>
          <w:sz w:val="20"/>
          <w:szCs w:val="20"/>
          <w:highlight w:val="none"/>
        </w:rPr>
      </w:pPr>
    </w:p>
    <w:p>
      <w:pPr>
        <w:ind w:firstLine="3373" w:firstLineChars="1200"/>
        <w:rPr>
          <w:rFonts w:ascii="宋体" w:hAnsi="宋体" w:eastAsia="宋体" w:cs="Times New Roman"/>
          <w:b/>
          <w:color w:val="auto"/>
          <w:sz w:val="28"/>
          <w:szCs w:val="28"/>
          <w:highlight w:val="none"/>
        </w:rPr>
      </w:pPr>
    </w:p>
    <w:p>
      <w:pPr>
        <w:ind w:firstLine="3373" w:firstLineChars="1200"/>
        <w:rPr>
          <w:rFonts w:ascii="宋体" w:hAnsi="宋体" w:eastAsia="宋体" w:cs="宋体"/>
          <w:b/>
          <w:bCs/>
          <w:color w:val="auto"/>
          <w:sz w:val="30"/>
          <w:szCs w:val="30"/>
          <w:highlight w:val="none"/>
        </w:rPr>
      </w:pPr>
      <w:r>
        <w:rPr>
          <w:rFonts w:ascii="宋体" w:hAnsi="宋体" w:eastAsia="宋体" w:cs="Times New Roman"/>
          <w:b/>
          <w:color w:val="auto"/>
          <w:sz w:val="28"/>
          <w:szCs w:val="28"/>
          <w:highlight w:val="none"/>
        </w:rPr>
        <w:drawing>
          <wp:inline distT="0" distB="0" distL="0" distR="0">
            <wp:extent cx="2661285" cy="2374900"/>
            <wp:effectExtent l="19050" t="0" r="5715" b="0"/>
            <wp:docPr id="6" name="图片 1" descr="C:\Users\得力科技\Desktop\洲禾图片\c3211a4c2ffc753e4b8e425b7cd1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得力科技\Desktop\洲禾图片\c3211a4c2ffc753e4b8e425b7cd1d02.jpg"/>
                    <pic:cNvPicPr>
                      <a:picLocks noChangeAspect="1" noChangeArrowheads="1"/>
                    </pic:cNvPicPr>
                  </pic:nvPicPr>
                  <pic:blipFill>
                    <a:blip r:embed="rId8"/>
                    <a:srcRect/>
                    <a:stretch>
                      <a:fillRect/>
                    </a:stretch>
                  </pic:blipFill>
                  <pic:spPr>
                    <a:xfrm>
                      <a:off x="0" y="0"/>
                      <a:ext cx="2661285" cy="2374900"/>
                    </a:xfrm>
                    <a:prstGeom prst="rect">
                      <a:avLst/>
                    </a:prstGeom>
                    <a:noFill/>
                    <a:ln w="9525">
                      <a:noFill/>
                      <a:miter lim="800000"/>
                      <a:headEnd/>
                      <a:tailEnd/>
                    </a:ln>
                  </pic:spPr>
                </pic:pic>
              </a:graphicData>
            </a:graphic>
          </wp:inline>
        </w:drawing>
      </w:r>
    </w:p>
    <w:p>
      <w:pPr>
        <w:spacing w:line="400" w:lineRule="exact"/>
        <w:rPr>
          <w:rFonts w:ascii="宋体" w:hAnsi="宋体" w:eastAsia="宋体" w:cs="宋体"/>
          <w:color w:val="auto"/>
          <w:szCs w:val="21"/>
          <w:highlight w:val="none"/>
        </w:rPr>
      </w:pPr>
    </w:p>
    <w:p>
      <w:pPr>
        <w:spacing w:line="400" w:lineRule="exact"/>
        <w:rPr>
          <w:rFonts w:ascii="宋体" w:hAnsi="宋体" w:eastAsia="宋体" w:cs="宋体"/>
          <w:color w:val="auto"/>
          <w:szCs w:val="21"/>
          <w:highlight w:val="none"/>
        </w:rPr>
      </w:pPr>
    </w:p>
    <w:p>
      <w:pPr>
        <w:jc w:val="left"/>
        <w:rPr>
          <w:rFonts w:ascii="宋体" w:hAnsi="宋体" w:eastAsia="宋体" w:cs="宋体"/>
          <w:b/>
          <w:bCs/>
          <w:color w:val="auto"/>
          <w:sz w:val="32"/>
          <w:szCs w:val="32"/>
          <w:highlight w:val="none"/>
        </w:rPr>
      </w:pPr>
    </w:p>
    <w:p>
      <w:pPr>
        <w:ind w:firstLine="964" w:firstLineChars="300"/>
        <w:jc w:val="left"/>
        <w:rPr>
          <w:rFonts w:ascii="宋体" w:hAnsi="宋体" w:eastAsia="宋体" w:cs="宋体"/>
          <w:b/>
          <w:bCs/>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700" w:lineRule="exact"/>
        <w:ind w:firstLine="1285" w:firstLineChars="400"/>
        <w:jc w:val="left"/>
        <w:textAlignment w:val="auto"/>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rPr>
        <w:t xml:space="preserve">采  </w:t>
      </w:r>
      <w:r>
        <w:rPr>
          <w:rFonts w:hint="eastAsia" w:ascii="宋体" w:hAnsi="宋体" w:eastAsia="宋体" w:cs="宋体"/>
          <w:b/>
          <w:bCs/>
          <w:color w:val="auto"/>
          <w:sz w:val="18"/>
          <w:szCs w:val="32"/>
          <w:highlight w:val="none"/>
        </w:rPr>
        <w:t xml:space="preserve"> </w:t>
      </w:r>
      <w:r>
        <w:rPr>
          <w:rFonts w:hint="eastAsia" w:ascii="宋体" w:hAnsi="宋体" w:eastAsia="宋体" w:cs="宋体"/>
          <w:b/>
          <w:bCs/>
          <w:color w:val="auto"/>
          <w:sz w:val="32"/>
          <w:szCs w:val="32"/>
          <w:highlight w:val="none"/>
        </w:rPr>
        <w:t xml:space="preserve"> 购  </w:t>
      </w:r>
      <w:r>
        <w:rPr>
          <w:rFonts w:hint="eastAsia" w:ascii="宋体" w:hAnsi="宋体" w:eastAsia="宋体" w:cs="宋体"/>
          <w:b/>
          <w:bCs/>
          <w:color w:val="auto"/>
          <w:sz w:val="18"/>
          <w:szCs w:val="32"/>
          <w:highlight w:val="none"/>
        </w:rPr>
        <w:t xml:space="preserve"> </w:t>
      </w:r>
      <w:r>
        <w:rPr>
          <w:rFonts w:hint="eastAsia" w:ascii="宋体" w:hAnsi="宋体" w:eastAsia="宋体" w:cs="宋体"/>
          <w:b/>
          <w:bCs/>
          <w:color w:val="auto"/>
          <w:sz w:val="32"/>
          <w:szCs w:val="32"/>
          <w:highlight w:val="none"/>
        </w:rPr>
        <w:t>人：</w:t>
      </w:r>
      <w:r>
        <w:rPr>
          <w:rFonts w:hint="eastAsia" w:ascii="宋体" w:hAnsi="宋体" w:eastAsia="宋体" w:cs="宋体"/>
          <w:b/>
          <w:bCs/>
          <w:color w:val="auto"/>
          <w:sz w:val="32"/>
          <w:szCs w:val="32"/>
          <w:highlight w:val="none"/>
          <w:lang w:eastAsia="zh-CN"/>
        </w:rPr>
        <w:t xml:space="preserve"> 三门峡市生态环境局卢氏分局 </w:t>
      </w:r>
    </w:p>
    <w:p>
      <w:pPr>
        <w:keepNext w:val="0"/>
        <w:keepLines w:val="0"/>
        <w:pageBreakBefore w:val="0"/>
        <w:widowControl w:val="0"/>
        <w:kinsoku/>
        <w:wordWrap/>
        <w:overflowPunct/>
        <w:topLinePunct w:val="0"/>
        <w:autoSpaceDE/>
        <w:autoSpaceDN/>
        <w:bidi w:val="0"/>
        <w:adjustRightInd/>
        <w:snapToGrid/>
        <w:spacing w:line="700" w:lineRule="exact"/>
        <w:ind w:firstLine="1285" w:firstLineChars="400"/>
        <w:jc w:val="left"/>
        <w:textAlignment w:val="auto"/>
        <w:rPr>
          <w:rFonts w:hint="default"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rPr>
        <w:t>采购代理机构：河南洲禾建设</w:t>
      </w:r>
      <w:r>
        <w:rPr>
          <w:rFonts w:hint="eastAsia" w:ascii="宋体" w:hAnsi="宋体" w:eastAsia="宋体" w:cs="宋体"/>
          <w:b/>
          <w:bCs/>
          <w:color w:val="auto"/>
          <w:sz w:val="32"/>
          <w:szCs w:val="32"/>
          <w:highlight w:val="none"/>
          <w:lang w:val="en-US" w:eastAsia="zh-CN"/>
        </w:rPr>
        <w:t>工程有限公司</w:t>
      </w:r>
    </w:p>
    <w:p>
      <w:pPr>
        <w:keepNext w:val="0"/>
        <w:keepLines w:val="0"/>
        <w:pageBreakBefore w:val="0"/>
        <w:widowControl w:val="0"/>
        <w:kinsoku/>
        <w:wordWrap/>
        <w:overflowPunct/>
        <w:topLinePunct w:val="0"/>
        <w:autoSpaceDE/>
        <w:autoSpaceDN/>
        <w:bidi w:val="0"/>
        <w:adjustRightInd/>
        <w:snapToGrid/>
        <w:spacing w:line="700" w:lineRule="exact"/>
        <w:ind w:firstLine="1285" w:firstLineChars="400"/>
        <w:jc w:val="left"/>
        <w:textAlignment w:val="auto"/>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日期：二零二五年十二</w:t>
      </w:r>
      <w:r>
        <w:rPr>
          <w:rFonts w:hint="eastAsia" w:ascii="宋体" w:hAnsi="宋体" w:eastAsia="宋体" w:cs="宋体"/>
          <w:b/>
          <w:bCs/>
          <w:color w:val="auto"/>
          <w:sz w:val="32"/>
          <w:szCs w:val="32"/>
          <w:highlight w:val="none"/>
        </w:rPr>
        <w:t>月</w:t>
      </w:r>
    </w:p>
    <w:p>
      <w:pPr>
        <w:jc w:val="center"/>
        <w:rPr>
          <w:rFonts w:ascii="宋体" w:hAnsi="宋体" w:eastAsia="宋体" w:cs="Times New Roman"/>
          <w:b/>
          <w:bCs/>
          <w:color w:val="auto"/>
          <w:sz w:val="56"/>
          <w:szCs w:val="72"/>
          <w:highlight w:val="none"/>
        </w:rPr>
        <w:sectPr>
          <w:pgSz w:w="11906" w:h="16838"/>
          <w:pgMar w:top="1440" w:right="1080" w:bottom="1440" w:left="1080" w:header="720" w:footer="720" w:gutter="0"/>
          <w:pgNumType w:fmt="decimal" w:start="0"/>
          <w:cols w:space="720" w:num="1"/>
          <w:docGrid w:type="lines" w:linePitch="312" w:charSpace="0"/>
        </w:sectPr>
      </w:pPr>
    </w:p>
    <w:p>
      <w:pPr>
        <w:jc w:val="center"/>
        <w:rPr>
          <w:rFonts w:ascii="Times New Roman" w:hAnsi="Times New Roman" w:eastAsia="宋体" w:cs="Times New Roman"/>
          <w:b/>
          <w:bCs/>
          <w:color w:val="auto"/>
          <w:sz w:val="56"/>
          <w:szCs w:val="72"/>
          <w:highlight w:val="none"/>
        </w:rPr>
      </w:pPr>
      <w:r>
        <w:rPr>
          <w:rFonts w:ascii="宋体" w:hAnsi="宋体" w:eastAsia="宋体" w:cs="Times New Roman"/>
          <w:b/>
          <w:bCs/>
          <w:color w:val="auto"/>
          <w:sz w:val="56"/>
          <w:szCs w:val="72"/>
          <w:highlight w:val="none"/>
        </w:rPr>
        <w:t>目</w:t>
      </w:r>
      <w:r>
        <w:rPr>
          <w:rFonts w:hint="eastAsia" w:ascii="宋体" w:hAnsi="宋体" w:eastAsia="宋体" w:cs="Times New Roman"/>
          <w:b/>
          <w:bCs/>
          <w:color w:val="auto"/>
          <w:sz w:val="56"/>
          <w:szCs w:val="72"/>
          <w:highlight w:val="none"/>
        </w:rPr>
        <w:t xml:space="preserve">   </w:t>
      </w:r>
      <w:r>
        <w:rPr>
          <w:rFonts w:ascii="宋体" w:hAnsi="宋体" w:eastAsia="宋体" w:cs="Times New Roman"/>
          <w:b/>
          <w:bCs/>
          <w:color w:val="auto"/>
          <w:sz w:val="56"/>
          <w:szCs w:val="72"/>
          <w:highlight w:val="none"/>
        </w:rPr>
        <w:t>录</w:t>
      </w:r>
    </w:p>
    <w:p>
      <w:pPr>
        <w:widowControl/>
        <w:tabs>
          <w:tab w:val="right" w:leader="dot" w:pos="9746"/>
        </w:tabs>
        <w:spacing w:line="480" w:lineRule="auto"/>
        <w:jc w:val="left"/>
        <w:rPr>
          <w:rFonts w:ascii="Times New Roman" w:hAnsi="Times New Roman" w:eastAsia="宋体" w:cs="Times New Roman"/>
          <w:b/>
          <w:bCs/>
          <w:color w:val="auto"/>
          <w:kern w:val="0"/>
          <w:sz w:val="28"/>
          <w:szCs w:val="28"/>
          <w:highlight w:val="none"/>
        </w:rPr>
      </w:pPr>
      <w:r>
        <w:rPr>
          <w:rFonts w:ascii="宋体" w:hAnsi="宋体" w:eastAsia="宋体" w:cs="宋体"/>
          <w:b/>
          <w:bCs/>
          <w:color w:val="auto"/>
          <w:kern w:val="0"/>
          <w:sz w:val="48"/>
          <w:szCs w:val="48"/>
          <w:highlight w:val="none"/>
        </w:rPr>
        <w:fldChar w:fldCharType="begin"/>
      </w:r>
      <w:r>
        <w:rPr>
          <w:rFonts w:ascii="宋体" w:hAnsi="宋体" w:eastAsia="宋体" w:cs="宋体"/>
          <w:b/>
          <w:bCs/>
          <w:color w:val="auto"/>
          <w:kern w:val="0"/>
          <w:sz w:val="48"/>
          <w:szCs w:val="48"/>
          <w:highlight w:val="none"/>
        </w:rPr>
        <w:instrText xml:space="preserve">TOC \o "1-1" \h \u </w:instrText>
      </w:r>
      <w:r>
        <w:rPr>
          <w:rFonts w:ascii="宋体" w:hAnsi="宋体" w:eastAsia="宋体" w:cs="宋体"/>
          <w:b/>
          <w:bCs/>
          <w:color w:val="auto"/>
          <w:kern w:val="0"/>
          <w:sz w:val="48"/>
          <w:szCs w:val="48"/>
          <w:highlight w:val="none"/>
        </w:rPr>
        <w:fldChar w:fldCharType="separate"/>
      </w:r>
      <w:r>
        <w:rPr>
          <w:color w:val="auto"/>
          <w:highlight w:val="none"/>
        </w:rPr>
        <w:fldChar w:fldCharType="begin"/>
      </w:r>
      <w:r>
        <w:rPr>
          <w:color w:val="auto"/>
          <w:highlight w:val="none"/>
        </w:rPr>
        <w:instrText xml:space="preserve"> HYPERLINK \l "_Toc20722" </w:instrText>
      </w:r>
      <w:r>
        <w:rPr>
          <w:color w:val="auto"/>
          <w:highlight w:val="none"/>
        </w:rPr>
        <w:fldChar w:fldCharType="separate"/>
      </w:r>
      <w:r>
        <w:rPr>
          <w:rFonts w:hint="eastAsia" w:ascii="Times New Roman" w:hAnsi="Times New Roman" w:eastAsia="宋体" w:cs="Times New Roman"/>
          <w:b/>
          <w:bCs/>
          <w:color w:val="auto"/>
          <w:kern w:val="0"/>
          <w:sz w:val="28"/>
          <w:szCs w:val="56"/>
          <w:highlight w:val="none"/>
        </w:rPr>
        <w:t>第一章  招标公告</w:t>
      </w:r>
      <w:r>
        <w:rPr>
          <w:rFonts w:ascii="Times New Roman" w:hAnsi="Times New Roman" w:eastAsia="宋体" w:cs="Times New Roman"/>
          <w:b/>
          <w:bCs/>
          <w:color w:val="auto"/>
          <w:kern w:val="0"/>
          <w:sz w:val="28"/>
          <w:szCs w:val="28"/>
          <w:highlight w:val="none"/>
        </w:rPr>
        <w:tab/>
      </w:r>
      <w:r>
        <w:rPr>
          <w:rFonts w:ascii="Times New Roman" w:hAnsi="Times New Roman" w:eastAsia="宋体" w:cs="Times New Roman"/>
          <w:b/>
          <w:bCs/>
          <w:color w:val="auto"/>
          <w:kern w:val="0"/>
          <w:sz w:val="28"/>
          <w:szCs w:val="28"/>
          <w:highlight w:val="none"/>
        </w:rPr>
        <w:fldChar w:fldCharType="begin"/>
      </w:r>
      <w:r>
        <w:rPr>
          <w:rFonts w:ascii="Times New Roman" w:hAnsi="Times New Roman" w:eastAsia="宋体" w:cs="Times New Roman"/>
          <w:b/>
          <w:bCs/>
          <w:color w:val="auto"/>
          <w:kern w:val="0"/>
          <w:sz w:val="28"/>
          <w:szCs w:val="28"/>
          <w:highlight w:val="none"/>
        </w:rPr>
        <w:instrText xml:space="preserve"> PAGEREF _Toc20722 </w:instrText>
      </w:r>
      <w:r>
        <w:rPr>
          <w:rFonts w:ascii="Times New Roman" w:hAnsi="Times New Roman" w:eastAsia="宋体" w:cs="Times New Roman"/>
          <w:b/>
          <w:bCs/>
          <w:color w:val="auto"/>
          <w:kern w:val="0"/>
          <w:sz w:val="28"/>
          <w:szCs w:val="28"/>
          <w:highlight w:val="none"/>
        </w:rPr>
        <w:fldChar w:fldCharType="separate"/>
      </w:r>
      <w:r>
        <w:rPr>
          <w:rFonts w:ascii="Times New Roman" w:hAnsi="Times New Roman" w:eastAsia="宋体" w:cs="Times New Roman"/>
          <w:b/>
          <w:bCs/>
          <w:color w:val="auto"/>
          <w:kern w:val="0"/>
          <w:sz w:val="28"/>
          <w:szCs w:val="28"/>
          <w:highlight w:val="none"/>
        </w:rPr>
        <w:t>2</w:t>
      </w:r>
      <w:r>
        <w:rPr>
          <w:rFonts w:ascii="Times New Roman" w:hAnsi="Times New Roman" w:eastAsia="宋体" w:cs="Times New Roman"/>
          <w:b/>
          <w:bCs/>
          <w:color w:val="auto"/>
          <w:kern w:val="0"/>
          <w:sz w:val="28"/>
          <w:szCs w:val="28"/>
          <w:highlight w:val="none"/>
        </w:rPr>
        <w:fldChar w:fldCharType="end"/>
      </w:r>
      <w:r>
        <w:rPr>
          <w:rFonts w:ascii="Times New Roman" w:hAnsi="Times New Roman" w:eastAsia="宋体" w:cs="Times New Roman"/>
          <w:b/>
          <w:bCs/>
          <w:color w:val="auto"/>
          <w:kern w:val="0"/>
          <w:sz w:val="28"/>
          <w:szCs w:val="28"/>
          <w:highlight w:val="none"/>
        </w:rPr>
        <w:fldChar w:fldCharType="end"/>
      </w:r>
    </w:p>
    <w:p>
      <w:pPr>
        <w:widowControl/>
        <w:tabs>
          <w:tab w:val="right" w:leader="dot" w:pos="9746"/>
        </w:tabs>
        <w:spacing w:line="480" w:lineRule="auto"/>
        <w:jc w:val="left"/>
        <w:rPr>
          <w:rFonts w:ascii="Times New Roman" w:hAnsi="Times New Roman" w:eastAsia="宋体" w:cs="Times New Roman"/>
          <w:b/>
          <w:bCs/>
          <w:color w:val="auto"/>
          <w:kern w:val="0"/>
          <w:sz w:val="28"/>
          <w:szCs w:val="28"/>
          <w:highlight w:val="none"/>
        </w:rPr>
      </w:pPr>
      <w:r>
        <w:rPr>
          <w:color w:val="auto"/>
          <w:highlight w:val="none"/>
        </w:rPr>
        <w:fldChar w:fldCharType="begin"/>
      </w:r>
      <w:r>
        <w:rPr>
          <w:color w:val="auto"/>
          <w:highlight w:val="none"/>
        </w:rPr>
        <w:instrText xml:space="preserve"> HYPERLINK \l "_Toc17624" </w:instrText>
      </w:r>
      <w:r>
        <w:rPr>
          <w:color w:val="auto"/>
          <w:highlight w:val="none"/>
        </w:rPr>
        <w:fldChar w:fldCharType="separate"/>
      </w:r>
      <w:r>
        <w:rPr>
          <w:rFonts w:hint="eastAsia" w:ascii="Times New Roman" w:hAnsi="Times New Roman" w:eastAsia="宋体" w:cs="Times New Roman"/>
          <w:b/>
          <w:bCs/>
          <w:color w:val="auto"/>
          <w:kern w:val="0"/>
          <w:sz w:val="28"/>
          <w:szCs w:val="56"/>
          <w:highlight w:val="none"/>
        </w:rPr>
        <w:t>第二章  供应商须知</w:t>
      </w:r>
      <w:r>
        <w:rPr>
          <w:rFonts w:ascii="Times New Roman" w:hAnsi="Times New Roman" w:eastAsia="宋体" w:cs="Times New Roman"/>
          <w:b/>
          <w:bCs/>
          <w:color w:val="auto"/>
          <w:kern w:val="0"/>
          <w:sz w:val="28"/>
          <w:szCs w:val="28"/>
          <w:highlight w:val="none"/>
        </w:rPr>
        <w:tab/>
      </w:r>
      <w:r>
        <w:rPr>
          <w:rFonts w:hint="eastAsia" w:ascii="Times New Roman" w:hAnsi="Times New Roman" w:eastAsia="宋体" w:cs="Times New Roman"/>
          <w:b/>
          <w:bCs/>
          <w:color w:val="auto"/>
          <w:kern w:val="0"/>
          <w:sz w:val="28"/>
          <w:szCs w:val="28"/>
          <w:highlight w:val="none"/>
          <w:lang w:val="en-US" w:eastAsia="zh-CN"/>
        </w:rPr>
        <w:t>7</w:t>
      </w:r>
      <w:r>
        <w:rPr>
          <w:rFonts w:ascii="Times New Roman" w:hAnsi="Times New Roman" w:eastAsia="宋体" w:cs="Times New Roman"/>
          <w:b/>
          <w:bCs/>
          <w:color w:val="auto"/>
          <w:kern w:val="0"/>
          <w:sz w:val="28"/>
          <w:szCs w:val="28"/>
          <w:highlight w:val="none"/>
        </w:rPr>
        <w:fldChar w:fldCharType="end"/>
      </w:r>
    </w:p>
    <w:p>
      <w:pPr>
        <w:widowControl/>
        <w:tabs>
          <w:tab w:val="right" w:leader="dot" w:pos="9746"/>
        </w:tabs>
        <w:spacing w:line="480" w:lineRule="auto"/>
        <w:jc w:val="left"/>
        <w:rPr>
          <w:rFonts w:hint="eastAsia" w:ascii="Times New Roman" w:hAnsi="Times New Roman" w:eastAsia="宋体" w:cs="Times New Roman"/>
          <w:b/>
          <w:bCs/>
          <w:color w:val="auto"/>
          <w:kern w:val="0"/>
          <w:sz w:val="28"/>
          <w:szCs w:val="28"/>
          <w:highlight w:val="none"/>
          <w:lang w:val="en-US" w:eastAsia="zh-CN"/>
        </w:rPr>
      </w:pPr>
      <w:r>
        <w:rPr>
          <w:color w:val="auto"/>
          <w:highlight w:val="none"/>
        </w:rPr>
        <w:fldChar w:fldCharType="begin"/>
      </w:r>
      <w:r>
        <w:rPr>
          <w:color w:val="auto"/>
          <w:highlight w:val="none"/>
        </w:rPr>
        <w:instrText xml:space="preserve"> HYPERLINK \l "_Toc3143" </w:instrText>
      </w:r>
      <w:r>
        <w:rPr>
          <w:color w:val="auto"/>
          <w:highlight w:val="none"/>
        </w:rPr>
        <w:fldChar w:fldCharType="separate"/>
      </w:r>
      <w:r>
        <w:rPr>
          <w:rFonts w:hint="eastAsia" w:ascii="Times New Roman" w:hAnsi="Times New Roman" w:eastAsia="宋体" w:cs="Times New Roman"/>
          <w:b/>
          <w:bCs/>
          <w:color w:val="auto"/>
          <w:kern w:val="0"/>
          <w:sz w:val="28"/>
          <w:szCs w:val="56"/>
          <w:highlight w:val="none"/>
        </w:rPr>
        <w:t xml:space="preserve">第三章  </w:t>
      </w:r>
      <w:r>
        <w:rPr>
          <w:rFonts w:hint="eastAsia" w:ascii="Times New Roman" w:hAnsi="Times New Roman" w:eastAsia="宋体" w:cs="Times New Roman"/>
          <w:b/>
          <w:bCs/>
          <w:color w:val="auto"/>
          <w:kern w:val="0"/>
          <w:sz w:val="28"/>
          <w:szCs w:val="56"/>
          <w:highlight w:val="none"/>
          <w:lang w:val="en-US" w:eastAsia="zh-CN"/>
        </w:rPr>
        <w:t>服务需求</w:t>
      </w:r>
      <w:r>
        <w:rPr>
          <w:rFonts w:ascii="Times New Roman" w:hAnsi="Times New Roman" w:eastAsia="宋体" w:cs="Times New Roman"/>
          <w:b/>
          <w:bCs/>
          <w:color w:val="auto"/>
          <w:kern w:val="0"/>
          <w:sz w:val="28"/>
          <w:szCs w:val="28"/>
          <w:highlight w:val="none"/>
        </w:rPr>
        <w:tab/>
      </w:r>
      <w:r>
        <w:rPr>
          <w:rFonts w:hint="eastAsia" w:ascii="Times New Roman" w:hAnsi="Times New Roman" w:eastAsia="宋体" w:cs="Times New Roman"/>
          <w:b/>
          <w:bCs/>
          <w:color w:val="auto"/>
          <w:kern w:val="0"/>
          <w:sz w:val="28"/>
          <w:szCs w:val="28"/>
          <w:highlight w:val="none"/>
          <w:lang w:val="en-US" w:eastAsia="zh-CN"/>
        </w:rPr>
        <w:t>4</w:t>
      </w:r>
      <w:r>
        <w:rPr>
          <w:rFonts w:ascii="Times New Roman" w:hAnsi="Times New Roman" w:eastAsia="宋体" w:cs="Times New Roman"/>
          <w:b/>
          <w:bCs/>
          <w:color w:val="auto"/>
          <w:kern w:val="0"/>
          <w:sz w:val="28"/>
          <w:szCs w:val="28"/>
          <w:highlight w:val="none"/>
        </w:rPr>
        <w:fldChar w:fldCharType="end"/>
      </w:r>
      <w:r>
        <w:rPr>
          <w:rFonts w:hint="eastAsia" w:ascii="Times New Roman" w:hAnsi="Times New Roman" w:eastAsia="宋体" w:cs="Times New Roman"/>
          <w:b/>
          <w:bCs/>
          <w:color w:val="auto"/>
          <w:kern w:val="0"/>
          <w:sz w:val="28"/>
          <w:szCs w:val="28"/>
          <w:highlight w:val="none"/>
          <w:lang w:val="en-US" w:eastAsia="zh-CN"/>
        </w:rPr>
        <w:t>4</w:t>
      </w:r>
    </w:p>
    <w:p>
      <w:pPr>
        <w:widowControl/>
        <w:tabs>
          <w:tab w:val="right" w:leader="dot" w:pos="9746"/>
        </w:tabs>
        <w:spacing w:line="480" w:lineRule="auto"/>
        <w:jc w:val="left"/>
        <w:rPr>
          <w:rFonts w:hint="eastAsia" w:ascii="Times New Roman" w:hAnsi="Times New Roman" w:eastAsia="宋体" w:cs="Times New Roman"/>
          <w:b/>
          <w:bCs/>
          <w:color w:val="auto"/>
          <w:kern w:val="0"/>
          <w:sz w:val="28"/>
          <w:szCs w:val="28"/>
          <w:highlight w:val="none"/>
          <w:lang w:val="en-US" w:eastAsia="zh-CN"/>
        </w:rPr>
      </w:pPr>
      <w:r>
        <w:rPr>
          <w:color w:val="auto"/>
          <w:highlight w:val="none"/>
        </w:rPr>
        <w:fldChar w:fldCharType="begin"/>
      </w:r>
      <w:r>
        <w:rPr>
          <w:color w:val="auto"/>
          <w:highlight w:val="none"/>
        </w:rPr>
        <w:instrText xml:space="preserve"> HYPERLINK \l "_Toc5829" </w:instrText>
      </w:r>
      <w:r>
        <w:rPr>
          <w:color w:val="auto"/>
          <w:highlight w:val="none"/>
        </w:rPr>
        <w:fldChar w:fldCharType="separate"/>
      </w:r>
      <w:r>
        <w:rPr>
          <w:rFonts w:hint="eastAsia" w:ascii="Times New Roman" w:hAnsi="Times New Roman" w:eastAsia="宋体" w:cs="Times New Roman"/>
          <w:b/>
          <w:bCs/>
          <w:color w:val="auto"/>
          <w:kern w:val="0"/>
          <w:sz w:val="28"/>
          <w:szCs w:val="56"/>
          <w:highlight w:val="none"/>
        </w:rPr>
        <w:t>第四章  评标办法</w:t>
      </w:r>
      <w:r>
        <w:rPr>
          <w:rFonts w:ascii="Times New Roman" w:hAnsi="Times New Roman" w:eastAsia="宋体" w:cs="Times New Roman"/>
          <w:b/>
          <w:bCs/>
          <w:color w:val="auto"/>
          <w:kern w:val="0"/>
          <w:sz w:val="28"/>
          <w:szCs w:val="28"/>
          <w:highlight w:val="none"/>
        </w:rPr>
        <w:tab/>
      </w:r>
      <w:r>
        <w:rPr>
          <w:rFonts w:hint="eastAsia" w:ascii="Times New Roman" w:hAnsi="Times New Roman" w:eastAsia="宋体" w:cs="Times New Roman"/>
          <w:b/>
          <w:bCs/>
          <w:color w:val="auto"/>
          <w:kern w:val="0"/>
          <w:sz w:val="28"/>
          <w:szCs w:val="28"/>
          <w:highlight w:val="none"/>
          <w:lang w:val="en-US" w:eastAsia="zh-CN"/>
        </w:rPr>
        <w:t>4</w:t>
      </w:r>
      <w:r>
        <w:rPr>
          <w:rFonts w:ascii="Times New Roman" w:hAnsi="Times New Roman" w:eastAsia="宋体" w:cs="Times New Roman"/>
          <w:b/>
          <w:bCs/>
          <w:color w:val="auto"/>
          <w:kern w:val="0"/>
          <w:sz w:val="28"/>
          <w:szCs w:val="28"/>
          <w:highlight w:val="none"/>
        </w:rPr>
        <w:fldChar w:fldCharType="end"/>
      </w:r>
      <w:r>
        <w:rPr>
          <w:rFonts w:hint="eastAsia" w:ascii="Times New Roman" w:hAnsi="Times New Roman" w:eastAsia="宋体" w:cs="Times New Roman"/>
          <w:b/>
          <w:bCs/>
          <w:color w:val="auto"/>
          <w:kern w:val="0"/>
          <w:sz w:val="28"/>
          <w:szCs w:val="28"/>
          <w:highlight w:val="none"/>
          <w:lang w:val="en-US" w:eastAsia="zh-CN"/>
        </w:rPr>
        <w:t>6</w:t>
      </w:r>
    </w:p>
    <w:p>
      <w:pPr>
        <w:widowControl/>
        <w:tabs>
          <w:tab w:val="right" w:leader="dot" w:pos="9746"/>
        </w:tabs>
        <w:spacing w:line="480" w:lineRule="auto"/>
        <w:jc w:val="left"/>
        <w:rPr>
          <w:rFonts w:hint="eastAsia" w:ascii="Times New Roman" w:hAnsi="Times New Roman" w:eastAsia="宋体" w:cs="Times New Roman"/>
          <w:b/>
          <w:bCs/>
          <w:color w:val="auto"/>
          <w:kern w:val="0"/>
          <w:sz w:val="28"/>
          <w:szCs w:val="28"/>
          <w:highlight w:val="none"/>
          <w:lang w:val="en-US" w:eastAsia="zh-CN"/>
        </w:rPr>
      </w:pPr>
      <w:r>
        <w:rPr>
          <w:color w:val="auto"/>
          <w:highlight w:val="none"/>
        </w:rPr>
        <w:fldChar w:fldCharType="begin"/>
      </w:r>
      <w:r>
        <w:rPr>
          <w:color w:val="auto"/>
          <w:highlight w:val="none"/>
        </w:rPr>
        <w:instrText xml:space="preserve"> HYPERLINK \l "_Toc10651" </w:instrText>
      </w:r>
      <w:r>
        <w:rPr>
          <w:color w:val="auto"/>
          <w:highlight w:val="none"/>
        </w:rPr>
        <w:fldChar w:fldCharType="separate"/>
      </w:r>
      <w:r>
        <w:rPr>
          <w:rFonts w:hint="eastAsia" w:ascii="Times New Roman" w:hAnsi="Times New Roman" w:eastAsia="宋体" w:cs="Times New Roman"/>
          <w:b/>
          <w:bCs/>
          <w:color w:val="auto"/>
          <w:kern w:val="0"/>
          <w:sz w:val="28"/>
          <w:szCs w:val="56"/>
          <w:highlight w:val="none"/>
        </w:rPr>
        <w:t>第五章  合同主要条款及格式</w:t>
      </w:r>
      <w:r>
        <w:rPr>
          <w:rFonts w:ascii="Times New Roman" w:hAnsi="Times New Roman" w:eastAsia="宋体" w:cs="Times New Roman"/>
          <w:b/>
          <w:bCs/>
          <w:color w:val="auto"/>
          <w:kern w:val="0"/>
          <w:sz w:val="28"/>
          <w:szCs w:val="28"/>
          <w:highlight w:val="none"/>
        </w:rPr>
        <w:tab/>
      </w:r>
      <w:r>
        <w:rPr>
          <w:rFonts w:hint="eastAsia" w:ascii="Times New Roman" w:hAnsi="Times New Roman" w:eastAsia="宋体" w:cs="Times New Roman"/>
          <w:b/>
          <w:bCs/>
          <w:color w:val="auto"/>
          <w:kern w:val="0"/>
          <w:sz w:val="28"/>
          <w:szCs w:val="28"/>
          <w:highlight w:val="none"/>
          <w:lang w:val="en-US" w:eastAsia="zh-CN"/>
        </w:rPr>
        <w:t>5</w:t>
      </w:r>
      <w:r>
        <w:rPr>
          <w:rFonts w:ascii="Times New Roman" w:hAnsi="Times New Roman" w:eastAsia="宋体" w:cs="Times New Roman"/>
          <w:b/>
          <w:bCs/>
          <w:color w:val="auto"/>
          <w:kern w:val="0"/>
          <w:sz w:val="28"/>
          <w:szCs w:val="28"/>
          <w:highlight w:val="none"/>
        </w:rPr>
        <w:fldChar w:fldCharType="end"/>
      </w:r>
      <w:r>
        <w:rPr>
          <w:rFonts w:hint="eastAsia" w:ascii="Times New Roman" w:hAnsi="Times New Roman" w:eastAsia="宋体" w:cs="Times New Roman"/>
          <w:b/>
          <w:bCs/>
          <w:color w:val="auto"/>
          <w:kern w:val="0"/>
          <w:sz w:val="28"/>
          <w:szCs w:val="28"/>
          <w:highlight w:val="none"/>
          <w:lang w:val="en-US" w:eastAsia="zh-CN"/>
        </w:rPr>
        <w:t>3</w:t>
      </w:r>
    </w:p>
    <w:p>
      <w:pPr>
        <w:widowControl/>
        <w:tabs>
          <w:tab w:val="right" w:leader="dot" w:pos="9746"/>
        </w:tabs>
        <w:spacing w:line="480" w:lineRule="auto"/>
        <w:jc w:val="left"/>
        <w:rPr>
          <w:rFonts w:hint="eastAsia" w:ascii="Times New Roman" w:hAnsi="Times New Roman" w:eastAsia="宋体" w:cs="Times New Roman"/>
          <w:b/>
          <w:bCs/>
          <w:color w:val="auto"/>
          <w:kern w:val="0"/>
          <w:sz w:val="28"/>
          <w:szCs w:val="28"/>
          <w:highlight w:val="none"/>
          <w:lang w:val="en-US" w:eastAsia="zh-CN"/>
        </w:rPr>
      </w:pPr>
      <w:r>
        <w:rPr>
          <w:color w:val="auto"/>
          <w:highlight w:val="none"/>
        </w:rPr>
        <w:fldChar w:fldCharType="begin"/>
      </w:r>
      <w:r>
        <w:rPr>
          <w:color w:val="auto"/>
          <w:highlight w:val="none"/>
        </w:rPr>
        <w:instrText xml:space="preserve"> HYPERLINK \l "_Toc32148" </w:instrText>
      </w:r>
      <w:r>
        <w:rPr>
          <w:color w:val="auto"/>
          <w:highlight w:val="none"/>
        </w:rPr>
        <w:fldChar w:fldCharType="separate"/>
      </w:r>
      <w:r>
        <w:rPr>
          <w:rFonts w:hint="eastAsia" w:ascii="Times New Roman" w:hAnsi="Times New Roman" w:eastAsia="宋体" w:cs="Times New Roman"/>
          <w:b/>
          <w:bCs/>
          <w:color w:val="auto"/>
          <w:kern w:val="0"/>
          <w:sz w:val="28"/>
          <w:szCs w:val="56"/>
          <w:highlight w:val="none"/>
        </w:rPr>
        <w:t>第六章  电子化投标文件格式</w:t>
      </w:r>
      <w:r>
        <w:rPr>
          <w:rFonts w:ascii="Times New Roman" w:hAnsi="Times New Roman" w:eastAsia="宋体" w:cs="Times New Roman"/>
          <w:b/>
          <w:bCs/>
          <w:color w:val="auto"/>
          <w:kern w:val="0"/>
          <w:sz w:val="28"/>
          <w:szCs w:val="28"/>
          <w:highlight w:val="none"/>
        </w:rPr>
        <w:tab/>
      </w:r>
      <w:r>
        <w:rPr>
          <w:rFonts w:ascii="Times New Roman" w:hAnsi="Times New Roman" w:eastAsia="宋体" w:cs="Times New Roman"/>
          <w:b/>
          <w:bCs/>
          <w:color w:val="auto"/>
          <w:kern w:val="0"/>
          <w:sz w:val="28"/>
          <w:szCs w:val="28"/>
          <w:highlight w:val="none"/>
        </w:rPr>
        <w:fldChar w:fldCharType="end"/>
      </w:r>
      <w:r>
        <w:rPr>
          <w:rFonts w:hint="eastAsia" w:ascii="Times New Roman" w:hAnsi="Times New Roman" w:eastAsia="宋体" w:cs="Times New Roman"/>
          <w:b/>
          <w:bCs/>
          <w:color w:val="auto"/>
          <w:kern w:val="0"/>
          <w:sz w:val="28"/>
          <w:szCs w:val="28"/>
          <w:highlight w:val="none"/>
          <w:lang w:val="en-US" w:eastAsia="zh-CN"/>
        </w:rPr>
        <w:t>55</w:t>
      </w:r>
    </w:p>
    <w:p>
      <w:pPr>
        <w:autoSpaceDE w:val="0"/>
        <w:autoSpaceDN w:val="0"/>
        <w:adjustRightInd w:val="0"/>
        <w:spacing w:line="480" w:lineRule="auto"/>
        <w:rPr>
          <w:rFonts w:ascii="宋体" w:hAnsi="宋体" w:eastAsia="宋体" w:cs="宋体"/>
          <w:b/>
          <w:bCs/>
          <w:color w:val="auto"/>
          <w:kern w:val="0"/>
          <w:sz w:val="32"/>
          <w:szCs w:val="32"/>
          <w:highlight w:val="none"/>
        </w:rPr>
      </w:pPr>
      <w:r>
        <w:rPr>
          <w:rFonts w:ascii="宋体" w:hAnsi="宋体" w:eastAsia="宋体" w:cs="宋体"/>
          <w:b/>
          <w:bCs/>
          <w:color w:val="auto"/>
          <w:kern w:val="0"/>
          <w:sz w:val="32"/>
          <w:szCs w:val="48"/>
          <w:highlight w:val="none"/>
        </w:rPr>
        <w:fldChar w:fldCharType="end"/>
      </w:r>
    </w:p>
    <w:p>
      <w:pPr>
        <w:autoSpaceDE w:val="0"/>
        <w:autoSpaceDN w:val="0"/>
        <w:adjustRightInd w:val="0"/>
        <w:spacing w:line="720" w:lineRule="auto"/>
        <w:rPr>
          <w:rFonts w:ascii="宋体" w:hAnsi="宋体" w:eastAsia="宋体" w:cs="宋体"/>
          <w:color w:val="auto"/>
          <w:sz w:val="24"/>
          <w:szCs w:val="24"/>
          <w:highlight w:val="none"/>
        </w:rPr>
      </w:pPr>
    </w:p>
    <w:p>
      <w:pPr>
        <w:autoSpaceDE w:val="0"/>
        <w:autoSpaceDN w:val="0"/>
        <w:adjustRightInd w:val="0"/>
        <w:spacing w:line="486" w:lineRule="atLeast"/>
        <w:rPr>
          <w:rFonts w:ascii="宋体" w:hAnsi="宋体" w:eastAsia="宋体" w:cs="宋体"/>
          <w:b/>
          <w:bCs/>
          <w:color w:val="auto"/>
          <w:kern w:val="0"/>
          <w:sz w:val="32"/>
          <w:szCs w:val="32"/>
          <w:highlight w:val="none"/>
        </w:rPr>
      </w:pPr>
    </w:p>
    <w:p>
      <w:pPr>
        <w:autoSpaceDE w:val="0"/>
        <w:autoSpaceDN w:val="0"/>
        <w:adjustRightInd w:val="0"/>
        <w:spacing w:line="486" w:lineRule="atLeast"/>
        <w:rPr>
          <w:rFonts w:ascii="宋体" w:hAnsi="宋体" w:eastAsia="宋体" w:cs="宋体"/>
          <w:b/>
          <w:bCs/>
          <w:color w:val="auto"/>
          <w:kern w:val="0"/>
          <w:sz w:val="32"/>
          <w:szCs w:val="32"/>
          <w:highlight w:val="none"/>
        </w:rPr>
      </w:pPr>
    </w:p>
    <w:p>
      <w:pPr>
        <w:autoSpaceDE w:val="0"/>
        <w:autoSpaceDN w:val="0"/>
        <w:adjustRightInd w:val="0"/>
        <w:spacing w:line="486" w:lineRule="atLeast"/>
        <w:rPr>
          <w:rFonts w:ascii="宋体" w:hAnsi="宋体" w:eastAsia="宋体" w:cs="宋体"/>
          <w:b/>
          <w:bCs/>
          <w:color w:val="auto"/>
          <w:kern w:val="0"/>
          <w:sz w:val="32"/>
          <w:szCs w:val="32"/>
          <w:highlight w:val="none"/>
        </w:rPr>
      </w:pPr>
    </w:p>
    <w:p>
      <w:pPr>
        <w:autoSpaceDE w:val="0"/>
        <w:autoSpaceDN w:val="0"/>
        <w:adjustRightInd w:val="0"/>
        <w:spacing w:line="486" w:lineRule="atLeast"/>
        <w:rPr>
          <w:rFonts w:ascii="宋体" w:hAnsi="宋体" w:eastAsia="宋体" w:cs="宋体"/>
          <w:b/>
          <w:bCs/>
          <w:color w:val="auto"/>
          <w:kern w:val="0"/>
          <w:sz w:val="32"/>
          <w:szCs w:val="32"/>
          <w:highlight w:val="none"/>
        </w:rPr>
      </w:pPr>
    </w:p>
    <w:p>
      <w:pPr>
        <w:autoSpaceDE w:val="0"/>
        <w:autoSpaceDN w:val="0"/>
        <w:adjustRightInd w:val="0"/>
        <w:spacing w:line="486" w:lineRule="atLeast"/>
        <w:rPr>
          <w:rFonts w:ascii="宋体" w:hAnsi="宋体" w:eastAsia="宋体" w:cs="宋体"/>
          <w:b/>
          <w:bCs/>
          <w:color w:val="auto"/>
          <w:kern w:val="0"/>
          <w:sz w:val="32"/>
          <w:szCs w:val="32"/>
          <w:highlight w:val="none"/>
        </w:rPr>
      </w:pPr>
    </w:p>
    <w:p>
      <w:pPr>
        <w:autoSpaceDE w:val="0"/>
        <w:autoSpaceDN w:val="0"/>
        <w:adjustRightInd w:val="0"/>
        <w:spacing w:line="486" w:lineRule="atLeast"/>
        <w:rPr>
          <w:rFonts w:ascii="宋体" w:hAnsi="宋体" w:eastAsia="宋体" w:cs="宋体"/>
          <w:b/>
          <w:bCs/>
          <w:color w:val="auto"/>
          <w:kern w:val="0"/>
          <w:sz w:val="32"/>
          <w:szCs w:val="32"/>
          <w:highlight w:val="none"/>
        </w:rPr>
      </w:pPr>
    </w:p>
    <w:p>
      <w:pPr>
        <w:autoSpaceDE w:val="0"/>
        <w:autoSpaceDN w:val="0"/>
        <w:adjustRightInd w:val="0"/>
        <w:spacing w:line="486" w:lineRule="atLeast"/>
        <w:rPr>
          <w:rFonts w:ascii="宋体" w:hAnsi="宋体" w:eastAsia="宋体" w:cs="宋体"/>
          <w:b/>
          <w:bCs/>
          <w:color w:val="auto"/>
          <w:kern w:val="0"/>
          <w:sz w:val="32"/>
          <w:szCs w:val="32"/>
          <w:highlight w:val="none"/>
        </w:rPr>
      </w:pPr>
    </w:p>
    <w:p>
      <w:pPr>
        <w:autoSpaceDE w:val="0"/>
        <w:autoSpaceDN w:val="0"/>
        <w:adjustRightInd w:val="0"/>
        <w:spacing w:line="486" w:lineRule="atLeast"/>
        <w:rPr>
          <w:rFonts w:ascii="宋体" w:hAnsi="宋体" w:eastAsia="宋体" w:cs="宋体"/>
          <w:b/>
          <w:bCs/>
          <w:color w:val="auto"/>
          <w:kern w:val="0"/>
          <w:sz w:val="32"/>
          <w:szCs w:val="32"/>
          <w:highlight w:val="none"/>
        </w:rPr>
      </w:pPr>
    </w:p>
    <w:p>
      <w:pPr>
        <w:autoSpaceDE w:val="0"/>
        <w:autoSpaceDN w:val="0"/>
        <w:adjustRightInd w:val="0"/>
        <w:spacing w:line="486" w:lineRule="atLeast"/>
        <w:rPr>
          <w:rFonts w:ascii="宋体" w:hAnsi="宋体" w:eastAsia="宋体" w:cs="宋体"/>
          <w:b/>
          <w:bCs/>
          <w:color w:val="auto"/>
          <w:kern w:val="0"/>
          <w:sz w:val="32"/>
          <w:szCs w:val="32"/>
          <w:highlight w:val="none"/>
        </w:rPr>
      </w:pPr>
    </w:p>
    <w:p>
      <w:pPr>
        <w:jc w:val="center"/>
        <w:outlineLvl w:val="0"/>
        <w:rPr>
          <w:rFonts w:ascii="宋体" w:hAnsi="宋体" w:eastAsia="宋体" w:cs="宋体"/>
          <w:color w:val="auto"/>
          <w:sz w:val="40"/>
          <w:szCs w:val="40"/>
          <w:highlight w:val="none"/>
        </w:rPr>
      </w:pPr>
      <w:r>
        <w:rPr>
          <w:rFonts w:hint="eastAsia" w:ascii="宋体" w:hAnsi="宋体" w:eastAsia="宋体" w:cs="宋体"/>
          <w:b/>
          <w:bCs/>
          <w:color w:val="auto"/>
          <w:sz w:val="40"/>
          <w:szCs w:val="40"/>
          <w:highlight w:val="none"/>
        </w:rPr>
        <w:br w:type="page"/>
      </w:r>
      <w:bookmarkStart w:id="0" w:name="_Toc20722"/>
      <w:r>
        <w:rPr>
          <w:rFonts w:hint="eastAsia" w:ascii="Calibri" w:hAnsi="Calibri" w:eastAsia="宋体" w:cs="Times New Roman"/>
          <w:b/>
          <w:bCs/>
          <w:color w:val="auto"/>
          <w:kern w:val="44"/>
          <w:sz w:val="40"/>
          <w:highlight w:val="none"/>
        </w:rPr>
        <w:t>第一章 招标公告</w:t>
      </w:r>
      <w:bookmarkEnd w:id="0"/>
    </w:p>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河南洲禾建设工程有限公司受</w:t>
      </w:r>
      <w:r>
        <w:rPr>
          <w:rFonts w:hint="eastAsia" w:ascii="宋体" w:hAnsi="宋体" w:eastAsia="宋体" w:cs="Times New Roman"/>
          <w:color w:val="auto"/>
          <w:sz w:val="24"/>
          <w:szCs w:val="24"/>
          <w:highlight w:val="none"/>
          <w:lang w:eastAsia="zh-CN"/>
        </w:rPr>
        <w:t>三门峡市生态环境局卢氏分局</w:t>
      </w:r>
      <w:r>
        <w:rPr>
          <w:rFonts w:hint="eastAsia" w:ascii="宋体" w:hAnsi="宋体" w:eastAsia="宋体" w:cs="Times New Roman"/>
          <w:color w:val="auto"/>
          <w:sz w:val="24"/>
          <w:szCs w:val="24"/>
          <w:highlight w:val="none"/>
        </w:rPr>
        <w:t>的委托，就</w:t>
      </w:r>
      <w:r>
        <w:rPr>
          <w:rFonts w:hint="eastAsia" w:ascii="宋体" w:hAnsi="宋体" w:eastAsia="宋体" w:cs="Times New Roman"/>
          <w:color w:val="auto"/>
          <w:sz w:val="24"/>
          <w:szCs w:val="24"/>
          <w:highlight w:val="none"/>
          <w:lang w:eastAsia="zh-CN"/>
        </w:rPr>
        <w:t>卢氏县污染地块土壤污染状况详细补充调查和风险评估项目</w:t>
      </w:r>
      <w:r>
        <w:rPr>
          <w:rFonts w:hint="eastAsia" w:ascii="宋体" w:hAnsi="宋体" w:eastAsia="宋体" w:cs="Times New Roman"/>
          <w:color w:val="auto"/>
          <w:sz w:val="24"/>
          <w:szCs w:val="24"/>
          <w:highlight w:val="none"/>
        </w:rPr>
        <w:t>进行公开招标，欢迎符合资格条件的供应商参加投标。</w:t>
      </w:r>
    </w:p>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一、项目概况及采购范围：</w:t>
      </w:r>
    </w:p>
    <w:p>
      <w:pPr>
        <w:spacing w:line="580" w:lineRule="exact"/>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Times New Roman"/>
          <w:color w:val="auto"/>
          <w:sz w:val="24"/>
          <w:szCs w:val="24"/>
          <w:highlight w:val="none"/>
        </w:rPr>
        <w:t>1、项目名称：</w:t>
      </w:r>
      <w:r>
        <w:rPr>
          <w:rFonts w:hint="eastAsia" w:ascii="宋体" w:hAnsi="宋体" w:eastAsia="宋体" w:cs="宋体"/>
          <w:color w:val="auto"/>
          <w:kern w:val="0"/>
          <w:sz w:val="24"/>
          <w:szCs w:val="24"/>
          <w:highlight w:val="none"/>
          <w:lang w:eastAsia="zh-CN"/>
        </w:rPr>
        <w:t>卢氏县污染地块土壤污染状况详细补充调查和风险评估项目</w:t>
      </w:r>
    </w:p>
    <w:p>
      <w:pPr>
        <w:spacing w:line="5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2、项目编号：三卢公开采购-2025-87、LSGZ[2025]362-ZC213</w:t>
      </w:r>
    </w:p>
    <w:p>
      <w:pPr>
        <w:spacing w:line="580" w:lineRule="exact"/>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rPr>
        <w:t>3、采购人：</w:t>
      </w:r>
      <w:r>
        <w:rPr>
          <w:rFonts w:hint="eastAsia" w:ascii="宋体" w:hAnsi="宋体" w:eastAsia="宋体" w:cs="Times New Roman"/>
          <w:color w:val="auto"/>
          <w:sz w:val="24"/>
          <w:szCs w:val="24"/>
          <w:highlight w:val="none"/>
          <w:lang w:eastAsia="zh-CN"/>
        </w:rPr>
        <w:t xml:space="preserve"> 三门峡市生态环境局卢氏分局 </w:t>
      </w:r>
    </w:p>
    <w:p>
      <w:pPr>
        <w:spacing w:line="580" w:lineRule="exact"/>
        <w:ind w:firstLine="480" w:firstLineChars="20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rPr>
        <w:t>4、预算金额：</w:t>
      </w:r>
      <w:r>
        <w:rPr>
          <w:rFonts w:hint="eastAsia" w:ascii="宋体" w:hAnsi="宋体" w:eastAsia="宋体" w:cs="Times New Roman"/>
          <w:color w:val="auto"/>
          <w:sz w:val="24"/>
          <w:szCs w:val="24"/>
          <w:highlight w:val="none"/>
          <w:lang w:val="en-US" w:eastAsia="zh-CN"/>
        </w:rPr>
        <w:t>2916382.00</w:t>
      </w:r>
      <w:r>
        <w:rPr>
          <w:rFonts w:hint="eastAsia" w:ascii="宋体" w:hAnsi="宋体" w:eastAsia="宋体" w:cs="Times New Roman"/>
          <w:color w:val="auto"/>
          <w:sz w:val="24"/>
          <w:szCs w:val="24"/>
          <w:highlight w:val="none"/>
        </w:rPr>
        <w:t>元</w:t>
      </w:r>
    </w:p>
    <w:p>
      <w:pPr>
        <w:spacing w:line="580" w:lineRule="exact"/>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5、资金来源：财政资金，已落实</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eastAsia="zh-CN"/>
        </w:rPr>
        <w:t>6、</w:t>
      </w:r>
      <w:r>
        <w:rPr>
          <w:rFonts w:hint="eastAsia" w:ascii="宋体" w:hAnsi="宋体" w:eastAsia="宋体" w:cs="Times New Roman"/>
          <w:color w:val="auto"/>
          <w:sz w:val="24"/>
          <w:szCs w:val="24"/>
          <w:highlight w:val="none"/>
          <w:lang w:val="en-US" w:eastAsia="zh-CN"/>
        </w:rPr>
        <w:t>服务内容：对卢氏县9个地块进行土壤污染状况详细补充调查及风险评估，开展场地补充调查、样品采集与检测以及成果编制等工作。查明调查范围内污染物的污染程度及范围；开展基于保护规划用地方式下人体、生态环境、地下水等敏感受体的风险评估，筛选出高风险的污染物，计算关注污染物不同规划用地方式下的风险控制值，并结合相关标准确定地块修复目标值，为地块后期风险管控或修复治理及安全合理开发提供科学依据与技术支撑。</w:t>
      </w:r>
    </w:p>
    <w:p>
      <w:pPr>
        <w:spacing w:line="360" w:lineRule="auto"/>
        <w:ind w:firstLine="480" w:firstLineChars="200"/>
        <w:rPr>
          <w:rFonts w:hint="default" w:ascii="宋体" w:hAnsi="宋体" w:eastAsia="宋体" w:cs="Times New Roman"/>
          <w:color w:val="auto"/>
          <w:sz w:val="24"/>
          <w:szCs w:val="28"/>
          <w:highlight w:val="none"/>
          <w:lang w:val="en-US" w:eastAsia="zh-CN"/>
        </w:rPr>
      </w:pPr>
      <w:r>
        <w:rPr>
          <w:rFonts w:hint="eastAsia"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lang w:val="en-US" w:eastAsia="zh-CN"/>
        </w:rPr>
        <w:t>服务期限</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8"/>
          <w:highlight w:val="none"/>
          <w:lang w:val="en-US" w:eastAsia="zh-CN"/>
        </w:rPr>
        <w:t>1年</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8、服务</w:t>
      </w:r>
      <w:r>
        <w:rPr>
          <w:rFonts w:hint="eastAsia" w:ascii="宋体" w:hAnsi="宋体" w:eastAsia="宋体" w:cs="宋体"/>
          <w:bCs/>
          <w:color w:val="auto"/>
          <w:sz w:val="24"/>
          <w:szCs w:val="28"/>
          <w:highlight w:val="none"/>
        </w:rPr>
        <w:t>地点：</w:t>
      </w:r>
      <w:r>
        <w:rPr>
          <w:rFonts w:hint="eastAsia" w:ascii="宋体" w:hAnsi="宋体" w:eastAsia="宋体" w:cs="宋体"/>
          <w:bCs/>
          <w:color w:val="auto"/>
          <w:sz w:val="24"/>
          <w:szCs w:val="28"/>
          <w:highlight w:val="none"/>
          <w:lang w:val="en-US" w:eastAsia="zh-CN"/>
        </w:rPr>
        <w:t xml:space="preserve"> 卢氏县</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 xml:space="preserve">    9、</w:t>
      </w:r>
      <w:r>
        <w:rPr>
          <w:rFonts w:hint="eastAsia" w:ascii="宋体" w:hAnsi="宋体" w:eastAsia="宋体" w:cs="宋体"/>
          <w:bCs/>
          <w:color w:val="auto"/>
          <w:sz w:val="24"/>
          <w:szCs w:val="28"/>
          <w:highlight w:val="none"/>
        </w:rPr>
        <w:t>质量要求：符合国家及行业相关规定要求</w:t>
      </w:r>
    </w:p>
    <w:p>
      <w:pPr>
        <w:spacing w:line="5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lang w:val="en-US" w:eastAsia="zh-CN"/>
        </w:rPr>
        <w:t>0</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政府采购政策</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本项目执行促进中小型企业发展政策（残疾人福利性企业、监狱企业视同小微企业）、优先采购节能环保产品等政府采购政策。</w:t>
      </w:r>
    </w:p>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二、供应商资格要求：</w:t>
      </w:r>
      <w:r>
        <w:rPr>
          <w:rFonts w:ascii="宋体" w:hAnsi="宋体" w:eastAsia="宋体" w:cs="Times New Roman"/>
          <w:color w:val="auto"/>
          <w:sz w:val="24"/>
          <w:szCs w:val="24"/>
          <w:highlight w:val="none"/>
        </w:rPr>
        <w:t xml:space="preserve"> </w:t>
      </w:r>
    </w:p>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投标供应商参加本次政府采购活动必须符合《中华人民共和国政府采购法》第二十二条的规定并同时具备下列条件：</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eastAsia="zh-CN"/>
        </w:rPr>
      </w:pPr>
      <w:r>
        <w:rPr>
          <w:rFonts w:hint="eastAsia" w:ascii="宋体" w:hAnsi="宋体" w:eastAsia="宋体" w:cs="Times New Roman"/>
          <w:color w:val="auto"/>
          <w:sz w:val="24"/>
          <w:szCs w:val="24"/>
          <w:highlight w:val="none"/>
        </w:rPr>
        <w:t>1、</w:t>
      </w:r>
      <w:r>
        <w:rPr>
          <w:rFonts w:hint="eastAsia" w:ascii="宋体" w:hAnsi="宋体" w:eastAsia="宋体" w:cs="宋体"/>
          <w:bCs/>
          <w:color w:val="auto"/>
          <w:sz w:val="24"/>
          <w:szCs w:val="28"/>
          <w:highlight w:val="none"/>
        </w:rPr>
        <w:t>在中华人民共和国境内注册的能够独立承担民事责任，具有有效的营业执照、税务登记证、组织机构代码证(或“三证合一”的营业执照)</w:t>
      </w:r>
      <w:r>
        <w:rPr>
          <w:rFonts w:hint="eastAsia" w:ascii="宋体" w:hAnsi="宋体" w:cs="宋体"/>
          <w:bCs/>
          <w:color w:val="auto"/>
          <w:sz w:val="24"/>
          <w:szCs w:val="28"/>
          <w:highlight w:val="none"/>
          <w:lang w:val="en-US" w:eastAsia="zh-CN"/>
        </w:rPr>
        <w:t>或</w:t>
      </w:r>
      <w:r>
        <w:rPr>
          <w:rFonts w:hint="eastAsia" w:ascii="宋体" w:hAnsi="宋体" w:eastAsia="宋体" w:cs="宋体"/>
          <w:bCs/>
          <w:color w:val="auto"/>
          <w:sz w:val="24"/>
          <w:szCs w:val="28"/>
          <w:highlight w:val="none"/>
        </w:rPr>
        <w:t>事业单位法人证书</w:t>
      </w:r>
      <w:r>
        <w:rPr>
          <w:rFonts w:hint="eastAsia" w:ascii="宋体" w:hAnsi="宋体" w:cs="宋体"/>
          <w:bCs/>
          <w:color w:val="auto"/>
          <w:sz w:val="24"/>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eastAsia="zh-CN"/>
        </w:rPr>
      </w:pPr>
      <w:r>
        <w:rPr>
          <w:rFonts w:hint="eastAsia" w:ascii="宋体" w:hAnsi="宋体" w:eastAsia="宋体" w:cs="宋体"/>
          <w:bCs/>
          <w:color w:val="auto"/>
          <w:sz w:val="24"/>
          <w:szCs w:val="28"/>
          <w:highlight w:val="none"/>
          <w:lang w:val="en-US" w:eastAsia="zh-CN"/>
        </w:rPr>
        <w:t>2</w:t>
      </w:r>
      <w:r>
        <w:rPr>
          <w:rFonts w:hint="eastAsia" w:ascii="宋体" w:hAnsi="宋体" w:eastAsia="宋体" w:cs="宋体"/>
          <w:bCs/>
          <w:color w:val="auto"/>
          <w:sz w:val="24"/>
          <w:szCs w:val="28"/>
          <w:highlight w:val="none"/>
          <w:lang w:eastAsia="zh-CN"/>
        </w:rPr>
        <w:t>、</w:t>
      </w:r>
      <w:r>
        <w:rPr>
          <w:rFonts w:hint="eastAsia" w:ascii="宋体" w:hAnsi="宋体" w:eastAsia="宋体" w:cs="宋体"/>
          <w:bCs/>
          <w:color w:val="auto"/>
          <w:sz w:val="24"/>
          <w:szCs w:val="28"/>
          <w:highlight w:val="none"/>
          <w:lang w:val="en-US" w:eastAsia="zh-CN"/>
        </w:rPr>
        <w:t>供应商提供2025年以来任意三个月企业依法缴纳税收证明材料或承诺书(注:依法免税的，应提供税务部门出具的依法免税证明材料)</w:t>
      </w:r>
      <w:r>
        <w:rPr>
          <w:rFonts w:hint="eastAsia" w:ascii="宋体" w:hAnsi="宋体" w:eastAsia="宋体" w:cs="宋体"/>
          <w:bCs/>
          <w:color w:val="auto"/>
          <w:sz w:val="24"/>
          <w:szCs w:val="28"/>
          <w:highlight w:val="none"/>
          <w:lang w:eastAsia="zh-CN"/>
        </w:rPr>
        <w:t>，新成立企业从成立之日起计算；</w:t>
      </w:r>
      <w:r>
        <w:rPr>
          <w:rFonts w:hint="eastAsia" w:ascii="宋体" w:hAnsi="宋体" w:eastAsia="宋体" w:cs="宋体"/>
          <w:bCs/>
          <w:color w:val="auto"/>
          <w:sz w:val="24"/>
          <w:szCs w:val="28"/>
          <w:highlight w:val="none"/>
          <w:lang w:val="en-US" w:eastAsia="zh-CN"/>
        </w:rPr>
        <w:t>拟派项目负责人依法缴纳社保或承诺书、身份证等证明材料;</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eastAsia="zh-CN"/>
        </w:rPr>
      </w:pPr>
      <w:r>
        <w:rPr>
          <w:rFonts w:hint="eastAsia" w:ascii="宋体" w:hAnsi="宋体" w:eastAsia="宋体" w:cs="宋体"/>
          <w:bCs/>
          <w:color w:val="auto"/>
          <w:sz w:val="24"/>
          <w:szCs w:val="28"/>
          <w:highlight w:val="none"/>
          <w:lang w:val="en-US" w:eastAsia="zh-CN"/>
        </w:rPr>
        <w:t>3</w:t>
      </w:r>
      <w:r>
        <w:rPr>
          <w:rFonts w:hint="eastAsia" w:ascii="宋体" w:hAnsi="宋体" w:eastAsia="宋体" w:cs="宋体"/>
          <w:bCs/>
          <w:color w:val="auto"/>
          <w:sz w:val="24"/>
          <w:szCs w:val="28"/>
          <w:highlight w:val="none"/>
          <w:lang w:eastAsia="zh-CN"/>
        </w:rPr>
        <w:t>、具有履行合同所必需的设备和专业技术能力（提供承诺书，格式自拟）；</w:t>
      </w:r>
    </w:p>
    <w:p>
      <w:pPr>
        <w:spacing w:line="360" w:lineRule="auto"/>
        <w:ind w:firstLine="480" w:firstLineChars="200"/>
        <w:rPr>
          <w:rFonts w:hint="eastAsia" w:ascii="宋体" w:hAnsi="宋体" w:eastAsia="宋体" w:cs="Times New Roman"/>
          <w:color w:val="auto"/>
          <w:sz w:val="24"/>
          <w:szCs w:val="24"/>
          <w:highlight w:val="none"/>
          <w:lang w:eastAsia="zh-CN"/>
        </w:rPr>
      </w:pPr>
      <w:r>
        <w:rPr>
          <w:rFonts w:hint="eastAsia" w:ascii="宋体" w:hAnsi="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lang w:eastAsia="zh-CN"/>
        </w:rPr>
        <w:t>、参加政府采购活动前3年内无骗取中标、严重违约及重大工程质量等问题；</w:t>
      </w:r>
    </w:p>
    <w:p>
      <w:pPr>
        <w:spacing w:line="360" w:lineRule="auto"/>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5、</w:t>
      </w:r>
      <w:r>
        <w:rPr>
          <w:rFonts w:hint="eastAsia" w:ascii="宋体" w:hAnsi="宋体" w:eastAsia="宋体" w:cs="Times New Roman"/>
          <w:color w:val="auto"/>
          <w:sz w:val="24"/>
          <w:szCs w:val="24"/>
          <w:highlight w:val="none"/>
          <w:lang w:eastAsia="zh-CN"/>
        </w:rPr>
        <w:t>开标时提供在中国裁判文书网自行查询的“企业无行贿犯罪记录”查询结果或自行承诺（查询对象：企业、法定代表人）和工商部门出具的无商业贿赂和不正当竞争证明，若当地工商部门不出具此证明，企业自行出具无商业贿赂和不正当竞争行为承诺书；</w:t>
      </w:r>
    </w:p>
    <w:p>
      <w:pPr>
        <w:spacing w:line="580" w:lineRule="exact"/>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lang w:eastAsia="zh-CN"/>
        </w:rPr>
        <w:t>、根据《关于在政府采购活动中查询及使用信用记录有关问题的通知》（财库【2016】125号）和豫财购【2016】15号的规定，对列入失信被执行人、</w:t>
      </w:r>
      <w:r>
        <w:rPr>
          <w:rFonts w:hint="eastAsia" w:ascii="宋体" w:hAnsi="宋体" w:eastAsia="宋体" w:cs="Times New Roman"/>
          <w:color w:val="auto"/>
          <w:sz w:val="24"/>
          <w:szCs w:val="24"/>
          <w:highlight w:val="none"/>
          <w:lang w:val="en-US" w:eastAsia="zh-CN"/>
        </w:rPr>
        <w:t>重大税收违法失信主体</w:t>
      </w:r>
      <w:r>
        <w:rPr>
          <w:rFonts w:hint="eastAsia" w:ascii="宋体" w:hAnsi="宋体" w:eastAsia="宋体" w:cs="Times New Roman"/>
          <w:color w:val="auto"/>
          <w:sz w:val="24"/>
          <w:szCs w:val="24"/>
          <w:highlight w:val="none"/>
          <w:lang w:eastAsia="zh-CN"/>
        </w:rPr>
        <w:t>、“政府采购严重违法失信行为记录名单”的供应商，拒绝参与本项目采购活动，查询渠道：“信用中国”网站（www.creditchina.gov.cn）信用服务中的失信被执行人、政府采购严重违法失信行为记录名单、</w:t>
      </w:r>
      <w:r>
        <w:rPr>
          <w:rFonts w:hint="eastAsia" w:ascii="宋体" w:hAnsi="宋体" w:eastAsia="宋体" w:cs="Times New Roman"/>
          <w:color w:val="auto"/>
          <w:sz w:val="24"/>
          <w:szCs w:val="24"/>
          <w:highlight w:val="none"/>
          <w:lang w:val="en-US" w:eastAsia="zh-CN"/>
        </w:rPr>
        <w:t>重大税收违法失信主体</w:t>
      </w:r>
      <w:r>
        <w:rPr>
          <w:rFonts w:hint="eastAsia" w:ascii="宋体" w:hAnsi="宋体" w:eastAsia="宋体" w:cs="Times New Roman"/>
          <w:color w:val="auto"/>
          <w:sz w:val="24"/>
          <w:szCs w:val="24"/>
          <w:highlight w:val="none"/>
          <w:lang w:eastAsia="zh-CN"/>
        </w:rPr>
        <w:t>，中国政府采购网（www.ccgp.gov.cn）的政府采购严重违法失信行为记录名单，附本公司在“信用中国”网站和“中国政府采购网”网站上的查询记录并加盖公章，查询时间为自公告发布之日起至</w:t>
      </w:r>
      <w:r>
        <w:rPr>
          <w:rFonts w:hint="eastAsia" w:ascii="宋体" w:hAnsi="宋体" w:eastAsia="宋体" w:cs="Times New Roman"/>
          <w:color w:val="auto"/>
          <w:sz w:val="24"/>
          <w:szCs w:val="24"/>
          <w:highlight w:val="none"/>
          <w:lang w:val="en-US" w:eastAsia="zh-CN"/>
        </w:rPr>
        <w:t>开标</w:t>
      </w:r>
      <w:r>
        <w:rPr>
          <w:rFonts w:hint="eastAsia" w:ascii="宋体" w:hAnsi="宋体" w:eastAsia="宋体" w:cs="Times New Roman"/>
          <w:color w:val="auto"/>
          <w:sz w:val="24"/>
          <w:szCs w:val="24"/>
          <w:highlight w:val="none"/>
          <w:lang w:eastAsia="zh-CN"/>
        </w:rPr>
        <w:t>截止时间前）注:信用中国应处于网址过度期，查询过程中可能会出现法院系统界面。</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7、本次招标接受联合体投标，联合体投标，应满足以下要求：</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1）联合体成员不超过2家（含联合体牵头人）；</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2）若联合体投标成员参与投标时，联合体牵头人及联合体成员需满足上述供应商资格要求1-6项；</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3）联合体各方应签订联合体协议书明确各方权利义务；</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4）联合体各方签订共同投标协议后，联合体各方不得再以自己名义单独（或与其他单位组成新的联合体）参与同一标段下的投标；</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5）联合体中标后联合体各方应当共同与采购人签订合同，为履行合同向招标人承担连带责任；</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6）联合体的牵头人应被授权作为联合体各方的代表，承担责任和接受指令；</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7）获取招标文件时，应以联合体牵头人的名义获取，并以联合体牵头人的名义递交响应文件；联合体牵头人法定代表人或其授权代表负责签署本次投标相关资料，其他联合体成员必须予以认可。</w:t>
      </w:r>
    </w:p>
    <w:p>
      <w:pPr>
        <w:spacing w:line="5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8</w:t>
      </w:r>
      <w:r>
        <w:rPr>
          <w:rFonts w:hint="eastAsia" w:ascii="宋体" w:hAnsi="宋体" w:eastAsia="宋体" w:cs="Times New Roman"/>
          <w:color w:val="auto"/>
          <w:sz w:val="24"/>
          <w:szCs w:val="24"/>
          <w:highlight w:val="none"/>
        </w:rPr>
        <w:t>、本次招标实行资格后审。</w:t>
      </w:r>
    </w:p>
    <w:p>
      <w:pPr>
        <w:keepNext w:val="0"/>
        <w:keepLines w:val="0"/>
        <w:pageBreakBefore w:val="0"/>
        <w:widowControl w:val="0"/>
        <w:kinsoku/>
        <w:wordWrap w:val="0"/>
        <w:overflowPunct/>
        <w:topLinePunct w:val="0"/>
        <w:autoSpaceDE/>
        <w:autoSpaceDN/>
        <w:bidi w:val="0"/>
        <w:adjustRightInd/>
        <w:snapToGrid/>
        <w:spacing w:line="580" w:lineRule="exact"/>
        <w:ind w:firstLine="480" w:firstLineChars="200"/>
        <w:textAlignment w:val="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三、投标报名及招标文件的获取方式:</w:t>
      </w:r>
    </w:p>
    <w:p>
      <w:pPr>
        <w:spacing w:line="360" w:lineRule="auto"/>
        <w:ind w:firstLine="566" w:firstLineChars="236"/>
        <w:jc w:val="left"/>
        <w:rPr>
          <w:rFonts w:hint="eastAsia" w:ascii="宋体" w:hAnsi="宋体" w:eastAsia="宋体" w:cs="Arial"/>
          <w:color w:val="auto"/>
          <w:sz w:val="24"/>
          <w:szCs w:val="24"/>
          <w:highlight w:val="none"/>
        </w:rPr>
      </w:pPr>
      <w:r>
        <w:rPr>
          <w:rFonts w:hint="eastAsia" w:ascii="宋体" w:hAnsi="宋体" w:eastAsia="宋体" w:cs="Arial"/>
          <w:color w:val="auto"/>
          <w:sz w:val="24"/>
          <w:szCs w:val="24"/>
          <w:highlight w:val="none"/>
        </w:rPr>
        <w:t>1、招标文件获取方式：本项目没有报名环节，供应商凭CA数字证书通过三门峡市公共资源交易中心网（http://gzjy.smx.gov.cn/jyxx/001002/moreinfo.html），点击交易平台选择“市场主体登录”，在所参与项目右侧点击参与投标，即可直接下载本项目招标文件及其相关资料。具体操作请查看以下链接：http://gzjy.smx.gov.cn/SMX/InformationCenter/indexMore.do?id=35e58aa6-98dd-41b5-b526-c8c629eeff3c</w:t>
      </w:r>
    </w:p>
    <w:p>
      <w:pPr>
        <w:spacing w:line="360" w:lineRule="auto"/>
        <w:ind w:firstLine="566" w:firstLineChars="236"/>
        <w:jc w:val="left"/>
        <w:rPr>
          <w:rFonts w:hint="eastAsia" w:ascii="宋体" w:hAnsi="宋体" w:eastAsia="宋体" w:cs="Arial"/>
          <w:color w:val="auto"/>
          <w:sz w:val="24"/>
          <w:szCs w:val="24"/>
          <w:highlight w:val="none"/>
        </w:rPr>
      </w:pPr>
      <w:r>
        <w:rPr>
          <w:rFonts w:hint="eastAsia" w:ascii="宋体" w:hAnsi="宋体" w:eastAsia="宋体" w:cs="Arial"/>
          <w:color w:val="auto"/>
          <w:sz w:val="24"/>
          <w:szCs w:val="24"/>
          <w:highlight w:val="none"/>
        </w:rPr>
        <w:t>办理CA证书： http://gzjy.smx.gov.cn/SMX/InformationCenter/indexMore.do?id=35e58aa6-98dd-41b5-b526-c8c629eeff3c</w:t>
      </w:r>
    </w:p>
    <w:p>
      <w:pPr>
        <w:spacing w:line="360" w:lineRule="auto"/>
        <w:ind w:firstLine="566" w:firstLineChars="236"/>
        <w:jc w:val="left"/>
        <w:rPr>
          <w:rFonts w:ascii="宋体" w:hAnsi="宋体" w:eastAsia="宋体" w:cs="Arial"/>
          <w:color w:val="auto"/>
          <w:sz w:val="24"/>
          <w:szCs w:val="24"/>
          <w:highlight w:val="none"/>
        </w:rPr>
      </w:pPr>
      <w:r>
        <w:rPr>
          <w:rFonts w:hint="eastAsia" w:ascii="宋体" w:hAnsi="宋体" w:eastAsia="宋体" w:cs="Arial"/>
          <w:color w:val="auto"/>
          <w:sz w:val="24"/>
          <w:szCs w:val="24"/>
          <w:highlight w:val="none"/>
        </w:rPr>
        <w:t>2、招标文件下载时间：202</w:t>
      </w:r>
      <w:r>
        <w:rPr>
          <w:rFonts w:hint="eastAsia" w:ascii="宋体" w:hAnsi="宋体" w:eastAsia="宋体" w:cs="Arial"/>
          <w:color w:val="auto"/>
          <w:sz w:val="24"/>
          <w:szCs w:val="24"/>
          <w:highlight w:val="none"/>
          <w:lang w:val="en-US" w:eastAsia="zh-CN"/>
        </w:rPr>
        <w:t>5</w:t>
      </w:r>
      <w:r>
        <w:rPr>
          <w:rFonts w:hint="eastAsia" w:ascii="宋体" w:hAnsi="宋体" w:eastAsia="宋体" w:cs="Arial"/>
          <w:color w:val="auto"/>
          <w:sz w:val="24"/>
          <w:szCs w:val="24"/>
          <w:highlight w:val="none"/>
        </w:rPr>
        <w:t>年</w:t>
      </w:r>
      <w:r>
        <w:rPr>
          <w:rFonts w:hint="eastAsia" w:ascii="宋体" w:hAnsi="宋体" w:eastAsia="宋体" w:cs="Arial"/>
          <w:color w:val="auto"/>
          <w:sz w:val="24"/>
          <w:szCs w:val="24"/>
          <w:highlight w:val="none"/>
          <w:lang w:val="en-US" w:eastAsia="zh-CN"/>
        </w:rPr>
        <w:t>12</w:t>
      </w:r>
      <w:r>
        <w:rPr>
          <w:rFonts w:hint="eastAsia" w:ascii="宋体" w:hAnsi="宋体" w:eastAsia="宋体" w:cs="Arial"/>
          <w:color w:val="auto"/>
          <w:sz w:val="24"/>
          <w:szCs w:val="24"/>
          <w:highlight w:val="none"/>
        </w:rPr>
        <w:t>月</w:t>
      </w:r>
      <w:r>
        <w:rPr>
          <w:rFonts w:hint="eastAsia" w:ascii="宋体" w:hAnsi="宋体" w:eastAsia="宋体" w:cs="Arial"/>
          <w:color w:val="auto"/>
          <w:sz w:val="24"/>
          <w:szCs w:val="24"/>
          <w:highlight w:val="none"/>
          <w:lang w:val="en-US" w:eastAsia="zh-CN"/>
        </w:rPr>
        <w:t>25</w:t>
      </w:r>
      <w:r>
        <w:rPr>
          <w:rFonts w:hint="eastAsia" w:ascii="宋体" w:hAnsi="宋体" w:eastAsia="宋体" w:cs="Arial"/>
          <w:color w:val="auto"/>
          <w:sz w:val="24"/>
          <w:szCs w:val="24"/>
          <w:highlight w:val="none"/>
        </w:rPr>
        <w:t>日</w:t>
      </w:r>
      <w:r>
        <w:rPr>
          <w:rFonts w:hint="eastAsia" w:ascii="宋体" w:hAnsi="宋体" w:eastAsia="宋体" w:cs="宋体"/>
          <w:color w:val="auto"/>
          <w:sz w:val="24"/>
          <w:szCs w:val="28"/>
          <w:highlight w:val="none"/>
        </w:rPr>
        <w:t>08时00分</w:t>
      </w:r>
      <w:r>
        <w:rPr>
          <w:rFonts w:hint="eastAsia" w:ascii="宋体" w:hAnsi="宋体" w:eastAsia="宋体" w:cs="Arial"/>
          <w:color w:val="auto"/>
          <w:sz w:val="24"/>
          <w:szCs w:val="24"/>
          <w:highlight w:val="none"/>
        </w:rPr>
        <w:t>至202</w:t>
      </w:r>
      <w:r>
        <w:rPr>
          <w:rFonts w:hint="eastAsia" w:ascii="宋体" w:hAnsi="宋体" w:eastAsia="宋体" w:cs="Arial"/>
          <w:color w:val="auto"/>
          <w:sz w:val="24"/>
          <w:szCs w:val="24"/>
          <w:highlight w:val="none"/>
          <w:lang w:val="en-US" w:eastAsia="zh-CN"/>
        </w:rPr>
        <w:t>6</w:t>
      </w:r>
      <w:r>
        <w:rPr>
          <w:rFonts w:hint="eastAsia" w:ascii="宋体" w:hAnsi="宋体" w:eastAsia="宋体" w:cs="Arial"/>
          <w:color w:val="auto"/>
          <w:sz w:val="24"/>
          <w:szCs w:val="24"/>
          <w:highlight w:val="none"/>
        </w:rPr>
        <w:t>年</w:t>
      </w:r>
      <w:r>
        <w:rPr>
          <w:rFonts w:hint="eastAsia" w:ascii="宋体" w:hAnsi="宋体" w:eastAsia="宋体" w:cs="Arial"/>
          <w:color w:val="auto"/>
          <w:sz w:val="24"/>
          <w:szCs w:val="24"/>
          <w:highlight w:val="none"/>
          <w:lang w:val="en-US" w:eastAsia="zh-CN"/>
        </w:rPr>
        <w:t>01</w:t>
      </w:r>
      <w:r>
        <w:rPr>
          <w:rFonts w:hint="eastAsia" w:ascii="宋体" w:hAnsi="宋体" w:eastAsia="宋体" w:cs="Arial"/>
          <w:color w:val="auto"/>
          <w:sz w:val="24"/>
          <w:szCs w:val="24"/>
          <w:highlight w:val="none"/>
        </w:rPr>
        <w:t>月</w:t>
      </w:r>
      <w:r>
        <w:rPr>
          <w:rFonts w:hint="eastAsia" w:ascii="宋体" w:hAnsi="宋体" w:eastAsia="宋体" w:cs="Arial"/>
          <w:color w:val="auto"/>
          <w:sz w:val="24"/>
          <w:szCs w:val="24"/>
          <w:highlight w:val="none"/>
          <w:lang w:val="en-US" w:eastAsia="zh-CN"/>
        </w:rPr>
        <w:t>14</w:t>
      </w:r>
      <w:r>
        <w:rPr>
          <w:rFonts w:hint="eastAsia" w:ascii="宋体" w:hAnsi="宋体" w:eastAsia="宋体" w:cs="Arial"/>
          <w:color w:val="auto"/>
          <w:sz w:val="24"/>
          <w:szCs w:val="24"/>
          <w:highlight w:val="none"/>
        </w:rPr>
        <w:t>日08时</w:t>
      </w:r>
      <w:r>
        <w:rPr>
          <w:rFonts w:hint="eastAsia" w:ascii="宋体" w:hAnsi="宋体" w:eastAsia="宋体" w:cs="Arial"/>
          <w:color w:val="auto"/>
          <w:sz w:val="24"/>
          <w:szCs w:val="24"/>
          <w:highlight w:val="none"/>
          <w:lang w:val="en-US" w:eastAsia="zh-CN"/>
        </w:rPr>
        <w:t>4</w:t>
      </w:r>
      <w:r>
        <w:rPr>
          <w:rFonts w:hint="eastAsia" w:ascii="宋体" w:hAnsi="宋体" w:eastAsia="宋体" w:cs="Arial"/>
          <w:color w:val="auto"/>
          <w:sz w:val="24"/>
          <w:szCs w:val="24"/>
          <w:highlight w:val="none"/>
        </w:rPr>
        <w:t>0分。</w:t>
      </w:r>
    </w:p>
    <w:p>
      <w:pPr>
        <w:keepNext w:val="0"/>
        <w:keepLines w:val="0"/>
        <w:pageBreakBefore w:val="0"/>
        <w:widowControl w:val="0"/>
        <w:kinsoku/>
        <w:wordWrap w:val="0"/>
        <w:overflowPunct/>
        <w:topLinePunct w:val="0"/>
        <w:autoSpaceDE/>
        <w:autoSpaceDN/>
        <w:bidi w:val="0"/>
        <w:adjustRightInd/>
        <w:snapToGrid/>
        <w:spacing w:line="360" w:lineRule="auto"/>
        <w:ind w:firstLine="566" w:firstLineChars="236"/>
        <w:textAlignment w:val="auto"/>
        <w:rPr>
          <w:rFonts w:ascii="宋体" w:hAnsi="宋体" w:eastAsia="宋体" w:cs="Arial"/>
          <w:color w:val="auto"/>
          <w:sz w:val="24"/>
          <w:szCs w:val="24"/>
          <w:highlight w:val="none"/>
        </w:rPr>
      </w:pPr>
      <w:r>
        <w:rPr>
          <w:rFonts w:hint="eastAsia" w:ascii="宋体" w:hAnsi="宋体" w:eastAsia="宋体" w:cs="Arial"/>
          <w:color w:val="auto"/>
          <w:sz w:val="24"/>
          <w:szCs w:val="24"/>
          <w:highlight w:val="none"/>
        </w:rPr>
        <w:t>注：本项目为不见面开标项目，开标当日供应商无需到开标现场参加开标会议，供应商应当在投标截止时间前，登陆不见面开标大厅选择登陆三门峡市公共资源电子招投标系统进行登陆（网址为</w:t>
      </w:r>
      <w:r>
        <w:rPr>
          <w:rFonts w:ascii="宋体" w:hAnsi="宋体" w:eastAsia="宋体" w:cs="Arial"/>
          <w:color w:val="auto"/>
          <w:sz w:val="24"/>
          <w:szCs w:val="24"/>
          <w:highlight w:val="none"/>
        </w:rPr>
        <w:t>http://122.112.246.33/BidOpening/bidopeninghallaction/hall/login</w:t>
      </w:r>
      <w:r>
        <w:rPr>
          <w:rFonts w:hint="eastAsia" w:ascii="宋体" w:hAnsi="宋体" w:eastAsia="宋体" w:cs="Arial"/>
          <w:color w:val="auto"/>
          <w:sz w:val="24"/>
          <w:szCs w:val="24"/>
          <w:highlight w:val="none"/>
        </w:rPr>
        <w:t>）,在线准时参加开标活动并进行投标文件解密等。每位供应商的解密时间为开标时间起</w:t>
      </w:r>
      <w:r>
        <w:rPr>
          <w:rFonts w:ascii="宋体" w:hAnsi="宋体" w:eastAsia="宋体" w:cs="Arial"/>
          <w:color w:val="auto"/>
          <w:sz w:val="24"/>
          <w:szCs w:val="24"/>
          <w:highlight w:val="none"/>
        </w:rPr>
        <w:t>3</w:t>
      </w:r>
      <w:r>
        <w:rPr>
          <w:rFonts w:hint="eastAsia" w:ascii="宋体" w:hAnsi="宋体" w:eastAsia="宋体" w:cs="Arial"/>
          <w:color w:val="auto"/>
          <w:sz w:val="24"/>
          <w:szCs w:val="24"/>
          <w:highlight w:val="none"/>
        </w:rPr>
        <w:t>0分钟内完成。因供应商原因未能解密、解密失败或解密超时的将被拒绝。</w:t>
      </w:r>
    </w:p>
    <w:p>
      <w:pPr>
        <w:spacing w:line="360" w:lineRule="auto"/>
        <w:ind w:firstLine="566" w:firstLineChars="236"/>
        <w:rPr>
          <w:rFonts w:ascii="宋体" w:hAnsi="宋体" w:eastAsia="宋体" w:cs="Arial"/>
          <w:color w:val="auto"/>
          <w:sz w:val="24"/>
          <w:szCs w:val="24"/>
          <w:highlight w:val="none"/>
        </w:rPr>
      </w:pPr>
      <w:r>
        <w:rPr>
          <w:rFonts w:hint="eastAsia" w:ascii="宋体" w:hAnsi="宋体" w:eastAsia="宋体" w:cs="Arial"/>
          <w:color w:val="auto"/>
          <w:sz w:val="24"/>
          <w:szCs w:val="24"/>
          <w:highlight w:val="none"/>
        </w:rPr>
        <w:t>3、报名资料的提交：</w:t>
      </w:r>
    </w:p>
    <w:p>
      <w:pPr>
        <w:spacing w:line="360" w:lineRule="auto"/>
        <w:ind w:firstLine="566" w:firstLineChars="236"/>
        <w:jc w:val="left"/>
        <w:rPr>
          <w:rFonts w:hint="eastAsia" w:ascii="宋体" w:hAnsi="宋体" w:eastAsia="宋体" w:cs="Arial"/>
          <w:color w:val="auto"/>
          <w:sz w:val="24"/>
          <w:szCs w:val="24"/>
          <w:highlight w:val="none"/>
          <w:lang w:val="en-US" w:eastAsia="zh-CN"/>
        </w:rPr>
      </w:pPr>
      <w:r>
        <w:rPr>
          <w:rFonts w:hint="eastAsia" w:ascii="宋体" w:hAnsi="宋体" w:eastAsia="宋体" w:cs="Arial"/>
          <w:color w:val="auto"/>
          <w:sz w:val="24"/>
          <w:szCs w:val="24"/>
          <w:highlight w:val="none"/>
          <w:lang w:val="en-US" w:eastAsia="zh-CN"/>
        </w:rPr>
        <w:t>本项目实行资格后审，审查内容以投标截止时间前在三门峡市公共资源交易系统上传的响应文件的信息为准。其上传资料真实性由供应商自行承担，同时，供应商需要完善主体库信息。否则，由此造成应得分而未得分或资格审查不合格等情况的，由供应商承担责任。</w:t>
      </w:r>
    </w:p>
    <w:p>
      <w:pPr>
        <w:spacing w:line="580" w:lineRule="exact"/>
        <w:ind w:firstLine="480" w:firstLineChars="200"/>
        <w:rPr>
          <w:rFonts w:hint="eastAsia" w:ascii="宋体" w:hAnsi="宋体" w:cs="Arial"/>
          <w:color w:val="auto"/>
          <w:sz w:val="24"/>
          <w:szCs w:val="24"/>
          <w:highlight w:val="none"/>
          <w:lang w:val="en-US" w:eastAsia="zh-CN"/>
        </w:rPr>
      </w:pPr>
      <w:r>
        <w:rPr>
          <w:rFonts w:hint="eastAsia" w:ascii="宋体" w:hAnsi="宋体" w:cs="Arial"/>
          <w:color w:val="auto"/>
          <w:sz w:val="24"/>
          <w:szCs w:val="24"/>
          <w:highlight w:val="none"/>
          <w:lang w:val="en-US" w:eastAsia="zh-CN"/>
        </w:rPr>
        <w:t xml:space="preserve"> 4、本项目为全电子招标，不再收取招标文件费用。</w:t>
      </w:r>
    </w:p>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四、投标保证金：</w:t>
      </w:r>
    </w:p>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按照《河南省财政厅关于优化政府采购营商环境有关问题的通知》（豫财购[2019]4号文）的要求本项目不再收取投标保证金。</w:t>
      </w:r>
    </w:p>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五、投标截止时间（同开标时间）和地点：</w:t>
      </w:r>
    </w:p>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1、招标文件下载截止时间及开标时间：202</w:t>
      </w: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lang w:val="en-US" w:eastAsia="zh-CN"/>
        </w:rPr>
        <w:t>01</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lang w:val="en-US" w:eastAsia="zh-CN"/>
        </w:rPr>
        <w:t>14</w:t>
      </w:r>
      <w:r>
        <w:rPr>
          <w:rFonts w:hint="eastAsia" w:ascii="宋体" w:hAnsi="宋体" w:eastAsia="宋体" w:cs="Times New Roman"/>
          <w:color w:val="auto"/>
          <w:sz w:val="24"/>
          <w:szCs w:val="24"/>
          <w:highlight w:val="none"/>
        </w:rPr>
        <w:t>日08时</w:t>
      </w: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rPr>
        <w:t>0分</w:t>
      </w:r>
    </w:p>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2、开标地点：卢氏县公共资源交易中心</w:t>
      </w:r>
      <w:r>
        <w:rPr>
          <w:rFonts w:hint="eastAsia" w:ascii="宋体" w:hAnsi="宋体" w:eastAsia="宋体" w:cs="Times New Roman"/>
          <w:color w:val="auto"/>
          <w:sz w:val="24"/>
          <w:szCs w:val="24"/>
          <w:highlight w:val="none"/>
          <w:lang w:val="en-US" w:eastAsia="zh-CN"/>
        </w:rPr>
        <w:t>四楼</w:t>
      </w:r>
      <w:r>
        <w:rPr>
          <w:rFonts w:hint="eastAsia" w:ascii="宋体" w:hAnsi="宋体" w:eastAsia="宋体" w:cs="Times New Roman"/>
          <w:color w:val="auto"/>
          <w:sz w:val="24"/>
          <w:szCs w:val="24"/>
          <w:highlight w:val="none"/>
        </w:rPr>
        <w:t>第二开标室；</w:t>
      </w:r>
    </w:p>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3、评标地点：卢氏县公共资源交易中心</w:t>
      </w:r>
      <w:r>
        <w:rPr>
          <w:rFonts w:hint="eastAsia" w:ascii="宋体" w:hAnsi="宋体" w:eastAsia="宋体" w:cs="Times New Roman"/>
          <w:color w:val="auto"/>
          <w:sz w:val="24"/>
          <w:szCs w:val="24"/>
          <w:highlight w:val="none"/>
          <w:lang w:val="en-US" w:eastAsia="zh-CN"/>
        </w:rPr>
        <w:t>二楼</w:t>
      </w:r>
      <w:r>
        <w:rPr>
          <w:rFonts w:hint="eastAsia" w:ascii="宋体" w:hAnsi="宋体" w:eastAsia="宋体" w:cs="Times New Roman"/>
          <w:color w:val="auto"/>
          <w:sz w:val="24"/>
          <w:szCs w:val="24"/>
          <w:highlight w:val="none"/>
        </w:rPr>
        <w:t>第</w:t>
      </w:r>
      <w:r>
        <w:rPr>
          <w:rFonts w:hint="eastAsia" w:ascii="宋体" w:hAnsi="宋体" w:eastAsia="宋体" w:cs="Times New Roman"/>
          <w:color w:val="auto"/>
          <w:sz w:val="24"/>
          <w:szCs w:val="24"/>
          <w:highlight w:val="none"/>
          <w:lang w:val="en-US" w:eastAsia="zh-CN"/>
        </w:rPr>
        <w:t>二</w:t>
      </w:r>
      <w:r>
        <w:rPr>
          <w:rFonts w:hint="eastAsia" w:ascii="宋体" w:hAnsi="宋体" w:eastAsia="宋体" w:cs="Times New Roman"/>
          <w:color w:val="auto"/>
          <w:sz w:val="24"/>
          <w:szCs w:val="24"/>
          <w:highlight w:val="none"/>
        </w:rPr>
        <w:t>评标室；</w:t>
      </w:r>
    </w:p>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六、其他：</w:t>
      </w:r>
    </w:p>
    <w:p>
      <w:pPr>
        <w:spacing w:line="580" w:lineRule="exact"/>
        <w:ind w:firstLine="480" w:firstLineChars="200"/>
        <w:rPr>
          <w:ins w:id="0" w:author="得力科技" w:date="2021-07-08T17:12:00Z"/>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1、供应商应仔细阅读操作手册，因供应商操作不当等问题造成的无法下载招标文件、无法投标等一切后果，由供应商自行承担。</w:t>
      </w:r>
    </w:p>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2、供应商递交的投标文件不论中标与否均不予退还</w:t>
      </w:r>
    </w:p>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3、投标所发生一切费用由各供应商自行承担，并承担相应的风险和责任。</w:t>
      </w:r>
    </w:p>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温馨提示：本项目为电子化、无纸化交易项目，投标时不再接受任何纸质资料，为保证您能投标成功，请需仔细阅读招标文件和三门峡市公共资源交易中心官网业务办理指南。</w:t>
      </w:r>
    </w:p>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七、发布公告的媒介：</w:t>
      </w:r>
    </w:p>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本次招标公告同时在</w:t>
      </w:r>
      <w:r>
        <w:rPr>
          <w:rFonts w:hint="eastAsia" w:ascii="宋体" w:hAnsi="宋体" w:eastAsia="宋体" w:cs="宋体"/>
          <w:bCs/>
          <w:color w:val="auto"/>
          <w:sz w:val="24"/>
          <w:szCs w:val="28"/>
          <w:highlight w:val="none"/>
        </w:rPr>
        <w:t>《中国招标投标公共服务平台》、《河南省政府采购网》、《三门峡市公共资源交易中心</w:t>
      </w:r>
      <w:r>
        <w:rPr>
          <w:rFonts w:hint="eastAsia" w:ascii="宋体" w:hAnsi="宋体" w:cs="宋体"/>
          <w:bCs/>
          <w:color w:val="auto"/>
          <w:sz w:val="24"/>
          <w:szCs w:val="28"/>
          <w:highlight w:val="none"/>
          <w:lang w:val="en-US" w:eastAsia="zh-CN"/>
        </w:rPr>
        <w:t>网</w:t>
      </w:r>
      <w:r>
        <w:rPr>
          <w:rFonts w:hint="eastAsia" w:ascii="宋体" w:hAnsi="宋体" w:eastAsia="宋体" w:cs="宋体"/>
          <w:bCs/>
          <w:color w:val="auto"/>
          <w:sz w:val="24"/>
          <w:szCs w:val="28"/>
          <w:highlight w:val="none"/>
        </w:rPr>
        <w:t>》</w:t>
      </w:r>
      <w:r>
        <w:rPr>
          <w:rFonts w:hint="eastAsia" w:ascii="宋体" w:hAnsi="宋体" w:eastAsia="宋体" w:cs="Times New Roman"/>
          <w:color w:val="auto"/>
          <w:sz w:val="24"/>
          <w:szCs w:val="24"/>
          <w:highlight w:val="none"/>
        </w:rPr>
        <w:t>上发布。</w:t>
      </w:r>
    </w:p>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八、联系方式：</w:t>
      </w:r>
    </w:p>
    <w:p>
      <w:pPr>
        <w:spacing w:line="580" w:lineRule="exact"/>
        <w:ind w:firstLine="480" w:firstLineChars="200"/>
        <w:rPr>
          <w:rFonts w:hint="eastAsia" w:ascii="宋体" w:hAnsi="宋体" w:eastAsia="宋体" w:cs="Times New Roman"/>
          <w:color w:val="auto"/>
          <w:sz w:val="24"/>
          <w:szCs w:val="24"/>
          <w:highlight w:val="none"/>
        </w:rPr>
      </w:pPr>
      <w:bookmarkStart w:id="1" w:name="_Toc17624"/>
      <w:r>
        <w:rPr>
          <w:rFonts w:hint="eastAsia" w:ascii="宋体" w:hAnsi="宋体" w:eastAsia="宋体" w:cs="Times New Roman"/>
          <w:color w:val="auto"/>
          <w:sz w:val="24"/>
          <w:szCs w:val="24"/>
          <w:highlight w:val="none"/>
          <w:lang w:val="en-US" w:eastAsia="zh-CN"/>
        </w:rPr>
        <w:t>监督单位：卢氏县政府采购办公室</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联系人：郭伟静</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电话：0398-7863556</w:t>
      </w:r>
    </w:p>
    <w:p>
      <w:pPr>
        <w:spacing w:line="5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地址：卢氏县城关镇解放路中段</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监督单位：三门峡市生态环境局卢氏分局</w:t>
      </w:r>
    </w:p>
    <w:p>
      <w:pPr>
        <w:spacing w:line="580" w:lineRule="exact"/>
        <w:ind w:firstLine="480" w:firstLineChars="20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联系人：马东良</w:t>
      </w:r>
    </w:p>
    <w:p>
      <w:pPr>
        <w:spacing w:line="580" w:lineRule="exact"/>
        <w:ind w:firstLine="480" w:firstLineChars="20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电话：17703986437</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地址：卢氏县莘源路西段</w:t>
      </w:r>
    </w:p>
    <w:p>
      <w:pPr>
        <w:spacing w:line="580" w:lineRule="exact"/>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采购人</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三门峡市生态环境局卢氏分局</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rPr>
        <w:t>联系人：</w:t>
      </w:r>
      <w:r>
        <w:rPr>
          <w:rFonts w:hint="eastAsia" w:ascii="宋体" w:hAnsi="宋体" w:eastAsia="宋体" w:cs="Times New Roman"/>
          <w:color w:val="auto"/>
          <w:sz w:val="24"/>
          <w:szCs w:val="24"/>
          <w:highlight w:val="none"/>
          <w:lang w:val="en-US" w:eastAsia="zh-CN"/>
        </w:rPr>
        <w:t>顾文辉</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rPr>
        <w:t>电话：</w:t>
      </w:r>
      <w:r>
        <w:rPr>
          <w:rFonts w:hint="eastAsia" w:ascii="宋体" w:hAnsi="宋体" w:eastAsia="宋体" w:cs="Times New Roman"/>
          <w:color w:val="auto"/>
          <w:sz w:val="24"/>
          <w:szCs w:val="24"/>
          <w:highlight w:val="none"/>
          <w:lang w:val="en-US" w:eastAsia="zh-CN"/>
        </w:rPr>
        <w:t>18239885655、0398-7873774</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rPr>
        <w:t>地址：</w:t>
      </w:r>
      <w:r>
        <w:rPr>
          <w:rFonts w:hint="eastAsia" w:ascii="宋体" w:hAnsi="宋体" w:eastAsia="宋体" w:cs="Times New Roman"/>
          <w:color w:val="auto"/>
          <w:sz w:val="24"/>
          <w:szCs w:val="24"/>
          <w:highlight w:val="none"/>
          <w:lang w:val="en-US" w:eastAsia="zh-CN"/>
        </w:rPr>
        <w:t>卢氏县莘源路西段</w:t>
      </w:r>
    </w:p>
    <w:p>
      <w:pPr>
        <w:spacing w:line="5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代理公司：河南洲禾建设工程有限公司</w:t>
      </w:r>
    </w:p>
    <w:p>
      <w:pPr>
        <w:spacing w:line="5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联系人：陈爱萍</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rPr>
        <w:t>联系电话：</w:t>
      </w:r>
      <w:r>
        <w:rPr>
          <w:rFonts w:hint="eastAsia" w:ascii="宋体" w:hAnsi="宋体" w:eastAsia="宋体" w:cs="Times New Roman"/>
          <w:color w:val="auto"/>
          <w:sz w:val="24"/>
          <w:szCs w:val="24"/>
          <w:highlight w:val="none"/>
          <w:lang w:val="en-US" w:eastAsia="zh-CN"/>
        </w:rPr>
        <w:t>18939075870、15839880880</w:t>
      </w:r>
    </w:p>
    <w:p>
      <w:pPr>
        <w:spacing w:line="5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地址：三门峡市商务中心区迎宾大道湖滨大厦A座2513室</w:t>
      </w:r>
    </w:p>
    <w:p>
      <w:pPr>
        <w:spacing w:line="580" w:lineRule="exact"/>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br w:type="page"/>
      </w:r>
    </w:p>
    <w:p>
      <w:pPr>
        <w:spacing w:line="360" w:lineRule="auto"/>
        <w:jc w:val="center"/>
        <w:outlineLvl w:val="0"/>
        <w:rPr>
          <w:rFonts w:ascii="Calibri" w:hAnsi="Calibri" w:eastAsia="宋体" w:cs="Times New Roman"/>
          <w:b/>
          <w:bCs/>
          <w:color w:val="auto"/>
          <w:kern w:val="44"/>
          <w:sz w:val="40"/>
          <w:highlight w:val="none"/>
        </w:rPr>
      </w:pPr>
      <w:r>
        <w:rPr>
          <w:rFonts w:hint="eastAsia" w:ascii="Calibri" w:hAnsi="Calibri" w:eastAsia="宋体" w:cs="Times New Roman"/>
          <w:b/>
          <w:bCs/>
          <w:color w:val="auto"/>
          <w:kern w:val="44"/>
          <w:sz w:val="40"/>
          <w:highlight w:val="none"/>
        </w:rPr>
        <w:t>第二章  供应商须知</w:t>
      </w:r>
      <w:bookmarkEnd w:id="1"/>
    </w:p>
    <w:p>
      <w:pPr>
        <w:spacing w:line="360" w:lineRule="auto"/>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供应商须知前附表</w:t>
      </w:r>
    </w:p>
    <w:p>
      <w:pPr>
        <w:rPr>
          <w:rFonts w:ascii="宋体" w:hAnsi="宋体" w:eastAsia="宋体" w:cs="宋体"/>
          <w:b/>
          <w:bCs/>
          <w:color w:val="auto"/>
          <w:sz w:val="24"/>
          <w:szCs w:val="24"/>
          <w:highlight w:val="none"/>
        </w:rPr>
      </w:pPr>
    </w:p>
    <w:tbl>
      <w:tblPr>
        <w:tblStyle w:val="35"/>
        <w:tblW w:w="9187" w:type="dxa"/>
        <w:jc w:val="center"/>
        <w:tblInd w:w="0" w:type="dxa"/>
        <w:tblLayout w:type="fixed"/>
        <w:tblCellMar>
          <w:top w:w="0" w:type="dxa"/>
          <w:left w:w="108" w:type="dxa"/>
          <w:bottom w:w="0" w:type="dxa"/>
          <w:right w:w="108" w:type="dxa"/>
        </w:tblCellMar>
      </w:tblPr>
      <w:tblGrid>
        <w:gridCol w:w="1010"/>
        <w:gridCol w:w="2178"/>
        <w:gridCol w:w="5999"/>
      </w:tblGrid>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条款号</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条款名称</w:t>
            </w:r>
          </w:p>
        </w:tc>
        <w:tc>
          <w:tcPr>
            <w:tcW w:w="5999"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编列内容</w:t>
            </w:r>
          </w:p>
        </w:tc>
      </w:tr>
      <w:tr>
        <w:tblPrEx>
          <w:tblLayout w:type="fixed"/>
          <w:tblCellMar>
            <w:top w:w="0" w:type="dxa"/>
            <w:left w:w="108" w:type="dxa"/>
            <w:bottom w:w="0" w:type="dxa"/>
            <w:right w:w="108" w:type="dxa"/>
          </w:tblCellMar>
        </w:tblPrEx>
        <w:trPr>
          <w:trHeight w:val="928" w:hRule="atLeast"/>
          <w:jc w:val="center"/>
        </w:trPr>
        <w:tc>
          <w:tcPr>
            <w:tcW w:w="1010" w:type="dxa"/>
            <w:tcBorders>
              <w:top w:val="nil"/>
              <w:left w:val="single" w:color="auto" w:sz="4" w:space="0"/>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2178" w:type="dxa"/>
            <w:tcBorders>
              <w:top w:val="nil"/>
              <w:left w:val="nil"/>
              <w:bottom w:val="single" w:color="auto" w:sz="4" w:space="0"/>
              <w:right w:val="single" w:color="auto" w:sz="4" w:space="0"/>
            </w:tcBorders>
            <w:vAlign w:val="center"/>
          </w:tcPr>
          <w:p>
            <w:pPr>
              <w:widowControl/>
              <w:spacing w:line="360" w:lineRule="auto"/>
              <w:jc w:val="center"/>
              <w:rPr>
                <w:rFonts w:hint="eastAsia" w:ascii="宋体" w:hAnsi="宋体" w:cs="Times New Roman"/>
                <w:color w:val="auto"/>
                <w:kern w:val="0"/>
                <w:sz w:val="24"/>
                <w:szCs w:val="24"/>
                <w:highlight w:val="none"/>
                <w:lang w:val="en-US" w:eastAsia="zh-CN"/>
              </w:rPr>
            </w:pPr>
            <w:r>
              <w:rPr>
                <w:rFonts w:hint="eastAsia" w:ascii="宋体" w:hAnsi="宋体" w:cs="Times New Roman"/>
                <w:color w:val="auto"/>
                <w:kern w:val="0"/>
                <w:sz w:val="24"/>
                <w:szCs w:val="24"/>
                <w:highlight w:val="none"/>
                <w:lang w:val="en-US" w:eastAsia="zh-CN"/>
              </w:rPr>
              <w:t>监督单位及</w:t>
            </w:r>
          </w:p>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Times New Roman"/>
                <w:color w:val="auto"/>
                <w:kern w:val="0"/>
                <w:sz w:val="24"/>
                <w:szCs w:val="24"/>
                <w:highlight w:val="none"/>
              </w:rPr>
              <w:t>采购人</w:t>
            </w:r>
          </w:p>
        </w:tc>
        <w:tc>
          <w:tcPr>
            <w:tcW w:w="5999" w:type="dxa"/>
            <w:tcBorders>
              <w:top w:val="single" w:color="auto" w:sz="4" w:space="0"/>
              <w:left w:val="nil"/>
              <w:bottom w:val="single" w:color="auto" w:sz="4" w:space="0"/>
              <w:right w:val="single" w:color="auto" w:sz="4" w:space="0"/>
            </w:tcBorders>
            <w:vAlign w:val="center"/>
          </w:tcPr>
          <w:p>
            <w:pPr>
              <w:spacing w:line="360" w:lineRule="auto"/>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监督单位：卢氏县政府采购办公室</w:t>
            </w:r>
          </w:p>
          <w:p>
            <w:pPr>
              <w:spacing w:line="360" w:lineRule="auto"/>
              <w:jc w:val="left"/>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联系人：郭伟静</w:t>
            </w:r>
          </w:p>
          <w:p>
            <w:pPr>
              <w:spacing w:line="360" w:lineRule="auto"/>
              <w:jc w:val="left"/>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电话：0398-7863556</w:t>
            </w:r>
          </w:p>
          <w:p>
            <w:pPr>
              <w:spacing w:line="360" w:lineRule="auto"/>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地址：卢氏县城关镇解放路中段</w:t>
            </w:r>
          </w:p>
          <w:p>
            <w:pPr>
              <w:spacing w:line="360" w:lineRule="auto"/>
              <w:jc w:val="left"/>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监督单位：三门峡市生态环境局卢氏分局</w:t>
            </w:r>
          </w:p>
          <w:p>
            <w:pPr>
              <w:spacing w:line="360" w:lineRule="auto"/>
              <w:jc w:val="left"/>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联系人：马东良</w:t>
            </w:r>
          </w:p>
          <w:p>
            <w:pPr>
              <w:spacing w:line="360" w:lineRule="auto"/>
              <w:jc w:val="left"/>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电话：17703986437</w:t>
            </w:r>
          </w:p>
          <w:p>
            <w:pPr>
              <w:spacing w:line="360" w:lineRule="auto"/>
              <w:jc w:val="left"/>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地址：卢氏县莘源路西段</w:t>
            </w:r>
          </w:p>
          <w:p>
            <w:pPr>
              <w:spacing w:line="360" w:lineRule="auto"/>
              <w:jc w:val="left"/>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采购人</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三门峡市生态环境局卢氏分局</w:t>
            </w:r>
          </w:p>
          <w:p>
            <w:pPr>
              <w:spacing w:line="360" w:lineRule="auto"/>
              <w:jc w:val="left"/>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rPr>
              <w:t>联系人：</w:t>
            </w:r>
            <w:r>
              <w:rPr>
                <w:rFonts w:hint="eastAsia" w:ascii="宋体" w:hAnsi="宋体" w:eastAsia="宋体" w:cs="Times New Roman"/>
                <w:color w:val="auto"/>
                <w:sz w:val="24"/>
                <w:szCs w:val="24"/>
                <w:highlight w:val="none"/>
                <w:lang w:val="en-US" w:eastAsia="zh-CN"/>
              </w:rPr>
              <w:t>顾文辉</w:t>
            </w:r>
          </w:p>
          <w:p>
            <w:pPr>
              <w:spacing w:line="360" w:lineRule="auto"/>
              <w:jc w:val="left"/>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rPr>
              <w:t>电话：</w:t>
            </w:r>
            <w:r>
              <w:rPr>
                <w:rFonts w:hint="eastAsia" w:ascii="宋体" w:hAnsi="宋体" w:eastAsia="宋体" w:cs="Times New Roman"/>
                <w:color w:val="auto"/>
                <w:sz w:val="24"/>
                <w:szCs w:val="24"/>
                <w:highlight w:val="none"/>
                <w:lang w:val="en-US" w:eastAsia="zh-CN"/>
              </w:rPr>
              <w:t>18239885655、0398-7873774</w:t>
            </w:r>
          </w:p>
          <w:p>
            <w:pPr>
              <w:spacing w:line="360" w:lineRule="auto"/>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地址：</w:t>
            </w:r>
            <w:r>
              <w:rPr>
                <w:rFonts w:hint="eastAsia" w:ascii="宋体" w:hAnsi="宋体" w:eastAsia="宋体" w:cs="Times New Roman"/>
                <w:color w:val="auto"/>
                <w:sz w:val="24"/>
                <w:szCs w:val="24"/>
                <w:highlight w:val="none"/>
                <w:lang w:val="en-US" w:eastAsia="zh-CN"/>
              </w:rPr>
              <w:t>卢氏县莘源路西段</w:t>
            </w:r>
          </w:p>
        </w:tc>
      </w:tr>
      <w:tr>
        <w:tblPrEx>
          <w:tblLayout w:type="fixed"/>
          <w:tblCellMar>
            <w:top w:w="0" w:type="dxa"/>
            <w:left w:w="108" w:type="dxa"/>
            <w:bottom w:w="0" w:type="dxa"/>
            <w:right w:w="108" w:type="dxa"/>
          </w:tblCellMar>
        </w:tblPrEx>
        <w:trPr>
          <w:trHeight w:val="1840" w:hRule="atLeast"/>
          <w:jc w:val="center"/>
        </w:trPr>
        <w:tc>
          <w:tcPr>
            <w:tcW w:w="1010" w:type="dxa"/>
            <w:tcBorders>
              <w:top w:val="nil"/>
              <w:left w:val="single" w:color="auto" w:sz="4" w:space="0"/>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2178" w:type="dxa"/>
            <w:tcBorders>
              <w:top w:val="nil"/>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采购代理机构</w:t>
            </w:r>
          </w:p>
        </w:tc>
        <w:tc>
          <w:tcPr>
            <w:tcW w:w="5999" w:type="dxa"/>
            <w:tcBorders>
              <w:top w:val="single" w:color="auto" w:sz="4" w:space="0"/>
              <w:left w:val="nil"/>
              <w:bottom w:val="single" w:color="auto" w:sz="4" w:space="0"/>
              <w:right w:val="single" w:color="auto" w:sz="4" w:space="0"/>
            </w:tcBorders>
            <w:vAlign w:val="center"/>
          </w:tcPr>
          <w:p>
            <w:pPr>
              <w:spacing w:line="46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代理公司：河南洲禾建设工程有限公司</w:t>
            </w:r>
          </w:p>
          <w:p>
            <w:pPr>
              <w:spacing w:line="46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联系人：陈爱萍</w:t>
            </w:r>
          </w:p>
          <w:p>
            <w:pPr>
              <w:spacing w:line="46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联系电话：15839880880</w:t>
            </w:r>
          </w:p>
          <w:p>
            <w:pPr>
              <w:spacing w:line="46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地址：三门峡市商务中心区迎宾大道湖滨大厦A座2513室</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项目名称</w:t>
            </w:r>
          </w:p>
        </w:tc>
        <w:tc>
          <w:tcPr>
            <w:tcW w:w="5999" w:type="dxa"/>
            <w:tcBorders>
              <w:top w:val="single" w:color="auto" w:sz="4" w:space="0"/>
              <w:left w:val="nil"/>
              <w:bottom w:val="single" w:color="auto" w:sz="4" w:space="0"/>
              <w:right w:val="single" w:color="auto" w:sz="4" w:space="0"/>
            </w:tcBorders>
            <w:vAlign w:val="center"/>
          </w:tcPr>
          <w:p>
            <w:pPr>
              <w:spacing w:line="460" w:lineRule="exac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eastAsia="zh-CN"/>
              </w:rPr>
              <w:t xml:space="preserve"> 卢氏县污染地块土壤污染状况详细补充调查和风险评估项目</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项目编号</w:t>
            </w:r>
          </w:p>
        </w:tc>
        <w:tc>
          <w:tcPr>
            <w:tcW w:w="5999" w:type="dxa"/>
            <w:tcBorders>
              <w:top w:val="single" w:color="auto" w:sz="4" w:space="0"/>
              <w:left w:val="nil"/>
              <w:bottom w:val="single" w:color="auto" w:sz="4" w:space="0"/>
              <w:right w:val="single" w:color="auto" w:sz="4" w:space="0"/>
            </w:tcBorders>
            <w:vAlign w:val="center"/>
          </w:tcPr>
          <w:p>
            <w:pPr>
              <w:spacing w:line="460" w:lineRule="exact"/>
              <w:rPr>
                <w:rFonts w:hint="default" w:ascii="宋体" w:hAnsi="宋体" w:eastAsia="宋体" w:cs="宋体"/>
                <w:color w:val="auto"/>
                <w:sz w:val="24"/>
                <w:szCs w:val="24"/>
                <w:highlight w:val="none"/>
                <w:lang w:val="en-US"/>
              </w:rPr>
            </w:pPr>
            <w:r>
              <w:rPr>
                <w:rFonts w:hint="default" w:ascii="宋体" w:hAnsi="宋体" w:eastAsia="宋体" w:cs="宋体"/>
                <w:color w:val="auto"/>
                <w:sz w:val="24"/>
                <w:szCs w:val="24"/>
                <w:highlight w:val="none"/>
                <w:lang w:val="en-US" w:eastAsia="zh-CN"/>
              </w:rPr>
              <w:t>三卢公开采购-2025-87、LSGZ[2025]362-ZC213</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资金来源</w:t>
            </w:r>
          </w:p>
        </w:tc>
        <w:tc>
          <w:tcPr>
            <w:tcW w:w="5999" w:type="dxa"/>
            <w:tcBorders>
              <w:top w:val="single" w:color="auto" w:sz="4" w:space="0"/>
              <w:left w:val="nil"/>
              <w:bottom w:val="single" w:color="auto" w:sz="4" w:space="0"/>
              <w:right w:val="single" w:color="auto" w:sz="4" w:space="0"/>
            </w:tcBorders>
            <w:vAlign w:val="center"/>
          </w:tcPr>
          <w:p>
            <w:pPr>
              <w:spacing w:line="46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财政资金</w:t>
            </w:r>
            <w:r>
              <w:rPr>
                <w:rFonts w:hint="eastAsia" w:ascii="宋体" w:hAnsi="宋体" w:eastAsia="宋体" w:cs="宋体"/>
                <w:color w:val="auto"/>
                <w:sz w:val="24"/>
                <w:szCs w:val="24"/>
                <w:highlight w:val="none"/>
              </w:rPr>
              <w:t>，已落实</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服务</w:t>
            </w:r>
            <w:r>
              <w:rPr>
                <w:rFonts w:hint="eastAsia" w:ascii="宋体" w:hAnsi="宋体" w:eastAsia="宋体" w:cs="宋体"/>
                <w:color w:val="auto"/>
                <w:kern w:val="0"/>
                <w:sz w:val="24"/>
                <w:szCs w:val="24"/>
                <w:highlight w:val="none"/>
              </w:rPr>
              <w:t>内容</w:t>
            </w:r>
          </w:p>
        </w:tc>
        <w:tc>
          <w:tcPr>
            <w:tcW w:w="5999" w:type="dxa"/>
            <w:tcBorders>
              <w:top w:val="single" w:color="auto" w:sz="4" w:space="0"/>
              <w:left w:val="nil"/>
              <w:bottom w:val="single" w:color="auto" w:sz="4" w:space="0"/>
              <w:right w:val="single" w:color="auto" w:sz="4" w:space="0"/>
            </w:tcBorders>
            <w:vAlign w:val="center"/>
          </w:tcPr>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对卢氏县9个地块进行土壤污染状况详细补充调查及风险评估，开展场地补充调查、样品采集与检测以及成果编制等工作。查明调查范围内污染物的污染程度及范围；开展基于保护规划用地方式下人体、生态环境、地下水等敏感受体的风险评估，筛选出高风险的污染物，计算关注污染物不同规划用地方式下的风险控制值，并结合相关标准确定地块修复目标值，为地块后期风险管控或修复治理及安全合理开发提供科学依据与技术支撑。</w:t>
            </w:r>
          </w:p>
        </w:tc>
      </w:tr>
      <w:tr>
        <w:tblPrEx>
          <w:tblLayout w:type="fixed"/>
          <w:tblCellMar>
            <w:top w:w="0" w:type="dxa"/>
            <w:left w:w="108" w:type="dxa"/>
            <w:bottom w:w="0" w:type="dxa"/>
            <w:right w:w="108" w:type="dxa"/>
          </w:tblCellMar>
        </w:tblPrEx>
        <w:trPr>
          <w:trHeight w:val="563" w:hRule="atLeast"/>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240"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w:t>
            </w:r>
          </w:p>
        </w:tc>
        <w:tc>
          <w:tcPr>
            <w:tcW w:w="2178" w:type="dxa"/>
            <w:tcBorders>
              <w:top w:val="single" w:color="auto" w:sz="4" w:space="0"/>
              <w:left w:val="nil"/>
              <w:bottom w:val="single" w:color="auto" w:sz="4" w:space="0"/>
              <w:right w:val="single" w:color="auto" w:sz="4" w:space="0"/>
            </w:tcBorders>
            <w:vAlign w:val="center"/>
          </w:tcPr>
          <w:p>
            <w:pPr>
              <w:keepLines/>
              <w:spacing w:line="240" w:lineRule="atLeas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服务期限</w:t>
            </w:r>
          </w:p>
        </w:tc>
        <w:tc>
          <w:tcPr>
            <w:tcW w:w="5999" w:type="dxa"/>
            <w:tcBorders>
              <w:top w:val="single" w:color="auto" w:sz="4" w:space="0"/>
              <w:left w:val="nil"/>
              <w:bottom w:val="single" w:color="auto" w:sz="4" w:space="0"/>
              <w:right w:val="single" w:color="auto" w:sz="4" w:space="0"/>
            </w:tcBorders>
            <w:vAlign w:val="center"/>
          </w:tcPr>
          <w:p>
            <w:pPr>
              <w:spacing w:line="460" w:lineRule="exact"/>
              <w:ind w:firstLine="720" w:firstLineChars="3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1年</w:t>
            </w:r>
          </w:p>
        </w:tc>
      </w:tr>
      <w:tr>
        <w:tblPrEx>
          <w:tblLayout w:type="fixed"/>
          <w:tblCellMar>
            <w:top w:w="0" w:type="dxa"/>
            <w:left w:w="108" w:type="dxa"/>
            <w:bottom w:w="0" w:type="dxa"/>
            <w:right w:w="108" w:type="dxa"/>
          </w:tblCellMar>
        </w:tblPrEx>
        <w:trPr>
          <w:trHeight w:val="563" w:hRule="atLeast"/>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240"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w:t>
            </w:r>
          </w:p>
        </w:tc>
        <w:tc>
          <w:tcPr>
            <w:tcW w:w="2178" w:type="dxa"/>
            <w:tcBorders>
              <w:top w:val="single" w:color="auto" w:sz="4" w:space="0"/>
              <w:left w:val="nil"/>
              <w:bottom w:val="single" w:color="auto" w:sz="4" w:space="0"/>
              <w:right w:val="single" w:color="auto" w:sz="4" w:space="0"/>
            </w:tcBorders>
            <w:vAlign w:val="center"/>
          </w:tcPr>
          <w:p>
            <w:pPr>
              <w:keepLines/>
              <w:spacing w:line="240" w:lineRule="atLeast"/>
              <w:jc w:val="center"/>
              <w:rPr>
                <w:rFonts w:ascii="宋体" w:hAnsi="宋体" w:eastAsia="宋体" w:cs="宋体"/>
                <w:color w:val="auto"/>
                <w:sz w:val="24"/>
                <w:szCs w:val="24"/>
                <w:highlight w:val="none"/>
              </w:rPr>
            </w:pPr>
            <w:r>
              <w:rPr>
                <w:rFonts w:hint="eastAsia" w:ascii="宋体" w:hAnsi="宋体"/>
                <w:color w:val="auto"/>
                <w:sz w:val="24"/>
                <w:szCs w:val="24"/>
                <w:highlight w:val="none"/>
                <w:lang w:val="en-US" w:eastAsia="zh-CN"/>
              </w:rPr>
              <w:t>行业分类</w:t>
            </w:r>
          </w:p>
        </w:tc>
        <w:tc>
          <w:tcPr>
            <w:tcW w:w="5999" w:type="dxa"/>
            <w:tcBorders>
              <w:top w:val="single" w:color="auto" w:sz="4" w:space="0"/>
              <w:left w:val="nil"/>
              <w:bottom w:val="single" w:color="auto" w:sz="4" w:space="0"/>
              <w:right w:val="single" w:color="auto" w:sz="4" w:space="0"/>
            </w:tcBorders>
            <w:vAlign w:val="center"/>
          </w:tcPr>
          <w:p>
            <w:pPr>
              <w:spacing w:line="400" w:lineRule="exact"/>
              <w:rPr>
                <w:rFonts w:hint="eastAsia" w:ascii="宋体" w:hAnsi="宋体"/>
                <w:color w:val="auto"/>
                <w:sz w:val="24"/>
                <w:szCs w:val="24"/>
                <w:highlight w:val="none"/>
                <w:lang w:eastAsia="zh-CN"/>
              </w:rPr>
            </w:pPr>
            <w:r>
              <w:rPr>
                <w:rFonts w:hint="eastAsia" w:ascii="宋体" w:hAnsi="宋体"/>
                <w:color w:val="auto"/>
                <w:sz w:val="24"/>
                <w:szCs w:val="24"/>
                <w:highlight w:val="none"/>
              </w:rPr>
              <w:t>本项目为</w:t>
            </w:r>
            <w:r>
              <w:rPr>
                <w:rFonts w:hint="eastAsia" w:ascii="宋体" w:hAnsi="宋体"/>
                <w:color w:val="auto"/>
                <w:sz w:val="24"/>
                <w:szCs w:val="24"/>
                <w:highlight w:val="none"/>
                <w:lang w:eastAsia="zh-CN"/>
              </w:rPr>
              <w:t>：土壤污染状况详细补充调查和风险评估项目</w:t>
            </w:r>
          </w:p>
          <w:p>
            <w:pPr>
              <w:spacing w:line="400" w:lineRule="exact"/>
              <w:rPr>
                <w:rFonts w:ascii="宋体" w:hAnsi="宋体"/>
                <w:color w:val="auto"/>
                <w:sz w:val="24"/>
                <w:szCs w:val="24"/>
                <w:highlight w:val="none"/>
              </w:rPr>
            </w:pPr>
            <w:r>
              <w:rPr>
                <w:rFonts w:hint="eastAsia" w:ascii="宋体" w:hAnsi="宋体"/>
                <w:color w:val="auto"/>
                <w:sz w:val="24"/>
                <w:szCs w:val="24"/>
                <w:highlight w:val="none"/>
              </w:rPr>
              <w:t>采购标的所属行业：</w:t>
            </w:r>
            <w:r>
              <w:rPr>
                <w:rFonts w:ascii="宋体" w:hAnsi="宋体" w:eastAsia="宋体" w:cs="宋体"/>
                <w:color w:val="auto"/>
                <w:sz w:val="24"/>
                <w:szCs w:val="24"/>
                <w:highlight w:val="none"/>
              </w:rPr>
              <w:t xml:space="preserve">:其他未列明行业(包括科学研究和技术服务业，水 利、环境和公共设施管理业，居民服务、修理和其他服务业，社会工 作，文化、体育和娱乐业等) </w:t>
            </w:r>
          </w:p>
          <w:p>
            <w:pPr>
              <w:spacing w:line="360" w:lineRule="auto"/>
              <w:rPr>
                <w:rFonts w:ascii="宋体" w:hAnsi="宋体" w:eastAsia="宋体" w:cs="Times New Roman"/>
                <w:color w:val="auto"/>
                <w:sz w:val="24"/>
                <w:szCs w:val="24"/>
                <w:highlight w:val="none"/>
              </w:rPr>
            </w:pPr>
            <w:r>
              <w:rPr>
                <w:rFonts w:hint="eastAsia" w:ascii="宋体" w:hAnsi="宋体"/>
                <w:color w:val="auto"/>
                <w:sz w:val="24"/>
                <w:szCs w:val="24"/>
                <w:highlight w:val="none"/>
              </w:rPr>
              <w:t>划定标准为：《工业和信息化部、国家统计局、国家发展和改革委员会、财政部关于印发&lt;中小企业划型标准规定的通知&gt;（工信部联企业〔2011〕300号）规定的划分标准为依据。</w:t>
            </w:r>
          </w:p>
        </w:tc>
      </w:tr>
      <w:tr>
        <w:tblPrEx>
          <w:tblLayout w:type="fixed"/>
          <w:tblCellMar>
            <w:top w:w="0" w:type="dxa"/>
            <w:left w:w="108" w:type="dxa"/>
            <w:bottom w:w="0" w:type="dxa"/>
            <w:right w:w="108" w:type="dxa"/>
          </w:tblCellMar>
        </w:tblPrEx>
        <w:trPr>
          <w:trHeight w:val="593" w:hRule="atLeast"/>
          <w:jc w:val="center"/>
        </w:trPr>
        <w:tc>
          <w:tcPr>
            <w:tcW w:w="1010" w:type="dxa"/>
            <w:tcBorders>
              <w:top w:val="nil"/>
              <w:left w:val="single" w:color="auto" w:sz="4" w:space="0"/>
              <w:bottom w:val="single" w:color="auto" w:sz="4" w:space="0"/>
              <w:right w:val="single" w:color="auto" w:sz="4" w:space="0"/>
            </w:tcBorders>
            <w:vAlign w:val="center"/>
          </w:tcPr>
          <w:p>
            <w:pPr>
              <w:keepLines/>
              <w:spacing w:line="240" w:lineRule="atLeast"/>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1.9</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质量要求</w:t>
            </w:r>
          </w:p>
        </w:tc>
        <w:tc>
          <w:tcPr>
            <w:tcW w:w="5999" w:type="dxa"/>
            <w:tcBorders>
              <w:top w:val="single" w:color="auto" w:sz="4" w:space="0"/>
              <w:left w:val="nil"/>
              <w:bottom w:val="single" w:color="auto" w:sz="4" w:space="0"/>
              <w:right w:val="single" w:color="auto" w:sz="4" w:space="0"/>
            </w:tcBorders>
            <w:vAlign w:val="center"/>
          </w:tcPr>
          <w:p>
            <w:pPr>
              <w:spacing w:line="46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符合国家及行业相关规定要求</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供应商的资质、能力和应具备条件</w:t>
            </w:r>
          </w:p>
        </w:tc>
        <w:tc>
          <w:tcPr>
            <w:tcW w:w="5999" w:type="dxa"/>
            <w:tcBorders>
              <w:top w:val="single" w:color="auto" w:sz="4" w:space="0"/>
              <w:left w:val="nil"/>
              <w:bottom w:val="single" w:color="auto" w:sz="4" w:space="0"/>
              <w:right w:val="single" w:color="auto" w:sz="4" w:space="0"/>
            </w:tcBorders>
            <w:vAlign w:val="center"/>
          </w:tcPr>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投标供应商参加本次政府采购活动必须符合《中华人民共和国政府采购法》第二十二条的规定并同时具备下列条件：</w:t>
            </w:r>
          </w:p>
          <w:p>
            <w:pPr>
              <w:spacing w:line="580" w:lineRule="exact"/>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rPr>
              <w:t>1、在中华人民共和国境内注册的能够独立承担民事责任，具有有效的营业执照、税务登记证、组织机构代码证(或“三证合一”的营业执照)</w:t>
            </w:r>
            <w:r>
              <w:rPr>
                <w:rFonts w:hint="eastAsia" w:ascii="宋体" w:hAnsi="宋体" w:eastAsia="宋体" w:cs="Times New Roman"/>
                <w:color w:val="auto"/>
                <w:sz w:val="24"/>
                <w:szCs w:val="24"/>
                <w:highlight w:val="none"/>
                <w:lang w:val="en-US" w:eastAsia="zh-CN"/>
              </w:rPr>
              <w:t>或</w:t>
            </w:r>
            <w:r>
              <w:rPr>
                <w:rFonts w:hint="eastAsia" w:ascii="宋体" w:hAnsi="宋体" w:eastAsia="宋体" w:cs="Times New Roman"/>
                <w:color w:val="auto"/>
                <w:sz w:val="24"/>
                <w:szCs w:val="24"/>
                <w:highlight w:val="none"/>
              </w:rPr>
              <w:t>事业单位法人证书</w:t>
            </w:r>
            <w:r>
              <w:rPr>
                <w:rFonts w:hint="eastAsia" w:ascii="宋体" w:hAnsi="宋体" w:eastAsia="宋体" w:cs="Times New Roman"/>
                <w:color w:val="auto"/>
                <w:sz w:val="24"/>
                <w:szCs w:val="24"/>
                <w:highlight w:val="none"/>
                <w:lang w:eastAsia="zh-CN"/>
              </w:rPr>
              <w:t>；</w:t>
            </w:r>
          </w:p>
          <w:p>
            <w:pPr>
              <w:spacing w:line="580" w:lineRule="exact"/>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供应商提供2025年以来任意三个月企业依法缴纳税收证明材料或承诺书(注:依法免税的，应提供税务部门出具的依法免税证明材料)</w:t>
            </w:r>
            <w:r>
              <w:rPr>
                <w:rFonts w:hint="eastAsia" w:ascii="宋体" w:hAnsi="宋体" w:eastAsia="宋体" w:cs="Times New Roman"/>
                <w:color w:val="auto"/>
                <w:sz w:val="24"/>
                <w:szCs w:val="24"/>
                <w:highlight w:val="none"/>
                <w:lang w:eastAsia="zh-CN"/>
              </w:rPr>
              <w:t>，新成立企业从成立之日起计算；</w:t>
            </w:r>
            <w:r>
              <w:rPr>
                <w:rFonts w:hint="eastAsia" w:ascii="宋体" w:hAnsi="宋体" w:eastAsia="宋体" w:cs="Times New Roman"/>
                <w:color w:val="auto"/>
                <w:sz w:val="24"/>
                <w:szCs w:val="24"/>
                <w:highlight w:val="none"/>
                <w:lang w:val="en-US" w:eastAsia="zh-CN"/>
              </w:rPr>
              <w:t>拟派项目负责人依法缴纳社保或承诺书、身份证等证明材料;</w:t>
            </w:r>
          </w:p>
          <w:p>
            <w:pPr>
              <w:spacing w:line="580" w:lineRule="exact"/>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3</w:t>
            </w:r>
            <w:r>
              <w:rPr>
                <w:rFonts w:hint="eastAsia" w:ascii="宋体" w:hAnsi="宋体" w:eastAsia="宋体" w:cs="Times New Roman"/>
                <w:color w:val="auto"/>
                <w:sz w:val="24"/>
                <w:szCs w:val="24"/>
                <w:highlight w:val="none"/>
                <w:lang w:eastAsia="zh-CN"/>
              </w:rPr>
              <w:t>、具有履行合同所必需的设备和专业技术能力（提供承诺书，格式自拟）；</w:t>
            </w:r>
          </w:p>
          <w:p>
            <w:pPr>
              <w:spacing w:line="580" w:lineRule="exact"/>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lang w:eastAsia="zh-CN"/>
              </w:rPr>
              <w:t>、参加政府采购活动前3年内无骗取中标、严重违约及重大工程质量等问题；</w:t>
            </w:r>
          </w:p>
          <w:p>
            <w:pPr>
              <w:spacing w:line="580" w:lineRule="exact"/>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5、</w:t>
            </w:r>
            <w:r>
              <w:rPr>
                <w:rFonts w:hint="eastAsia" w:ascii="宋体" w:hAnsi="宋体" w:eastAsia="宋体" w:cs="Times New Roman"/>
                <w:color w:val="auto"/>
                <w:sz w:val="24"/>
                <w:szCs w:val="24"/>
                <w:highlight w:val="none"/>
                <w:lang w:eastAsia="zh-CN"/>
              </w:rPr>
              <w:t>开标时提供在中国裁判文书网自行查询的“企业无行贿犯罪记录”查询结果或自行承诺（查询对象：企业、法定代表人）和工商部门出具的无商业贿赂和不正当竞争证明，若当地工商部门不出具此证明，企业自行出具无商业贿赂和不正当竞争行为承诺书；</w:t>
            </w:r>
          </w:p>
          <w:p>
            <w:pPr>
              <w:spacing w:line="580" w:lineRule="exact"/>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lang w:eastAsia="zh-CN"/>
              </w:rPr>
              <w:t>、根据《关于在政府采购活动中查询及使用信用记录有关问题的通知》（财库【2016】125号）和豫财购【2016】15号的规定，对列入失信被执行人、</w:t>
            </w:r>
            <w:r>
              <w:rPr>
                <w:rFonts w:hint="eastAsia" w:ascii="宋体" w:hAnsi="宋体" w:eastAsia="宋体" w:cs="Times New Roman"/>
                <w:color w:val="auto"/>
                <w:sz w:val="24"/>
                <w:szCs w:val="24"/>
                <w:highlight w:val="none"/>
                <w:lang w:val="en-US" w:eastAsia="zh-CN"/>
              </w:rPr>
              <w:t>重大税收违法失信主体</w:t>
            </w:r>
            <w:r>
              <w:rPr>
                <w:rFonts w:hint="eastAsia" w:ascii="宋体" w:hAnsi="宋体" w:eastAsia="宋体" w:cs="Times New Roman"/>
                <w:color w:val="auto"/>
                <w:sz w:val="24"/>
                <w:szCs w:val="24"/>
                <w:highlight w:val="none"/>
                <w:lang w:eastAsia="zh-CN"/>
              </w:rPr>
              <w:t>、“政府采购严重违法失信行为记录名单”的供应商，拒绝参与本项目采购活动，查询渠道：“信用中国”网站（www.creditchina.gov.cn）信用服务中的失信被执行人、政府采购严重违法失信行为记录名单、</w:t>
            </w:r>
            <w:r>
              <w:rPr>
                <w:rFonts w:hint="eastAsia" w:ascii="宋体" w:hAnsi="宋体" w:eastAsia="宋体" w:cs="Times New Roman"/>
                <w:color w:val="auto"/>
                <w:sz w:val="24"/>
                <w:szCs w:val="24"/>
                <w:highlight w:val="none"/>
                <w:lang w:val="en-US" w:eastAsia="zh-CN"/>
              </w:rPr>
              <w:t>重大税收违法失信主体</w:t>
            </w:r>
            <w:r>
              <w:rPr>
                <w:rFonts w:hint="eastAsia" w:ascii="宋体" w:hAnsi="宋体" w:eastAsia="宋体" w:cs="Times New Roman"/>
                <w:color w:val="auto"/>
                <w:sz w:val="24"/>
                <w:szCs w:val="24"/>
                <w:highlight w:val="none"/>
                <w:lang w:eastAsia="zh-CN"/>
              </w:rPr>
              <w:t>，中国政府采购网（www.ccgp.gov.cn）的政府采购严重违法失信行为记录名单，附本公司在“信用中国”网站和“中国政府采购网”网站上的查询记录并加盖公章，查询时间为自公告发布之日起至</w:t>
            </w:r>
            <w:r>
              <w:rPr>
                <w:rFonts w:hint="eastAsia" w:ascii="宋体" w:hAnsi="宋体" w:eastAsia="宋体" w:cs="Times New Roman"/>
                <w:color w:val="auto"/>
                <w:sz w:val="24"/>
                <w:szCs w:val="24"/>
                <w:highlight w:val="none"/>
                <w:lang w:val="en-US" w:eastAsia="zh-CN"/>
              </w:rPr>
              <w:t>开标</w:t>
            </w:r>
            <w:r>
              <w:rPr>
                <w:rFonts w:hint="eastAsia" w:ascii="宋体" w:hAnsi="宋体" w:eastAsia="宋体" w:cs="Times New Roman"/>
                <w:color w:val="auto"/>
                <w:sz w:val="24"/>
                <w:szCs w:val="24"/>
                <w:highlight w:val="none"/>
                <w:lang w:eastAsia="zh-CN"/>
              </w:rPr>
              <w:t>截止时间前）注:信用中国应处于网址过度期，查询过程中可能会出现法院系统界面。</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7、本次招标接受联合体投标，联合体投标，应满足以下要求：</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1）联合体成员不超过2家（含联合体牵头人）；</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2）若联合体投标成员参与投标时，联合体牵头人及联合体成员需满足上述供应商资格要求1-6项；</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3）联合体各方应签订联合体协议书明确各方权利义务；</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4）联合体各方签订共同投标协议后，联合体各方不得再以自己名义单独（或与其他单位组成新的联合体）参与同一标段下的投标；</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5）联合体中标后联合体各方应当共同与采购人签订合同，为履行合同向招标人承担连带责任；</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6）联合体的牵头人应被授权作为联合体各方的代表，承担责任和接受指令；</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7）获取招标文件时，应以联合体牵头人的名义获取，并以联合体牵头人的名义递交响应文件；联合体牵头人法定代表人或其授权代表负责签署本次投标相关资料，其他联合体成员必须予以认可。</w:t>
            </w:r>
          </w:p>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8</w:t>
            </w:r>
            <w:r>
              <w:rPr>
                <w:rFonts w:hint="eastAsia" w:ascii="宋体" w:hAnsi="宋体" w:eastAsia="宋体" w:cs="Times New Roman"/>
                <w:color w:val="auto"/>
                <w:sz w:val="24"/>
                <w:szCs w:val="24"/>
                <w:highlight w:val="none"/>
              </w:rPr>
              <w:t>、本次招标实行资格后审。</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踏勘现场</w:t>
            </w:r>
          </w:p>
        </w:tc>
        <w:tc>
          <w:tcPr>
            <w:tcW w:w="5999" w:type="dxa"/>
            <w:tcBorders>
              <w:top w:val="single" w:color="auto" w:sz="4" w:space="0"/>
              <w:left w:val="nil"/>
              <w:bottom w:val="single" w:color="auto" w:sz="4" w:space="0"/>
              <w:right w:val="single" w:color="auto" w:sz="4" w:space="0"/>
            </w:tcBorders>
            <w:vAlign w:val="center"/>
          </w:tcPr>
          <w:p>
            <w:pPr>
              <w:spacing w:line="46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不组织</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2.2</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投标预备会</w:t>
            </w:r>
          </w:p>
        </w:tc>
        <w:tc>
          <w:tcPr>
            <w:tcW w:w="5999" w:type="dxa"/>
            <w:tcBorders>
              <w:top w:val="single" w:color="auto" w:sz="4" w:space="0"/>
              <w:left w:val="nil"/>
              <w:bottom w:val="single" w:color="auto" w:sz="4" w:space="0"/>
              <w:right w:val="single" w:color="auto" w:sz="4" w:space="0"/>
            </w:tcBorders>
            <w:vAlign w:val="center"/>
          </w:tcPr>
          <w:p>
            <w:pPr>
              <w:spacing w:line="46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不召开</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2.3</w:t>
            </w:r>
          </w:p>
        </w:tc>
        <w:tc>
          <w:tcPr>
            <w:tcW w:w="2178" w:type="dxa"/>
            <w:tcBorders>
              <w:top w:val="single" w:color="auto" w:sz="4" w:space="0"/>
              <w:left w:val="nil"/>
              <w:bottom w:val="single" w:color="auto" w:sz="4" w:space="0"/>
              <w:right w:val="single" w:color="auto" w:sz="4" w:space="0"/>
            </w:tcBorders>
            <w:vAlign w:val="center"/>
          </w:tcPr>
          <w:p>
            <w:pPr>
              <w:keepLines/>
              <w:spacing w:line="460" w:lineRule="exact"/>
              <w:jc w:val="center"/>
              <w:rPr>
                <w:rFonts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rPr>
              <w:t>询问和质疑</w:t>
            </w:r>
          </w:p>
        </w:tc>
        <w:tc>
          <w:tcPr>
            <w:tcW w:w="5999" w:type="dxa"/>
            <w:tcBorders>
              <w:top w:val="single" w:color="auto" w:sz="4" w:space="0"/>
              <w:left w:val="nil"/>
              <w:bottom w:val="single" w:color="auto" w:sz="4" w:space="0"/>
              <w:right w:val="single" w:color="auto" w:sz="4" w:space="0"/>
            </w:tcBorders>
            <w:vAlign w:val="center"/>
          </w:tcPr>
          <w:p>
            <w:pPr>
              <w:spacing w:line="46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如对招标文件有异议的，应在本项目报名截止之日起3日内，向采购人或采购代理机构书面提出，否则，将被视为认可本招标文件所有内容。供应商认为采购过程和中标结果使自己的权益受到损害的，可以在知道或者应知其权益受到损害之日起七个工作日内，以书面形式向采购人或采购代理机构提出质疑，采购</w:t>
            </w:r>
            <w:r>
              <w:rPr>
                <w:rFonts w:ascii="宋体" w:hAnsi="宋体" w:eastAsia="宋体" w:cs="宋体"/>
                <w:color w:val="auto"/>
                <w:sz w:val="24"/>
                <w:szCs w:val="24"/>
                <w:highlight w:val="none"/>
              </w:rPr>
              <w:t>文件中针对同一采购程序环节的质疑</w:t>
            </w:r>
            <w:r>
              <w:rPr>
                <w:rFonts w:hint="eastAsia" w:ascii="宋体" w:hAnsi="宋体" w:eastAsia="宋体" w:cs="宋体"/>
                <w:color w:val="auto"/>
                <w:sz w:val="24"/>
                <w:szCs w:val="24"/>
                <w:highlight w:val="none"/>
              </w:rPr>
              <w:t>应</w:t>
            </w:r>
            <w:r>
              <w:rPr>
                <w:rFonts w:ascii="宋体" w:hAnsi="宋体" w:eastAsia="宋体" w:cs="宋体"/>
                <w:color w:val="auto"/>
                <w:sz w:val="24"/>
                <w:szCs w:val="24"/>
                <w:highlight w:val="none"/>
              </w:rPr>
              <w:t>一次性提出。</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2.4</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采购人书面澄清</w:t>
            </w:r>
          </w:p>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的时间</w:t>
            </w:r>
          </w:p>
        </w:tc>
        <w:tc>
          <w:tcPr>
            <w:tcW w:w="5999" w:type="dxa"/>
            <w:tcBorders>
              <w:top w:val="single" w:color="auto" w:sz="4" w:space="0"/>
              <w:left w:val="nil"/>
              <w:bottom w:val="single" w:color="auto" w:sz="4" w:space="0"/>
              <w:right w:val="single" w:color="auto" w:sz="4" w:space="0"/>
            </w:tcBorders>
            <w:vAlign w:val="center"/>
          </w:tcPr>
          <w:p>
            <w:pPr>
              <w:spacing w:line="46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投标截止15日前。</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投标截止时间</w:t>
            </w:r>
          </w:p>
        </w:tc>
        <w:tc>
          <w:tcPr>
            <w:tcW w:w="5999" w:type="dxa"/>
            <w:tcBorders>
              <w:top w:val="single" w:color="auto" w:sz="4" w:space="0"/>
              <w:left w:val="nil"/>
              <w:bottom w:val="single" w:color="auto" w:sz="4" w:space="0"/>
              <w:right w:val="single" w:color="auto" w:sz="4" w:space="0"/>
            </w:tcBorders>
            <w:vAlign w:val="center"/>
          </w:tcPr>
          <w:p>
            <w:pPr>
              <w:spacing w:line="460" w:lineRule="exact"/>
              <w:rPr>
                <w:rFonts w:ascii="宋体" w:hAnsi="宋体" w:eastAsia="宋体" w:cs="宋体"/>
                <w:color w:val="auto"/>
                <w:sz w:val="24"/>
                <w:szCs w:val="24"/>
                <w:highlight w:val="none"/>
              </w:rPr>
            </w:pPr>
            <w:r>
              <w:rPr>
                <w:rFonts w:hint="eastAsia" w:ascii="宋体" w:hAnsi="宋体" w:eastAsia="宋体" w:cs="Times New Roman"/>
                <w:color w:val="auto"/>
                <w:sz w:val="24"/>
                <w:szCs w:val="24"/>
                <w:highlight w:val="none"/>
              </w:rPr>
              <w:t>202</w:t>
            </w: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lang w:val="en-US" w:eastAsia="zh-CN"/>
              </w:rPr>
              <w:t>01</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lang w:val="en-US" w:eastAsia="zh-CN"/>
              </w:rPr>
              <w:t>14</w:t>
            </w:r>
            <w:r>
              <w:rPr>
                <w:rFonts w:hint="eastAsia" w:ascii="宋体" w:hAnsi="宋体" w:eastAsia="宋体" w:cs="Times New Roman"/>
                <w:color w:val="auto"/>
                <w:sz w:val="24"/>
                <w:szCs w:val="24"/>
                <w:highlight w:val="none"/>
              </w:rPr>
              <w:t>日08时</w:t>
            </w: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rPr>
              <w:t>0分</w:t>
            </w:r>
            <w:r>
              <w:rPr>
                <w:rFonts w:hint="eastAsia" w:ascii="宋体" w:hAnsi="宋体" w:eastAsia="宋体" w:cs="宋体"/>
                <w:color w:val="auto"/>
                <w:sz w:val="24"/>
                <w:szCs w:val="24"/>
                <w:highlight w:val="none"/>
              </w:rPr>
              <w:t>。</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2.6</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投标有效期</w:t>
            </w:r>
          </w:p>
        </w:tc>
        <w:tc>
          <w:tcPr>
            <w:tcW w:w="5999" w:type="dxa"/>
            <w:tcBorders>
              <w:top w:val="single" w:color="auto" w:sz="4" w:space="0"/>
              <w:left w:val="nil"/>
              <w:bottom w:val="single" w:color="auto" w:sz="4" w:space="0"/>
              <w:right w:val="single" w:color="auto" w:sz="4" w:space="0"/>
            </w:tcBorders>
            <w:vAlign w:val="center"/>
          </w:tcPr>
          <w:p>
            <w:pPr>
              <w:spacing w:line="46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ascii="宋体" w:hAnsi="宋体" w:eastAsia="宋体" w:cs="宋体"/>
                <w:color w:val="auto"/>
                <w:sz w:val="24"/>
                <w:szCs w:val="24"/>
                <w:highlight w:val="none"/>
              </w:rPr>
              <w:t>0</w:t>
            </w:r>
            <w:r>
              <w:rPr>
                <w:rFonts w:hint="eastAsia" w:ascii="宋体" w:hAnsi="宋体" w:eastAsia="宋体" w:cs="宋体"/>
                <w:color w:val="auto"/>
                <w:sz w:val="24"/>
                <w:szCs w:val="24"/>
                <w:highlight w:val="none"/>
              </w:rPr>
              <w:t>日历</w:t>
            </w:r>
            <w:r>
              <w:rPr>
                <w:rFonts w:ascii="宋体" w:hAnsi="宋体" w:eastAsia="宋体" w:cs="宋体"/>
                <w:color w:val="auto"/>
                <w:sz w:val="24"/>
                <w:szCs w:val="24"/>
                <w:highlight w:val="none"/>
              </w:rPr>
              <w:t>天</w:t>
            </w:r>
          </w:p>
        </w:tc>
      </w:tr>
      <w:tr>
        <w:tblPrEx>
          <w:tblLayout w:type="fixed"/>
          <w:tblCellMar>
            <w:top w:w="0" w:type="dxa"/>
            <w:left w:w="108" w:type="dxa"/>
            <w:bottom w:w="0" w:type="dxa"/>
            <w:right w:w="108" w:type="dxa"/>
          </w:tblCellMar>
        </w:tblPrEx>
        <w:trPr>
          <w:trHeight w:val="1095" w:hRule="atLeast"/>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2.7</w:t>
            </w:r>
          </w:p>
        </w:tc>
        <w:tc>
          <w:tcPr>
            <w:tcW w:w="217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近年完成的类似项目</w:t>
            </w:r>
            <w:r>
              <w:rPr>
                <w:rFonts w:hint="eastAsia" w:ascii="宋体" w:hAnsi="宋体" w:eastAsia="宋体" w:cs="宋体"/>
                <w:color w:val="auto"/>
                <w:sz w:val="24"/>
                <w:szCs w:val="24"/>
                <w:highlight w:val="none"/>
                <w:lang w:val="en-US" w:eastAsia="zh-CN"/>
              </w:rPr>
              <w:t>业绩</w:t>
            </w:r>
            <w:r>
              <w:rPr>
                <w:rFonts w:hint="eastAsia" w:ascii="宋体" w:hAnsi="宋体" w:eastAsia="宋体" w:cs="宋体"/>
                <w:color w:val="auto"/>
                <w:sz w:val="24"/>
                <w:szCs w:val="24"/>
                <w:highlight w:val="none"/>
              </w:rPr>
              <w:t>的年份要求</w:t>
            </w:r>
          </w:p>
        </w:tc>
        <w:tc>
          <w:tcPr>
            <w:tcW w:w="5999" w:type="dxa"/>
            <w:tcBorders>
              <w:top w:val="single" w:color="auto" w:sz="4" w:space="0"/>
              <w:left w:val="nil"/>
              <w:bottom w:val="single" w:color="auto" w:sz="4" w:space="0"/>
              <w:right w:val="single" w:color="auto" w:sz="4" w:space="0"/>
            </w:tcBorders>
            <w:vAlign w:val="center"/>
          </w:tcPr>
          <w:p>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年1月1日以来</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2.8</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签字或盖章</w:t>
            </w:r>
          </w:p>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要求</w:t>
            </w:r>
          </w:p>
        </w:tc>
        <w:tc>
          <w:tcPr>
            <w:tcW w:w="5999"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1、招标文件中要求法定代表人或授权委托人签字、盖章或签章的，供应商在进行电子化投标文件签章时，以签盖法定代表人电子签章为准。</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2、招标文件中要求加盖单位公章的，供应商在进行电子化投标文件盖章时，以加盖供应商的电子印章为准。</w:t>
            </w:r>
          </w:p>
          <w:p>
            <w:pPr>
              <w:spacing w:line="360" w:lineRule="auto"/>
              <w:rPr>
                <w:color w:val="auto"/>
                <w:highlight w:val="none"/>
              </w:rPr>
            </w:pPr>
            <w:r>
              <w:rPr>
                <w:rFonts w:hint="eastAsia" w:ascii="宋体" w:hAnsi="宋体" w:eastAsia="宋体" w:cs="宋体"/>
                <w:color w:val="auto"/>
                <w:sz w:val="24"/>
                <w:szCs w:val="24"/>
                <w:highlight w:val="none"/>
                <w:lang w:val="en-US" w:eastAsia="zh-CN"/>
              </w:rPr>
              <w:t>3、若为联合体投标的，投标文件格式涉及的投标文件封面、投标函、投标报价一览表、法定代表人身份证明书、授权委托书加盖投标供应商的电子印章，指的是联合体牵头人电子印章。</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2.9</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电子化投标文件上传</w:t>
            </w:r>
          </w:p>
        </w:tc>
        <w:tc>
          <w:tcPr>
            <w:tcW w:w="5999" w:type="dxa"/>
            <w:tcBorders>
              <w:top w:val="single" w:color="auto" w:sz="4" w:space="0"/>
              <w:left w:val="nil"/>
              <w:bottom w:val="single" w:color="auto" w:sz="4" w:space="0"/>
              <w:right w:val="single" w:color="auto" w:sz="4" w:space="0"/>
            </w:tcBorders>
            <w:vAlign w:val="center"/>
          </w:tcPr>
          <w:p>
            <w:pPr>
              <w:snapToGrid w:val="0"/>
              <w:spacing w:line="460" w:lineRule="atLeas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所上传的电子化投标文件，应是通过中心投标文件制作系统制作的（投标文件制作工具下载地址：http://t.cn/A6ZvtVob），经过签章和加密后生成的电子版投标文件。其中包含用于投标文件上传的主文件（后缀为.smxtf）和用于应急补救的投标文件备份文件（后缀为.nsmxtf）。</w:t>
            </w:r>
          </w:p>
          <w:p>
            <w:pPr>
              <w:snapToGrid w:val="0"/>
              <w:spacing w:line="460" w:lineRule="atLeas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2、电子化投标文件应在投标截止时间前成功上传至三门峡市公共资源电子化交易系统。至投标截止时间止，仍未上传成功的电子化投标文件将不予接收。</w:t>
            </w:r>
          </w:p>
          <w:p>
            <w:pPr>
              <w:keepLines/>
              <w:spacing w:line="360" w:lineRule="auto"/>
              <w:ind w:firstLine="240" w:firstLineChars="1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如按照电子化投标操作教材制作完成的电子化投标文件无法上传的，供应商应在投标截止时间前尽早的联系中心技术人员，以便有充分的时间进行处理。供应商应充分考虑到处理技术问题和上传数据等工作所需的时间问题，投标文件未在投标截止时间前成功上传的，其投标文件不予接收。</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0</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开标时间和</w:t>
            </w:r>
          </w:p>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地点</w:t>
            </w:r>
          </w:p>
        </w:tc>
        <w:tc>
          <w:tcPr>
            <w:tcW w:w="5999" w:type="dxa"/>
            <w:tcBorders>
              <w:top w:val="single" w:color="auto" w:sz="4" w:space="0"/>
              <w:left w:val="nil"/>
              <w:bottom w:val="single" w:color="auto" w:sz="4" w:space="0"/>
              <w:right w:val="single" w:color="auto" w:sz="4" w:space="0"/>
            </w:tcBorders>
            <w:vAlign w:val="center"/>
          </w:tcPr>
          <w:p>
            <w:pPr>
              <w:spacing w:line="46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开标时间：</w:t>
            </w:r>
            <w:r>
              <w:rPr>
                <w:rFonts w:hint="eastAsia" w:ascii="宋体" w:hAnsi="宋体" w:eastAsia="宋体" w:cs="Times New Roman"/>
                <w:color w:val="auto"/>
                <w:sz w:val="24"/>
                <w:szCs w:val="24"/>
                <w:highlight w:val="none"/>
              </w:rPr>
              <w:t>202</w:t>
            </w: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lang w:val="en-US" w:eastAsia="zh-CN"/>
              </w:rPr>
              <w:t>01</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lang w:val="en-US" w:eastAsia="zh-CN"/>
              </w:rPr>
              <w:t>14</w:t>
            </w:r>
            <w:r>
              <w:rPr>
                <w:rFonts w:hint="eastAsia" w:ascii="宋体" w:hAnsi="宋体" w:eastAsia="宋体" w:cs="Times New Roman"/>
                <w:color w:val="auto"/>
                <w:sz w:val="24"/>
                <w:szCs w:val="24"/>
                <w:highlight w:val="none"/>
              </w:rPr>
              <w:t>日08时</w:t>
            </w: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rPr>
              <w:t>0分</w:t>
            </w:r>
            <w:r>
              <w:rPr>
                <w:rFonts w:hint="eastAsia" w:ascii="宋体" w:hAnsi="宋体" w:eastAsia="宋体" w:cs="宋体"/>
                <w:color w:val="auto"/>
                <w:sz w:val="24"/>
                <w:szCs w:val="24"/>
                <w:highlight w:val="none"/>
              </w:rPr>
              <w:t>。</w:t>
            </w:r>
          </w:p>
          <w:p>
            <w:pPr>
              <w:spacing w:line="460" w:lineRule="exact"/>
              <w:rPr>
                <w:rFonts w:ascii="宋体" w:hAnsi="宋体" w:eastAsia="宋体" w:cs="宋体"/>
                <w:color w:val="auto"/>
                <w:kern w:val="0"/>
                <w:sz w:val="24"/>
                <w:szCs w:val="24"/>
                <w:highlight w:val="none"/>
              </w:rPr>
            </w:pPr>
            <w:r>
              <w:rPr>
                <w:rFonts w:hint="eastAsia" w:ascii="宋体" w:hAnsi="宋体" w:eastAsia="宋体" w:cs="Times New Roman"/>
                <w:color w:val="auto"/>
                <w:sz w:val="24"/>
                <w:szCs w:val="24"/>
                <w:highlight w:val="none"/>
              </w:rPr>
              <w:t>开标地点：卢氏县公共资源交易中心</w:t>
            </w:r>
            <w:r>
              <w:rPr>
                <w:rFonts w:hint="eastAsia" w:ascii="宋体" w:hAnsi="宋体" w:eastAsia="宋体" w:cs="Times New Roman"/>
                <w:color w:val="auto"/>
                <w:sz w:val="24"/>
                <w:szCs w:val="24"/>
                <w:highlight w:val="none"/>
                <w:lang w:val="en-US" w:eastAsia="zh-CN"/>
              </w:rPr>
              <w:t>四楼</w:t>
            </w:r>
            <w:r>
              <w:rPr>
                <w:rFonts w:hint="eastAsia" w:ascii="宋体" w:hAnsi="宋体" w:eastAsia="宋体" w:cs="Times New Roman"/>
                <w:color w:val="auto"/>
                <w:sz w:val="24"/>
                <w:szCs w:val="24"/>
                <w:highlight w:val="none"/>
              </w:rPr>
              <w:t>第二开标室</w:t>
            </w:r>
            <w:r>
              <w:rPr>
                <w:rFonts w:hint="eastAsia" w:ascii="宋体" w:hAnsi="宋体" w:eastAsia="宋体" w:cs="宋体"/>
                <w:color w:val="auto"/>
                <w:kern w:val="0"/>
                <w:sz w:val="24"/>
                <w:szCs w:val="24"/>
                <w:highlight w:val="none"/>
              </w:rPr>
              <w:t>。</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1</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开标顺序</w:t>
            </w:r>
          </w:p>
        </w:tc>
        <w:tc>
          <w:tcPr>
            <w:tcW w:w="5999" w:type="dxa"/>
            <w:tcBorders>
              <w:top w:val="single" w:color="auto" w:sz="4" w:space="0"/>
              <w:left w:val="nil"/>
              <w:bottom w:val="single" w:color="auto" w:sz="4" w:space="0"/>
              <w:right w:val="single" w:color="auto" w:sz="4" w:space="0"/>
            </w:tcBorders>
            <w:vAlign w:val="center"/>
          </w:tcPr>
          <w:p>
            <w:pPr>
              <w:keepLines/>
              <w:spacing w:line="360" w:lineRule="auto"/>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按</w:t>
            </w:r>
            <w:r>
              <w:rPr>
                <w:rFonts w:hint="eastAsia" w:ascii="宋体" w:hAnsi="宋体" w:eastAsia="宋体" w:cs="宋体"/>
                <w:color w:val="auto"/>
                <w:sz w:val="24"/>
                <w:szCs w:val="24"/>
                <w:highlight w:val="none"/>
              </w:rPr>
              <w:t>电子化</w:t>
            </w:r>
            <w:r>
              <w:rPr>
                <w:rFonts w:hint="eastAsia" w:ascii="宋体" w:hAnsi="宋体" w:eastAsia="宋体" w:cs="宋体"/>
                <w:color w:val="auto"/>
                <w:kern w:val="0"/>
                <w:sz w:val="24"/>
                <w:szCs w:val="24"/>
                <w:highlight w:val="none"/>
              </w:rPr>
              <w:t>投标文件上传的先后时间顺序开标。</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2</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评标委员会</w:t>
            </w:r>
          </w:p>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的组建</w:t>
            </w:r>
          </w:p>
        </w:tc>
        <w:tc>
          <w:tcPr>
            <w:tcW w:w="5999" w:type="dxa"/>
            <w:tcBorders>
              <w:top w:val="single" w:color="auto" w:sz="4" w:space="0"/>
              <w:left w:val="nil"/>
              <w:bottom w:val="single" w:color="auto" w:sz="4" w:space="0"/>
              <w:right w:val="single" w:color="auto" w:sz="4" w:space="0"/>
            </w:tcBorders>
            <w:vAlign w:val="center"/>
          </w:tcPr>
          <w:p>
            <w:pPr>
              <w:keepLines/>
              <w:spacing w:line="360" w:lineRule="auto"/>
              <w:jc w:val="left"/>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评标委员会成员为5人，采购人代表1人，评审专家4人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专家库中随机抽取。</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3</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是否授权评标委员会确定中标供应商</w:t>
            </w:r>
          </w:p>
        </w:tc>
        <w:tc>
          <w:tcPr>
            <w:tcW w:w="5999" w:type="dxa"/>
            <w:tcBorders>
              <w:top w:val="single" w:color="auto" w:sz="4" w:space="0"/>
              <w:left w:val="nil"/>
              <w:bottom w:val="single" w:color="auto" w:sz="4" w:space="0"/>
              <w:right w:val="single" w:color="auto" w:sz="4" w:space="0"/>
            </w:tcBorders>
            <w:vAlign w:val="center"/>
          </w:tcPr>
          <w:p>
            <w:pPr>
              <w:keepLines/>
              <w:spacing w:line="360" w:lineRule="auto"/>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否，</w:t>
            </w:r>
            <w:r>
              <w:rPr>
                <w:rFonts w:ascii="宋体" w:hAnsi="宋体" w:eastAsia="宋体" w:cs="宋体"/>
                <w:color w:val="auto"/>
                <w:kern w:val="0"/>
                <w:sz w:val="24"/>
                <w:szCs w:val="24"/>
                <w:highlight w:val="none"/>
              </w:rPr>
              <w:t>推荐三家</w:t>
            </w:r>
            <w:r>
              <w:rPr>
                <w:rFonts w:hint="eastAsia" w:ascii="宋体" w:hAnsi="宋体" w:eastAsia="宋体" w:cs="宋体"/>
                <w:color w:val="auto"/>
                <w:kern w:val="0"/>
                <w:sz w:val="24"/>
                <w:szCs w:val="24"/>
                <w:highlight w:val="none"/>
              </w:rPr>
              <w:t>。</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4</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付款方式</w:t>
            </w:r>
          </w:p>
        </w:tc>
        <w:tc>
          <w:tcPr>
            <w:tcW w:w="5999" w:type="dxa"/>
            <w:tcBorders>
              <w:top w:val="single" w:color="auto" w:sz="4" w:space="0"/>
              <w:left w:val="nil"/>
              <w:bottom w:val="single" w:color="auto" w:sz="4" w:space="0"/>
              <w:right w:val="single" w:color="auto" w:sz="4" w:space="0"/>
            </w:tcBorders>
            <w:vAlign w:val="center"/>
          </w:tcPr>
          <w:p>
            <w:pPr>
              <w:keepLines/>
              <w:spacing w:line="360" w:lineRule="auto"/>
              <w:jc w:val="left"/>
              <w:rPr>
                <w:rFonts w:ascii="宋体" w:hAnsi="宋体" w:eastAsia="宋体" w:cs="宋体"/>
                <w:color w:val="auto"/>
                <w:kern w:val="0"/>
                <w:sz w:val="24"/>
                <w:szCs w:val="24"/>
                <w:highlight w:val="none"/>
              </w:rPr>
            </w:pPr>
            <w:r>
              <w:rPr>
                <w:rFonts w:hint="eastAsia" w:ascii="宋体" w:hAnsi="宋体" w:eastAsia="宋体" w:cs="宋体"/>
                <w:color w:val="auto"/>
                <w:spacing w:val="6"/>
                <w:kern w:val="2"/>
                <w:sz w:val="24"/>
                <w:szCs w:val="24"/>
                <w:highlight w:val="none"/>
                <w:lang w:eastAsia="zh-CN"/>
              </w:rPr>
              <w:t>以《中华人民共和国</w:t>
            </w:r>
            <w:r>
              <w:rPr>
                <w:rFonts w:hint="eastAsia" w:ascii="宋体" w:hAnsi="宋体" w:eastAsia="宋体" w:cs="宋体"/>
                <w:color w:val="auto"/>
                <w:spacing w:val="6"/>
                <w:kern w:val="2"/>
                <w:sz w:val="24"/>
                <w:szCs w:val="24"/>
                <w:highlight w:val="none"/>
                <w:lang w:val="en-US" w:eastAsia="zh-CN"/>
              </w:rPr>
              <w:t>民法典</w:t>
            </w:r>
            <w:r>
              <w:rPr>
                <w:rFonts w:hint="eastAsia" w:ascii="宋体" w:hAnsi="宋体" w:eastAsia="宋体" w:cs="宋体"/>
                <w:color w:val="auto"/>
                <w:spacing w:val="6"/>
                <w:kern w:val="2"/>
                <w:sz w:val="24"/>
                <w:szCs w:val="24"/>
                <w:highlight w:val="none"/>
                <w:lang w:eastAsia="zh-CN"/>
              </w:rPr>
              <w:t>》等相关法律法规为准，甲乙双方协定。</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5</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p>
            <w:pPr>
              <w:keepLines/>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及质量保证金</w:t>
            </w:r>
          </w:p>
        </w:tc>
        <w:tc>
          <w:tcPr>
            <w:tcW w:w="5999" w:type="dxa"/>
            <w:tcBorders>
              <w:top w:val="single" w:color="auto" w:sz="4" w:space="0"/>
              <w:left w:val="nil"/>
              <w:bottom w:val="single" w:color="auto" w:sz="4" w:space="0"/>
              <w:right w:val="single" w:color="auto" w:sz="4" w:space="0"/>
            </w:tcBorders>
            <w:vAlign w:val="center"/>
          </w:tcPr>
          <w:p>
            <w:pPr>
              <w:spacing w:line="46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无</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6</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无效标条件</w:t>
            </w:r>
          </w:p>
        </w:tc>
        <w:tc>
          <w:tcPr>
            <w:tcW w:w="5999" w:type="dxa"/>
            <w:tcBorders>
              <w:top w:val="single" w:color="auto" w:sz="4" w:space="0"/>
              <w:left w:val="nil"/>
              <w:bottom w:val="single" w:color="auto" w:sz="4" w:space="0"/>
              <w:right w:val="single" w:color="auto" w:sz="4" w:space="0"/>
            </w:tcBorders>
            <w:vAlign w:val="center"/>
          </w:tcPr>
          <w:p>
            <w:pPr>
              <w:spacing w:line="46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（1）电子化投标文件附有采购人不能接受的条件的；</w:t>
            </w:r>
          </w:p>
          <w:p>
            <w:pPr>
              <w:spacing w:line="46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（2）投标报价高于招标文件中采购预算的；</w:t>
            </w:r>
          </w:p>
          <w:p>
            <w:pPr>
              <w:spacing w:line="46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（3）以他人的名义投标、串通投标、以行贿手段谋取中标或者以其他弄虚作假方式投标的；</w:t>
            </w:r>
          </w:p>
          <w:p>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（4）采取不正当手段谋取中标的。</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7</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sz w:val="24"/>
                <w:szCs w:val="21"/>
                <w:highlight w:val="none"/>
              </w:rPr>
              <w:t>招标文件费及招标</w:t>
            </w:r>
            <w:r>
              <w:rPr>
                <w:rFonts w:hint="eastAsia" w:ascii="宋体" w:hAnsi="宋体" w:eastAsia="宋体" w:cs="宋体"/>
                <w:color w:val="auto"/>
                <w:kern w:val="0"/>
                <w:sz w:val="24"/>
                <w:szCs w:val="24"/>
                <w:highlight w:val="none"/>
              </w:rPr>
              <w:t>代理费</w:t>
            </w:r>
          </w:p>
        </w:tc>
        <w:tc>
          <w:tcPr>
            <w:tcW w:w="5999" w:type="dxa"/>
            <w:tcBorders>
              <w:top w:val="single" w:color="auto" w:sz="4" w:space="0"/>
              <w:left w:val="nil"/>
              <w:bottom w:val="single" w:color="auto" w:sz="4" w:space="0"/>
              <w:right w:val="single" w:color="auto" w:sz="4" w:space="0"/>
            </w:tcBorders>
            <w:vAlign w:val="center"/>
          </w:tcPr>
          <w:p>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、本项目为全电子招标，不在收取招标文件费。</w:t>
            </w:r>
          </w:p>
          <w:p>
            <w:pPr>
              <w:spacing w:line="360" w:lineRule="auto"/>
              <w:jc w:val="both"/>
              <w:rPr>
                <w:rFonts w:hint="eastAsia" w:ascii="宋体" w:hAnsi="宋体" w:cs="宋体"/>
                <w:color w:val="auto"/>
                <w:spacing w:val="6"/>
                <w:kern w:val="2"/>
                <w:sz w:val="24"/>
                <w:szCs w:val="24"/>
                <w:highlight w:val="none"/>
                <w:lang w:val="en-US" w:eastAsia="zh-CN"/>
              </w:rPr>
            </w:pPr>
            <w:r>
              <w:rPr>
                <w:rFonts w:hint="eastAsia" w:ascii="宋体" w:hAnsi="宋体" w:eastAsia="宋体" w:cs="宋体"/>
                <w:color w:val="auto"/>
                <w:sz w:val="24"/>
                <w:szCs w:val="24"/>
                <w:highlight w:val="none"/>
              </w:rPr>
              <w:t>2、招标代理服务收费参照豫招协[2023]002号河南省招标投标协会关于印发《河南省招标代理服务收费指导意见》规定的收费标准收取中标服务费，</w:t>
            </w:r>
            <w:r>
              <w:rPr>
                <w:rFonts w:hint="eastAsia" w:ascii="宋体" w:hAnsi="宋体" w:cs="宋体"/>
                <w:color w:val="auto"/>
                <w:spacing w:val="6"/>
                <w:kern w:val="2"/>
                <w:sz w:val="24"/>
                <w:szCs w:val="24"/>
                <w:highlight w:val="none"/>
                <w:lang w:val="en-US" w:eastAsia="en-US"/>
              </w:rPr>
              <w:t>领取</w:t>
            </w:r>
            <w:r>
              <w:rPr>
                <w:rFonts w:hint="eastAsia" w:ascii="宋体" w:hAnsi="宋体" w:cs="宋体"/>
                <w:color w:val="auto"/>
                <w:spacing w:val="6"/>
                <w:kern w:val="2"/>
                <w:sz w:val="24"/>
                <w:szCs w:val="24"/>
                <w:highlight w:val="none"/>
                <w:lang w:val="en-US" w:eastAsia="zh-CN"/>
              </w:rPr>
              <w:t>中标</w:t>
            </w:r>
            <w:r>
              <w:rPr>
                <w:rFonts w:hint="eastAsia" w:ascii="宋体" w:hAnsi="宋体" w:cs="宋体"/>
                <w:color w:val="auto"/>
                <w:spacing w:val="6"/>
                <w:kern w:val="2"/>
                <w:sz w:val="24"/>
                <w:szCs w:val="24"/>
                <w:highlight w:val="none"/>
                <w:lang w:val="en-US" w:eastAsia="en-US"/>
              </w:rPr>
              <w:t>通知书时</w:t>
            </w:r>
            <w:r>
              <w:rPr>
                <w:rFonts w:hint="eastAsia" w:ascii="宋体" w:hAnsi="宋体" w:cs="宋体"/>
                <w:color w:val="auto"/>
                <w:spacing w:val="6"/>
                <w:kern w:val="2"/>
                <w:sz w:val="24"/>
                <w:szCs w:val="24"/>
                <w:highlight w:val="none"/>
                <w:lang w:val="en-US" w:eastAsia="zh-CN"/>
              </w:rPr>
              <w:t>由中标人</w:t>
            </w:r>
            <w:r>
              <w:rPr>
                <w:rFonts w:hint="eastAsia" w:ascii="宋体" w:hAnsi="宋体" w:cs="宋体"/>
                <w:color w:val="auto"/>
                <w:spacing w:val="6"/>
                <w:kern w:val="2"/>
                <w:sz w:val="24"/>
                <w:szCs w:val="24"/>
                <w:highlight w:val="none"/>
                <w:lang w:val="en-US" w:eastAsia="en-US"/>
              </w:rPr>
              <w:t>一次性支付</w:t>
            </w:r>
            <w:r>
              <w:rPr>
                <w:rFonts w:hint="eastAsia" w:ascii="宋体" w:hAnsi="宋体" w:cs="宋体"/>
                <w:color w:val="auto"/>
                <w:spacing w:val="6"/>
                <w:kern w:val="2"/>
                <w:sz w:val="24"/>
                <w:szCs w:val="24"/>
                <w:highlight w:val="none"/>
              </w:rPr>
              <w:t>。</w:t>
            </w:r>
            <w:r>
              <w:rPr>
                <w:rFonts w:hint="eastAsia" w:ascii="宋体" w:hAnsi="宋体" w:cs="宋体"/>
                <w:color w:val="auto"/>
                <w:spacing w:val="6"/>
                <w:kern w:val="2"/>
                <w:sz w:val="24"/>
                <w:szCs w:val="24"/>
                <w:highlight w:val="none"/>
                <w:lang w:val="en-US" w:eastAsia="zh-CN"/>
              </w:rPr>
              <w:t>（按照100万元以下1.7%，100-500万元1.2%）</w:t>
            </w:r>
          </w:p>
          <w:p>
            <w:pPr>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cs="宋体"/>
                <w:color w:val="auto"/>
                <w:spacing w:val="6"/>
                <w:kern w:val="2"/>
                <w:sz w:val="24"/>
                <w:szCs w:val="24"/>
                <w:highlight w:val="none"/>
                <w:lang w:val="en-US" w:eastAsia="zh-CN"/>
              </w:rPr>
              <w:t>2.招标代理服务收费按差额定率累进法计算。</w:t>
            </w:r>
          </w:p>
          <w:p>
            <w:pPr>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cs="宋体"/>
                <w:color w:val="auto"/>
                <w:spacing w:val="6"/>
                <w:kern w:val="2"/>
                <w:sz w:val="24"/>
                <w:szCs w:val="24"/>
                <w:highlight w:val="none"/>
                <w:lang w:val="en-US" w:eastAsia="zh-CN"/>
              </w:rPr>
              <w:t>3、支付方</w:t>
            </w:r>
            <w:r>
              <w:rPr>
                <w:rFonts w:hint="eastAsia" w:ascii="宋体" w:hAnsi="宋体" w:eastAsia="宋体" w:cs="宋体"/>
                <w:color w:val="auto"/>
                <w:sz w:val="24"/>
                <w:szCs w:val="24"/>
                <w:highlight w:val="none"/>
                <w:lang w:val="en-US" w:eastAsia="zh-CN"/>
              </w:rPr>
              <w:t>式通过对公转账</w:t>
            </w:r>
          </w:p>
          <w:p>
            <w:pPr>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纳税名称：河南洲禾建设工程有限公司</w:t>
            </w:r>
          </w:p>
          <w:p>
            <w:pPr>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纳税人识别号：91411200MA9G707X09 </w:t>
            </w:r>
          </w:p>
          <w:p>
            <w:pPr>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地址：河南省三门峡市商务中心区湖滨大厦A座2513室 </w:t>
            </w:r>
          </w:p>
          <w:p>
            <w:pPr>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电话：15839880880</w:t>
            </w:r>
          </w:p>
          <w:p>
            <w:pPr>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开户行及账号：中原银行股份有限公司三门峡东风市场支行</w:t>
            </w:r>
          </w:p>
          <w:p>
            <w:pPr>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账户号码：411214010180025002</w:t>
            </w:r>
          </w:p>
          <w:p>
            <w:pPr>
              <w:spacing w:line="360" w:lineRule="auto"/>
              <w:jc w:val="both"/>
              <w:rPr>
                <w:color w:val="auto"/>
                <w:highlight w:val="none"/>
              </w:rPr>
            </w:pPr>
            <w:r>
              <w:rPr>
                <w:rFonts w:hint="eastAsia" w:ascii="宋体" w:hAnsi="宋体" w:eastAsia="宋体" w:cs="宋体"/>
                <w:color w:val="auto"/>
                <w:sz w:val="24"/>
                <w:szCs w:val="24"/>
                <w:highlight w:val="none"/>
                <w:lang w:val="en-US" w:eastAsia="zh-CN"/>
              </w:rPr>
              <w:t>4、中标</w:t>
            </w:r>
            <w:r>
              <w:rPr>
                <w:rFonts w:hint="eastAsia" w:ascii="宋体" w:hAnsi="宋体" w:eastAsia="宋体" w:cs="宋体"/>
                <w:color w:val="auto"/>
                <w:sz w:val="24"/>
                <w:szCs w:val="24"/>
                <w:highlight w:val="none"/>
                <w:lang w:val="en-US" w:eastAsia="en-US"/>
              </w:rPr>
              <w:t>供应商在领取中标通知书时，须提供</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en-US" w:eastAsia="en-US"/>
              </w:rPr>
              <w:t>文件（上传稿）纸质资料两套，需加盖单位公章，胶装成册。</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8</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采购预算</w:t>
            </w:r>
          </w:p>
        </w:tc>
        <w:tc>
          <w:tcPr>
            <w:tcW w:w="5999" w:type="dxa"/>
            <w:tcBorders>
              <w:top w:val="single" w:color="auto" w:sz="4" w:space="0"/>
              <w:left w:val="nil"/>
              <w:bottom w:val="single" w:color="auto" w:sz="4" w:space="0"/>
              <w:right w:val="single" w:color="auto" w:sz="4" w:space="0"/>
            </w:tcBorders>
            <w:vAlign w:val="center"/>
          </w:tcPr>
          <w:p>
            <w:pPr>
              <w:keepLines/>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本项目采购预算金额:</w:t>
            </w:r>
            <w:r>
              <w:rPr>
                <w:rFonts w:hint="eastAsia" w:ascii="宋体" w:hAnsi="宋体" w:eastAsia="宋体" w:cs="宋体"/>
                <w:color w:val="auto"/>
                <w:sz w:val="24"/>
                <w:szCs w:val="24"/>
                <w:highlight w:val="none"/>
                <w:lang w:val="en-US" w:eastAsia="zh-CN"/>
              </w:rPr>
              <w:t>2916382.00</w:t>
            </w:r>
            <w:r>
              <w:rPr>
                <w:rFonts w:hint="eastAsia" w:ascii="宋体" w:hAnsi="宋体" w:eastAsia="宋体" w:cs="宋体"/>
                <w:color w:val="auto"/>
                <w:sz w:val="24"/>
                <w:szCs w:val="24"/>
                <w:highlight w:val="none"/>
              </w:rPr>
              <w:t>元</w:t>
            </w:r>
          </w:p>
          <w:p>
            <w:pPr>
              <w:keepLines/>
              <w:spacing w:line="360" w:lineRule="auto"/>
              <w:rPr>
                <w:rFonts w:ascii="宋体" w:hAnsi="宋体" w:eastAsia="宋体" w:cs="宋体"/>
                <w:color w:val="auto"/>
                <w:sz w:val="24"/>
                <w:szCs w:val="24"/>
                <w:highlight w:val="none"/>
              </w:rPr>
            </w:pPr>
            <w:r>
              <w:rPr>
                <w:rFonts w:ascii="宋体" w:hAnsi="宋体" w:eastAsia="宋体" w:cs="Times New Roman"/>
                <w:color w:val="auto"/>
                <w:sz w:val="24"/>
                <w:szCs w:val="24"/>
                <w:highlight w:val="none"/>
              </w:rPr>
              <w:t>预算金额为约束供应商报价的上限，超过预算金额的报价将被拒绝。</w:t>
            </w:r>
          </w:p>
        </w:tc>
      </w:tr>
      <w:tr>
        <w:tblPrEx>
          <w:tblLayout w:type="fixed"/>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pPr>
              <w:keepLines/>
              <w:spacing w:line="360" w:lineRule="auto"/>
              <w:ind w:firstLine="120" w:firstLineChars="50"/>
              <w:jc w:val="left"/>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4.0</w:t>
            </w:r>
          </w:p>
        </w:tc>
        <w:tc>
          <w:tcPr>
            <w:tcW w:w="2178" w:type="dxa"/>
            <w:tcBorders>
              <w:top w:val="single" w:color="auto" w:sz="4" w:space="0"/>
              <w:left w:val="nil"/>
              <w:bottom w:val="single" w:color="auto" w:sz="4" w:space="0"/>
              <w:right w:val="single" w:color="auto" w:sz="4" w:space="0"/>
            </w:tcBorders>
            <w:vAlign w:val="center"/>
          </w:tcPr>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电子化交易</w:t>
            </w:r>
          </w:p>
          <w:p>
            <w:pPr>
              <w:keepLines/>
              <w:spacing w:line="360" w:lineRule="auto"/>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注意事项</w:t>
            </w:r>
          </w:p>
        </w:tc>
        <w:tc>
          <w:tcPr>
            <w:tcW w:w="5999" w:type="dxa"/>
            <w:tcBorders>
              <w:top w:val="single" w:color="auto" w:sz="4" w:space="0"/>
              <w:left w:val="nil"/>
              <w:bottom w:val="single" w:color="auto" w:sz="4" w:space="0"/>
              <w:right w:val="single" w:color="auto" w:sz="4" w:space="0"/>
            </w:tcBorders>
            <w:vAlign w:val="center"/>
          </w:tcPr>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具体要求：本项目为电子化、无纸化交易项目，响应文件是</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（以下简称“</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”）通过中心响应文件制作系统制作，并经过签章和加密后生成的电子版响应文件。</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温馨提示：本项目为电子化、无纸化交易项目，为保证您能投标成功，请需仔细阅读以下条款。</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一、电子化投标</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（一）电子化响应文件的签章</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在生成电子化响应文件后，应对电子化响应文件进行签章，未进行签章的视为无效投标。</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2、谈判文件中要求法定代表人或授权委托人签字或盖章的，</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在进行电子化响应文件签章时，以签盖法定代表人签章为准。</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（二）电子化响应文件的格式及上传响应文件</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所上传的电子化响应文件，应是通过中心响应文件制作系统制作的，经过签章和加密后生成的电子版响应文件。其中包含用于响应文件上传的主文件（后缀为.smxtf）和用于应急补救的响应文件备份文件（后缀为.nsmxtf）。备份文件主要用于电子化开标出现技术问题后的补救，请</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随身携带。</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注：</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投报多个标段的，需要每个标段单独制作电子响应文件。</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2、电子化响应文件应在投标截止时间前成功上传至三门峡市公共资源电子化交易系统。至投标截止时间止，仍未上传成功的电子化响应文件将不予接收。</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注：如按照电子化投标操作教材制作完成的电子化响应文件无法上传的，</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应在投标截止时间前尽早的联系中心技术人员，以便有充分的时间进行处理。</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应充分考虑到处理技术问题和上传数据等工作所需的时间问题，响应文件未在投标截止时间前成功上传的，其响应文件不予接收。</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技术联系电话：400-998-0000</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主体库咨询电话:0398-3117815</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CA证书制发:0398-2181635</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科技信息科:0398-3117095</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（三）电子化项目开标、解密、唱标、评标</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1、本项目采用电子化、无纸化进行招标，开标当日，</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无需到开标现场参加开标会议，</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应当在投标截止时间前，登陆不见面开标大厅选择登陆三门峡市公共资源电子招投标系统进行登陆,在线准时参加开标活动并进行响应文件解密等</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2、电子化响应文件采用一次加密方式。开标时，由</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使用CA 证书，在规定时间内对其电子化响应文件进行解密。每位</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的解密时间为开标时间起30 分钟内，如在规定时间内未完成解密的，其响应文件不予开标、唱标。</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3、电子化响应文件解密异常的处理</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如出现</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的电子响应文件无法解密等异常情况，</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应及时致电中介服务机构说明。响应文件异常，按以下步骤进行处理：</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（1）首先由技术人员进行问题排查。</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（2）经技术人员排查后，是</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文件自身问题导致响应文件无法解密的，该响应文件将不予接收、解密和唱标。开标会议继续进行。</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3）经技术人员排查后，如果是电子化交易系统问题造成响应文件无法解密的，将由技术人员对问题进行处理。如短时间内问题无法解决的，将由中介服务机构向监督部门申请，经监督部门同意后，暂停开标会议，待问题解决后继续开标。</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4、待所有</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响应文件解密完成后，由中介服务机构操作，对所有已解密响应文件进行唱标。</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应保证在开标期间电话、电脑、网络能够正常工作，</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因停电、电脑病毒、网络堵塞等原因，未在规定的解密时间内对响应文件进行解密的，其响应文件不予接收、唱标。</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5、</w:t>
            </w:r>
            <w:r>
              <w:rPr>
                <w:rFonts w:hint="eastAsia" w:ascii="宋体" w:hAnsi="宋体" w:eastAsia="宋体" w:cs="宋体"/>
                <w:b w:val="0"/>
                <w:bCs w:val="0"/>
                <w:color w:val="auto"/>
                <w:kern w:val="0"/>
                <w:sz w:val="24"/>
                <w:szCs w:val="24"/>
                <w:highlight w:val="none"/>
                <w:lang w:val="en-US" w:eastAsia="zh-CN"/>
              </w:rPr>
              <w:t>开标时投标人可登录到交易系统中在开标解密栏中点击报价一览表查看自己的投标报价。如对自己的唱标内容有异议的，应在投标人解密成功后10分钟内向中服务机构通过开标大厅对话框提出质疑。中介服务机构应在监督人员的监督下接受投标人的质疑通过开标大厅对话框进行答复并做好书面记录。供应商未在规定时间内提出质疑的，视为认可唱标内容。</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6、评标时，</w:t>
            </w:r>
            <w:r>
              <w:rPr>
                <w:rFonts w:hint="eastAsia" w:ascii="宋体" w:hAnsi="宋体" w:eastAsia="宋体" w:cs="宋体"/>
                <w:b w:val="0"/>
                <w:bCs w:val="0"/>
                <w:color w:val="auto"/>
                <w:kern w:val="0"/>
                <w:sz w:val="24"/>
                <w:szCs w:val="24"/>
                <w:highlight w:val="none"/>
                <w:lang w:val="en-US" w:eastAsia="zh-CN"/>
              </w:rPr>
              <w:t>评委委员会</w:t>
            </w:r>
            <w:r>
              <w:rPr>
                <w:rFonts w:hint="eastAsia" w:ascii="宋体" w:hAnsi="宋体" w:eastAsia="宋体" w:cs="宋体"/>
                <w:b w:val="0"/>
                <w:bCs w:val="0"/>
                <w:color w:val="auto"/>
                <w:kern w:val="0"/>
                <w:sz w:val="24"/>
                <w:szCs w:val="24"/>
                <w:highlight w:val="none"/>
              </w:rPr>
              <w:t>对电子化</w:t>
            </w:r>
            <w:r>
              <w:rPr>
                <w:rFonts w:hint="eastAsia" w:ascii="宋体" w:hAnsi="宋体" w:eastAsia="宋体" w:cs="宋体"/>
                <w:b w:val="0"/>
                <w:bCs w:val="0"/>
                <w:color w:val="auto"/>
                <w:kern w:val="0"/>
                <w:sz w:val="24"/>
                <w:szCs w:val="24"/>
                <w:highlight w:val="none"/>
                <w:lang w:val="en-US" w:eastAsia="zh-CN"/>
              </w:rPr>
              <w:t>投标</w:t>
            </w:r>
            <w:r>
              <w:rPr>
                <w:rFonts w:hint="eastAsia" w:ascii="宋体" w:hAnsi="宋体" w:eastAsia="宋体" w:cs="宋体"/>
                <w:b w:val="0"/>
                <w:bCs w:val="0"/>
                <w:color w:val="auto"/>
                <w:kern w:val="0"/>
                <w:sz w:val="24"/>
                <w:szCs w:val="24"/>
                <w:highlight w:val="none"/>
              </w:rPr>
              <w:t>响应文件有质疑的，将通过电子化交易系统对供应商发起质疑，供应商的回复文件必须以经过供应商和其法定代表人签章的PDF格式文件为准，并通过电子化交易系统提交至</w:t>
            </w:r>
            <w:r>
              <w:rPr>
                <w:rFonts w:hint="eastAsia" w:ascii="宋体" w:hAnsi="宋体" w:eastAsia="宋体" w:cs="宋体"/>
                <w:b w:val="0"/>
                <w:bCs w:val="0"/>
                <w:color w:val="auto"/>
                <w:kern w:val="0"/>
                <w:sz w:val="24"/>
                <w:szCs w:val="24"/>
                <w:highlight w:val="none"/>
                <w:lang w:val="en-US" w:eastAsia="zh-CN"/>
              </w:rPr>
              <w:t>评委委员会</w:t>
            </w:r>
            <w:r>
              <w:rPr>
                <w:rFonts w:hint="eastAsia" w:ascii="宋体" w:hAnsi="宋体" w:eastAsia="宋体" w:cs="宋体"/>
                <w:b w:val="0"/>
                <w:bCs w:val="0"/>
                <w:color w:val="auto"/>
                <w:kern w:val="0"/>
                <w:sz w:val="24"/>
                <w:szCs w:val="24"/>
                <w:highlight w:val="none"/>
              </w:rPr>
              <w:t>。</w:t>
            </w:r>
          </w:p>
          <w:p>
            <w:pPr>
              <w:wordWrap/>
              <w:topLinePunct w:val="0"/>
              <w:spacing w:line="240" w:lineRule="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7、</w:t>
            </w:r>
            <w:r>
              <w:rPr>
                <w:rFonts w:hint="eastAsia" w:ascii="宋体" w:hAnsi="宋体" w:eastAsia="宋体" w:cs="宋体"/>
                <w:b w:val="0"/>
                <w:bCs w:val="0"/>
                <w:color w:val="auto"/>
                <w:kern w:val="0"/>
                <w:sz w:val="24"/>
                <w:szCs w:val="24"/>
                <w:highlight w:val="none"/>
                <w:lang w:val="en-US" w:eastAsia="zh-CN"/>
              </w:rPr>
              <w:t>需要回复的响应人在规定的时间内未回复的，视为响应人放弃回复，评标委员会将自行对需要回复的内容进行认定。</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二、相关证书原件的提交</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本项目实行资格后审，投标文件中要求</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提交资质、业绩、荣誉及单位人员等相关资料原件的，</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需将原件扫描件制作到电子投标文件中。</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val="en-US" w:eastAsia="zh-CN"/>
              </w:rPr>
              <w:t>（1）资格评（预）审部分：资格评（预）以投标文件为准，其上传资料真实性由响应人自行承担，同时，响应人要完善主体库。</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val="en-US" w:eastAsia="zh-CN"/>
              </w:rPr>
              <w:t>（2）评标打分部分：评标打分部分仍按照100分制原则进行，涉及到资格审查、企业荣誉、人员业绩、企业业绩等计分部分时，以投标单位自行上传到投标文件中的相应内容为准。</w:t>
            </w:r>
          </w:p>
          <w:p>
            <w:pPr>
              <w:wordWrap/>
              <w:topLinePunct w:val="0"/>
              <w:spacing w:line="240" w:lineRule="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3）投标文件编制部分：在招标文件中要求响应人按照投标文件格式进行投标文件编制，在投标文件编制时，应明确将投标单位企业基本情况、资质情况、人员情况、财务情况、业绩情况编入投标文件，便于进行资格审查及评标打分。</w:t>
            </w:r>
          </w:p>
          <w:p>
            <w:pPr>
              <w:wordWrap/>
              <w:topLinePunct w:val="0"/>
              <w:spacing w:line="240" w:lineRule="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w:t>
            </w:r>
            <w:r>
              <w:rPr>
                <w:rFonts w:hint="eastAsia" w:ascii="宋体" w:hAnsi="宋体" w:eastAsia="宋体" w:cs="宋体"/>
                <w:b w:val="0"/>
                <w:bCs w:val="0"/>
                <w:color w:val="auto"/>
                <w:kern w:val="0"/>
                <w:sz w:val="24"/>
                <w:szCs w:val="24"/>
                <w:highlight w:val="none"/>
                <w:lang w:val="en-US" w:eastAsia="zh-CN"/>
              </w:rPr>
              <w:t>4</w:t>
            </w:r>
            <w:r>
              <w:rPr>
                <w:rFonts w:hint="eastAsia" w:ascii="宋体" w:hAnsi="宋体" w:eastAsia="宋体" w:cs="宋体"/>
                <w:b w:val="0"/>
                <w:bCs w:val="0"/>
                <w:color w:val="auto"/>
                <w:kern w:val="0"/>
                <w:sz w:val="24"/>
                <w:szCs w:val="24"/>
                <w:highlight w:val="none"/>
              </w:rPr>
              <w:t>）</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需应仔细阅读操作手册；</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对投标文件信息的真实性、有效性、清晰可辩性负责。</w:t>
            </w:r>
          </w:p>
          <w:p>
            <w:pPr>
              <w:keepLines/>
              <w:snapToGrid w:val="0"/>
              <w:spacing w:line="360" w:lineRule="auto"/>
              <w:rPr>
                <w:rFonts w:ascii="宋体" w:hAnsi="宋体" w:eastAsia="宋体" w:cs="宋体"/>
                <w:color w:val="auto"/>
                <w:sz w:val="24"/>
                <w:szCs w:val="24"/>
                <w:highlight w:val="none"/>
              </w:rPr>
            </w:pPr>
            <w:r>
              <w:rPr>
                <w:rFonts w:hint="eastAsia" w:ascii="宋体" w:hAnsi="宋体" w:eastAsia="宋体" w:cs="宋体"/>
                <w:b w:val="0"/>
                <w:bCs w:val="0"/>
                <w:color w:val="auto"/>
                <w:kern w:val="0"/>
                <w:sz w:val="24"/>
                <w:szCs w:val="24"/>
                <w:highlight w:val="none"/>
              </w:rPr>
              <w:t>提示：本项目为电子化、无纸化交易项目，</w:t>
            </w:r>
            <w:r>
              <w:rPr>
                <w:rFonts w:hint="eastAsia" w:ascii="宋体" w:hAnsi="宋体" w:cs="宋体"/>
                <w:b w:val="0"/>
                <w:bCs w:val="0"/>
                <w:color w:val="auto"/>
                <w:kern w:val="0"/>
                <w:sz w:val="24"/>
                <w:szCs w:val="24"/>
                <w:highlight w:val="none"/>
                <w:lang w:eastAsia="zh-CN"/>
              </w:rPr>
              <w:t>响应人</w:t>
            </w:r>
            <w:r>
              <w:rPr>
                <w:rFonts w:hint="eastAsia" w:ascii="宋体" w:hAnsi="宋体" w:eastAsia="宋体" w:cs="宋体"/>
                <w:b w:val="0"/>
                <w:bCs w:val="0"/>
                <w:color w:val="auto"/>
                <w:kern w:val="0"/>
                <w:sz w:val="24"/>
                <w:szCs w:val="24"/>
                <w:highlight w:val="none"/>
              </w:rPr>
              <w:t>时不再接受任何纸质资料，为保证您能投标成功，请需仔细阅读以上条款</w:t>
            </w:r>
          </w:p>
        </w:tc>
      </w:tr>
    </w:tbl>
    <w:p>
      <w:pPr>
        <w:pStyle w:val="87"/>
        <w:widowControl w:val="0"/>
        <w:numPr>
          <w:ilvl w:val="0"/>
          <w:numId w:val="0"/>
        </w:numPr>
        <w:tabs>
          <w:tab w:val="left" w:pos="1341"/>
        </w:tabs>
        <w:autoSpaceDE w:val="0"/>
        <w:autoSpaceDN w:val="0"/>
        <w:spacing w:line="240" w:lineRule="auto"/>
        <w:ind w:right="0" w:rightChars="0" w:firstLine="717" w:firstLineChars="300"/>
        <w:jc w:val="both"/>
        <w:rPr>
          <w:rFonts w:hint="eastAsia" w:ascii="宋体" w:hAnsi="宋体" w:eastAsia="宋体" w:cs="宋体"/>
          <w:b/>
          <w:bCs/>
          <w:color w:val="auto"/>
          <w:spacing w:val="-1"/>
          <w:sz w:val="24"/>
          <w:highlight w:val="none"/>
          <w:lang w:val="en-US" w:eastAsia="zh-CN"/>
        </w:rPr>
      </w:pPr>
    </w:p>
    <w:p>
      <w:pPr>
        <w:pStyle w:val="87"/>
        <w:widowControl w:val="0"/>
        <w:numPr>
          <w:ilvl w:val="0"/>
          <w:numId w:val="0"/>
        </w:numPr>
        <w:tabs>
          <w:tab w:val="left" w:pos="1341"/>
        </w:tabs>
        <w:autoSpaceDE w:val="0"/>
        <w:autoSpaceDN w:val="0"/>
        <w:spacing w:line="240" w:lineRule="auto"/>
        <w:ind w:right="0" w:rightChars="0" w:firstLine="717" w:firstLineChars="300"/>
        <w:jc w:val="both"/>
        <w:rPr>
          <w:rFonts w:hint="eastAsia" w:ascii="宋体" w:hAnsi="宋体" w:eastAsia="宋体" w:cs="宋体"/>
          <w:b/>
          <w:bCs/>
          <w:color w:val="auto"/>
          <w:spacing w:val="-1"/>
          <w:sz w:val="24"/>
          <w:highlight w:val="none"/>
          <w:lang w:val="en-US" w:eastAsia="zh-CN"/>
        </w:rPr>
      </w:pPr>
      <w:r>
        <w:rPr>
          <w:rFonts w:hint="eastAsia" w:ascii="宋体" w:hAnsi="宋体" w:eastAsia="宋体" w:cs="宋体"/>
          <w:b/>
          <w:bCs/>
          <w:color w:val="auto"/>
          <w:spacing w:val="-1"/>
          <w:sz w:val="24"/>
          <w:highlight w:val="none"/>
          <w:lang w:val="en-US" w:eastAsia="zh-CN"/>
        </w:rPr>
        <w:t>招标代理服务收费参照豫招协[2023]002号河南省招标投标协会关于印发《河南省招标代理服务收费指导意见》规定的收费标准收取中标服务费。</w:t>
      </w:r>
    </w:p>
    <w:p>
      <w:pPr>
        <w:pStyle w:val="87"/>
        <w:widowControl w:val="0"/>
        <w:numPr>
          <w:ilvl w:val="0"/>
          <w:numId w:val="0"/>
        </w:numPr>
        <w:tabs>
          <w:tab w:val="left" w:pos="1341"/>
        </w:tabs>
        <w:autoSpaceDE w:val="0"/>
        <w:autoSpaceDN w:val="0"/>
        <w:spacing w:line="240" w:lineRule="auto"/>
        <w:ind w:left="0" w:leftChars="0" w:right="0" w:rightChars="0"/>
        <w:jc w:val="both"/>
        <w:rPr>
          <w:rFonts w:hint="default" w:ascii="宋体" w:hAnsi="宋体" w:eastAsia="宋体" w:cs="宋体"/>
          <w:b/>
          <w:bCs/>
          <w:color w:val="auto"/>
          <w:spacing w:val="-1"/>
          <w:sz w:val="24"/>
          <w:highlight w:val="none"/>
          <w:lang w:val="en-US" w:eastAsia="zh-CN"/>
        </w:rPr>
      </w:pPr>
    </w:p>
    <w:p>
      <w:pPr>
        <w:pStyle w:val="87"/>
        <w:widowControl w:val="0"/>
        <w:numPr>
          <w:ilvl w:val="0"/>
          <w:numId w:val="0"/>
        </w:numPr>
        <w:tabs>
          <w:tab w:val="left" w:pos="1341"/>
        </w:tabs>
        <w:autoSpaceDE w:val="0"/>
        <w:autoSpaceDN w:val="0"/>
        <w:spacing w:line="240" w:lineRule="auto"/>
        <w:ind w:right="0" w:rightChars="0" w:firstLine="717" w:firstLineChars="300"/>
        <w:jc w:val="both"/>
        <w:rPr>
          <w:rFonts w:hint="default" w:ascii="宋体" w:hAnsi="宋体" w:eastAsia="宋体" w:cs="宋体"/>
          <w:b/>
          <w:bCs/>
          <w:color w:val="auto"/>
          <w:spacing w:val="-1"/>
          <w:sz w:val="24"/>
          <w:highlight w:val="none"/>
          <w:lang w:val="en-US" w:eastAsia="zh-CN"/>
        </w:rPr>
      </w:pPr>
      <w:r>
        <w:rPr>
          <w:rFonts w:hint="eastAsia" w:ascii="宋体" w:hAnsi="宋体" w:eastAsia="宋体" w:cs="宋体"/>
          <w:b/>
          <w:bCs/>
          <w:color w:val="auto"/>
          <w:spacing w:val="-1"/>
          <w:sz w:val="24"/>
          <w:highlight w:val="none"/>
          <w:lang w:val="en-US" w:eastAsia="zh-CN"/>
        </w:rPr>
        <w:t>河南省招标代理服务费计算标准</w:t>
      </w:r>
    </w:p>
    <w:tbl>
      <w:tblPr>
        <w:tblStyle w:val="35"/>
        <w:tblpPr w:leftFromText="180" w:rightFromText="180" w:vertAnchor="text" w:horzAnchor="page" w:tblpX="1421" w:tblpY="481"/>
        <w:tblOverlap w:val="never"/>
        <w:tblW w:w="87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
      <w:tblGrid>
        <w:gridCol w:w="3994"/>
        <w:gridCol w:w="1642"/>
        <w:gridCol w:w="1433"/>
        <w:gridCol w:w="1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679" w:hRule="atLeast"/>
        </w:trPr>
        <w:tc>
          <w:tcPr>
            <w:tcW w:w="3994"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项目类型/（金额万元）</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工程</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货物</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679" w:hRule="atLeast"/>
        </w:trPr>
        <w:tc>
          <w:tcPr>
            <w:tcW w:w="3994"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left"/>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100万元以下（含100万元）</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1.20%</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1.70%</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1.70%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679" w:hRule="atLeast"/>
        </w:trPr>
        <w:tc>
          <w:tcPr>
            <w:tcW w:w="3994"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left"/>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100-500万元（含500万元）</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1.00%</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1.20%</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679" w:hRule="atLeast"/>
        </w:trPr>
        <w:tc>
          <w:tcPr>
            <w:tcW w:w="3994"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left"/>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500-1000万元（含1000万元）</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0.70%</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0.80%</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679" w:hRule="atLeast"/>
        </w:trPr>
        <w:tc>
          <w:tcPr>
            <w:tcW w:w="3994"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left"/>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1000-5000万元（含5000万元）</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0.40%</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0.50%</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679" w:hRule="atLeast"/>
        </w:trPr>
        <w:tc>
          <w:tcPr>
            <w:tcW w:w="3994"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left"/>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5000万元--1亿元（含1亿元）</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0.25%</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0.30%</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679" w:hRule="atLeast"/>
        </w:trPr>
        <w:tc>
          <w:tcPr>
            <w:tcW w:w="3994"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left"/>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1亿--5亿元（含5亿元）</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0.10%</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0.10%</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679" w:hRule="atLeast"/>
        </w:trPr>
        <w:tc>
          <w:tcPr>
            <w:tcW w:w="3994" w:type="dxa"/>
            <w:tcBorders>
              <w:top w:val="single" w:color="000000" w:sz="4" w:space="0"/>
              <w:left w:val="single" w:color="000000" w:sz="4" w:space="0"/>
              <w:right w:val="single" w:color="000000" w:sz="4" w:space="0"/>
            </w:tcBorders>
            <w:noWrap w:val="0"/>
            <w:vAlign w:val="center"/>
          </w:tcPr>
          <w:p>
            <w:pPr>
              <w:kinsoku/>
              <w:autoSpaceDE/>
              <w:autoSpaceDN w:val="0"/>
              <w:jc w:val="left"/>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5亿--10亿元（含10亿元）</w:t>
            </w:r>
          </w:p>
        </w:tc>
        <w:tc>
          <w:tcPr>
            <w:tcW w:w="1642" w:type="dxa"/>
            <w:tcBorders>
              <w:top w:val="single" w:color="000000" w:sz="4" w:space="0"/>
              <w:left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0.045%</w:t>
            </w:r>
          </w:p>
        </w:tc>
        <w:tc>
          <w:tcPr>
            <w:tcW w:w="1433" w:type="dxa"/>
            <w:tcBorders>
              <w:top w:val="single" w:color="000000" w:sz="4" w:space="0"/>
              <w:left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0.045%</w:t>
            </w:r>
          </w:p>
        </w:tc>
        <w:tc>
          <w:tcPr>
            <w:tcW w:w="1711" w:type="dxa"/>
            <w:tcBorders>
              <w:top w:val="single" w:color="000000" w:sz="4" w:space="0"/>
              <w:left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679" w:hRule="atLeast"/>
        </w:trPr>
        <w:tc>
          <w:tcPr>
            <w:tcW w:w="3994"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left"/>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10亿--50亿元（含50亿元）</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0.010%</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0.010%</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679" w:hRule="atLeast"/>
        </w:trPr>
        <w:tc>
          <w:tcPr>
            <w:tcW w:w="3994"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left"/>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50亿--100亿元（含</w:t>
            </w:r>
            <w:r>
              <w:rPr>
                <w:rFonts w:hint="eastAsia" w:ascii="宋体" w:hAnsi="宋体"/>
                <w:b w:val="0"/>
                <w:i w:val="0"/>
                <w:snapToGrid/>
                <w:color w:val="auto"/>
                <w:sz w:val="24"/>
                <w:szCs w:val="18"/>
                <w:highlight w:val="none"/>
                <w:u w:val="none"/>
                <w:lang w:val="en-US" w:eastAsia="zh-CN"/>
              </w:rPr>
              <w:t>100</w:t>
            </w:r>
            <w:r>
              <w:rPr>
                <w:rFonts w:hint="default" w:ascii="宋体" w:hAnsi="宋体" w:eastAsia="宋体"/>
                <w:b w:val="0"/>
                <w:i w:val="0"/>
                <w:snapToGrid/>
                <w:color w:val="auto"/>
                <w:sz w:val="24"/>
                <w:szCs w:val="18"/>
                <w:highlight w:val="none"/>
                <w:u w:val="none"/>
                <w:lang w:eastAsia="zh-CN"/>
              </w:rPr>
              <w:t>亿元）</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0.008%</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0.008%</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679" w:hRule="atLeast"/>
        </w:trPr>
        <w:tc>
          <w:tcPr>
            <w:tcW w:w="3994"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left"/>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100亿元以上</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0.004%</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0.004%</w:t>
            </w:r>
          </w:p>
        </w:tc>
        <w:tc>
          <w:tcPr>
            <w:tcW w:w="1711" w:type="dxa"/>
            <w:tcBorders>
              <w:top w:val="single" w:color="000000" w:sz="4" w:space="0"/>
              <w:left w:val="single" w:color="000000" w:sz="4" w:space="0"/>
              <w:bottom w:val="single" w:color="000000" w:sz="4" w:space="0"/>
              <w:right w:val="single" w:color="000000" w:sz="4" w:space="0"/>
            </w:tcBorders>
            <w:noWrap w:val="0"/>
            <w:vAlign w:val="center"/>
          </w:tcPr>
          <w:p>
            <w:pPr>
              <w:kinsoku/>
              <w:autoSpaceDE/>
              <w:autoSpaceDN w:val="0"/>
              <w:jc w:val="center"/>
              <w:textAlignment w:val="center"/>
              <w:rPr>
                <w:rFonts w:hint="default" w:ascii="宋体" w:hAnsi="宋体" w:eastAsia="宋体"/>
                <w:b w:val="0"/>
                <w:i w:val="0"/>
                <w:snapToGrid/>
                <w:color w:val="auto"/>
                <w:sz w:val="24"/>
                <w:szCs w:val="18"/>
                <w:highlight w:val="none"/>
                <w:u w:val="none"/>
                <w:lang w:eastAsia="zh-CN"/>
              </w:rPr>
            </w:pPr>
            <w:r>
              <w:rPr>
                <w:rFonts w:hint="default" w:ascii="宋体" w:hAnsi="宋体" w:eastAsia="宋体"/>
                <w:b w:val="0"/>
                <w:i w:val="0"/>
                <w:snapToGrid/>
                <w:color w:val="auto"/>
                <w:sz w:val="24"/>
                <w:szCs w:val="18"/>
                <w:highlight w:val="none"/>
                <w:u w:val="none"/>
                <w:lang w:eastAsia="zh-CN"/>
              </w:rPr>
              <w:t>0.004%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Ex>
        <w:trPr>
          <w:trHeight w:val="621" w:hRule="atLeast"/>
        </w:trPr>
        <w:tc>
          <w:tcPr>
            <w:tcW w:w="8780" w:type="dxa"/>
            <w:gridSpan w:val="4"/>
            <w:noWrap w:val="0"/>
            <w:vAlign w:val="center"/>
          </w:tcPr>
          <w:p>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b w:val="0"/>
                <w:i w:val="0"/>
                <w:snapToGrid/>
                <w:color w:val="auto"/>
                <w:sz w:val="24"/>
                <w:szCs w:val="24"/>
                <w:highlight w:val="none"/>
                <w:u w:val="none"/>
                <w:lang w:eastAsia="zh-CN"/>
              </w:rPr>
            </w:pPr>
            <w:r>
              <w:rPr>
                <w:rFonts w:hint="default" w:ascii="宋体" w:hAnsi="宋体" w:eastAsia="宋体"/>
                <w:b w:val="0"/>
                <w:i w:val="0"/>
                <w:snapToGrid/>
                <w:color w:val="auto"/>
                <w:sz w:val="24"/>
                <w:szCs w:val="24"/>
                <w:highlight w:val="none"/>
                <w:u w:val="none"/>
                <w:lang w:eastAsia="zh-CN"/>
              </w:rPr>
              <w:t>注：1.按本表费率计算的收费金额为招标代理服务费的基准价格，不含工程量清单、最高投标限价（招标控制价）或标底的编制费用。</w:t>
            </w:r>
          </w:p>
          <w:p>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b w:val="0"/>
                <w:i w:val="0"/>
                <w:snapToGrid/>
                <w:color w:val="auto"/>
                <w:sz w:val="24"/>
                <w:szCs w:val="24"/>
                <w:highlight w:val="none"/>
                <w:u w:val="none"/>
                <w:lang w:val="en-US" w:eastAsia="zh-CN"/>
              </w:rPr>
            </w:pPr>
            <w:r>
              <w:rPr>
                <w:rFonts w:hint="eastAsia" w:ascii="宋体" w:hAnsi="宋体" w:eastAsia="宋体"/>
                <w:b w:val="0"/>
                <w:i w:val="0"/>
                <w:snapToGrid/>
                <w:color w:val="auto"/>
                <w:sz w:val="24"/>
                <w:szCs w:val="24"/>
                <w:highlight w:val="none"/>
                <w:u w:val="none"/>
                <w:lang w:val="en-US" w:eastAsia="zh-CN"/>
              </w:rPr>
              <w:t>2.招标代理服务收费按差额定率累进法计算。</w:t>
            </w:r>
          </w:p>
          <w:p>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b w:val="0"/>
                <w:i w:val="0"/>
                <w:snapToGrid/>
                <w:color w:val="auto"/>
                <w:sz w:val="24"/>
                <w:szCs w:val="24"/>
                <w:highlight w:val="none"/>
                <w:u w:val="none"/>
                <w:lang w:eastAsia="zh-CN"/>
              </w:rPr>
            </w:pPr>
            <w:r>
              <w:rPr>
                <w:rFonts w:hint="default" w:ascii="宋体" w:hAnsi="宋体" w:eastAsia="宋体"/>
                <w:b w:val="0"/>
                <w:i w:val="0"/>
                <w:snapToGrid/>
                <w:color w:val="auto"/>
                <w:sz w:val="24"/>
                <w:szCs w:val="24"/>
                <w:highlight w:val="none"/>
                <w:u w:val="none"/>
                <w:lang w:eastAsia="zh-CN"/>
              </w:rPr>
              <w:t>例如: 某工程招标代理业务，项目预算金额（招标控制价）为10000 万元，招标代理服务收费计算如下:</w:t>
            </w:r>
          </w:p>
          <w:p>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b w:val="0"/>
                <w:i w:val="0"/>
                <w:snapToGrid/>
                <w:color w:val="auto"/>
                <w:sz w:val="24"/>
                <w:szCs w:val="24"/>
                <w:highlight w:val="none"/>
                <w:u w:val="none"/>
                <w:lang w:eastAsia="zh-CN"/>
              </w:rPr>
            </w:pPr>
            <w:r>
              <w:rPr>
                <w:rFonts w:hint="eastAsia" w:ascii="宋体" w:hAnsi="宋体"/>
                <w:b w:val="0"/>
                <w:i w:val="0"/>
                <w:snapToGrid/>
                <w:color w:val="auto"/>
                <w:sz w:val="24"/>
                <w:szCs w:val="24"/>
                <w:highlight w:val="none"/>
                <w:u w:val="none"/>
                <w:lang w:val="en-US" w:eastAsia="zh-CN"/>
              </w:rPr>
              <w:t xml:space="preserve"> </w:t>
            </w:r>
            <w:r>
              <w:rPr>
                <w:rFonts w:hint="default" w:ascii="宋体" w:hAnsi="宋体" w:eastAsia="宋体"/>
                <w:b w:val="0"/>
                <w:i w:val="0"/>
                <w:snapToGrid/>
                <w:color w:val="auto"/>
                <w:sz w:val="24"/>
                <w:szCs w:val="24"/>
                <w:highlight w:val="none"/>
                <w:u w:val="none"/>
                <w:lang w:eastAsia="zh-CN"/>
              </w:rPr>
              <w:t>100万元×1.2%=1.2万元</w:t>
            </w:r>
          </w:p>
          <w:p>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b w:val="0"/>
                <w:i w:val="0"/>
                <w:snapToGrid/>
                <w:color w:val="auto"/>
                <w:sz w:val="24"/>
                <w:szCs w:val="24"/>
                <w:highlight w:val="none"/>
                <w:u w:val="none"/>
                <w:lang w:eastAsia="zh-CN"/>
              </w:rPr>
            </w:pPr>
            <w:r>
              <w:rPr>
                <w:rFonts w:hint="default" w:ascii="宋体" w:hAnsi="宋体" w:eastAsia="宋体"/>
                <w:b w:val="0"/>
                <w:i w:val="0"/>
                <w:snapToGrid/>
                <w:color w:val="auto"/>
                <w:sz w:val="24"/>
                <w:szCs w:val="24"/>
                <w:highlight w:val="none"/>
                <w:u w:val="none"/>
                <w:lang w:eastAsia="zh-CN"/>
              </w:rPr>
              <w:t>（500-100）万元×1.0%=4万元</w:t>
            </w:r>
          </w:p>
          <w:p>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b w:val="0"/>
                <w:i w:val="0"/>
                <w:snapToGrid/>
                <w:color w:val="auto"/>
                <w:sz w:val="24"/>
                <w:szCs w:val="24"/>
                <w:highlight w:val="none"/>
                <w:u w:val="none"/>
                <w:lang w:eastAsia="zh-CN"/>
              </w:rPr>
            </w:pPr>
            <w:r>
              <w:rPr>
                <w:rFonts w:hint="default" w:ascii="宋体" w:hAnsi="宋体" w:eastAsia="宋体"/>
                <w:b w:val="0"/>
                <w:i w:val="0"/>
                <w:snapToGrid/>
                <w:color w:val="auto"/>
                <w:sz w:val="24"/>
                <w:szCs w:val="24"/>
                <w:highlight w:val="none"/>
                <w:u w:val="none"/>
                <w:lang w:eastAsia="zh-CN"/>
              </w:rPr>
              <w:t>（1000-500）×0.7%=3.5万元</w:t>
            </w:r>
          </w:p>
          <w:p>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b w:val="0"/>
                <w:i w:val="0"/>
                <w:snapToGrid/>
                <w:color w:val="auto"/>
                <w:sz w:val="24"/>
                <w:szCs w:val="24"/>
                <w:highlight w:val="none"/>
                <w:u w:val="none"/>
                <w:lang w:eastAsia="zh-CN"/>
              </w:rPr>
            </w:pPr>
            <w:r>
              <w:rPr>
                <w:rFonts w:hint="default" w:ascii="宋体" w:hAnsi="宋体" w:eastAsia="宋体"/>
                <w:b w:val="0"/>
                <w:i w:val="0"/>
                <w:snapToGrid/>
                <w:color w:val="auto"/>
                <w:sz w:val="24"/>
                <w:szCs w:val="24"/>
                <w:highlight w:val="none"/>
                <w:u w:val="none"/>
                <w:lang w:eastAsia="zh-CN"/>
              </w:rPr>
              <w:t>（5000-1000）×0.4%=16万元</w:t>
            </w:r>
          </w:p>
          <w:p>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b w:val="0"/>
                <w:i w:val="0"/>
                <w:snapToGrid/>
                <w:color w:val="auto"/>
                <w:sz w:val="21"/>
                <w:szCs w:val="18"/>
                <w:highlight w:val="none"/>
                <w:u w:val="none"/>
                <w:lang w:eastAsia="zh-CN"/>
              </w:rPr>
            </w:pPr>
            <w:r>
              <w:rPr>
                <w:rFonts w:hint="default" w:ascii="宋体" w:hAnsi="宋体" w:eastAsia="宋体"/>
                <w:b w:val="0"/>
                <w:i w:val="0"/>
                <w:snapToGrid/>
                <w:color w:val="auto"/>
                <w:sz w:val="24"/>
                <w:szCs w:val="24"/>
                <w:highlight w:val="none"/>
                <w:u w:val="none"/>
                <w:lang w:eastAsia="zh-CN"/>
              </w:rPr>
              <w:t>（10000-5000）×0.25%=12.5万元合计收费=1.2+4+3.5+16+12.5=37.2万元</w:t>
            </w:r>
          </w:p>
        </w:tc>
      </w:tr>
    </w:tbl>
    <w:p>
      <w:pPr>
        <w:rPr>
          <w:color w:val="auto"/>
          <w:highlight w:val="none"/>
        </w:rPr>
      </w:pPr>
    </w:p>
    <w:p>
      <w:pPr>
        <w:spacing w:line="440" w:lineRule="exact"/>
        <w:jc w:val="center"/>
        <w:rPr>
          <w:rFonts w:hint="eastAsia" w:ascii="宋体" w:hAnsi="宋体" w:eastAsia="宋体" w:cs="宋体"/>
          <w:b/>
          <w:bCs/>
          <w:color w:val="auto"/>
          <w:sz w:val="36"/>
          <w:szCs w:val="36"/>
          <w:highlight w:val="none"/>
        </w:rPr>
      </w:pPr>
    </w:p>
    <w:p>
      <w:pPr>
        <w:spacing w:line="440" w:lineRule="exact"/>
        <w:jc w:val="center"/>
        <w:rPr>
          <w:rFonts w:hint="eastAsia" w:ascii="宋体" w:hAnsi="宋体" w:eastAsia="宋体" w:cs="宋体"/>
          <w:b/>
          <w:bCs/>
          <w:color w:val="auto"/>
          <w:sz w:val="36"/>
          <w:szCs w:val="36"/>
          <w:highlight w:val="none"/>
        </w:rPr>
      </w:pPr>
    </w:p>
    <w:p>
      <w:pPr>
        <w:spacing w:line="440" w:lineRule="exact"/>
        <w:jc w:val="center"/>
        <w:rPr>
          <w:rFonts w:hint="eastAsia" w:ascii="宋体" w:hAnsi="宋体" w:eastAsia="宋体" w:cs="宋体"/>
          <w:b/>
          <w:bCs/>
          <w:color w:val="auto"/>
          <w:sz w:val="36"/>
          <w:szCs w:val="36"/>
          <w:highlight w:val="none"/>
        </w:rPr>
      </w:pPr>
    </w:p>
    <w:p>
      <w:pPr>
        <w:spacing w:line="440" w:lineRule="exact"/>
        <w:jc w:val="center"/>
        <w:rPr>
          <w:rFonts w:hint="eastAsia" w:ascii="宋体" w:hAnsi="宋体" w:eastAsia="宋体" w:cs="宋体"/>
          <w:b/>
          <w:bCs/>
          <w:color w:val="auto"/>
          <w:sz w:val="36"/>
          <w:szCs w:val="36"/>
          <w:highlight w:val="none"/>
        </w:rPr>
      </w:pPr>
    </w:p>
    <w:p>
      <w:pPr>
        <w:pStyle w:val="8"/>
        <w:ind w:left="0" w:leftChars="0" w:firstLine="0" w:firstLineChars="0"/>
        <w:rPr>
          <w:rFonts w:hint="eastAsia" w:ascii="宋体" w:hAnsi="宋体" w:eastAsia="宋体" w:cs="宋体"/>
          <w:b/>
          <w:bCs/>
          <w:color w:val="auto"/>
          <w:sz w:val="36"/>
          <w:szCs w:val="36"/>
          <w:highlight w:val="none"/>
        </w:rPr>
      </w:pPr>
    </w:p>
    <w:p>
      <w:pPr>
        <w:spacing w:line="440" w:lineRule="exact"/>
        <w:ind w:firstLine="3614" w:firstLineChars="1000"/>
        <w:jc w:val="both"/>
        <w:rPr>
          <w:rFonts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一、总则</w:t>
      </w:r>
    </w:p>
    <w:p>
      <w:pPr>
        <w:spacing w:line="440" w:lineRule="exact"/>
        <w:ind w:firstLine="482" w:firstLineChars="200"/>
        <w:rPr>
          <w:rFonts w:hint="eastAsia" w:ascii="宋体" w:hAnsi="宋体" w:eastAsia="宋体" w:cs="宋体"/>
          <w:b/>
          <w:bCs/>
          <w:color w:val="auto"/>
          <w:sz w:val="24"/>
          <w:szCs w:val="24"/>
          <w:highlight w:val="none"/>
        </w:rPr>
      </w:pPr>
    </w:p>
    <w:p>
      <w:pPr>
        <w:spacing w:line="440" w:lineRule="exact"/>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1、项目概况</w:t>
      </w:r>
    </w:p>
    <w:p>
      <w:pPr>
        <w:spacing w:line="440" w:lineRule="exact"/>
        <w:ind w:left="479" w:leftChars="228"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1.1</w:t>
      </w:r>
      <w:r>
        <w:rPr>
          <w:rFonts w:hint="eastAsia" w:ascii="宋体" w:hAnsi="宋体" w:eastAsia="宋体" w:cs="宋体"/>
          <w:color w:val="auto"/>
          <w:sz w:val="24"/>
          <w:szCs w:val="24"/>
          <w:highlight w:val="none"/>
          <w:lang w:val="en-US" w:eastAsia="zh-CN"/>
        </w:rPr>
        <w:t>服务内容：对卢氏县9个地块进行土壤污染状况详细补充调查及风险评估，开展场地补充调查、样品采集与检测以及成果编制等工作。查明调查范围内污染物的污染程度及范围；开展基于保护规划用地方式下人体、生态环境、地下水等敏感受体的风险评估，筛选出高风险的污染物，计算关注污染物不同规划用地方式下的风险控制值，并结合相关标准确定地块修复目标值，为地块后期风险管控或修复治理及安全合理开发提供科学依据与技术支撑。</w:t>
      </w:r>
    </w:p>
    <w:p>
      <w:pPr>
        <w:spacing w:line="440" w:lineRule="exact"/>
        <w:ind w:left="479" w:leftChars="228" w:firstLine="0" w:firstLineChars="0"/>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1.2</w:t>
      </w:r>
      <w:r>
        <w:rPr>
          <w:rFonts w:hint="eastAsia" w:ascii="宋体" w:hAnsi="宋体" w:eastAsia="宋体" w:cs="宋体"/>
          <w:color w:val="auto"/>
          <w:sz w:val="24"/>
          <w:szCs w:val="24"/>
          <w:highlight w:val="none"/>
        </w:rPr>
        <w:t>资金来源：</w:t>
      </w:r>
      <w:r>
        <w:rPr>
          <w:rFonts w:hint="eastAsia" w:ascii="宋体" w:hAnsi="宋体" w:eastAsia="宋体" w:cs="宋体"/>
          <w:color w:val="auto"/>
          <w:sz w:val="24"/>
          <w:szCs w:val="24"/>
          <w:highlight w:val="none"/>
          <w:lang w:eastAsia="zh-CN"/>
        </w:rPr>
        <w:t>财政资金</w:t>
      </w:r>
      <w:r>
        <w:rPr>
          <w:rFonts w:hint="eastAsia" w:ascii="宋体" w:hAnsi="宋体" w:eastAsia="宋体" w:cs="宋体"/>
          <w:color w:val="auto"/>
          <w:sz w:val="24"/>
          <w:szCs w:val="24"/>
          <w:highlight w:val="none"/>
        </w:rPr>
        <w:t>，已落实</w:t>
      </w:r>
    </w:p>
    <w:p>
      <w:pPr>
        <w:spacing w:line="44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rPr>
        <w:t>1.3</w:t>
      </w:r>
      <w:r>
        <w:rPr>
          <w:rFonts w:hint="eastAsia" w:ascii="宋体" w:hAnsi="宋体" w:eastAsia="宋体" w:cs="宋体"/>
          <w:color w:val="auto"/>
          <w:sz w:val="24"/>
          <w:szCs w:val="24"/>
          <w:highlight w:val="none"/>
        </w:rPr>
        <w:t>采购预算：¥</w:t>
      </w:r>
      <w:r>
        <w:rPr>
          <w:rFonts w:hint="eastAsia" w:ascii="宋体" w:hAnsi="宋体" w:eastAsia="宋体" w:cs="宋体"/>
          <w:color w:val="auto"/>
          <w:sz w:val="24"/>
          <w:szCs w:val="24"/>
          <w:highlight w:val="none"/>
          <w:lang w:val="en-US" w:eastAsia="zh-CN"/>
        </w:rPr>
        <w:t>2916382.00</w:t>
      </w:r>
      <w:r>
        <w:rPr>
          <w:rFonts w:hint="eastAsia" w:ascii="宋体" w:hAnsi="宋体" w:eastAsia="宋体" w:cs="宋体"/>
          <w:color w:val="auto"/>
          <w:sz w:val="24"/>
          <w:szCs w:val="24"/>
          <w:highlight w:val="none"/>
        </w:rPr>
        <w:t>元</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1.4</w:t>
      </w:r>
      <w:r>
        <w:rPr>
          <w:rFonts w:hint="eastAsia" w:ascii="宋体" w:hAnsi="宋体" w:eastAsia="宋体" w:cs="宋体"/>
          <w:color w:val="auto"/>
          <w:sz w:val="24"/>
          <w:szCs w:val="24"/>
          <w:highlight w:val="none"/>
        </w:rPr>
        <w:t>质量要求：符合国家及行业相关规定要求</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bCs/>
          <w:color w:val="auto"/>
          <w:sz w:val="24"/>
          <w:szCs w:val="28"/>
          <w:highlight w:val="none"/>
          <w:lang w:val="en-US" w:eastAsia="zh-CN"/>
        </w:rPr>
      </w:pPr>
      <w:r>
        <w:rPr>
          <w:rFonts w:hint="eastAsia" w:ascii="宋体" w:hAnsi="宋体" w:eastAsia="宋体" w:cs="宋体"/>
          <w:b/>
          <w:color w:val="auto"/>
          <w:sz w:val="24"/>
          <w:szCs w:val="24"/>
          <w:highlight w:val="none"/>
        </w:rPr>
        <w:t>1.5</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期</w:t>
      </w:r>
      <w:r>
        <w:rPr>
          <w:rFonts w:hint="eastAsia" w:ascii="宋体" w:hAnsi="宋体" w:eastAsia="宋体" w:cs="宋体"/>
          <w:color w:val="auto"/>
          <w:sz w:val="24"/>
          <w:szCs w:val="24"/>
          <w:highlight w:val="none"/>
          <w:lang w:val="en-US" w:eastAsia="zh-CN"/>
        </w:rPr>
        <w:t>限</w:t>
      </w:r>
      <w:r>
        <w:rPr>
          <w:rFonts w:hint="eastAsia" w:ascii="宋体" w:hAnsi="宋体" w:eastAsia="宋体" w:cs="宋体"/>
          <w:color w:val="auto"/>
          <w:sz w:val="24"/>
          <w:szCs w:val="24"/>
          <w:highlight w:val="none"/>
        </w:rPr>
        <w:t>：</w:t>
      </w:r>
      <w:r>
        <w:rPr>
          <w:rFonts w:hint="eastAsia" w:ascii="宋体" w:hAnsi="宋体" w:cs="宋体"/>
          <w:bCs/>
          <w:color w:val="auto"/>
          <w:sz w:val="24"/>
          <w:szCs w:val="28"/>
          <w:highlight w:val="none"/>
          <w:lang w:val="en-US" w:eastAsia="zh-CN"/>
        </w:rPr>
        <w:t>1年</w:t>
      </w:r>
    </w:p>
    <w:p>
      <w:pPr>
        <w:spacing w:line="440" w:lineRule="exact"/>
        <w:ind w:firstLine="482" w:firstLineChars="200"/>
        <w:rPr>
          <w:rFonts w:hint="eastAsia" w:ascii="宋体" w:hAnsi="宋体" w:eastAsia="宋体" w:cs="Times New Roman"/>
          <w:bCs/>
          <w:color w:val="auto"/>
          <w:sz w:val="24"/>
          <w:szCs w:val="24"/>
          <w:highlight w:val="none"/>
          <w:lang w:val="en-US" w:eastAsia="zh-CN"/>
        </w:rPr>
      </w:pPr>
      <w:r>
        <w:rPr>
          <w:rFonts w:hint="eastAsia" w:ascii="宋体" w:hAnsi="宋体" w:eastAsia="宋体" w:cs="宋体"/>
          <w:b/>
          <w:bCs/>
          <w:color w:val="auto"/>
          <w:sz w:val="24"/>
          <w:szCs w:val="24"/>
          <w:highlight w:val="none"/>
        </w:rPr>
        <w:t>1.6</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地点：</w:t>
      </w:r>
      <w:r>
        <w:rPr>
          <w:rFonts w:hint="eastAsia" w:ascii="宋体" w:hAnsi="宋体" w:eastAsia="宋体" w:cs="Times New Roman"/>
          <w:bCs/>
          <w:color w:val="auto"/>
          <w:sz w:val="24"/>
          <w:szCs w:val="24"/>
          <w:highlight w:val="none"/>
          <w:lang w:val="en-US" w:eastAsia="zh-CN"/>
        </w:rPr>
        <w:t xml:space="preserve">卢氏县 </w:t>
      </w:r>
    </w:p>
    <w:p>
      <w:pPr>
        <w:spacing w:line="440" w:lineRule="exact"/>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2、投标费用</w:t>
      </w:r>
    </w:p>
    <w:p>
      <w:pPr>
        <w:spacing w:line="440" w:lineRule="exact"/>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2.1</w:t>
      </w:r>
      <w:r>
        <w:rPr>
          <w:rFonts w:hint="eastAsia" w:ascii="宋体" w:hAnsi="宋体" w:eastAsia="宋体" w:cs="宋体"/>
          <w:color w:val="auto"/>
          <w:sz w:val="24"/>
          <w:szCs w:val="24"/>
          <w:highlight w:val="none"/>
        </w:rPr>
        <w:t>供应商承担其</w:t>
      </w:r>
      <w:r>
        <w:rPr>
          <w:rFonts w:hint="eastAsia" w:ascii="宋体" w:hAnsi="宋体" w:eastAsia="宋体" w:cs="宋体"/>
          <w:color w:val="auto"/>
          <w:kern w:val="0"/>
          <w:sz w:val="24"/>
          <w:szCs w:val="24"/>
          <w:highlight w:val="none"/>
        </w:rPr>
        <w:t>电子化</w:t>
      </w:r>
      <w:r>
        <w:rPr>
          <w:rFonts w:hint="eastAsia" w:ascii="宋体" w:hAnsi="宋体" w:eastAsia="宋体" w:cs="宋体"/>
          <w:color w:val="auto"/>
          <w:sz w:val="24"/>
          <w:szCs w:val="24"/>
          <w:highlight w:val="none"/>
        </w:rPr>
        <w:t>投标文件编制与递交所涉及的一切费用。在任何情况下采购人和采购代理机构对上述费用均不承担任何责任。</w:t>
      </w:r>
    </w:p>
    <w:p>
      <w:pPr>
        <w:spacing w:line="440" w:lineRule="exac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3、定义及解释</w:t>
      </w:r>
    </w:p>
    <w:p>
      <w:pPr>
        <w:spacing w:line="440" w:lineRule="exact"/>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3.1</w:t>
      </w:r>
      <w:r>
        <w:rPr>
          <w:rFonts w:hint="eastAsia" w:ascii="宋体" w:hAnsi="宋体" w:eastAsia="宋体" w:cs="宋体"/>
          <w:color w:val="auto"/>
          <w:sz w:val="24"/>
          <w:szCs w:val="24"/>
          <w:highlight w:val="none"/>
        </w:rPr>
        <w:t>货物：系指供应商按招标文件规定而提供的货物及其他有关资料和材料。</w:t>
      </w:r>
    </w:p>
    <w:p>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 xml:space="preserve"> 3.2</w:t>
      </w:r>
      <w:r>
        <w:rPr>
          <w:rFonts w:hint="eastAsia" w:ascii="宋体" w:hAnsi="宋体" w:eastAsia="宋体" w:cs="宋体"/>
          <w:color w:val="auto"/>
          <w:sz w:val="24"/>
          <w:szCs w:val="24"/>
          <w:highlight w:val="none"/>
        </w:rPr>
        <w:t xml:space="preserve"> 服务：系指供应商按招标文件提供的服务。</w:t>
      </w:r>
    </w:p>
    <w:p>
      <w:pPr>
        <w:spacing w:line="440" w:lineRule="exact"/>
        <w:ind w:firstLine="482" w:firstLineChars="200"/>
        <w:rPr>
          <w:rFonts w:ascii="宋体" w:hAnsi="宋体" w:eastAsia="宋体" w:cs="宋体"/>
          <w:color w:val="auto"/>
          <w:sz w:val="24"/>
          <w:szCs w:val="24"/>
          <w:highlight w:val="none"/>
          <w:u w:val="single"/>
        </w:rPr>
      </w:pPr>
      <w:r>
        <w:rPr>
          <w:rFonts w:hint="eastAsia" w:ascii="宋体" w:hAnsi="宋体" w:eastAsia="宋体" w:cs="宋体"/>
          <w:b/>
          <w:bCs/>
          <w:color w:val="auto"/>
          <w:sz w:val="24"/>
          <w:szCs w:val="24"/>
          <w:highlight w:val="none"/>
        </w:rPr>
        <w:t xml:space="preserve">3.3 </w:t>
      </w:r>
      <w:r>
        <w:rPr>
          <w:rFonts w:hint="eastAsia" w:ascii="宋体" w:hAnsi="宋体" w:eastAsia="宋体" w:cs="宋体"/>
          <w:color w:val="auto"/>
          <w:sz w:val="24"/>
          <w:szCs w:val="24"/>
          <w:highlight w:val="none"/>
        </w:rPr>
        <w:t>采购人：</w:t>
      </w:r>
      <w:r>
        <w:rPr>
          <w:rFonts w:hint="eastAsia" w:ascii="宋体" w:hAnsi="宋体" w:eastAsia="宋体" w:cs="Times New Roman"/>
          <w:color w:val="auto"/>
          <w:sz w:val="24"/>
          <w:szCs w:val="24"/>
          <w:highlight w:val="none"/>
          <w:lang w:eastAsia="zh-CN"/>
        </w:rPr>
        <w:t xml:space="preserve"> 三门峡市生态环境局卢氏分局 </w:t>
      </w:r>
      <w:r>
        <w:rPr>
          <w:rFonts w:hint="eastAsia" w:ascii="宋体" w:hAnsi="宋体" w:eastAsia="宋体" w:cs="宋体"/>
          <w:color w:val="auto"/>
          <w:sz w:val="24"/>
          <w:szCs w:val="24"/>
          <w:highlight w:val="none"/>
        </w:rPr>
        <w:t>。</w:t>
      </w:r>
    </w:p>
    <w:p>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 xml:space="preserve"> 3.4</w:t>
      </w:r>
      <w:r>
        <w:rPr>
          <w:rFonts w:hint="eastAsia" w:ascii="宋体" w:hAnsi="宋体" w:eastAsia="宋体" w:cs="宋体"/>
          <w:color w:val="auto"/>
          <w:sz w:val="24"/>
          <w:szCs w:val="24"/>
          <w:highlight w:val="none"/>
        </w:rPr>
        <w:t xml:space="preserve"> 供应商：是指响应招标、参加投标竞争的法人或者其他组织。</w:t>
      </w:r>
    </w:p>
    <w:p>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 xml:space="preserve">3.5 </w:t>
      </w:r>
      <w:r>
        <w:rPr>
          <w:rFonts w:hint="eastAsia" w:ascii="宋体" w:hAnsi="宋体" w:eastAsia="宋体" w:cs="宋体"/>
          <w:color w:val="auto"/>
          <w:sz w:val="24"/>
          <w:szCs w:val="24"/>
          <w:highlight w:val="none"/>
        </w:rPr>
        <w:t>采购代理机构：河南洲禾建设工程有限公司。</w:t>
      </w:r>
    </w:p>
    <w:p>
      <w:pPr>
        <w:spacing w:line="440" w:lineRule="exact"/>
        <w:ind w:firstLine="465"/>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3.6</w:t>
      </w:r>
      <w:r>
        <w:rPr>
          <w:rFonts w:hint="eastAsia" w:ascii="宋体" w:hAnsi="宋体" w:eastAsia="宋体" w:cs="宋体"/>
          <w:color w:val="auto"/>
          <w:sz w:val="24"/>
          <w:szCs w:val="24"/>
          <w:highlight w:val="none"/>
        </w:rPr>
        <w:t xml:space="preserve"> 评标委员会：是指按照《中华人民共和国政府采购法》</w:t>
      </w:r>
      <w:r>
        <w:rPr>
          <w:rFonts w:hint="eastAsia" w:ascii="宋体" w:hAnsi="宋体" w:eastAsia="宋体" w:cs="宋体"/>
          <w:color w:val="auto"/>
          <w:kern w:val="0"/>
          <w:sz w:val="24"/>
          <w:szCs w:val="24"/>
          <w:highlight w:val="none"/>
        </w:rPr>
        <w:t>和《评标委员会和评标方法暂行规定》的</w:t>
      </w:r>
      <w:r>
        <w:rPr>
          <w:rFonts w:hint="eastAsia" w:ascii="宋体" w:hAnsi="宋体" w:eastAsia="宋体" w:cs="宋体"/>
          <w:color w:val="auto"/>
          <w:sz w:val="24"/>
          <w:szCs w:val="24"/>
          <w:highlight w:val="none"/>
        </w:rPr>
        <w:t>规定组建的专门负责本次招标的评标工作的临时机构。</w:t>
      </w:r>
    </w:p>
    <w:p>
      <w:pPr>
        <w:spacing w:line="440" w:lineRule="exact"/>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3.7</w:t>
      </w:r>
      <w:r>
        <w:rPr>
          <w:rFonts w:hint="eastAsia" w:ascii="宋体" w:hAnsi="宋体" w:eastAsia="宋体" w:cs="宋体"/>
          <w:color w:val="auto"/>
          <w:sz w:val="24"/>
          <w:szCs w:val="24"/>
          <w:highlight w:val="none"/>
        </w:rPr>
        <w:t>日期、天数、时间：无特别说明时是指公历日及北京时间。</w:t>
      </w:r>
    </w:p>
    <w:p>
      <w:pPr>
        <w:spacing w:line="44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4、合格的供应商</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投标供应商参加本次政府采购活动必须符合《中华人民共和国政府采购法》第二十二条的规定并同时具备下列条件：</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1、在中华人民共和国境内注册的能够独立承担民事责任，具有有效的营业执照、税务登记证、组织机构代码证(或“三证合一”的营业执照)或事业单位法人证书；</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供应商提供2025年以来任意三个月企业依法缴纳税收证明材料或承诺书(注:依法免税的，应提供税务部门出具的依法免税证明材料)，新成立企业从成立之日起计算；拟派项目负责人依法缴纳社保或承诺书、身份证等证明材料;</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3、具有履行合同所必需的设备和专业技术能力（提供承诺书，格式自拟）；</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4、参加政府采购活动前3年内无骗取中标、严重违约及重大工程质量等问题；</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5、开标时提供在中国裁判文书网自行查询的“企业无行贿犯罪记录”查询结果或自行承诺（查询对象：企业、法定代表人）和工商部门出具的无商业贿赂和不正当竞争证明，若当地工商部门不出具此证明，企业自行出具无商业贿赂和不正当竞争行为承诺书；</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6、根据《关于在政府采购活动中查询及使用信用记录有关问题的通知》（财库【2016】125号）和豫财购【2016】15号的规定，对列入失信被执行人、重大税收违法失信主体、“政府采购严重违法失信行为记录名单”的供应商，拒绝参与本项目采购活动，查询渠道：“信用中国”网站（www.creditchina.gov.cn）信用服务中的失信被执行人、政府采购严重违法失信行为记录名单、重大税收违法失信主体，中国政府采购网（www.ccgp.gov.cn）的政府采购严重违法失信行为记录名单，附本公司在“信用中国”网站和“中国政府采购网”网站上的查询记录并加盖公章，查询时间为自公告发布之日起至开标截止时间前）注:信用中国应处于网址过度期，查询过程中可能会出现法院系统界面。</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7、本次招标接受联合体投标，联合体投标，应满足以下要求：</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1）联合体成员不超过2家（含联合体牵头人）；</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2）若联合体投标成员参与投标时，联合体牵头人及联合体成员需满足上述供应商资格要求1-6项；</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3）联合体各方应签订联合体协议书明确各方权利义务；</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4）联合体各方签订共同投标协议后，联合体各方不得再以自己名义单独（或与其他单位组成新的联合体）参与同一标段下的投标；</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5）联合体中标后联合体各方应当共同与采购人签订合同，为履行合同向招标人承担连带责任；</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6）联合体的牵头人应被授权作为联合体各方的代表，承担责任和接受指令；</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7）获取招标文件时，应以联合体牵头人的名义获取，并以联合体牵头人的名义递交响应文件；联合体牵头人法定代表人或其授权代表负责签署本次投标相关资料，其他联合体成员必须予以认可。</w:t>
      </w:r>
    </w:p>
    <w:p>
      <w:pPr>
        <w:spacing w:line="580" w:lineRule="exact"/>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8、本次招标实行资格后审。</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不得存在下列情形之一：</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（1）与采购人存在利害关系且可能影响招标公正性；</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（2）与本招标项目的其他</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的单位负责人为同一人；</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（3）与本招标项目的其他</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存在直接控股、管理关系；</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（4）被依法暂停或者取消投标资格；</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（5）被责令停产停业、暂扣或者吊销许可证、暂扣或者吊销执照； </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（6）进入清算程序，或被宣告破产，或其他丧失履约能力的情形；</w:t>
      </w:r>
    </w:p>
    <w:p>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（7）在最近三年内严重违约、发生重大产品质量问题的。</w:t>
      </w:r>
    </w:p>
    <w:p>
      <w:pPr>
        <w:spacing w:line="440" w:lineRule="exact"/>
        <w:ind w:firstLine="3614" w:firstLineChars="15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5、保证</w:t>
      </w:r>
    </w:p>
    <w:p>
      <w:pPr>
        <w:spacing w:line="440" w:lineRule="exact"/>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5.1</w:t>
      </w:r>
      <w:r>
        <w:rPr>
          <w:rFonts w:hint="eastAsia" w:ascii="宋体" w:hAnsi="宋体" w:eastAsia="宋体" w:cs="宋体"/>
          <w:color w:val="auto"/>
          <w:sz w:val="24"/>
          <w:szCs w:val="24"/>
          <w:highlight w:val="none"/>
        </w:rPr>
        <w:t>供应商应保证在</w:t>
      </w:r>
      <w:r>
        <w:rPr>
          <w:rFonts w:hint="eastAsia" w:ascii="宋体" w:hAnsi="宋体" w:eastAsia="宋体" w:cs="宋体"/>
          <w:color w:val="auto"/>
          <w:kern w:val="0"/>
          <w:sz w:val="24"/>
          <w:szCs w:val="24"/>
          <w:highlight w:val="none"/>
        </w:rPr>
        <w:t>电子化</w:t>
      </w:r>
      <w:r>
        <w:rPr>
          <w:rFonts w:hint="eastAsia" w:ascii="宋体" w:hAnsi="宋体" w:eastAsia="宋体" w:cs="宋体"/>
          <w:color w:val="auto"/>
          <w:sz w:val="24"/>
          <w:szCs w:val="24"/>
          <w:highlight w:val="none"/>
        </w:rPr>
        <w:t>投标文件中所提交的资料和数据是真实的。</w:t>
      </w:r>
    </w:p>
    <w:p>
      <w:pPr>
        <w:spacing w:line="440" w:lineRule="exact"/>
        <w:ind w:firstLine="3415" w:firstLineChars="945"/>
        <w:rPr>
          <w:rFonts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二、招 标 文 件</w:t>
      </w:r>
    </w:p>
    <w:p>
      <w:pPr>
        <w:spacing w:line="440" w:lineRule="exact"/>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6、招标文件的组成</w:t>
      </w:r>
    </w:p>
    <w:p>
      <w:pPr>
        <w:spacing w:line="440" w:lineRule="exact"/>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    6.1 </w:t>
      </w:r>
      <w:r>
        <w:rPr>
          <w:rFonts w:hint="eastAsia" w:ascii="宋体" w:hAnsi="宋体" w:eastAsia="宋体" w:cs="宋体"/>
          <w:color w:val="auto"/>
          <w:sz w:val="24"/>
          <w:szCs w:val="24"/>
          <w:highlight w:val="none"/>
        </w:rPr>
        <w:t>招标文件包括下列内容及按供应商须知第7条款内容发出的答疑文件和第8条款内容发出的补充文件。</w:t>
      </w:r>
    </w:p>
    <w:p>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第一章  招标公告       </w:t>
      </w:r>
    </w:p>
    <w:p>
      <w:pPr>
        <w:spacing w:line="440" w:lineRule="exact"/>
        <w:ind w:firstLine="600" w:firstLineChars="2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  供应商须知</w:t>
      </w:r>
    </w:p>
    <w:p>
      <w:pPr>
        <w:spacing w:line="440" w:lineRule="exact"/>
        <w:ind w:firstLine="1560" w:firstLineChars="6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供应商须知前附表</w:t>
      </w:r>
    </w:p>
    <w:p>
      <w:pPr>
        <w:spacing w:line="440" w:lineRule="exact"/>
        <w:ind w:firstLine="1560" w:firstLineChars="6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一、  总则</w:t>
      </w:r>
    </w:p>
    <w:p>
      <w:pPr>
        <w:spacing w:line="440" w:lineRule="exact"/>
        <w:ind w:firstLine="1560" w:firstLineChars="6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二、  招标文件</w:t>
      </w:r>
    </w:p>
    <w:p>
      <w:pPr>
        <w:spacing w:line="440" w:lineRule="exact"/>
        <w:ind w:firstLine="1560" w:firstLineChars="6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三、  电子化投标文件的编制</w:t>
      </w:r>
    </w:p>
    <w:p>
      <w:pPr>
        <w:spacing w:line="440" w:lineRule="exact"/>
        <w:ind w:firstLine="1560" w:firstLineChars="6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四、  电子化投标文件的上传</w:t>
      </w:r>
    </w:p>
    <w:p>
      <w:pPr>
        <w:spacing w:line="440" w:lineRule="exact"/>
        <w:ind w:firstLine="1560" w:firstLineChars="6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  开标</w:t>
      </w:r>
    </w:p>
    <w:p>
      <w:pPr>
        <w:spacing w:line="440" w:lineRule="exact"/>
        <w:ind w:firstLine="1560" w:firstLineChars="6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六、  评标与定标</w:t>
      </w:r>
    </w:p>
    <w:p>
      <w:pPr>
        <w:spacing w:line="440" w:lineRule="exact"/>
        <w:ind w:firstLine="1560" w:firstLineChars="6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七、  授予合同</w:t>
      </w:r>
    </w:p>
    <w:p>
      <w:pPr>
        <w:spacing w:line="440" w:lineRule="exact"/>
        <w:ind w:firstLine="1560" w:firstLineChars="6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八、  其他</w:t>
      </w:r>
    </w:p>
    <w:p>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第三章  采购内容及参数要求</w:t>
      </w:r>
    </w:p>
    <w:p>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第四章  评标办法</w:t>
      </w:r>
    </w:p>
    <w:p>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第五章  合同条款及格式</w:t>
      </w:r>
    </w:p>
    <w:p>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第六章  电子化投标文件格式</w:t>
      </w:r>
    </w:p>
    <w:p>
      <w:pPr>
        <w:spacing w:line="440" w:lineRule="exact"/>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6.2</w:t>
      </w:r>
      <w:r>
        <w:rPr>
          <w:rFonts w:hint="eastAsia" w:ascii="宋体" w:hAnsi="宋体" w:eastAsia="宋体" w:cs="宋体"/>
          <w:color w:val="auto"/>
          <w:sz w:val="24"/>
          <w:szCs w:val="24"/>
          <w:highlight w:val="none"/>
        </w:rPr>
        <w:t>供应商应详细阅读招标文件中的所有条款内容、格式、表格和所涉及的相关规范。如果供应商不按招标文件的要求提交电子化投标文件和资料的，或者电子化投标文件没有对招标文件提出的实质性要求和条件做出响应，将导致电子化投标文件不被接受，其后果由供应商自己负责。</w:t>
      </w:r>
    </w:p>
    <w:p>
      <w:pPr>
        <w:spacing w:line="440" w:lineRule="exac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7、招标文件的澄清</w:t>
      </w:r>
    </w:p>
    <w:p>
      <w:pPr>
        <w:autoSpaceDE w:val="0"/>
        <w:autoSpaceDN w:val="0"/>
        <w:adjustRightInd w:val="0"/>
        <w:spacing w:line="44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供应商在获得招标文件后，如有问题需要采购人澄清和解答，将需澄清及答疑内容以书面形式（加盖单位公章）在答疑递交截止时间前提交至采购代理机构。采购人只对书面问题做出答复，并将答复内容以公告的形式发布。</w:t>
      </w:r>
    </w:p>
    <w:p>
      <w:pPr>
        <w:autoSpaceDE w:val="0"/>
        <w:autoSpaceDN w:val="0"/>
        <w:adjustRightInd w:val="0"/>
        <w:spacing w:line="440" w:lineRule="exact"/>
        <w:ind w:firstLine="480"/>
        <w:jc w:val="left"/>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8、招标文件的修正</w:t>
      </w:r>
    </w:p>
    <w:p>
      <w:pPr>
        <w:autoSpaceDE w:val="0"/>
        <w:autoSpaceDN w:val="0"/>
        <w:adjustRightInd w:val="0"/>
        <w:spacing w:line="440" w:lineRule="exact"/>
        <w:ind w:firstLine="482" w:firstLineChars="200"/>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xml:space="preserve">8.1 </w:t>
      </w:r>
      <w:r>
        <w:rPr>
          <w:rFonts w:hint="eastAsia" w:ascii="宋体" w:hAnsi="宋体" w:eastAsia="宋体" w:cs="宋体"/>
          <w:color w:val="auto"/>
          <w:kern w:val="0"/>
          <w:sz w:val="24"/>
          <w:szCs w:val="24"/>
          <w:highlight w:val="none"/>
        </w:rPr>
        <w:t>在</w:t>
      </w:r>
      <w:r>
        <w:rPr>
          <w:rFonts w:hint="eastAsia" w:ascii="宋体" w:hAnsi="宋体" w:eastAsia="宋体" w:cs="宋体"/>
          <w:color w:val="auto"/>
          <w:sz w:val="24"/>
          <w:szCs w:val="24"/>
          <w:highlight w:val="none"/>
        </w:rPr>
        <w:t>投标截止时间15日前</w:t>
      </w:r>
      <w:r>
        <w:rPr>
          <w:rFonts w:hint="eastAsia" w:ascii="宋体" w:hAnsi="宋体" w:eastAsia="宋体" w:cs="宋体"/>
          <w:color w:val="auto"/>
          <w:kern w:val="0"/>
          <w:sz w:val="24"/>
          <w:szCs w:val="24"/>
          <w:highlight w:val="none"/>
        </w:rPr>
        <w:t>的任何时间，采购人可以用补充文件的方式修正招标文件，该补充文件将成为招标文件的组成部分。</w:t>
      </w:r>
    </w:p>
    <w:p>
      <w:pPr>
        <w:spacing w:line="440" w:lineRule="exact"/>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rPr>
        <w:t>8.2</w:t>
      </w:r>
      <w:r>
        <w:rPr>
          <w:rFonts w:hint="eastAsia" w:ascii="宋体" w:hAnsi="宋体" w:eastAsia="宋体" w:cs="宋体"/>
          <w:color w:val="auto"/>
          <w:kern w:val="0"/>
          <w:sz w:val="24"/>
          <w:szCs w:val="24"/>
          <w:highlight w:val="none"/>
        </w:rPr>
        <w:t>补充文件将以公告形式发布。</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8.3</w:t>
      </w:r>
      <w:r>
        <w:rPr>
          <w:rFonts w:hint="eastAsia" w:ascii="宋体" w:hAnsi="宋体" w:eastAsia="宋体" w:cs="宋体"/>
          <w:color w:val="auto"/>
          <w:sz w:val="24"/>
          <w:szCs w:val="24"/>
          <w:highlight w:val="none"/>
        </w:rPr>
        <w:t>为使供应商有足够的时间按修正的招标文件准备电子化投标文件，采购人可以酌情延长投标截止时间。</w:t>
      </w:r>
    </w:p>
    <w:p>
      <w:pPr>
        <w:spacing w:line="440" w:lineRule="exact"/>
        <w:jc w:val="center"/>
        <w:rPr>
          <w:rFonts w:ascii="宋体" w:hAnsi="宋体" w:eastAsia="宋体" w:cs="宋体"/>
          <w:b/>
          <w:bCs/>
          <w:color w:val="auto"/>
          <w:sz w:val="36"/>
          <w:szCs w:val="36"/>
          <w:highlight w:val="none"/>
        </w:rPr>
      </w:pPr>
    </w:p>
    <w:p>
      <w:pPr>
        <w:spacing w:line="440" w:lineRule="exact"/>
        <w:jc w:val="center"/>
        <w:rPr>
          <w:rFonts w:ascii="宋体" w:hAnsi="宋体" w:eastAsia="宋体" w:cs="宋体"/>
          <w:b/>
          <w:bCs/>
          <w:color w:val="auto"/>
          <w:sz w:val="36"/>
          <w:szCs w:val="36"/>
          <w:highlight w:val="none"/>
        </w:rPr>
      </w:pPr>
    </w:p>
    <w:p>
      <w:pPr>
        <w:spacing w:line="440" w:lineRule="exact"/>
        <w:jc w:val="center"/>
        <w:rPr>
          <w:rFonts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三、电子化投标文件的编制</w:t>
      </w:r>
    </w:p>
    <w:p>
      <w:pPr>
        <w:spacing w:line="440" w:lineRule="exact"/>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9、特别说明</w:t>
      </w:r>
    </w:p>
    <w:p>
      <w:pPr>
        <w:spacing w:line="440" w:lineRule="exact"/>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    9.1</w:t>
      </w:r>
      <w:r>
        <w:rPr>
          <w:rFonts w:hint="eastAsia" w:ascii="宋体" w:hAnsi="宋体" w:eastAsia="宋体" w:cs="宋体"/>
          <w:color w:val="auto"/>
          <w:sz w:val="24"/>
          <w:szCs w:val="24"/>
          <w:highlight w:val="none"/>
        </w:rPr>
        <w:t xml:space="preserve"> 投标语言</w:t>
      </w:r>
    </w:p>
    <w:p>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供应商提交的投标文件以及供应商与采购代理机构就有关投标的所有往来函电均应使用中文。供应商提供的文件可以用英文，但相应内容应附有中文翻译本，在解释时以中文翻译本为准。</w:t>
      </w:r>
    </w:p>
    <w:p>
      <w:pPr>
        <w:spacing w:line="440" w:lineRule="exact"/>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    9.2</w:t>
      </w:r>
      <w:r>
        <w:rPr>
          <w:rFonts w:hint="eastAsia" w:ascii="宋体" w:hAnsi="宋体" w:eastAsia="宋体" w:cs="宋体"/>
          <w:color w:val="auto"/>
          <w:sz w:val="24"/>
          <w:szCs w:val="24"/>
          <w:highlight w:val="none"/>
        </w:rPr>
        <w:t xml:space="preserve"> 计量</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在电子化投标文件所有计量单位均采用中华人民共和国法定计量单位。</w:t>
      </w:r>
    </w:p>
    <w:p>
      <w:pPr>
        <w:spacing w:line="440" w:lineRule="exact"/>
        <w:ind w:firstLine="460" w:firstLineChars="191"/>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9.3</w:t>
      </w:r>
      <w:r>
        <w:rPr>
          <w:rFonts w:hint="eastAsia" w:ascii="宋体" w:hAnsi="宋体" w:eastAsia="宋体" w:cs="宋体"/>
          <w:color w:val="auto"/>
          <w:sz w:val="24"/>
          <w:szCs w:val="24"/>
          <w:highlight w:val="none"/>
        </w:rPr>
        <w:t>供应商在投标文件中所提交的所有资料和文件均应是真实的和有效的，如有作假，则将该供应商的投标作无效标处理，若中标后被发现有上述行为的，则采购人有权取消其中标资格，并且该供应商应承担由此而造成的一切损失（包括经济损失和法律责任）。</w:t>
      </w:r>
    </w:p>
    <w:p>
      <w:pPr>
        <w:spacing w:line="440" w:lineRule="exact"/>
        <w:ind w:firstLine="460" w:firstLineChars="191"/>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9.4</w:t>
      </w:r>
      <w:r>
        <w:rPr>
          <w:rFonts w:hint="eastAsia" w:ascii="宋体" w:hAnsi="宋体" w:eastAsia="宋体" w:cs="宋体"/>
          <w:color w:val="auto"/>
          <w:sz w:val="24"/>
          <w:szCs w:val="24"/>
          <w:highlight w:val="none"/>
        </w:rPr>
        <w:t>供应商应当按照招标文件和电子招标投标交易平台的要求编制并加密电子化投标文件。供应商未按规定加密的电子化投标文件，电子招标投标交易平台将拒收并提示。</w:t>
      </w:r>
    </w:p>
    <w:p>
      <w:pPr>
        <w:spacing w:line="440" w:lineRule="exact"/>
        <w:ind w:firstLine="460" w:firstLineChars="191"/>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9.5</w:t>
      </w:r>
      <w:r>
        <w:rPr>
          <w:rFonts w:hint="eastAsia" w:ascii="宋体" w:hAnsi="宋体" w:eastAsia="宋体" w:cs="宋体"/>
          <w:color w:val="auto"/>
          <w:sz w:val="24"/>
          <w:szCs w:val="24"/>
          <w:highlight w:val="none"/>
        </w:rPr>
        <w:t>供应商应当在投标截止时间前完成投标文件电子版的传输递交，并可以补充、修改或者撤回电子化投标文件。投标截止时间前未完成电子化投标文件传输的，视为撤回电子化投标文件。投标截止时间后送达的电子化投标文件，电子招标投标交易平台将拒收。</w:t>
      </w:r>
    </w:p>
    <w:p>
      <w:pPr>
        <w:spacing w:line="440" w:lineRule="exact"/>
        <w:ind w:firstLine="465"/>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110、投标货物和服务的文件</w:t>
      </w:r>
    </w:p>
    <w:p>
      <w:pPr>
        <w:spacing w:line="440" w:lineRule="exact"/>
        <w:ind w:firstLine="465"/>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10.1</w:t>
      </w:r>
      <w:r>
        <w:rPr>
          <w:rFonts w:hint="eastAsia" w:ascii="宋体" w:hAnsi="宋体" w:eastAsia="宋体" w:cs="宋体"/>
          <w:color w:val="auto"/>
          <w:sz w:val="24"/>
          <w:szCs w:val="24"/>
          <w:highlight w:val="none"/>
        </w:rPr>
        <w:t>投标设备合格文件：</w:t>
      </w:r>
    </w:p>
    <w:p>
      <w:pPr>
        <w:spacing w:line="440" w:lineRule="exact"/>
        <w:ind w:firstLine="465"/>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10.1.1</w:t>
      </w:r>
      <w:r>
        <w:rPr>
          <w:rFonts w:hint="eastAsia" w:ascii="宋体" w:hAnsi="宋体" w:eastAsia="宋体" w:cs="宋体"/>
          <w:color w:val="auto"/>
          <w:sz w:val="24"/>
          <w:szCs w:val="24"/>
          <w:highlight w:val="none"/>
        </w:rPr>
        <w:t>供应商必须提供有关投标设备符合招标文件要求的证明文件，这些文件可以是说明书、样本和资料等。</w:t>
      </w:r>
    </w:p>
    <w:p>
      <w:pPr>
        <w:spacing w:line="440" w:lineRule="exact"/>
        <w:ind w:firstLine="465"/>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10.1.2</w:t>
      </w:r>
      <w:r>
        <w:rPr>
          <w:rFonts w:hint="eastAsia" w:ascii="宋体" w:hAnsi="宋体" w:eastAsia="宋体" w:cs="宋体"/>
          <w:color w:val="auto"/>
          <w:sz w:val="24"/>
          <w:szCs w:val="24"/>
          <w:highlight w:val="none"/>
        </w:rPr>
        <w:t>有关各种实验报告、鉴定报告等。</w:t>
      </w:r>
    </w:p>
    <w:p>
      <w:pPr>
        <w:spacing w:line="440" w:lineRule="exact"/>
        <w:ind w:firstLine="465"/>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10.1.3</w:t>
      </w:r>
      <w:r>
        <w:rPr>
          <w:rFonts w:hint="eastAsia" w:ascii="宋体" w:hAnsi="宋体" w:eastAsia="宋体" w:cs="宋体"/>
          <w:color w:val="auto"/>
          <w:sz w:val="24"/>
          <w:szCs w:val="24"/>
          <w:highlight w:val="none"/>
        </w:rPr>
        <w:t>产品样本说明书、主要技术参数、性能说明、部件及材料产地来源表等资料。</w:t>
      </w:r>
    </w:p>
    <w:p>
      <w:pPr>
        <w:spacing w:line="440" w:lineRule="exact"/>
        <w:ind w:firstLine="465"/>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10.1.4</w:t>
      </w:r>
      <w:r>
        <w:rPr>
          <w:rFonts w:hint="eastAsia" w:ascii="宋体" w:hAnsi="宋体" w:eastAsia="宋体" w:cs="宋体"/>
          <w:color w:val="auto"/>
          <w:sz w:val="24"/>
          <w:szCs w:val="24"/>
          <w:highlight w:val="none"/>
        </w:rPr>
        <w:t>投标设备的制造及验收标准。</w:t>
      </w:r>
    </w:p>
    <w:p>
      <w:pPr>
        <w:spacing w:line="440" w:lineRule="exact"/>
        <w:ind w:firstLine="465"/>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10.1.5</w:t>
      </w:r>
      <w:r>
        <w:rPr>
          <w:rFonts w:hint="eastAsia" w:ascii="宋体" w:hAnsi="宋体" w:eastAsia="宋体" w:cs="宋体"/>
          <w:color w:val="auto"/>
          <w:sz w:val="24"/>
          <w:szCs w:val="24"/>
          <w:highlight w:val="none"/>
        </w:rPr>
        <w:t>设备维修时所需的特殊工具及所需备品、备件清单。</w:t>
      </w:r>
    </w:p>
    <w:p>
      <w:pPr>
        <w:spacing w:line="440" w:lineRule="exact"/>
        <w:ind w:firstLine="487" w:firstLineChars="202"/>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10.2</w:t>
      </w:r>
      <w:r>
        <w:rPr>
          <w:rFonts w:hint="eastAsia" w:ascii="宋体" w:hAnsi="宋体" w:eastAsia="宋体" w:cs="宋体"/>
          <w:color w:val="auto"/>
          <w:sz w:val="24"/>
          <w:szCs w:val="24"/>
          <w:highlight w:val="none"/>
        </w:rPr>
        <w:t>各供应商必须对设备清单中的全部设备进行投标，只投其中部分设备则电子化投标文件无效。</w:t>
      </w:r>
    </w:p>
    <w:p>
      <w:pPr>
        <w:spacing w:line="440" w:lineRule="exact"/>
        <w:ind w:firstLine="487" w:firstLineChars="202"/>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10.3</w:t>
      </w:r>
      <w:r>
        <w:rPr>
          <w:rFonts w:hint="eastAsia" w:ascii="宋体" w:hAnsi="宋体" w:eastAsia="宋体" w:cs="宋体"/>
          <w:color w:val="auto"/>
          <w:sz w:val="24"/>
          <w:szCs w:val="24"/>
          <w:highlight w:val="none"/>
        </w:rPr>
        <w:t>供应商所投设备的所有部件均为合格产品。</w:t>
      </w:r>
    </w:p>
    <w:p>
      <w:pPr>
        <w:spacing w:line="440" w:lineRule="exact"/>
        <w:ind w:firstLine="487" w:firstLineChars="202"/>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10.4</w:t>
      </w:r>
      <w:r>
        <w:rPr>
          <w:rFonts w:hint="eastAsia" w:ascii="宋体" w:hAnsi="宋体" w:eastAsia="宋体" w:cs="宋体"/>
          <w:color w:val="auto"/>
          <w:sz w:val="24"/>
          <w:szCs w:val="24"/>
          <w:highlight w:val="none"/>
        </w:rPr>
        <w:t>供应商认为应对其设备的性能特点、优越性等有必要进行补充说明的内容。</w:t>
      </w:r>
    </w:p>
    <w:p>
      <w:pPr>
        <w:spacing w:line="440" w:lineRule="exact"/>
        <w:ind w:firstLine="487" w:firstLineChars="202"/>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10.5</w:t>
      </w:r>
      <w:r>
        <w:rPr>
          <w:rFonts w:hint="eastAsia" w:ascii="宋体" w:hAnsi="宋体" w:eastAsia="宋体" w:cs="宋体"/>
          <w:color w:val="auto"/>
          <w:sz w:val="24"/>
          <w:szCs w:val="24"/>
          <w:highlight w:val="none"/>
        </w:rPr>
        <w:t>供应商必须对招标文件中设备的技术要求逐项、逐条明确答复；</w:t>
      </w:r>
    </w:p>
    <w:p>
      <w:pPr>
        <w:spacing w:line="360" w:lineRule="auto"/>
        <w:ind w:firstLine="489" w:firstLineChars="203"/>
        <w:rPr>
          <w:rFonts w:ascii="宋体" w:hAnsi="宋体" w:eastAsia="宋体" w:cs="Arial"/>
          <w:color w:val="auto"/>
          <w:sz w:val="24"/>
          <w:szCs w:val="20"/>
          <w:highlight w:val="none"/>
        </w:rPr>
      </w:pPr>
      <w:r>
        <w:rPr>
          <w:rFonts w:hint="eastAsia" w:ascii="宋体" w:hAnsi="宋体" w:eastAsia="宋体" w:cs="Arial"/>
          <w:b/>
          <w:color w:val="auto"/>
          <w:sz w:val="24"/>
          <w:szCs w:val="20"/>
          <w:highlight w:val="none"/>
        </w:rPr>
        <w:t>11、</w:t>
      </w:r>
      <w:r>
        <w:rPr>
          <w:rFonts w:hint="eastAsia" w:ascii="宋体" w:hAnsi="宋体" w:eastAsia="宋体" w:cs="Arial"/>
          <w:color w:val="auto"/>
          <w:sz w:val="24"/>
          <w:szCs w:val="20"/>
          <w:highlight w:val="none"/>
        </w:rPr>
        <w:t>供应商所投货物为国内生产企业的产品，相关进口部件不能少于招标文件规定的内容，并提供相关的产地证明文件。</w:t>
      </w:r>
    </w:p>
    <w:p>
      <w:pPr>
        <w:spacing w:line="440" w:lineRule="exact"/>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12、投标报价 </w:t>
      </w:r>
    </w:p>
    <w:p>
      <w:pPr>
        <w:spacing w:line="440" w:lineRule="exact"/>
        <w:ind w:firstLine="465"/>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12.1</w:t>
      </w:r>
      <w:r>
        <w:rPr>
          <w:rFonts w:hint="eastAsia" w:ascii="宋体" w:hAnsi="宋体" w:eastAsia="宋体" w:cs="宋体"/>
          <w:color w:val="auto"/>
          <w:sz w:val="24"/>
          <w:szCs w:val="24"/>
          <w:highlight w:val="none"/>
        </w:rPr>
        <w:t>投标报价中应包含以下内容：</w:t>
      </w:r>
    </w:p>
    <w:p>
      <w:pPr>
        <w:spacing w:line="440" w:lineRule="exact"/>
        <w:ind w:firstLine="46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钻探建井、分析测试、水文地质调查、辅助调查、综合研究及报告编写等</w:t>
      </w:r>
      <w:r>
        <w:rPr>
          <w:rFonts w:hint="eastAsia" w:ascii="宋体" w:hAnsi="宋体" w:eastAsia="宋体" w:cs="宋体"/>
          <w:color w:val="auto"/>
          <w:sz w:val="24"/>
          <w:szCs w:val="24"/>
          <w:highlight w:val="none"/>
        </w:rPr>
        <w:t>费用。</w:t>
      </w:r>
    </w:p>
    <w:p>
      <w:pPr>
        <w:spacing w:line="440" w:lineRule="exact"/>
        <w:ind w:firstLine="465"/>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12.2</w:t>
      </w:r>
      <w:r>
        <w:rPr>
          <w:rFonts w:hint="eastAsia" w:ascii="宋体" w:hAnsi="宋体" w:eastAsia="宋体" w:cs="宋体"/>
          <w:color w:val="auto"/>
          <w:sz w:val="24"/>
          <w:szCs w:val="24"/>
          <w:highlight w:val="none"/>
        </w:rPr>
        <w:t>供应商的投标报价应包含验收合格正式交付使用前所发生的一切费用，且供应商只能提出一个不变价格，采购人不接受任何选择报价。</w:t>
      </w:r>
    </w:p>
    <w:p>
      <w:pPr>
        <w:spacing w:line="440" w:lineRule="exact"/>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12.3</w:t>
      </w:r>
      <w:r>
        <w:rPr>
          <w:rFonts w:hint="eastAsia" w:ascii="宋体" w:hAnsi="宋体" w:eastAsia="宋体" w:cs="宋体"/>
          <w:color w:val="auto"/>
          <w:sz w:val="24"/>
          <w:szCs w:val="24"/>
          <w:highlight w:val="none"/>
        </w:rPr>
        <w:t>该项目类别及取费标准按照国家相关规定执行。</w:t>
      </w:r>
    </w:p>
    <w:p>
      <w:pPr>
        <w:spacing w:line="440" w:lineRule="exact"/>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12.4</w:t>
      </w:r>
      <w:r>
        <w:rPr>
          <w:rFonts w:hint="eastAsia" w:ascii="宋体" w:hAnsi="宋体" w:eastAsia="宋体" w:cs="宋体"/>
          <w:color w:val="auto"/>
          <w:sz w:val="24"/>
          <w:szCs w:val="24"/>
          <w:highlight w:val="none"/>
        </w:rPr>
        <w:t>如投标报价表中的大写金额和小写金额不一致的，以大写金额为准；总价金额与单价金额不一致的，以单价金额为准，但单价金额小数点有明显错误的除外；对不同文字文本电子化投标文件的解释发生异议的，以中文文本为准。</w:t>
      </w:r>
    </w:p>
    <w:p>
      <w:pPr>
        <w:spacing w:line="440" w:lineRule="exact"/>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12.5</w:t>
      </w:r>
      <w:r>
        <w:rPr>
          <w:rFonts w:hint="eastAsia" w:ascii="宋体" w:hAnsi="宋体" w:eastAsia="宋体" w:cs="宋体"/>
          <w:color w:val="auto"/>
          <w:sz w:val="24"/>
          <w:szCs w:val="24"/>
          <w:highlight w:val="none"/>
        </w:rPr>
        <w:t>全部报价均应以人民币为计量币种，并以人民币进行结算。</w:t>
      </w:r>
    </w:p>
    <w:p>
      <w:pPr>
        <w:spacing w:line="440" w:lineRule="exact"/>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ascii="宋体" w:hAnsi="宋体" w:eastAsia="宋体" w:cs="宋体"/>
          <w:b/>
          <w:bCs/>
          <w:color w:val="auto"/>
          <w:sz w:val="24"/>
          <w:szCs w:val="24"/>
          <w:highlight w:val="none"/>
        </w:rPr>
        <w:t>3</w:t>
      </w:r>
      <w:r>
        <w:rPr>
          <w:rFonts w:hint="eastAsia" w:ascii="宋体" w:hAnsi="宋体" w:eastAsia="宋体" w:cs="宋体"/>
          <w:b/>
          <w:bCs/>
          <w:color w:val="auto"/>
          <w:sz w:val="24"/>
          <w:szCs w:val="24"/>
          <w:highlight w:val="none"/>
        </w:rPr>
        <w:t>、投标保证金</w:t>
      </w:r>
    </w:p>
    <w:p>
      <w:pPr>
        <w:spacing w:line="440" w:lineRule="exact"/>
        <w:ind w:firstLine="424" w:firstLineChars="177"/>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根据《河南省财政厅关于优化政府采购营商环境有关问题的通知》（豫财购【2019】4号）第6条的规定，投标保证金不再收取，需提供投标承诺函（详见</w:t>
      </w:r>
      <w:r>
        <w:rPr>
          <w:rFonts w:hint="eastAsia" w:ascii="宋体" w:hAnsi="宋体" w:eastAsia="宋体" w:cs="宋体"/>
          <w:bCs/>
          <w:color w:val="auto"/>
          <w:sz w:val="24"/>
          <w:szCs w:val="24"/>
          <w:highlight w:val="none"/>
        </w:rPr>
        <w:t>电子化投标文件格式</w:t>
      </w:r>
      <w:r>
        <w:rPr>
          <w:rFonts w:hint="eastAsia" w:ascii="宋体" w:hAnsi="宋体" w:eastAsia="宋体" w:cs="宋体"/>
          <w:color w:val="auto"/>
          <w:sz w:val="24"/>
          <w:szCs w:val="24"/>
          <w:highlight w:val="none"/>
        </w:rPr>
        <w:t>）。</w:t>
      </w:r>
    </w:p>
    <w:p>
      <w:pPr>
        <w:spacing w:line="440" w:lineRule="exac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1</w:t>
      </w:r>
      <w:r>
        <w:rPr>
          <w:rFonts w:ascii="宋体" w:hAnsi="宋体" w:eastAsia="宋体" w:cs="宋体"/>
          <w:b/>
          <w:bCs/>
          <w:color w:val="auto"/>
          <w:sz w:val="24"/>
          <w:szCs w:val="24"/>
          <w:highlight w:val="none"/>
        </w:rPr>
        <w:t>4</w:t>
      </w:r>
      <w:r>
        <w:rPr>
          <w:rFonts w:hint="eastAsia" w:ascii="宋体" w:hAnsi="宋体" w:eastAsia="宋体" w:cs="宋体"/>
          <w:b/>
          <w:bCs/>
          <w:color w:val="auto"/>
          <w:sz w:val="24"/>
          <w:szCs w:val="24"/>
          <w:highlight w:val="none"/>
        </w:rPr>
        <w:t>、投标有效期</w:t>
      </w:r>
    </w:p>
    <w:p>
      <w:pPr>
        <w:spacing w:line="440" w:lineRule="exact"/>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w:t>
      </w:r>
      <w:r>
        <w:rPr>
          <w:rFonts w:ascii="宋体" w:hAnsi="宋体" w:eastAsia="宋体" w:cs="宋体"/>
          <w:b/>
          <w:bCs/>
          <w:color w:val="auto"/>
          <w:sz w:val="24"/>
          <w:szCs w:val="24"/>
          <w:highlight w:val="none"/>
        </w:rPr>
        <w:t>4</w:t>
      </w:r>
      <w:r>
        <w:rPr>
          <w:rFonts w:hint="eastAsia" w:ascii="宋体" w:hAnsi="宋体" w:eastAsia="宋体" w:cs="宋体"/>
          <w:b/>
          <w:bCs/>
          <w:color w:val="auto"/>
          <w:sz w:val="24"/>
          <w:szCs w:val="24"/>
          <w:highlight w:val="none"/>
        </w:rPr>
        <w:t>.1</w:t>
      </w:r>
      <w:r>
        <w:rPr>
          <w:rFonts w:hint="eastAsia" w:ascii="宋体" w:hAnsi="宋体" w:eastAsia="宋体" w:cs="宋体"/>
          <w:color w:val="auto"/>
          <w:sz w:val="24"/>
          <w:szCs w:val="24"/>
          <w:highlight w:val="none"/>
        </w:rPr>
        <w:t>电子化投标文件从开标之时起开始生效，投标有效期为60日历天。</w:t>
      </w:r>
    </w:p>
    <w:p>
      <w:pPr>
        <w:spacing w:line="440" w:lineRule="exact"/>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w:t>
      </w:r>
      <w:r>
        <w:rPr>
          <w:rFonts w:ascii="宋体" w:hAnsi="宋体" w:eastAsia="宋体" w:cs="宋体"/>
          <w:b/>
          <w:bCs/>
          <w:color w:val="auto"/>
          <w:sz w:val="24"/>
          <w:szCs w:val="24"/>
          <w:highlight w:val="none"/>
        </w:rPr>
        <w:t>4</w:t>
      </w:r>
      <w:r>
        <w:rPr>
          <w:rFonts w:hint="eastAsia" w:ascii="宋体" w:hAnsi="宋体" w:eastAsia="宋体" w:cs="宋体"/>
          <w:b/>
          <w:bCs/>
          <w:color w:val="auto"/>
          <w:sz w:val="24"/>
          <w:szCs w:val="24"/>
          <w:highlight w:val="none"/>
        </w:rPr>
        <w:t>.2</w:t>
      </w:r>
      <w:r>
        <w:rPr>
          <w:rFonts w:hint="eastAsia" w:ascii="宋体" w:hAnsi="宋体" w:eastAsia="宋体" w:cs="宋体"/>
          <w:color w:val="auto"/>
          <w:sz w:val="24"/>
          <w:szCs w:val="24"/>
          <w:highlight w:val="none"/>
        </w:rPr>
        <w:t>在特殊情况下，采购人可征求供应商同意延长投标有效期，这种要求和答复均应以信函、传真等书面形式提交。供应商可以拒绝采购人的这种要求。同意延长投标有效期的供应商不需要也不允许修改其电子化投标文件。</w:t>
      </w:r>
    </w:p>
    <w:p>
      <w:pPr>
        <w:spacing w:line="440" w:lineRule="exac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电子化投标文件的组成</w:t>
      </w:r>
    </w:p>
    <w:p>
      <w:pPr>
        <w:spacing w:line="440" w:lineRule="exact"/>
        <w:ind w:firstLine="46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投标函</w:t>
      </w:r>
    </w:p>
    <w:p>
      <w:pPr>
        <w:spacing w:line="440" w:lineRule="exact"/>
        <w:ind w:firstLine="46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投标函附表</w:t>
      </w:r>
    </w:p>
    <w:p>
      <w:pPr>
        <w:spacing w:line="440" w:lineRule="exact"/>
        <w:ind w:firstLine="46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投标承诺函</w:t>
      </w:r>
    </w:p>
    <w:p>
      <w:pPr>
        <w:spacing w:line="440" w:lineRule="exact"/>
        <w:ind w:firstLine="46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法定代表人身份证明</w:t>
      </w:r>
    </w:p>
    <w:p>
      <w:pPr>
        <w:spacing w:line="440" w:lineRule="exact"/>
        <w:ind w:firstLine="46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授权委托书</w:t>
      </w:r>
    </w:p>
    <w:p>
      <w:pPr>
        <w:spacing w:line="440" w:lineRule="exact"/>
        <w:ind w:firstLine="465"/>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企业基本情况资料</w:t>
      </w:r>
    </w:p>
    <w:p>
      <w:pPr>
        <w:spacing w:line="440" w:lineRule="exact"/>
        <w:ind w:firstLine="46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项目实施方案</w:t>
      </w:r>
    </w:p>
    <w:p>
      <w:pPr>
        <w:spacing w:line="440" w:lineRule="exact"/>
        <w:ind w:firstLine="46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服务能力及优惠承诺</w:t>
      </w:r>
    </w:p>
    <w:p>
      <w:pPr>
        <w:spacing w:line="440" w:lineRule="exact"/>
        <w:ind w:firstLine="46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其他资料</w:t>
      </w:r>
    </w:p>
    <w:p>
      <w:pPr>
        <w:spacing w:line="440" w:lineRule="exact"/>
        <w:ind w:firstLine="465"/>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17、电子化投标文件的格式</w:t>
      </w:r>
    </w:p>
    <w:p>
      <w:pPr>
        <w:spacing w:line="440" w:lineRule="exact"/>
        <w:ind w:firstLine="465"/>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17.1</w:t>
      </w:r>
      <w:r>
        <w:rPr>
          <w:rFonts w:hint="eastAsia" w:ascii="宋体" w:hAnsi="宋体" w:eastAsia="宋体" w:cs="宋体"/>
          <w:color w:val="auto"/>
          <w:sz w:val="24"/>
          <w:szCs w:val="24"/>
          <w:highlight w:val="none"/>
        </w:rPr>
        <w:t>供应商所上传的电子化投标文件，应是通过中心投标文件制作系统制作的（投标文件制作工具下载地址：http://t.cn/A6ZvtVob），经过签章和加密后生成的电子版投标文件。其中包含用于投标文件上传的主文件（后缀为.smxtf）和用于应急补救的投标文件备份文件（后缀为.nsmxtf）。</w:t>
      </w:r>
    </w:p>
    <w:p>
      <w:pPr>
        <w:spacing w:line="440" w:lineRule="exact"/>
        <w:ind w:firstLine="465"/>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电子化投标文件具体制作教材请供应商点击以下链接学习</w:t>
      </w:r>
      <w:r>
        <w:rPr>
          <w:rFonts w:ascii="宋体" w:hAnsi="宋体" w:eastAsia="宋体" w:cs="宋体"/>
          <w:b/>
          <w:color w:val="auto"/>
          <w:sz w:val="24"/>
          <w:szCs w:val="24"/>
          <w:highlight w:val="none"/>
        </w:rPr>
        <w:t>https://t.cn/A625r72N</w:t>
      </w:r>
    </w:p>
    <w:p>
      <w:pPr>
        <w:spacing w:line="440" w:lineRule="exact"/>
        <w:ind w:firstLine="465"/>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18、电子化投标文件的签署</w:t>
      </w:r>
    </w:p>
    <w:p>
      <w:pPr>
        <w:spacing w:line="440" w:lineRule="exact"/>
        <w:ind w:firstLine="465"/>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18.1</w:t>
      </w:r>
      <w:r>
        <w:rPr>
          <w:rFonts w:hint="eastAsia" w:ascii="宋体" w:hAnsi="宋体" w:eastAsia="宋体" w:cs="宋体"/>
          <w:color w:val="auto"/>
          <w:sz w:val="24"/>
          <w:szCs w:val="24"/>
          <w:highlight w:val="none"/>
        </w:rPr>
        <w:t>招标文件中要求供应商盖章的，以签盖单位章为准；要求法定代表人签章的，以签盖法定代表人签章为准。电子化投标文件具体制作教材请供应商通过CA证书登录三门峡市公共资源电子化交易系统在右上角“组件下载”中查看。</w:t>
      </w:r>
    </w:p>
    <w:p>
      <w:pPr>
        <w:spacing w:line="440" w:lineRule="exact"/>
        <w:jc w:val="center"/>
        <w:rPr>
          <w:rFonts w:ascii="宋体" w:hAnsi="宋体" w:eastAsia="宋体" w:cs="宋体"/>
          <w:b/>
          <w:bCs/>
          <w:color w:val="auto"/>
          <w:sz w:val="36"/>
          <w:szCs w:val="36"/>
          <w:highlight w:val="none"/>
        </w:rPr>
      </w:pPr>
    </w:p>
    <w:p>
      <w:pPr>
        <w:spacing w:line="440" w:lineRule="exact"/>
        <w:jc w:val="center"/>
        <w:rPr>
          <w:rFonts w:ascii="宋体" w:hAnsi="宋体" w:eastAsia="宋体" w:cs="宋体"/>
          <w:b/>
          <w:bCs/>
          <w:color w:val="auto"/>
          <w:sz w:val="36"/>
          <w:szCs w:val="36"/>
          <w:highlight w:val="none"/>
        </w:rPr>
      </w:pPr>
    </w:p>
    <w:p>
      <w:pPr>
        <w:spacing w:line="440" w:lineRule="exact"/>
        <w:jc w:val="center"/>
        <w:rPr>
          <w:rFonts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四、电子化投标文件的上传</w:t>
      </w:r>
    </w:p>
    <w:p>
      <w:pPr>
        <w:spacing w:line="440" w:lineRule="exact"/>
        <w:ind w:firstLine="48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19、投标文件上传</w:t>
      </w:r>
    </w:p>
    <w:p>
      <w:pPr>
        <w:spacing w:line="360" w:lineRule="auto"/>
        <w:ind w:firstLine="422" w:firstLineChars="176"/>
        <w:jc w:val="left"/>
        <w:rPr>
          <w:rFonts w:ascii="宋体" w:hAnsi="宋体" w:eastAsia="宋体" w:cs="Arial"/>
          <w:color w:val="auto"/>
          <w:kern w:val="0"/>
          <w:sz w:val="24"/>
          <w:szCs w:val="24"/>
          <w:highlight w:val="none"/>
        </w:rPr>
      </w:pPr>
      <w:r>
        <w:rPr>
          <w:rFonts w:hint="eastAsia" w:ascii="宋体" w:hAnsi="宋体" w:eastAsia="宋体" w:cs="Arial"/>
          <w:color w:val="auto"/>
          <w:kern w:val="0"/>
          <w:sz w:val="24"/>
          <w:szCs w:val="24"/>
          <w:highlight w:val="none"/>
        </w:rPr>
        <w:t>电子化投标文件应在投标截止时间前成功上传至三门峡市公共资源电子化交易系统。至投标截止时间止，仍未上传成功的电子化投标文件将不予接收。</w:t>
      </w:r>
    </w:p>
    <w:p>
      <w:pPr>
        <w:spacing w:line="360" w:lineRule="auto"/>
        <w:ind w:firstLine="422" w:firstLineChars="176"/>
        <w:jc w:val="left"/>
        <w:rPr>
          <w:rFonts w:ascii="宋体" w:hAnsi="宋体" w:eastAsia="宋体" w:cs="Arial"/>
          <w:color w:val="auto"/>
          <w:kern w:val="0"/>
          <w:sz w:val="24"/>
          <w:szCs w:val="24"/>
          <w:highlight w:val="none"/>
        </w:rPr>
      </w:pPr>
      <w:r>
        <w:rPr>
          <w:rFonts w:hint="eastAsia" w:ascii="宋体" w:hAnsi="宋体" w:eastAsia="宋体" w:cs="Arial"/>
          <w:color w:val="auto"/>
          <w:kern w:val="0"/>
          <w:sz w:val="24"/>
          <w:szCs w:val="24"/>
          <w:highlight w:val="none"/>
        </w:rPr>
        <w:t>注：如按照电子化投标操作教材制作完成的电子化投标文件无法上传的，供应商应在投标截止时间前尽早的联系中心技术人员，以便有充分的时间进行处理。供应商应充分考虑到处理技术问题和上传数据等工作所需的时间问题，投标文件未在投标截止时间前成功上传的，其投标文件不予接收。</w:t>
      </w:r>
    </w:p>
    <w:p>
      <w:pPr>
        <w:spacing w:line="440" w:lineRule="exact"/>
        <w:ind w:firstLine="48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20、投标截止时间</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20.1</w:t>
      </w:r>
      <w:r>
        <w:rPr>
          <w:rFonts w:hint="eastAsia" w:ascii="宋体" w:hAnsi="宋体" w:eastAsia="宋体" w:cs="宋体"/>
          <w:color w:val="auto"/>
          <w:sz w:val="24"/>
          <w:szCs w:val="24"/>
          <w:highlight w:val="none"/>
        </w:rPr>
        <w:t>电子化投标文件的截止时间见本须知前附表规定。</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20.2</w:t>
      </w:r>
      <w:r>
        <w:rPr>
          <w:rFonts w:hint="eastAsia" w:ascii="宋体" w:hAnsi="宋体" w:eastAsia="宋体" w:cs="宋体"/>
          <w:color w:val="auto"/>
          <w:sz w:val="24"/>
          <w:szCs w:val="24"/>
          <w:highlight w:val="none"/>
        </w:rPr>
        <w:t>采购人可按本须知第8条规定以修改补充通知的方式，酌情延长提交电子化投标文件的截止时间。在此情况下，供应商的所有权利和义务以及供应商受制约的截止时间，均以延长后新的投标截止时间为准。</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20.3</w:t>
      </w:r>
      <w:r>
        <w:rPr>
          <w:rFonts w:hint="eastAsia" w:ascii="宋体" w:hAnsi="宋体" w:eastAsia="宋体" w:cs="宋体"/>
          <w:color w:val="auto"/>
          <w:sz w:val="24"/>
          <w:szCs w:val="24"/>
          <w:highlight w:val="none"/>
        </w:rPr>
        <w:t>到投标截止时间止，上传成功的电子化投标文件少于3个的，采购人将依法重新组织招标。</w:t>
      </w:r>
    </w:p>
    <w:p>
      <w:pPr>
        <w:spacing w:line="440" w:lineRule="exact"/>
        <w:ind w:firstLine="48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20.4电子化投标文件的补充、修改与撤回</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20.4.1</w:t>
      </w:r>
      <w:r>
        <w:rPr>
          <w:rFonts w:hint="eastAsia" w:ascii="宋体" w:hAnsi="宋体" w:eastAsia="宋体" w:cs="宋体"/>
          <w:color w:val="auto"/>
          <w:sz w:val="24"/>
          <w:szCs w:val="24"/>
          <w:highlight w:val="none"/>
        </w:rPr>
        <w:t>在投标截止时间之后，供应商不得补充、修改电子化投标文件。</w:t>
      </w:r>
    </w:p>
    <w:p>
      <w:pPr>
        <w:autoSpaceDE w:val="0"/>
        <w:autoSpaceDN w:val="0"/>
        <w:adjustRightInd w:val="0"/>
        <w:spacing w:line="440" w:lineRule="exact"/>
        <w:jc w:val="center"/>
        <w:rPr>
          <w:rFonts w:ascii="宋体" w:hAnsi="宋体" w:eastAsia="宋体" w:cs="宋体"/>
          <w:b/>
          <w:bCs/>
          <w:color w:val="auto"/>
          <w:kern w:val="0"/>
          <w:sz w:val="36"/>
          <w:szCs w:val="36"/>
          <w:highlight w:val="none"/>
        </w:rPr>
      </w:pPr>
    </w:p>
    <w:p>
      <w:pPr>
        <w:autoSpaceDE w:val="0"/>
        <w:autoSpaceDN w:val="0"/>
        <w:adjustRightInd w:val="0"/>
        <w:spacing w:line="440" w:lineRule="exact"/>
        <w:jc w:val="center"/>
        <w:rPr>
          <w:rFonts w:ascii="宋体" w:hAnsi="宋体" w:eastAsia="宋体" w:cs="宋体"/>
          <w:b/>
          <w:bCs/>
          <w:color w:val="auto"/>
          <w:kern w:val="0"/>
          <w:sz w:val="36"/>
          <w:szCs w:val="36"/>
          <w:highlight w:val="none"/>
        </w:rPr>
      </w:pPr>
    </w:p>
    <w:p>
      <w:pPr>
        <w:autoSpaceDE w:val="0"/>
        <w:autoSpaceDN w:val="0"/>
        <w:adjustRightInd w:val="0"/>
        <w:spacing w:line="440" w:lineRule="exact"/>
        <w:jc w:val="center"/>
        <w:outlineLvl w:val="0"/>
        <w:rPr>
          <w:rFonts w:ascii="宋体" w:hAnsi="宋体" w:eastAsia="宋体" w:cs="宋体"/>
          <w:b/>
          <w:bCs/>
          <w:color w:val="auto"/>
          <w:kern w:val="0"/>
          <w:sz w:val="36"/>
          <w:szCs w:val="36"/>
          <w:highlight w:val="none"/>
        </w:rPr>
      </w:pPr>
      <w:bookmarkStart w:id="2" w:name="_Toc10806"/>
      <w:r>
        <w:rPr>
          <w:rFonts w:hint="eastAsia" w:ascii="宋体" w:hAnsi="宋体" w:eastAsia="宋体" w:cs="宋体"/>
          <w:b/>
          <w:bCs/>
          <w:color w:val="auto"/>
          <w:kern w:val="0"/>
          <w:sz w:val="36"/>
          <w:szCs w:val="36"/>
          <w:highlight w:val="none"/>
        </w:rPr>
        <w:t>五、开标</w:t>
      </w:r>
      <w:bookmarkEnd w:id="2"/>
    </w:p>
    <w:p>
      <w:pPr>
        <w:autoSpaceDE w:val="0"/>
        <w:autoSpaceDN w:val="0"/>
        <w:adjustRightInd w:val="0"/>
        <w:spacing w:line="440" w:lineRule="exact"/>
        <w:ind w:firstLine="435"/>
        <w:jc w:val="left"/>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21、开标</w:t>
      </w:r>
    </w:p>
    <w:p>
      <w:pPr>
        <w:wordWrap w:val="0"/>
        <w:spacing w:line="360" w:lineRule="auto"/>
        <w:ind w:firstLine="424" w:firstLineChars="176"/>
        <w:rPr>
          <w:rFonts w:ascii="宋体" w:hAnsi="宋体" w:eastAsia="宋体" w:cs="Arial"/>
          <w:color w:val="auto"/>
          <w:sz w:val="24"/>
          <w:szCs w:val="24"/>
          <w:highlight w:val="none"/>
        </w:rPr>
      </w:pPr>
      <w:r>
        <w:rPr>
          <w:rFonts w:hint="eastAsia" w:ascii="宋体" w:hAnsi="宋体" w:eastAsia="宋体" w:cs="宋体"/>
          <w:b/>
          <w:bCs/>
          <w:color w:val="auto"/>
          <w:kern w:val="0"/>
          <w:sz w:val="24"/>
          <w:szCs w:val="24"/>
          <w:highlight w:val="none"/>
        </w:rPr>
        <w:t>21.1</w:t>
      </w:r>
      <w:r>
        <w:rPr>
          <w:rFonts w:hint="eastAsia" w:ascii="宋体" w:hAnsi="宋体" w:eastAsia="宋体" w:cs="Arial"/>
          <w:color w:val="auto"/>
          <w:sz w:val="24"/>
          <w:szCs w:val="24"/>
          <w:highlight w:val="none"/>
        </w:rPr>
        <w:t>本项目采用电子化、无纸化进行招标，开标当日，供应商无需到开标现场参加开标会议，供应商应当在投标截止时间前，登陆不见面开标大厅选择登陆三门峡市公共资源电子招投标系统进行登陆（网址为http://122.112.246.33/BidOpening/bidopeninghallaction/hall/login）,在线准时参加开标活动并进行投标文件解密等。</w:t>
      </w:r>
    </w:p>
    <w:p>
      <w:pPr>
        <w:spacing w:line="360" w:lineRule="auto"/>
        <w:ind w:firstLine="424" w:firstLineChars="176"/>
        <w:rPr>
          <w:rFonts w:ascii="宋体" w:hAnsi="宋体" w:eastAsia="宋体" w:cs="Arial"/>
          <w:color w:val="auto"/>
          <w:sz w:val="24"/>
          <w:szCs w:val="24"/>
          <w:highlight w:val="none"/>
        </w:rPr>
      </w:pPr>
      <w:r>
        <w:rPr>
          <w:rFonts w:hint="eastAsia" w:ascii="宋体" w:hAnsi="宋体" w:eastAsia="宋体" w:cs="Arial"/>
          <w:b/>
          <w:color w:val="auto"/>
          <w:sz w:val="24"/>
          <w:szCs w:val="24"/>
          <w:highlight w:val="none"/>
        </w:rPr>
        <w:t>21.2</w:t>
      </w:r>
      <w:r>
        <w:rPr>
          <w:rFonts w:hint="eastAsia" w:ascii="宋体" w:hAnsi="宋体" w:eastAsia="宋体" w:cs="Arial"/>
          <w:color w:val="auto"/>
          <w:sz w:val="24"/>
          <w:szCs w:val="24"/>
          <w:highlight w:val="none"/>
        </w:rPr>
        <w:t>电子化投标文件采用一次加密方式。开标时，由供应商使用CA证书，在规定时间内对其电子化投标文件进行解密。每位供应商的解密时间为开标时间起30分钟内，如在规定时间内未完成解密的，其投标文件不予开标、唱标。每位供应商的解密时间为开标时间起30分钟内完成。</w:t>
      </w:r>
    </w:p>
    <w:p>
      <w:pPr>
        <w:spacing w:line="360" w:lineRule="auto"/>
        <w:ind w:firstLine="424" w:firstLineChars="176"/>
        <w:rPr>
          <w:rFonts w:ascii="宋体" w:hAnsi="宋体" w:eastAsia="宋体" w:cs="Arial"/>
          <w:color w:val="auto"/>
          <w:sz w:val="24"/>
          <w:szCs w:val="24"/>
          <w:highlight w:val="none"/>
        </w:rPr>
      </w:pPr>
      <w:r>
        <w:rPr>
          <w:rFonts w:hint="eastAsia" w:ascii="宋体" w:hAnsi="宋体" w:eastAsia="宋体" w:cs="Arial"/>
          <w:b/>
          <w:color w:val="auto"/>
          <w:sz w:val="24"/>
          <w:szCs w:val="24"/>
          <w:highlight w:val="none"/>
        </w:rPr>
        <w:t xml:space="preserve">21.3 </w:t>
      </w:r>
      <w:r>
        <w:rPr>
          <w:rFonts w:hint="eastAsia" w:ascii="宋体" w:hAnsi="宋体" w:eastAsia="宋体" w:cs="Arial"/>
          <w:color w:val="auto"/>
          <w:sz w:val="24"/>
          <w:szCs w:val="24"/>
          <w:highlight w:val="none"/>
        </w:rPr>
        <w:t>电子化投标文件解密异常的处理</w:t>
      </w:r>
    </w:p>
    <w:p>
      <w:pPr>
        <w:spacing w:line="360" w:lineRule="auto"/>
        <w:ind w:firstLine="422" w:firstLineChars="176"/>
        <w:rPr>
          <w:rFonts w:ascii="宋体" w:hAnsi="宋体" w:eastAsia="宋体" w:cs="Arial"/>
          <w:color w:val="auto"/>
          <w:sz w:val="24"/>
          <w:szCs w:val="24"/>
          <w:highlight w:val="none"/>
        </w:rPr>
      </w:pPr>
      <w:r>
        <w:rPr>
          <w:rFonts w:hint="eastAsia" w:ascii="宋体" w:hAnsi="宋体" w:eastAsia="宋体" w:cs="Arial"/>
          <w:color w:val="auto"/>
          <w:sz w:val="24"/>
          <w:szCs w:val="24"/>
          <w:highlight w:val="none"/>
        </w:rPr>
        <w:t>如出现供应商的电子投标文件无法解密等异常情况，供应商应及时致电中介服务机构说明。投标文件异常，按以下步骤进行处理：</w:t>
      </w:r>
    </w:p>
    <w:p>
      <w:pPr>
        <w:spacing w:line="360" w:lineRule="auto"/>
        <w:ind w:firstLine="422" w:firstLineChars="176"/>
        <w:rPr>
          <w:rFonts w:ascii="宋体" w:hAnsi="宋体" w:eastAsia="宋体" w:cs="Arial"/>
          <w:color w:val="auto"/>
          <w:sz w:val="24"/>
          <w:szCs w:val="24"/>
          <w:highlight w:val="none"/>
        </w:rPr>
      </w:pPr>
      <w:r>
        <w:rPr>
          <w:rFonts w:hint="eastAsia" w:ascii="宋体" w:hAnsi="宋体" w:eastAsia="宋体" w:cs="Arial"/>
          <w:color w:val="auto"/>
          <w:sz w:val="24"/>
          <w:szCs w:val="24"/>
          <w:highlight w:val="none"/>
        </w:rPr>
        <w:t>（1）首先由技术人员进行问题排查。</w:t>
      </w:r>
    </w:p>
    <w:p>
      <w:pPr>
        <w:spacing w:line="360" w:lineRule="auto"/>
        <w:ind w:firstLine="422" w:firstLineChars="176"/>
        <w:rPr>
          <w:rFonts w:ascii="宋体" w:hAnsi="宋体" w:eastAsia="宋体" w:cs="Arial"/>
          <w:color w:val="auto"/>
          <w:sz w:val="24"/>
          <w:szCs w:val="24"/>
          <w:highlight w:val="none"/>
        </w:rPr>
      </w:pPr>
      <w:r>
        <w:rPr>
          <w:rFonts w:hint="eastAsia" w:ascii="宋体" w:hAnsi="宋体" w:eastAsia="宋体" w:cs="Arial"/>
          <w:color w:val="auto"/>
          <w:sz w:val="24"/>
          <w:szCs w:val="24"/>
          <w:highlight w:val="none"/>
        </w:rPr>
        <w:t>（2）经技术人员排查后，是供应商文件自身问题导致投标文件无法解密的，该投标文件将不予接收、解密和唱标。开标会议继续进行。</w:t>
      </w:r>
    </w:p>
    <w:p>
      <w:pPr>
        <w:spacing w:line="360" w:lineRule="auto"/>
        <w:ind w:firstLine="422" w:firstLineChars="176"/>
        <w:rPr>
          <w:rFonts w:ascii="宋体" w:hAnsi="宋体" w:eastAsia="宋体" w:cs="Arial"/>
          <w:color w:val="auto"/>
          <w:sz w:val="24"/>
          <w:szCs w:val="24"/>
          <w:highlight w:val="none"/>
        </w:rPr>
      </w:pPr>
      <w:r>
        <w:rPr>
          <w:rFonts w:hint="eastAsia" w:ascii="宋体" w:hAnsi="宋体" w:eastAsia="宋体" w:cs="Arial"/>
          <w:color w:val="auto"/>
          <w:sz w:val="24"/>
          <w:szCs w:val="24"/>
          <w:highlight w:val="none"/>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pPr>
        <w:spacing w:line="360" w:lineRule="auto"/>
        <w:ind w:firstLine="424" w:firstLineChars="176"/>
        <w:rPr>
          <w:rFonts w:ascii="宋体" w:hAnsi="宋体" w:eastAsia="宋体" w:cs="Arial"/>
          <w:color w:val="auto"/>
          <w:sz w:val="24"/>
          <w:szCs w:val="24"/>
          <w:highlight w:val="none"/>
        </w:rPr>
      </w:pPr>
      <w:r>
        <w:rPr>
          <w:rFonts w:hint="eastAsia" w:ascii="宋体" w:hAnsi="宋体" w:eastAsia="宋体" w:cs="Arial"/>
          <w:b/>
          <w:color w:val="auto"/>
          <w:sz w:val="24"/>
          <w:szCs w:val="24"/>
          <w:highlight w:val="none"/>
        </w:rPr>
        <w:t>21.4</w:t>
      </w:r>
      <w:r>
        <w:rPr>
          <w:rFonts w:hint="eastAsia" w:ascii="宋体" w:hAnsi="宋体" w:eastAsia="宋体" w:cs="Arial"/>
          <w:color w:val="auto"/>
          <w:sz w:val="24"/>
          <w:szCs w:val="24"/>
          <w:highlight w:val="none"/>
        </w:rPr>
        <w:t xml:space="preserve"> 待所有供应商投标文件解密完成后，由中介服务机构操作，对所有已解密投标文件进行唱标。</w:t>
      </w:r>
    </w:p>
    <w:p>
      <w:pPr>
        <w:spacing w:line="360" w:lineRule="auto"/>
        <w:ind w:firstLine="422" w:firstLineChars="176"/>
        <w:rPr>
          <w:rFonts w:ascii="宋体" w:hAnsi="宋体" w:eastAsia="宋体" w:cs="Arial"/>
          <w:color w:val="auto"/>
          <w:sz w:val="24"/>
          <w:szCs w:val="24"/>
          <w:highlight w:val="none"/>
        </w:rPr>
      </w:pPr>
      <w:r>
        <w:rPr>
          <w:rFonts w:hint="eastAsia" w:ascii="宋体" w:hAnsi="宋体" w:eastAsia="宋体" w:cs="Arial"/>
          <w:color w:val="auto"/>
          <w:sz w:val="24"/>
          <w:szCs w:val="24"/>
          <w:highlight w:val="none"/>
        </w:rPr>
        <w:t>供应商应保证在开标期间电话、电脑、网络能够正常工作，供应商因停电、电脑病毒、网络堵塞等原因，未在规定的解密时间内对投标文件进行解密的，其投标文件不予接收、唱标。</w:t>
      </w:r>
    </w:p>
    <w:p>
      <w:pPr>
        <w:autoSpaceDE w:val="0"/>
        <w:autoSpaceDN w:val="0"/>
        <w:adjustRightInd w:val="0"/>
        <w:spacing w:line="480" w:lineRule="exact"/>
        <w:ind w:firstLine="435"/>
        <w:jc w:val="left"/>
        <w:rPr>
          <w:rFonts w:hint="eastAsia" w:ascii="宋体" w:hAnsi="宋体" w:eastAsia="宋体" w:cs="Arial"/>
          <w:color w:val="auto"/>
          <w:sz w:val="24"/>
          <w:szCs w:val="24"/>
          <w:highlight w:val="none"/>
        </w:rPr>
      </w:pPr>
      <w:r>
        <w:rPr>
          <w:rFonts w:hint="eastAsia" w:ascii="宋体" w:hAnsi="宋体" w:eastAsia="宋体" w:cs="Arial"/>
          <w:b/>
          <w:color w:val="auto"/>
          <w:sz w:val="24"/>
          <w:szCs w:val="24"/>
          <w:highlight w:val="none"/>
        </w:rPr>
        <w:t>21.5</w:t>
      </w:r>
      <w:r>
        <w:rPr>
          <w:rFonts w:hint="eastAsia" w:ascii="宋体" w:hAnsi="宋体" w:eastAsia="宋体" w:cs="Arial"/>
          <w:color w:val="auto"/>
          <w:sz w:val="24"/>
          <w:szCs w:val="24"/>
          <w:highlight w:val="none"/>
        </w:rPr>
        <w:t xml:space="preserve"> </w:t>
      </w:r>
      <w:r>
        <w:rPr>
          <w:rFonts w:hint="eastAsia" w:ascii="宋体" w:hAnsi="宋体" w:eastAsia="宋体" w:cs="Arial"/>
          <w:color w:val="auto"/>
          <w:sz w:val="24"/>
          <w:szCs w:val="24"/>
          <w:highlight w:val="none"/>
          <w:lang w:val="en-US" w:eastAsia="zh-CN"/>
        </w:rPr>
        <w:t>开标时投标人可登录到交易系统中在开标解密栏中点击报价一览表查看自己的投标报价。如对自己的唱标内容有异议的，应在投标人解密成功后10分钟内向中服务机构通过开标大厅对话框提出质疑。中介服务机构应在监督人员的监督下接受投标人的质疑通过开标大厅对话框进行答复并做好书面记录。供应商未在规定时间内提出质疑的，视为认可唱标内容。</w:t>
      </w:r>
    </w:p>
    <w:p>
      <w:pPr>
        <w:autoSpaceDE w:val="0"/>
        <w:autoSpaceDN w:val="0"/>
        <w:adjustRightInd w:val="0"/>
        <w:spacing w:line="480" w:lineRule="exact"/>
        <w:ind w:firstLine="435"/>
        <w:jc w:val="left"/>
        <w:rPr>
          <w:rFonts w:ascii="宋体" w:hAnsi="宋体" w:eastAsia="宋体" w:cs="Arial"/>
          <w:b/>
          <w:color w:val="auto"/>
          <w:sz w:val="24"/>
          <w:szCs w:val="21"/>
          <w:highlight w:val="none"/>
        </w:rPr>
      </w:pPr>
      <w:r>
        <w:rPr>
          <w:rFonts w:hint="eastAsia" w:ascii="宋体" w:hAnsi="宋体" w:eastAsia="宋体" w:cs="Arial"/>
          <w:b/>
          <w:color w:val="auto"/>
          <w:sz w:val="24"/>
          <w:szCs w:val="21"/>
          <w:highlight w:val="none"/>
        </w:rPr>
        <w:t>21.6开标会议结束后，由采购人和采购代理机构人员按照招标文件第二章供应商须知前附表第2.0项的要求，对供应商进行资格审查，有一项不符合的，视为未通过资格审查，不得进入下一评标过程。</w:t>
      </w:r>
    </w:p>
    <w:p>
      <w:pPr>
        <w:autoSpaceDE w:val="0"/>
        <w:autoSpaceDN w:val="0"/>
        <w:adjustRightInd w:val="0"/>
        <w:spacing w:line="480" w:lineRule="exact"/>
        <w:ind w:firstLine="435"/>
        <w:jc w:val="left"/>
        <w:rPr>
          <w:rFonts w:ascii="宋体" w:hAnsi="宋体" w:eastAsia="宋体" w:cs="Arial"/>
          <w:color w:val="auto"/>
          <w:sz w:val="24"/>
          <w:szCs w:val="21"/>
          <w:highlight w:val="none"/>
        </w:rPr>
      </w:pPr>
      <w:r>
        <w:rPr>
          <w:rFonts w:hint="eastAsia" w:ascii="宋体" w:hAnsi="宋体" w:eastAsia="宋体" w:cs="Arial"/>
          <w:b/>
          <w:bCs/>
          <w:color w:val="auto"/>
          <w:sz w:val="24"/>
          <w:szCs w:val="21"/>
          <w:highlight w:val="none"/>
        </w:rPr>
        <w:t>21.7</w:t>
      </w:r>
      <w:r>
        <w:rPr>
          <w:rFonts w:hint="eastAsia" w:ascii="宋体" w:hAnsi="宋体" w:eastAsia="宋体" w:cs="Arial"/>
          <w:color w:val="auto"/>
          <w:sz w:val="24"/>
          <w:szCs w:val="21"/>
          <w:highlight w:val="none"/>
        </w:rPr>
        <w:t>采购人将符合资格审查的电子化投标文件提交于评标委员会进行详细评审及比较。</w:t>
      </w:r>
    </w:p>
    <w:p>
      <w:pPr>
        <w:spacing w:after="120"/>
        <w:ind w:firstLine="200" w:firstLineChars="100"/>
        <w:rPr>
          <w:rFonts w:ascii="宋体" w:hAnsi="宋体" w:eastAsia="宋体" w:cs="Times New Roman"/>
          <w:color w:val="auto"/>
          <w:kern w:val="0"/>
          <w:sz w:val="20"/>
          <w:szCs w:val="20"/>
          <w:highlight w:val="none"/>
        </w:rPr>
      </w:pPr>
    </w:p>
    <w:p>
      <w:pPr>
        <w:autoSpaceDE w:val="0"/>
        <w:autoSpaceDN w:val="0"/>
        <w:adjustRightInd w:val="0"/>
        <w:spacing w:line="440" w:lineRule="exact"/>
        <w:jc w:val="center"/>
        <w:rPr>
          <w:rFonts w:ascii="宋体" w:hAnsi="宋体" w:eastAsia="宋体" w:cs="宋体"/>
          <w:b/>
          <w:bCs/>
          <w:color w:val="auto"/>
          <w:kern w:val="0"/>
          <w:sz w:val="36"/>
          <w:szCs w:val="36"/>
          <w:highlight w:val="none"/>
        </w:rPr>
      </w:pPr>
    </w:p>
    <w:p>
      <w:pPr>
        <w:autoSpaceDE w:val="0"/>
        <w:autoSpaceDN w:val="0"/>
        <w:adjustRightInd w:val="0"/>
        <w:spacing w:line="440" w:lineRule="exact"/>
        <w:jc w:val="center"/>
        <w:outlineLvl w:val="0"/>
        <w:rPr>
          <w:rFonts w:ascii="宋体" w:hAnsi="宋体" w:eastAsia="宋体" w:cs="宋体"/>
          <w:b/>
          <w:bCs/>
          <w:color w:val="auto"/>
          <w:kern w:val="0"/>
          <w:sz w:val="36"/>
          <w:szCs w:val="36"/>
          <w:highlight w:val="none"/>
        </w:rPr>
      </w:pPr>
      <w:bookmarkStart w:id="3" w:name="_Toc7708"/>
      <w:r>
        <w:rPr>
          <w:rFonts w:hint="eastAsia" w:ascii="宋体" w:hAnsi="宋体" w:eastAsia="宋体" w:cs="宋体"/>
          <w:b/>
          <w:bCs/>
          <w:color w:val="auto"/>
          <w:kern w:val="0"/>
          <w:sz w:val="36"/>
          <w:szCs w:val="36"/>
          <w:highlight w:val="none"/>
        </w:rPr>
        <w:t>六、评标与定标</w:t>
      </w:r>
      <w:bookmarkEnd w:id="3"/>
    </w:p>
    <w:p>
      <w:pPr>
        <w:spacing w:line="440" w:lineRule="exact"/>
        <w:ind w:firstLine="480"/>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22、评标委员会</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rPr>
        <w:t>22.1</w:t>
      </w:r>
      <w:r>
        <w:rPr>
          <w:rFonts w:hint="eastAsia" w:ascii="宋体" w:hAnsi="宋体" w:eastAsia="宋体" w:cs="宋体"/>
          <w:color w:val="auto"/>
          <w:sz w:val="24"/>
          <w:szCs w:val="24"/>
          <w:highlight w:val="none"/>
        </w:rPr>
        <w:t>评标委员会由采购人依法组建，负责评标活动。</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22.2</w:t>
      </w:r>
      <w:r>
        <w:rPr>
          <w:rFonts w:hint="eastAsia" w:ascii="宋体" w:hAnsi="宋体" w:eastAsia="宋体" w:cs="宋体"/>
          <w:color w:val="auto"/>
          <w:sz w:val="24"/>
          <w:szCs w:val="24"/>
          <w:highlight w:val="none"/>
        </w:rPr>
        <w:t>评标委员会由5人组成：采购人代表1名和有关技术、经济等方面的专家4名。</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22.3</w:t>
      </w:r>
      <w:r>
        <w:rPr>
          <w:rFonts w:hint="eastAsia" w:ascii="宋体" w:hAnsi="宋体" w:eastAsia="宋体" w:cs="宋体"/>
          <w:color w:val="auto"/>
          <w:sz w:val="24"/>
          <w:szCs w:val="24"/>
          <w:highlight w:val="none"/>
        </w:rPr>
        <w:t>参加评标的专家由采购人在评标前从</w:t>
      </w:r>
      <w:r>
        <w:rPr>
          <w:rFonts w:hint="eastAsia" w:ascii="宋体" w:hAnsi="宋体" w:eastAsia="宋体" w:cs="宋体"/>
          <w:color w:val="auto"/>
          <w:sz w:val="24"/>
          <w:szCs w:val="24"/>
          <w:highlight w:val="none"/>
          <w:lang w:val="en-US" w:eastAsia="zh-CN"/>
        </w:rPr>
        <w:t>相关</w:t>
      </w:r>
      <w:r>
        <w:rPr>
          <w:rFonts w:hint="eastAsia" w:ascii="宋体" w:hAnsi="宋体" w:eastAsia="宋体" w:cs="宋体"/>
          <w:color w:val="auto"/>
          <w:sz w:val="24"/>
          <w:szCs w:val="24"/>
          <w:highlight w:val="none"/>
        </w:rPr>
        <w:t>评标专家库中随机抽取。与供应商有利害关系的人不得进入评标委员会。</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22.4</w:t>
      </w:r>
      <w:r>
        <w:rPr>
          <w:rFonts w:hint="eastAsia" w:ascii="宋体" w:hAnsi="宋体" w:eastAsia="宋体" w:cs="宋体"/>
          <w:color w:val="auto"/>
          <w:sz w:val="24"/>
          <w:szCs w:val="24"/>
          <w:highlight w:val="none"/>
        </w:rPr>
        <w:t>开标结束后，开始评标。评标工作在相关部门监督下，采用保密方式进行。</w:t>
      </w:r>
    </w:p>
    <w:p>
      <w:pPr>
        <w:autoSpaceDE w:val="0"/>
        <w:autoSpaceDN w:val="0"/>
        <w:adjustRightInd w:val="0"/>
        <w:spacing w:line="440" w:lineRule="exact"/>
        <w:jc w:val="left"/>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rPr>
        <w:t xml:space="preserve">    23、</w:t>
      </w:r>
      <w:r>
        <w:rPr>
          <w:rFonts w:hint="eastAsia" w:ascii="宋体" w:hAnsi="宋体" w:eastAsia="宋体" w:cs="宋体"/>
          <w:b/>
          <w:bCs/>
          <w:color w:val="auto"/>
          <w:sz w:val="24"/>
          <w:szCs w:val="24"/>
          <w:highlight w:val="none"/>
        </w:rPr>
        <w:t>评标过程的保密</w:t>
      </w:r>
    </w:p>
    <w:p>
      <w:pPr>
        <w:autoSpaceDE w:val="0"/>
        <w:autoSpaceDN w:val="0"/>
        <w:adjustRightInd w:val="0"/>
        <w:spacing w:line="440" w:lineRule="exact"/>
        <w:ind w:firstLine="465"/>
        <w:jc w:val="left"/>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23.1 </w:t>
      </w:r>
      <w:r>
        <w:rPr>
          <w:rFonts w:hint="eastAsia" w:ascii="宋体" w:hAnsi="宋体" w:eastAsia="宋体" w:cs="宋体"/>
          <w:color w:val="auto"/>
          <w:sz w:val="24"/>
          <w:szCs w:val="24"/>
          <w:highlight w:val="none"/>
        </w:rPr>
        <w:t>开标后，直至授予中标供应商合同为止，凡属于对电子化投标文件的审查、澄清、评价和比较有关的资料，中标候选供应商的推荐情况，及其他任何与评标有关的情况均应严格保密。</w:t>
      </w:r>
    </w:p>
    <w:p>
      <w:pPr>
        <w:autoSpaceDE w:val="0"/>
        <w:autoSpaceDN w:val="0"/>
        <w:adjustRightInd w:val="0"/>
        <w:spacing w:line="440" w:lineRule="exact"/>
        <w:ind w:firstLine="465"/>
        <w:jc w:val="left"/>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23.2 </w:t>
      </w:r>
      <w:r>
        <w:rPr>
          <w:rFonts w:hint="eastAsia" w:ascii="宋体" w:hAnsi="宋体" w:eastAsia="宋体" w:cs="宋体"/>
          <w:color w:val="auto"/>
          <w:sz w:val="24"/>
          <w:szCs w:val="24"/>
          <w:highlight w:val="none"/>
        </w:rPr>
        <w:t>在电子化投标文件的评审和比较、中标候选供应商推荐以及授予合同的过程中，供应商向采购人和评标委员会施加影响的任何行为，都将会导致其投标被拒绝。</w:t>
      </w:r>
    </w:p>
    <w:p>
      <w:pPr>
        <w:autoSpaceDE w:val="0"/>
        <w:autoSpaceDN w:val="0"/>
        <w:adjustRightInd w:val="0"/>
        <w:spacing w:line="440" w:lineRule="exact"/>
        <w:ind w:firstLine="465"/>
        <w:jc w:val="left"/>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23.3 </w:t>
      </w:r>
      <w:r>
        <w:rPr>
          <w:rFonts w:hint="eastAsia" w:ascii="宋体" w:hAnsi="宋体" w:eastAsia="宋体" w:cs="宋体"/>
          <w:color w:val="auto"/>
          <w:sz w:val="24"/>
          <w:szCs w:val="24"/>
          <w:highlight w:val="none"/>
        </w:rPr>
        <w:t>中标供应商确定后，采购人不对未中标供应商就评标过程以及未能中标原因做出任何解释。未中标供应商不得向评标委员会组成人员或其他有关人员索问评标过程的情况和材料。</w:t>
      </w:r>
    </w:p>
    <w:p>
      <w:pPr>
        <w:autoSpaceDE w:val="0"/>
        <w:autoSpaceDN w:val="0"/>
        <w:adjustRightInd w:val="0"/>
        <w:spacing w:line="440" w:lineRule="exact"/>
        <w:ind w:firstLine="465"/>
        <w:jc w:val="left"/>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24、评标纪律</w:t>
      </w:r>
    </w:p>
    <w:p>
      <w:pPr>
        <w:autoSpaceDE w:val="0"/>
        <w:autoSpaceDN w:val="0"/>
        <w:adjustRightInd w:val="0"/>
        <w:spacing w:line="440" w:lineRule="exact"/>
        <w:ind w:firstLine="465"/>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24.1</w:t>
      </w:r>
      <w:r>
        <w:rPr>
          <w:rFonts w:hint="eastAsia" w:ascii="宋体" w:hAnsi="宋体" w:eastAsia="宋体" w:cs="宋体"/>
          <w:color w:val="auto"/>
          <w:kern w:val="0"/>
          <w:sz w:val="24"/>
          <w:szCs w:val="24"/>
          <w:highlight w:val="none"/>
        </w:rPr>
        <w:t xml:space="preserve"> 评标委员会成员和参与评标工作的有关人员不得透露对</w:t>
      </w:r>
      <w:r>
        <w:rPr>
          <w:rFonts w:hint="eastAsia" w:ascii="宋体" w:hAnsi="宋体" w:eastAsia="宋体" w:cs="宋体"/>
          <w:color w:val="auto"/>
          <w:sz w:val="24"/>
          <w:szCs w:val="24"/>
          <w:highlight w:val="none"/>
        </w:rPr>
        <w:t>电子化</w:t>
      </w:r>
      <w:r>
        <w:rPr>
          <w:rFonts w:hint="eastAsia" w:ascii="宋体" w:hAnsi="宋体" w:eastAsia="宋体" w:cs="宋体"/>
          <w:color w:val="auto"/>
          <w:kern w:val="0"/>
          <w:sz w:val="24"/>
          <w:szCs w:val="24"/>
          <w:highlight w:val="none"/>
        </w:rPr>
        <w:t>投标文件的评审和比较、中标候选供应商的推荐情况以及与评标有关的其它情况。</w:t>
      </w:r>
    </w:p>
    <w:p>
      <w:pPr>
        <w:autoSpaceDE w:val="0"/>
        <w:autoSpaceDN w:val="0"/>
        <w:adjustRightInd w:val="0"/>
        <w:spacing w:line="440" w:lineRule="exact"/>
        <w:ind w:firstLine="482" w:firstLineChars="200"/>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24.2</w:t>
      </w:r>
      <w:r>
        <w:rPr>
          <w:rFonts w:hint="eastAsia" w:ascii="宋体" w:hAnsi="宋体" w:eastAsia="宋体" w:cs="宋体"/>
          <w:color w:val="auto"/>
          <w:kern w:val="0"/>
          <w:sz w:val="24"/>
          <w:szCs w:val="24"/>
          <w:highlight w:val="none"/>
        </w:rPr>
        <w:t xml:space="preserve"> 除投标须知第28条款的规定以外，开标以后至授予中标通知书前，任何供应商均不得就与其</w:t>
      </w:r>
      <w:r>
        <w:rPr>
          <w:rFonts w:hint="eastAsia" w:ascii="宋体" w:hAnsi="宋体" w:eastAsia="宋体" w:cs="宋体"/>
          <w:color w:val="auto"/>
          <w:sz w:val="24"/>
          <w:szCs w:val="24"/>
          <w:highlight w:val="none"/>
        </w:rPr>
        <w:t>电子化</w:t>
      </w:r>
      <w:r>
        <w:rPr>
          <w:rFonts w:hint="eastAsia" w:ascii="宋体" w:hAnsi="宋体" w:eastAsia="宋体" w:cs="宋体"/>
          <w:color w:val="auto"/>
          <w:kern w:val="0"/>
          <w:sz w:val="24"/>
          <w:szCs w:val="24"/>
          <w:highlight w:val="none"/>
        </w:rPr>
        <w:t>投标文件有关的问题主动与采购人和采购代理机构发生联系。</w:t>
      </w:r>
    </w:p>
    <w:p>
      <w:pPr>
        <w:autoSpaceDE w:val="0"/>
        <w:autoSpaceDN w:val="0"/>
        <w:adjustRightInd w:val="0"/>
        <w:spacing w:line="440" w:lineRule="exact"/>
        <w:ind w:firstLine="465"/>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24.3</w:t>
      </w:r>
      <w:r>
        <w:rPr>
          <w:rFonts w:hint="eastAsia" w:ascii="宋体" w:hAnsi="宋体" w:eastAsia="宋体" w:cs="宋体"/>
          <w:color w:val="auto"/>
          <w:kern w:val="0"/>
          <w:sz w:val="24"/>
          <w:szCs w:val="24"/>
          <w:highlight w:val="none"/>
        </w:rPr>
        <w:t xml:space="preserve"> 如果供应商试图对评标委员会的评标施加影响，则将导致该供应商的</w:t>
      </w:r>
      <w:r>
        <w:rPr>
          <w:rFonts w:hint="eastAsia" w:ascii="宋体" w:hAnsi="宋体" w:eastAsia="宋体" w:cs="宋体"/>
          <w:color w:val="auto"/>
          <w:sz w:val="24"/>
          <w:szCs w:val="24"/>
          <w:highlight w:val="none"/>
        </w:rPr>
        <w:t>电子化</w:t>
      </w:r>
      <w:r>
        <w:rPr>
          <w:rFonts w:hint="eastAsia" w:ascii="宋体" w:hAnsi="宋体" w:eastAsia="宋体" w:cs="宋体"/>
          <w:color w:val="auto"/>
          <w:kern w:val="0"/>
          <w:sz w:val="24"/>
          <w:szCs w:val="24"/>
          <w:highlight w:val="none"/>
        </w:rPr>
        <w:t>投标文件被拒绝。</w:t>
      </w:r>
    </w:p>
    <w:p>
      <w:pPr>
        <w:autoSpaceDE w:val="0"/>
        <w:autoSpaceDN w:val="0"/>
        <w:adjustRightInd w:val="0"/>
        <w:spacing w:line="440" w:lineRule="exact"/>
        <w:ind w:firstLine="465"/>
        <w:jc w:val="left"/>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rPr>
        <w:t>25、电子化</w:t>
      </w:r>
      <w:r>
        <w:rPr>
          <w:rFonts w:hint="eastAsia" w:ascii="宋体" w:hAnsi="宋体" w:eastAsia="宋体" w:cs="宋体"/>
          <w:b/>
          <w:bCs/>
          <w:color w:val="auto"/>
          <w:sz w:val="24"/>
          <w:szCs w:val="24"/>
          <w:highlight w:val="none"/>
        </w:rPr>
        <w:t>投标文件的澄清</w:t>
      </w:r>
    </w:p>
    <w:p>
      <w:pPr>
        <w:pStyle w:val="31"/>
        <w:ind w:firstLine="422" w:firstLineChars="200"/>
        <w:rPr>
          <w:rFonts w:hint="eastAsia" w:ascii="宋体" w:hAnsi="宋体" w:eastAsia="宋体" w:cs="宋体"/>
          <w:color w:val="auto"/>
          <w:kern w:val="0"/>
          <w:sz w:val="24"/>
          <w:szCs w:val="24"/>
          <w:highlight w:val="none"/>
          <w:lang w:val="en-US" w:eastAsia="zh-CN" w:bidi="ar-SA"/>
        </w:rPr>
      </w:pPr>
      <w:r>
        <w:rPr>
          <w:rFonts w:hint="eastAsia"/>
          <w:b/>
          <w:bCs/>
          <w:color w:val="auto"/>
          <w:highlight w:val="none"/>
        </w:rPr>
        <w:t>25.1</w:t>
      </w:r>
      <w:r>
        <w:rPr>
          <w:rFonts w:hint="eastAsia"/>
          <w:color w:val="auto"/>
          <w:highlight w:val="none"/>
        </w:rPr>
        <w:t xml:space="preserve"> </w:t>
      </w:r>
      <w:r>
        <w:rPr>
          <w:rFonts w:hint="eastAsia" w:ascii="宋体" w:hAnsi="宋体" w:eastAsia="宋体" w:cs="宋体"/>
          <w:color w:val="auto"/>
          <w:kern w:val="0"/>
          <w:sz w:val="24"/>
          <w:szCs w:val="24"/>
          <w:highlight w:val="none"/>
          <w:lang w:val="en-US" w:eastAsia="zh-CN" w:bidi="ar-SA"/>
        </w:rPr>
        <w:t>为有助于电子化投标文件的审查、评价和比较，评标委员会可以以书面形式要求供应商对电子化投标文件含义不明确的内容作必要的澄清或说明，供应商应采用书面形式进行澄清或说明，但不得超出电子化投标文件的范围或改变电子化投标文件的实质性内容。根据本须知规定，凡属于评标委员会在评标中发现的计算错误并进行核实的修改不在此列。</w:t>
      </w:r>
    </w:p>
    <w:p>
      <w:pPr>
        <w:autoSpaceDE w:val="0"/>
        <w:autoSpaceDN w:val="0"/>
        <w:adjustRightInd w:val="0"/>
        <w:spacing w:line="440" w:lineRule="exact"/>
        <w:ind w:firstLine="480"/>
        <w:jc w:val="left"/>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26、电子化</w:t>
      </w:r>
      <w:r>
        <w:rPr>
          <w:rFonts w:hint="eastAsia" w:ascii="宋体" w:hAnsi="宋体" w:eastAsia="宋体" w:cs="宋体"/>
          <w:b/>
          <w:bCs/>
          <w:color w:val="auto"/>
          <w:sz w:val="24"/>
          <w:szCs w:val="24"/>
          <w:highlight w:val="none"/>
        </w:rPr>
        <w:t>投标文件的初步评审</w:t>
      </w:r>
    </w:p>
    <w:p>
      <w:pPr>
        <w:autoSpaceDE w:val="0"/>
        <w:autoSpaceDN w:val="0"/>
        <w:adjustRightInd w:val="0"/>
        <w:spacing w:line="440" w:lineRule="exact"/>
        <w:ind w:firstLine="480"/>
        <w:jc w:val="left"/>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26.1 </w:t>
      </w:r>
      <w:r>
        <w:rPr>
          <w:rFonts w:hint="eastAsia" w:ascii="宋体" w:hAnsi="宋体" w:eastAsia="宋体" w:cs="宋体"/>
          <w:color w:val="auto"/>
          <w:sz w:val="24"/>
          <w:szCs w:val="24"/>
          <w:highlight w:val="none"/>
        </w:rPr>
        <w:t>评标时，评标委员会将首先评定每份电子化投标文件是否在实质上响应了招标文件的要求。所谓实质上响应，是指电子化投标文件应与招标文件的所有实质性条款、条件和要求相符，无显著差异或保留，或者对合同中约定的采购人的权利和供应商的义务方面没有造成重大的限制，纠正这些差异或保留将不会对其他实质上响应招标文件要求的供应商的竞争地位产生不公正的影响。</w:t>
      </w:r>
    </w:p>
    <w:p>
      <w:pPr>
        <w:autoSpaceDE w:val="0"/>
        <w:autoSpaceDN w:val="0"/>
        <w:adjustRightInd w:val="0"/>
        <w:spacing w:line="440" w:lineRule="exact"/>
        <w:ind w:firstLine="480"/>
        <w:jc w:val="left"/>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26.2 </w:t>
      </w:r>
      <w:r>
        <w:rPr>
          <w:rFonts w:hint="eastAsia" w:ascii="宋体" w:hAnsi="宋体" w:eastAsia="宋体" w:cs="宋体"/>
          <w:color w:val="auto"/>
          <w:sz w:val="24"/>
          <w:szCs w:val="24"/>
          <w:highlight w:val="none"/>
        </w:rPr>
        <w:t>如果电子化投标文件实质上不响应招标文件的各项要求，评标委员会将予以拒绝，并且不允许供应商通过修改或撤销其不符合要求的差异或保留，使之成为具有响应性的投标。</w:t>
      </w:r>
    </w:p>
    <w:p>
      <w:pPr>
        <w:autoSpaceDE w:val="0"/>
        <w:autoSpaceDN w:val="0"/>
        <w:adjustRightInd w:val="0"/>
        <w:spacing w:line="440" w:lineRule="exact"/>
        <w:ind w:firstLine="480"/>
        <w:jc w:val="left"/>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26.3 </w:t>
      </w:r>
      <w:r>
        <w:rPr>
          <w:rFonts w:hint="eastAsia" w:ascii="宋体" w:hAnsi="宋体" w:eastAsia="宋体" w:cs="宋体"/>
          <w:color w:val="auto"/>
          <w:sz w:val="24"/>
          <w:szCs w:val="24"/>
          <w:highlight w:val="none"/>
        </w:rPr>
        <w:t>电子化投标文件有下列情形之一的，由评标委员会初审后按无效标处理：</w:t>
      </w:r>
    </w:p>
    <w:p>
      <w:pPr>
        <w:spacing w:line="44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（1）电子化投标文件附有采购人不能接受的条件的；</w:t>
      </w:r>
    </w:p>
    <w:p>
      <w:pPr>
        <w:spacing w:line="44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（2）投标报价高于招标文件中采购预算的；</w:t>
      </w:r>
    </w:p>
    <w:p>
      <w:pPr>
        <w:spacing w:line="44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（3）以他人的名义投标、串通投标、以行贿手段谋取中标或者以其他弄虚作假方式投标的；</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（4）采取不正当手段谋取中标的。</w:t>
      </w:r>
    </w:p>
    <w:p>
      <w:pPr>
        <w:spacing w:line="440" w:lineRule="exact"/>
        <w:ind w:firstLine="480"/>
        <w:rPr>
          <w:rFonts w:ascii="宋体" w:hAnsi="宋体" w:eastAsia="宋体" w:cs="宋体"/>
          <w:b/>
          <w:bCs/>
          <w:color w:val="auto"/>
          <w:kern w:val="0"/>
          <w:sz w:val="24"/>
          <w:szCs w:val="24"/>
          <w:highlight w:val="none"/>
        </w:rPr>
      </w:pPr>
      <w:r>
        <w:rPr>
          <w:rFonts w:hint="eastAsia" w:ascii="宋体" w:hAnsi="宋体" w:eastAsia="宋体" w:cs="宋体"/>
          <w:b/>
          <w:bCs/>
          <w:color w:val="auto"/>
          <w:sz w:val="24"/>
          <w:szCs w:val="24"/>
          <w:highlight w:val="none"/>
        </w:rPr>
        <w:t>27、电子化投标文件计算错误的修正</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rPr>
        <w:t>27.1</w:t>
      </w:r>
      <w:r>
        <w:rPr>
          <w:rFonts w:hint="eastAsia" w:ascii="宋体" w:hAnsi="宋体" w:eastAsia="宋体" w:cs="宋体"/>
          <w:color w:val="auto"/>
          <w:sz w:val="24"/>
          <w:szCs w:val="24"/>
          <w:highlight w:val="none"/>
        </w:rPr>
        <w:t>评标委员会将对确定为实质上响应招标文件要求的电子化投标文件进行校核，看其是否有计算或表达上的错误，修正错误的原则如下：</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27.1.1</w:t>
      </w:r>
      <w:r>
        <w:rPr>
          <w:rFonts w:hint="eastAsia" w:ascii="宋体" w:hAnsi="宋体" w:eastAsia="宋体" w:cs="宋体"/>
          <w:color w:val="auto"/>
          <w:sz w:val="24"/>
          <w:szCs w:val="24"/>
          <w:highlight w:val="none"/>
        </w:rPr>
        <w:t>电子化投标文件中的大写金额和小写金额不一致的，以大写金额为准；</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27.1.2</w:t>
      </w:r>
      <w:r>
        <w:rPr>
          <w:rFonts w:hint="eastAsia" w:ascii="宋体" w:hAnsi="宋体" w:eastAsia="宋体" w:cs="宋体"/>
          <w:color w:val="auto"/>
          <w:sz w:val="24"/>
          <w:szCs w:val="24"/>
          <w:highlight w:val="none"/>
        </w:rPr>
        <w:t>对不同文字文本电子化投标文件的解释发生异议的，以中文文本为准。</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27.2</w:t>
      </w:r>
      <w:r>
        <w:rPr>
          <w:rFonts w:hint="eastAsia" w:ascii="宋体" w:hAnsi="宋体" w:eastAsia="宋体" w:cs="宋体"/>
          <w:color w:val="auto"/>
          <w:sz w:val="24"/>
          <w:szCs w:val="24"/>
          <w:highlight w:val="none"/>
        </w:rPr>
        <w:t>按上述修正错误的原则及方法调整或修正电子化投标文件的投标报价，供应商同意后，调整后的投标报价对供应商起约束作用。</w:t>
      </w:r>
    </w:p>
    <w:p>
      <w:pPr>
        <w:spacing w:line="440" w:lineRule="exact"/>
        <w:ind w:firstLine="480"/>
        <w:rPr>
          <w:rFonts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rPr>
        <w:t>28. 电子化</w:t>
      </w:r>
      <w:r>
        <w:rPr>
          <w:rFonts w:hint="eastAsia" w:ascii="宋体" w:hAnsi="宋体" w:eastAsia="宋体" w:cs="宋体"/>
          <w:b/>
          <w:bCs/>
          <w:color w:val="auto"/>
          <w:sz w:val="24"/>
          <w:szCs w:val="24"/>
          <w:highlight w:val="none"/>
        </w:rPr>
        <w:t>投标文件的评审、比较和否决</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28.1</w:t>
      </w:r>
      <w:r>
        <w:rPr>
          <w:rFonts w:hint="eastAsia" w:ascii="宋体" w:hAnsi="宋体" w:eastAsia="宋体" w:cs="宋体"/>
          <w:color w:val="auto"/>
          <w:sz w:val="24"/>
          <w:szCs w:val="24"/>
          <w:highlight w:val="none"/>
        </w:rPr>
        <w:t>评标委员会将按照招标文件的规定，仅对在实质上响应招标文件要求的电子化投标文件进行评估和比较。</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28.2</w:t>
      </w:r>
      <w:r>
        <w:rPr>
          <w:rFonts w:hint="eastAsia" w:ascii="宋体" w:hAnsi="宋体" w:eastAsia="宋体" w:cs="宋体"/>
          <w:color w:val="auto"/>
          <w:sz w:val="24"/>
          <w:szCs w:val="24"/>
          <w:highlight w:val="none"/>
        </w:rPr>
        <w:t>根据相关法律法规及有关招投标文件规定，结合本项目具体情况，制定本次招标评标办法。并按照“公平、公正、科学、择优”的原则进行评标。采用综合评分法进行评比。</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28.3</w:t>
      </w:r>
      <w:r>
        <w:rPr>
          <w:rFonts w:hint="eastAsia" w:ascii="宋体" w:hAnsi="宋体" w:eastAsia="宋体" w:cs="宋体"/>
          <w:color w:val="auto"/>
          <w:sz w:val="24"/>
          <w:szCs w:val="24"/>
          <w:highlight w:val="none"/>
        </w:rPr>
        <w:t>在评审过程中，评标委员会可以以书面形式要求供应商就电子化投标文件中含义不明确的内容进行书面说明并提供相关材料。</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rPr>
        <w:t xml:space="preserve">28.4 </w:t>
      </w:r>
      <w:r>
        <w:rPr>
          <w:rFonts w:hint="eastAsia" w:ascii="宋体" w:hAnsi="宋体" w:eastAsia="宋体" w:cs="宋体"/>
          <w:color w:val="auto"/>
          <w:kern w:val="0"/>
          <w:sz w:val="24"/>
          <w:szCs w:val="24"/>
          <w:highlight w:val="none"/>
        </w:rPr>
        <w:t>评标时，投标报价是评标的重要依据，但不是唯一依据，</w:t>
      </w:r>
      <w:r>
        <w:rPr>
          <w:rFonts w:hint="eastAsia" w:ascii="宋体" w:hAnsi="宋体" w:eastAsia="宋体" w:cs="宋体"/>
          <w:color w:val="auto"/>
          <w:sz w:val="24"/>
          <w:szCs w:val="24"/>
          <w:highlight w:val="none"/>
        </w:rPr>
        <w:t>采购人不承诺将合同授予报价最低或最高的供应商。</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28.5</w:t>
      </w:r>
      <w:r>
        <w:rPr>
          <w:rFonts w:hint="eastAsia" w:ascii="宋体" w:hAnsi="宋体" w:eastAsia="宋体" w:cs="宋体"/>
          <w:color w:val="auto"/>
          <w:sz w:val="24"/>
          <w:szCs w:val="24"/>
          <w:highlight w:val="none"/>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pPr>
        <w:autoSpaceDE w:val="0"/>
        <w:autoSpaceDN w:val="0"/>
        <w:adjustRightInd w:val="0"/>
        <w:spacing w:line="440" w:lineRule="exact"/>
        <w:ind w:firstLine="420"/>
        <w:jc w:val="left"/>
        <w:outlineLvl w:val="0"/>
        <w:rPr>
          <w:rFonts w:ascii="宋体" w:hAnsi="宋体" w:eastAsia="宋体" w:cs="宋体"/>
          <w:color w:val="auto"/>
          <w:sz w:val="24"/>
          <w:szCs w:val="24"/>
          <w:highlight w:val="none"/>
        </w:rPr>
      </w:pPr>
      <w:bookmarkStart w:id="4" w:name="_Toc24794"/>
      <w:r>
        <w:rPr>
          <w:rFonts w:hint="eastAsia" w:ascii="宋体" w:hAnsi="宋体" w:eastAsia="宋体" w:cs="宋体"/>
          <w:b/>
          <w:bCs/>
          <w:color w:val="auto"/>
          <w:sz w:val="24"/>
          <w:szCs w:val="24"/>
          <w:highlight w:val="none"/>
        </w:rPr>
        <w:t xml:space="preserve">28.6 </w:t>
      </w:r>
      <w:r>
        <w:rPr>
          <w:rFonts w:hint="eastAsia" w:ascii="宋体" w:hAnsi="宋体" w:eastAsia="宋体" w:cs="宋体"/>
          <w:color w:val="auto"/>
          <w:sz w:val="24"/>
          <w:szCs w:val="24"/>
          <w:highlight w:val="none"/>
        </w:rPr>
        <w:t>评标委员会依据本须知规定的评标标准和方法，对电子化投标文件进行评审和比较，向采购人提供书面评标报告，并由采购人确定中标供应商。</w:t>
      </w:r>
      <w:bookmarkEnd w:id="4"/>
    </w:p>
    <w:p>
      <w:pPr>
        <w:adjustRightInd w:val="0"/>
        <w:snapToGrid w:val="0"/>
        <w:spacing w:line="440" w:lineRule="exact"/>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rPr>
        <w:t>28.7</w:t>
      </w:r>
      <w:r>
        <w:rPr>
          <w:rFonts w:hint="eastAsia" w:ascii="宋体" w:hAnsi="宋体" w:eastAsia="宋体" w:cs="宋体"/>
          <w:color w:val="auto"/>
          <w:kern w:val="0"/>
          <w:sz w:val="24"/>
          <w:szCs w:val="24"/>
          <w:highlight w:val="none"/>
        </w:rPr>
        <w:t>本项目采用综合评分法，按评审后得分由高到低顺序排列。得分相同的，按投标报价由低到高的顺序排列。得分且投标报价相同的，按技术标得分由高到低的顺序排列。技术指标仍相同的，按商务标由高到低的顺序排列，以上各项都相同的，由采购人</w:t>
      </w:r>
      <w:r>
        <w:rPr>
          <w:rFonts w:hint="eastAsia" w:ascii="宋体" w:hAnsi="宋体" w:eastAsia="宋体" w:cs="宋体"/>
          <w:color w:val="auto"/>
          <w:sz w:val="24"/>
          <w:szCs w:val="24"/>
          <w:highlight w:val="none"/>
        </w:rPr>
        <w:t>确定中标供应商。</w:t>
      </w:r>
    </w:p>
    <w:p>
      <w:pPr>
        <w:keepNext w:val="0"/>
        <w:keepLines w:val="0"/>
        <w:pageBreakBefore w:val="0"/>
        <w:widowControl w:val="0"/>
        <w:kinsoku/>
        <w:wordWrap/>
        <w:overflowPunct/>
        <w:topLinePunct w:val="0"/>
        <w:autoSpaceDE w:val="0"/>
        <w:autoSpaceDN w:val="0"/>
        <w:bidi w:val="0"/>
        <w:adjustRightInd w:val="0"/>
        <w:snapToGrid/>
        <w:spacing w:line="520" w:lineRule="exact"/>
        <w:ind w:right="-57" w:firstLine="348" w:firstLineChars="150"/>
        <w:textAlignment w:val="auto"/>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出现下列情形之一的，将终止采购活动，发布项目终止公告并说明原因，重新开展采购活动：</w:t>
      </w:r>
    </w:p>
    <w:p>
      <w:pPr>
        <w:keepNext w:val="0"/>
        <w:keepLines w:val="0"/>
        <w:pageBreakBefore w:val="0"/>
        <w:widowControl w:val="0"/>
        <w:kinsoku/>
        <w:wordWrap/>
        <w:overflowPunct/>
        <w:topLinePunct w:val="0"/>
        <w:autoSpaceDE w:val="0"/>
        <w:autoSpaceDN w:val="0"/>
        <w:bidi w:val="0"/>
        <w:adjustRightInd w:val="0"/>
        <w:snapToGrid/>
        <w:spacing w:line="520" w:lineRule="exact"/>
        <w:ind w:right="-57"/>
        <w:textAlignment w:val="auto"/>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1、不符合法律、法规和</w:t>
      </w:r>
      <w:r>
        <w:rPr>
          <w:rFonts w:hint="eastAsia" w:ascii="宋体" w:hAnsi="宋体" w:cs="宋体"/>
          <w:color w:val="auto"/>
          <w:spacing w:val="-4"/>
          <w:sz w:val="24"/>
          <w:szCs w:val="24"/>
          <w:highlight w:val="none"/>
          <w:lang w:val="en-US" w:eastAsia="zh-CN"/>
        </w:rPr>
        <w:t>招标</w:t>
      </w:r>
      <w:r>
        <w:rPr>
          <w:rFonts w:hint="eastAsia" w:ascii="宋体" w:hAnsi="宋体" w:cs="宋体"/>
          <w:color w:val="auto"/>
          <w:spacing w:val="-4"/>
          <w:sz w:val="24"/>
          <w:szCs w:val="24"/>
          <w:highlight w:val="none"/>
        </w:rPr>
        <w:t>文件中规定的其他实质性要求的；</w:t>
      </w:r>
    </w:p>
    <w:p>
      <w:pPr>
        <w:keepNext w:val="0"/>
        <w:keepLines w:val="0"/>
        <w:pageBreakBefore w:val="0"/>
        <w:widowControl w:val="0"/>
        <w:kinsoku/>
        <w:wordWrap/>
        <w:overflowPunct/>
        <w:topLinePunct w:val="0"/>
        <w:autoSpaceDE w:val="0"/>
        <w:autoSpaceDN w:val="0"/>
        <w:bidi w:val="0"/>
        <w:adjustRightInd w:val="0"/>
        <w:snapToGrid/>
        <w:spacing w:line="520" w:lineRule="exact"/>
        <w:ind w:right="-57"/>
        <w:textAlignment w:val="auto"/>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2、其他法律、法规及本</w:t>
      </w:r>
      <w:r>
        <w:rPr>
          <w:rFonts w:hint="eastAsia" w:ascii="宋体" w:hAnsi="宋体" w:cs="宋体"/>
          <w:color w:val="auto"/>
          <w:spacing w:val="-4"/>
          <w:sz w:val="24"/>
          <w:szCs w:val="24"/>
          <w:highlight w:val="none"/>
          <w:lang w:val="en-US" w:eastAsia="zh-CN"/>
        </w:rPr>
        <w:t>招标</w:t>
      </w:r>
      <w:r>
        <w:rPr>
          <w:rFonts w:hint="eastAsia" w:ascii="宋体" w:hAnsi="宋体" w:cs="宋体"/>
          <w:color w:val="auto"/>
          <w:spacing w:val="-4"/>
          <w:sz w:val="24"/>
          <w:szCs w:val="24"/>
          <w:highlight w:val="none"/>
        </w:rPr>
        <w:t>文件规定的属响应无效的情形。终止采购活动的条款；</w:t>
      </w:r>
    </w:p>
    <w:p>
      <w:pPr>
        <w:keepNext w:val="0"/>
        <w:keepLines w:val="0"/>
        <w:pageBreakBefore w:val="0"/>
        <w:widowControl w:val="0"/>
        <w:kinsoku/>
        <w:wordWrap/>
        <w:overflowPunct/>
        <w:topLinePunct w:val="0"/>
        <w:autoSpaceDE w:val="0"/>
        <w:autoSpaceDN w:val="0"/>
        <w:bidi w:val="0"/>
        <w:adjustRightInd w:val="0"/>
        <w:snapToGrid/>
        <w:spacing w:line="520" w:lineRule="exact"/>
        <w:ind w:right="-57"/>
        <w:textAlignment w:val="auto"/>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3、因情况变化，不再符合规定的</w:t>
      </w:r>
      <w:r>
        <w:rPr>
          <w:rFonts w:hint="eastAsia" w:ascii="宋体" w:hAnsi="宋体" w:cs="宋体"/>
          <w:color w:val="auto"/>
          <w:spacing w:val="-4"/>
          <w:sz w:val="24"/>
          <w:szCs w:val="24"/>
          <w:highlight w:val="none"/>
          <w:lang w:val="en-US" w:eastAsia="zh-CN"/>
        </w:rPr>
        <w:t>公开招标</w:t>
      </w:r>
      <w:r>
        <w:rPr>
          <w:rFonts w:hint="eastAsia" w:ascii="宋体" w:hAnsi="宋体" w:cs="宋体"/>
          <w:color w:val="auto"/>
          <w:spacing w:val="-4"/>
          <w:sz w:val="24"/>
          <w:szCs w:val="24"/>
          <w:highlight w:val="none"/>
        </w:rPr>
        <w:t>采购方式适用情形的；出现影响采购公正的违法、违规行为的；</w:t>
      </w:r>
    </w:p>
    <w:p>
      <w:pPr>
        <w:keepNext w:val="0"/>
        <w:keepLines w:val="0"/>
        <w:pageBreakBefore w:val="0"/>
        <w:widowControl w:val="0"/>
        <w:kinsoku/>
        <w:wordWrap/>
        <w:overflowPunct/>
        <w:topLinePunct w:val="0"/>
        <w:autoSpaceDE w:val="0"/>
        <w:autoSpaceDN w:val="0"/>
        <w:bidi w:val="0"/>
        <w:adjustRightInd w:val="0"/>
        <w:snapToGrid/>
        <w:spacing w:line="520" w:lineRule="exact"/>
        <w:ind w:right="-57" w:firstLine="466" w:firstLineChars="200"/>
        <w:textAlignment w:val="auto"/>
        <w:rPr>
          <w:rFonts w:ascii="宋体" w:hAnsi="宋体" w:cs="宋体"/>
          <w:color w:val="auto"/>
          <w:spacing w:val="-4"/>
          <w:sz w:val="24"/>
          <w:szCs w:val="24"/>
          <w:highlight w:val="none"/>
        </w:rPr>
      </w:pPr>
      <w:r>
        <w:rPr>
          <w:rFonts w:hint="eastAsia" w:ascii="宋体" w:hAnsi="宋体" w:cs="宋体"/>
          <w:b/>
          <w:bCs/>
          <w:color w:val="auto"/>
          <w:spacing w:val="-4"/>
          <w:sz w:val="24"/>
          <w:szCs w:val="24"/>
          <w:highlight w:val="none"/>
          <w:lang w:val="en-US" w:eastAsia="zh-CN"/>
        </w:rPr>
        <w:t>2</w:t>
      </w:r>
      <w:r>
        <w:rPr>
          <w:rFonts w:hint="eastAsia" w:ascii="宋体" w:hAnsi="宋体" w:eastAsia="宋体" w:cs="宋体"/>
          <w:b/>
          <w:bCs/>
          <w:color w:val="auto"/>
          <w:kern w:val="0"/>
          <w:sz w:val="24"/>
          <w:szCs w:val="24"/>
          <w:highlight w:val="none"/>
          <w:lang w:val="en-US" w:eastAsia="zh-CN"/>
        </w:rPr>
        <w:t>9</w:t>
      </w:r>
      <w:r>
        <w:rPr>
          <w:rFonts w:hint="eastAsia" w:ascii="宋体" w:hAnsi="宋体" w:eastAsia="宋体" w:cs="宋体"/>
          <w:b w:val="0"/>
          <w:bCs w:val="0"/>
          <w:color w:val="auto"/>
          <w:kern w:val="0"/>
          <w:sz w:val="24"/>
          <w:szCs w:val="24"/>
          <w:highlight w:val="none"/>
          <w:lang w:val="en-US" w:eastAsia="zh-CN"/>
        </w:rPr>
        <w:t>投</w:t>
      </w:r>
      <w:r>
        <w:rPr>
          <w:rFonts w:hint="eastAsia" w:ascii="宋体" w:hAnsi="宋体" w:cs="宋体"/>
          <w:color w:val="auto"/>
          <w:spacing w:val="-4"/>
          <w:sz w:val="24"/>
          <w:szCs w:val="24"/>
          <w:highlight w:val="none"/>
          <w:lang w:val="en-US" w:eastAsia="zh-CN"/>
        </w:rPr>
        <w:t>标</w:t>
      </w:r>
      <w:r>
        <w:rPr>
          <w:rFonts w:hint="eastAsia" w:ascii="宋体" w:hAnsi="宋体" w:cs="宋体"/>
          <w:color w:val="auto"/>
          <w:spacing w:val="-4"/>
          <w:sz w:val="24"/>
          <w:szCs w:val="24"/>
          <w:highlight w:val="none"/>
        </w:rPr>
        <w:t>截止时间结束后参加供应商不足3家的，应重新组织采购。评审期间符合专业条件的供应商或者对</w:t>
      </w:r>
      <w:r>
        <w:rPr>
          <w:rFonts w:hint="eastAsia" w:ascii="宋体" w:hAnsi="宋体" w:cs="宋体"/>
          <w:color w:val="auto"/>
          <w:spacing w:val="-4"/>
          <w:sz w:val="24"/>
          <w:szCs w:val="24"/>
          <w:highlight w:val="none"/>
          <w:lang w:val="en-US" w:eastAsia="zh-CN"/>
        </w:rPr>
        <w:t>招标</w:t>
      </w:r>
      <w:r>
        <w:rPr>
          <w:rFonts w:hint="eastAsia" w:ascii="宋体" w:hAnsi="宋体" w:cs="宋体"/>
          <w:color w:val="auto"/>
          <w:spacing w:val="-4"/>
          <w:sz w:val="24"/>
          <w:szCs w:val="24"/>
          <w:highlight w:val="none"/>
        </w:rPr>
        <w:t>文件作出实质响应的供应商不足3家的，采购代理机构将报请主管监督部门批准。</w:t>
      </w:r>
    </w:p>
    <w:p>
      <w:pPr>
        <w:adjustRightInd w:val="0"/>
        <w:snapToGrid w:val="0"/>
        <w:spacing w:line="440" w:lineRule="exact"/>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pPr>
        <w:autoSpaceDE w:val="0"/>
        <w:autoSpaceDN w:val="0"/>
        <w:adjustRightInd w:val="0"/>
        <w:spacing w:line="440" w:lineRule="exact"/>
        <w:ind w:firstLine="420"/>
        <w:jc w:val="center"/>
        <w:rPr>
          <w:rFonts w:ascii="宋体" w:hAnsi="宋体" w:eastAsia="宋体" w:cs="宋体"/>
          <w:b/>
          <w:bCs/>
          <w:color w:val="auto"/>
          <w:kern w:val="0"/>
          <w:sz w:val="36"/>
          <w:szCs w:val="36"/>
          <w:highlight w:val="none"/>
        </w:rPr>
      </w:pPr>
    </w:p>
    <w:p>
      <w:pPr>
        <w:autoSpaceDE w:val="0"/>
        <w:autoSpaceDN w:val="0"/>
        <w:adjustRightInd w:val="0"/>
        <w:spacing w:line="440" w:lineRule="exact"/>
        <w:ind w:firstLine="420"/>
        <w:jc w:val="center"/>
        <w:rPr>
          <w:rFonts w:ascii="宋体" w:hAnsi="宋体" w:eastAsia="宋体" w:cs="宋体"/>
          <w:b/>
          <w:bCs/>
          <w:color w:val="auto"/>
          <w:kern w:val="0"/>
          <w:sz w:val="36"/>
          <w:szCs w:val="36"/>
          <w:highlight w:val="none"/>
        </w:rPr>
      </w:pPr>
    </w:p>
    <w:p>
      <w:pPr>
        <w:autoSpaceDE w:val="0"/>
        <w:autoSpaceDN w:val="0"/>
        <w:adjustRightInd w:val="0"/>
        <w:spacing w:line="440" w:lineRule="exact"/>
        <w:ind w:firstLine="420"/>
        <w:jc w:val="center"/>
        <w:outlineLvl w:val="0"/>
        <w:rPr>
          <w:rFonts w:ascii="宋体" w:hAnsi="宋体" w:eastAsia="宋体" w:cs="宋体"/>
          <w:b/>
          <w:bCs/>
          <w:color w:val="auto"/>
          <w:kern w:val="0"/>
          <w:sz w:val="36"/>
          <w:szCs w:val="36"/>
          <w:highlight w:val="none"/>
        </w:rPr>
      </w:pPr>
      <w:bookmarkStart w:id="5" w:name="_Toc24063"/>
      <w:r>
        <w:rPr>
          <w:rFonts w:hint="eastAsia" w:ascii="宋体" w:hAnsi="宋体" w:eastAsia="宋体" w:cs="宋体"/>
          <w:b/>
          <w:bCs/>
          <w:color w:val="auto"/>
          <w:kern w:val="0"/>
          <w:sz w:val="36"/>
          <w:szCs w:val="36"/>
          <w:highlight w:val="none"/>
        </w:rPr>
        <w:t>七、授予合同</w:t>
      </w:r>
      <w:bookmarkEnd w:id="5"/>
    </w:p>
    <w:p>
      <w:pPr>
        <w:autoSpaceDE w:val="0"/>
        <w:autoSpaceDN w:val="0"/>
        <w:adjustRightInd w:val="0"/>
        <w:spacing w:line="440" w:lineRule="exact"/>
        <w:ind w:firstLine="420"/>
        <w:jc w:val="left"/>
        <w:outlineLvl w:val="0"/>
        <w:rPr>
          <w:rFonts w:ascii="宋体" w:hAnsi="宋体" w:eastAsia="宋体" w:cs="宋体"/>
          <w:b/>
          <w:bCs/>
          <w:color w:val="auto"/>
          <w:kern w:val="0"/>
          <w:sz w:val="24"/>
          <w:szCs w:val="24"/>
          <w:highlight w:val="none"/>
        </w:rPr>
      </w:pPr>
      <w:bookmarkStart w:id="6" w:name="_Toc29796"/>
      <w:r>
        <w:rPr>
          <w:rFonts w:hint="eastAsia" w:ascii="宋体" w:hAnsi="宋体" w:eastAsia="宋体" w:cs="宋体"/>
          <w:b/>
          <w:bCs/>
          <w:color w:val="auto"/>
          <w:kern w:val="0"/>
          <w:sz w:val="24"/>
          <w:szCs w:val="24"/>
          <w:highlight w:val="none"/>
        </w:rPr>
        <w:t>29、合同授予标准</w:t>
      </w:r>
      <w:bookmarkEnd w:id="6"/>
    </w:p>
    <w:p>
      <w:pPr>
        <w:autoSpaceDE w:val="0"/>
        <w:autoSpaceDN w:val="0"/>
        <w:adjustRightInd w:val="0"/>
        <w:spacing w:line="440" w:lineRule="exact"/>
        <w:ind w:firstLine="420"/>
        <w:jc w:val="left"/>
        <w:outlineLvl w:val="0"/>
        <w:rPr>
          <w:rFonts w:ascii="宋体" w:hAnsi="宋体" w:eastAsia="宋体" w:cs="宋体"/>
          <w:color w:val="auto"/>
          <w:sz w:val="24"/>
          <w:szCs w:val="24"/>
          <w:highlight w:val="none"/>
        </w:rPr>
      </w:pPr>
      <w:bookmarkStart w:id="7" w:name="_Toc11753"/>
      <w:r>
        <w:rPr>
          <w:rFonts w:hint="eastAsia" w:ascii="宋体" w:hAnsi="宋体" w:eastAsia="宋体" w:cs="宋体"/>
          <w:b/>
          <w:bCs/>
          <w:color w:val="auto"/>
          <w:kern w:val="0"/>
          <w:sz w:val="24"/>
          <w:szCs w:val="24"/>
          <w:highlight w:val="none"/>
        </w:rPr>
        <w:t xml:space="preserve">29.1 </w:t>
      </w:r>
      <w:r>
        <w:rPr>
          <w:rFonts w:hint="eastAsia" w:ascii="宋体" w:hAnsi="宋体" w:eastAsia="宋体" w:cs="宋体"/>
          <w:color w:val="auto"/>
          <w:sz w:val="24"/>
          <w:szCs w:val="24"/>
          <w:highlight w:val="none"/>
        </w:rPr>
        <w:t>本招标项目的合同将授予按本评标办法确定的中标供应商。</w:t>
      </w:r>
      <w:bookmarkEnd w:id="7"/>
    </w:p>
    <w:p>
      <w:pPr>
        <w:autoSpaceDE w:val="0"/>
        <w:autoSpaceDN w:val="0"/>
        <w:adjustRightInd w:val="0"/>
        <w:spacing w:line="440" w:lineRule="exact"/>
        <w:ind w:firstLine="420"/>
        <w:jc w:val="left"/>
        <w:outlineLvl w:val="0"/>
        <w:rPr>
          <w:rFonts w:ascii="宋体" w:hAnsi="宋体" w:eastAsia="宋体" w:cs="宋体"/>
          <w:color w:val="auto"/>
          <w:sz w:val="24"/>
          <w:szCs w:val="24"/>
          <w:highlight w:val="none"/>
        </w:rPr>
      </w:pPr>
      <w:bookmarkStart w:id="8" w:name="_Toc22699"/>
      <w:r>
        <w:rPr>
          <w:rFonts w:hint="eastAsia" w:ascii="宋体" w:hAnsi="宋体" w:eastAsia="宋体" w:cs="宋体"/>
          <w:b/>
          <w:bCs/>
          <w:color w:val="auto"/>
          <w:sz w:val="24"/>
          <w:szCs w:val="24"/>
          <w:highlight w:val="none"/>
        </w:rPr>
        <w:t xml:space="preserve">29.2 </w:t>
      </w:r>
      <w:r>
        <w:rPr>
          <w:rFonts w:hint="eastAsia" w:ascii="宋体" w:hAnsi="宋体" w:eastAsia="宋体" w:cs="宋体"/>
          <w:color w:val="auto"/>
          <w:sz w:val="24"/>
          <w:szCs w:val="24"/>
          <w:highlight w:val="none"/>
        </w:rPr>
        <w:t>评标委员会提供书面评标报告，由采购人确定中标供应商。当确定中标供应商放弃中标或因不可抗力提出不能履行合同的，采购人可以按照评审报告推荐的中标候选供应商名单，确定下一中标候选供应商为中标供应商，也可以重新开展采购活动。</w:t>
      </w:r>
      <w:bookmarkEnd w:id="8"/>
    </w:p>
    <w:p>
      <w:pPr>
        <w:autoSpaceDE w:val="0"/>
        <w:autoSpaceDN w:val="0"/>
        <w:adjustRightInd w:val="0"/>
        <w:spacing w:line="440" w:lineRule="exact"/>
        <w:ind w:firstLine="420"/>
        <w:jc w:val="left"/>
        <w:outlineLvl w:val="0"/>
        <w:rPr>
          <w:rFonts w:hint="eastAsia" w:ascii="宋体" w:hAnsi="宋体" w:eastAsia="宋体" w:cs="宋体"/>
          <w:b/>
          <w:bCs/>
          <w:color w:val="auto"/>
          <w:sz w:val="24"/>
          <w:szCs w:val="24"/>
          <w:highlight w:val="none"/>
        </w:rPr>
      </w:pPr>
      <w:bookmarkStart w:id="9" w:name="_Toc10783"/>
    </w:p>
    <w:p>
      <w:pPr>
        <w:autoSpaceDE w:val="0"/>
        <w:autoSpaceDN w:val="0"/>
        <w:adjustRightInd w:val="0"/>
        <w:spacing w:line="440" w:lineRule="exact"/>
        <w:ind w:firstLine="420"/>
        <w:jc w:val="left"/>
        <w:outlineLvl w:val="0"/>
        <w:rPr>
          <w:rFonts w:hint="eastAsia" w:ascii="宋体" w:hAnsi="宋体" w:eastAsia="宋体" w:cs="宋体"/>
          <w:b/>
          <w:bCs/>
          <w:color w:val="auto"/>
          <w:sz w:val="24"/>
          <w:szCs w:val="24"/>
          <w:highlight w:val="none"/>
        </w:rPr>
      </w:pPr>
    </w:p>
    <w:p>
      <w:pPr>
        <w:autoSpaceDE w:val="0"/>
        <w:autoSpaceDN w:val="0"/>
        <w:adjustRightInd w:val="0"/>
        <w:spacing w:line="440" w:lineRule="exact"/>
        <w:ind w:firstLine="420"/>
        <w:jc w:val="left"/>
        <w:outlineLvl w:val="0"/>
        <w:rPr>
          <w:rFonts w:hint="eastAsia" w:ascii="宋体" w:hAnsi="宋体" w:eastAsia="宋体" w:cs="宋体"/>
          <w:b/>
          <w:bCs/>
          <w:color w:val="auto"/>
          <w:sz w:val="24"/>
          <w:szCs w:val="24"/>
          <w:highlight w:val="none"/>
        </w:rPr>
      </w:pPr>
    </w:p>
    <w:p>
      <w:pPr>
        <w:autoSpaceDE w:val="0"/>
        <w:autoSpaceDN w:val="0"/>
        <w:adjustRightInd w:val="0"/>
        <w:spacing w:line="440" w:lineRule="exact"/>
        <w:ind w:firstLine="420"/>
        <w:jc w:val="left"/>
        <w:outlineLvl w:val="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30、授予合同时变更数量的权利</w:t>
      </w:r>
      <w:bookmarkEnd w:id="9"/>
    </w:p>
    <w:p>
      <w:pPr>
        <w:autoSpaceDE w:val="0"/>
        <w:autoSpaceDN w:val="0"/>
        <w:adjustRightInd w:val="0"/>
        <w:spacing w:line="440" w:lineRule="exact"/>
        <w:ind w:firstLine="420"/>
        <w:jc w:val="left"/>
        <w:outlineLvl w:val="0"/>
        <w:rPr>
          <w:rFonts w:ascii="宋体" w:hAnsi="宋体" w:eastAsia="宋体" w:cs="宋体"/>
          <w:color w:val="auto"/>
          <w:sz w:val="24"/>
          <w:szCs w:val="24"/>
          <w:highlight w:val="none"/>
        </w:rPr>
      </w:pPr>
      <w:bookmarkStart w:id="10" w:name="_Toc31110"/>
      <w:r>
        <w:rPr>
          <w:rFonts w:hint="eastAsia" w:ascii="宋体" w:hAnsi="宋体" w:eastAsia="宋体" w:cs="宋体"/>
          <w:b/>
          <w:bCs/>
          <w:color w:val="auto"/>
          <w:sz w:val="24"/>
          <w:szCs w:val="24"/>
          <w:highlight w:val="none"/>
        </w:rPr>
        <w:t>30.1</w:t>
      </w:r>
      <w:r>
        <w:rPr>
          <w:rFonts w:hint="eastAsia" w:ascii="宋体" w:hAnsi="宋体" w:eastAsia="宋体" w:cs="宋体"/>
          <w:color w:val="auto"/>
          <w:sz w:val="24"/>
          <w:szCs w:val="24"/>
          <w:highlight w:val="none"/>
        </w:rPr>
        <w:t>采购人在授予合同时，保留对货物数量予以适当增减的权利。供应商不得在此情况下对投标文件作出修改，如价格、交货期等。</w:t>
      </w:r>
      <w:bookmarkEnd w:id="10"/>
    </w:p>
    <w:p>
      <w:pPr>
        <w:autoSpaceDE w:val="0"/>
        <w:autoSpaceDN w:val="0"/>
        <w:adjustRightInd w:val="0"/>
        <w:spacing w:line="440" w:lineRule="exact"/>
        <w:ind w:firstLine="420"/>
        <w:jc w:val="left"/>
        <w:outlineLvl w:val="0"/>
        <w:rPr>
          <w:rFonts w:ascii="宋体" w:hAnsi="宋体" w:eastAsia="宋体" w:cs="宋体"/>
          <w:b/>
          <w:bCs/>
          <w:color w:val="auto"/>
          <w:sz w:val="24"/>
          <w:szCs w:val="24"/>
          <w:highlight w:val="none"/>
        </w:rPr>
      </w:pPr>
      <w:bookmarkStart w:id="11" w:name="_Toc21814"/>
      <w:r>
        <w:rPr>
          <w:rFonts w:hint="eastAsia" w:ascii="宋体" w:hAnsi="宋体" w:eastAsia="宋体" w:cs="宋体"/>
          <w:b/>
          <w:bCs/>
          <w:color w:val="auto"/>
          <w:sz w:val="24"/>
          <w:szCs w:val="24"/>
          <w:highlight w:val="none"/>
        </w:rPr>
        <w:t>31、采购人拒绝投标的权利</w:t>
      </w:r>
      <w:bookmarkEnd w:id="11"/>
    </w:p>
    <w:p>
      <w:pPr>
        <w:autoSpaceDE w:val="0"/>
        <w:autoSpaceDN w:val="0"/>
        <w:adjustRightInd w:val="0"/>
        <w:spacing w:line="440" w:lineRule="exact"/>
        <w:ind w:firstLine="420"/>
        <w:jc w:val="left"/>
        <w:outlineLvl w:val="0"/>
        <w:rPr>
          <w:rFonts w:ascii="宋体" w:hAnsi="宋体" w:eastAsia="宋体" w:cs="宋体"/>
          <w:color w:val="auto"/>
          <w:kern w:val="0"/>
          <w:sz w:val="24"/>
          <w:szCs w:val="24"/>
          <w:highlight w:val="none"/>
        </w:rPr>
      </w:pPr>
      <w:bookmarkStart w:id="12" w:name="_Toc25830"/>
      <w:r>
        <w:rPr>
          <w:rFonts w:hint="eastAsia" w:ascii="宋体" w:hAnsi="宋体" w:eastAsia="宋体" w:cs="宋体"/>
          <w:b/>
          <w:bCs/>
          <w:color w:val="auto"/>
          <w:sz w:val="24"/>
          <w:szCs w:val="24"/>
          <w:highlight w:val="none"/>
        </w:rPr>
        <w:t>31.1</w:t>
      </w:r>
      <w:r>
        <w:rPr>
          <w:rFonts w:hint="eastAsia" w:ascii="宋体" w:hAnsi="宋体" w:eastAsia="宋体" w:cs="宋体"/>
          <w:color w:val="auto"/>
          <w:sz w:val="24"/>
          <w:szCs w:val="24"/>
          <w:highlight w:val="none"/>
        </w:rPr>
        <w:t xml:space="preserve"> 采购人不承诺将合同授予报价最低的或最高的中标候选供应商。</w:t>
      </w:r>
      <w:bookmarkEnd w:id="12"/>
    </w:p>
    <w:p>
      <w:pPr>
        <w:autoSpaceDE w:val="0"/>
        <w:autoSpaceDN w:val="0"/>
        <w:adjustRightInd w:val="0"/>
        <w:spacing w:line="440" w:lineRule="exact"/>
        <w:ind w:firstLine="424" w:firstLineChars="176"/>
        <w:jc w:val="left"/>
        <w:rPr>
          <w:rFonts w:hint="default"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rPr>
        <w:t>32、</w:t>
      </w:r>
      <w:r>
        <w:rPr>
          <w:rFonts w:hint="eastAsia" w:ascii="宋体" w:hAnsi="宋体" w:eastAsia="宋体" w:cs="宋体"/>
          <w:b/>
          <w:bCs/>
          <w:color w:val="auto"/>
          <w:sz w:val="24"/>
          <w:szCs w:val="24"/>
          <w:highlight w:val="none"/>
        </w:rPr>
        <w:t>中标</w:t>
      </w:r>
      <w:r>
        <w:rPr>
          <w:rFonts w:hint="eastAsia" w:ascii="宋体" w:hAnsi="宋体" w:eastAsia="宋体" w:cs="宋体"/>
          <w:b/>
          <w:bCs/>
          <w:color w:val="auto"/>
          <w:kern w:val="0"/>
          <w:sz w:val="24"/>
          <w:szCs w:val="24"/>
          <w:highlight w:val="none"/>
        </w:rPr>
        <w:t>通知</w:t>
      </w:r>
      <w:r>
        <w:rPr>
          <w:rFonts w:hint="eastAsia" w:ascii="宋体" w:hAnsi="宋体" w:eastAsia="宋体" w:cs="宋体"/>
          <w:b/>
          <w:bCs/>
          <w:color w:val="auto"/>
          <w:kern w:val="0"/>
          <w:sz w:val="24"/>
          <w:szCs w:val="24"/>
          <w:highlight w:val="none"/>
          <w:lang w:val="en-US" w:eastAsia="zh-CN"/>
        </w:rPr>
        <w:t>及定标</w:t>
      </w:r>
    </w:p>
    <w:p>
      <w:pPr>
        <w:spacing w:line="360" w:lineRule="auto"/>
        <w:ind w:firstLine="482" w:firstLineChars="200"/>
        <w:jc w:val="left"/>
        <w:rPr>
          <w:rFonts w:hint="eastAsia" w:ascii="宋体" w:hAnsi="宋体" w:eastAsia="宋体" w:cs="宋体"/>
          <w:color w:val="auto"/>
          <w:spacing w:val="-4"/>
          <w:sz w:val="24"/>
          <w:szCs w:val="24"/>
          <w:highlight w:val="none"/>
        </w:rPr>
      </w:pPr>
      <w:r>
        <w:rPr>
          <w:rFonts w:hint="eastAsia" w:ascii="宋体" w:hAnsi="宋体" w:eastAsia="宋体" w:cs="宋体"/>
          <w:b/>
          <w:bCs/>
          <w:color w:val="auto"/>
          <w:kern w:val="0"/>
          <w:sz w:val="24"/>
          <w:szCs w:val="24"/>
          <w:highlight w:val="none"/>
        </w:rPr>
        <w:t>32.1</w:t>
      </w:r>
      <w:r>
        <w:rPr>
          <w:rFonts w:hint="eastAsia" w:ascii="宋体" w:hAnsi="宋体" w:eastAsia="宋体" w:cs="宋体"/>
          <w:color w:val="auto"/>
          <w:spacing w:val="-4"/>
          <w:sz w:val="24"/>
          <w:szCs w:val="24"/>
          <w:highlight w:val="none"/>
        </w:rPr>
        <w:t>评标结束后，采购人和其委托的采购代理机构，在政府采购项目评审结束当天完成评标报告的报送、中标成交</w:t>
      </w:r>
      <w:r>
        <w:rPr>
          <w:rFonts w:hint="eastAsia" w:ascii="宋体" w:hAnsi="宋体" w:eastAsia="宋体" w:cs="宋体"/>
          <w:color w:val="auto"/>
          <w:spacing w:val="-4"/>
          <w:sz w:val="24"/>
          <w:szCs w:val="24"/>
          <w:highlight w:val="none"/>
          <w:lang w:eastAsia="zh-CN"/>
        </w:rPr>
        <w:t>响应人</w:t>
      </w:r>
      <w:r>
        <w:rPr>
          <w:rFonts w:hint="eastAsia" w:ascii="宋体" w:hAnsi="宋体" w:eastAsia="宋体" w:cs="宋体"/>
          <w:color w:val="auto"/>
          <w:spacing w:val="-4"/>
          <w:sz w:val="24"/>
          <w:szCs w:val="24"/>
          <w:highlight w:val="none"/>
        </w:rPr>
        <w:t>的确定、中标公告的发布、中标成交通知书发出。中标通知书对采购人和中标</w:t>
      </w:r>
      <w:r>
        <w:rPr>
          <w:rFonts w:hint="eastAsia" w:ascii="宋体" w:hAnsi="宋体" w:eastAsia="宋体" w:cs="宋体"/>
          <w:color w:val="auto"/>
          <w:spacing w:val="-4"/>
          <w:sz w:val="24"/>
          <w:szCs w:val="24"/>
          <w:highlight w:val="none"/>
          <w:lang w:eastAsia="zh-CN"/>
        </w:rPr>
        <w:t>响应人</w:t>
      </w:r>
      <w:r>
        <w:rPr>
          <w:rFonts w:hint="eastAsia" w:ascii="宋体" w:hAnsi="宋体" w:eastAsia="宋体" w:cs="宋体"/>
          <w:color w:val="auto"/>
          <w:spacing w:val="-4"/>
          <w:sz w:val="24"/>
          <w:szCs w:val="24"/>
          <w:highlight w:val="none"/>
        </w:rPr>
        <w:t>具有同等法律效力。中标通知书发出后，采购人改变中标结果，或者中标</w:t>
      </w:r>
      <w:r>
        <w:rPr>
          <w:rFonts w:hint="eastAsia" w:ascii="宋体" w:hAnsi="宋体" w:eastAsia="宋体" w:cs="宋体"/>
          <w:color w:val="auto"/>
          <w:spacing w:val="-4"/>
          <w:sz w:val="24"/>
          <w:szCs w:val="24"/>
          <w:highlight w:val="none"/>
          <w:lang w:eastAsia="zh-CN"/>
        </w:rPr>
        <w:t>响应人</w:t>
      </w:r>
      <w:r>
        <w:rPr>
          <w:rFonts w:hint="eastAsia" w:ascii="宋体" w:hAnsi="宋体" w:eastAsia="宋体" w:cs="宋体"/>
          <w:color w:val="auto"/>
          <w:spacing w:val="-4"/>
          <w:sz w:val="24"/>
          <w:szCs w:val="24"/>
          <w:highlight w:val="none"/>
        </w:rPr>
        <w:t>放弃中标，应按相关法律、规章、规范性文件的要求承担相应的法律责任。未按规定交纳服务费、领取中标通知书的视为自动放弃中标。</w:t>
      </w:r>
    </w:p>
    <w:p>
      <w:pPr>
        <w:autoSpaceDE w:val="0"/>
        <w:autoSpaceDN w:val="0"/>
        <w:adjustRightInd w:val="0"/>
        <w:spacing w:line="440" w:lineRule="exact"/>
        <w:ind w:firstLine="424" w:firstLineChars="176"/>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xml:space="preserve">32.2 </w:t>
      </w:r>
      <w:r>
        <w:rPr>
          <w:rFonts w:hint="eastAsia" w:ascii="宋体" w:hAnsi="宋体" w:eastAsia="宋体" w:cs="宋体"/>
          <w:color w:val="auto"/>
          <w:sz w:val="24"/>
          <w:szCs w:val="24"/>
          <w:highlight w:val="none"/>
        </w:rPr>
        <w:t>中标</w:t>
      </w:r>
      <w:r>
        <w:rPr>
          <w:rFonts w:hint="eastAsia" w:ascii="宋体" w:hAnsi="宋体" w:eastAsia="宋体" w:cs="宋体"/>
          <w:color w:val="auto"/>
          <w:kern w:val="0"/>
          <w:sz w:val="24"/>
          <w:szCs w:val="24"/>
          <w:highlight w:val="none"/>
        </w:rPr>
        <w:t>通知书是合同的组成部分。</w:t>
      </w:r>
    </w:p>
    <w:p>
      <w:pPr>
        <w:autoSpaceDE w:val="0"/>
        <w:autoSpaceDN w:val="0"/>
        <w:adjustRightInd w:val="0"/>
        <w:spacing w:line="440" w:lineRule="exact"/>
        <w:ind w:firstLine="424" w:firstLineChars="176"/>
        <w:jc w:val="left"/>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xml:space="preserve">32.3 </w:t>
      </w:r>
      <w:r>
        <w:rPr>
          <w:rFonts w:hint="eastAsia" w:ascii="宋体" w:hAnsi="宋体" w:eastAsia="宋体" w:cs="宋体"/>
          <w:color w:val="auto"/>
          <w:kern w:val="0"/>
          <w:sz w:val="24"/>
          <w:szCs w:val="24"/>
          <w:highlight w:val="none"/>
        </w:rPr>
        <w:t>对未</w:t>
      </w:r>
      <w:r>
        <w:rPr>
          <w:rFonts w:hint="eastAsia" w:ascii="宋体" w:hAnsi="宋体" w:eastAsia="宋体" w:cs="宋体"/>
          <w:color w:val="auto"/>
          <w:sz w:val="24"/>
          <w:szCs w:val="24"/>
          <w:highlight w:val="none"/>
        </w:rPr>
        <w:t>中标</w:t>
      </w:r>
      <w:r>
        <w:rPr>
          <w:rFonts w:hint="eastAsia" w:ascii="宋体" w:hAnsi="宋体" w:eastAsia="宋体" w:cs="宋体"/>
          <w:color w:val="auto"/>
          <w:kern w:val="0"/>
          <w:sz w:val="24"/>
          <w:szCs w:val="24"/>
          <w:highlight w:val="none"/>
        </w:rPr>
        <w:t>的供应商，不做任何未</w:t>
      </w:r>
      <w:r>
        <w:rPr>
          <w:rFonts w:hint="eastAsia" w:ascii="宋体" w:hAnsi="宋体" w:eastAsia="宋体" w:cs="宋体"/>
          <w:color w:val="auto"/>
          <w:sz w:val="24"/>
          <w:szCs w:val="24"/>
          <w:highlight w:val="none"/>
        </w:rPr>
        <w:t>中标</w:t>
      </w:r>
      <w:r>
        <w:rPr>
          <w:rFonts w:hint="eastAsia" w:ascii="宋体" w:hAnsi="宋体" w:eastAsia="宋体" w:cs="宋体"/>
          <w:color w:val="auto"/>
          <w:kern w:val="0"/>
          <w:sz w:val="24"/>
          <w:szCs w:val="24"/>
          <w:highlight w:val="none"/>
        </w:rPr>
        <w:t>原因的解释。所有</w:t>
      </w:r>
      <w:r>
        <w:rPr>
          <w:rFonts w:hint="eastAsia" w:ascii="宋体" w:hAnsi="宋体" w:eastAsia="宋体" w:cs="宋体"/>
          <w:color w:val="auto"/>
          <w:sz w:val="24"/>
          <w:szCs w:val="24"/>
          <w:highlight w:val="none"/>
        </w:rPr>
        <w:t>电子化</w:t>
      </w:r>
      <w:r>
        <w:rPr>
          <w:rFonts w:hint="eastAsia" w:ascii="宋体" w:hAnsi="宋体" w:eastAsia="宋体" w:cs="宋体"/>
          <w:color w:val="auto"/>
          <w:kern w:val="0"/>
          <w:sz w:val="24"/>
          <w:szCs w:val="24"/>
          <w:highlight w:val="none"/>
        </w:rPr>
        <w:t>投标文件不予退还。</w:t>
      </w:r>
    </w:p>
    <w:p>
      <w:pPr>
        <w:autoSpaceDE w:val="0"/>
        <w:autoSpaceDN w:val="0"/>
        <w:adjustRightInd w:val="0"/>
        <w:spacing w:line="440" w:lineRule="exact"/>
        <w:ind w:firstLine="424" w:firstLineChars="176"/>
        <w:jc w:val="left"/>
        <w:rPr>
          <w:rFonts w:ascii="宋体" w:hAnsi="宋体" w:eastAsia="宋体" w:cs="宋体"/>
          <w:bCs/>
          <w:color w:val="auto"/>
          <w:kern w:val="0"/>
          <w:sz w:val="24"/>
          <w:szCs w:val="24"/>
          <w:highlight w:val="none"/>
        </w:rPr>
      </w:pPr>
      <w:r>
        <w:rPr>
          <w:rFonts w:hint="eastAsia" w:ascii="宋体" w:hAnsi="宋体" w:eastAsia="宋体" w:cs="宋体"/>
          <w:b/>
          <w:bCs/>
          <w:color w:val="auto"/>
          <w:kern w:val="0"/>
          <w:sz w:val="24"/>
          <w:szCs w:val="24"/>
          <w:highlight w:val="none"/>
        </w:rPr>
        <w:t>33、</w:t>
      </w:r>
      <w:r>
        <w:rPr>
          <w:rFonts w:hint="eastAsia" w:ascii="宋体" w:hAnsi="宋体" w:eastAsia="宋体" w:cs="宋体"/>
          <w:b w:val="0"/>
          <w:bCs w:val="0"/>
          <w:color w:val="auto"/>
          <w:kern w:val="0"/>
          <w:sz w:val="24"/>
          <w:szCs w:val="24"/>
          <w:highlight w:val="none"/>
        </w:rPr>
        <w:t>合同</w:t>
      </w:r>
      <w:r>
        <w:rPr>
          <w:rFonts w:hint="eastAsia" w:ascii="宋体" w:hAnsi="宋体" w:eastAsia="宋体" w:cs="宋体"/>
          <w:bCs/>
          <w:color w:val="auto"/>
          <w:kern w:val="0"/>
          <w:sz w:val="24"/>
          <w:szCs w:val="24"/>
          <w:highlight w:val="none"/>
        </w:rPr>
        <w:t>协议书的签署</w:t>
      </w:r>
    </w:p>
    <w:p>
      <w:pPr>
        <w:spacing w:line="360" w:lineRule="auto"/>
        <w:ind w:firstLine="480" w:firstLineChars="200"/>
        <w:rPr>
          <w:rFonts w:hint="eastAsia" w:ascii="宋体" w:hAnsi="宋体" w:eastAsia="宋体" w:cs="Times New Roman"/>
          <w:bCs/>
          <w:color w:val="auto"/>
          <w:sz w:val="24"/>
          <w:szCs w:val="24"/>
          <w:highlight w:val="none"/>
        </w:rPr>
      </w:pPr>
      <w:r>
        <w:rPr>
          <w:rFonts w:hint="eastAsia" w:ascii="宋体" w:hAnsi="宋体" w:eastAsia="宋体" w:cs="宋体"/>
          <w:bCs/>
          <w:color w:val="auto"/>
          <w:kern w:val="0"/>
          <w:sz w:val="24"/>
          <w:szCs w:val="24"/>
          <w:highlight w:val="none"/>
        </w:rPr>
        <w:t>33.1</w:t>
      </w:r>
      <w:r>
        <w:rPr>
          <w:rFonts w:hint="eastAsia" w:ascii="宋体" w:hAnsi="宋体" w:eastAsia="宋体" w:cs="Times New Roman"/>
          <w:bCs/>
          <w:color w:val="auto"/>
          <w:sz w:val="24"/>
          <w:szCs w:val="24"/>
          <w:highlight w:val="none"/>
        </w:rPr>
        <w:t>采购人与中标供应商将于中标通知书发出之日起</w:t>
      </w:r>
      <w:r>
        <w:rPr>
          <w:rFonts w:hint="eastAsia" w:ascii="宋体" w:hAnsi="宋体" w:cs="Times New Roman"/>
          <w:bCs/>
          <w:color w:val="auto"/>
          <w:sz w:val="24"/>
          <w:szCs w:val="24"/>
          <w:highlight w:val="none"/>
          <w:lang w:val="en-US" w:eastAsia="zh-CN"/>
        </w:rPr>
        <w:t>1</w:t>
      </w:r>
      <w:r>
        <w:rPr>
          <w:rFonts w:hint="eastAsia" w:ascii="宋体" w:hAnsi="宋体" w:eastAsia="宋体" w:cs="Times New Roman"/>
          <w:bCs/>
          <w:color w:val="auto"/>
          <w:sz w:val="24"/>
          <w:szCs w:val="24"/>
          <w:highlight w:val="none"/>
        </w:rPr>
        <w:t>个工作日内，按照招标文件及中标供应商的电子化投标文件订立书面承包合同，采购人和中标供应商不得再行订立背离合同实质性内容的其他协议。采购人应在采购合同签订之日起</w:t>
      </w:r>
      <w:r>
        <w:rPr>
          <w:rFonts w:hint="eastAsia" w:ascii="宋体" w:hAnsi="宋体" w:cs="Times New Roman"/>
          <w:bCs/>
          <w:color w:val="auto"/>
          <w:sz w:val="24"/>
          <w:szCs w:val="24"/>
          <w:highlight w:val="none"/>
          <w:lang w:val="en-US" w:eastAsia="zh-CN"/>
        </w:rPr>
        <w:t>2</w:t>
      </w:r>
      <w:r>
        <w:rPr>
          <w:rFonts w:hint="eastAsia" w:ascii="宋体" w:hAnsi="宋体" w:eastAsia="宋体" w:cs="Times New Roman"/>
          <w:bCs/>
          <w:color w:val="auto"/>
          <w:sz w:val="24"/>
          <w:szCs w:val="24"/>
          <w:highlight w:val="none"/>
        </w:rPr>
        <w:t>个工作日内将政府采购合同在河南省政府采购网发布公告信息及将采购合同报同级财政部门备案</w:t>
      </w:r>
    </w:p>
    <w:p>
      <w:pPr>
        <w:autoSpaceDE w:val="0"/>
        <w:autoSpaceDN w:val="0"/>
        <w:adjustRightInd w:val="0"/>
        <w:spacing w:line="440" w:lineRule="exact"/>
        <w:ind w:firstLine="422" w:firstLineChars="176"/>
        <w:jc w:val="left"/>
        <w:rPr>
          <w:rFonts w:ascii="宋体" w:hAnsi="宋体" w:eastAsia="宋体" w:cs="宋体"/>
          <w:color w:val="auto"/>
          <w:kern w:val="0"/>
          <w:sz w:val="24"/>
          <w:szCs w:val="24"/>
          <w:highlight w:val="none"/>
        </w:rPr>
      </w:pPr>
      <w:r>
        <w:rPr>
          <w:rFonts w:hint="eastAsia" w:ascii="宋体" w:hAnsi="宋体" w:eastAsia="宋体" w:cs="宋体"/>
          <w:bCs/>
          <w:color w:val="auto"/>
          <w:kern w:val="0"/>
          <w:sz w:val="24"/>
          <w:szCs w:val="24"/>
          <w:highlight w:val="none"/>
        </w:rPr>
        <w:t>33.2 中标供应商如不按本投标须知的规定与采购人订立合同，则采购人将废</w:t>
      </w:r>
      <w:r>
        <w:rPr>
          <w:rFonts w:hint="eastAsia" w:ascii="宋体" w:hAnsi="宋体" w:eastAsia="宋体" w:cs="宋体"/>
          <w:color w:val="auto"/>
          <w:kern w:val="0"/>
          <w:sz w:val="24"/>
          <w:szCs w:val="24"/>
          <w:highlight w:val="none"/>
        </w:rPr>
        <w:t>除授标，给采购人造成损失的，应当予以赔偿，同时依法承担相应法律责任。</w:t>
      </w:r>
      <w:r>
        <w:rPr>
          <w:rFonts w:hint="eastAsia" w:ascii="宋体" w:hAnsi="宋体" w:eastAsia="宋体" w:cs="宋体"/>
          <w:b/>
          <w:bCs/>
          <w:color w:val="auto"/>
          <w:kern w:val="0"/>
          <w:sz w:val="36"/>
          <w:szCs w:val="36"/>
          <w:highlight w:val="none"/>
        </w:rPr>
        <w:t xml:space="preserve">                   </w:t>
      </w:r>
    </w:p>
    <w:p>
      <w:pPr>
        <w:spacing w:line="440" w:lineRule="exact"/>
        <w:rPr>
          <w:rFonts w:ascii="宋体" w:hAnsi="宋体" w:eastAsia="宋体" w:cs="宋体"/>
          <w:b/>
          <w:bCs/>
          <w:color w:val="auto"/>
          <w:kern w:val="0"/>
          <w:sz w:val="36"/>
          <w:szCs w:val="36"/>
          <w:highlight w:val="none"/>
        </w:rPr>
      </w:pPr>
    </w:p>
    <w:p>
      <w:pPr>
        <w:spacing w:line="440" w:lineRule="exact"/>
        <w:jc w:val="center"/>
        <w:rPr>
          <w:rFonts w:ascii="宋体" w:hAnsi="宋体" w:eastAsia="宋体" w:cs="宋体"/>
          <w:color w:val="auto"/>
          <w:sz w:val="24"/>
          <w:szCs w:val="24"/>
          <w:highlight w:val="none"/>
        </w:rPr>
      </w:pPr>
      <w:r>
        <w:rPr>
          <w:rFonts w:hint="eastAsia" w:ascii="宋体" w:hAnsi="宋体" w:eastAsia="宋体" w:cs="宋体"/>
          <w:b/>
          <w:bCs/>
          <w:color w:val="auto"/>
          <w:kern w:val="0"/>
          <w:sz w:val="36"/>
          <w:szCs w:val="36"/>
          <w:highlight w:val="none"/>
        </w:rPr>
        <w:t>八、其他</w:t>
      </w:r>
    </w:p>
    <w:p>
      <w:pPr>
        <w:spacing w:line="440" w:lineRule="exact"/>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34、</w:t>
      </w:r>
      <w:r>
        <w:rPr>
          <w:rFonts w:hint="eastAsia" w:ascii="宋体" w:hAnsi="宋体" w:eastAsia="宋体" w:cs="宋体"/>
          <w:color w:val="auto"/>
          <w:sz w:val="24"/>
          <w:szCs w:val="24"/>
          <w:highlight w:val="none"/>
        </w:rPr>
        <w:t>未尽事宜按国家有关规定执行。</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35、</w:t>
      </w:r>
      <w:r>
        <w:rPr>
          <w:rFonts w:hint="eastAsia" w:ascii="宋体" w:hAnsi="宋体" w:eastAsia="宋体" w:cs="宋体"/>
          <w:color w:val="auto"/>
          <w:sz w:val="24"/>
          <w:szCs w:val="24"/>
          <w:highlight w:val="none"/>
        </w:rPr>
        <w:t>本招标文件最终解释权归采购人。</w:t>
      </w:r>
    </w:p>
    <w:p>
      <w:pPr>
        <w:spacing w:line="580" w:lineRule="exact"/>
        <w:ind w:firstLine="723" w:firstLineChars="200"/>
        <w:jc w:val="center"/>
        <w:rPr>
          <w:rFonts w:ascii="宋体" w:hAnsi="宋体" w:eastAsia="宋体" w:cs="宋体"/>
          <w:b/>
          <w:bCs/>
          <w:color w:val="auto"/>
          <w:kern w:val="0"/>
          <w:sz w:val="36"/>
          <w:szCs w:val="36"/>
          <w:highlight w:val="none"/>
        </w:rPr>
      </w:pP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rPr>
      </w:pP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rPr>
      </w:pP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rPr>
      </w:pP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rPr>
      </w:pP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rPr>
      </w:pP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rPr>
      </w:pP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rPr>
      </w:pP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rPr>
      </w:pP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rPr>
      </w:pP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rPr>
      </w:pP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rPr>
      </w:pP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rPr>
      </w:pP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rPr>
      </w:pP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rPr>
      </w:pP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rPr>
      </w:pP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rPr>
      </w:pP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rPr>
      </w:pP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附件</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：河南省政府采购合同融资政策告知函</w:t>
      </w: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8"/>
          <w:szCs w:val="28"/>
          <w:highlight w:val="none"/>
        </w:rPr>
        <w:t>河南省政府采购合同融资政策告知函</w:t>
      </w:r>
    </w:p>
    <w:p>
      <w:pPr>
        <w:keepNext w:val="0"/>
        <w:keepLines w:val="0"/>
        <w:pageBreakBefore w:val="0"/>
        <w:widowControl w:val="0"/>
        <w:kinsoku/>
        <w:wordWrap/>
        <w:overflowPunct/>
        <w:topLinePunct w:val="0"/>
        <w:bidi w:val="0"/>
        <w:adjustRightInd w:val="0"/>
        <w:snapToGrid w:val="0"/>
        <w:spacing w:line="360" w:lineRule="auto"/>
        <w:ind w:firstLine="420" w:firstLineChars="200"/>
        <w:jc w:val="left"/>
        <w:rPr>
          <w:rFonts w:hint="eastAsia" w:ascii="宋体" w:hAnsi="宋体" w:eastAsia="宋体" w:cs="宋体"/>
          <w:color w:val="auto"/>
          <w:sz w:val="21"/>
          <w:szCs w:val="21"/>
          <w:highlight w:val="none"/>
        </w:rPr>
      </w:pPr>
    </w:p>
    <w:p>
      <w:pPr>
        <w:spacing w:line="440" w:lineRule="exact"/>
        <w:rPr>
          <w:rFonts w:hint="eastAsia" w:ascii="宋体" w:eastAsia="宋体" w:cs="Times New Roman"/>
          <w:bCs/>
          <w:color w:val="auto"/>
          <w:sz w:val="28"/>
          <w:szCs w:val="28"/>
          <w:highlight w:val="none"/>
        </w:rPr>
      </w:pPr>
      <w:r>
        <w:rPr>
          <w:rFonts w:hint="eastAsia" w:ascii="宋体" w:eastAsia="宋体" w:cs="Times New Roman"/>
          <w:bCs/>
          <w:color w:val="auto"/>
          <w:sz w:val="28"/>
          <w:szCs w:val="28"/>
          <w:highlight w:val="none"/>
        </w:rPr>
        <w:t>各</w:t>
      </w:r>
      <w:r>
        <w:rPr>
          <w:rFonts w:hint="eastAsia" w:ascii="宋体" w:eastAsia="宋体" w:cs="Times New Roman"/>
          <w:bCs/>
          <w:color w:val="auto"/>
          <w:sz w:val="28"/>
          <w:szCs w:val="28"/>
          <w:highlight w:val="none"/>
          <w:lang w:val="en-US" w:eastAsia="zh-CN"/>
        </w:rPr>
        <w:t>供应商</w:t>
      </w:r>
      <w:r>
        <w:rPr>
          <w:rFonts w:hint="eastAsia" w:ascii="宋体" w:eastAsia="宋体" w:cs="Times New Roman"/>
          <w:bCs/>
          <w:color w:val="auto"/>
          <w:sz w:val="28"/>
          <w:szCs w:val="28"/>
          <w:highlight w:val="none"/>
        </w:rPr>
        <w:t>：</w:t>
      </w:r>
    </w:p>
    <w:p>
      <w:pPr>
        <w:spacing w:line="440" w:lineRule="exact"/>
        <w:ind w:firstLine="465"/>
        <w:rPr>
          <w:rFonts w:hint="eastAsia" w:ascii="宋体" w:eastAsia="宋体" w:cs="Times New Roman"/>
          <w:bCs/>
          <w:color w:val="auto"/>
          <w:sz w:val="28"/>
          <w:szCs w:val="28"/>
          <w:highlight w:val="none"/>
        </w:rPr>
      </w:pPr>
      <w:r>
        <w:rPr>
          <w:rFonts w:hint="eastAsia" w:ascii="宋体" w:eastAsia="宋体" w:cs="Times New Roman"/>
          <w:bCs/>
          <w:color w:val="auto"/>
          <w:sz w:val="28"/>
          <w:szCs w:val="28"/>
          <w:highlight w:val="none"/>
        </w:rPr>
        <w:t>欢迎贵公司参与河南省政府采购活动！</w:t>
      </w:r>
    </w:p>
    <w:p>
      <w:pPr>
        <w:spacing w:line="440" w:lineRule="exact"/>
        <w:ind w:firstLine="465"/>
        <w:rPr>
          <w:rFonts w:hint="eastAsia" w:ascii="宋体" w:eastAsia="宋体" w:cs="Times New Roman"/>
          <w:bCs/>
          <w:color w:val="auto"/>
          <w:sz w:val="28"/>
          <w:szCs w:val="28"/>
          <w:highlight w:val="none"/>
        </w:rPr>
      </w:pPr>
      <w:r>
        <w:rPr>
          <w:rFonts w:hint="eastAsia" w:ascii="宋体" w:eastAsia="宋体" w:cs="Times New Roman"/>
          <w:bCs/>
          <w:color w:val="auto"/>
          <w:sz w:val="28"/>
          <w:szCs w:val="28"/>
          <w:highlight w:val="none"/>
        </w:rPr>
        <w:t>政府采购合同融资是河南省财政厅支持中小微企业发展，针对参与政府采购活动的</w:t>
      </w:r>
      <w:r>
        <w:rPr>
          <w:rFonts w:hint="eastAsia" w:ascii="宋体" w:eastAsia="宋体" w:cs="Times New Roman"/>
          <w:bCs/>
          <w:color w:val="auto"/>
          <w:sz w:val="28"/>
          <w:szCs w:val="28"/>
          <w:highlight w:val="none"/>
          <w:lang w:eastAsia="zh-CN"/>
        </w:rPr>
        <w:t>投标人</w:t>
      </w:r>
      <w:r>
        <w:rPr>
          <w:rFonts w:hint="eastAsia" w:ascii="宋体" w:eastAsia="宋体" w:cs="Times New Roman"/>
          <w:bCs/>
          <w:color w:val="auto"/>
          <w:sz w:val="28"/>
          <w:szCs w:val="28"/>
          <w:highlight w:val="none"/>
        </w:rPr>
        <w:t>融资难、融资贵问题推出的一项融资政策。贵公司若成为本次政府采购项目的中标供应商，可持政府采购合同向金融机构申请贷款，无需抵押、担保，融资机构将根据《河南省政府采购合同融资工作实施方案》（豫财购〔2017〕10号），按照双方自愿的原则提供便捷、优惠的贷款服务。</w:t>
      </w:r>
    </w:p>
    <w:p>
      <w:pPr>
        <w:spacing w:line="440" w:lineRule="exact"/>
        <w:ind w:firstLine="465"/>
        <w:rPr>
          <w:rFonts w:hint="eastAsia" w:ascii="宋体" w:eastAsia="宋体" w:cs="Times New Roman"/>
          <w:bCs/>
          <w:color w:val="auto"/>
          <w:sz w:val="28"/>
          <w:szCs w:val="28"/>
          <w:highlight w:val="none"/>
        </w:rPr>
      </w:pPr>
      <w:bookmarkStart w:id="13" w:name="_Toc15196"/>
      <w:r>
        <w:rPr>
          <w:rFonts w:hint="eastAsia" w:ascii="宋体" w:eastAsia="宋体" w:cs="Times New Roman"/>
          <w:bCs/>
          <w:color w:val="auto"/>
          <w:sz w:val="28"/>
          <w:szCs w:val="28"/>
          <w:highlight w:val="none"/>
        </w:rPr>
        <w:t>贷款渠道和提供贷款的金融机构，可在河南省政府采购网“河南省政府采购合同融资平台”查询联系。</w:t>
      </w:r>
      <w:bookmarkEnd w:id="13"/>
    </w:p>
    <w:p>
      <w:pPr>
        <w:widowControl w:val="0"/>
        <w:jc w:val="both"/>
        <w:textAlignment w:val="auto"/>
        <w:rPr>
          <w:rFonts w:hint="eastAsia" w:ascii="宋体" w:eastAsia="宋体" w:cs="Times New Roman"/>
          <w:bCs/>
          <w:color w:val="auto"/>
          <w:sz w:val="28"/>
          <w:szCs w:val="28"/>
          <w:highlight w:val="none"/>
          <w:lang w:val="en-US" w:eastAsia="zh-CN"/>
        </w:rPr>
      </w:pPr>
      <w:r>
        <w:rPr>
          <w:rFonts w:hint="eastAsia" w:ascii="宋体"/>
          <w:bCs/>
          <w:color w:val="auto"/>
          <w:sz w:val="28"/>
          <w:szCs w:val="28"/>
          <w:highlight w:val="none"/>
        </w:rPr>
        <w:br w:type="page"/>
      </w:r>
      <w:r>
        <w:rPr>
          <w:rFonts w:hint="eastAsia" w:ascii="宋体" w:eastAsia="宋体" w:cs="Times New Roman"/>
          <w:bCs/>
          <w:color w:val="auto"/>
          <w:sz w:val="28"/>
          <w:szCs w:val="28"/>
          <w:highlight w:val="none"/>
        </w:rPr>
        <w:t>附件</w:t>
      </w:r>
      <w:r>
        <w:rPr>
          <w:rFonts w:hint="eastAsia" w:ascii="宋体" w:eastAsia="宋体" w:cs="Times New Roman"/>
          <w:bCs/>
          <w:color w:val="auto"/>
          <w:sz w:val="28"/>
          <w:szCs w:val="28"/>
          <w:highlight w:val="none"/>
          <w:lang w:val="en-US" w:eastAsia="zh-CN"/>
        </w:rPr>
        <w:t>2</w:t>
      </w:r>
    </w:p>
    <w:p>
      <w:pPr>
        <w:spacing w:line="440" w:lineRule="exact"/>
        <w:ind w:firstLine="465"/>
        <w:jc w:val="center"/>
        <w:rPr>
          <w:rFonts w:hint="eastAsia" w:ascii="宋体" w:eastAsia="宋体" w:cs="Times New Roman"/>
          <w:b/>
          <w:bCs w:val="0"/>
          <w:color w:val="auto"/>
          <w:sz w:val="28"/>
          <w:szCs w:val="28"/>
          <w:highlight w:val="none"/>
          <w:lang w:val="en-US" w:eastAsia="zh-CN"/>
        </w:rPr>
      </w:pPr>
      <w:r>
        <w:rPr>
          <w:rFonts w:hint="eastAsia" w:ascii="宋体" w:eastAsia="宋体" w:cs="Times New Roman"/>
          <w:b/>
          <w:bCs w:val="0"/>
          <w:color w:val="auto"/>
          <w:sz w:val="28"/>
          <w:szCs w:val="28"/>
          <w:highlight w:val="none"/>
          <w:lang w:val="en-US" w:eastAsia="zh-CN"/>
        </w:rPr>
        <w:t>卢氏县政府采购合同融资政策告知书</w:t>
      </w:r>
    </w:p>
    <w:p>
      <w:pPr>
        <w:spacing w:line="440" w:lineRule="exact"/>
        <w:rPr>
          <w:rFonts w:hint="eastAsia" w:ascii="宋体" w:eastAsia="宋体" w:cs="Times New Roman"/>
          <w:bCs/>
          <w:color w:val="auto"/>
          <w:sz w:val="28"/>
          <w:szCs w:val="28"/>
          <w:highlight w:val="none"/>
          <w:lang w:val="en-US" w:eastAsia="zh-CN"/>
        </w:rPr>
      </w:pPr>
      <w:r>
        <w:rPr>
          <w:rFonts w:hint="eastAsia" w:ascii="宋体" w:eastAsia="宋体" w:cs="Times New Roman"/>
          <w:bCs/>
          <w:color w:val="auto"/>
          <w:sz w:val="28"/>
          <w:szCs w:val="28"/>
          <w:highlight w:val="none"/>
          <w:lang w:val="en-US" w:eastAsia="zh-CN"/>
        </w:rPr>
        <w:t>各供应商：</w:t>
      </w:r>
    </w:p>
    <w:p>
      <w:pPr>
        <w:spacing w:line="440" w:lineRule="exact"/>
        <w:ind w:firstLine="465"/>
        <w:rPr>
          <w:rFonts w:hint="eastAsia" w:ascii="宋体" w:eastAsia="宋体" w:cs="Times New Roman"/>
          <w:bCs/>
          <w:color w:val="auto"/>
          <w:sz w:val="28"/>
          <w:szCs w:val="28"/>
          <w:highlight w:val="none"/>
          <w:lang w:val="en-US" w:eastAsia="zh-CN"/>
        </w:rPr>
      </w:pPr>
      <w:r>
        <w:rPr>
          <w:rFonts w:hint="eastAsia" w:ascii="宋体" w:eastAsia="宋体" w:cs="Times New Roman"/>
          <w:bCs/>
          <w:color w:val="auto"/>
          <w:sz w:val="28"/>
          <w:szCs w:val="28"/>
          <w:highlight w:val="none"/>
          <w:lang w:val="en-US" w:eastAsia="zh-CN"/>
        </w:rPr>
        <w:t>欢迎贵公司参与卢氏县政府采购活动！</w:t>
      </w:r>
    </w:p>
    <w:p>
      <w:pPr>
        <w:spacing w:line="440" w:lineRule="exact"/>
        <w:ind w:firstLine="465"/>
        <w:rPr>
          <w:rFonts w:hint="eastAsia" w:ascii="宋体" w:eastAsia="宋体" w:cs="Times New Roman"/>
          <w:bCs/>
          <w:color w:val="auto"/>
          <w:sz w:val="28"/>
          <w:szCs w:val="28"/>
          <w:highlight w:val="none"/>
          <w:lang w:val="en-US" w:eastAsia="zh-CN"/>
        </w:rPr>
      </w:pPr>
      <w:r>
        <w:rPr>
          <w:rFonts w:hint="eastAsia" w:ascii="宋体" w:eastAsia="宋体" w:cs="Times New Roman"/>
          <w:bCs/>
          <w:color w:val="auto"/>
          <w:sz w:val="28"/>
          <w:szCs w:val="28"/>
          <w:highlight w:val="none"/>
          <w:lang w:val="en-US" w:eastAsia="zh-CN"/>
        </w:rPr>
        <w:t>近年来，卢氏县积极发挥政府采购政策功能，加大对中小企业支持力度，创新运用“政采贷”信贷产品，畅通中小企业融资“绿色通道”，为企业发展提质增效注入金融活水。</w:t>
      </w:r>
    </w:p>
    <w:p>
      <w:pPr>
        <w:spacing w:line="440" w:lineRule="exact"/>
        <w:ind w:firstLine="465"/>
        <w:rPr>
          <w:rFonts w:hint="eastAsia" w:ascii="宋体" w:eastAsia="宋体" w:cs="Times New Roman"/>
          <w:bCs/>
          <w:color w:val="auto"/>
          <w:sz w:val="28"/>
          <w:szCs w:val="28"/>
          <w:highlight w:val="none"/>
          <w:lang w:val="en-US" w:eastAsia="zh-CN"/>
        </w:rPr>
      </w:pPr>
      <w:r>
        <w:rPr>
          <w:rFonts w:hint="eastAsia" w:ascii="宋体" w:eastAsia="宋体" w:cs="Times New Roman"/>
          <w:bCs/>
          <w:color w:val="auto"/>
          <w:sz w:val="28"/>
          <w:szCs w:val="28"/>
          <w:highlight w:val="none"/>
          <w:lang w:val="en-US" w:eastAsia="zh-CN"/>
        </w:rPr>
        <w:t>为更好满足中小微供应商短、频、急的资金需求，帮助中小微企业解决融资难题，提升金融服务实体经济能力，服务市场主体推动经济稳健发展，我县各金融机构着力优化产品服务、无需抵押担保、简化审贷程序、缩短审贷周期，为供应商合同融资贷款提供便利条件，现编制《卢氏县政府采购合同融资政策告知书》，方便中小企业供应商朋友们进一步了解政府采购融资政策和获取贷款的流程。</w:t>
      </w:r>
    </w:p>
    <w:p>
      <w:pPr>
        <w:spacing w:line="440" w:lineRule="exact"/>
        <w:ind w:firstLine="465"/>
        <w:rPr>
          <w:rFonts w:hint="eastAsia" w:ascii="宋体" w:eastAsia="宋体" w:cs="Times New Roman"/>
          <w:bCs/>
          <w:color w:val="auto"/>
          <w:sz w:val="28"/>
          <w:szCs w:val="28"/>
          <w:highlight w:val="none"/>
          <w:lang w:val="en-US" w:eastAsia="zh-CN"/>
        </w:rPr>
      </w:pPr>
      <w:r>
        <w:rPr>
          <w:rFonts w:hint="eastAsia" w:ascii="宋体" w:eastAsia="宋体" w:cs="Times New Roman"/>
          <w:bCs/>
          <w:color w:val="auto"/>
          <w:sz w:val="28"/>
          <w:szCs w:val="28"/>
          <w:highlight w:val="none"/>
          <w:lang w:val="en-US" w:eastAsia="zh-CN"/>
        </w:rPr>
        <w:t>特别提醒：该告知书仅统计了我县部分可以提供线上融资的金融机构，凡参与我县政府采购项目，有融资需求的本地或外地中标（成交）供应商，均可通过“河南省政府采购网”进入“河南省政府采购合同融资平台”，申请融资服务，凡在政府采购合同融资平台登记的金融机构均可开展融资贷款业务。对“政采贷”工作开展过程中发现的新问题、新情况或者建议意见，及时向我县财政部门反馈。</w:t>
      </w:r>
    </w:p>
    <w:p>
      <w:pPr>
        <w:widowControl w:val="0"/>
        <w:ind w:firstLine="840" w:firstLineChars="300"/>
        <w:jc w:val="both"/>
        <w:textAlignment w:val="auto"/>
        <w:rPr>
          <w:rFonts w:hint="eastAsia" w:ascii="宋体" w:eastAsia="宋体" w:cs="Times New Roman"/>
          <w:bCs/>
          <w:color w:val="auto"/>
          <w:sz w:val="28"/>
          <w:szCs w:val="28"/>
          <w:highlight w:val="none"/>
          <w:lang w:val="en-US" w:eastAsia="zh-CN"/>
        </w:rPr>
      </w:pPr>
      <w:r>
        <w:rPr>
          <w:rFonts w:hint="eastAsia" w:ascii="宋体" w:eastAsia="宋体" w:cs="Times New Roman"/>
          <w:bCs/>
          <w:color w:val="auto"/>
          <w:sz w:val="28"/>
          <w:szCs w:val="28"/>
          <w:highlight w:val="none"/>
          <w:lang w:val="en-US" w:eastAsia="zh-CN"/>
        </w:rPr>
        <w:t>联系电话：0398-7863556</w:t>
      </w:r>
    </w:p>
    <w:p>
      <w:pPr>
        <w:widowControl w:val="0"/>
        <w:jc w:val="both"/>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承接银行联系方式</w:t>
      </w:r>
    </w:p>
    <w:tbl>
      <w:tblPr>
        <w:tblStyle w:val="36"/>
        <w:tblW w:w="9274"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5"/>
        <w:gridCol w:w="1818"/>
        <w:gridCol w:w="2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vertAlign w:val="baseline"/>
                <w:lang w:val="en-US" w:eastAsia="zh-CN"/>
              </w:rPr>
            </w:pPr>
            <w:r>
              <w:rPr>
                <w:rFonts w:hint="eastAsia" w:ascii="宋体" w:hAnsi="宋体" w:eastAsia="宋体" w:cs="宋体"/>
                <w:color w:val="auto"/>
                <w:kern w:val="0"/>
                <w:sz w:val="28"/>
                <w:szCs w:val="28"/>
                <w:highlight w:val="none"/>
                <w:shd w:val="clear" w:color="auto" w:fill="F9F9F9"/>
                <w:vertAlign w:val="baseline"/>
                <w:lang w:val="en-US" w:eastAsia="zh-CN"/>
              </w:rPr>
              <w:t>单位名称</w:t>
            </w:r>
          </w:p>
        </w:tc>
        <w:tc>
          <w:tcPr>
            <w:tcW w:w="1818"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vertAlign w:val="baseline"/>
                <w:lang w:val="en-US" w:eastAsia="zh-CN"/>
              </w:rPr>
            </w:pPr>
            <w:r>
              <w:rPr>
                <w:rFonts w:hint="eastAsia" w:ascii="宋体" w:hAnsi="宋体" w:eastAsia="宋体" w:cs="宋体"/>
                <w:color w:val="auto"/>
                <w:kern w:val="0"/>
                <w:sz w:val="28"/>
                <w:szCs w:val="28"/>
                <w:highlight w:val="none"/>
                <w:shd w:val="clear" w:color="auto" w:fill="F9F9F9"/>
                <w:vertAlign w:val="baseline"/>
                <w:lang w:val="en-US" w:eastAsia="zh-CN"/>
              </w:rPr>
              <w:t>联系人</w:t>
            </w:r>
          </w:p>
        </w:tc>
        <w:tc>
          <w:tcPr>
            <w:tcW w:w="2451"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vertAlign w:val="baseline"/>
                <w:lang w:val="en-US" w:eastAsia="zh-CN"/>
              </w:rPr>
            </w:pPr>
            <w:r>
              <w:rPr>
                <w:rFonts w:hint="eastAsia" w:ascii="宋体" w:hAnsi="宋体" w:eastAsia="宋体" w:cs="宋体"/>
                <w:color w:val="auto"/>
                <w:kern w:val="0"/>
                <w:sz w:val="28"/>
                <w:szCs w:val="28"/>
                <w:highlight w:val="none"/>
                <w:shd w:val="clear" w:color="auto" w:fill="F9F9F9"/>
                <w:vertAlign w:val="baseline"/>
                <w:lang w:val="en-US"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中国建设银行股份有限公司卢氏支行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张江涛</w:t>
            </w:r>
          </w:p>
        </w:tc>
        <w:tc>
          <w:tcPr>
            <w:tcW w:w="2451"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18739850204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中国农业银行股份有限公司卢氏县支行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代仁旺</w:t>
            </w:r>
          </w:p>
        </w:tc>
        <w:tc>
          <w:tcPr>
            <w:tcW w:w="2451"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18939062604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ind w:firstLine="560" w:firstLineChars="20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中原银行股份有限公司卢氏支行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李博</w:t>
            </w:r>
          </w:p>
        </w:tc>
        <w:tc>
          <w:tcPr>
            <w:tcW w:w="2451"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15839857887</w:t>
            </w:r>
          </w:p>
        </w:tc>
      </w:tr>
    </w:tbl>
    <w:p>
      <w:pPr>
        <w:widowControl w:val="0"/>
        <w:ind w:firstLine="560" w:firstLineChars="200"/>
        <w:jc w:val="center"/>
        <w:textAlignment w:val="auto"/>
        <w:rPr>
          <w:rFonts w:ascii="方正小标宋简体" w:hAnsi="方正小标宋简体" w:eastAsia="方正小标宋简体" w:cs="方正小标宋简体"/>
          <w:color w:val="auto"/>
          <w:kern w:val="0"/>
          <w:sz w:val="28"/>
          <w:szCs w:val="28"/>
          <w:highlight w:val="none"/>
          <w:shd w:val="clear" w:color="auto" w:fill="F9F9F9"/>
        </w:rPr>
      </w:pPr>
    </w:p>
    <w:p>
      <w:pPr>
        <w:widowControl w:val="0"/>
        <w:ind w:firstLine="560" w:firstLineChars="200"/>
        <w:jc w:val="center"/>
        <w:textAlignment w:val="auto"/>
        <w:rPr>
          <w:rFonts w:ascii="方正小标宋简体" w:hAnsi="方正小标宋简体" w:eastAsia="方正小标宋简体" w:cs="方正小标宋简体"/>
          <w:color w:val="auto"/>
          <w:kern w:val="0"/>
          <w:sz w:val="28"/>
          <w:szCs w:val="28"/>
          <w:highlight w:val="none"/>
          <w:shd w:val="clear" w:color="auto" w:fill="F9F9F9"/>
        </w:rPr>
      </w:pPr>
    </w:p>
    <w:p>
      <w:pPr>
        <w:widowControl w:val="0"/>
        <w:jc w:val="both"/>
        <w:textAlignment w:val="auto"/>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pPr>
      <w:r>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t xml:space="preserve">附件3              </w:t>
      </w:r>
    </w:p>
    <w:p>
      <w:pPr>
        <w:widowControl w:val="0"/>
        <w:ind w:firstLine="3080" w:firstLineChars="1100"/>
        <w:jc w:val="both"/>
        <w:textAlignment w:val="auto"/>
        <w:rPr>
          <w:rFonts w:cs="Times New Roman"/>
          <w:color w:val="auto"/>
          <w:sz w:val="21"/>
          <w:szCs w:val="21"/>
          <w:highlight w:val="none"/>
        </w:rPr>
      </w:pPr>
      <w:r>
        <w:rPr>
          <w:rFonts w:ascii="方正小标宋简体" w:hAnsi="方正小标宋简体" w:eastAsia="方正小标宋简体" w:cs="方正小标宋简体"/>
          <w:color w:val="auto"/>
          <w:kern w:val="0"/>
          <w:sz w:val="28"/>
          <w:szCs w:val="28"/>
          <w:highlight w:val="none"/>
          <w:shd w:val="clear" w:color="auto" w:fill="F9F9F9"/>
        </w:rPr>
        <w:t>中小企业划型标准规定</w:t>
      </w:r>
    </w:p>
    <w:tbl>
      <w:tblPr>
        <w:tblStyle w:val="35"/>
        <w:tblW w:w="9353" w:type="dxa"/>
        <w:jc w:val="center"/>
        <w:tblInd w:w="0" w:type="dxa"/>
        <w:shd w:val="clear" w:color="auto" w:fill="FFFFFF"/>
        <w:tblLayout w:type="fixed"/>
        <w:tblCellMar>
          <w:top w:w="0" w:type="dxa"/>
          <w:left w:w="0" w:type="dxa"/>
          <w:bottom w:w="0" w:type="dxa"/>
          <w:right w:w="0" w:type="dxa"/>
        </w:tblCellMar>
      </w:tblPr>
      <w:tblGrid>
        <w:gridCol w:w="1144"/>
        <w:gridCol w:w="1492"/>
        <w:gridCol w:w="728"/>
        <w:gridCol w:w="1245"/>
        <w:gridCol w:w="1965"/>
        <w:gridCol w:w="1756"/>
        <w:gridCol w:w="1023"/>
      </w:tblGrid>
      <w:tr>
        <w:tblPrEx>
          <w:tblLayout w:type="fixed"/>
          <w:tblCellMar>
            <w:top w:w="0" w:type="dxa"/>
            <w:left w:w="0" w:type="dxa"/>
            <w:bottom w:w="0" w:type="dxa"/>
            <w:right w:w="0" w:type="dxa"/>
          </w:tblCellMar>
        </w:tblPrEx>
        <w:trPr>
          <w:trHeight w:val="653" w:hRule="atLeast"/>
          <w:jc w:val="center"/>
        </w:trPr>
        <w:tc>
          <w:tcPr>
            <w:tcW w:w="1144" w:type="dxa"/>
            <w:tcBorders>
              <w:top w:val="single" w:color="4F81BD" w:sz="6" w:space="0"/>
              <w:left w:val="single" w:color="4F81BD" w:sz="6" w:space="0"/>
              <w:bottom w:val="single" w:color="FFFFFF" w:sz="18" w:space="0"/>
              <w:right w:val="single" w:color="4F81BD" w:sz="6" w:space="0"/>
            </w:tcBorders>
            <w:shd w:val="clear" w:color="auto" w:fill="4F81BD"/>
            <w:noWrap w:val="0"/>
            <w:tcMar>
              <w:left w:w="105" w:type="dxa"/>
              <w:right w:w="105" w:type="dxa"/>
            </w:tcMar>
            <w:vAlign w:val="center"/>
          </w:tcPr>
          <w:p>
            <w:pPr>
              <w:pStyle w:val="29"/>
              <w:wordWrap w:val="0"/>
              <w:spacing w:line="240" w:lineRule="auto"/>
              <w:jc w:val="center"/>
              <w:rPr>
                <w:rFonts w:ascii="宋体" w:hAnsi="宋体" w:cs="宋体"/>
                <w:color w:val="auto"/>
                <w:sz w:val="21"/>
                <w:szCs w:val="21"/>
                <w:highlight w:val="none"/>
              </w:rPr>
            </w:pPr>
            <w:r>
              <w:rPr>
                <w:rStyle w:val="38"/>
                <w:rFonts w:hint="eastAsia" w:ascii="宋体" w:hAnsi="宋体" w:cs="宋体"/>
                <w:color w:val="auto"/>
                <w:spacing w:val="8"/>
                <w:sz w:val="21"/>
                <w:szCs w:val="21"/>
                <w:highlight w:val="none"/>
              </w:rPr>
              <w:t>行业名称</w:t>
            </w:r>
          </w:p>
        </w:tc>
        <w:tc>
          <w:tcPr>
            <w:tcW w:w="1492"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9"/>
              <w:wordWrap w:val="0"/>
              <w:spacing w:line="240" w:lineRule="auto"/>
              <w:jc w:val="center"/>
              <w:rPr>
                <w:rFonts w:ascii="宋体" w:hAnsi="宋体" w:cs="宋体"/>
                <w:color w:val="auto"/>
                <w:sz w:val="21"/>
                <w:szCs w:val="21"/>
                <w:highlight w:val="none"/>
              </w:rPr>
            </w:pPr>
            <w:r>
              <w:rPr>
                <w:rStyle w:val="38"/>
                <w:rFonts w:hint="eastAsia" w:ascii="宋体" w:hAnsi="宋体" w:cs="宋体"/>
                <w:color w:val="auto"/>
                <w:spacing w:val="8"/>
                <w:sz w:val="21"/>
                <w:szCs w:val="21"/>
                <w:highlight w:val="none"/>
              </w:rPr>
              <w:t>指标名称</w:t>
            </w:r>
          </w:p>
        </w:tc>
        <w:tc>
          <w:tcPr>
            <w:tcW w:w="728"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9"/>
              <w:wordWrap w:val="0"/>
              <w:spacing w:line="240" w:lineRule="auto"/>
              <w:jc w:val="center"/>
              <w:rPr>
                <w:rFonts w:ascii="宋体" w:hAnsi="宋体" w:cs="宋体"/>
                <w:color w:val="auto"/>
                <w:sz w:val="21"/>
                <w:szCs w:val="21"/>
                <w:highlight w:val="none"/>
              </w:rPr>
            </w:pPr>
            <w:r>
              <w:rPr>
                <w:rStyle w:val="38"/>
                <w:rFonts w:hint="eastAsia" w:ascii="宋体" w:hAnsi="宋体" w:cs="宋体"/>
                <w:color w:val="auto"/>
                <w:spacing w:val="8"/>
                <w:sz w:val="21"/>
                <w:szCs w:val="21"/>
                <w:highlight w:val="none"/>
              </w:rPr>
              <w:t>计量单位</w:t>
            </w:r>
          </w:p>
        </w:tc>
        <w:tc>
          <w:tcPr>
            <w:tcW w:w="124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9"/>
              <w:wordWrap w:val="0"/>
              <w:spacing w:line="240" w:lineRule="auto"/>
              <w:jc w:val="center"/>
              <w:rPr>
                <w:rFonts w:ascii="宋体" w:hAnsi="宋体" w:cs="宋体"/>
                <w:color w:val="auto"/>
                <w:sz w:val="21"/>
                <w:szCs w:val="21"/>
                <w:highlight w:val="none"/>
              </w:rPr>
            </w:pPr>
            <w:r>
              <w:rPr>
                <w:rStyle w:val="38"/>
                <w:rFonts w:hint="eastAsia" w:ascii="宋体" w:hAnsi="宋体" w:cs="宋体"/>
                <w:color w:val="auto"/>
                <w:spacing w:val="8"/>
                <w:sz w:val="21"/>
                <w:szCs w:val="21"/>
                <w:highlight w:val="none"/>
              </w:rPr>
              <w:t>大型</w:t>
            </w:r>
          </w:p>
        </w:tc>
        <w:tc>
          <w:tcPr>
            <w:tcW w:w="196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9"/>
              <w:wordWrap w:val="0"/>
              <w:spacing w:line="240" w:lineRule="auto"/>
              <w:jc w:val="center"/>
              <w:rPr>
                <w:rFonts w:ascii="宋体" w:hAnsi="宋体" w:cs="宋体"/>
                <w:color w:val="auto"/>
                <w:sz w:val="21"/>
                <w:szCs w:val="21"/>
                <w:highlight w:val="none"/>
              </w:rPr>
            </w:pPr>
            <w:r>
              <w:rPr>
                <w:rStyle w:val="38"/>
                <w:rFonts w:hint="eastAsia" w:ascii="宋体" w:hAnsi="宋体" w:cs="宋体"/>
                <w:color w:val="auto"/>
                <w:spacing w:val="8"/>
                <w:sz w:val="21"/>
                <w:szCs w:val="21"/>
                <w:highlight w:val="none"/>
              </w:rPr>
              <w:t>中型</w:t>
            </w:r>
          </w:p>
        </w:tc>
        <w:tc>
          <w:tcPr>
            <w:tcW w:w="1756"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9"/>
              <w:wordWrap w:val="0"/>
              <w:spacing w:line="240" w:lineRule="auto"/>
              <w:jc w:val="center"/>
              <w:rPr>
                <w:rFonts w:ascii="宋体" w:hAnsi="宋体" w:cs="宋体"/>
                <w:color w:val="auto"/>
                <w:sz w:val="21"/>
                <w:szCs w:val="21"/>
                <w:highlight w:val="none"/>
              </w:rPr>
            </w:pPr>
            <w:r>
              <w:rPr>
                <w:rStyle w:val="38"/>
                <w:rFonts w:hint="eastAsia" w:ascii="宋体" w:hAnsi="宋体" w:cs="宋体"/>
                <w:color w:val="auto"/>
                <w:spacing w:val="8"/>
                <w:sz w:val="21"/>
                <w:szCs w:val="21"/>
                <w:highlight w:val="none"/>
              </w:rPr>
              <w:t>小型</w:t>
            </w:r>
          </w:p>
        </w:tc>
        <w:tc>
          <w:tcPr>
            <w:tcW w:w="1023"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9"/>
              <w:wordWrap w:val="0"/>
              <w:spacing w:line="240" w:lineRule="auto"/>
              <w:jc w:val="center"/>
              <w:rPr>
                <w:rFonts w:ascii="宋体" w:hAnsi="宋体" w:cs="宋体"/>
                <w:color w:val="auto"/>
                <w:sz w:val="21"/>
                <w:szCs w:val="21"/>
                <w:highlight w:val="none"/>
              </w:rPr>
            </w:pPr>
            <w:r>
              <w:rPr>
                <w:rStyle w:val="38"/>
                <w:rFonts w:hint="eastAsia" w:ascii="宋体" w:hAnsi="宋体" w:cs="宋体"/>
                <w:color w:val="auto"/>
                <w:spacing w:val="8"/>
                <w:sz w:val="21"/>
                <w:szCs w:val="21"/>
                <w:highlight w:val="none"/>
              </w:rPr>
              <w:t>微型</w:t>
            </w:r>
          </w:p>
        </w:tc>
      </w:tr>
      <w:tr>
        <w:tblPrEx>
          <w:tblLayout w:type="fixed"/>
          <w:tblCellMar>
            <w:top w:w="0" w:type="dxa"/>
            <w:left w:w="0" w:type="dxa"/>
            <w:bottom w:w="0" w:type="dxa"/>
            <w:right w:w="0" w:type="dxa"/>
          </w:tblCellMar>
        </w:tblPrEx>
        <w:trPr>
          <w:trHeight w:val="682" w:hRule="atLeast"/>
          <w:jc w:val="center"/>
        </w:trPr>
        <w:tc>
          <w:tcPr>
            <w:tcW w:w="1144" w:type="dxa"/>
            <w:tcBorders>
              <w:top w:val="nil"/>
              <w:left w:val="single" w:color="4F81BD" w:sz="6" w:space="0"/>
              <w:bottom w:val="single" w:color="4F81BD" w:sz="6" w:space="0"/>
              <w:right w:val="single" w:color="4F81BD" w:sz="6" w:space="0"/>
            </w:tcBorders>
            <w:shd w:val="clear" w:color="auto" w:fill="B8CCE4"/>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农、林、牧、渔业</w:t>
            </w: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工业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建筑业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Y≥80000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6000≤Y＜80000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300≤Y＜6000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Z≥80000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5000≤Z＜80000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Z＜300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批发业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5≤X＜20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X＜5</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零售业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10≤X＜50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交通运输业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200≤Y＜3000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仓储业*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邮政业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住宿业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餐饮业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auto" w:sz="4"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2000≤Y＜10000</w:t>
            </w:r>
          </w:p>
        </w:tc>
        <w:tc>
          <w:tcPr>
            <w:tcW w:w="1756"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信息传输业 *</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100≤X＜2000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Y≥100000</w:t>
            </w:r>
          </w:p>
        </w:tc>
        <w:tc>
          <w:tcPr>
            <w:tcW w:w="196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1000≤Y＜100000</w:t>
            </w:r>
          </w:p>
        </w:tc>
        <w:tc>
          <w:tcPr>
            <w:tcW w:w="1756"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15"/>
                <w:sz w:val="21"/>
                <w:szCs w:val="21"/>
                <w:highlight w:val="none"/>
              </w:rPr>
              <w:t>软件和信息技术服</w:t>
            </w:r>
            <w:r>
              <w:rPr>
                <w:rFonts w:hint="eastAsia" w:ascii="宋体" w:hAnsi="宋体" w:cs="宋体"/>
                <w:color w:val="auto"/>
                <w:spacing w:val="8"/>
                <w:sz w:val="21"/>
                <w:szCs w:val="21"/>
                <w:highlight w:val="none"/>
              </w:rPr>
              <w:t>务业</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1000≤Y＜10000</w:t>
            </w:r>
          </w:p>
        </w:tc>
        <w:tc>
          <w:tcPr>
            <w:tcW w:w="1756"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50≤Y＜1000</w:t>
            </w:r>
          </w:p>
        </w:tc>
        <w:tc>
          <w:tcPr>
            <w:tcW w:w="1023"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房地产开发经营</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1000≤Y＜200000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5000≤Z＜10000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Z＜2000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物业管理</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1000≤Y＜5000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租赁和商务服务业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8000≤Z＜120000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100≤Z＜8000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Z＜100</w:t>
            </w:r>
          </w:p>
        </w:tc>
      </w:tr>
      <w:tr>
        <w:tblPrEx>
          <w:tblLayout w:type="fixed"/>
          <w:tblCellMar>
            <w:top w:w="0" w:type="dxa"/>
            <w:left w:w="0" w:type="dxa"/>
            <w:bottom w:w="0" w:type="dxa"/>
            <w:right w:w="0" w:type="dxa"/>
          </w:tblCellMar>
        </w:tblPrEx>
        <w:trPr>
          <w:trHeight w:val="668" w:hRule="atLeast"/>
          <w:jc w:val="center"/>
        </w:trPr>
        <w:tc>
          <w:tcPr>
            <w:tcW w:w="1144" w:type="dxa"/>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9"/>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其他未列明行业*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9"/>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bl>
    <w:p>
      <w:pPr>
        <w:widowControl w:val="0"/>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说明：1.大型、中型和小型企业须</w:t>
      </w:r>
      <w:r>
        <w:rPr>
          <w:rFonts w:hint="eastAsia" w:ascii="宋体" w:hAnsi="宋体" w:cs="宋体"/>
          <w:b/>
          <w:bCs/>
          <w:color w:val="auto"/>
          <w:kern w:val="0"/>
          <w:sz w:val="21"/>
          <w:szCs w:val="21"/>
          <w:highlight w:val="none"/>
        </w:rPr>
        <w:t>同时满足所列指标的下限</w:t>
      </w:r>
      <w:r>
        <w:rPr>
          <w:rFonts w:hint="eastAsia" w:ascii="宋体" w:hAnsi="宋体" w:cs="宋体"/>
          <w:b/>
          <w:bCs/>
          <w:color w:val="auto"/>
          <w:kern w:val="0"/>
          <w:sz w:val="21"/>
          <w:szCs w:val="21"/>
          <w:highlight w:val="none"/>
          <w:lang w:eastAsia="zh-CN"/>
        </w:rPr>
        <w:t>，否则下划一档</w:t>
      </w:r>
      <w:r>
        <w:rPr>
          <w:rFonts w:hint="eastAsia" w:ascii="宋体" w:hAnsi="宋体" w:cs="宋体"/>
          <w:color w:val="auto"/>
          <w:kern w:val="0"/>
          <w:sz w:val="21"/>
          <w:szCs w:val="21"/>
          <w:highlight w:val="none"/>
        </w:rPr>
        <w:t>；微型企业只须满足所列指标中的一项即可。</w:t>
      </w:r>
    </w:p>
    <w:p>
      <w:pPr>
        <w:widowControl w:val="0"/>
        <w:numPr>
          <w:ilvl w:val="0"/>
          <w:numId w:val="2"/>
        </w:numPr>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附表中各行业的范围以《国民经济行业分类》（GB/T4754-2017）为准。</w:t>
      </w:r>
      <w:r>
        <w:rPr>
          <w:rFonts w:hint="eastAsia" w:ascii="宋体" w:hAnsi="宋体" w:cs="宋体"/>
          <w:b/>
          <w:bCs/>
          <w:color w:val="auto"/>
          <w:kern w:val="0"/>
          <w:sz w:val="21"/>
          <w:szCs w:val="21"/>
          <w:highlight w:val="none"/>
        </w:rPr>
        <w:t>带*的项为行业组合类别</w:t>
      </w:r>
      <w:r>
        <w:rPr>
          <w:rFonts w:hint="eastAsia" w:ascii="宋体" w:hAnsi="宋体" w:cs="宋体"/>
          <w:color w:val="auto"/>
          <w:kern w:val="0"/>
          <w:sz w:val="21"/>
          <w:szCs w:val="21"/>
          <w:highlight w:val="none"/>
        </w:rPr>
        <w:t>，其中，</w:t>
      </w:r>
      <w:r>
        <w:rPr>
          <w:rFonts w:hint="eastAsia" w:ascii="宋体" w:hAnsi="宋体" w:cs="宋体"/>
          <w:b/>
          <w:bCs/>
          <w:color w:val="auto"/>
          <w:kern w:val="0"/>
          <w:sz w:val="21"/>
          <w:szCs w:val="21"/>
          <w:highlight w:val="none"/>
        </w:rPr>
        <w:t>工业</w:t>
      </w:r>
      <w:r>
        <w:rPr>
          <w:rFonts w:hint="eastAsia" w:ascii="宋体" w:hAnsi="宋体" w:cs="宋体"/>
          <w:color w:val="auto"/>
          <w:kern w:val="0"/>
          <w:sz w:val="21"/>
          <w:szCs w:val="21"/>
          <w:highlight w:val="none"/>
        </w:rPr>
        <w:t>包括采矿业，制造业，电力、热力、燃气及水生产和供应业；</w:t>
      </w:r>
      <w:r>
        <w:rPr>
          <w:rFonts w:hint="eastAsia" w:ascii="宋体" w:hAnsi="宋体" w:cs="宋体"/>
          <w:b/>
          <w:bCs/>
          <w:color w:val="auto"/>
          <w:kern w:val="0"/>
          <w:sz w:val="21"/>
          <w:szCs w:val="21"/>
          <w:highlight w:val="none"/>
        </w:rPr>
        <w:t>交通运输业</w:t>
      </w:r>
      <w:r>
        <w:rPr>
          <w:rFonts w:hint="eastAsia" w:ascii="宋体" w:hAnsi="宋体" w:cs="宋体"/>
          <w:color w:val="auto"/>
          <w:kern w:val="0"/>
          <w:sz w:val="21"/>
          <w:szCs w:val="21"/>
          <w:highlight w:val="none"/>
        </w:rPr>
        <w:t>包括道路运输业，水上运输业，航空运输业，管道运输业，多式联运和运输代理业、装卸搬运，不包括铁路运输业；</w:t>
      </w:r>
      <w:r>
        <w:rPr>
          <w:rFonts w:hint="eastAsia" w:ascii="宋体" w:hAnsi="宋体" w:cs="宋体"/>
          <w:b/>
          <w:bCs/>
          <w:color w:val="auto"/>
          <w:kern w:val="0"/>
          <w:sz w:val="21"/>
          <w:szCs w:val="21"/>
          <w:highlight w:val="none"/>
        </w:rPr>
        <w:t>仓储业</w:t>
      </w:r>
      <w:r>
        <w:rPr>
          <w:rFonts w:hint="eastAsia" w:ascii="宋体" w:hAnsi="宋体" w:cs="宋体"/>
          <w:color w:val="auto"/>
          <w:kern w:val="0"/>
          <w:sz w:val="21"/>
          <w:szCs w:val="21"/>
          <w:highlight w:val="none"/>
        </w:rPr>
        <w:t>包括通用仓储，低温仓储，危险品仓储，谷物、棉花等农产品仓储，中药材仓储和其他仓储业；</w:t>
      </w:r>
      <w:r>
        <w:rPr>
          <w:rFonts w:hint="eastAsia" w:ascii="宋体" w:hAnsi="宋体" w:cs="宋体"/>
          <w:b/>
          <w:bCs/>
          <w:color w:val="auto"/>
          <w:kern w:val="0"/>
          <w:sz w:val="21"/>
          <w:szCs w:val="21"/>
          <w:highlight w:val="none"/>
        </w:rPr>
        <w:t>信息传输业</w:t>
      </w:r>
      <w:r>
        <w:rPr>
          <w:rFonts w:hint="eastAsia" w:ascii="宋体" w:hAnsi="宋体" w:cs="宋体"/>
          <w:color w:val="auto"/>
          <w:kern w:val="0"/>
          <w:sz w:val="21"/>
          <w:szCs w:val="21"/>
          <w:highlight w:val="none"/>
        </w:rPr>
        <w:t>包括电信、广播电视和卫星传输服务，互联网和相关服务；</w:t>
      </w:r>
      <w:r>
        <w:rPr>
          <w:rFonts w:hint="eastAsia" w:ascii="宋体" w:hAnsi="宋体" w:cs="宋体"/>
          <w:b/>
          <w:bCs/>
          <w:color w:val="auto"/>
          <w:kern w:val="0"/>
          <w:sz w:val="21"/>
          <w:szCs w:val="21"/>
          <w:highlight w:val="none"/>
        </w:rPr>
        <w:t>其他未列明行业</w:t>
      </w:r>
      <w:r>
        <w:rPr>
          <w:rFonts w:hint="eastAsia" w:ascii="宋体" w:hAnsi="宋体" w:cs="宋体"/>
          <w:color w:val="auto"/>
          <w:kern w:val="0"/>
          <w:sz w:val="21"/>
          <w:szCs w:val="21"/>
          <w:highlight w:val="none"/>
        </w:rPr>
        <w:t>包括科学研究和技术服务业，水利、环境和公共设施管理业，居民服务、修理和其他服务业，社会工作，文化、体育和娱乐业，以及房地产中介服务，其他房地产业等，不包括自有房地产经营活动。</w:t>
      </w:r>
    </w:p>
    <w:p>
      <w:pPr>
        <w:widowControl w:val="0"/>
        <w:numPr>
          <w:ilvl w:val="0"/>
          <w:numId w:val="2"/>
        </w:numPr>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企业划分指标以现行统计制度为准。</w:t>
      </w:r>
    </w:p>
    <w:p>
      <w:pPr>
        <w:widowControl w:val="0"/>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（1）从业人员，是指期末从业人员数，没有期末从业人员数的，采用全年平均人员数代替。</w:t>
      </w:r>
    </w:p>
    <w:p>
      <w:pPr>
        <w:widowControl w:val="0"/>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val="0"/>
        <w:spacing w:line="420" w:lineRule="exact"/>
        <w:ind w:left="420" w:left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（3）资产总额，采用资产总计代替。</w:t>
      </w:r>
    </w:p>
    <w:p>
      <w:pPr>
        <w:pStyle w:val="9"/>
        <w:bidi w:val="0"/>
        <w:jc w:val="left"/>
        <w:rPr>
          <w:color w:val="auto"/>
          <w:highlight w:val="none"/>
        </w:rPr>
      </w:pPr>
      <w:r>
        <w:rPr>
          <w:rFonts w:hint="eastAsia" w:ascii="宋体" w:hAnsi="宋体" w:cs="宋体"/>
          <w:b w:val="0"/>
          <w:bCs w:val="0"/>
          <w:color w:val="auto"/>
          <w:highlight w:val="none"/>
          <w:lang w:eastAsia="zh-CN"/>
        </w:rPr>
        <w:t>附件</w:t>
      </w:r>
      <w:r>
        <w:rPr>
          <w:rFonts w:hint="eastAsia" w:ascii="宋体" w:hAnsi="宋体" w:cs="宋体"/>
          <w:b w:val="0"/>
          <w:bCs w:val="0"/>
          <w:color w:val="auto"/>
          <w:highlight w:val="none"/>
          <w:lang w:val="en-US" w:eastAsia="zh-CN"/>
        </w:rPr>
        <w:t>4：</w:t>
      </w:r>
      <w:r>
        <w:rPr>
          <w:rFonts w:hint="eastAsia" w:eastAsia="宋体"/>
          <w:color w:val="auto"/>
          <w:highlight w:val="none"/>
          <w:lang w:eastAsia="zh-CN"/>
        </w:rPr>
        <w:drawing>
          <wp:inline distT="0" distB="0" distL="114300" distR="114300">
            <wp:extent cx="5667375" cy="8015605"/>
            <wp:effectExtent l="0" t="0" r="9525" b="10795"/>
            <wp:docPr id="10" name="图片 1" descr="节能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节能产品政府采购品目清单(1)_00"/>
                    <pic:cNvPicPr>
                      <a:picLocks noChangeAspect="1"/>
                    </pic:cNvPicPr>
                  </pic:nvPicPr>
                  <pic:blipFill>
                    <a:blip r:embed="rId9"/>
                    <a:stretch>
                      <a:fillRect/>
                    </a:stretch>
                  </pic:blipFill>
                  <pic:spPr>
                    <a:xfrm>
                      <a:off x="0" y="0"/>
                      <a:ext cx="5667375" cy="8015605"/>
                    </a:xfrm>
                    <a:prstGeom prst="rect">
                      <a:avLst/>
                    </a:prstGeom>
                    <a:noFill/>
                    <a:ln>
                      <a:noFill/>
                    </a:ln>
                  </pic:spPr>
                </pic:pic>
              </a:graphicData>
            </a:graphic>
          </wp:inline>
        </w:drawing>
      </w:r>
    </w:p>
    <w:p>
      <w:pPr>
        <w:jc w:val="both"/>
        <w:rPr>
          <w:rFonts w:hint="default" w:ascii="宋体" w:hAnsi="宋体" w:eastAsia="宋体" w:cs="宋体"/>
          <w:b/>
          <w:bCs/>
          <w:color w:val="auto"/>
          <w:highlight w:val="none"/>
          <w:lang w:val="en-US" w:eastAsia="zh-CN"/>
        </w:rPr>
      </w:pPr>
      <w:r>
        <w:rPr>
          <w:rFonts w:hint="eastAsia" w:eastAsia="宋体"/>
          <w:color w:val="auto"/>
          <w:highlight w:val="none"/>
          <w:lang w:eastAsia="zh-CN"/>
        </w:rPr>
        <w:drawing>
          <wp:inline distT="0" distB="0" distL="114300" distR="114300">
            <wp:extent cx="5624195" cy="8355965"/>
            <wp:effectExtent l="0" t="0" r="1905" b="635"/>
            <wp:docPr id="9" name="图片 2" descr="节能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节能产品政府采购品目清单(1)_01"/>
                    <pic:cNvPicPr>
                      <a:picLocks noChangeAspect="1"/>
                    </pic:cNvPicPr>
                  </pic:nvPicPr>
                  <pic:blipFill>
                    <a:blip r:embed="rId10"/>
                    <a:srcRect l="9113" t="4506"/>
                    <a:stretch>
                      <a:fillRect/>
                    </a:stretch>
                  </pic:blipFill>
                  <pic:spPr>
                    <a:xfrm>
                      <a:off x="0" y="0"/>
                      <a:ext cx="5624195" cy="8355965"/>
                    </a:xfrm>
                    <a:prstGeom prst="rect">
                      <a:avLst/>
                    </a:prstGeom>
                    <a:noFill/>
                    <a:ln>
                      <a:noFill/>
                    </a:ln>
                  </pic:spPr>
                </pic:pic>
              </a:graphicData>
            </a:graphic>
          </wp:inline>
        </w:drawing>
      </w:r>
      <w:r>
        <w:rPr>
          <w:rFonts w:hint="eastAsia" w:eastAsia="宋体"/>
          <w:color w:val="auto"/>
          <w:highlight w:val="none"/>
          <w:lang w:eastAsia="zh-CN"/>
        </w:rPr>
        <w:drawing>
          <wp:inline distT="0" distB="0" distL="114300" distR="114300">
            <wp:extent cx="6120765" cy="8655050"/>
            <wp:effectExtent l="0" t="0" r="635" b="6350"/>
            <wp:docPr id="4" name="图片 3" descr="节能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节能产品政府采购品目清单(1)_02"/>
                    <pic:cNvPicPr>
                      <a:picLocks noChangeAspect="1"/>
                    </pic:cNvPicPr>
                  </pic:nvPicPr>
                  <pic:blipFill>
                    <a:blip r:embed="rId11"/>
                    <a:stretch>
                      <a:fillRect/>
                    </a:stretch>
                  </pic:blipFill>
                  <pic:spPr>
                    <a:xfrm>
                      <a:off x="0" y="0"/>
                      <a:ext cx="6120765" cy="8655050"/>
                    </a:xfrm>
                    <a:prstGeom prst="rect">
                      <a:avLst/>
                    </a:prstGeom>
                    <a:noFill/>
                    <a:ln>
                      <a:noFill/>
                    </a:ln>
                  </pic:spPr>
                </pic:pic>
              </a:graphicData>
            </a:graphic>
          </wp:inline>
        </w:drawing>
      </w:r>
      <w:r>
        <w:rPr>
          <w:rFonts w:hint="eastAsia" w:eastAsia="宋体"/>
          <w:color w:val="auto"/>
          <w:highlight w:val="none"/>
          <w:lang w:eastAsia="zh-CN"/>
        </w:rPr>
        <w:drawing>
          <wp:inline distT="0" distB="0" distL="114300" distR="114300">
            <wp:extent cx="5588635" cy="7902575"/>
            <wp:effectExtent l="0" t="0" r="12065" b="9525"/>
            <wp:docPr id="3" name="图片 4" descr="节能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节能产品政府采购品目清单(1)_03"/>
                    <pic:cNvPicPr>
                      <a:picLocks noChangeAspect="1"/>
                    </pic:cNvPicPr>
                  </pic:nvPicPr>
                  <pic:blipFill>
                    <a:blip r:embed="rId12"/>
                    <a:stretch>
                      <a:fillRect/>
                    </a:stretch>
                  </pic:blipFill>
                  <pic:spPr>
                    <a:xfrm>
                      <a:off x="0" y="0"/>
                      <a:ext cx="5588635" cy="7902575"/>
                    </a:xfrm>
                    <a:prstGeom prst="rect">
                      <a:avLst/>
                    </a:prstGeom>
                    <a:noFill/>
                    <a:ln>
                      <a:noFill/>
                    </a:ln>
                  </pic:spPr>
                </pic:pic>
              </a:graphicData>
            </a:graphic>
          </wp:inline>
        </w:drawing>
      </w:r>
    </w:p>
    <w:p>
      <w:pPr>
        <w:jc w:val="left"/>
        <w:rPr>
          <w:rStyle w:val="172"/>
          <w:rFonts w:hint="eastAsia" w:ascii="宋体" w:hAnsi="宋体" w:eastAsia="宋体" w:cs="宋体"/>
          <w:color w:val="auto"/>
          <w:sz w:val="28"/>
          <w:szCs w:val="28"/>
          <w:highlight w:val="none"/>
        </w:rPr>
      </w:pPr>
      <w:r>
        <w:rPr>
          <w:rFonts w:hint="eastAsia" w:ascii="宋体" w:hAnsi="宋体" w:cs="宋体"/>
          <w:b w:val="0"/>
          <w:bCs w:val="0"/>
          <w:color w:val="auto"/>
          <w:highlight w:val="none"/>
          <w:lang w:eastAsia="zh-CN"/>
        </w:rPr>
        <w:br w:type="page"/>
      </w:r>
      <w:r>
        <w:rPr>
          <w:rFonts w:hint="eastAsia" w:ascii="宋体" w:hAnsi="宋体" w:cs="宋体"/>
          <w:b w:val="0"/>
          <w:bCs w:val="0"/>
          <w:color w:val="auto"/>
          <w:sz w:val="28"/>
          <w:szCs w:val="28"/>
          <w:highlight w:val="none"/>
          <w:lang w:eastAsia="zh-CN"/>
        </w:rPr>
        <w:t>附件</w:t>
      </w:r>
      <w:r>
        <w:rPr>
          <w:rFonts w:hint="eastAsia" w:ascii="宋体" w:hAnsi="宋体" w:cs="宋体"/>
          <w:b w:val="0"/>
          <w:bCs w:val="0"/>
          <w:color w:val="auto"/>
          <w:sz w:val="28"/>
          <w:szCs w:val="28"/>
          <w:highlight w:val="none"/>
          <w:lang w:val="en-US" w:eastAsia="zh-CN"/>
        </w:rPr>
        <w:t>5：</w:t>
      </w:r>
    </w:p>
    <w:p>
      <w:pPr>
        <w:jc w:val="both"/>
        <w:rPr>
          <w:rFonts w:hint="eastAsia" w:ascii="宋体" w:hAnsi="宋体" w:cs="宋体"/>
          <w:b/>
          <w:bCs/>
          <w:color w:val="auto"/>
          <w:highlight w:val="none"/>
          <w:lang w:eastAsia="zh-CN"/>
        </w:rPr>
      </w:pPr>
      <w:r>
        <w:rPr>
          <w:rFonts w:hint="eastAsia" w:ascii="宋体" w:hAnsi="宋体" w:cs="宋体"/>
          <w:b/>
          <w:bCs/>
          <w:color w:val="auto"/>
          <w:highlight w:val="none"/>
          <w:lang w:eastAsia="zh-CN"/>
        </w:rPr>
        <w:drawing>
          <wp:inline distT="0" distB="0" distL="114300" distR="114300">
            <wp:extent cx="5588635" cy="7902575"/>
            <wp:effectExtent l="0" t="0" r="12065" b="9525"/>
            <wp:docPr id="7" name="图片 5" descr="环境标志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环境标志产品政府采购品目清单(1)_00"/>
                    <pic:cNvPicPr>
                      <a:picLocks noChangeAspect="1"/>
                    </pic:cNvPicPr>
                  </pic:nvPicPr>
                  <pic:blipFill>
                    <a:blip r:embed="rId13"/>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9525"/>
            <wp:docPr id="1" name="图片 6" descr="环境标志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环境标志产品政府采购品目清单(1)_01"/>
                    <pic:cNvPicPr>
                      <a:picLocks noChangeAspect="1"/>
                    </pic:cNvPicPr>
                  </pic:nvPicPr>
                  <pic:blipFill>
                    <a:blip r:embed="rId14"/>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9525"/>
            <wp:docPr id="11" name="图片 7" descr="环境标志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环境标志产品政府采购品目清单(1)_02"/>
                    <pic:cNvPicPr>
                      <a:picLocks noChangeAspect="1"/>
                    </pic:cNvPicPr>
                  </pic:nvPicPr>
                  <pic:blipFill>
                    <a:blip r:embed="rId15"/>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9525"/>
            <wp:docPr id="5" name="图片 8" descr="环境标志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环境标志产品政府采购品目清单(1)_03"/>
                    <pic:cNvPicPr>
                      <a:picLocks noChangeAspect="1"/>
                    </pic:cNvPicPr>
                  </pic:nvPicPr>
                  <pic:blipFill>
                    <a:blip r:embed="rId16"/>
                    <a:stretch>
                      <a:fillRect/>
                    </a:stretch>
                  </pic:blipFill>
                  <pic:spPr>
                    <a:xfrm>
                      <a:off x="0" y="0"/>
                      <a:ext cx="5588635" cy="7902575"/>
                    </a:xfrm>
                    <a:prstGeom prst="rect">
                      <a:avLst/>
                    </a:prstGeom>
                    <a:noFill/>
                    <a:ln>
                      <a:noFill/>
                    </a:ln>
                  </pic:spPr>
                </pic:pic>
              </a:graphicData>
            </a:graphic>
          </wp:inline>
        </w:drawing>
      </w:r>
    </w:p>
    <w:p>
      <w:pPr>
        <w:rPr>
          <w:rFonts w:hint="eastAsia" w:ascii="宋体" w:hAnsi="宋体" w:cs="宋体"/>
          <w:b/>
          <w:bCs/>
          <w:color w:val="auto"/>
          <w:highlight w:val="none"/>
          <w:lang w:eastAsia="zh-CN"/>
        </w:rPr>
      </w:pPr>
    </w:p>
    <w:p>
      <w:pPr>
        <w:jc w:val="both"/>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highlight w:val="none"/>
          <w:lang w:eastAsia="zh-CN"/>
        </w:rPr>
        <w:br w:type="page"/>
      </w:r>
      <w:r>
        <w:rPr>
          <w:rFonts w:hint="eastAsia" w:ascii="宋体" w:hAnsi="宋体" w:cs="宋体"/>
          <w:b w:val="0"/>
          <w:bCs w:val="0"/>
          <w:color w:val="auto"/>
          <w:sz w:val="22"/>
          <w:szCs w:val="22"/>
          <w:highlight w:val="none"/>
          <w:lang w:eastAsia="zh-CN"/>
        </w:rPr>
        <w:t>附件</w:t>
      </w:r>
      <w:r>
        <w:rPr>
          <w:rFonts w:hint="eastAsia" w:ascii="宋体" w:hAnsi="宋体" w:cs="宋体"/>
          <w:b w:val="0"/>
          <w:bCs w:val="0"/>
          <w:color w:val="auto"/>
          <w:sz w:val="22"/>
          <w:szCs w:val="22"/>
          <w:highlight w:val="none"/>
          <w:lang w:val="en-US" w:eastAsia="zh-CN"/>
        </w:rPr>
        <w:t>6：</w:t>
      </w:r>
    </w:p>
    <w:p>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质疑函范本</w:t>
      </w:r>
    </w:p>
    <w:p>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一、质疑供应商基本信息</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质疑供应商：</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地址：邮编：</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联系电话：</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地址：邮编：</w:t>
      </w:r>
    </w:p>
    <w:p>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w:t>
      </w:r>
    </w:p>
    <w:p>
      <w:pPr>
        <w:spacing w:line="5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质疑项目的编号： 包号：</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 xml:space="preserve">获取日期: </w:t>
      </w:r>
    </w:p>
    <w:p>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三、质疑事项具体内容</w:t>
      </w:r>
    </w:p>
    <w:p>
      <w:pPr>
        <w:spacing w:line="5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质疑事项1:</w:t>
      </w:r>
    </w:p>
    <w:p>
      <w:pPr>
        <w:spacing w:line="5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事实依据：</w:t>
      </w:r>
    </w:p>
    <w:p>
      <w:pPr>
        <w:spacing w:line="5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法律依据：</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四、与质疑事项相关的质疑请求</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签字(签章)：   公章：                      </w:t>
      </w:r>
    </w:p>
    <w:p>
      <w:pPr>
        <w:spacing w:line="5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日期：</w:t>
      </w:r>
    </w:p>
    <w:p>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质疑函制作说明：</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1.供应商提出质疑时，应提交质疑函和必要的证明材料。</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3.质疑供应商若对项目的某一分包进行质疑，质疑函中应列明具体分包号。</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4.质疑函的质疑事项应具体、明确，并有必要的事实依据和法律依据。</w:t>
      </w:r>
    </w:p>
    <w:p>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5.质疑函的质疑请求应与质疑事项相关。</w:t>
      </w:r>
    </w:p>
    <w:p>
      <w:pPr>
        <w:spacing w:line="560" w:lineRule="exact"/>
        <w:ind w:firstLine="480" w:firstLineChars="200"/>
        <w:rPr>
          <w:rFonts w:hint="eastAsia" w:ascii="宋体" w:hAnsi="宋体" w:eastAsia="宋体" w:cs="宋体"/>
          <w:color w:val="auto"/>
          <w:sz w:val="24"/>
          <w:szCs w:val="24"/>
          <w:highlight w:val="none"/>
          <w:lang w:val="en-US" w:eastAsia="zh-CN"/>
        </w:rPr>
        <w:sectPr>
          <w:headerReference r:id="rId3" w:type="default"/>
          <w:footerReference r:id="rId4" w:type="default"/>
          <w:pgSz w:w="11906" w:h="16838"/>
          <w:pgMar w:top="1440" w:right="1274" w:bottom="1440" w:left="1800" w:header="851" w:footer="992" w:gutter="0"/>
          <w:pgNumType w:fmt="decimal"/>
          <w:cols w:space="720" w:num="1"/>
          <w:docGrid w:type="lines" w:linePitch="312" w:charSpace="0"/>
        </w:sectPr>
      </w:pPr>
      <w:r>
        <w:rPr>
          <w:rFonts w:hint="eastAsia" w:ascii="宋体" w:hAnsi="宋体" w:eastAsia="宋体" w:cs="宋体"/>
          <w:color w:val="auto"/>
          <w:sz w:val="24"/>
          <w:szCs w:val="24"/>
          <w:highlight w:val="none"/>
        </w:rPr>
        <w:t>6.质疑供应商为自然人的，质疑函应由本人签字；质疑供应商为法人或者其他组织的，质疑函应由法定代表人、主要负责人，或者其授权代表签字或者盖章，并加盖公</w:t>
      </w:r>
      <w:r>
        <w:rPr>
          <w:rFonts w:hint="eastAsia" w:ascii="宋体" w:hAnsi="宋体" w:eastAsia="宋体" w:cs="宋体"/>
          <w:color w:val="auto"/>
          <w:sz w:val="24"/>
          <w:szCs w:val="24"/>
          <w:highlight w:val="none"/>
          <w:lang w:val="en-US" w:eastAsia="zh-CN"/>
        </w:rPr>
        <w:t>章</w:t>
      </w:r>
    </w:p>
    <w:p>
      <w:pPr>
        <w:spacing w:line="580" w:lineRule="exact"/>
        <w:ind w:firstLine="2811" w:firstLineChars="700"/>
        <w:jc w:val="both"/>
        <w:rPr>
          <w:rFonts w:hint="eastAsia" w:ascii="Calibri" w:hAnsi="Calibri" w:eastAsia="宋体" w:cs="Times New Roman"/>
          <w:b/>
          <w:bCs/>
          <w:color w:val="auto"/>
          <w:kern w:val="44"/>
          <w:sz w:val="40"/>
          <w:highlight w:val="none"/>
          <w:lang w:eastAsia="zh-CN"/>
        </w:rPr>
      </w:pPr>
      <w:bookmarkStart w:id="14" w:name="_Toc3143"/>
      <w:r>
        <w:rPr>
          <w:rFonts w:hint="eastAsia" w:ascii="Calibri" w:hAnsi="Calibri" w:eastAsia="宋体" w:cs="Times New Roman"/>
          <w:b/>
          <w:bCs/>
          <w:color w:val="auto"/>
          <w:kern w:val="44"/>
          <w:sz w:val="40"/>
          <w:highlight w:val="none"/>
        </w:rPr>
        <w:t xml:space="preserve">第三章  </w:t>
      </w:r>
      <w:r>
        <w:rPr>
          <w:rFonts w:hint="eastAsia" w:ascii="Calibri" w:hAnsi="Calibri" w:eastAsia="宋体" w:cs="Times New Roman"/>
          <w:b/>
          <w:bCs/>
          <w:color w:val="auto"/>
          <w:kern w:val="44"/>
          <w:sz w:val="40"/>
          <w:highlight w:val="none"/>
          <w:lang w:val="en-US" w:eastAsia="zh-CN"/>
        </w:rPr>
        <w:t>服务</w:t>
      </w:r>
      <w:bookmarkEnd w:id="14"/>
      <w:r>
        <w:rPr>
          <w:rFonts w:hint="eastAsia" w:ascii="Calibri" w:hAnsi="Calibri" w:eastAsia="宋体" w:cs="Times New Roman"/>
          <w:b/>
          <w:bCs/>
          <w:color w:val="auto"/>
          <w:kern w:val="44"/>
          <w:sz w:val="40"/>
          <w:highlight w:val="none"/>
          <w:lang w:val="en-US" w:eastAsia="zh-CN"/>
        </w:rPr>
        <w:t>需求</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rPr>
        <w:t>1、项目名称：</w:t>
      </w:r>
      <w:r>
        <w:rPr>
          <w:rFonts w:hint="eastAsia" w:ascii="宋体" w:hAnsi="宋体" w:eastAsia="宋体" w:cs="Times New Roman"/>
          <w:color w:val="auto"/>
          <w:sz w:val="24"/>
          <w:szCs w:val="24"/>
          <w:highlight w:val="none"/>
          <w:lang w:eastAsia="zh-CN"/>
        </w:rPr>
        <w:t>卢氏县污染地块土壤污染状况详细补充调查和风险评估项目</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rPr>
        <w:t>2、项目编号：</w:t>
      </w:r>
      <w:r>
        <w:rPr>
          <w:rFonts w:hint="eastAsia" w:ascii="宋体" w:hAnsi="宋体" w:eastAsia="宋体" w:cs="Times New Roman"/>
          <w:color w:val="auto"/>
          <w:sz w:val="24"/>
          <w:szCs w:val="24"/>
          <w:highlight w:val="none"/>
          <w:lang w:val="en-US" w:eastAsia="zh-CN"/>
        </w:rPr>
        <w:t>三卢公开采购-2025-87、LSGZ[2025]362-ZC213</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rPr>
        <w:t>3、采购人：</w:t>
      </w:r>
      <w:r>
        <w:rPr>
          <w:rFonts w:hint="eastAsia" w:ascii="宋体" w:hAnsi="宋体" w:eastAsia="宋体" w:cs="Times New Roman"/>
          <w:color w:val="auto"/>
          <w:sz w:val="24"/>
          <w:szCs w:val="24"/>
          <w:highlight w:val="none"/>
          <w:lang w:eastAsia="zh-CN"/>
        </w:rPr>
        <w:t xml:space="preserve"> 三门峡市生态环境局卢氏分局</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rPr>
        <w:t>4、预算金额：</w:t>
      </w:r>
      <w:r>
        <w:rPr>
          <w:rFonts w:hint="eastAsia" w:ascii="宋体" w:hAnsi="宋体" w:eastAsia="宋体" w:cs="Times New Roman"/>
          <w:color w:val="auto"/>
          <w:sz w:val="24"/>
          <w:szCs w:val="24"/>
          <w:highlight w:val="none"/>
          <w:lang w:val="en-US" w:eastAsia="zh-CN"/>
        </w:rPr>
        <w:t>2916382.00</w:t>
      </w:r>
      <w:r>
        <w:rPr>
          <w:rFonts w:hint="eastAsia" w:ascii="宋体" w:hAnsi="宋体" w:eastAsia="宋体" w:cs="Times New Roman"/>
          <w:color w:val="auto"/>
          <w:sz w:val="24"/>
          <w:szCs w:val="24"/>
          <w:highlight w:val="none"/>
        </w:rPr>
        <w:t>元</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5、资金来源：</w:t>
      </w:r>
      <w:r>
        <w:rPr>
          <w:rFonts w:hint="eastAsia" w:ascii="宋体" w:hAnsi="宋体" w:eastAsia="宋体" w:cs="Times New Roman"/>
          <w:color w:val="auto"/>
          <w:sz w:val="24"/>
          <w:szCs w:val="24"/>
          <w:highlight w:val="none"/>
          <w:lang w:eastAsia="zh-CN"/>
        </w:rPr>
        <w:t>财政资金</w:t>
      </w:r>
      <w:r>
        <w:rPr>
          <w:rFonts w:hint="eastAsia" w:ascii="宋体" w:hAnsi="宋体" w:eastAsia="宋体" w:cs="Times New Roman"/>
          <w:color w:val="auto"/>
          <w:sz w:val="24"/>
          <w:szCs w:val="24"/>
          <w:highlight w:val="none"/>
        </w:rPr>
        <w:t>，已落实</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lang w:val="en-US" w:eastAsia="zh-CN"/>
        </w:rPr>
        <w:t>服务</w:t>
      </w:r>
      <w:r>
        <w:rPr>
          <w:rFonts w:hint="eastAsia" w:ascii="宋体" w:hAnsi="宋体" w:eastAsia="宋体" w:cs="Times New Roman"/>
          <w:color w:val="auto"/>
          <w:sz w:val="24"/>
          <w:szCs w:val="24"/>
          <w:highlight w:val="none"/>
        </w:rPr>
        <w:t>内容：</w:t>
      </w:r>
      <w:r>
        <w:rPr>
          <w:rFonts w:hint="eastAsia" w:ascii="宋体" w:hAnsi="宋体" w:eastAsia="宋体" w:cs="Times New Roman"/>
          <w:color w:val="auto"/>
          <w:sz w:val="24"/>
          <w:szCs w:val="24"/>
          <w:highlight w:val="none"/>
          <w:lang w:val="en-US" w:eastAsia="zh-CN"/>
        </w:rPr>
        <w:t>对卢氏县9个地块进行土壤污染状况详细补充调查及风险评估，开展场地补充调查、样品采集与检测以及成果编制等工作。查明调查范围内污染物的污染程度及范围；开展基于保护规划用地方式下人体、生态环境、地下水等敏感受体的风险评估，筛选出高风险的污染物，计算关注污染物不同规划用地方式下的风险控制值，并结合相关标准确定地块修复目标值，为地块后期风险管控或修复治理及安全合理开发提供科学依据与技术支撑。</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cs="宋体"/>
          <w:bCs/>
          <w:color w:val="auto"/>
          <w:sz w:val="24"/>
          <w:szCs w:val="28"/>
          <w:highlight w:val="none"/>
          <w:lang w:val="en-US" w:eastAsia="zh-CN"/>
        </w:rPr>
      </w:pPr>
      <w:r>
        <w:rPr>
          <w:rFonts w:hint="eastAsia" w:ascii="宋体" w:hAnsi="宋体" w:eastAsia="宋体" w:cs="Times New Roman"/>
          <w:color w:val="auto"/>
          <w:sz w:val="24"/>
          <w:szCs w:val="24"/>
          <w:highlight w:val="none"/>
        </w:rPr>
        <w:t>7、</w:t>
      </w:r>
      <w:r>
        <w:rPr>
          <w:rFonts w:hint="eastAsia" w:ascii="宋体" w:hAnsi="宋体" w:cs="宋体"/>
          <w:bCs/>
          <w:color w:val="auto"/>
          <w:sz w:val="24"/>
          <w:szCs w:val="28"/>
          <w:highlight w:val="none"/>
          <w:lang w:val="en-US" w:eastAsia="zh-CN"/>
        </w:rPr>
        <w:t>服务</w:t>
      </w:r>
      <w:r>
        <w:rPr>
          <w:rFonts w:hint="eastAsia" w:ascii="宋体" w:hAnsi="宋体" w:eastAsia="宋体" w:cs="宋体"/>
          <w:bCs/>
          <w:color w:val="auto"/>
          <w:sz w:val="24"/>
          <w:szCs w:val="28"/>
          <w:highlight w:val="none"/>
        </w:rPr>
        <w:t>期</w:t>
      </w:r>
      <w:r>
        <w:rPr>
          <w:rFonts w:hint="eastAsia" w:ascii="宋体" w:hAnsi="宋体" w:eastAsia="宋体" w:cs="宋体"/>
          <w:bCs/>
          <w:color w:val="auto"/>
          <w:sz w:val="24"/>
          <w:szCs w:val="28"/>
          <w:highlight w:val="none"/>
          <w:lang w:val="en-US" w:eastAsia="zh-CN"/>
        </w:rPr>
        <w:t>限</w:t>
      </w:r>
      <w:r>
        <w:rPr>
          <w:rFonts w:hint="eastAsia" w:ascii="宋体" w:hAnsi="宋体" w:eastAsia="宋体" w:cs="宋体"/>
          <w:bCs/>
          <w:color w:val="auto"/>
          <w:sz w:val="24"/>
          <w:szCs w:val="28"/>
          <w:highlight w:val="none"/>
        </w:rPr>
        <w:t>：</w:t>
      </w:r>
      <w:r>
        <w:rPr>
          <w:rFonts w:hint="eastAsia" w:ascii="宋体" w:hAnsi="宋体" w:cs="宋体"/>
          <w:bCs/>
          <w:color w:val="auto"/>
          <w:sz w:val="24"/>
          <w:szCs w:val="28"/>
          <w:highlight w:val="none"/>
          <w:lang w:val="en-US" w:eastAsia="zh-CN"/>
        </w:rPr>
        <w:t>1年</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rPr>
        <w:t>8、</w:t>
      </w:r>
      <w:r>
        <w:rPr>
          <w:rFonts w:hint="eastAsia" w:ascii="宋体" w:hAnsi="宋体" w:eastAsia="宋体" w:cs="Times New Roman"/>
          <w:color w:val="auto"/>
          <w:sz w:val="24"/>
          <w:szCs w:val="24"/>
          <w:highlight w:val="none"/>
          <w:lang w:val="en-US" w:eastAsia="zh-CN"/>
        </w:rPr>
        <w:t>服务</w:t>
      </w:r>
      <w:r>
        <w:rPr>
          <w:rFonts w:hint="eastAsia" w:ascii="宋体" w:hAnsi="宋体" w:eastAsia="宋体" w:cs="Times New Roman"/>
          <w:color w:val="auto"/>
          <w:sz w:val="24"/>
          <w:szCs w:val="24"/>
          <w:highlight w:val="none"/>
        </w:rPr>
        <w:t>地点：</w:t>
      </w:r>
      <w:r>
        <w:rPr>
          <w:rFonts w:hint="eastAsia" w:ascii="宋体" w:hAnsi="宋体" w:eastAsia="宋体" w:cs="Times New Roman"/>
          <w:color w:val="auto"/>
          <w:sz w:val="24"/>
          <w:szCs w:val="24"/>
          <w:highlight w:val="none"/>
          <w:lang w:val="en-US" w:eastAsia="zh-CN"/>
        </w:rPr>
        <w:t xml:space="preserve"> 卢氏县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9、质量要求：符合国家及行业相关规定要求</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lang w:val="en-US" w:eastAsia="zh-CN"/>
        </w:rPr>
        <w:t>0</w:t>
      </w:r>
      <w:r>
        <w:rPr>
          <w:rFonts w:hint="eastAsia" w:ascii="宋体" w:hAnsi="宋体" w:eastAsia="宋体" w:cs="Times New Roman"/>
          <w:color w:val="auto"/>
          <w:sz w:val="24"/>
          <w:szCs w:val="24"/>
          <w:highlight w:val="none"/>
        </w:rPr>
        <w:t>、政府采购政策：本项目执行促进中小型企业发展政策（残疾人福利性企业、监狱企业视同小微企业）、优先采购节能环保产品等政府采购政策</w:t>
      </w:r>
    </w:p>
    <w:p>
      <w:pPr>
        <w:pStyle w:val="154"/>
        <w:spacing w:line="420" w:lineRule="exact"/>
        <w:ind w:firstLine="4115" w:firstLineChars="1627"/>
        <w:rPr>
          <w:rFonts w:hint="eastAsia" w:ascii="宋体" w:hAnsi="宋体" w:eastAsia="宋体" w:cs="宋体"/>
          <w:b/>
          <w:bCs/>
          <w:color w:val="auto"/>
          <w:spacing w:val="6"/>
          <w:sz w:val="24"/>
          <w:szCs w:val="24"/>
          <w:highlight w:val="none"/>
        </w:rPr>
      </w:pPr>
    </w:p>
    <w:p>
      <w:pPr>
        <w:pStyle w:val="154"/>
        <w:spacing w:line="420" w:lineRule="exact"/>
        <w:ind w:firstLine="4115" w:firstLineChars="1627"/>
        <w:rPr>
          <w:rFonts w:hint="eastAsia" w:ascii="宋体" w:hAnsi="宋体" w:eastAsia="宋体" w:cs="宋体"/>
          <w:b/>
          <w:bCs/>
          <w:color w:val="auto"/>
          <w:spacing w:val="6"/>
          <w:sz w:val="24"/>
          <w:szCs w:val="24"/>
          <w:highlight w:val="none"/>
        </w:rPr>
      </w:pPr>
    </w:p>
    <w:p>
      <w:pPr>
        <w:pStyle w:val="154"/>
        <w:spacing w:line="420" w:lineRule="exact"/>
        <w:ind w:firstLine="4115" w:firstLineChars="1627"/>
        <w:rPr>
          <w:rFonts w:hint="eastAsia" w:ascii="宋体" w:hAnsi="宋体" w:eastAsia="宋体" w:cs="宋体"/>
          <w:b/>
          <w:bCs/>
          <w:color w:val="auto"/>
          <w:spacing w:val="6"/>
          <w:sz w:val="24"/>
          <w:szCs w:val="24"/>
          <w:highlight w:val="none"/>
        </w:rPr>
      </w:pPr>
    </w:p>
    <w:p>
      <w:pPr>
        <w:pStyle w:val="154"/>
        <w:spacing w:line="420" w:lineRule="exact"/>
        <w:ind w:firstLine="4115" w:firstLineChars="1627"/>
        <w:rPr>
          <w:rFonts w:hint="eastAsia" w:ascii="宋体" w:hAnsi="宋体" w:eastAsia="宋体" w:cs="宋体"/>
          <w:b/>
          <w:bCs/>
          <w:color w:val="auto"/>
          <w:spacing w:val="6"/>
          <w:sz w:val="24"/>
          <w:szCs w:val="24"/>
          <w:highlight w:val="none"/>
        </w:rPr>
      </w:pPr>
    </w:p>
    <w:p>
      <w:pPr>
        <w:pStyle w:val="154"/>
        <w:spacing w:line="420" w:lineRule="exact"/>
        <w:ind w:firstLine="4115" w:firstLineChars="1627"/>
        <w:rPr>
          <w:rFonts w:hint="eastAsia" w:ascii="宋体" w:hAnsi="宋体" w:eastAsia="宋体" w:cs="宋体"/>
          <w:b/>
          <w:bCs/>
          <w:color w:val="auto"/>
          <w:spacing w:val="6"/>
          <w:sz w:val="24"/>
          <w:szCs w:val="24"/>
          <w:highlight w:val="none"/>
        </w:rPr>
      </w:pPr>
    </w:p>
    <w:p>
      <w:pPr>
        <w:rPr>
          <w:rFonts w:hint="eastAsia" w:ascii="宋体" w:hAnsi="宋体" w:eastAsia="宋体" w:cs="宋体"/>
          <w:b/>
          <w:bCs/>
          <w:color w:val="auto"/>
          <w:spacing w:val="6"/>
          <w:sz w:val="24"/>
          <w:szCs w:val="24"/>
          <w:highlight w:val="none"/>
        </w:rPr>
      </w:pPr>
    </w:p>
    <w:p>
      <w:pPr>
        <w:pStyle w:val="2"/>
        <w:rPr>
          <w:rFonts w:hint="eastAsia" w:ascii="宋体" w:hAnsi="宋体" w:eastAsia="宋体" w:cs="宋体"/>
          <w:b/>
          <w:bCs/>
          <w:color w:val="auto"/>
          <w:spacing w:val="6"/>
          <w:sz w:val="24"/>
          <w:szCs w:val="24"/>
          <w:highlight w:val="none"/>
        </w:rPr>
      </w:pPr>
    </w:p>
    <w:p>
      <w:pPr>
        <w:pStyle w:val="3"/>
        <w:rPr>
          <w:rFonts w:hint="eastAsia"/>
          <w:color w:val="auto"/>
          <w:highlight w:val="none"/>
        </w:rPr>
      </w:pPr>
    </w:p>
    <w:p>
      <w:pPr>
        <w:pStyle w:val="154"/>
        <w:spacing w:line="420" w:lineRule="exact"/>
        <w:ind w:firstLine="4115" w:firstLineChars="1627"/>
        <w:rPr>
          <w:rFonts w:hint="eastAsia" w:ascii="宋体" w:hAnsi="宋体" w:eastAsia="宋体" w:cs="宋体"/>
          <w:b/>
          <w:bCs/>
          <w:color w:val="auto"/>
          <w:spacing w:val="6"/>
          <w:sz w:val="24"/>
          <w:szCs w:val="24"/>
          <w:highlight w:val="none"/>
        </w:rPr>
      </w:pPr>
    </w:p>
    <w:p>
      <w:pPr>
        <w:pStyle w:val="154"/>
        <w:spacing w:line="420" w:lineRule="exact"/>
        <w:ind w:firstLine="4115" w:firstLineChars="1627"/>
        <w:rPr>
          <w:rFonts w:hint="eastAsia" w:ascii="宋体" w:hAnsi="宋体" w:eastAsia="宋体" w:cs="宋体"/>
          <w:b/>
          <w:bCs/>
          <w:color w:val="auto"/>
          <w:spacing w:val="6"/>
          <w:sz w:val="24"/>
          <w:szCs w:val="24"/>
          <w:highlight w:val="none"/>
        </w:rPr>
      </w:pPr>
    </w:p>
    <w:p>
      <w:pPr>
        <w:pStyle w:val="154"/>
        <w:spacing w:line="420" w:lineRule="exact"/>
        <w:ind w:firstLine="4115" w:firstLineChars="1627"/>
        <w:rPr>
          <w:rFonts w:hint="eastAsia" w:ascii="宋体" w:hAnsi="宋体" w:eastAsia="宋体" w:cs="宋体"/>
          <w:b/>
          <w:bCs/>
          <w:color w:val="auto"/>
          <w:spacing w:val="6"/>
          <w:sz w:val="24"/>
          <w:szCs w:val="24"/>
          <w:highlight w:val="none"/>
        </w:rPr>
      </w:pPr>
    </w:p>
    <w:p>
      <w:pPr>
        <w:pStyle w:val="154"/>
        <w:spacing w:line="420" w:lineRule="exact"/>
        <w:ind w:firstLine="4115" w:firstLineChars="1627"/>
        <w:rPr>
          <w:rFonts w:hint="eastAsia" w:ascii="宋体" w:hAnsi="宋体" w:eastAsia="宋体" w:cs="宋体"/>
          <w:b/>
          <w:bCs/>
          <w:color w:val="auto"/>
          <w:spacing w:val="6"/>
          <w:sz w:val="24"/>
          <w:szCs w:val="24"/>
          <w:highlight w:val="none"/>
        </w:rPr>
      </w:pPr>
    </w:p>
    <w:p>
      <w:pPr>
        <w:pStyle w:val="154"/>
        <w:spacing w:line="420" w:lineRule="exact"/>
        <w:ind w:firstLine="4115" w:firstLineChars="1627"/>
        <w:rPr>
          <w:rFonts w:hint="eastAsia" w:ascii="宋体" w:hAnsi="宋体" w:eastAsia="宋体" w:cs="宋体"/>
          <w:b/>
          <w:bCs/>
          <w:color w:val="auto"/>
          <w:spacing w:val="6"/>
          <w:sz w:val="24"/>
          <w:szCs w:val="24"/>
          <w:highlight w:val="none"/>
        </w:rPr>
      </w:pPr>
      <w:r>
        <w:rPr>
          <w:rFonts w:hint="eastAsia" w:ascii="宋体" w:hAnsi="宋体" w:eastAsia="宋体" w:cs="宋体"/>
          <w:b/>
          <w:bCs/>
          <w:color w:val="auto"/>
          <w:spacing w:val="6"/>
          <w:sz w:val="24"/>
          <w:szCs w:val="24"/>
          <w:highlight w:val="none"/>
        </w:rPr>
        <w:t>服务要求</w:t>
      </w:r>
      <w:bookmarkStart w:id="15" w:name="_Toc8941"/>
    </w:p>
    <w:bookmarkEnd w:id="15"/>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480" w:firstLineChars="200"/>
        <w:jc w:val="both"/>
        <w:textAlignment w:val="auto"/>
        <w:outlineLvl w:val="0"/>
        <w:rPr>
          <w:rFonts w:hint="eastAsia" w:ascii="宋体" w:hAnsi="宋体" w:eastAsia="宋体" w:cs="Times New Roman"/>
          <w:color w:val="auto"/>
          <w:sz w:val="24"/>
          <w:szCs w:val="24"/>
          <w:highlight w:val="none"/>
        </w:rPr>
      </w:pPr>
      <w:bookmarkStart w:id="16" w:name="_Toc5829"/>
      <w:r>
        <w:rPr>
          <w:rFonts w:hint="eastAsia" w:ascii="宋体" w:hAnsi="宋体" w:eastAsia="宋体" w:cs="Times New Roman"/>
          <w:color w:val="auto"/>
          <w:sz w:val="24"/>
          <w:szCs w:val="24"/>
          <w:highlight w:val="none"/>
          <w:lang w:val="en-US" w:eastAsia="zh-CN"/>
        </w:rPr>
        <w:t>项目目标：</w:t>
      </w:r>
      <w:r>
        <w:rPr>
          <w:rFonts w:hint="eastAsia" w:ascii="宋体" w:hAnsi="宋体" w:eastAsia="宋体" w:cs="Times New Roman"/>
          <w:color w:val="auto"/>
          <w:sz w:val="24"/>
          <w:szCs w:val="24"/>
          <w:highlight w:val="none"/>
        </w:rPr>
        <w:t>查明污染地块内污染物的污染程度及范围;计算关注污染物不同规划用地方式下的风险控制值，并结合相关标准确定地块修复目标值。</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480" w:firstLineChars="200"/>
        <w:jc w:val="both"/>
        <w:textAlignment w:val="auto"/>
        <w:outlineLvl w:val="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项目服务要求：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outlineLvl w:val="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1.详细补充调查。按照《建设用地土壤污染状况调查技术导则（HJ 25.1—2019）》、《建设用地土壤污染风险管控和修复监测技术导则（ HJ 25.2—2019）》、《工业企业污染场地调查与修复管理技术指南》（试行）等技术规范，结合地块现状及规划用途，收集污染地块的前期调查资料，划定地块周边可能的污染区域、污染物类型和污染深度等污染源总体特征，编制补充调查方案，通过现场踏勘、人员访谈、水文地质调查、勘探钻孔、样品采集、分析检测，完成现场采样和实验室分析，确定目标污染物、污染区域和环境迁移情况。</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2.风险评估。按照《建设用地土壤污染风险评估技术导则（HJ 25.3—2019）》，在补充调查工作基础上，对调查过程和结果进行分析、总结，包括场地概况、资料分析与现场踏勘、调查采样检测工作、现场采样和实验室分析，进行危害识别、暴露评估、毒性评估、风险表征，土壤和地下水风险控制值计算和地块修复目标值计算等，为地块后期风险管控或修复治理及安全合理开发提供科学依据与技术支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outlineLvl w:val="0"/>
        <w:rPr>
          <w:rFonts w:hint="eastAsia" w:ascii="宋体" w:hAnsi="宋体" w:eastAsia="宋体" w:cs="Times New Roman"/>
          <w:color w:val="auto"/>
          <w:sz w:val="24"/>
          <w:szCs w:val="24"/>
          <w:highlight w:val="none"/>
        </w:rPr>
      </w:pPr>
    </w:p>
    <w:p>
      <w:pPr>
        <w:pStyle w:val="34"/>
        <w:rPr>
          <w:rFonts w:hint="eastAsia" w:ascii="宋体" w:hAnsi="宋体" w:eastAsia="宋体" w:cs="Times New Roman"/>
          <w:color w:val="auto"/>
          <w:sz w:val="24"/>
          <w:szCs w:val="24"/>
          <w:highlight w:val="none"/>
        </w:rPr>
      </w:pPr>
    </w:p>
    <w:p>
      <w:pPr>
        <w:pStyle w:val="33"/>
        <w:rPr>
          <w:rFonts w:hint="eastAsia" w:ascii="宋体" w:hAnsi="宋体" w:eastAsia="宋体" w:cs="Times New Roman"/>
          <w:color w:val="auto"/>
          <w:sz w:val="24"/>
          <w:szCs w:val="24"/>
          <w:highlight w:val="none"/>
        </w:rPr>
      </w:pPr>
    </w:p>
    <w:p>
      <w:pPr>
        <w:pStyle w:val="34"/>
        <w:rPr>
          <w:rFonts w:hint="eastAsia" w:ascii="宋体" w:hAnsi="宋体" w:eastAsia="宋体" w:cs="Times New Roman"/>
          <w:color w:val="auto"/>
          <w:sz w:val="24"/>
          <w:szCs w:val="24"/>
          <w:highlight w:val="none"/>
        </w:rPr>
      </w:pPr>
    </w:p>
    <w:p>
      <w:pPr>
        <w:pStyle w:val="33"/>
        <w:rPr>
          <w:rFonts w:hint="eastAsia" w:ascii="宋体" w:hAnsi="宋体" w:eastAsia="宋体" w:cs="Times New Roman"/>
          <w:color w:val="auto"/>
          <w:sz w:val="24"/>
          <w:szCs w:val="24"/>
          <w:highlight w:val="none"/>
        </w:rPr>
      </w:pPr>
    </w:p>
    <w:p>
      <w:pPr>
        <w:pStyle w:val="34"/>
        <w:rPr>
          <w:rFonts w:hint="eastAsia" w:ascii="宋体" w:hAnsi="宋体" w:eastAsia="宋体" w:cs="Times New Roman"/>
          <w:color w:val="auto"/>
          <w:sz w:val="24"/>
          <w:szCs w:val="24"/>
          <w:highlight w:val="none"/>
        </w:rPr>
      </w:pPr>
    </w:p>
    <w:p>
      <w:pPr>
        <w:pStyle w:val="33"/>
        <w:rPr>
          <w:rFonts w:hint="eastAsia" w:ascii="宋体" w:hAnsi="宋体" w:eastAsia="宋体" w:cs="Times New Roman"/>
          <w:color w:val="auto"/>
          <w:sz w:val="24"/>
          <w:szCs w:val="24"/>
          <w:highlight w:val="none"/>
        </w:rPr>
      </w:pPr>
    </w:p>
    <w:p>
      <w:pPr>
        <w:pStyle w:val="34"/>
        <w:rPr>
          <w:rFonts w:hint="eastAsia" w:ascii="宋体" w:hAnsi="宋体" w:eastAsia="宋体" w:cs="Times New Roman"/>
          <w:color w:val="auto"/>
          <w:sz w:val="24"/>
          <w:szCs w:val="24"/>
          <w:highlight w:val="none"/>
        </w:rPr>
      </w:pPr>
    </w:p>
    <w:p>
      <w:pPr>
        <w:pStyle w:val="33"/>
        <w:rPr>
          <w:rFonts w:hint="eastAsia" w:ascii="宋体" w:hAnsi="宋体" w:eastAsia="宋体" w:cs="Times New Roman"/>
          <w:color w:val="auto"/>
          <w:sz w:val="24"/>
          <w:szCs w:val="24"/>
          <w:highlight w:val="none"/>
        </w:rPr>
      </w:pPr>
    </w:p>
    <w:p>
      <w:pPr>
        <w:pStyle w:val="34"/>
        <w:rPr>
          <w:rFonts w:hint="eastAsia" w:ascii="宋体" w:hAnsi="宋体" w:eastAsia="宋体" w:cs="Times New Roman"/>
          <w:color w:val="auto"/>
          <w:sz w:val="24"/>
          <w:szCs w:val="24"/>
          <w:highlight w:val="none"/>
        </w:rPr>
      </w:pPr>
    </w:p>
    <w:p>
      <w:pPr>
        <w:pStyle w:val="33"/>
        <w:rPr>
          <w:rFonts w:hint="eastAsia" w:ascii="宋体" w:hAnsi="宋体" w:eastAsia="宋体" w:cs="Times New Roman"/>
          <w:color w:val="auto"/>
          <w:sz w:val="24"/>
          <w:szCs w:val="24"/>
          <w:highlight w:val="none"/>
        </w:rPr>
      </w:pPr>
    </w:p>
    <w:p>
      <w:pPr>
        <w:pStyle w:val="34"/>
        <w:rPr>
          <w:rFonts w:hint="eastAsia" w:ascii="宋体" w:hAnsi="宋体" w:eastAsia="宋体" w:cs="Times New Roman"/>
          <w:color w:val="auto"/>
          <w:sz w:val="24"/>
          <w:szCs w:val="24"/>
          <w:highlight w:val="none"/>
        </w:rPr>
      </w:pPr>
    </w:p>
    <w:p>
      <w:pPr>
        <w:pStyle w:val="33"/>
        <w:ind w:left="0" w:leftChars="0" w:firstLine="0" w:firstLineChars="0"/>
        <w:rPr>
          <w:rFonts w:hint="eastAsia" w:ascii="宋体" w:hAnsi="宋体" w:eastAsia="宋体" w:cs="Times New Roman"/>
          <w:color w:val="auto"/>
          <w:sz w:val="24"/>
          <w:szCs w:val="24"/>
          <w:highlight w:val="none"/>
        </w:rPr>
      </w:pPr>
    </w:p>
    <w:p>
      <w:pPr>
        <w:pStyle w:val="34"/>
        <w:rPr>
          <w:rFonts w:hint="eastAsia"/>
          <w:color w:val="auto"/>
          <w:highlight w:val="none"/>
        </w:rPr>
      </w:pPr>
    </w:p>
    <w:p>
      <w:pPr>
        <w:jc w:val="center"/>
        <w:outlineLvl w:val="0"/>
        <w:rPr>
          <w:rFonts w:ascii="Calibri" w:hAnsi="Calibri" w:eastAsia="宋体" w:cs="Times New Roman"/>
          <w:b/>
          <w:bCs/>
          <w:color w:val="auto"/>
          <w:kern w:val="44"/>
          <w:sz w:val="40"/>
          <w:highlight w:val="none"/>
        </w:rPr>
      </w:pPr>
      <w:r>
        <w:rPr>
          <w:rFonts w:hint="eastAsia" w:ascii="Calibri" w:hAnsi="Calibri" w:eastAsia="宋体" w:cs="Times New Roman"/>
          <w:b/>
          <w:bCs/>
          <w:color w:val="auto"/>
          <w:kern w:val="44"/>
          <w:sz w:val="40"/>
          <w:highlight w:val="none"/>
        </w:rPr>
        <w:t>第四章 评标办法</w:t>
      </w:r>
      <w:bookmarkEnd w:id="16"/>
    </w:p>
    <w:p>
      <w:pPr>
        <w:spacing w:line="44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 电子化投标文件的评审、比较和否决</w:t>
      </w:r>
    </w:p>
    <w:p>
      <w:pPr>
        <w:spacing w:line="440" w:lineRule="exact"/>
        <w:ind w:firstLine="424" w:firstLineChars="177"/>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1.1评标委员会将按照招标文件的规定，仅对在实质上响应招标文件要求的电子化投标文件进行评估和比较。</w:t>
      </w:r>
    </w:p>
    <w:p>
      <w:pPr>
        <w:spacing w:line="440" w:lineRule="exact"/>
        <w:ind w:firstLine="424" w:firstLineChars="177"/>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1.2根据相关法律法规及有关招投标文件规定，结合本项目具体情况，制定本次招标评标办法。并按照“公平、公正、科学、择优”的原则进行评标。采用综合评分法进行评比。</w:t>
      </w:r>
    </w:p>
    <w:p>
      <w:pPr>
        <w:spacing w:line="440" w:lineRule="exact"/>
        <w:ind w:firstLine="424" w:firstLineChars="177"/>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在评审过程中，评标委员会可以以书面形式要求供应商就电子化投标文件中含义不明确的内容进行书面说明并提供相关材料；凡遇到招标文件中无界定或界定不清、前后不一致使评委会成员意见有分歧且又难于协商一致的问题，均由评委会予以表决，获半数以上同意的即为通过，未获半数同意的即为否决。</w:t>
      </w:r>
    </w:p>
    <w:p>
      <w:pPr>
        <w:spacing w:line="440" w:lineRule="exact"/>
        <w:ind w:firstLine="424" w:firstLineChars="177"/>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1.4评标时，投标报价是评标的重要依据，但不是唯一依据，采购人不承诺将合同授予报价最低或最高的供应商。 </w:t>
      </w:r>
    </w:p>
    <w:p>
      <w:pPr>
        <w:spacing w:line="440" w:lineRule="exact"/>
        <w:ind w:firstLine="424" w:firstLineChars="177"/>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1.5评标委员会依据本须知规定的评标标准和方法，对电子化投标文件进行评审和比较，向采购人提出书面评标报告，并推荐合格的中标候选供应商。</w:t>
      </w:r>
    </w:p>
    <w:p>
      <w:pPr>
        <w:spacing w:line="460" w:lineRule="exact"/>
        <w:ind w:firstLine="424" w:firstLineChars="177"/>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1.6在评标过程中，采购人采购的产品属于“节能产品政府采购清单”和“环境标志产品政府采购清单”中品目的，在性能、技术、服务等指标同等条件下，应当优先采购清单中的产品。对于同时列入环保清单和节能清单的产品，应当优先于只获得其中一项认证的产品。</w:t>
      </w:r>
    </w:p>
    <w:p>
      <w:pPr>
        <w:spacing w:line="440" w:lineRule="exact"/>
        <w:ind w:firstLine="424" w:firstLineChars="177"/>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2．评分标准(采用综合评分法)</w:t>
      </w:r>
    </w:p>
    <w:p>
      <w:pPr>
        <w:spacing w:line="440" w:lineRule="exact"/>
        <w:ind w:firstLine="424" w:firstLineChars="177"/>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评标委员会按照《中华人民共和国政府采购法》和《评标委员会和评标方法暂行规定》，结合本项目具体情况，按下列标准打分：第一部分：报价评审；第二部分：技术标评审；第三部分：商务标评审。</w:t>
      </w:r>
    </w:p>
    <w:p>
      <w:pPr>
        <w:spacing w:line="440" w:lineRule="exact"/>
        <w:ind w:firstLine="424" w:firstLineChars="177"/>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供应商最终得分=报价得分+技术标评审得分+商务标评审得分。</w:t>
      </w:r>
    </w:p>
    <w:p>
      <w:pPr>
        <w:spacing w:line="440" w:lineRule="exact"/>
        <w:ind w:firstLine="424" w:firstLineChars="177"/>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 评审程序</w:t>
      </w:r>
    </w:p>
    <w:p>
      <w:pPr>
        <w:spacing w:line="440" w:lineRule="exact"/>
        <w:ind w:firstLine="424" w:firstLineChars="177"/>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3.1资格性审查</w:t>
      </w:r>
    </w:p>
    <w:p>
      <w:pPr>
        <w:spacing w:line="440" w:lineRule="exact"/>
        <w:ind w:firstLine="424" w:firstLineChars="1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开标会议结束后，由采购人和采购代理机构人员按照招标文件第二章供应商须知前附表第2.0项的要求，对供应商进行审查，有一项不符合的，视为未通过资格审查，不得进入下一评标过程。</w:t>
      </w:r>
    </w:p>
    <w:p>
      <w:pPr>
        <w:spacing w:line="440" w:lineRule="exact"/>
        <w:ind w:firstLine="424" w:firstLineChars="177"/>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注：每个投标单位可以投报多个标段，但只能中一个标段。若投标单位在多个标段均排名第一者，则按标段的顺序取排序靠前的标段推荐为中标候选人。</w:t>
      </w:r>
    </w:p>
    <w:p>
      <w:pPr>
        <w:spacing w:line="440" w:lineRule="exact"/>
        <w:ind w:firstLine="424" w:firstLineChars="177"/>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 符合性审查</w:t>
      </w:r>
    </w:p>
    <w:p>
      <w:pPr>
        <w:spacing w:line="580" w:lineRule="exact"/>
        <w:ind w:firstLine="480" w:firstLineChars="200"/>
        <w:rPr>
          <w:rFonts w:ascii="宋体" w:hAnsi="宋体" w:eastAsia="宋体" w:cs="Times New Roman"/>
          <w:color w:val="auto"/>
          <w:sz w:val="24"/>
          <w:szCs w:val="24"/>
          <w:highlight w:val="none"/>
        </w:rPr>
      </w:pPr>
      <w:r>
        <w:rPr>
          <w:rFonts w:hint="eastAsia" w:ascii="宋体" w:hAnsi="宋体" w:eastAsia="宋体" w:cs="宋体"/>
          <w:color w:val="auto"/>
          <w:sz w:val="24"/>
          <w:szCs w:val="24"/>
          <w:highlight w:val="none"/>
        </w:rPr>
        <w:t>评标委员会按照以下内容对供应商进行符合性审查，有一项不符合的，视为未通过符合性审查，不得进入下一评标过程。</w:t>
      </w:r>
    </w:p>
    <w:p>
      <w:pPr>
        <w:spacing w:line="440" w:lineRule="exact"/>
        <w:ind w:firstLine="424" w:firstLineChars="177"/>
        <w:rPr>
          <w:rFonts w:ascii="宋体" w:hAnsi="宋体" w:eastAsia="宋体" w:cs="宋体"/>
          <w:color w:val="auto"/>
          <w:sz w:val="24"/>
          <w:szCs w:val="24"/>
          <w:highlight w:val="none"/>
        </w:rPr>
      </w:pPr>
    </w:p>
    <w:tbl>
      <w:tblPr>
        <w:tblStyle w:val="35"/>
        <w:tblW w:w="969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82"/>
        <w:gridCol w:w="73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4" w:hRule="atLeast"/>
          <w:jc w:val="center"/>
        </w:trPr>
        <w:tc>
          <w:tcPr>
            <w:tcW w:w="2382" w:type="dxa"/>
            <w:tcBorders>
              <w:top w:val="single" w:color="000000" w:sz="4" w:space="0"/>
              <w:left w:val="single" w:color="auto" w:sz="4" w:space="0"/>
              <w:bottom w:val="single" w:color="000000" w:sz="4" w:space="0"/>
              <w:right w:val="single" w:color="000000" w:sz="4" w:space="0"/>
            </w:tcBorders>
            <w:vAlign w:val="center"/>
          </w:tcPr>
          <w:p>
            <w:pPr>
              <w:wordWrap w:val="0"/>
              <w:autoSpaceDE w:val="0"/>
              <w:autoSpaceDN w:val="0"/>
              <w:adjustRightInd w:val="0"/>
              <w:spacing w:line="480" w:lineRule="exact"/>
              <w:jc w:val="center"/>
              <w:rPr>
                <w:rFonts w:ascii="宋体" w:hAnsi="宋体" w:eastAsia="宋体" w:cs="宋体"/>
                <w:color w:val="auto"/>
                <w:sz w:val="22"/>
                <w:szCs w:val="24"/>
                <w:highlight w:val="none"/>
              </w:rPr>
            </w:pPr>
            <w:r>
              <w:rPr>
                <w:rFonts w:hint="eastAsia" w:ascii="宋体" w:hAnsi="宋体" w:eastAsia="宋体" w:cs="宋体"/>
                <w:color w:val="auto"/>
                <w:kern w:val="0"/>
                <w:sz w:val="22"/>
                <w:szCs w:val="24"/>
                <w:highlight w:val="none"/>
              </w:rPr>
              <w:t>供应商名称</w:t>
            </w:r>
          </w:p>
        </w:tc>
        <w:tc>
          <w:tcPr>
            <w:tcW w:w="7314" w:type="dxa"/>
            <w:tcBorders>
              <w:top w:val="single" w:color="auto" w:sz="4" w:space="0"/>
              <w:left w:val="nil"/>
              <w:bottom w:val="single" w:color="000000" w:sz="4" w:space="0"/>
              <w:right w:val="single" w:color="000000" w:sz="4" w:space="0"/>
            </w:tcBorders>
            <w:vAlign w:val="center"/>
          </w:tcPr>
          <w:p>
            <w:pPr>
              <w:widowControl/>
              <w:wordWrap w:val="0"/>
              <w:spacing w:line="480" w:lineRule="exact"/>
              <w:jc w:val="left"/>
              <w:rPr>
                <w:rFonts w:hint="eastAsia" w:ascii="宋体" w:hAnsi="宋体" w:eastAsia="宋体" w:cs="宋体"/>
                <w:color w:val="auto"/>
                <w:kern w:val="0"/>
                <w:sz w:val="22"/>
                <w:szCs w:val="24"/>
                <w:highlight w:val="none"/>
                <w:lang w:val="en-US" w:eastAsia="zh-CN"/>
              </w:rPr>
            </w:pPr>
            <w:r>
              <w:rPr>
                <w:rFonts w:hint="eastAsia" w:ascii="宋体" w:hAnsi="宋体" w:eastAsia="宋体" w:cs="宋体"/>
                <w:color w:val="auto"/>
                <w:kern w:val="0"/>
                <w:sz w:val="22"/>
                <w:szCs w:val="24"/>
                <w:highlight w:val="none"/>
                <w:lang w:val="en-US" w:eastAsia="zh-CN"/>
              </w:rPr>
              <w:t>与</w:t>
            </w:r>
            <w:r>
              <w:rPr>
                <w:rFonts w:hint="eastAsia" w:ascii="宋体" w:hAnsi="宋体" w:eastAsia="宋体" w:cs="宋体"/>
                <w:color w:val="auto"/>
                <w:kern w:val="0"/>
                <w:sz w:val="22"/>
                <w:szCs w:val="24"/>
                <w:highlight w:val="none"/>
              </w:rPr>
              <w:t>营业执照或事业单位法人证书</w:t>
            </w:r>
            <w:r>
              <w:rPr>
                <w:rFonts w:hint="eastAsia" w:ascii="宋体" w:hAnsi="宋体" w:eastAsia="宋体" w:cs="宋体"/>
                <w:color w:val="auto"/>
                <w:kern w:val="0"/>
                <w:sz w:val="22"/>
                <w:szCs w:val="24"/>
                <w:highlight w:val="none"/>
                <w:lang w:val="en-US"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2382" w:type="dxa"/>
            <w:tcBorders>
              <w:top w:val="single" w:color="000000" w:sz="4" w:space="0"/>
              <w:left w:val="single" w:color="auto" w:sz="4" w:space="0"/>
              <w:bottom w:val="single" w:color="000000" w:sz="4" w:space="0"/>
              <w:right w:val="single" w:color="000000" w:sz="4" w:space="0"/>
            </w:tcBorders>
            <w:vAlign w:val="center"/>
          </w:tcPr>
          <w:p>
            <w:pPr>
              <w:wordWrap w:val="0"/>
              <w:autoSpaceDE w:val="0"/>
              <w:autoSpaceDN w:val="0"/>
              <w:adjustRightInd w:val="0"/>
              <w:spacing w:line="480" w:lineRule="exact"/>
              <w:jc w:val="center"/>
              <w:rPr>
                <w:rFonts w:ascii="宋体" w:hAnsi="宋体" w:eastAsia="宋体" w:cs="宋体"/>
                <w:color w:val="auto"/>
                <w:sz w:val="22"/>
                <w:szCs w:val="24"/>
                <w:highlight w:val="none"/>
              </w:rPr>
            </w:pPr>
            <w:r>
              <w:rPr>
                <w:rFonts w:hint="eastAsia" w:ascii="宋体" w:hAnsi="宋体" w:eastAsia="宋体" w:cs="宋体"/>
                <w:color w:val="auto"/>
                <w:kern w:val="0"/>
                <w:sz w:val="22"/>
                <w:szCs w:val="24"/>
                <w:highlight w:val="none"/>
              </w:rPr>
              <w:t>签章要求</w:t>
            </w:r>
          </w:p>
        </w:tc>
        <w:tc>
          <w:tcPr>
            <w:tcW w:w="7314" w:type="dxa"/>
            <w:tcBorders>
              <w:top w:val="single" w:color="000000" w:sz="4" w:space="0"/>
              <w:left w:val="nil"/>
              <w:bottom w:val="single" w:color="000000" w:sz="4" w:space="0"/>
              <w:right w:val="single" w:color="000000" w:sz="4" w:space="0"/>
            </w:tcBorders>
            <w:vAlign w:val="center"/>
          </w:tcPr>
          <w:p>
            <w:pPr>
              <w:wordWrap w:val="0"/>
              <w:autoSpaceDE w:val="0"/>
              <w:autoSpaceDN w:val="0"/>
              <w:adjustRightInd w:val="0"/>
              <w:spacing w:line="480" w:lineRule="exact"/>
              <w:rPr>
                <w:rFonts w:ascii="宋体" w:hAnsi="宋体" w:eastAsia="宋体" w:cs="宋体"/>
                <w:color w:val="auto"/>
                <w:sz w:val="22"/>
                <w:szCs w:val="24"/>
                <w:highlight w:val="none"/>
              </w:rPr>
            </w:pPr>
            <w:r>
              <w:rPr>
                <w:rFonts w:hint="eastAsia" w:ascii="宋体" w:hAnsi="宋体" w:eastAsia="宋体" w:cs="宋体"/>
                <w:color w:val="auto"/>
                <w:sz w:val="22"/>
                <w:szCs w:val="24"/>
                <w:highlight w:val="none"/>
              </w:rPr>
              <w:t>符合招标文件要求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6" w:hRule="atLeast"/>
          <w:jc w:val="center"/>
        </w:trPr>
        <w:tc>
          <w:tcPr>
            <w:tcW w:w="2382" w:type="dxa"/>
            <w:tcBorders>
              <w:top w:val="single" w:color="000000" w:sz="4" w:space="0"/>
              <w:left w:val="single" w:color="auto" w:sz="4" w:space="0"/>
              <w:bottom w:val="single" w:color="000000" w:sz="4" w:space="0"/>
              <w:right w:val="single" w:color="000000" w:sz="4" w:space="0"/>
            </w:tcBorders>
            <w:vAlign w:val="center"/>
          </w:tcPr>
          <w:p>
            <w:pPr>
              <w:wordWrap w:val="0"/>
              <w:autoSpaceDE w:val="0"/>
              <w:autoSpaceDN w:val="0"/>
              <w:adjustRightInd w:val="0"/>
              <w:spacing w:line="480" w:lineRule="exact"/>
              <w:jc w:val="center"/>
              <w:rPr>
                <w:rFonts w:ascii="宋体" w:hAnsi="宋体" w:eastAsia="宋体" w:cs="宋体"/>
                <w:color w:val="auto"/>
                <w:sz w:val="22"/>
                <w:szCs w:val="24"/>
                <w:highlight w:val="none"/>
              </w:rPr>
            </w:pPr>
            <w:r>
              <w:rPr>
                <w:rFonts w:hint="eastAsia" w:ascii="宋体" w:hAnsi="宋体" w:eastAsia="宋体" w:cs="宋体"/>
                <w:color w:val="auto"/>
                <w:kern w:val="0"/>
                <w:sz w:val="22"/>
                <w:szCs w:val="24"/>
                <w:highlight w:val="none"/>
              </w:rPr>
              <w:t>报价唯一</w:t>
            </w:r>
          </w:p>
        </w:tc>
        <w:tc>
          <w:tcPr>
            <w:tcW w:w="7314" w:type="dxa"/>
            <w:tcBorders>
              <w:top w:val="single" w:color="000000" w:sz="4" w:space="0"/>
              <w:left w:val="nil"/>
              <w:bottom w:val="single" w:color="000000" w:sz="4" w:space="0"/>
              <w:right w:val="single" w:color="000000" w:sz="4" w:space="0"/>
            </w:tcBorders>
            <w:vAlign w:val="center"/>
          </w:tcPr>
          <w:p>
            <w:pPr>
              <w:wordWrap w:val="0"/>
              <w:autoSpaceDE w:val="0"/>
              <w:autoSpaceDN w:val="0"/>
              <w:adjustRightInd w:val="0"/>
              <w:spacing w:line="480" w:lineRule="exact"/>
              <w:rPr>
                <w:rFonts w:ascii="宋体" w:hAnsi="宋体" w:eastAsia="宋体" w:cs="宋体"/>
                <w:color w:val="auto"/>
                <w:sz w:val="22"/>
                <w:szCs w:val="24"/>
                <w:highlight w:val="none"/>
              </w:rPr>
            </w:pPr>
            <w:r>
              <w:rPr>
                <w:rFonts w:hint="eastAsia" w:ascii="宋体" w:hAnsi="宋体" w:eastAsia="宋体" w:cs="宋体"/>
                <w:color w:val="auto"/>
                <w:kern w:val="0"/>
                <w:sz w:val="22"/>
                <w:szCs w:val="24"/>
                <w:highlight w:val="none"/>
              </w:rPr>
              <w:t>只能有一个有效报价且不超最高限价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jc w:val="center"/>
        </w:trPr>
        <w:tc>
          <w:tcPr>
            <w:tcW w:w="2382" w:type="dxa"/>
            <w:tcBorders>
              <w:top w:val="single" w:color="000000" w:sz="4" w:space="0"/>
              <w:left w:val="single" w:color="auto" w:sz="4" w:space="0"/>
              <w:right w:val="single" w:color="000000" w:sz="4" w:space="0"/>
            </w:tcBorders>
            <w:vAlign w:val="center"/>
          </w:tcPr>
          <w:p>
            <w:pPr>
              <w:wordWrap w:val="0"/>
              <w:autoSpaceDE w:val="0"/>
              <w:autoSpaceDN w:val="0"/>
              <w:adjustRightInd w:val="0"/>
              <w:spacing w:line="480" w:lineRule="exact"/>
              <w:ind w:firstLine="660" w:firstLineChars="300"/>
              <w:rPr>
                <w:rFonts w:ascii="宋体" w:hAnsi="宋体" w:eastAsia="宋体" w:cs="宋体"/>
                <w:color w:val="auto"/>
                <w:kern w:val="0"/>
                <w:sz w:val="22"/>
                <w:szCs w:val="24"/>
                <w:highlight w:val="none"/>
              </w:rPr>
            </w:pPr>
            <w:r>
              <w:rPr>
                <w:rFonts w:hint="eastAsia" w:ascii="宋体" w:hAnsi="宋体" w:eastAsia="宋体" w:cs="宋体"/>
                <w:color w:val="auto"/>
                <w:kern w:val="0"/>
                <w:sz w:val="22"/>
                <w:szCs w:val="24"/>
                <w:highlight w:val="none"/>
              </w:rPr>
              <w:t>质量要求</w:t>
            </w:r>
          </w:p>
        </w:tc>
        <w:tc>
          <w:tcPr>
            <w:tcW w:w="7314" w:type="dxa"/>
            <w:tcBorders>
              <w:top w:val="single" w:color="000000" w:sz="4" w:space="0"/>
              <w:left w:val="nil"/>
              <w:bottom w:val="single" w:color="000000" w:sz="4" w:space="0"/>
              <w:right w:val="single" w:color="000000" w:sz="4" w:space="0"/>
            </w:tcBorders>
            <w:vAlign w:val="center"/>
          </w:tcPr>
          <w:p>
            <w:pPr>
              <w:spacing w:line="360" w:lineRule="auto"/>
              <w:rPr>
                <w:rFonts w:ascii="宋体" w:hAnsi="宋体" w:eastAsia="宋体" w:cs="宋体"/>
                <w:color w:val="auto"/>
                <w:kern w:val="0"/>
                <w:sz w:val="22"/>
                <w:szCs w:val="24"/>
                <w:highlight w:val="none"/>
              </w:rPr>
            </w:pPr>
            <w:r>
              <w:rPr>
                <w:rFonts w:hint="eastAsia" w:ascii="宋体" w:hAnsi="宋体" w:eastAsia="宋体" w:cs="宋体"/>
                <w:color w:val="auto"/>
                <w:kern w:val="0"/>
                <w:sz w:val="22"/>
                <w:szCs w:val="24"/>
                <w:highlight w:val="none"/>
              </w:rPr>
              <w:t>符合国家及行业相关规定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80" w:hRule="atLeast"/>
          <w:jc w:val="center"/>
        </w:trPr>
        <w:tc>
          <w:tcPr>
            <w:tcW w:w="2382" w:type="dxa"/>
            <w:tcBorders>
              <w:top w:val="single" w:color="000000" w:sz="4" w:space="0"/>
              <w:left w:val="single" w:color="auto" w:sz="4" w:space="0"/>
              <w:right w:val="single" w:color="000000" w:sz="4" w:space="0"/>
            </w:tcBorders>
            <w:vAlign w:val="center"/>
          </w:tcPr>
          <w:p>
            <w:pPr>
              <w:wordWrap w:val="0"/>
              <w:autoSpaceDE w:val="0"/>
              <w:autoSpaceDN w:val="0"/>
              <w:adjustRightInd w:val="0"/>
              <w:spacing w:line="480" w:lineRule="exact"/>
              <w:jc w:val="center"/>
              <w:rPr>
                <w:rFonts w:ascii="宋体" w:hAnsi="宋体" w:eastAsia="宋体" w:cs="宋体"/>
                <w:color w:val="auto"/>
                <w:sz w:val="22"/>
                <w:szCs w:val="24"/>
                <w:highlight w:val="none"/>
              </w:rPr>
            </w:pPr>
            <w:r>
              <w:rPr>
                <w:rFonts w:hint="eastAsia" w:ascii="宋体" w:hAnsi="宋体" w:eastAsia="宋体" w:cs="宋体"/>
                <w:color w:val="auto"/>
                <w:sz w:val="22"/>
                <w:szCs w:val="24"/>
                <w:highlight w:val="none"/>
                <w:lang w:val="en-US" w:eastAsia="zh-CN"/>
              </w:rPr>
              <w:t>服务期限</w:t>
            </w:r>
          </w:p>
        </w:tc>
        <w:tc>
          <w:tcPr>
            <w:tcW w:w="7314" w:type="dxa"/>
            <w:tcBorders>
              <w:top w:val="single" w:color="000000" w:sz="4" w:space="0"/>
              <w:left w:val="nil"/>
              <w:bottom w:val="single" w:color="000000" w:sz="4" w:space="0"/>
              <w:right w:val="single" w:color="000000" w:sz="4" w:space="0"/>
            </w:tcBorders>
            <w:vAlign w:val="center"/>
          </w:tcPr>
          <w:p>
            <w:pPr>
              <w:wordWrap w:val="0"/>
              <w:autoSpaceDE w:val="0"/>
              <w:autoSpaceDN w:val="0"/>
              <w:adjustRightInd w:val="0"/>
              <w:spacing w:line="480" w:lineRule="exact"/>
              <w:ind w:firstLine="440" w:firstLineChars="200"/>
              <w:rPr>
                <w:rFonts w:ascii="宋体" w:hAnsi="宋体" w:eastAsia="宋体" w:cs="宋体"/>
                <w:color w:val="auto"/>
                <w:kern w:val="0"/>
                <w:sz w:val="22"/>
                <w:szCs w:val="24"/>
                <w:highlight w:val="none"/>
              </w:rPr>
            </w:pPr>
            <w:r>
              <w:rPr>
                <w:rFonts w:hint="eastAsia" w:ascii="宋体" w:hAnsi="宋体" w:eastAsia="宋体" w:cs="宋体"/>
                <w:color w:val="auto"/>
                <w:kern w:val="0"/>
                <w:sz w:val="22"/>
                <w:szCs w:val="24"/>
                <w:highlight w:val="none"/>
                <w:lang w:val="en-US" w:eastAsia="zh-CN"/>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3" w:hRule="atLeast"/>
          <w:jc w:val="center"/>
        </w:trPr>
        <w:tc>
          <w:tcPr>
            <w:tcW w:w="2382" w:type="dxa"/>
            <w:tcBorders>
              <w:top w:val="single" w:color="000000" w:sz="4" w:space="0"/>
              <w:left w:val="single" w:color="auto" w:sz="4" w:space="0"/>
              <w:bottom w:val="single" w:color="000000" w:sz="4" w:space="0"/>
              <w:right w:val="single" w:color="000000" w:sz="4" w:space="0"/>
            </w:tcBorders>
            <w:vAlign w:val="center"/>
          </w:tcPr>
          <w:p>
            <w:pPr>
              <w:wordWrap w:val="0"/>
              <w:autoSpaceDE w:val="0"/>
              <w:autoSpaceDN w:val="0"/>
              <w:adjustRightInd w:val="0"/>
              <w:spacing w:line="480" w:lineRule="exact"/>
              <w:jc w:val="center"/>
              <w:rPr>
                <w:rFonts w:ascii="宋体" w:hAnsi="宋体" w:eastAsia="宋体" w:cs="宋体"/>
                <w:color w:val="auto"/>
                <w:sz w:val="22"/>
                <w:szCs w:val="24"/>
                <w:highlight w:val="none"/>
              </w:rPr>
            </w:pPr>
            <w:r>
              <w:rPr>
                <w:rFonts w:hint="eastAsia" w:ascii="宋体" w:hAnsi="宋体" w:eastAsia="宋体" w:cs="宋体"/>
                <w:color w:val="auto"/>
                <w:kern w:val="0"/>
                <w:sz w:val="22"/>
                <w:szCs w:val="24"/>
                <w:highlight w:val="none"/>
              </w:rPr>
              <w:t>投标有效期</w:t>
            </w:r>
          </w:p>
        </w:tc>
        <w:tc>
          <w:tcPr>
            <w:tcW w:w="7314" w:type="dxa"/>
            <w:tcBorders>
              <w:top w:val="single" w:color="000000" w:sz="4" w:space="0"/>
              <w:left w:val="nil"/>
              <w:bottom w:val="single" w:color="000000" w:sz="4" w:space="0"/>
              <w:right w:val="single" w:color="000000" w:sz="4" w:space="0"/>
            </w:tcBorders>
            <w:vAlign w:val="center"/>
          </w:tcPr>
          <w:p>
            <w:pPr>
              <w:wordWrap w:val="0"/>
              <w:autoSpaceDE w:val="0"/>
              <w:autoSpaceDN w:val="0"/>
              <w:adjustRightInd w:val="0"/>
              <w:spacing w:line="480" w:lineRule="exact"/>
              <w:rPr>
                <w:rFonts w:ascii="宋体" w:hAnsi="宋体" w:eastAsia="宋体" w:cs="宋体"/>
                <w:color w:val="auto"/>
                <w:kern w:val="0"/>
                <w:sz w:val="22"/>
                <w:szCs w:val="24"/>
                <w:highlight w:val="none"/>
              </w:rPr>
            </w:pPr>
            <w:r>
              <w:rPr>
                <w:rFonts w:hint="eastAsia" w:ascii="宋体" w:hAnsi="宋体" w:eastAsia="宋体" w:cs="宋体"/>
                <w:color w:val="auto"/>
                <w:kern w:val="0"/>
                <w:sz w:val="22"/>
                <w:szCs w:val="24"/>
                <w:highlight w:val="none"/>
              </w:rPr>
              <w:t>符合“60日历天”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5" w:hRule="atLeast"/>
          <w:jc w:val="center"/>
        </w:trPr>
        <w:tc>
          <w:tcPr>
            <w:tcW w:w="2382" w:type="dxa"/>
            <w:tcBorders>
              <w:top w:val="single" w:color="000000" w:sz="4" w:space="0"/>
              <w:left w:val="single" w:color="auto" w:sz="4" w:space="0"/>
              <w:right w:val="single" w:color="000000" w:sz="4" w:space="0"/>
            </w:tcBorders>
            <w:vAlign w:val="center"/>
          </w:tcPr>
          <w:p>
            <w:pPr>
              <w:wordWrap w:val="0"/>
              <w:autoSpaceDE w:val="0"/>
              <w:autoSpaceDN w:val="0"/>
              <w:adjustRightInd w:val="0"/>
              <w:spacing w:line="480" w:lineRule="exact"/>
              <w:jc w:val="center"/>
              <w:rPr>
                <w:rFonts w:ascii="宋体" w:hAnsi="宋体" w:eastAsia="宋体" w:cs="宋体"/>
                <w:color w:val="auto"/>
                <w:kern w:val="0"/>
                <w:sz w:val="22"/>
                <w:szCs w:val="24"/>
                <w:highlight w:val="none"/>
              </w:rPr>
            </w:pPr>
            <w:r>
              <w:rPr>
                <w:rFonts w:hint="eastAsia" w:ascii="宋体" w:hAnsi="宋体" w:eastAsia="宋体" w:cs="宋体"/>
                <w:color w:val="auto"/>
                <w:kern w:val="0"/>
                <w:sz w:val="22"/>
                <w:szCs w:val="24"/>
                <w:highlight w:val="none"/>
              </w:rPr>
              <w:t>其他</w:t>
            </w:r>
          </w:p>
        </w:tc>
        <w:tc>
          <w:tcPr>
            <w:tcW w:w="7314" w:type="dxa"/>
            <w:tcBorders>
              <w:top w:val="single" w:color="000000" w:sz="4" w:space="0"/>
              <w:left w:val="nil"/>
              <w:bottom w:val="single" w:color="000000" w:sz="4" w:space="0"/>
              <w:right w:val="single" w:color="000000" w:sz="4" w:space="0"/>
            </w:tcBorders>
            <w:vAlign w:val="center"/>
          </w:tcPr>
          <w:p>
            <w:pPr>
              <w:wordWrap w:val="0"/>
              <w:autoSpaceDE w:val="0"/>
              <w:autoSpaceDN w:val="0"/>
              <w:adjustRightInd w:val="0"/>
              <w:spacing w:line="480" w:lineRule="exact"/>
              <w:rPr>
                <w:rFonts w:ascii="宋体" w:hAnsi="宋体" w:eastAsia="宋体" w:cs="宋体"/>
                <w:color w:val="auto"/>
                <w:kern w:val="0"/>
                <w:sz w:val="22"/>
                <w:szCs w:val="24"/>
                <w:highlight w:val="none"/>
              </w:rPr>
            </w:pPr>
            <w:r>
              <w:rPr>
                <w:rFonts w:hint="eastAsia" w:ascii="宋体" w:hAnsi="宋体" w:eastAsia="宋体" w:cs="宋体"/>
                <w:color w:val="auto"/>
                <w:kern w:val="0"/>
                <w:sz w:val="22"/>
                <w:szCs w:val="24"/>
                <w:highlight w:val="none"/>
              </w:rPr>
              <w:t>招标文件要求的其他内容</w:t>
            </w:r>
          </w:p>
        </w:tc>
      </w:tr>
    </w:tbl>
    <w:p>
      <w:pPr>
        <w:spacing w:line="440" w:lineRule="exact"/>
        <w:ind w:firstLine="240" w:firstLineChars="100"/>
        <w:rPr>
          <w:rFonts w:ascii="宋体" w:hAnsi="宋体" w:eastAsia="宋体" w:cs="宋体"/>
          <w:color w:val="auto"/>
          <w:sz w:val="24"/>
          <w:szCs w:val="24"/>
          <w:highlight w:val="none"/>
        </w:rPr>
      </w:pPr>
    </w:p>
    <w:p>
      <w:pPr>
        <w:spacing w:line="440" w:lineRule="exact"/>
        <w:ind w:firstLine="424" w:firstLineChars="1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 详细评审</w:t>
      </w:r>
    </w:p>
    <w:p>
      <w:pPr>
        <w:spacing w:line="440" w:lineRule="exact"/>
        <w:ind w:firstLine="424" w:firstLineChars="177"/>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4.1政策落实</w:t>
      </w:r>
    </w:p>
    <w:p>
      <w:pPr>
        <w:spacing w:line="440" w:lineRule="exact"/>
        <w:ind w:firstLine="424" w:firstLineChars="177"/>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价格扣除：投标人为小微企业的，则给予该企业报价20%的扣除，用扣除后的价格参与评审。参加投标的小微企业，应当按照《政府采购促进中小企业发展管理办法》（财库〔2020〕46号）的规定提供《中小微企业声明函》（中小企业划型标准详见《关于印发中小企业划型标准规定的通知》工信部联企业〔2011〕300号）。投标人为大型企业的不适用本款规定。投标人为联合体的，联合体各方均应为小微企业，否则不适用本款规定。</w:t>
      </w:r>
    </w:p>
    <w:p>
      <w:pPr>
        <w:spacing w:line="440" w:lineRule="exact"/>
        <w:ind w:firstLine="424" w:firstLineChars="177"/>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财政部司法部《关于政府采购支持监狱企业发展有关问题的通知》（财库〔2014〕68号）和财政部民政部中国残疾人联合会《关于促进残疾人就业政府采购政策的通知》（财库〔2017〕141号）规定，本项目对监狱企业、残疾人福利企业作为投标人所提供的本企业生产的产品的价格给予20%的扣除。</w:t>
      </w:r>
    </w:p>
    <w:p>
      <w:pPr>
        <w:spacing w:line="440" w:lineRule="exact"/>
        <w:ind w:firstLine="424" w:firstLineChars="177"/>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所投小微（监狱、残疾人福利）企业产品报价=所投小微（监狱、残疾人福利）企业产品报价合计×（1-20%）</w:t>
      </w:r>
    </w:p>
    <w:p>
      <w:pPr>
        <w:spacing w:line="440" w:lineRule="exact"/>
        <w:ind w:firstLine="424" w:firstLineChars="1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同一投标人，小微企业产品企业产品价格扣除优惠只享受一次，不得重复享受。</w:t>
      </w:r>
    </w:p>
    <w:p>
      <w:pPr>
        <w:snapToGrid w:val="0"/>
        <w:spacing w:line="440" w:lineRule="exact"/>
        <w:ind w:right="-283" w:rightChars="-135"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满足招标文件要求且价格最低的报价为评标基准价，其价格分为满分（即</w:t>
      </w:r>
      <w:r>
        <w:rPr>
          <w:rFonts w:hint="eastAsia" w:ascii="宋体" w:hAnsi="宋体" w:eastAsia="宋体" w:cs="宋体"/>
          <w:bCs/>
          <w:color w:val="auto"/>
          <w:sz w:val="24"/>
          <w:szCs w:val="24"/>
          <w:highlight w:val="none"/>
          <w:lang w:val="en-US" w:eastAsia="zh-CN"/>
        </w:rPr>
        <w:t>15</w:t>
      </w:r>
      <w:r>
        <w:rPr>
          <w:rFonts w:hint="eastAsia" w:ascii="宋体" w:hAnsi="宋体" w:eastAsia="宋体" w:cs="宋体"/>
          <w:bCs/>
          <w:color w:val="auto"/>
          <w:sz w:val="24"/>
          <w:szCs w:val="24"/>
          <w:highlight w:val="none"/>
        </w:rPr>
        <w:t>分）。其他投标人的价格分统一按照下列公式计算：报价得分=(评标基准价／报价)×价格权值（</w:t>
      </w:r>
      <w:r>
        <w:rPr>
          <w:rFonts w:hint="eastAsia" w:ascii="宋体" w:hAnsi="宋体" w:eastAsia="宋体" w:cs="宋体"/>
          <w:bCs/>
          <w:color w:val="auto"/>
          <w:sz w:val="24"/>
          <w:szCs w:val="24"/>
          <w:highlight w:val="none"/>
          <w:lang w:val="en-US" w:eastAsia="zh-CN"/>
        </w:rPr>
        <w:t>15</w:t>
      </w:r>
      <w:r>
        <w:rPr>
          <w:rFonts w:hint="eastAsia" w:ascii="宋体" w:hAnsi="宋体" w:eastAsia="宋体" w:cs="宋体"/>
          <w:bCs/>
          <w:color w:val="auto"/>
          <w:sz w:val="24"/>
          <w:szCs w:val="24"/>
          <w:highlight w:val="none"/>
        </w:rPr>
        <w:t>分）</w:t>
      </w:r>
    </w:p>
    <w:p>
      <w:pPr>
        <w:pStyle w:val="171"/>
        <w:ind w:left="120" w:right="0"/>
        <w:rPr>
          <w:rFonts w:hint="default" w:ascii="Times New Roman" w:hAnsi="Times New Roman" w:eastAsia="宋体" w:cs="Times New Roman"/>
          <w:color w:val="auto"/>
          <w:sz w:val="24"/>
          <w:szCs w:val="30"/>
          <w:highlight w:val="none"/>
          <w:lang w:val="zh-CN" w:eastAsia="zh-CN"/>
        </w:rPr>
      </w:pPr>
      <w:r>
        <w:rPr>
          <w:rFonts w:hint="default" w:ascii="Times New Roman" w:hAnsi="Times New Roman" w:eastAsia="宋体" w:cs="Times New Roman"/>
          <w:color w:val="auto"/>
          <w:sz w:val="24"/>
          <w:szCs w:val="30"/>
          <w:highlight w:val="none"/>
          <w:lang w:val="zh-CN" w:eastAsia="zh-CN"/>
        </w:rPr>
        <w:t>评标办法分值表（评审量化因素）</w:t>
      </w:r>
    </w:p>
    <w:tbl>
      <w:tblPr>
        <w:tblStyle w:val="35"/>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5"/>
        <w:gridCol w:w="1254"/>
        <w:gridCol w:w="6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5" w:hRule="exact"/>
        </w:trPr>
        <w:tc>
          <w:tcPr>
            <w:tcW w:w="1885" w:type="dxa"/>
            <w:noWrap w:val="0"/>
            <w:vAlign w:val="top"/>
          </w:tcPr>
          <w:p>
            <w:pPr>
              <w:pStyle w:val="144"/>
              <w:spacing w:before="40"/>
              <w:ind w:left="57" w:right="57"/>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条款内容</w:t>
            </w:r>
          </w:p>
        </w:tc>
        <w:tc>
          <w:tcPr>
            <w:tcW w:w="7471" w:type="dxa"/>
            <w:gridSpan w:val="2"/>
            <w:noWrap w:val="0"/>
            <w:vAlign w:val="top"/>
          </w:tcPr>
          <w:p>
            <w:pPr>
              <w:pStyle w:val="144"/>
              <w:spacing w:before="40"/>
              <w:ind w:left="1685" w:right="1685"/>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53" w:hRule="exact"/>
        </w:trPr>
        <w:tc>
          <w:tcPr>
            <w:tcW w:w="1885" w:type="dxa"/>
            <w:noWrap w:val="0"/>
            <w:vAlign w:val="top"/>
          </w:tcPr>
          <w:p>
            <w:pPr>
              <w:pStyle w:val="144"/>
              <w:rPr>
                <w:rFonts w:hint="default" w:ascii="Times New Roman" w:hAnsi="Times New Roman" w:cs="Times New Roman"/>
                <w:b/>
                <w:color w:val="auto"/>
                <w:sz w:val="20"/>
                <w:highlight w:val="none"/>
                <w:lang w:eastAsia="zh-CN"/>
              </w:rPr>
            </w:pPr>
          </w:p>
          <w:p>
            <w:pPr>
              <w:pStyle w:val="144"/>
              <w:spacing w:before="9"/>
              <w:rPr>
                <w:rFonts w:hint="default" w:ascii="Times New Roman" w:hAnsi="Times New Roman" w:cs="Times New Roman"/>
                <w:b/>
                <w:color w:val="auto"/>
                <w:sz w:val="11"/>
                <w:highlight w:val="none"/>
                <w:lang w:eastAsia="zh-CN"/>
              </w:rPr>
            </w:pPr>
          </w:p>
          <w:p>
            <w:pPr>
              <w:pStyle w:val="144"/>
              <w:ind w:left="58" w:right="55"/>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分值构成：</w:t>
            </w:r>
          </w:p>
          <w:p>
            <w:pPr>
              <w:pStyle w:val="144"/>
              <w:ind w:left="58" w:right="55"/>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Cs w:val="18"/>
                <w:highlight w:val="none"/>
                <w:lang w:eastAsia="zh-CN"/>
              </w:rPr>
              <w:t>投标报价+技术方案标+商务部分</w:t>
            </w:r>
            <w:r>
              <w:rPr>
                <w:rFonts w:hint="default" w:ascii="Times New Roman" w:hAnsi="Times New Roman" w:cs="Times New Roman"/>
                <w:color w:val="auto"/>
                <w:sz w:val="21"/>
                <w:highlight w:val="none"/>
                <w:lang w:eastAsia="zh-CN"/>
              </w:rPr>
              <w:t>(总分100 分)</w:t>
            </w:r>
          </w:p>
        </w:tc>
        <w:tc>
          <w:tcPr>
            <w:tcW w:w="7471" w:type="dxa"/>
            <w:gridSpan w:val="2"/>
            <w:noWrap w:val="0"/>
            <w:vAlign w:val="center"/>
          </w:tcPr>
          <w:p>
            <w:pPr>
              <w:pStyle w:val="144"/>
              <w:spacing w:before="107"/>
              <w:ind w:left="103" w:right="87"/>
              <w:rPr>
                <w:rFonts w:hint="default" w:ascii="Times New Roman" w:hAnsi="Times New Roman" w:cs="Times New Roman"/>
                <w:b/>
                <w:color w:val="auto"/>
                <w:sz w:val="21"/>
                <w:highlight w:val="none"/>
                <w:u w:val="single"/>
                <w:lang w:eastAsia="zh-CN"/>
              </w:rPr>
            </w:pPr>
            <w:r>
              <w:rPr>
                <w:rFonts w:hint="default" w:ascii="Times New Roman" w:hAnsi="Times New Roman" w:cs="Times New Roman"/>
                <w:b/>
                <w:color w:val="auto"/>
                <w:sz w:val="21"/>
                <w:highlight w:val="none"/>
                <w:lang w:eastAsia="zh-CN"/>
              </w:rPr>
              <w:t>商务部分：</w:t>
            </w:r>
            <w:r>
              <w:rPr>
                <w:rFonts w:hint="default" w:ascii="Times New Roman" w:hAnsi="Times New Roman" w:cs="Times New Roman"/>
                <w:b/>
                <w:color w:val="auto"/>
                <w:sz w:val="21"/>
                <w:highlight w:val="none"/>
                <w:u w:val="single"/>
                <w:lang w:eastAsia="zh-CN"/>
              </w:rPr>
              <w:t>5</w:t>
            </w:r>
            <w:r>
              <w:rPr>
                <w:rFonts w:hint="default" w:ascii="Times New Roman" w:hAnsi="Times New Roman" w:cs="Times New Roman"/>
                <w:b/>
                <w:color w:val="auto"/>
                <w:sz w:val="21"/>
                <w:highlight w:val="none"/>
                <w:u w:val="single"/>
                <w:lang w:val="en-US" w:eastAsia="zh-CN"/>
              </w:rPr>
              <w:t>0</w:t>
            </w:r>
            <w:r>
              <w:rPr>
                <w:rFonts w:hint="default" w:ascii="Times New Roman" w:hAnsi="Times New Roman" w:cs="Times New Roman"/>
                <w:b/>
                <w:color w:val="auto"/>
                <w:sz w:val="21"/>
                <w:highlight w:val="none"/>
                <w:lang w:eastAsia="zh-CN"/>
              </w:rPr>
              <w:t>分</w:t>
            </w:r>
          </w:p>
          <w:p>
            <w:pPr>
              <w:pStyle w:val="144"/>
              <w:spacing w:before="107"/>
              <w:ind w:left="103" w:right="87"/>
              <w:rPr>
                <w:rFonts w:hint="default" w:ascii="Times New Roman" w:hAnsi="Times New Roman" w:cs="Times New Roman"/>
                <w:b/>
                <w:color w:val="auto"/>
                <w:sz w:val="21"/>
                <w:highlight w:val="none"/>
                <w:lang w:eastAsia="zh-CN"/>
              </w:rPr>
            </w:pPr>
            <w:r>
              <w:rPr>
                <w:rFonts w:hint="default" w:ascii="Times New Roman" w:hAnsi="Times New Roman" w:cs="Times New Roman"/>
                <w:b/>
                <w:color w:val="auto"/>
                <w:sz w:val="21"/>
                <w:highlight w:val="none"/>
                <w:lang w:eastAsia="zh-CN"/>
              </w:rPr>
              <w:t>技术方案：</w:t>
            </w:r>
            <w:r>
              <w:rPr>
                <w:rFonts w:hint="default" w:ascii="Times New Roman" w:hAnsi="Times New Roman" w:cs="Times New Roman"/>
                <w:b/>
                <w:color w:val="auto"/>
                <w:sz w:val="21"/>
                <w:highlight w:val="none"/>
                <w:u w:val="single"/>
                <w:lang w:eastAsia="zh-CN"/>
              </w:rPr>
              <w:t>3</w:t>
            </w:r>
            <w:r>
              <w:rPr>
                <w:rFonts w:hint="eastAsia" w:ascii="Times New Roman" w:hAnsi="Times New Roman" w:cs="Times New Roman"/>
                <w:b/>
                <w:color w:val="auto"/>
                <w:sz w:val="21"/>
                <w:highlight w:val="none"/>
                <w:u w:val="single"/>
                <w:lang w:val="en-US" w:eastAsia="zh-CN"/>
              </w:rPr>
              <w:t>0</w:t>
            </w:r>
            <w:r>
              <w:rPr>
                <w:rFonts w:hint="default" w:ascii="Times New Roman" w:hAnsi="Times New Roman" w:cs="Times New Roman"/>
                <w:b/>
                <w:color w:val="auto"/>
                <w:sz w:val="21"/>
                <w:highlight w:val="none"/>
                <w:lang w:eastAsia="zh-CN"/>
              </w:rPr>
              <w:t>分</w:t>
            </w:r>
          </w:p>
          <w:p>
            <w:pPr>
              <w:pStyle w:val="144"/>
              <w:spacing w:before="107"/>
              <w:ind w:left="103" w:right="87"/>
              <w:rPr>
                <w:rFonts w:hint="default" w:ascii="Times New Roman" w:hAnsi="Times New Roman" w:cs="Times New Roman"/>
                <w:color w:val="auto"/>
                <w:sz w:val="21"/>
                <w:highlight w:val="none"/>
                <w:lang w:eastAsia="zh-CN"/>
              </w:rPr>
            </w:pPr>
            <w:r>
              <w:rPr>
                <w:rFonts w:hint="default" w:ascii="Times New Roman" w:hAnsi="Times New Roman" w:cs="Times New Roman"/>
                <w:b/>
                <w:color w:val="auto"/>
                <w:sz w:val="21"/>
                <w:highlight w:val="none"/>
                <w:lang w:eastAsia="zh-CN"/>
              </w:rPr>
              <w:t>投标报价：</w:t>
            </w:r>
            <w:r>
              <w:rPr>
                <w:rFonts w:hint="eastAsia" w:ascii="Times New Roman" w:hAnsi="Times New Roman" w:cs="Times New Roman"/>
                <w:b/>
                <w:color w:val="auto"/>
                <w:sz w:val="21"/>
                <w:highlight w:val="none"/>
                <w:u w:val="single"/>
                <w:lang w:val="en-US" w:eastAsia="zh-CN"/>
              </w:rPr>
              <w:t>20</w:t>
            </w:r>
            <w:r>
              <w:rPr>
                <w:rFonts w:hint="default" w:ascii="Times New Roman" w:hAnsi="Times New Roman" w:cs="Times New Roman"/>
                <w:b/>
                <w:color w:val="auto"/>
                <w:sz w:val="21"/>
                <w:highlight w:val="non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47" w:hRule="exact"/>
        </w:trPr>
        <w:tc>
          <w:tcPr>
            <w:tcW w:w="1885" w:type="dxa"/>
            <w:noWrap w:val="0"/>
            <w:vAlign w:val="center"/>
          </w:tcPr>
          <w:p>
            <w:pPr>
              <w:pStyle w:val="144"/>
              <w:spacing w:before="107"/>
              <w:ind w:left="58" w:right="55"/>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rPr>
              <w:t>评标基准价</w:t>
            </w:r>
          </w:p>
          <w:p>
            <w:pPr>
              <w:pStyle w:val="144"/>
              <w:spacing w:before="107"/>
              <w:ind w:left="58" w:right="55"/>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计算方法</w:t>
            </w:r>
          </w:p>
        </w:tc>
        <w:tc>
          <w:tcPr>
            <w:tcW w:w="7471" w:type="dxa"/>
            <w:gridSpan w:val="2"/>
            <w:noWrap w:val="0"/>
            <w:vAlign w:val="center"/>
          </w:tcPr>
          <w:p>
            <w:pPr>
              <w:pStyle w:val="144"/>
              <w:spacing w:before="107"/>
              <w:ind w:left="58" w:right="55"/>
              <w:rPr>
                <w:rFonts w:hint="default" w:ascii="Times New Roman" w:hAnsi="Times New Roman" w:cs="Times New Roman"/>
                <w:color w:val="auto"/>
                <w:sz w:val="21"/>
                <w:highlight w:val="none"/>
                <w:lang w:eastAsia="zh-CN"/>
              </w:rPr>
            </w:pPr>
            <w:r>
              <w:rPr>
                <w:rFonts w:hint="default" w:ascii="Times New Roman" w:hAnsi="Times New Roman" w:cs="Times New Roman"/>
                <w:color w:val="auto"/>
                <w:highlight w:val="none"/>
                <w:lang w:eastAsia="zh-CN"/>
              </w:rPr>
              <w:t>评标基准值=各有效投标人的最低投标报价；</w:t>
            </w:r>
          </w:p>
          <w:p>
            <w:pPr>
              <w:pStyle w:val="144"/>
              <w:spacing w:before="107"/>
              <w:ind w:left="58" w:right="55"/>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有效投标报价：通过初步评审（形式评审、资格评审、响应性评审）的投标人的投标报价。</w:t>
            </w:r>
          </w:p>
          <w:p>
            <w:pPr>
              <w:pStyle w:val="144"/>
              <w:spacing w:before="107"/>
              <w:ind w:left="58" w:right="55"/>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b/>
                <w:color w:val="auto"/>
                <w:highlight w:val="none"/>
                <w:lang w:eastAsia="zh-CN"/>
              </w:rPr>
              <w:t>低于成本的报价、恶意竞标的报价，投标人应作出书面说明并提供相应的证明材料。投标人不能合理说明或者不能提供相应证明材料的评标委员会将会否决其投标。</w:t>
            </w:r>
            <w:r>
              <w:rPr>
                <w:rFonts w:hint="default" w:ascii="Times New Roman" w:hAnsi="Times New Roman" w:cs="Times New Roman"/>
                <w:color w:val="auto"/>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802" w:hRule="exact"/>
        </w:trPr>
        <w:tc>
          <w:tcPr>
            <w:tcW w:w="1885" w:type="dxa"/>
            <w:noWrap w:val="0"/>
            <w:vAlign w:val="center"/>
          </w:tcPr>
          <w:p>
            <w:pPr>
              <w:pStyle w:val="144"/>
              <w:spacing w:before="12" w:line="440" w:lineRule="exact"/>
              <w:ind w:left="425" w:right="373" w:hanging="284"/>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投标报价</w:t>
            </w:r>
          </w:p>
          <w:p>
            <w:pPr>
              <w:pStyle w:val="144"/>
              <w:spacing w:before="12" w:line="440" w:lineRule="exact"/>
              <w:ind w:left="425" w:right="373" w:hanging="284"/>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评分标准</w:t>
            </w:r>
          </w:p>
          <w:p>
            <w:pPr>
              <w:pStyle w:val="144"/>
              <w:spacing w:before="12" w:line="440" w:lineRule="exact"/>
              <w:ind w:left="425" w:right="373" w:hanging="284"/>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w:t>
            </w:r>
            <w:r>
              <w:rPr>
                <w:rFonts w:hint="eastAsia" w:ascii="Times New Roman" w:hAnsi="Times New Roman" w:cs="Times New Roman"/>
                <w:color w:val="auto"/>
                <w:sz w:val="21"/>
                <w:highlight w:val="none"/>
                <w:lang w:val="en-US" w:eastAsia="zh-CN"/>
              </w:rPr>
              <w:t>20</w:t>
            </w:r>
            <w:r>
              <w:rPr>
                <w:rFonts w:hint="default" w:ascii="Times New Roman" w:hAnsi="Times New Roman" w:cs="Times New Roman"/>
                <w:color w:val="auto"/>
                <w:sz w:val="21"/>
                <w:highlight w:val="none"/>
                <w:lang w:eastAsia="zh-CN"/>
              </w:rPr>
              <w:t>分）</w:t>
            </w:r>
          </w:p>
        </w:tc>
        <w:tc>
          <w:tcPr>
            <w:tcW w:w="7471" w:type="dxa"/>
            <w:gridSpan w:val="2"/>
            <w:noWrap w:val="0"/>
            <w:vAlign w:val="top"/>
          </w:tcPr>
          <w:p>
            <w:pPr>
              <w:pStyle w:val="144"/>
              <w:spacing w:before="107"/>
              <w:ind w:left="58" w:right="55"/>
              <w:rPr>
                <w:rFonts w:hint="default" w:ascii="Times New Roman" w:hAnsi="Times New Roman" w:cs="Times New Roman"/>
                <w:color w:val="auto"/>
                <w:kern w:val="2"/>
                <w:sz w:val="21"/>
                <w:highlight w:val="none"/>
                <w:lang w:eastAsia="zh-CN"/>
              </w:rPr>
            </w:pPr>
            <w:r>
              <w:rPr>
                <w:rFonts w:hint="default" w:ascii="Times New Roman" w:hAnsi="Times New Roman" w:cs="Times New Roman"/>
                <w:color w:val="auto"/>
                <w:kern w:val="2"/>
                <w:sz w:val="21"/>
                <w:highlight w:val="none"/>
                <w:lang w:eastAsia="zh-CN"/>
              </w:rPr>
              <w:t>计算公式：</w:t>
            </w:r>
          </w:p>
          <w:p>
            <w:pPr>
              <w:pStyle w:val="144"/>
              <w:spacing w:before="107"/>
              <w:ind w:left="58" w:right="55"/>
              <w:rPr>
                <w:rFonts w:hint="default" w:ascii="Times New Roman" w:hAnsi="Times New Roman" w:cs="Times New Roman"/>
                <w:color w:val="auto"/>
                <w:kern w:val="2"/>
                <w:sz w:val="21"/>
                <w:highlight w:val="none"/>
                <w:lang w:eastAsia="zh-CN"/>
              </w:rPr>
            </w:pPr>
            <w:r>
              <w:rPr>
                <w:rFonts w:hint="default" w:ascii="Times New Roman" w:hAnsi="Times New Roman" w:cs="Times New Roman"/>
                <w:color w:val="auto"/>
                <w:szCs w:val="21"/>
                <w:highlight w:val="none"/>
                <w:lang w:eastAsia="zh-CN"/>
              </w:rPr>
              <w:t>投标报价得分=</w:t>
            </w:r>
            <w:r>
              <w:rPr>
                <w:rFonts w:hint="eastAsia"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lang w:eastAsia="zh-CN"/>
              </w:rPr>
              <w:t>×(评标基准价÷投标报价)</w:t>
            </w:r>
          </w:p>
          <w:p>
            <w:pPr>
              <w:pStyle w:val="18"/>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注：（1）得分四舍五入保留2位小数。</w:t>
            </w:r>
          </w:p>
          <w:p>
            <w:pPr>
              <w:pStyle w:val="18"/>
              <w:numPr>
                <w:ilvl w:val="0"/>
                <w:numId w:val="4"/>
              </w:numPr>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rPr>
              <w:t>投标人的投标报价明显低于其他投标报价，投标人应作出书面说明并提供相应的证明材料。投标人不能合理说明或者不能提供相应证明材料的，由评标委员会认定该投标人以低于成本报价竞标，其投标将被否决。</w:t>
            </w:r>
            <w:r>
              <w:rPr>
                <w:rFonts w:hint="eastAsia" w:cs="Times New Roman"/>
                <w:color w:val="auto"/>
                <w:highlight w:val="none"/>
                <w:lang w:val="en-US" w:eastAsia="zh-CN"/>
              </w:rPr>
              <w:t xml:space="preserve">   </w:t>
            </w:r>
          </w:p>
          <w:p>
            <w:pPr>
              <w:pStyle w:val="18"/>
              <w:numPr>
                <w:ilvl w:val="0"/>
                <w:numId w:val="4"/>
              </w:numPr>
              <w:ind w:firstLine="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注：对</w:t>
            </w:r>
            <w:r>
              <w:rPr>
                <w:rFonts w:hint="eastAsia" w:cs="Times New Roman"/>
                <w:color w:val="auto"/>
                <w:highlight w:val="none"/>
                <w:lang w:val="en-US" w:eastAsia="zh-CN"/>
              </w:rPr>
              <w:t>小微</w:t>
            </w:r>
            <w:r>
              <w:rPr>
                <w:rFonts w:hint="default" w:ascii="Times New Roman" w:hAnsi="Times New Roman" w:cs="Times New Roman"/>
                <w:color w:val="auto"/>
                <w:highlight w:val="none"/>
                <w:lang w:val="en-US" w:eastAsia="zh-CN"/>
              </w:rPr>
              <w:t>企业的价格给予20%的扣除，用扣除后的价格参与评审，须提供《中小企业声明函》。</w:t>
            </w:r>
          </w:p>
          <w:p>
            <w:pPr>
              <w:pStyle w:val="18"/>
              <w:numPr>
                <w:ilvl w:val="0"/>
                <w:numId w:val="0"/>
              </w:numPr>
              <w:ind w:leftChars="200"/>
              <w:rPr>
                <w:rFonts w:hint="default" w:ascii="Times New Roman" w:hAnsi="Times New Roman" w:cs="Times New Roman"/>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5" w:hRule="exact"/>
        </w:trPr>
        <w:tc>
          <w:tcPr>
            <w:tcW w:w="1885" w:type="dxa"/>
            <w:vMerge w:val="restart"/>
            <w:noWrap w:val="0"/>
            <w:vAlign w:val="center"/>
          </w:tcPr>
          <w:p>
            <w:pPr>
              <w:pStyle w:val="144"/>
              <w:spacing w:before="12" w:line="440" w:lineRule="exact"/>
              <w:ind w:left="425" w:right="373" w:hanging="284"/>
              <w:jc w:val="center"/>
              <w:rPr>
                <w:rFonts w:hint="default" w:ascii="Times New Roman" w:hAnsi="Times New Roman" w:cs="Times New Roman"/>
                <w:b w:val="0"/>
                <w:bCs w:val="0"/>
                <w:color w:val="auto"/>
                <w:sz w:val="21"/>
                <w:highlight w:val="none"/>
                <w:lang w:eastAsia="zh-CN"/>
              </w:rPr>
            </w:pPr>
            <w:r>
              <w:rPr>
                <w:rFonts w:hint="default" w:ascii="Times New Roman" w:hAnsi="Times New Roman" w:cs="Times New Roman"/>
                <w:b w:val="0"/>
                <w:bCs w:val="0"/>
                <w:color w:val="auto"/>
                <w:sz w:val="21"/>
                <w:highlight w:val="none"/>
                <w:lang w:eastAsia="zh-CN"/>
              </w:rPr>
              <w:t>技术方案</w:t>
            </w:r>
          </w:p>
          <w:p>
            <w:pPr>
              <w:pStyle w:val="144"/>
              <w:spacing w:before="12" w:line="440" w:lineRule="exact"/>
              <w:ind w:left="425" w:right="373" w:hanging="284"/>
              <w:jc w:val="center"/>
              <w:rPr>
                <w:rFonts w:hint="default" w:ascii="Times New Roman" w:hAnsi="Times New Roman" w:cs="Times New Roman"/>
                <w:b w:val="0"/>
                <w:bCs w:val="0"/>
                <w:color w:val="auto"/>
                <w:sz w:val="21"/>
                <w:highlight w:val="none"/>
                <w:lang w:eastAsia="zh-CN"/>
              </w:rPr>
            </w:pPr>
            <w:r>
              <w:rPr>
                <w:rFonts w:hint="default" w:ascii="Times New Roman" w:hAnsi="Times New Roman" w:cs="Times New Roman"/>
                <w:b w:val="0"/>
                <w:bCs w:val="0"/>
                <w:color w:val="auto"/>
                <w:sz w:val="21"/>
                <w:highlight w:val="none"/>
                <w:lang w:eastAsia="zh-CN"/>
              </w:rPr>
              <w:t>评分标准</w:t>
            </w:r>
          </w:p>
          <w:p>
            <w:pPr>
              <w:pStyle w:val="144"/>
              <w:spacing w:before="12" w:line="440" w:lineRule="exact"/>
              <w:ind w:left="425" w:right="373" w:hanging="284"/>
              <w:jc w:val="center"/>
              <w:rPr>
                <w:rFonts w:hint="default" w:ascii="Times New Roman" w:hAnsi="Times New Roman" w:cs="Times New Roman"/>
                <w:b w:val="0"/>
                <w:bCs w:val="0"/>
                <w:color w:val="auto"/>
                <w:sz w:val="21"/>
                <w:highlight w:val="none"/>
                <w:lang w:eastAsia="zh-CN"/>
              </w:rPr>
            </w:pPr>
            <w:r>
              <w:rPr>
                <w:rFonts w:hint="default" w:ascii="Times New Roman" w:hAnsi="Times New Roman" w:cs="Times New Roman"/>
                <w:b w:val="0"/>
                <w:bCs w:val="0"/>
                <w:color w:val="auto"/>
                <w:sz w:val="21"/>
                <w:highlight w:val="none"/>
                <w:lang w:eastAsia="zh-CN"/>
              </w:rPr>
              <w:t>（</w:t>
            </w:r>
            <w:r>
              <w:rPr>
                <w:rFonts w:hint="eastAsia" w:ascii="Times New Roman" w:hAnsi="Times New Roman" w:cs="Times New Roman"/>
                <w:b w:val="0"/>
                <w:bCs w:val="0"/>
                <w:color w:val="auto"/>
                <w:sz w:val="21"/>
                <w:highlight w:val="none"/>
                <w:lang w:val="en-US" w:eastAsia="zh-CN"/>
              </w:rPr>
              <w:t>50</w:t>
            </w:r>
            <w:r>
              <w:rPr>
                <w:rFonts w:hint="default" w:ascii="Times New Roman" w:hAnsi="Times New Roman" w:cs="Times New Roman"/>
                <w:b w:val="0"/>
                <w:bCs w:val="0"/>
                <w:color w:val="auto"/>
                <w:sz w:val="21"/>
                <w:highlight w:val="none"/>
                <w:lang w:eastAsia="zh-CN"/>
              </w:rPr>
              <w:t>分）</w:t>
            </w:r>
          </w:p>
        </w:tc>
        <w:tc>
          <w:tcPr>
            <w:tcW w:w="1254" w:type="dxa"/>
            <w:noWrap w:val="0"/>
            <w:vAlign w:val="center"/>
          </w:tcPr>
          <w:p>
            <w:pPr>
              <w:keepNext w:val="0"/>
              <w:keepLines w:val="0"/>
              <w:widowControl/>
              <w:suppressLineNumbers w:val="0"/>
              <w:jc w:val="left"/>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 xml:space="preserve">地块土壤污 </w:t>
            </w:r>
          </w:p>
          <w:p>
            <w:pPr>
              <w:keepNext w:val="0"/>
              <w:keepLines w:val="0"/>
              <w:widowControl/>
              <w:suppressLineNumbers w:val="0"/>
              <w:jc w:val="left"/>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 xml:space="preserve">染状况调查 </w:t>
            </w:r>
          </w:p>
          <w:p>
            <w:pPr>
              <w:keepNext w:val="0"/>
              <w:keepLines w:val="0"/>
              <w:widowControl/>
              <w:suppressLineNumbers w:val="0"/>
              <w:jc w:val="left"/>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 xml:space="preserve">及风险评估 </w:t>
            </w:r>
          </w:p>
          <w:p>
            <w:pPr>
              <w:keepNext w:val="0"/>
              <w:keepLines w:val="0"/>
              <w:widowControl/>
              <w:suppressLineNumbers w:val="0"/>
              <w:jc w:val="left"/>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 xml:space="preserve">技术方案 </w:t>
            </w:r>
          </w:p>
          <w:p>
            <w:pPr>
              <w:keepNext w:val="0"/>
              <w:keepLines w:val="0"/>
              <w:widowControl/>
              <w:suppressLineNumbers w:val="0"/>
              <w:jc w:val="left"/>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（1</w:t>
            </w:r>
            <w:r>
              <w:rPr>
                <w:rFonts w:hint="eastAsia" w:ascii="Times New Roman" w:hAnsi="Times New Roman" w:eastAsia="宋体" w:cs="Times New Roman"/>
                <w:b w:val="0"/>
                <w:bCs w:val="0"/>
                <w:color w:val="auto"/>
                <w:kern w:val="0"/>
                <w:sz w:val="21"/>
                <w:szCs w:val="21"/>
                <w:highlight w:val="none"/>
                <w:lang w:val="en-US" w:eastAsia="zh-CN" w:bidi="ar"/>
              </w:rPr>
              <w:t>5</w:t>
            </w:r>
            <w:r>
              <w:rPr>
                <w:rFonts w:hint="default" w:ascii="Times New Roman" w:hAnsi="Times New Roman" w:eastAsia="宋体" w:cs="Times New Roman"/>
                <w:b w:val="0"/>
                <w:bCs w:val="0"/>
                <w:color w:val="auto"/>
                <w:kern w:val="0"/>
                <w:sz w:val="21"/>
                <w:szCs w:val="21"/>
                <w:highlight w:val="none"/>
                <w:lang w:val="en-US" w:eastAsia="zh-CN" w:bidi="ar"/>
              </w:rPr>
              <w:t>分）</w:t>
            </w:r>
          </w:p>
          <w:p>
            <w:pPr>
              <w:spacing w:line="400" w:lineRule="exact"/>
              <w:jc w:val="center"/>
              <w:rPr>
                <w:rFonts w:hint="default" w:ascii="Times New Roman" w:hAnsi="Times New Roman" w:cs="Times New Roman"/>
                <w:b w:val="0"/>
                <w:bCs w:val="0"/>
                <w:color w:val="auto"/>
                <w:sz w:val="21"/>
                <w:szCs w:val="21"/>
                <w:highlight w:val="none"/>
              </w:rPr>
            </w:pPr>
          </w:p>
        </w:tc>
        <w:tc>
          <w:tcPr>
            <w:tcW w:w="6217" w:type="dxa"/>
            <w:noWrap w:val="0"/>
            <w:vAlign w:val="center"/>
          </w:tcPr>
          <w:p>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须依据国家现行《建设用地土壤污染状况调查技术导则》、《建设用地土壤污染风险管控和修复监测技术导则》、《建设用地土壤污染风险评估技术导则》、《工业企业场地环境调查评估与修复工作指南(试行)》等导则标准制定针对本项目地块土壤污染状况调查技术方案。 地块土壤污染状况调查技术方案全面完善、科学合理、规范程度高的得 1</w:t>
            </w:r>
            <w:r>
              <w:rPr>
                <w:rFonts w:hint="eastAsia" w:ascii="Times New Roman" w:hAnsi="Times New Roman" w:eastAsia="宋体" w:cs="Times New Roman"/>
                <w:color w:val="auto"/>
                <w:kern w:val="2"/>
                <w:sz w:val="21"/>
                <w:szCs w:val="21"/>
                <w:highlight w:val="none"/>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 xml:space="preserve">分；地块土壤污染状况调查技术方案较全面合理、较规范的得 </w:t>
            </w:r>
            <w:r>
              <w:rPr>
                <w:rFonts w:hint="eastAsia" w:ascii="Times New Roman" w:hAnsi="Times New Roman" w:eastAsia="宋体" w:cs="Times New Roman"/>
                <w:color w:val="auto"/>
                <w:kern w:val="2"/>
                <w:sz w:val="21"/>
                <w:szCs w:val="21"/>
                <w:highlight w:val="none"/>
                <w:lang w:val="en-US" w:eastAsia="zh-CN" w:bidi="ar-SA"/>
              </w:rPr>
              <w:t>8</w:t>
            </w:r>
            <w:r>
              <w:rPr>
                <w:rFonts w:hint="default" w:ascii="Times New Roman" w:hAnsi="Times New Roman" w:eastAsia="宋体" w:cs="Times New Roman"/>
                <w:color w:val="auto"/>
                <w:kern w:val="2"/>
                <w:sz w:val="21"/>
                <w:szCs w:val="21"/>
                <w:highlight w:val="none"/>
                <w:lang w:val="en-US" w:eastAsia="zh-CN" w:bidi="ar-SA"/>
              </w:rPr>
              <w:t xml:space="preserve"> 分；地块土壤污染状况调查技术方案基本完整的得</w:t>
            </w:r>
            <w:r>
              <w:rPr>
                <w:rFonts w:hint="eastAsia" w:ascii="Times New Roman" w:hAnsi="Times New Roman" w:eastAsia="宋体" w:cs="Times New Roman"/>
                <w:color w:val="auto"/>
                <w:kern w:val="2"/>
                <w:sz w:val="21"/>
                <w:szCs w:val="21"/>
                <w:highlight w:val="none"/>
                <w:lang w:val="en-US" w:eastAsia="zh-CN" w:bidi="ar-SA"/>
              </w:rPr>
              <w:t>4</w:t>
            </w:r>
            <w:r>
              <w:rPr>
                <w:rFonts w:hint="default" w:ascii="Times New Roman" w:hAnsi="Times New Roman" w:eastAsia="宋体" w:cs="Times New Roman"/>
                <w:color w:val="auto"/>
                <w:kern w:val="2"/>
                <w:sz w:val="21"/>
                <w:szCs w:val="21"/>
                <w:highlight w:val="none"/>
                <w:lang w:val="en-US" w:eastAsia="zh-CN" w:bidi="ar-SA"/>
              </w:rPr>
              <w:t>分；地块土壤污染状况调查技术方案简单的得 2分。未提供技术方案的不得分。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6" w:hRule="exact"/>
        </w:trPr>
        <w:tc>
          <w:tcPr>
            <w:tcW w:w="1885" w:type="dxa"/>
            <w:vMerge w:val="continue"/>
            <w:noWrap w:val="0"/>
            <w:vAlign w:val="top"/>
          </w:tcPr>
          <w:p>
            <w:pPr>
              <w:pStyle w:val="144"/>
              <w:spacing w:before="12" w:line="440" w:lineRule="exact"/>
              <w:ind w:left="425" w:right="373" w:hanging="284"/>
              <w:jc w:val="center"/>
              <w:rPr>
                <w:rFonts w:hint="default" w:ascii="Times New Roman" w:hAnsi="Times New Roman" w:cs="Times New Roman"/>
                <w:b w:val="0"/>
                <w:bCs w:val="0"/>
                <w:color w:val="auto"/>
                <w:sz w:val="21"/>
                <w:highlight w:val="none"/>
                <w:lang w:eastAsia="zh-CN"/>
              </w:rPr>
            </w:pPr>
          </w:p>
        </w:tc>
        <w:tc>
          <w:tcPr>
            <w:tcW w:w="1254" w:type="dxa"/>
            <w:noWrap w:val="0"/>
            <w:vAlign w:val="center"/>
          </w:tcPr>
          <w:p>
            <w:pPr>
              <w:jc w:val="center"/>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szCs w:val="21"/>
                <w:highlight w:val="none"/>
              </w:rPr>
              <w:t>布点、采样和分析测试与质控体系及实施（1</w:t>
            </w:r>
            <w:r>
              <w:rPr>
                <w:rFonts w:hint="eastAsia" w:ascii="Times New Roman" w:hAnsi="Times New Roman" w:cs="Times New Roman"/>
                <w:b w:val="0"/>
                <w:bCs w:val="0"/>
                <w:color w:val="auto"/>
                <w:szCs w:val="21"/>
                <w:highlight w:val="none"/>
                <w:lang w:val="en-US" w:eastAsia="zh-CN"/>
              </w:rPr>
              <w:t>5</w:t>
            </w:r>
            <w:r>
              <w:rPr>
                <w:rFonts w:hint="default" w:ascii="Times New Roman" w:hAnsi="Times New Roman" w:cs="Times New Roman"/>
                <w:b w:val="0"/>
                <w:bCs w:val="0"/>
                <w:color w:val="auto"/>
                <w:szCs w:val="21"/>
                <w:highlight w:val="none"/>
              </w:rPr>
              <w:t>分）</w:t>
            </w:r>
          </w:p>
        </w:tc>
        <w:tc>
          <w:tcPr>
            <w:tcW w:w="6217" w:type="dxa"/>
            <w:noWrap w:val="0"/>
            <w:vAlign w:val="top"/>
          </w:tcPr>
          <w:p>
            <w:pPr>
              <w:pStyle w:val="34"/>
              <w:tabs>
                <w:tab w:val="left" w:pos="0"/>
                <w:tab w:val="left" w:pos="993"/>
                <w:tab w:val="left" w:pos="1134"/>
              </w:tabs>
              <w:spacing w:after="0" w:line="240" w:lineRule="auto"/>
              <w:ind w:left="0" w:leftChars="0" w:firstLine="0"/>
              <w:jc w:val="left"/>
              <w:rPr>
                <w:rFonts w:hint="default" w:ascii="Times New Roman" w:hAnsi="Times New Roman" w:cs="Times New Roman"/>
                <w:color w:val="auto"/>
                <w:highlight w:val="none"/>
              </w:rPr>
            </w:pPr>
          </w:p>
          <w:p>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1、根据投标人对布点、采样和分析测试方案等进行综合评价（</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分）。</w:t>
            </w:r>
          </w:p>
          <w:p>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对布点、采样和分析测试方案分析详细列明且科学合理得的得</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分；对布点、采样和分析测试方案有列明的较科学合理得2分；对布点、采样和分析测试方案分析工作不清晰的不够科学合理或未提供不得分。</w:t>
            </w:r>
          </w:p>
          <w:p>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2.采样质量控制方案（</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分）</w:t>
            </w:r>
          </w:p>
          <w:p>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土壤、地下水样品采样质控目标、质控内容、方法，样品流转、制备、测试质量控制方案详细、完整，针对性强的得</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分；土壤、地下水样品采样质控目标、质控内容、方法，样品流转、制备、测试质量控制方案一般，针对性较强的得2分；土壤、地下水样品采样质控目标、质控内容、方法，样品流转、制备、测试质量控制方案不完整，针对性不强的或不提供，不得分。</w:t>
            </w:r>
          </w:p>
          <w:p>
            <w:pP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3、质量保证措施（</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分）</w:t>
            </w:r>
          </w:p>
          <w:p>
            <w:pPr>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根据供应商提供的质量保证措施，根据其完整性、可行性、能够满足项目的要求来进行评价。针对性与可操作性强的得</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分；针对性与可操作性较强的得</w:t>
            </w: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分； 针对性与可操作性一般的或不提供不得分。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95" w:hRule="exact"/>
        </w:trPr>
        <w:tc>
          <w:tcPr>
            <w:tcW w:w="1885" w:type="dxa"/>
            <w:vMerge w:val="continue"/>
            <w:noWrap w:val="0"/>
            <w:vAlign w:val="top"/>
          </w:tcPr>
          <w:p>
            <w:pPr>
              <w:pStyle w:val="144"/>
              <w:spacing w:before="12" w:line="440" w:lineRule="exact"/>
              <w:ind w:left="425" w:right="373" w:hanging="284"/>
              <w:jc w:val="center"/>
              <w:rPr>
                <w:rFonts w:hint="default" w:ascii="Times New Roman" w:hAnsi="Times New Roman" w:cs="Times New Roman"/>
                <w:color w:val="auto"/>
                <w:sz w:val="21"/>
                <w:highlight w:val="none"/>
                <w:lang w:eastAsia="zh-CN"/>
              </w:rPr>
            </w:pPr>
          </w:p>
        </w:tc>
        <w:tc>
          <w:tcPr>
            <w:tcW w:w="1254" w:type="dxa"/>
            <w:noWrap w:val="0"/>
            <w:vAlign w:val="center"/>
          </w:tcPr>
          <w:p>
            <w:pPr>
              <w:spacing w:line="40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工作进度计划与保障措施（</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分）</w:t>
            </w:r>
          </w:p>
        </w:tc>
        <w:tc>
          <w:tcPr>
            <w:tcW w:w="6217" w:type="dxa"/>
            <w:noWrap w:val="0"/>
            <w:vAlign w:val="center"/>
          </w:tcPr>
          <w:p>
            <w:pPr>
              <w:rPr>
                <w:rFonts w:hint="default"/>
                <w:color w:val="auto"/>
                <w:highlight w:val="none"/>
              </w:rPr>
            </w:pPr>
            <w:r>
              <w:rPr>
                <w:rFonts w:hint="default"/>
                <w:color w:val="auto"/>
                <w:highlight w:val="none"/>
              </w:rPr>
              <w:t>结合项目实际需求（详细调查及风险评估两个阶段），根据投标人在项目方案中提供的“进度计划及保障措施”进行综合评审：</w:t>
            </w:r>
          </w:p>
          <w:p>
            <w:pPr>
              <w:rPr>
                <w:rFonts w:hint="default"/>
                <w:color w:val="auto"/>
                <w:highlight w:val="none"/>
              </w:rPr>
            </w:pPr>
            <w:r>
              <w:rPr>
                <w:rFonts w:hint="default"/>
                <w:color w:val="auto"/>
                <w:highlight w:val="none"/>
              </w:rPr>
              <w:t>1、完全满足总体计划要求，制定具体合理的时间安排的，保证措施科学合理，可行性强的，计</w:t>
            </w:r>
            <w:r>
              <w:rPr>
                <w:rFonts w:hint="eastAsia"/>
                <w:color w:val="auto"/>
                <w:highlight w:val="none"/>
                <w:lang w:val="en-US" w:eastAsia="zh-CN"/>
              </w:rPr>
              <w:t>10</w:t>
            </w:r>
            <w:r>
              <w:rPr>
                <w:rFonts w:hint="default"/>
                <w:color w:val="auto"/>
                <w:highlight w:val="none"/>
              </w:rPr>
              <w:t>分；</w:t>
            </w:r>
          </w:p>
          <w:p>
            <w:pPr>
              <w:rPr>
                <w:rFonts w:hint="default"/>
                <w:color w:val="auto"/>
                <w:highlight w:val="none"/>
              </w:rPr>
            </w:pPr>
            <w:r>
              <w:rPr>
                <w:rFonts w:hint="default"/>
                <w:color w:val="auto"/>
                <w:highlight w:val="none"/>
              </w:rPr>
              <w:t>2、基本满足总体计划要求，制定具体合理的时间安排，但合理性有欠缺，保证措施基本可行的，计</w:t>
            </w:r>
            <w:r>
              <w:rPr>
                <w:rFonts w:hint="eastAsia"/>
                <w:color w:val="auto"/>
                <w:highlight w:val="none"/>
                <w:lang w:val="en-US" w:eastAsia="zh-CN"/>
              </w:rPr>
              <w:t>5</w:t>
            </w:r>
            <w:r>
              <w:rPr>
                <w:rFonts w:hint="default"/>
                <w:color w:val="auto"/>
                <w:highlight w:val="none"/>
              </w:rPr>
              <w:t xml:space="preserve"> 分；</w:t>
            </w:r>
          </w:p>
          <w:p>
            <w:pPr>
              <w:rPr>
                <w:rFonts w:hint="default"/>
                <w:color w:val="auto"/>
                <w:highlight w:val="none"/>
              </w:rPr>
            </w:pPr>
            <w:r>
              <w:rPr>
                <w:rFonts w:hint="default"/>
                <w:color w:val="auto"/>
                <w:highlight w:val="none"/>
              </w:rPr>
              <w:t xml:space="preserve">3、可以满足总体计划要求，未制定具体合理的时间安排，保证措施不详细的，计 </w:t>
            </w:r>
            <w:r>
              <w:rPr>
                <w:rFonts w:hint="eastAsia"/>
                <w:color w:val="auto"/>
                <w:highlight w:val="none"/>
                <w:lang w:val="en-US" w:eastAsia="zh-CN"/>
              </w:rPr>
              <w:t>2</w:t>
            </w:r>
            <w:r>
              <w:rPr>
                <w:rFonts w:hint="default"/>
                <w:color w:val="auto"/>
                <w:highlight w:val="none"/>
              </w:rPr>
              <w:t xml:space="preserve"> 分；</w:t>
            </w:r>
          </w:p>
          <w:p>
            <w:pPr>
              <w:pStyle w:val="16"/>
              <w:ind w:left="0" w:leftChars="0" w:firstLine="0" w:firstLineChars="0"/>
              <w:rPr>
                <w:rFonts w:hint="default"/>
                <w:color w:val="auto"/>
                <w:highlight w:val="none"/>
              </w:rPr>
            </w:pPr>
            <w:r>
              <w:rPr>
                <w:rFonts w:hint="eastAsia" w:ascii="Times New Roman" w:hAnsi="Times New Roman" w:cs="Times New Roman"/>
                <w:color w:val="auto"/>
                <w:highlight w:val="none"/>
                <w:lang w:val="en-US" w:eastAsia="zh-CN"/>
              </w:rPr>
              <w:t>4、未</w:t>
            </w:r>
            <w:r>
              <w:rPr>
                <w:rFonts w:hint="default" w:ascii="Times New Roman" w:hAnsi="Times New Roman" w:cs="Times New Roman"/>
                <w:color w:val="auto"/>
                <w:highlight w:val="none"/>
              </w:rPr>
              <w:t>提供</w:t>
            </w:r>
            <w:r>
              <w:rPr>
                <w:rFonts w:hint="default"/>
                <w:color w:val="auto"/>
                <w:highlight w:val="none"/>
              </w:rPr>
              <w:t>进度计划及保障措施</w:t>
            </w:r>
            <w:r>
              <w:rPr>
                <w:rFonts w:hint="default" w:ascii="Times New Roman" w:hAnsi="Times New Roman" w:cs="Times New Roman"/>
                <w:color w:val="auto"/>
                <w:highlight w:val="none"/>
              </w:rPr>
              <w:t>的不得分。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05" w:hRule="exact"/>
        </w:trPr>
        <w:tc>
          <w:tcPr>
            <w:tcW w:w="1885" w:type="dxa"/>
            <w:vMerge w:val="continue"/>
            <w:noWrap w:val="0"/>
            <w:vAlign w:val="top"/>
          </w:tcPr>
          <w:p>
            <w:pPr>
              <w:pStyle w:val="144"/>
              <w:spacing w:before="12" w:line="440" w:lineRule="exact"/>
              <w:ind w:left="425" w:right="373" w:hanging="284"/>
              <w:jc w:val="center"/>
              <w:rPr>
                <w:rFonts w:hint="default" w:ascii="Times New Roman" w:hAnsi="Times New Roman" w:cs="Times New Roman"/>
                <w:color w:val="auto"/>
                <w:sz w:val="21"/>
                <w:highlight w:val="none"/>
                <w:lang w:eastAsia="zh-CN"/>
              </w:rPr>
            </w:pPr>
          </w:p>
        </w:tc>
        <w:tc>
          <w:tcPr>
            <w:tcW w:w="1254" w:type="dxa"/>
            <w:noWrap w:val="0"/>
            <w:vAlign w:val="center"/>
          </w:tcPr>
          <w:p>
            <w:pPr>
              <w:rPr>
                <w:rFonts w:hint="default" w:ascii="Times New Roman" w:hAnsi="Times New Roman" w:cs="Times New Roman"/>
                <w:color w:val="auto"/>
                <w:highlight w:val="none"/>
              </w:rPr>
            </w:pPr>
            <w:r>
              <w:rPr>
                <w:rFonts w:hint="default" w:ascii="Times New Roman" w:hAnsi="Times New Roman" w:cs="Times New Roman"/>
                <w:color w:val="auto"/>
                <w:highlight w:val="none"/>
              </w:rPr>
              <w:t>项目重难点分析和应对措施（5</w:t>
            </w:r>
            <w:r>
              <w:rPr>
                <w:rFonts w:hint="default" w:ascii="Times New Roman" w:hAnsi="Times New Roman" w:cs="Times New Roman"/>
                <w:color w:val="auto"/>
                <w:highlight w:val="none"/>
                <w:lang w:val="en-US" w:eastAsia="zh-CN"/>
              </w:rPr>
              <w:t>分</w:t>
            </w:r>
            <w:r>
              <w:rPr>
                <w:rFonts w:hint="default" w:ascii="Times New Roman" w:hAnsi="Times New Roman" w:cs="Times New Roman"/>
                <w:color w:val="auto"/>
                <w:highlight w:val="none"/>
              </w:rPr>
              <w:t>）</w:t>
            </w:r>
          </w:p>
        </w:tc>
        <w:tc>
          <w:tcPr>
            <w:tcW w:w="6217" w:type="dxa"/>
            <w:noWrap w:val="0"/>
            <w:vAlign w:val="center"/>
          </w:tcPr>
          <w:p>
            <w:pPr>
              <w:rPr>
                <w:rFonts w:hint="default" w:ascii="Times New Roman" w:hAnsi="Times New Roman" w:cs="Times New Roman"/>
                <w:color w:val="auto"/>
                <w:highlight w:val="none"/>
              </w:rPr>
            </w:pPr>
            <w:r>
              <w:rPr>
                <w:rFonts w:hint="default" w:ascii="Times New Roman" w:hAnsi="Times New Roman" w:cs="Times New Roman"/>
                <w:color w:val="auto"/>
                <w:highlight w:val="none"/>
              </w:rPr>
              <w:t>根据投标人提供针对本项目重难点分析的科学性、合理性及应对措施进行综合评价。</w:t>
            </w:r>
          </w:p>
          <w:p>
            <w:pP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针对项目重难点分析的科学性、合理性及应对措施具备科学性和合理性的得5分；</w:t>
            </w:r>
          </w:p>
          <w:p>
            <w:pP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针对项目重难点分析的科学性、合理性及应对措施合理但欠缺科学性的得2分；</w:t>
            </w:r>
          </w:p>
          <w:p>
            <w:pP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未提供项目重难点分析和应对措施的不得分。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95" w:hRule="exact"/>
        </w:trPr>
        <w:tc>
          <w:tcPr>
            <w:tcW w:w="1885" w:type="dxa"/>
            <w:vMerge w:val="continue"/>
            <w:noWrap w:val="0"/>
            <w:vAlign w:val="top"/>
          </w:tcPr>
          <w:p>
            <w:pPr>
              <w:pStyle w:val="144"/>
              <w:spacing w:before="12" w:line="440" w:lineRule="exact"/>
              <w:ind w:left="425" w:right="373" w:hanging="284"/>
              <w:jc w:val="center"/>
              <w:rPr>
                <w:rFonts w:hint="default" w:ascii="Times New Roman" w:hAnsi="Times New Roman" w:cs="Times New Roman"/>
                <w:color w:val="auto"/>
                <w:sz w:val="21"/>
                <w:highlight w:val="none"/>
                <w:lang w:eastAsia="zh-CN"/>
              </w:rPr>
            </w:pPr>
          </w:p>
        </w:tc>
        <w:tc>
          <w:tcPr>
            <w:tcW w:w="1254" w:type="dxa"/>
            <w:noWrap w:val="0"/>
            <w:vAlign w:val="center"/>
          </w:tcPr>
          <w:p>
            <w:pPr>
              <w:rPr>
                <w:rFonts w:hint="default" w:ascii="Times New Roman" w:hAnsi="Times New Roman" w:cs="Times New Roman"/>
                <w:color w:val="auto"/>
                <w:highlight w:val="none"/>
              </w:rPr>
            </w:pPr>
            <w:r>
              <w:rPr>
                <w:rFonts w:hint="default" w:ascii="Times New Roman" w:hAnsi="Times New Roman" w:cs="Times New Roman"/>
                <w:color w:val="auto"/>
                <w:highlight w:val="none"/>
              </w:rPr>
              <w:t>应急处置预案（</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分）</w:t>
            </w:r>
          </w:p>
        </w:tc>
        <w:tc>
          <w:tcPr>
            <w:tcW w:w="6217" w:type="dxa"/>
            <w:noWrap w:val="0"/>
            <w:vAlign w:val="center"/>
          </w:tcPr>
          <w:p>
            <w:pPr>
              <w:rPr>
                <w:rFonts w:hint="default" w:ascii="Times New Roman" w:hAnsi="Times New Roman" w:cs="Times New Roman"/>
                <w:color w:val="auto"/>
                <w:highlight w:val="none"/>
              </w:rPr>
            </w:pPr>
            <w:r>
              <w:rPr>
                <w:rFonts w:hint="default" w:ascii="Times New Roman" w:hAnsi="Times New Roman" w:cs="Times New Roman"/>
                <w:color w:val="auto"/>
                <w:highlight w:val="none"/>
              </w:rPr>
              <w:t>供应商针对详细调查及风险评估采样过程中发现或由钻探施工导致的危险物质泄露、地下设施受到破坏等突发情况，制定有应急处置预案，预案详细</w:t>
            </w:r>
            <w:r>
              <w:rPr>
                <w:rFonts w:hint="eastAsia" w:ascii="Times New Roman" w:hAnsi="Times New Roman" w:cs="Times New Roman"/>
                <w:color w:val="auto"/>
                <w:highlight w:val="none"/>
                <w:lang w:eastAsia="zh-CN"/>
              </w:rPr>
              <w:t>、</w:t>
            </w:r>
            <w:r>
              <w:rPr>
                <w:rFonts w:hint="default" w:ascii="Times New Roman" w:hAnsi="Times New Roman" w:cs="Times New Roman"/>
                <w:color w:val="auto"/>
                <w:szCs w:val="21"/>
                <w:highlight w:val="none"/>
              </w:rPr>
              <w:t>针对性与可操作性强</w:t>
            </w:r>
            <w:r>
              <w:rPr>
                <w:rFonts w:hint="default" w:ascii="Times New Roman" w:hAnsi="Times New Roman" w:cs="Times New Roman"/>
                <w:color w:val="auto"/>
                <w:highlight w:val="none"/>
              </w:rPr>
              <w:t>得</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分，</w:t>
            </w:r>
            <w:r>
              <w:rPr>
                <w:rFonts w:hint="default" w:ascii="Times New Roman" w:hAnsi="Times New Roman" w:cs="Times New Roman"/>
                <w:color w:val="auto"/>
                <w:szCs w:val="21"/>
                <w:highlight w:val="none"/>
              </w:rPr>
              <w:t>针对性与可操作性较强</w:t>
            </w:r>
            <w:r>
              <w:rPr>
                <w:rFonts w:hint="default" w:ascii="Times New Roman" w:hAnsi="Times New Roman" w:cs="Times New Roman"/>
                <w:color w:val="auto"/>
                <w:highlight w:val="none"/>
              </w:rPr>
              <w:t>得</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分，仅有粗略描述得或不提供，不得分。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43" w:hRule="exact"/>
        </w:trPr>
        <w:tc>
          <w:tcPr>
            <w:tcW w:w="1885" w:type="dxa"/>
            <w:vMerge w:val="continue"/>
            <w:noWrap w:val="0"/>
            <w:vAlign w:val="top"/>
          </w:tcPr>
          <w:p>
            <w:pPr>
              <w:pStyle w:val="144"/>
              <w:spacing w:before="12" w:line="440" w:lineRule="exact"/>
              <w:ind w:left="425" w:right="373" w:hanging="284"/>
              <w:jc w:val="center"/>
              <w:rPr>
                <w:rFonts w:hint="default" w:ascii="Times New Roman" w:hAnsi="Times New Roman" w:cs="Times New Roman"/>
                <w:color w:val="auto"/>
                <w:sz w:val="21"/>
                <w:highlight w:val="none"/>
                <w:lang w:eastAsia="zh-CN"/>
              </w:rPr>
            </w:pPr>
          </w:p>
        </w:tc>
        <w:tc>
          <w:tcPr>
            <w:tcW w:w="7471" w:type="dxa"/>
            <w:gridSpan w:val="2"/>
            <w:noWrap w:val="0"/>
            <w:vAlign w:val="center"/>
          </w:tcPr>
          <w:p>
            <w:pPr>
              <w:jc w:val="center"/>
              <w:rPr>
                <w:rFonts w:hint="default" w:ascii="Times New Roman" w:hAnsi="Times New Roman" w:cs="Times New Roman"/>
                <w:color w:val="auto"/>
                <w:sz w:val="22"/>
                <w:highlight w:val="none"/>
              </w:rPr>
            </w:pPr>
            <w:r>
              <w:rPr>
                <w:rFonts w:hint="default" w:ascii="Times New Roman" w:hAnsi="Times New Roman" w:cs="Times New Roman"/>
                <w:color w:val="auto"/>
                <w:sz w:val="22"/>
                <w:szCs w:val="18"/>
                <w:highlight w:val="none"/>
              </w:rPr>
              <w:t>注</w:t>
            </w:r>
            <w:r>
              <w:rPr>
                <w:rFonts w:hint="default" w:ascii="Times New Roman" w:hAnsi="Times New Roman" w:cs="Times New Roman"/>
                <w:color w:val="auto"/>
                <w:highlight w:val="none"/>
              </w:rPr>
              <w:t>：以上各项，缺项该小项不得分。</w:t>
            </w:r>
            <w:r>
              <w:rPr>
                <w:rFonts w:hint="default" w:ascii="Times New Roman" w:hAnsi="Times New Roman" w:cs="Times New Roman"/>
                <w:color w:val="auto"/>
                <w:highlight w:val="none"/>
                <w:lang w:val="en-US" w:eastAsia="zh-CN"/>
              </w:rPr>
              <w:t>若联合体投标，涉及的</w:t>
            </w:r>
            <w:r>
              <w:rPr>
                <w:rFonts w:hint="eastAsia" w:ascii="Times New Roman" w:hAnsi="Times New Roman" w:cs="Times New Roman"/>
                <w:color w:val="auto"/>
                <w:highlight w:val="none"/>
                <w:lang w:val="en-US" w:eastAsia="zh-CN"/>
              </w:rPr>
              <w:t>技术方案</w:t>
            </w:r>
            <w:r>
              <w:rPr>
                <w:rFonts w:hint="default" w:ascii="Times New Roman" w:hAnsi="Times New Roman" w:cs="Times New Roman"/>
                <w:color w:val="auto"/>
                <w:highlight w:val="none"/>
                <w:lang w:val="en-US" w:eastAsia="zh-CN"/>
              </w:rPr>
              <w:t>要求，以联合体牵头人提供的资料为准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02" w:hRule="exact"/>
        </w:trPr>
        <w:tc>
          <w:tcPr>
            <w:tcW w:w="1885" w:type="dxa"/>
            <w:vMerge w:val="restart"/>
            <w:noWrap w:val="0"/>
            <w:vAlign w:val="center"/>
          </w:tcPr>
          <w:p>
            <w:pPr>
              <w:snapToGrid w:val="0"/>
              <w:jc w:val="center"/>
              <w:rPr>
                <w:rFonts w:hint="default" w:ascii="Times New Roman" w:hAnsi="Times New Roman" w:cs="Times New Roman"/>
                <w:color w:val="auto"/>
                <w:sz w:val="22"/>
                <w:szCs w:val="18"/>
                <w:highlight w:val="none"/>
              </w:rPr>
            </w:pPr>
            <w:r>
              <w:rPr>
                <w:rFonts w:hint="default" w:ascii="Times New Roman" w:hAnsi="Times New Roman" w:cs="Times New Roman"/>
                <w:color w:val="auto"/>
                <w:sz w:val="22"/>
                <w:szCs w:val="18"/>
                <w:highlight w:val="none"/>
              </w:rPr>
              <w:t>商务部分</w:t>
            </w:r>
          </w:p>
          <w:p>
            <w:pPr>
              <w:snapToGrid w:val="0"/>
              <w:jc w:val="center"/>
              <w:rPr>
                <w:rFonts w:hint="default" w:ascii="Times New Roman" w:hAnsi="Times New Roman" w:cs="Times New Roman"/>
                <w:color w:val="auto"/>
                <w:spacing w:val="-4"/>
                <w:sz w:val="22"/>
                <w:szCs w:val="18"/>
                <w:highlight w:val="none"/>
              </w:rPr>
            </w:pPr>
            <w:r>
              <w:rPr>
                <w:rFonts w:hint="default" w:ascii="Times New Roman" w:hAnsi="Times New Roman" w:cs="Times New Roman"/>
                <w:color w:val="auto"/>
                <w:spacing w:val="-4"/>
                <w:sz w:val="22"/>
                <w:szCs w:val="18"/>
                <w:highlight w:val="none"/>
              </w:rPr>
              <w:t>评分标准</w:t>
            </w:r>
          </w:p>
          <w:p>
            <w:pPr>
              <w:pStyle w:val="144"/>
              <w:spacing w:before="12" w:line="440" w:lineRule="exact"/>
              <w:ind w:left="425" w:right="373" w:hanging="284"/>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Cs w:val="18"/>
                <w:highlight w:val="none"/>
                <w:lang w:eastAsia="zh-CN"/>
              </w:rPr>
              <w:t>（</w:t>
            </w:r>
            <w:r>
              <w:rPr>
                <w:rFonts w:hint="eastAsia" w:ascii="Times New Roman" w:hAnsi="Times New Roman" w:cs="Times New Roman"/>
                <w:color w:val="auto"/>
                <w:szCs w:val="18"/>
                <w:highlight w:val="none"/>
                <w:lang w:val="en-US" w:eastAsia="zh-CN"/>
              </w:rPr>
              <w:t>30</w:t>
            </w:r>
            <w:r>
              <w:rPr>
                <w:rFonts w:hint="default" w:ascii="Times New Roman" w:hAnsi="Times New Roman" w:cs="Times New Roman"/>
                <w:color w:val="auto"/>
                <w:szCs w:val="18"/>
                <w:highlight w:val="none"/>
                <w:lang w:eastAsia="zh-CN"/>
              </w:rPr>
              <w:t>分）</w:t>
            </w:r>
          </w:p>
        </w:tc>
        <w:tc>
          <w:tcPr>
            <w:tcW w:w="1254" w:type="dxa"/>
            <w:shd w:val="clear" w:color="auto" w:fill="auto"/>
            <w:noWrap w:val="0"/>
            <w:vAlign w:val="center"/>
          </w:tcPr>
          <w:p>
            <w:pPr>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cs="Times New Roman"/>
                <w:color w:val="auto"/>
                <w:highlight w:val="none"/>
              </w:rPr>
              <w:t>项目负责人（</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分）</w:t>
            </w:r>
          </w:p>
        </w:tc>
        <w:tc>
          <w:tcPr>
            <w:tcW w:w="6217" w:type="dxa"/>
            <w:shd w:val="clear" w:color="auto" w:fill="auto"/>
            <w:noWrap w:val="0"/>
            <w:vAlign w:val="center"/>
          </w:tcPr>
          <w:p>
            <w:pPr>
              <w:rPr>
                <w:rFonts w:hint="default" w:ascii="Times New Roman" w:hAnsi="Times New Roman" w:cs="Times New Roman"/>
                <w:color w:val="auto"/>
                <w:highlight w:val="none"/>
              </w:rPr>
            </w:pPr>
            <w:r>
              <w:rPr>
                <w:rFonts w:hint="default" w:ascii="Times New Roman" w:hAnsi="Times New Roman" w:cs="Times New Roman"/>
                <w:color w:val="auto"/>
                <w:highlight w:val="none"/>
              </w:rPr>
              <w:t>1、项目负责人具有环境类专业职称，正高级职称的得</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分，否则不得分。</w:t>
            </w:r>
          </w:p>
          <w:p>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注：投标文件中附人员职称证书、近12个月中任一个月为其缴纳的社保证明等相关证明材料。</w:t>
            </w:r>
            <w:r>
              <w:rPr>
                <w:rFonts w:hint="default" w:ascii="Times New Roman" w:hAnsi="Times New Roman" w:cs="Times New Roman"/>
                <w:color w:val="auto"/>
                <w:highlight w:val="none"/>
                <w:lang w:val="en-US" w:eastAsia="zh-CN"/>
              </w:rPr>
              <w:t>若联合体投标</w:t>
            </w:r>
            <w:r>
              <w:rPr>
                <w:rFonts w:hint="eastAsia" w:ascii="Times New Roman" w:hAnsi="Times New Roman" w:cs="Times New Roman"/>
                <w:color w:val="auto"/>
                <w:highlight w:val="none"/>
                <w:lang w:val="en-US" w:eastAsia="zh-CN"/>
              </w:rPr>
              <w:t>，以联合体牵头人提供的证明资料为准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1" w:hRule="exact"/>
        </w:trPr>
        <w:tc>
          <w:tcPr>
            <w:tcW w:w="1885" w:type="dxa"/>
            <w:vMerge w:val="continue"/>
            <w:noWrap w:val="0"/>
            <w:vAlign w:val="top"/>
          </w:tcPr>
          <w:p>
            <w:pPr>
              <w:pStyle w:val="144"/>
              <w:spacing w:before="12" w:line="440" w:lineRule="exact"/>
              <w:ind w:left="425" w:right="373" w:hanging="284"/>
              <w:jc w:val="center"/>
              <w:rPr>
                <w:rFonts w:hint="default" w:ascii="Times New Roman" w:hAnsi="Times New Roman" w:cs="Times New Roman"/>
                <w:color w:val="auto"/>
                <w:sz w:val="21"/>
                <w:highlight w:val="none"/>
                <w:lang w:eastAsia="zh-CN"/>
              </w:rPr>
            </w:pPr>
          </w:p>
        </w:tc>
        <w:tc>
          <w:tcPr>
            <w:tcW w:w="1254" w:type="dxa"/>
            <w:noWrap w:val="0"/>
            <w:vAlign w:val="center"/>
          </w:tcPr>
          <w:p>
            <w:pPr>
              <w:rPr>
                <w:rFonts w:hint="default" w:ascii="Times New Roman" w:hAnsi="Times New Roman" w:cs="Times New Roman"/>
                <w:color w:val="auto"/>
                <w:highlight w:val="none"/>
              </w:rPr>
            </w:pPr>
            <w:r>
              <w:rPr>
                <w:rFonts w:hint="default" w:ascii="Times New Roman" w:hAnsi="Times New Roman" w:cs="Times New Roman"/>
                <w:color w:val="auto"/>
                <w:highlight w:val="none"/>
              </w:rPr>
              <w:t>人员配备</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分）</w:t>
            </w:r>
          </w:p>
        </w:tc>
        <w:tc>
          <w:tcPr>
            <w:tcW w:w="6217" w:type="dxa"/>
            <w:noWrap w:val="0"/>
            <w:vAlign w:val="center"/>
          </w:tcPr>
          <w:p>
            <w:pPr>
              <w:rPr>
                <w:rFonts w:hint="default" w:ascii="Times New Roman" w:hAnsi="Times New Roman" w:cs="Times New Roman"/>
                <w:color w:val="auto"/>
                <w:highlight w:val="none"/>
              </w:rPr>
            </w:pPr>
            <w:r>
              <w:rPr>
                <w:rFonts w:hint="default" w:ascii="Times New Roman" w:hAnsi="Times New Roman" w:cs="Times New Roman"/>
                <w:color w:val="auto"/>
                <w:highlight w:val="none"/>
              </w:rPr>
              <w:t>拟派项目服务人员（除项目负责人外），具有环境类或地质类相关专业</w:t>
            </w:r>
            <w:r>
              <w:rPr>
                <w:rFonts w:hint="eastAsia" w:ascii="Times New Roman" w:hAnsi="Times New Roman" w:cs="Times New Roman"/>
                <w:color w:val="auto"/>
                <w:highlight w:val="none"/>
                <w:lang w:val="en-US" w:eastAsia="zh-CN"/>
              </w:rPr>
              <w:t>正</w:t>
            </w:r>
            <w:r>
              <w:rPr>
                <w:rFonts w:hint="default" w:ascii="Times New Roman" w:hAnsi="Times New Roman" w:cs="Times New Roman"/>
                <w:color w:val="auto"/>
                <w:highlight w:val="none"/>
              </w:rPr>
              <w:t>高级职称</w:t>
            </w:r>
            <w:r>
              <w:rPr>
                <w:rFonts w:hint="default" w:ascii="Times New Roman" w:hAnsi="Times New Roman" w:cs="Times New Roman"/>
                <w:color w:val="auto"/>
                <w:highlight w:val="none"/>
                <w:lang w:val="en-US" w:eastAsia="zh-CN"/>
              </w:rPr>
              <w:t>及以上职称5人的得4分，每再提供一人</w:t>
            </w:r>
            <w:r>
              <w:rPr>
                <w:rFonts w:hint="eastAsia" w:ascii="Times New Roman" w:hAnsi="Times New Roman" w:cs="Times New Roman"/>
                <w:color w:val="auto"/>
                <w:highlight w:val="none"/>
                <w:lang w:val="en-US" w:eastAsia="zh-CN"/>
              </w:rPr>
              <w:t>加1</w:t>
            </w:r>
            <w:r>
              <w:rPr>
                <w:rFonts w:hint="default" w:ascii="Times New Roman" w:hAnsi="Times New Roman" w:cs="Times New Roman"/>
                <w:color w:val="auto"/>
                <w:highlight w:val="none"/>
                <w:lang w:val="en-US" w:eastAsia="zh-CN"/>
              </w:rPr>
              <w:t>分，最多加</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分</w:t>
            </w:r>
            <w:r>
              <w:rPr>
                <w:rFonts w:hint="default" w:ascii="Times New Roman" w:hAnsi="Times New Roman" w:cs="Times New Roman"/>
                <w:color w:val="auto"/>
                <w:highlight w:val="none"/>
              </w:rPr>
              <w:t>。本项满分</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分。</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注：投标文件中附人员职称证书、近12个月中任一个月为其缴纳的社保证明等相关证明材料。</w:t>
            </w:r>
            <w:r>
              <w:rPr>
                <w:rFonts w:hint="default" w:ascii="Times New Roman" w:hAnsi="Times New Roman" w:cs="Times New Roman"/>
                <w:color w:val="auto"/>
                <w:highlight w:val="none"/>
                <w:lang w:val="en-US" w:eastAsia="zh-CN"/>
              </w:rPr>
              <w:t>若联合体投标</w:t>
            </w:r>
            <w:r>
              <w:rPr>
                <w:rFonts w:hint="eastAsia" w:ascii="Times New Roman" w:hAnsi="Times New Roman" w:cs="Times New Roman"/>
                <w:color w:val="auto"/>
                <w:highlight w:val="none"/>
                <w:lang w:val="en-US" w:eastAsia="zh-CN"/>
              </w:rPr>
              <w:t>，联合体牵头人或联合体成员提供的证明资料均可。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1" w:hRule="exact"/>
        </w:trPr>
        <w:tc>
          <w:tcPr>
            <w:tcW w:w="1885" w:type="dxa"/>
            <w:vMerge w:val="continue"/>
            <w:noWrap w:val="0"/>
            <w:vAlign w:val="top"/>
          </w:tcPr>
          <w:p>
            <w:pPr>
              <w:pStyle w:val="144"/>
              <w:spacing w:before="12" w:line="440" w:lineRule="exact"/>
              <w:ind w:left="425" w:right="373" w:hanging="284"/>
              <w:jc w:val="center"/>
              <w:rPr>
                <w:rFonts w:hint="default" w:ascii="Times New Roman" w:hAnsi="Times New Roman" w:cs="Times New Roman"/>
                <w:color w:val="auto"/>
                <w:sz w:val="21"/>
                <w:highlight w:val="none"/>
                <w:lang w:eastAsia="zh-CN"/>
              </w:rPr>
            </w:pPr>
          </w:p>
        </w:tc>
        <w:tc>
          <w:tcPr>
            <w:tcW w:w="1254" w:type="dxa"/>
            <w:noWrap w:val="0"/>
            <w:vAlign w:val="center"/>
          </w:tcPr>
          <w:p>
            <w:pPr>
              <w:rPr>
                <w:rFonts w:hint="default" w:ascii="Times New Roman" w:hAnsi="Times New Roman" w:cs="Times New Roman"/>
                <w:color w:val="auto"/>
                <w:highlight w:val="none"/>
              </w:rPr>
            </w:pPr>
            <w:r>
              <w:rPr>
                <w:rFonts w:hint="default" w:ascii="Times New Roman" w:hAnsi="Times New Roman" w:cs="Times New Roman"/>
                <w:color w:val="auto"/>
                <w:highlight w:val="none"/>
              </w:rPr>
              <w:t>业绩（</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rPr>
              <w:t>分）</w:t>
            </w:r>
          </w:p>
        </w:tc>
        <w:tc>
          <w:tcPr>
            <w:tcW w:w="6217" w:type="dxa"/>
            <w:noWrap w:val="0"/>
            <w:vAlign w:val="center"/>
          </w:tcPr>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1、20</w:t>
            </w:r>
            <w:r>
              <w:rPr>
                <w:rFonts w:hint="eastAsia" w:ascii="Times New Roman" w:hAnsi="Times New Roman" w:cs="Times New Roman"/>
                <w:color w:val="auto"/>
                <w:highlight w:val="none"/>
                <w:lang w:val="en-US" w:eastAsia="zh-CN"/>
              </w:rPr>
              <w:t>22</w:t>
            </w:r>
            <w:r>
              <w:rPr>
                <w:rFonts w:hint="default" w:ascii="Times New Roman" w:hAnsi="Times New Roman" w:cs="Times New Roman"/>
                <w:color w:val="auto"/>
                <w:highlight w:val="none"/>
              </w:rPr>
              <w:t>年1月1日以来投标人承担过</w:t>
            </w:r>
            <w:r>
              <w:rPr>
                <w:rFonts w:hint="eastAsia" w:ascii="Times New Roman" w:hAnsi="Times New Roman" w:cs="Times New Roman"/>
                <w:color w:val="auto"/>
                <w:highlight w:val="none"/>
                <w:lang w:val="en-US" w:eastAsia="zh-CN"/>
              </w:rPr>
              <w:t>类似</w:t>
            </w:r>
            <w:r>
              <w:rPr>
                <w:rFonts w:hint="default" w:ascii="Times New Roman" w:hAnsi="Times New Roman" w:cs="Times New Roman"/>
                <w:color w:val="auto"/>
                <w:highlight w:val="none"/>
              </w:rPr>
              <w:t>业绩的，每有一项得2分，最高得</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rPr>
              <w:t>分；</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注：（投标文件中需提供</w:t>
            </w:r>
            <w:r>
              <w:rPr>
                <w:rFonts w:hint="eastAsia" w:ascii="Times New Roman" w:hAnsi="Times New Roman" w:cs="Times New Roman"/>
                <w:color w:val="auto"/>
                <w:highlight w:val="none"/>
                <w:lang w:val="en-US" w:eastAsia="zh-CN"/>
              </w:rPr>
              <w:t>中标通知书或</w:t>
            </w:r>
            <w:r>
              <w:rPr>
                <w:rFonts w:hint="default" w:ascii="Times New Roman" w:hAnsi="Times New Roman" w:cs="Times New Roman"/>
                <w:color w:val="auto"/>
                <w:highlight w:val="none"/>
                <w:lang w:val="en-US" w:eastAsia="zh-CN"/>
              </w:rPr>
              <w:t>合同</w:t>
            </w:r>
            <w:r>
              <w:rPr>
                <w:rFonts w:hint="eastAsia" w:ascii="Times New Roman" w:hAnsi="Times New Roman" w:cs="Times New Roman"/>
                <w:color w:val="auto"/>
                <w:highlight w:val="none"/>
                <w:lang w:val="en-US" w:eastAsia="zh-CN"/>
              </w:rPr>
              <w:t>原件扫描件为准</w:t>
            </w:r>
            <w:r>
              <w:rPr>
                <w:rFonts w:hint="default" w:ascii="Times New Roman" w:hAnsi="Times New Roman" w:cs="Times New Roman"/>
                <w:color w:val="auto"/>
                <w:highlight w:val="none"/>
                <w:lang w:val="en-US" w:eastAsia="zh-CN"/>
              </w:rPr>
              <w:t>，不提供不得分）若联合体投标</w:t>
            </w:r>
            <w:r>
              <w:rPr>
                <w:rFonts w:hint="eastAsia" w:ascii="Times New Roman" w:hAnsi="Times New Roman" w:cs="Times New Roman"/>
                <w:color w:val="auto"/>
                <w:highlight w:val="none"/>
                <w:lang w:val="en-US" w:eastAsia="zh-CN"/>
              </w:rPr>
              <w:t>，联合体牵头人或联合体成员提供的证明资料均可。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1" w:hRule="exact"/>
        </w:trPr>
        <w:tc>
          <w:tcPr>
            <w:tcW w:w="1885" w:type="dxa"/>
            <w:vMerge w:val="continue"/>
            <w:noWrap w:val="0"/>
            <w:vAlign w:val="top"/>
          </w:tcPr>
          <w:p>
            <w:pPr>
              <w:pStyle w:val="144"/>
              <w:spacing w:before="12" w:line="440" w:lineRule="exact"/>
              <w:ind w:left="425" w:right="373" w:hanging="284"/>
              <w:jc w:val="center"/>
              <w:rPr>
                <w:rFonts w:hint="default" w:ascii="Times New Roman" w:hAnsi="Times New Roman" w:cs="Times New Roman"/>
                <w:color w:val="auto"/>
                <w:sz w:val="21"/>
                <w:highlight w:val="none"/>
                <w:lang w:eastAsia="zh-CN"/>
              </w:rPr>
            </w:pPr>
          </w:p>
        </w:tc>
        <w:tc>
          <w:tcPr>
            <w:tcW w:w="1254" w:type="dxa"/>
            <w:noWrap w:val="0"/>
            <w:vAlign w:val="center"/>
          </w:tcPr>
          <w:p>
            <w:pP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实验室及证书（2分）</w:t>
            </w:r>
          </w:p>
        </w:tc>
        <w:tc>
          <w:tcPr>
            <w:tcW w:w="6217" w:type="dxa"/>
            <w:noWrap w:val="0"/>
            <w:vAlign w:val="center"/>
          </w:tcPr>
          <w:p>
            <w:pPr>
              <w:numPr>
                <w:ilvl w:val="0"/>
                <w:numId w:val="5"/>
              </w:num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拥有独立具备监测能力的实验室</w:t>
            </w:r>
            <w:r>
              <w:rPr>
                <w:rFonts w:hint="eastAsia" w:ascii="Times New Roman" w:hAnsi="Times New Roman" w:cs="Times New Roman"/>
                <w:color w:val="auto"/>
                <w:highlight w:val="none"/>
                <w:lang w:val="en-US" w:eastAsia="zh-CN"/>
              </w:rPr>
              <w:t>加1分，</w:t>
            </w:r>
            <w:r>
              <w:rPr>
                <w:rFonts w:hint="default" w:ascii="Times New Roman" w:hAnsi="Times New Roman" w:cs="Times New Roman"/>
                <w:color w:val="auto"/>
                <w:highlight w:val="none"/>
                <w:lang w:val="en-US" w:eastAsia="zh-CN"/>
              </w:rPr>
              <w:t>不提供</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不得分</w:t>
            </w:r>
          </w:p>
          <w:p>
            <w:pPr>
              <w:numPr>
                <w:ilvl w:val="0"/>
                <w:numId w:val="5"/>
              </w:num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持有《检验检测机构资质认定证书》（CMA），其中土壤检测能力至少涵盖《土壤环境质量 建设用地土壤污染风险管控标准（试行）》（GB 36600-2018）表1的45项指标、地下水检测能力至少涵盖《地下水质量标准》（GB/T 14848-2017）表1的39项常规指标。</w:t>
            </w:r>
            <w:r>
              <w:rPr>
                <w:rFonts w:hint="eastAsia" w:ascii="Times New Roman" w:hAnsi="Times New Roman" w:cs="Times New Roman"/>
                <w:color w:val="auto"/>
                <w:highlight w:val="none"/>
                <w:lang w:val="en-US" w:eastAsia="zh-CN"/>
              </w:rPr>
              <w:t>得1分，提供证书原件扫描件为准</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不提供，不得分</w:t>
            </w:r>
          </w:p>
          <w:p>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若联合体投标</w:t>
            </w:r>
            <w:r>
              <w:rPr>
                <w:rFonts w:hint="eastAsia" w:ascii="Times New Roman" w:hAnsi="Times New Roman" w:cs="Times New Roman"/>
                <w:color w:val="auto"/>
                <w:highlight w:val="none"/>
                <w:lang w:val="en-US" w:eastAsia="zh-CN"/>
              </w:rPr>
              <w:t>，联合体牵头人或联合体成员提供的证明资料均可。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94" w:hRule="exact"/>
        </w:trPr>
        <w:tc>
          <w:tcPr>
            <w:tcW w:w="1885" w:type="dxa"/>
            <w:vMerge w:val="continue"/>
            <w:noWrap w:val="0"/>
            <w:vAlign w:val="top"/>
          </w:tcPr>
          <w:p>
            <w:pPr>
              <w:pStyle w:val="144"/>
              <w:spacing w:before="12" w:line="440" w:lineRule="exact"/>
              <w:ind w:left="425" w:right="373" w:hanging="284"/>
              <w:jc w:val="center"/>
              <w:rPr>
                <w:rFonts w:hint="default" w:ascii="Times New Roman" w:hAnsi="Times New Roman" w:cs="Times New Roman"/>
                <w:color w:val="auto"/>
                <w:sz w:val="21"/>
                <w:highlight w:val="none"/>
                <w:lang w:eastAsia="zh-CN"/>
              </w:rPr>
            </w:pPr>
          </w:p>
        </w:tc>
        <w:tc>
          <w:tcPr>
            <w:tcW w:w="1254" w:type="dxa"/>
            <w:noWrap w:val="0"/>
            <w:vAlign w:val="center"/>
          </w:tcPr>
          <w:p>
            <w:pPr>
              <w:rPr>
                <w:rFonts w:hint="default" w:ascii="Times New Roman" w:hAnsi="Times New Roman" w:cs="Times New Roman"/>
                <w:color w:val="auto"/>
                <w:highlight w:val="none"/>
              </w:rPr>
            </w:pPr>
            <w:r>
              <w:rPr>
                <w:rFonts w:hint="default" w:ascii="Times New Roman" w:hAnsi="Times New Roman" w:cs="Times New Roman"/>
                <w:color w:val="auto"/>
                <w:highlight w:val="none"/>
              </w:rPr>
              <w:t>综合实力</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分）</w:t>
            </w:r>
          </w:p>
        </w:tc>
        <w:tc>
          <w:tcPr>
            <w:tcW w:w="6217" w:type="dxa"/>
            <w:noWrap w:val="0"/>
            <w:vAlign w:val="center"/>
          </w:tcPr>
          <w:p>
            <w:pP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具有与开展工作相适应的分析检测仪器：具有与开展工作相适应的分析检测仪器：包含电感耦合等离子体质谱仪、电感耦合等离子体发射光谱仪、原子吸收分光光度计、原子荧光光度计、气相色谱仪、气相色谱质谱联用仪、X射线荧光光谱仪、离子色谱仪、土壤重金属快速检测仪（XRF）、土壤有机物快速检测设备（PID）、液相色谱-质谱联用仪、液相色谱仪、RTK测量设备、多参数水质分析仪及便携式重金属检测仪等。具备以上仪器设备的得</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分，缺一台扣</w:t>
            </w:r>
            <w:r>
              <w:rPr>
                <w:rFonts w:hint="eastAsia" w:ascii="Times New Roman" w:hAnsi="Times New Roman" w:cs="Times New Roman"/>
                <w:color w:val="auto"/>
                <w:highlight w:val="none"/>
                <w:lang w:val="en-US" w:eastAsia="zh-CN"/>
              </w:rPr>
              <w:t>0.4</w:t>
            </w:r>
            <w:r>
              <w:rPr>
                <w:rFonts w:hint="default" w:ascii="Times New Roman" w:hAnsi="Times New Roman" w:cs="Times New Roman"/>
                <w:color w:val="auto"/>
                <w:highlight w:val="none"/>
              </w:rPr>
              <w:t>分，扣完为止。供应商需提供仪器购置发票及照片</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不提供不得分</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若联合体投标</w:t>
            </w:r>
            <w:r>
              <w:rPr>
                <w:rFonts w:hint="eastAsia" w:ascii="Times New Roman" w:hAnsi="Times New Roman" w:cs="Times New Roman"/>
                <w:color w:val="auto"/>
                <w:highlight w:val="none"/>
                <w:lang w:val="en-US" w:eastAsia="zh-CN"/>
              </w:rPr>
              <w:t>，联合体牵头人或联合体成员提供的证明资料均可。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59" w:hRule="exact"/>
        </w:trPr>
        <w:tc>
          <w:tcPr>
            <w:tcW w:w="1885" w:type="dxa"/>
            <w:vMerge w:val="continue"/>
            <w:noWrap w:val="0"/>
            <w:vAlign w:val="top"/>
          </w:tcPr>
          <w:p>
            <w:pPr>
              <w:pStyle w:val="144"/>
              <w:spacing w:before="12" w:line="440" w:lineRule="exact"/>
              <w:ind w:left="425" w:right="373" w:hanging="284"/>
              <w:jc w:val="center"/>
              <w:rPr>
                <w:rFonts w:hint="default" w:ascii="Times New Roman" w:hAnsi="Times New Roman" w:cs="Times New Roman"/>
                <w:color w:val="auto"/>
                <w:sz w:val="21"/>
                <w:highlight w:val="none"/>
                <w:lang w:eastAsia="zh-CN"/>
              </w:rPr>
            </w:pPr>
          </w:p>
        </w:tc>
        <w:tc>
          <w:tcPr>
            <w:tcW w:w="1254" w:type="dxa"/>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服务承诺</w:t>
            </w:r>
          </w:p>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分）</w:t>
            </w:r>
          </w:p>
        </w:tc>
        <w:tc>
          <w:tcPr>
            <w:tcW w:w="6217" w:type="dxa"/>
            <w:noWrap w:val="0"/>
            <w:vAlign w:val="center"/>
          </w:tcPr>
          <w:p>
            <w:pPr>
              <w:rPr>
                <w:rFonts w:hint="default" w:ascii="Times New Roman" w:hAnsi="Times New Roman" w:cs="Times New Roman"/>
                <w:color w:val="auto"/>
                <w:highlight w:val="none"/>
              </w:rPr>
            </w:pPr>
            <w:r>
              <w:rPr>
                <w:rFonts w:hint="default" w:ascii="Times New Roman" w:hAnsi="Times New Roman" w:cs="Times New Roman"/>
                <w:color w:val="auto"/>
                <w:highlight w:val="none"/>
              </w:rPr>
              <w:t>根据投标人是否完全满足“售后服务”条款中的内容进行综合评审。</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1）能够完全满足售后服务和技术支持及项目建设其他服务要求，能够确保服务保障的时效性强、合理可行、全面完善，出现问题或接到采购人通知后响应及时，并采取措施且能够到场，得</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分；</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2）能够基本满足售后服务和技术支持及项目建设其他服务要求，服务保障的时效性一般、较合理可行，出现问题或接到采购人通知后响应较及时，得</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分；</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3）不满足售后服务和技术支持及项目建设其他服务要求，服务保障的时效性差、不够合理可行或不提供，不得分。</w:t>
            </w:r>
            <w:r>
              <w:rPr>
                <w:rFonts w:hint="default" w:ascii="Times New Roman" w:hAnsi="Times New Roman" w:cs="Times New Roman"/>
                <w:color w:val="auto"/>
                <w:highlight w:val="none"/>
                <w:lang w:val="en-US" w:eastAsia="zh-CN"/>
              </w:rPr>
              <w:t>若联合体投标</w:t>
            </w:r>
            <w:r>
              <w:rPr>
                <w:rFonts w:hint="eastAsia" w:ascii="Times New Roman" w:hAnsi="Times New Roman" w:cs="Times New Roman"/>
                <w:color w:val="auto"/>
                <w:highlight w:val="none"/>
                <w:lang w:val="en-US" w:eastAsia="zh-CN"/>
              </w:rPr>
              <w:t>，以联合体牵头人提供的证明资料为准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71" w:hRule="exact"/>
        </w:trPr>
        <w:tc>
          <w:tcPr>
            <w:tcW w:w="1885" w:type="dxa"/>
            <w:vMerge w:val="continue"/>
            <w:noWrap w:val="0"/>
            <w:vAlign w:val="top"/>
          </w:tcPr>
          <w:p>
            <w:pPr>
              <w:pStyle w:val="144"/>
              <w:spacing w:before="12" w:line="440" w:lineRule="exact"/>
              <w:ind w:left="425" w:right="373" w:hanging="284"/>
              <w:jc w:val="center"/>
              <w:rPr>
                <w:rFonts w:hint="default" w:ascii="Times New Roman" w:hAnsi="Times New Roman" w:cs="Times New Roman"/>
                <w:color w:val="auto"/>
                <w:sz w:val="21"/>
                <w:highlight w:val="none"/>
                <w:lang w:eastAsia="zh-CN"/>
              </w:rPr>
            </w:pPr>
          </w:p>
        </w:tc>
        <w:tc>
          <w:tcPr>
            <w:tcW w:w="1254" w:type="dxa"/>
            <w:noWrap w:val="0"/>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综合评价</w:t>
            </w:r>
          </w:p>
          <w:p>
            <w:pPr>
              <w:pStyle w:val="26"/>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分）</w:t>
            </w:r>
          </w:p>
          <w:p>
            <w:pPr>
              <w:rPr>
                <w:rFonts w:hint="default" w:ascii="Times New Roman" w:hAnsi="Times New Roman" w:cs="Times New Roman"/>
                <w:color w:val="auto"/>
                <w:highlight w:val="none"/>
                <w:lang w:val="en-US" w:eastAsia="zh-CN"/>
              </w:rPr>
            </w:pPr>
          </w:p>
          <w:p>
            <w:pPr>
              <w:rPr>
                <w:rFonts w:hint="default" w:ascii="Times New Roman" w:hAnsi="Times New Roman" w:cs="Times New Roman"/>
                <w:color w:val="auto"/>
                <w:highlight w:val="none"/>
                <w:lang w:val="en-US" w:eastAsia="zh-CN"/>
              </w:rPr>
            </w:pPr>
          </w:p>
          <w:p>
            <w:pPr>
              <w:rPr>
                <w:rFonts w:hint="default" w:ascii="Times New Roman" w:hAnsi="Times New Roman" w:cs="Times New Roman"/>
                <w:color w:val="auto"/>
                <w:highlight w:val="none"/>
                <w:lang w:val="en-US" w:eastAsia="zh-CN"/>
              </w:rPr>
            </w:pPr>
          </w:p>
        </w:tc>
        <w:tc>
          <w:tcPr>
            <w:tcW w:w="6217" w:type="dxa"/>
            <w:noWrap w:val="0"/>
            <w:vAlign w:val="center"/>
          </w:tcPr>
          <w:p>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根据供应商对招标文件的响应程度，对项目的整体把握，对项目重点难点的分析，人员及设备安排，工期及质量的保证等各方面进行综合评价。综合评价全面、详尽得 </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 xml:space="preserve">分；较全面、较详尽得 </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分； 其他不得分</w:t>
            </w:r>
          </w:p>
          <w:p>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若联合体投标</w:t>
            </w:r>
            <w:r>
              <w:rPr>
                <w:rFonts w:hint="eastAsia" w:ascii="Times New Roman" w:hAnsi="Times New Roman" w:cs="Times New Roman"/>
                <w:color w:val="auto"/>
                <w:highlight w:val="none"/>
                <w:lang w:val="en-US" w:eastAsia="zh-CN"/>
              </w:rPr>
              <w:t>，以联合体牵头人提供的证明资料为准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09" w:hRule="exact"/>
        </w:trPr>
        <w:tc>
          <w:tcPr>
            <w:tcW w:w="9356" w:type="dxa"/>
            <w:gridSpan w:val="3"/>
            <w:noWrap w:val="0"/>
            <w:vAlign w:val="center"/>
          </w:tcPr>
          <w:p>
            <w:pPr>
              <w:ind w:firstLine="420" w:firstLineChars="200"/>
              <w:jc w:val="left"/>
              <w:rPr>
                <w:rFonts w:hint="default"/>
                <w:color w:val="auto"/>
                <w:highlight w:val="none"/>
              </w:rPr>
            </w:pPr>
            <w:r>
              <w:rPr>
                <w:rFonts w:hint="default"/>
                <w:color w:val="auto"/>
                <w:highlight w:val="none"/>
              </w:rPr>
              <w:t>注：</w:t>
            </w:r>
            <w:r>
              <w:rPr>
                <w:rFonts w:hint="eastAsia"/>
                <w:color w:val="auto"/>
                <w:highlight w:val="none"/>
                <w:lang w:val="en-US" w:eastAsia="zh-CN"/>
              </w:rPr>
              <w:t>1.</w:t>
            </w:r>
            <w:r>
              <w:rPr>
                <w:rFonts w:hint="default"/>
                <w:color w:val="auto"/>
                <w:highlight w:val="none"/>
              </w:rPr>
              <w:t>投标人须将招标文件要求的资质、业绩、荣誉及相关人员证明材料等资料原件扫描件（或图片或复印件加盖单位公章）制作到投标文件中。</w:t>
            </w:r>
          </w:p>
          <w:p>
            <w:pPr>
              <w:ind w:firstLine="840" w:firstLineChars="400"/>
              <w:jc w:val="left"/>
              <w:rPr>
                <w:rFonts w:hint="default"/>
                <w:color w:val="auto"/>
                <w:highlight w:val="none"/>
              </w:rPr>
            </w:pPr>
            <w:r>
              <w:rPr>
                <w:rFonts w:hint="eastAsia"/>
                <w:color w:val="auto"/>
                <w:highlight w:val="none"/>
                <w:lang w:val="en-US" w:eastAsia="zh-CN"/>
              </w:rPr>
              <w:t>2.</w:t>
            </w:r>
            <w:r>
              <w:rPr>
                <w:rFonts w:hint="default"/>
                <w:color w:val="auto"/>
                <w:highlight w:val="none"/>
              </w:rPr>
              <w:t>对于资料中弄虚作假的，一经发现，取消中标资格。</w:t>
            </w:r>
          </w:p>
          <w:p>
            <w:pPr>
              <w:pStyle w:val="16"/>
              <w:ind w:left="0" w:leftChars="0" w:firstLine="0" w:firstLineChars="0"/>
              <w:rPr>
                <w:rFonts w:hint="default" w:eastAsiaTheme="minorEastAsia"/>
                <w:color w:val="auto"/>
                <w:highlight w:val="none"/>
                <w:lang w:val="en-US" w:eastAsia="zh-CN"/>
              </w:rPr>
            </w:pPr>
          </w:p>
        </w:tc>
      </w:tr>
    </w:tbl>
    <w:p>
      <w:pPr>
        <w:spacing w:after="120"/>
        <w:rPr>
          <w:rFonts w:ascii="宋体" w:hAnsi="宋体" w:eastAsia="宋体" w:cs="Times New Roman"/>
          <w:color w:val="auto"/>
          <w:kern w:val="0"/>
          <w:sz w:val="20"/>
          <w:szCs w:val="20"/>
          <w:highlight w:val="none"/>
        </w:rPr>
      </w:pPr>
    </w:p>
    <w:p>
      <w:pPr>
        <w:spacing w:line="440" w:lineRule="exac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5.计分办法</w:t>
      </w:r>
    </w:p>
    <w:p>
      <w:pPr>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计分过程中按四舍五入的法则，取至小数点后2位，供应商的最终得分为所有评标委员会打分的算术平均值，最终结果取至小数点后2位。评标委员会将按供应商得分由高到低的排序向采购人推荐前三名为中标候选供应商。</w:t>
      </w:r>
    </w:p>
    <w:p>
      <w:pPr>
        <w:spacing w:before="12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6.其他事项</w:t>
      </w:r>
    </w:p>
    <w:p>
      <w:pPr>
        <w:spacing w:line="360" w:lineRule="auto"/>
        <w:ind w:firstLine="420" w:firstLineChars="17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autoSpaceDE w:val="0"/>
        <w:autoSpaceDN w:val="0"/>
        <w:adjustRightInd w:val="0"/>
        <w:spacing w:line="360" w:lineRule="auto"/>
        <w:jc w:val="left"/>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7、相同品牌投标人家数的计算</w:t>
      </w:r>
    </w:p>
    <w:p>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通过资格审查、符合性审查的不同投标人提供相同品牌产品参加本项目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after="120"/>
        <w:rPr>
          <w:rFonts w:ascii="Times New Roman" w:hAnsi="Times New Roman" w:eastAsia="宋体" w:cs="Times New Roman"/>
          <w:color w:val="auto"/>
          <w:szCs w:val="21"/>
          <w:highlight w:val="none"/>
        </w:rPr>
      </w:pPr>
    </w:p>
    <w:p>
      <w:pPr>
        <w:spacing w:line="500" w:lineRule="exact"/>
        <w:ind w:firstLine="2200" w:firstLineChars="550"/>
        <w:outlineLvl w:val="0"/>
        <w:rPr>
          <w:rFonts w:ascii="Calibri" w:hAnsi="Calibri" w:eastAsia="宋体" w:cs="Times New Roman"/>
          <w:b/>
          <w:bCs/>
          <w:color w:val="auto"/>
          <w:kern w:val="44"/>
          <w:sz w:val="40"/>
          <w:highlight w:val="none"/>
        </w:rPr>
      </w:pPr>
      <w:r>
        <w:rPr>
          <w:rFonts w:ascii="宋体" w:hAnsi="宋体" w:eastAsia="宋体" w:cs="宋体"/>
          <w:color w:val="auto"/>
          <w:kern w:val="44"/>
          <w:sz w:val="40"/>
          <w:szCs w:val="40"/>
          <w:highlight w:val="none"/>
        </w:rPr>
        <w:br w:type="page"/>
      </w:r>
      <w:bookmarkStart w:id="17" w:name="_Toc10651"/>
      <w:r>
        <w:rPr>
          <w:rFonts w:hint="eastAsia" w:ascii="Calibri" w:hAnsi="Calibri" w:eastAsia="宋体" w:cs="Times New Roman"/>
          <w:b/>
          <w:bCs/>
          <w:color w:val="auto"/>
          <w:kern w:val="44"/>
          <w:sz w:val="40"/>
          <w:highlight w:val="none"/>
        </w:rPr>
        <w:t xml:space="preserve">第五章  </w:t>
      </w:r>
      <w:bookmarkStart w:id="18" w:name="_Toc269828236"/>
      <w:r>
        <w:rPr>
          <w:rFonts w:hint="eastAsia" w:ascii="Calibri" w:hAnsi="Calibri" w:eastAsia="宋体" w:cs="Times New Roman"/>
          <w:b/>
          <w:bCs/>
          <w:color w:val="auto"/>
          <w:kern w:val="44"/>
          <w:sz w:val="40"/>
          <w:highlight w:val="none"/>
        </w:rPr>
        <w:t>合同主要条款</w:t>
      </w:r>
      <w:bookmarkEnd w:id="18"/>
      <w:r>
        <w:rPr>
          <w:rFonts w:hint="eastAsia" w:ascii="Calibri" w:hAnsi="Calibri" w:eastAsia="宋体" w:cs="Times New Roman"/>
          <w:b/>
          <w:bCs/>
          <w:color w:val="auto"/>
          <w:kern w:val="44"/>
          <w:sz w:val="40"/>
          <w:highlight w:val="none"/>
        </w:rPr>
        <w:t>及格式</w:t>
      </w:r>
      <w:bookmarkEnd w:id="17"/>
    </w:p>
    <w:p>
      <w:pPr>
        <w:spacing w:line="360" w:lineRule="auto"/>
        <w:jc w:val="center"/>
        <w:textAlignment w:val="baseline"/>
        <w:rPr>
          <w:rFonts w:ascii="宋体" w:hAnsi="宋体" w:eastAsia="宋体" w:cs="宋体"/>
          <w:bCs/>
          <w:color w:val="auto"/>
          <w:kern w:val="0"/>
          <w:sz w:val="24"/>
          <w:szCs w:val="28"/>
          <w:highlight w:val="none"/>
        </w:rPr>
      </w:pPr>
      <w:r>
        <w:rPr>
          <w:rFonts w:hint="eastAsia" w:ascii="宋体" w:hAnsi="宋体" w:eastAsia="宋体" w:cs="宋体"/>
          <w:bCs/>
          <w:color w:val="auto"/>
          <w:kern w:val="0"/>
          <w:sz w:val="24"/>
          <w:szCs w:val="28"/>
          <w:highlight w:val="none"/>
        </w:rPr>
        <w:t>（此格式</w:t>
      </w:r>
      <w:r>
        <w:rPr>
          <w:rFonts w:ascii="宋体" w:hAnsi="宋体" w:eastAsia="宋体" w:cs="宋体"/>
          <w:bCs/>
          <w:color w:val="auto"/>
          <w:kern w:val="0"/>
          <w:sz w:val="24"/>
          <w:szCs w:val="28"/>
          <w:highlight w:val="none"/>
        </w:rPr>
        <w:t>仅供参考</w:t>
      </w:r>
      <w:r>
        <w:rPr>
          <w:rFonts w:hint="eastAsia" w:ascii="宋体" w:hAnsi="宋体" w:eastAsia="宋体" w:cs="宋体"/>
          <w:bCs/>
          <w:color w:val="auto"/>
          <w:kern w:val="0"/>
          <w:sz w:val="24"/>
          <w:szCs w:val="28"/>
          <w:highlight w:val="none"/>
        </w:rPr>
        <w:t>）</w:t>
      </w:r>
    </w:p>
    <w:p>
      <w:pPr>
        <w:widowControl/>
        <w:snapToGrid w:val="0"/>
        <w:spacing w:line="480" w:lineRule="exact"/>
        <w:ind w:firstLine="482" w:firstLineChars="200"/>
        <w:jc w:val="center"/>
        <w:rPr>
          <w:rFonts w:ascii="宋体" w:cs="宋体"/>
          <w:color w:val="auto"/>
          <w:sz w:val="24"/>
          <w:szCs w:val="24"/>
          <w:highlight w:val="none"/>
        </w:rPr>
      </w:pPr>
      <w:bookmarkStart w:id="19" w:name="_Toc24785"/>
      <w:bookmarkStart w:id="20" w:name="_Toc5790"/>
      <w:r>
        <w:rPr>
          <w:rFonts w:hint="eastAsia" w:ascii="宋体" w:hAnsi="宋体" w:cs="宋体"/>
          <w:b/>
          <w:color w:val="auto"/>
          <w:sz w:val="24"/>
          <w:szCs w:val="24"/>
          <w:highlight w:val="none"/>
          <w:lang w:bidi="ar"/>
        </w:rPr>
        <w:t>（</w:t>
      </w:r>
      <w:r>
        <w:rPr>
          <w:rFonts w:hint="eastAsia" w:ascii="宋体" w:hAnsi="宋体" w:cs="宋体"/>
          <w:color w:val="auto"/>
          <w:sz w:val="24"/>
          <w:szCs w:val="24"/>
          <w:highlight w:val="none"/>
          <w:lang w:bidi="ar"/>
        </w:rPr>
        <w:t>合同格式仅供参考</w:t>
      </w:r>
      <w:r>
        <w:rPr>
          <w:rFonts w:hint="eastAsia" w:ascii="宋体" w:hAnsi="宋体" w:cs="宋体"/>
          <w:color w:val="auto"/>
          <w:sz w:val="24"/>
          <w:szCs w:val="24"/>
          <w:highlight w:val="none"/>
          <w:lang w:eastAsia="zh-CN" w:bidi="ar"/>
        </w:rPr>
        <w:t>，</w:t>
      </w:r>
      <w:r>
        <w:rPr>
          <w:rFonts w:hint="eastAsia" w:ascii="宋体" w:hAnsi="宋体" w:cs="宋体"/>
          <w:color w:val="auto"/>
          <w:sz w:val="24"/>
          <w:szCs w:val="24"/>
          <w:highlight w:val="none"/>
          <w:lang w:bidi="ar"/>
        </w:rPr>
        <w:t>采购人可根据采购项目的实际情况增减条款和内容</w:t>
      </w:r>
      <w:r>
        <w:rPr>
          <w:rFonts w:hint="eastAsia" w:ascii="宋体" w:hAnsi="宋体" w:cs="宋体"/>
          <w:b/>
          <w:color w:val="auto"/>
          <w:sz w:val="24"/>
          <w:szCs w:val="24"/>
          <w:highlight w:val="none"/>
          <w:lang w:bidi="ar"/>
        </w:rPr>
        <w:t>）</w:t>
      </w:r>
    </w:p>
    <w:bookmarkEnd w:id="19"/>
    <w:bookmarkEnd w:id="20"/>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需       方：</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供       方：</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ascii="宋体" w:hAnsi="宋体"/>
          <w:color w:val="auto"/>
          <w:sz w:val="24"/>
          <w:szCs w:val="24"/>
          <w:highlight w:val="none"/>
        </w:rPr>
      </w:pPr>
      <w:r>
        <w:rPr>
          <w:rFonts w:hint="eastAsia" w:ascii="宋体" w:hAnsi="宋体"/>
          <w:color w:val="auto"/>
          <w:sz w:val="24"/>
          <w:szCs w:val="24"/>
          <w:highlight w:val="none"/>
        </w:rPr>
        <w:t>供方在</w:t>
      </w:r>
      <w:r>
        <w:rPr>
          <w:rFonts w:hint="eastAsia" w:ascii="宋体" w:hAnsi="宋体"/>
          <w:color w:val="auto"/>
          <w:sz w:val="24"/>
          <w:szCs w:val="24"/>
          <w:highlight w:val="none"/>
          <w:lang w:eastAsia="zh-CN"/>
        </w:rPr>
        <w:t>三门峡市生态环境局卢氏分局</w:t>
      </w:r>
      <w:r>
        <w:rPr>
          <w:rFonts w:hint="eastAsia" w:ascii="宋体" w:hAnsi="宋体"/>
          <w:color w:val="auto"/>
          <w:sz w:val="24"/>
          <w:szCs w:val="24"/>
          <w:highlight w:val="none"/>
        </w:rPr>
        <w:t>组织的</w:t>
      </w:r>
      <w:r>
        <w:rPr>
          <w:rFonts w:hint="eastAsia" w:ascii="Times New Roman" w:hAnsi="Times New Roman" w:eastAsia="宋体" w:cs="Times New Roman"/>
          <w:color w:val="auto"/>
          <w:kern w:val="0"/>
          <w:sz w:val="24"/>
          <w:szCs w:val="24"/>
          <w:highlight w:val="none"/>
          <w:lang w:val="en-US" w:eastAsia="zh-CN"/>
        </w:rPr>
        <w:t>卢氏县污染地块土壤污染状况详细补充调查和风险评估项目</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采购中中标，经双方协商一致，签订本合同。</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一、服务条款</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供方向需方提供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1、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2、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二、合同总金额:</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人民币（大写）：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      （小写）：￥</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此合同为固定价款合同，价格不因国家政策变化而变化。</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三、验收及付款</w:t>
      </w:r>
    </w:p>
    <w:p>
      <w:pPr>
        <w:spacing w:line="360" w:lineRule="auto"/>
        <w:ind w:firstLine="480" w:firstLineChars="200"/>
        <w:rPr>
          <w:rFonts w:ascii="宋体" w:hAnsi="宋体"/>
          <w:color w:val="auto"/>
          <w:sz w:val="24"/>
          <w:szCs w:val="24"/>
          <w:highlight w:val="none"/>
        </w:rPr>
      </w:pP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四、服务承诺</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1、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2、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五、需方责任</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1、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2、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六、供方责任</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1、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2、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七、违约责任</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1、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2、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八、不可抗力</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供需双方的任何一方由于不可抗力的原因不能履行合同时，应及时向对方通报不能履行或不能完全履行理由；在取得有关主管机关证明以后，允许延期履行、部分履行或者不履行合同，并根据情况可部分或全部免予承担违约责任。</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九、争议解决</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供需双方在执行合同中发生争议，应通过协商解决。如协商不成，可以向合同签署所在地法院提出诉讼。</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十、合同生效及其他</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1、合同由供、需双方代表签章，即行生效。</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2、本合同一式五份。</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3、合同执行过程中出现的未尽事宜，双方在不违背合同和招标文件的前提下协商解决。协商结果以“纪要”形式作为合同附件，与合同具有同等效力。</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十一、下列文件为本合同不可分割部分</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磋商</w:t>
      </w:r>
      <w:r>
        <w:rPr>
          <w:rFonts w:hint="eastAsia" w:ascii="宋体" w:hAnsi="宋体"/>
          <w:color w:val="auto"/>
          <w:sz w:val="24"/>
          <w:szCs w:val="24"/>
          <w:highlight w:val="none"/>
        </w:rPr>
        <w:t>文件及其补充材料</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2、响应文件及其补充材料</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3、投标供应商所做的其他承诺</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需方（章）：                   供方（章）：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法定代表人：                   法定代表人：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委托代理人：                 委托代理人：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地 址：                        地 址：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电 话：                        电 话：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开户银行：                     开户银行：                </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账 号：                        账 号:                      </w:t>
      </w:r>
    </w:p>
    <w:p>
      <w:pPr>
        <w:spacing w:line="360" w:lineRule="auto"/>
        <w:ind w:firstLine="480" w:firstLineChars="200"/>
        <w:jc w:val="both"/>
        <w:textAlignment w:val="baseline"/>
        <w:rPr>
          <w:rFonts w:ascii="宋体" w:hAnsi="宋体" w:eastAsia="宋体" w:cs="宋体"/>
          <w:b/>
          <w:bCs/>
          <w:color w:val="auto"/>
          <w:sz w:val="40"/>
          <w:szCs w:val="40"/>
          <w:highlight w:val="none"/>
        </w:rPr>
      </w:pPr>
      <w:r>
        <w:rPr>
          <w:rFonts w:hint="eastAsia" w:ascii="宋体" w:hAnsi="宋体"/>
          <w:color w:val="auto"/>
          <w:sz w:val="24"/>
          <w:szCs w:val="24"/>
          <w:highlight w:val="none"/>
        </w:rPr>
        <w:t xml:space="preserve">日 期：   年   月   日         日 期：   年   月   日   </w:t>
      </w:r>
      <w:r>
        <w:rPr>
          <w:rFonts w:ascii="宋体" w:hAnsi="宋体"/>
          <w:color w:val="auto"/>
          <w:sz w:val="24"/>
          <w:szCs w:val="24"/>
          <w:highlight w:val="none"/>
        </w:rPr>
        <w:br w:type="page"/>
      </w:r>
    </w:p>
    <w:p>
      <w:pPr>
        <w:spacing w:line="360" w:lineRule="auto"/>
        <w:jc w:val="center"/>
        <w:textAlignment w:val="baseline"/>
        <w:rPr>
          <w:rFonts w:ascii="宋体" w:hAnsi="宋体" w:eastAsia="宋体" w:cs="宋体"/>
          <w:b/>
          <w:bCs/>
          <w:color w:val="auto"/>
          <w:sz w:val="40"/>
          <w:szCs w:val="40"/>
          <w:highlight w:val="none"/>
        </w:rPr>
      </w:pPr>
    </w:p>
    <w:p>
      <w:pPr>
        <w:spacing w:line="360" w:lineRule="auto"/>
        <w:jc w:val="center"/>
        <w:textAlignment w:val="baseline"/>
        <w:rPr>
          <w:rFonts w:ascii="宋体" w:hAnsi="宋体" w:eastAsia="宋体" w:cs="宋体"/>
          <w:b/>
          <w:bCs/>
          <w:color w:val="auto"/>
          <w:sz w:val="40"/>
          <w:szCs w:val="40"/>
          <w:highlight w:val="none"/>
        </w:rPr>
      </w:pPr>
    </w:p>
    <w:p>
      <w:pPr>
        <w:jc w:val="center"/>
        <w:outlineLvl w:val="0"/>
        <w:rPr>
          <w:rFonts w:ascii="Calibri" w:hAnsi="Calibri" w:eastAsia="宋体" w:cs="Times New Roman"/>
          <w:b/>
          <w:bCs/>
          <w:color w:val="auto"/>
          <w:kern w:val="44"/>
          <w:sz w:val="40"/>
          <w:highlight w:val="none"/>
        </w:rPr>
      </w:pPr>
      <w:bookmarkStart w:id="21" w:name="_Toc32148"/>
      <w:r>
        <w:rPr>
          <w:rFonts w:hint="eastAsia" w:ascii="Calibri" w:hAnsi="Calibri" w:eastAsia="宋体" w:cs="Times New Roman"/>
          <w:b/>
          <w:bCs/>
          <w:color w:val="auto"/>
          <w:kern w:val="44"/>
          <w:sz w:val="40"/>
          <w:highlight w:val="none"/>
        </w:rPr>
        <w:t>第六章   电子化投标文件格式</w:t>
      </w:r>
      <w:bookmarkEnd w:id="21"/>
    </w:p>
    <w:p>
      <w:pPr>
        <w:spacing w:line="480" w:lineRule="atLeast"/>
        <w:jc w:val="center"/>
        <w:textAlignment w:val="baseline"/>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（此格式仅供参考）</w:t>
      </w:r>
    </w:p>
    <w:p>
      <w:pPr>
        <w:jc w:val="center"/>
        <w:rPr>
          <w:rFonts w:ascii="宋体" w:hAnsi="宋体" w:eastAsia="宋体" w:cs="宋体"/>
          <w:b/>
          <w:bCs/>
          <w:color w:val="auto"/>
          <w:kern w:val="0"/>
          <w:sz w:val="36"/>
          <w:szCs w:val="36"/>
          <w:highlight w:val="none"/>
        </w:rPr>
      </w:pPr>
    </w:p>
    <w:p>
      <w:pPr>
        <w:jc w:val="center"/>
        <w:rPr>
          <w:rFonts w:ascii="宋体" w:hAnsi="宋体" w:eastAsia="宋体" w:cs="宋体"/>
          <w:b/>
          <w:bCs/>
          <w:color w:val="auto"/>
          <w:sz w:val="44"/>
          <w:szCs w:val="44"/>
          <w:highlight w:val="none"/>
          <w:u w:val="single"/>
        </w:rPr>
      </w:pPr>
      <w:r>
        <w:rPr>
          <w:rFonts w:hint="eastAsia" w:ascii="宋体" w:hAnsi="宋体" w:eastAsia="宋体" w:cs="Arial"/>
          <w:b/>
          <w:bCs/>
          <w:color w:val="auto"/>
          <w:sz w:val="40"/>
          <w:szCs w:val="44"/>
          <w:highlight w:val="none"/>
          <w:u w:val="single"/>
        </w:rPr>
        <w:t xml:space="preserve">项目名称 </w:t>
      </w:r>
    </w:p>
    <w:p>
      <w:pPr>
        <w:widowControl/>
        <w:spacing w:line="360" w:lineRule="auto"/>
        <w:jc w:val="center"/>
        <w:rPr>
          <w:rFonts w:ascii="宋体" w:hAnsi="宋体" w:eastAsia="宋体" w:cs="宋体"/>
          <w:b/>
          <w:bCs/>
          <w:color w:val="auto"/>
          <w:kern w:val="0"/>
          <w:sz w:val="84"/>
          <w:szCs w:val="84"/>
          <w:highlight w:val="none"/>
        </w:rPr>
      </w:pPr>
    </w:p>
    <w:p>
      <w:pPr>
        <w:widowControl/>
        <w:spacing w:line="360" w:lineRule="auto"/>
        <w:jc w:val="center"/>
        <w:rPr>
          <w:rFonts w:ascii="宋体" w:hAnsi="宋体" w:eastAsia="宋体" w:cs="宋体"/>
          <w:b/>
          <w:bCs/>
          <w:color w:val="auto"/>
          <w:kern w:val="0"/>
          <w:sz w:val="84"/>
          <w:szCs w:val="84"/>
          <w:highlight w:val="none"/>
        </w:rPr>
      </w:pPr>
      <w:r>
        <w:rPr>
          <w:rFonts w:hint="eastAsia" w:ascii="宋体" w:hAnsi="宋体" w:eastAsia="宋体" w:cs="宋体"/>
          <w:b/>
          <w:bCs/>
          <w:color w:val="auto"/>
          <w:kern w:val="0"/>
          <w:sz w:val="84"/>
          <w:szCs w:val="84"/>
          <w:highlight w:val="none"/>
        </w:rPr>
        <w:t>投 标 文 件</w:t>
      </w:r>
    </w:p>
    <w:p>
      <w:pPr>
        <w:spacing w:line="360" w:lineRule="auto"/>
        <w:rPr>
          <w:rFonts w:ascii="宋体" w:hAnsi="宋体" w:eastAsia="宋体" w:cs="宋体"/>
          <w:b/>
          <w:bCs/>
          <w:color w:val="auto"/>
          <w:sz w:val="32"/>
          <w:szCs w:val="32"/>
          <w:highlight w:val="none"/>
        </w:rPr>
      </w:pPr>
    </w:p>
    <w:p>
      <w:pPr>
        <w:ind w:firstLine="2088" w:firstLineChars="650"/>
        <w:rPr>
          <w:rFonts w:ascii="宋体" w:hAnsi="宋体" w:eastAsia="宋体" w:cs="宋体"/>
          <w:b/>
          <w:bCs/>
          <w:color w:val="auto"/>
          <w:sz w:val="30"/>
          <w:szCs w:val="30"/>
          <w:highlight w:val="none"/>
        </w:rPr>
      </w:pPr>
      <w:r>
        <w:rPr>
          <w:rFonts w:hint="eastAsia" w:ascii="宋体" w:hAnsi="宋体" w:eastAsia="宋体" w:cs="宋体"/>
          <w:b/>
          <w:bCs/>
          <w:color w:val="auto"/>
          <w:sz w:val="32"/>
          <w:szCs w:val="32"/>
          <w:highlight w:val="none"/>
        </w:rPr>
        <w:t xml:space="preserve"> </w:t>
      </w:r>
      <w:r>
        <w:rPr>
          <w:rFonts w:ascii="宋体" w:hAnsi="宋体" w:eastAsia="宋体" w:cs="宋体"/>
          <w:b/>
          <w:bCs/>
          <w:color w:val="auto"/>
          <w:sz w:val="32"/>
          <w:szCs w:val="32"/>
          <w:highlight w:val="none"/>
        </w:rPr>
        <w:t xml:space="preserve">       </w:t>
      </w:r>
      <w:r>
        <w:rPr>
          <w:rFonts w:hint="eastAsia" w:ascii="宋体" w:hAnsi="宋体" w:eastAsia="宋体" w:cs="宋体"/>
          <w:b/>
          <w:bCs/>
          <w:color w:val="auto"/>
          <w:sz w:val="32"/>
          <w:szCs w:val="32"/>
          <w:highlight w:val="none"/>
        </w:rPr>
        <w:t>项目编号:</w:t>
      </w:r>
    </w:p>
    <w:p>
      <w:pPr>
        <w:ind w:firstLine="602" w:firstLineChars="200"/>
        <w:rPr>
          <w:rFonts w:ascii="宋体" w:hAnsi="宋体" w:eastAsia="宋体" w:cs="宋体"/>
          <w:b/>
          <w:bCs/>
          <w:color w:val="auto"/>
          <w:sz w:val="30"/>
          <w:szCs w:val="30"/>
          <w:highlight w:val="none"/>
        </w:rPr>
      </w:pPr>
    </w:p>
    <w:p>
      <w:pPr>
        <w:ind w:firstLine="3463" w:firstLineChars="1150"/>
        <w:rPr>
          <w:rFonts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 xml:space="preserve">     </w:t>
      </w:r>
    </w:p>
    <w:p>
      <w:pPr>
        <w:jc w:val="center"/>
        <w:rPr>
          <w:rFonts w:ascii="宋体" w:hAnsi="宋体" w:eastAsia="宋体" w:cs="宋体"/>
          <w:b/>
          <w:bCs/>
          <w:color w:val="auto"/>
          <w:sz w:val="32"/>
          <w:szCs w:val="32"/>
          <w:highlight w:val="none"/>
        </w:rPr>
      </w:pPr>
    </w:p>
    <w:p>
      <w:pPr>
        <w:spacing w:line="360" w:lineRule="auto"/>
        <w:rPr>
          <w:rFonts w:ascii="宋体" w:hAnsi="宋体" w:eastAsia="宋体" w:cs="宋体"/>
          <w:b/>
          <w:bCs/>
          <w:color w:val="auto"/>
          <w:sz w:val="30"/>
          <w:szCs w:val="30"/>
          <w:highlight w:val="none"/>
        </w:rPr>
      </w:pPr>
    </w:p>
    <w:p>
      <w:pPr>
        <w:spacing w:after="120"/>
        <w:rPr>
          <w:rFonts w:ascii="宋体" w:hAnsi="宋体" w:eastAsia="宋体" w:cs="Times New Roman"/>
          <w:color w:val="auto"/>
          <w:kern w:val="0"/>
          <w:sz w:val="20"/>
          <w:szCs w:val="20"/>
          <w:highlight w:val="none"/>
        </w:rPr>
      </w:pPr>
    </w:p>
    <w:p>
      <w:pPr>
        <w:spacing w:after="120"/>
        <w:ind w:firstLine="200" w:firstLineChars="100"/>
        <w:rPr>
          <w:rFonts w:ascii="宋体" w:hAnsi="宋体" w:eastAsia="宋体" w:cs="Times New Roman"/>
          <w:color w:val="auto"/>
          <w:kern w:val="0"/>
          <w:sz w:val="20"/>
          <w:szCs w:val="20"/>
          <w:highlight w:val="none"/>
        </w:rPr>
      </w:pPr>
    </w:p>
    <w:p>
      <w:pPr>
        <w:spacing w:line="480" w:lineRule="auto"/>
        <w:rPr>
          <w:rFonts w:ascii="宋体" w:hAnsi="宋体" w:eastAsia="宋体" w:cs="宋体"/>
          <w:color w:val="auto"/>
          <w:sz w:val="28"/>
          <w:szCs w:val="28"/>
          <w:highlight w:val="none"/>
        </w:rPr>
      </w:pPr>
    </w:p>
    <w:p>
      <w:pPr>
        <w:spacing w:line="480" w:lineRule="auto"/>
        <w:ind w:left="735" w:leftChars="350" w:firstLine="1093" w:firstLineChars="389"/>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供应商名称 （盖章）：</w:t>
      </w:r>
    </w:p>
    <w:p>
      <w:pPr>
        <w:spacing w:line="480" w:lineRule="auto"/>
        <w:ind w:left="735" w:leftChars="350" w:firstLine="1093" w:firstLineChars="389"/>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法定代表人（签字或盖章）：</w:t>
      </w:r>
    </w:p>
    <w:p>
      <w:pPr>
        <w:spacing w:line="480" w:lineRule="auto"/>
        <w:ind w:left="735" w:leftChars="350" w:firstLine="1093" w:firstLineChars="389"/>
        <w:rPr>
          <w:rFonts w:ascii="宋体" w:hAnsi="宋体" w:eastAsia="宋体" w:cs="宋体"/>
          <w:b/>
          <w:bCs/>
          <w:color w:val="auto"/>
          <w:sz w:val="36"/>
          <w:szCs w:val="36"/>
          <w:highlight w:val="none"/>
        </w:rPr>
      </w:pPr>
      <w:r>
        <w:rPr>
          <w:rFonts w:hint="eastAsia" w:ascii="宋体" w:hAnsi="宋体" w:eastAsia="宋体" w:cs="宋体"/>
          <w:b/>
          <w:bCs/>
          <w:color w:val="auto"/>
          <w:sz w:val="28"/>
          <w:szCs w:val="28"/>
          <w:highlight w:val="none"/>
        </w:rPr>
        <w:t>日            期：</w:t>
      </w:r>
    </w:p>
    <w:p>
      <w:pPr>
        <w:spacing w:line="480" w:lineRule="exact"/>
        <w:jc w:val="center"/>
        <w:rPr>
          <w:rFonts w:ascii="宋体" w:hAnsi="宋体" w:eastAsia="宋体" w:cs="宋体"/>
          <w:b/>
          <w:bCs/>
          <w:color w:val="auto"/>
          <w:sz w:val="24"/>
          <w:szCs w:val="32"/>
          <w:highlight w:val="none"/>
        </w:rPr>
      </w:pPr>
    </w:p>
    <w:p>
      <w:pPr>
        <w:spacing w:line="480" w:lineRule="exact"/>
        <w:jc w:val="center"/>
        <w:rPr>
          <w:rFonts w:ascii="宋体" w:hAnsi="宋体" w:eastAsia="宋体" w:cs="宋体"/>
          <w:b/>
          <w:bCs/>
          <w:color w:val="auto"/>
          <w:sz w:val="24"/>
          <w:szCs w:val="32"/>
          <w:highlight w:val="none"/>
        </w:rPr>
      </w:pPr>
    </w:p>
    <w:p>
      <w:pPr>
        <w:spacing w:line="480" w:lineRule="exact"/>
        <w:jc w:val="center"/>
        <w:rPr>
          <w:rFonts w:ascii="宋体" w:hAnsi="宋体" w:eastAsia="宋体" w:cs="宋体"/>
          <w:b/>
          <w:bCs/>
          <w:color w:val="auto"/>
          <w:sz w:val="24"/>
          <w:szCs w:val="32"/>
          <w:highlight w:val="none"/>
        </w:rPr>
      </w:pPr>
    </w:p>
    <w:p>
      <w:pPr>
        <w:spacing w:line="480" w:lineRule="exact"/>
        <w:jc w:val="center"/>
        <w:rPr>
          <w:rFonts w:ascii="宋体" w:hAnsi="宋体" w:eastAsia="宋体" w:cs="宋体"/>
          <w:b/>
          <w:bCs/>
          <w:color w:val="auto"/>
          <w:sz w:val="24"/>
          <w:szCs w:val="32"/>
          <w:highlight w:val="none"/>
        </w:rPr>
      </w:pPr>
    </w:p>
    <w:p>
      <w:pPr>
        <w:spacing w:line="480" w:lineRule="exact"/>
        <w:jc w:val="center"/>
        <w:rPr>
          <w:rFonts w:ascii="宋体" w:hAnsi="宋体" w:eastAsia="宋体" w:cs="宋体"/>
          <w:b/>
          <w:bCs/>
          <w:color w:val="auto"/>
          <w:sz w:val="36"/>
          <w:szCs w:val="44"/>
          <w:highlight w:val="none"/>
        </w:rPr>
      </w:pPr>
      <w:r>
        <w:rPr>
          <w:rFonts w:hint="eastAsia" w:ascii="宋体" w:hAnsi="宋体" w:eastAsia="宋体" w:cs="宋体"/>
          <w:b/>
          <w:bCs/>
          <w:color w:val="auto"/>
          <w:sz w:val="36"/>
          <w:szCs w:val="44"/>
          <w:highlight w:val="none"/>
        </w:rPr>
        <w:t>目录</w:t>
      </w:r>
    </w:p>
    <w:p>
      <w:pPr>
        <w:spacing w:line="480" w:lineRule="exact"/>
        <w:jc w:val="center"/>
        <w:rPr>
          <w:rFonts w:ascii="宋体" w:hAnsi="宋体" w:eastAsia="宋体" w:cs="宋体"/>
          <w:b/>
          <w:bCs/>
          <w:color w:val="auto"/>
          <w:sz w:val="36"/>
          <w:szCs w:val="44"/>
          <w:highlight w:val="none"/>
        </w:rPr>
      </w:pPr>
      <w:r>
        <w:rPr>
          <w:rFonts w:hint="eastAsia" w:ascii="宋体" w:hAnsi="宋体" w:eastAsia="宋体" w:cs="宋体"/>
          <w:b/>
          <w:bCs/>
          <w:color w:val="auto"/>
          <w:sz w:val="36"/>
          <w:szCs w:val="44"/>
          <w:highlight w:val="none"/>
        </w:rPr>
        <w:t>（自拟）</w:t>
      </w:r>
    </w:p>
    <w:p>
      <w:pPr>
        <w:spacing w:line="480" w:lineRule="exact"/>
        <w:rPr>
          <w:rFonts w:ascii="宋体" w:hAnsi="宋体" w:eastAsia="宋体" w:cs="宋体"/>
          <w:b/>
          <w:bCs/>
          <w:color w:val="auto"/>
          <w:szCs w:val="24"/>
          <w:highlight w:val="none"/>
        </w:rPr>
      </w:pPr>
    </w:p>
    <w:p>
      <w:pPr>
        <w:spacing w:line="480" w:lineRule="exact"/>
        <w:jc w:val="center"/>
        <w:rPr>
          <w:rFonts w:ascii="宋体" w:hAnsi="宋体" w:eastAsia="宋体" w:cs="宋体"/>
          <w:b/>
          <w:bCs/>
          <w:color w:val="auto"/>
          <w:sz w:val="24"/>
          <w:szCs w:val="24"/>
          <w:highlight w:val="none"/>
        </w:rPr>
      </w:pPr>
      <w:r>
        <w:rPr>
          <w:rFonts w:hint="eastAsia" w:ascii="宋体" w:hAnsi="宋体" w:eastAsia="宋体" w:cs="宋体"/>
          <w:b/>
          <w:bCs/>
          <w:color w:val="auto"/>
          <w:szCs w:val="24"/>
          <w:highlight w:val="none"/>
        </w:rPr>
        <w:br w:type="page"/>
      </w:r>
      <w:bookmarkStart w:id="22" w:name="_Toc31870_WPSOffice_Level1"/>
      <w:r>
        <w:rPr>
          <w:rFonts w:hint="eastAsia" w:ascii="宋体" w:hAnsi="宋体" w:eastAsia="宋体" w:cs="宋体"/>
          <w:b/>
          <w:bCs/>
          <w:color w:val="auto"/>
          <w:sz w:val="28"/>
          <w:szCs w:val="28"/>
          <w:highlight w:val="none"/>
        </w:rPr>
        <w:t>一、投标函</w:t>
      </w:r>
      <w:bookmarkEnd w:id="22"/>
    </w:p>
    <w:p>
      <w:pPr>
        <w:spacing w:line="360" w:lineRule="auto"/>
        <w:jc w:val="left"/>
        <w:rPr>
          <w:rFonts w:ascii="宋体" w:hAnsi="宋体" w:eastAsia="宋体" w:cs="宋体"/>
          <w:color w:val="auto"/>
          <w:spacing w:val="24"/>
          <w:sz w:val="24"/>
          <w:szCs w:val="24"/>
          <w:highlight w:val="none"/>
        </w:rPr>
      </w:pPr>
      <w:r>
        <w:rPr>
          <w:rFonts w:hint="eastAsia" w:ascii="宋体" w:hAnsi="宋体" w:eastAsia="宋体" w:cs="宋体"/>
          <w:color w:val="auto"/>
          <w:spacing w:val="24"/>
          <w:sz w:val="24"/>
          <w:szCs w:val="24"/>
          <w:highlight w:val="none"/>
        </w:rPr>
        <w:t>致</w:t>
      </w:r>
      <w:r>
        <w:rPr>
          <w:rFonts w:hint="eastAsia" w:ascii="宋体" w:hAnsi="宋体" w:eastAsia="宋体" w:cs="宋体"/>
          <w:color w:val="auto"/>
          <w:spacing w:val="24"/>
          <w:sz w:val="24"/>
          <w:szCs w:val="24"/>
          <w:highlight w:val="none"/>
          <w:u w:val="single"/>
        </w:rPr>
        <w:t xml:space="preserve">     （采购人）     </w:t>
      </w:r>
      <w:r>
        <w:rPr>
          <w:rFonts w:hint="eastAsia" w:ascii="宋体" w:hAnsi="宋体" w:eastAsia="宋体" w:cs="宋体"/>
          <w:color w:val="auto"/>
          <w:spacing w:val="24"/>
          <w:sz w:val="24"/>
          <w:szCs w:val="24"/>
          <w:highlight w:val="none"/>
        </w:rPr>
        <w:t>：</w:t>
      </w:r>
    </w:p>
    <w:p>
      <w:pPr>
        <w:spacing w:line="360" w:lineRule="auto"/>
        <w:ind w:firstLine="480" w:firstLineChars="200"/>
        <w:jc w:val="left"/>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根据已收到贵方的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（项目名称）的招标文件，遵照《中华人民共和国政府采购法》等有关规定，我单位经研究上述招标文件的投标须知、合同条款、</w:t>
      </w:r>
      <w:r>
        <w:rPr>
          <w:rFonts w:hint="eastAsia" w:ascii="宋体" w:hAnsi="宋体" w:eastAsia="宋体" w:cs="宋体"/>
          <w:color w:val="auto"/>
          <w:sz w:val="24"/>
          <w:szCs w:val="24"/>
          <w:highlight w:val="none"/>
          <w:lang w:val="en-US" w:eastAsia="zh-CN"/>
        </w:rPr>
        <w:t>服务需求</w:t>
      </w:r>
      <w:r>
        <w:rPr>
          <w:rFonts w:hint="eastAsia" w:ascii="宋体" w:hAnsi="宋体" w:eastAsia="宋体" w:cs="宋体"/>
          <w:color w:val="auto"/>
          <w:sz w:val="24"/>
          <w:szCs w:val="24"/>
          <w:highlight w:val="none"/>
        </w:rPr>
        <w:t>及其它有关文件后，我方愿以人民币（大写）：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元）的投标报价；</w:t>
      </w:r>
      <w:r>
        <w:rPr>
          <w:rFonts w:hint="eastAsia" w:ascii="宋体" w:hAnsi="宋体" w:eastAsia="宋体" w:cs="宋体"/>
          <w:color w:val="auto"/>
          <w:sz w:val="24"/>
          <w:szCs w:val="24"/>
          <w:highlight w:val="none"/>
          <w:lang w:val="en-US" w:eastAsia="zh-CN"/>
        </w:rPr>
        <w:t>服务期限</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质量要求</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,承包上述项目的</w:t>
      </w:r>
      <w:r>
        <w:rPr>
          <w:rFonts w:hint="eastAsia" w:ascii="宋体" w:hAnsi="宋体" w:eastAsia="宋体" w:cs="Arial"/>
          <w:color w:val="auto"/>
          <w:sz w:val="24"/>
          <w:szCs w:val="24"/>
          <w:highlight w:val="none"/>
          <w:lang w:val="en-US" w:eastAsia="zh-CN"/>
        </w:rPr>
        <w:t>调查及评估等</w:t>
      </w:r>
      <w:r>
        <w:rPr>
          <w:rFonts w:hint="eastAsia" w:ascii="宋体" w:hAnsi="宋体" w:eastAsia="宋体" w:cs="Arial"/>
          <w:color w:val="auto"/>
          <w:sz w:val="24"/>
          <w:szCs w:val="24"/>
          <w:highlight w:val="none"/>
        </w:rPr>
        <w:t>其他伴随服务</w:t>
      </w:r>
      <w:r>
        <w:rPr>
          <w:rFonts w:hint="eastAsia" w:ascii="宋体" w:hAnsi="宋体" w:eastAsia="宋体" w:cs="宋体"/>
          <w:color w:val="auto"/>
          <w:sz w:val="24"/>
          <w:szCs w:val="24"/>
          <w:highlight w:val="none"/>
          <w:shd w:val="clear" w:color="auto" w:fill="FFFFFF"/>
        </w:rPr>
        <w:t>。</w:t>
      </w:r>
    </w:p>
    <w:p>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已详细审核全部招标文件，包括修改文件（如有）及有关附件，已充分理解并掌握了本招标项目的全部有关情况，认为招标文件符合法律、法规的要求，充分体现了公开、公平、公正和诚实信用原则，我方对招标文件没有任何异议。同意接受招标文件的全部内容和条件。</w:t>
      </w:r>
    </w:p>
    <w:p>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2、我方承认投标函附表是我方投标函的组成部分。</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3、如我方中标，我方承诺在收到中标通知书后，在中标通知书规定的期限内，根据招标文件、我方的投标文件及有关澄清承诺书的要求，与采购人订立书面合同，并按照合同约定承担完成合同的责任和义务。</w:t>
      </w:r>
    </w:p>
    <w:p>
      <w:pPr>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kern w:val="0"/>
          <w:sz w:val="24"/>
          <w:szCs w:val="24"/>
          <w:highlight w:val="none"/>
        </w:rPr>
        <w:t>我方同意自本项目招标文件中规定的投标有效期内有效，并承诺在投标有效期内不修改、撤销投标文件。</w:t>
      </w:r>
    </w:p>
    <w:p>
      <w:pPr>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kern w:val="0"/>
          <w:sz w:val="24"/>
          <w:szCs w:val="24"/>
          <w:highlight w:val="none"/>
        </w:rPr>
        <w:t>我方完全理解贵方不一定接受投标报价最低的供应商为中标供应商的行为。</w:t>
      </w:r>
    </w:p>
    <w:p>
      <w:pPr>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kern w:val="0"/>
          <w:sz w:val="24"/>
          <w:szCs w:val="24"/>
          <w:highlight w:val="none"/>
        </w:rPr>
        <w:t>我方在此声明，所递交的投标文件及有关资料内容完整、真实和准确。</w:t>
      </w:r>
    </w:p>
    <w:p>
      <w:pPr>
        <w:spacing w:line="360" w:lineRule="auto"/>
        <w:ind w:firstLine="240" w:firstLineChars="100"/>
        <w:jc w:val="left"/>
        <w:rPr>
          <w:rFonts w:ascii="宋体" w:hAnsi="宋体" w:eastAsia="宋体" w:cs="宋体"/>
          <w:color w:val="auto"/>
          <w:sz w:val="24"/>
          <w:szCs w:val="24"/>
          <w:highlight w:val="none"/>
        </w:rPr>
      </w:pPr>
    </w:p>
    <w:p>
      <w:pPr>
        <w:spacing w:line="360" w:lineRule="auto"/>
        <w:ind w:firstLine="1152" w:firstLineChars="400"/>
        <w:jc w:val="left"/>
        <w:rPr>
          <w:rFonts w:ascii="宋体" w:hAnsi="宋体" w:eastAsia="宋体" w:cs="宋体"/>
          <w:color w:val="auto"/>
          <w:spacing w:val="24"/>
          <w:sz w:val="24"/>
          <w:szCs w:val="24"/>
          <w:highlight w:val="none"/>
        </w:rPr>
      </w:pPr>
    </w:p>
    <w:p>
      <w:pPr>
        <w:spacing w:line="480" w:lineRule="auto"/>
        <w:jc w:val="center"/>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供应商(盖章)：</w:t>
      </w:r>
    </w:p>
    <w:p>
      <w:pPr>
        <w:spacing w:line="480" w:lineRule="auto"/>
        <w:jc w:val="center"/>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法定代表人 (签字或盖章)：</w:t>
      </w:r>
    </w:p>
    <w:p>
      <w:pPr>
        <w:spacing w:line="480" w:lineRule="auto"/>
        <w:jc w:val="center"/>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 xml:space="preserve">                                   日期：  年   月   日</w:t>
      </w:r>
    </w:p>
    <w:p>
      <w:pPr>
        <w:spacing w:line="480" w:lineRule="exact"/>
        <w:rPr>
          <w:rFonts w:ascii="宋体" w:hAnsi="宋体" w:eastAsia="宋体" w:cs="宋体"/>
          <w:b/>
          <w:color w:val="auto"/>
          <w:sz w:val="24"/>
          <w:szCs w:val="24"/>
          <w:highlight w:val="none"/>
        </w:rPr>
      </w:pPr>
    </w:p>
    <w:p>
      <w:pPr>
        <w:widowControl/>
        <w:spacing w:line="480" w:lineRule="exact"/>
        <w:rPr>
          <w:rFonts w:ascii="宋体" w:hAnsi="宋体" w:eastAsia="宋体" w:cs="宋体"/>
          <w:b/>
          <w:bCs/>
          <w:color w:val="auto"/>
          <w:kern w:val="0"/>
          <w:sz w:val="24"/>
          <w:szCs w:val="24"/>
          <w:highlight w:val="none"/>
        </w:rPr>
        <w:sectPr>
          <w:footerReference r:id="rId5" w:type="default"/>
          <w:pgSz w:w="11906" w:h="16838"/>
          <w:pgMar w:top="1440" w:right="1080" w:bottom="1440" w:left="1080" w:header="720" w:footer="720" w:gutter="0"/>
          <w:pgNumType w:fmt="decimal"/>
          <w:cols w:space="720" w:num="1"/>
          <w:docGrid w:type="lines" w:linePitch="312" w:charSpace="0"/>
        </w:sectPr>
      </w:pPr>
    </w:p>
    <w:p>
      <w:pPr>
        <w:widowControl/>
        <w:jc w:val="center"/>
        <w:rPr>
          <w:rFonts w:ascii="宋体" w:hAnsi="宋体" w:eastAsia="宋体" w:cs="宋体"/>
          <w:b/>
          <w:bCs/>
          <w:color w:val="auto"/>
          <w:sz w:val="28"/>
          <w:szCs w:val="28"/>
          <w:highlight w:val="none"/>
        </w:rPr>
      </w:pPr>
      <w:bookmarkStart w:id="23" w:name="_Toc10672_WPSOffice_Level1"/>
      <w:r>
        <w:rPr>
          <w:rFonts w:ascii="宋体" w:hAnsi="宋体" w:eastAsia="宋体" w:cs="宋体"/>
          <w:color w:val="auto"/>
          <w:sz w:val="24"/>
          <w:szCs w:val="24"/>
          <w:highlight w:val="none"/>
        </w:rPr>
        <w:br w:type="page"/>
      </w:r>
      <w:r>
        <w:rPr>
          <w:rFonts w:hint="eastAsia" w:ascii="宋体" w:hAnsi="宋体" w:eastAsia="宋体" w:cs="宋体"/>
          <w:b/>
          <w:bCs/>
          <w:color w:val="auto"/>
          <w:sz w:val="28"/>
          <w:szCs w:val="28"/>
          <w:highlight w:val="none"/>
        </w:rPr>
        <w:t>二、</w:t>
      </w:r>
      <w:bookmarkEnd w:id="23"/>
      <w:r>
        <w:rPr>
          <w:rFonts w:hint="eastAsia" w:ascii="宋体" w:hAnsi="宋体" w:eastAsia="宋体" w:cs="宋体"/>
          <w:b/>
          <w:bCs/>
          <w:color w:val="auto"/>
          <w:sz w:val="28"/>
          <w:szCs w:val="28"/>
          <w:highlight w:val="none"/>
        </w:rPr>
        <w:t>投标函附表</w:t>
      </w:r>
    </w:p>
    <w:tbl>
      <w:tblPr>
        <w:tblStyle w:val="35"/>
        <w:tblW w:w="8719" w:type="dxa"/>
        <w:jc w:val="center"/>
        <w:tblInd w:w="0" w:type="dxa"/>
        <w:tblLayout w:type="fixed"/>
        <w:tblCellMar>
          <w:top w:w="0" w:type="dxa"/>
          <w:left w:w="0" w:type="dxa"/>
          <w:bottom w:w="0" w:type="dxa"/>
          <w:right w:w="0" w:type="dxa"/>
        </w:tblCellMar>
      </w:tblPr>
      <w:tblGrid>
        <w:gridCol w:w="2227"/>
        <w:gridCol w:w="6492"/>
      </w:tblGrid>
      <w:tr>
        <w:tblPrEx>
          <w:tblLayout w:type="fixed"/>
          <w:tblCellMar>
            <w:top w:w="0" w:type="dxa"/>
            <w:left w:w="0" w:type="dxa"/>
            <w:bottom w:w="0" w:type="dxa"/>
            <w:right w:w="0" w:type="dxa"/>
          </w:tblCellMar>
        </w:tblPrEx>
        <w:trPr>
          <w:trHeight w:val="1324" w:hRule="atLeast"/>
          <w:jc w:val="center"/>
        </w:trPr>
        <w:tc>
          <w:tcPr>
            <w:tcW w:w="222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500" w:lineRule="exact"/>
              <w:jc w:val="center"/>
              <w:rPr>
                <w:rFonts w:ascii="宋体" w:hAnsi="宋体" w:eastAsia="宋体" w:cs="Times New Roman"/>
                <w:color w:val="auto"/>
                <w:kern w:val="0"/>
                <w:sz w:val="24"/>
                <w:szCs w:val="24"/>
                <w:highlight w:val="none"/>
              </w:rPr>
            </w:pPr>
            <w:bookmarkStart w:id="24" w:name="_Toc365647229"/>
            <w:r>
              <w:rPr>
                <w:rFonts w:hint="eastAsia" w:ascii="宋体" w:hAnsi="宋体" w:eastAsia="宋体" w:cs="Times New Roman"/>
                <w:color w:val="auto"/>
                <w:kern w:val="0"/>
                <w:sz w:val="24"/>
                <w:szCs w:val="24"/>
                <w:highlight w:val="none"/>
              </w:rPr>
              <w:t>项目名称</w:t>
            </w:r>
            <w:bookmarkEnd w:id="24"/>
          </w:p>
        </w:tc>
        <w:tc>
          <w:tcPr>
            <w:tcW w:w="6492" w:type="dxa"/>
            <w:tcBorders>
              <w:top w:val="single" w:color="auto" w:sz="4" w:space="0"/>
              <w:left w:val="nil"/>
              <w:bottom w:val="single" w:color="auto" w:sz="4" w:space="0"/>
              <w:right w:val="single" w:color="auto" w:sz="4" w:space="0"/>
            </w:tcBorders>
            <w:vAlign w:val="center"/>
          </w:tcPr>
          <w:p>
            <w:pPr>
              <w:autoSpaceDE w:val="0"/>
              <w:autoSpaceDN w:val="0"/>
              <w:spacing w:line="500" w:lineRule="exact"/>
              <w:jc w:val="center"/>
              <w:rPr>
                <w:rFonts w:ascii="宋体" w:hAnsi="宋体" w:eastAsia="宋体" w:cs="Times New Roman"/>
                <w:color w:val="auto"/>
                <w:kern w:val="0"/>
                <w:sz w:val="24"/>
                <w:szCs w:val="24"/>
                <w:highlight w:val="none"/>
              </w:rPr>
            </w:pPr>
          </w:p>
        </w:tc>
      </w:tr>
      <w:tr>
        <w:tblPrEx>
          <w:tblLayout w:type="fixed"/>
          <w:tblCellMar>
            <w:top w:w="0" w:type="dxa"/>
            <w:left w:w="0" w:type="dxa"/>
            <w:bottom w:w="0" w:type="dxa"/>
            <w:right w:w="0" w:type="dxa"/>
          </w:tblCellMar>
        </w:tblPrEx>
        <w:trPr>
          <w:trHeight w:val="1324" w:hRule="atLeast"/>
          <w:jc w:val="center"/>
        </w:trPr>
        <w:tc>
          <w:tcPr>
            <w:tcW w:w="222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5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供应商名称</w:t>
            </w:r>
          </w:p>
        </w:tc>
        <w:tc>
          <w:tcPr>
            <w:tcW w:w="6492" w:type="dxa"/>
            <w:tcBorders>
              <w:top w:val="single" w:color="auto" w:sz="4" w:space="0"/>
              <w:left w:val="nil"/>
              <w:bottom w:val="single" w:color="auto" w:sz="4" w:space="0"/>
              <w:right w:val="single" w:color="auto" w:sz="4" w:space="0"/>
            </w:tcBorders>
            <w:vAlign w:val="center"/>
          </w:tcPr>
          <w:p>
            <w:pPr>
              <w:autoSpaceDE w:val="0"/>
              <w:autoSpaceDN w:val="0"/>
              <w:spacing w:line="500" w:lineRule="exact"/>
              <w:jc w:val="center"/>
              <w:rPr>
                <w:rFonts w:ascii="宋体" w:hAnsi="宋体" w:eastAsia="宋体" w:cs="Times New Roman"/>
                <w:color w:val="auto"/>
                <w:kern w:val="0"/>
                <w:sz w:val="24"/>
                <w:szCs w:val="24"/>
                <w:highlight w:val="none"/>
              </w:rPr>
            </w:pPr>
          </w:p>
        </w:tc>
      </w:tr>
      <w:tr>
        <w:tblPrEx>
          <w:tblLayout w:type="fixed"/>
          <w:tblCellMar>
            <w:top w:w="0" w:type="dxa"/>
            <w:left w:w="0" w:type="dxa"/>
            <w:bottom w:w="0" w:type="dxa"/>
            <w:right w:w="0" w:type="dxa"/>
          </w:tblCellMar>
        </w:tblPrEx>
        <w:trPr>
          <w:trHeight w:val="1324" w:hRule="atLeast"/>
          <w:jc w:val="center"/>
        </w:trPr>
        <w:tc>
          <w:tcPr>
            <w:tcW w:w="222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5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投标报价</w:t>
            </w:r>
          </w:p>
        </w:tc>
        <w:tc>
          <w:tcPr>
            <w:tcW w:w="6492" w:type="dxa"/>
            <w:tcBorders>
              <w:top w:val="single" w:color="auto" w:sz="4" w:space="0"/>
              <w:left w:val="nil"/>
              <w:bottom w:val="single" w:color="auto" w:sz="4" w:space="0"/>
              <w:right w:val="single" w:color="auto" w:sz="4" w:space="0"/>
            </w:tcBorders>
            <w:vAlign w:val="center"/>
          </w:tcPr>
          <w:p>
            <w:pPr>
              <w:autoSpaceDE w:val="0"/>
              <w:autoSpaceDN w:val="0"/>
              <w:spacing w:line="500" w:lineRule="exact"/>
              <w:rPr>
                <w:color w:val="auto"/>
                <w:highlight w:val="none"/>
              </w:rPr>
            </w:pPr>
            <w:r>
              <w:rPr>
                <w:rFonts w:hint="eastAsia"/>
                <w:color w:val="auto"/>
                <w:highlight w:val="none"/>
              </w:rPr>
              <w:t>（大写）：</w:t>
            </w:r>
          </w:p>
          <w:p>
            <w:pPr>
              <w:autoSpaceDE w:val="0"/>
              <w:autoSpaceDN w:val="0"/>
              <w:spacing w:line="500" w:lineRule="exact"/>
              <w:rPr>
                <w:rFonts w:hint="default" w:eastAsia="宋体"/>
                <w:color w:val="auto"/>
                <w:highlight w:val="none"/>
                <w:lang w:val="en-US" w:eastAsia="zh-CN"/>
              </w:rPr>
            </w:pPr>
            <w:r>
              <w:rPr>
                <w:rFonts w:hint="eastAsia"/>
                <w:color w:val="auto"/>
                <w:highlight w:val="none"/>
              </w:rPr>
              <w:t>（小写）：</w:t>
            </w:r>
            <w:r>
              <w:rPr>
                <w:color w:val="auto"/>
                <w:highlight w:val="none"/>
              </w:rPr>
              <w:t xml:space="preserve"> </w:t>
            </w:r>
          </w:p>
        </w:tc>
      </w:tr>
      <w:tr>
        <w:tblPrEx>
          <w:tblLayout w:type="fixed"/>
          <w:tblCellMar>
            <w:top w:w="0" w:type="dxa"/>
            <w:left w:w="0" w:type="dxa"/>
            <w:bottom w:w="0" w:type="dxa"/>
            <w:right w:w="0" w:type="dxa"/>
          </w:tblCellMar>
        </w:tblPrEx>
        <w:trPr>
          <w:trHeight w:val="1324" w:hRule="atLeast"/>
          <w:jc w:val="center"/>
        </w:trPr>
        <w:tc>
          <w:tcPr>
            <w:tcW w:w="222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500" w:lineRule="exact"/>
              <w:jc w:val="center"/>
              <w:rPr>
                <w:rFonts w:hint="default" w:ascii="宋体" w:hAnsi="宋体" w:eastAsia="宋体" w:cs="Times New Roman"/>
                <w:color w:val="auto"/>
                <w:kern w:val="0"/>
                <w:sz w:val="24"/>
                <w:szCs w:val="24"/>
                <w:highlight w:val="none"/>
                <w:lang w:val="en-US" w:eastAsia="zh-CN"/>
              </w:rPr>
            </w:pPr>
            <w:r>
              <w:rPr>
                <w:rFonts w:hint="eastAsia" w:ascii="宋体" w:hAnsi="宋体" w:eastAsia="宋体" w:cs="Times New Roman"/>
                <w:color w:val="auto"/>
                <w:kern w:val="0"/>
                <w:sz w:val="24"/>
                <w:szCs w:val="24"/>
                <w:highlight w:val="none"/>
                <w:lang w:val="en-US" w:eastAsia="zh-CN"/>
              </w:rPr>
              <w:t>项目负责人及     联系电话</w:t>
            </w:r>
          </w:p>
        </w:tc>
        <w:tc>
          <w:tcPr>
            <w:tcW w:w="6492" w:type="dxa"/>
            <w:tcBorders>
              <w:top w:val="single" w:color="auto" w:sz="4" w:space="0"/>
              <w:left w:val="nil"/>
              <w:bottom w:val="single" w:color="auto" w:sz="4" w:space="0"/>
              <w:right w:val="single" w:color="auto" w:sz="4" w:space="0"/>
            </w:tcBorders>
            <w:vAlign w:val="center"/>
          </w:tcPr>
          <w:p>
            <w:pPr>
              <w:autoSpaceDE w:val="0"/>
              <w:autoSpaceDN w:val="0"/>
              <w:spacing w:line="500" w:lineRule="exact"/>
              <w:ind w:firstLine="840" w:firstLineChars="350"/>
              <w:rPr>
                <w:rFonts w:hint="eastAsia" w:ascii="宋体" w:hAnsi="宋体" w:eastAsia="宋体" w:cs="Times New Roman"/>
                <w:color w:val="auto"/>
                <w:kern w:val="0"/>
                <w:sz w:val="24"/>
                <w:szCs w:val="24"/>
                <w:highlight w:val="none"/>
              </w:rPr>
            </w:pPr>
          </w:p>
        </w:tc>
      </w:tr>
      <w:tr>
        <w:tblPrEx>
          <w:tblLayout w:type="fixed"/>
          <w:tblCellMar>
            <w:top w:w="0" w:type="dxa"/>
            <w:left w:w="0" w:type="dxa"/>
            <w:bottom w:w="0" w:type="dxa"/>
            <w:right w:w="0" w:type="dxa"/>
          </w:tblCellMar>
        </w:tblPrEx>
        <w:trPr>
          <w:trHeight w:val="1000" w:hRule="atLeast"/>
          <w:jc w:val="center"/>
        </w:trPr>
        <w:tc>
          <w:tcPr>
            <w:tcW w:w="222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5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质量要求</w:t>
            </w:r>
          </w:p>
        </w:tc>
        <w:tc>
          <w:tcPr>
            <w:tcW w:w="6492" w:type="dxa"/>
            <w:tcBorders>
              <w:top w:val="single" w:color="auto" w:sz="4" w:space="0"/>
              <w:left w:val="nil"/>
              <w:bottom w:val="single" w:color="auto" w:sz="4" w:space="0"/>
              <w:right w:val="single" w:color="auto" w:sz="4" w:space="0"/>
            </w:tcBorders>
            <w:vAlign w:val="center"/>
          </w:tcPr>
          <w:p>
            <w:pPr>
              <w:autoSpaceDE w:val="0"/>
              <w:autoSpaceDN w:val="0"/>
              <w:spacing w:line="500" w:lineRule="exact"/>
              <w:ind w:firstLine="120" w:firstLineChars="50"/>
              <w:rPr>
                <w:rFonts w:ascii="宋体" w:hAnsi="宋体" w:eastAsia="宋体" w:cs="Times New Roman"/>
                <w:color w:val="auto"/>
                <w:kern w:val="0"/>
                <w:sz w:val="24"/>
                <w:szCs w:val="24"/>
                <w:highlight w:val="none"/>
              </w:rPr>
            </w:pPr>
          </w:p>
        </w:tc>
      </w:tr>
      <w:tr>
        <w:tblPrEx>
          <w:tblLayout w:type="fixed"/>
          <w:tblCellMar>
            <w:top w:w="0" w:type="dxa"/>
            <w:left w:w="0" w:type="dxa"/>
            <w:bottom w:w="0" w:type="dxa"/>
            <w:right w:w="0" w:type="dxa"/>
          </w:tblCellMar>
        </w:tblPrEx>
        <w:trPr>
          <w:trHeight w:val="934" w:hRule="atLeast"/>
          <w:jc w:val="center"/>
        </w:trPr>
        <w:tc>
          <w:tcPr>
            <w:tcW w:w="222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5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rPr>
              <w:t>服务期限</w:t>
            </w:r>
          </w:p>
        </w:tc>
        <w:tc>
          <w:tcPr>
            <w:tcW w:w="6492" w:type="dxa"/>
            <w:tcBorders>
              <w:top w:val="single" w:color="auto" w:sz="4" w:space="0"/>
              <w:left w:val="nil"/>
              <w:bottom w:val="single" w:color="auto" w:sz="4" w:space="0"/>
              <w:right w:val="single" w:color="auto" w:sz="4" w:space="0"/>
            </w:tcBorders>
            <w:vAlign w:val="center"/>
          </w:tcPr>
          <w:p>
            <w:pPr>
              <w:autoSpaceDE w:val="0"/>
              <w:autoSpaceDN w:val="0"/>
              <w:spacing w:line="500" w:lineRule="exact"/>
              <w:jc w:val="center"/>
              <w:rPr>
                <w:rFonts w:ascii="宋体" w:hAnsi="宋体" w:eastAsia="宋体" w:cs="Times New Roman"/>
                <w:color w:val="auto"/>
                <w:kern w:val="0"/>
                <w:sz w:val="24"/>
                <w:szCs w:val="24"/>
                <w:highlight w:val="none"/>
              </w:rPr>
            </w:pPr>
          </w:p>
        </w:tc>
      </w:tr>
      <w:tr>
        <w:tblPrEx>
          <w:tblLayout w:type="fixed"/>
          <w:tblCellMar>
            <w:top w:w="0" w:type="dxa"/>
            <w:left w:w="0" w:type="dxa"/>
            <w:bottom w:w="0" w:type="dxa"/>
            <w:right w:w="0" w:type="dxa"/>
          </w:tblCellMar>
        </w:tblPrEx>
        <w:trPr>
          <w:trHeight w:val="888" w:hRule="atLeast"/>
          <w:jc w:val="center"/>
        </w:trPr>
        <w:tc>
          <w:tcPr>
            <w:tcW w:w="222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5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rPr>
              <w:t>承诺</w:t>
            </w:r>
          </w:p>
        </w:tc>
        <w:tc>
          <w:tcPr>
            <w:tcW w:w="6492" w:type="dxa"/>
            <w:tcBorders>
              <w:top w:val="single" w:color="auto" w:sz="4" w:space="0"/>
              <w:left w:val="nil"/>
              <w:bottom w:val="single" w:color="auto" w:sz="4" w:space="0"/>
              <w:right w:val="single" w:color="auto" w:sz="4" w:space="0"/>
            </w:tcBorders>
            <w:vAlign w:val="center"/>
          </w:tcPr>
          <w:p>
            <w:pPr>
              <w:autoSpaceDE w:val="0"/>
              <w:autoSpaceDN w:val="0"/>
              <w:spacing w:line="500" w:lineRule="exact"/>
              <w:jc w:val="center"/>
              <w:rPr>
                <w:rFonts w:ascii="宋体" w:hAnsi="宋体" w:eastAsia="宋体" w:cs="Times New Roman"/>
                <w:color w:val="auto"/>
                <w:kern w:val="0"/>
                <w:sz w:val="24"/>
                <w:szCs w:val="24"/>
                <w:highlight w:val="none"/>
              </w:rPr>
            </w:pPr>
          </w:p>
        </w:tc>
      </w:tr>
      <w:tr>
        <w:tblPrEx>
          <w:tblLayout w:type="fixed"/>
          <w:tblCellMar>
            <w:top w:w="0" w:type="dxa"/>
            <w:left w:w="0" w:type="dxa"/>
            <w:bottom w:w="0" w:type="dxa"/>
            <w:right w:w="0" w:type="dxa"/>
          </w:tblCellMar>
        </w:tblPrEx>
        <w:trPr>
          <w:trHeight w:val="969" w:hRule="atLeast"/>
          <w:jc w:val="center"/>
        </w:trPr>
        <w:tc>
          <w:tcPr>
            <w:tcW w:w="222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5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投标有效期</w:t>
            </w:r>
          </w:p>
        </w:tc>
        <w:tc>
          <w:tcPr>
            <w:tcW w:w="6492" w:type="dxa"/>
            <w:tcBorders>
              <w:top w:val="single" w:color="auto" w:sz="4" w:space="0"/>
              <w:left w:val="nil"/>
              <w:bottom w:val="single" w:color="auto" w:sz="4" w:space="0"/>
              <w:right w:val="single" w:color="auto" w:sz="4" w:space="0"/>
            </w:tcBorders>
            <w:vAlign w:val="center"/>
          </w:tcPr>
          <w:p>
            <w:pPr>
              <w:autoSpaceDE w:val="0"/>
              <w:autoSpaceDN w:val="0"/>
              <w:spacing w:line="500" w:lineRule="exact"/>
              <w:jc w:val="center"/>
              <w:rPr>
                <w:rFonts w:ascii="宋体" w:hAnsi="宋体" w:eastAsia="宋体" w:cs="Times New Roman"/>
                <w:color w:val="auto"/>
                <w:kern w:val="0"/>
                <w:sz w:val="24"/>
                <w:szCs w:val="24"/>
                <w:highlight w:val="none"/>
              </w:rPr>
            </w:pPr>
          </w:p>
        </w:tc>
      </w:tr>
      <w:tr>
        <w:tblPrEx>
          <w:tblLayout w:type="fixed"/>
          <w:tblCellMar>
            <w:top w:w="0" w:type="dxa"/>
            <w:left w:w="0" w:type="dxa"/>
            <w:bottom w:w="0" w:type="dxa"/>
            <w:right w:w="0" w:type="dxa"/>
          </w:tblCellMar>
        </w:tblPrEx>
        <w:trPr>
          <w:trHeight w:val="910" w:hRule="atLeast"/>
          <w:jc w:val="center"/>
        </w:trPr>
        <w:tc>
          <w:tcPr>
            <w:tcW w:w="222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500" w:lineRule="exact"/>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备  注</w:t>
            </w:r>
          </w:p>
        </w:tc>
        <w:tc>
          <w:tcPr>
            <w:tcW w:w="6492" w:type="dxa"/>
            <w:tcBorders>
              <w:top w:val="single" w:color="auto" w:sz="4" w:space="0"/>
              <w:left w:val="nil"/>
              <w:bottom w:val="single" w:color="auto" w:sz="4" w:space="0"/>
              <w:right w:val="single" w:color="auto" w:sz="4" w:space="0"/>
            </w:tcBorders>
            <w:vAlign w:val="center"/>
          </w:tcPr>
          <w:p>
            <w:pPr>
              <w:autoSpaceDE w:val="0"/>
              <w:autoSpaceDN w:val="0"/>
              <w:spacing w:line="500" w:lineRule="exact"/>
              <w:jc w:val="center"/>
              <w:rPr>
                <w:rFonts w:ascii="宋体" w:hAnsi="宋体" w:eastAsia="宋体" w:cs="Times New Roman"/>
                <w:color w:val="auto"/>
                <w:kern w:val="0"/>
                <w:sz w:val="24"/>
                <w:szCs w:val="24"/>
                <w:highlight w:val="none"/>
              </w:rPr>
            </w:pPr>
          </w:p>
        </w:tc>
      </w:tr>
    </w:tbl>
    <w:p>
      <w:pPr>
        <w:spacing w:line="360" w:lineRule="auto"/>
        <w:rPr>
          <w:rFonts w:ascii="宋体" w:hAnsi="宋体" w:eastAsia="宋体" w:cs="宋体"/>
          <w:b/>
          <w:bCs/>
          <w:color w:val="auto"/>
          <w:sz w:val="24"/>
          <w:szCs w:val="24"/>
          <w:highlight w:val="none"/>
        </w:rPr>
      </w:pPr>
    </w:p>
    <w:p>
      <w:pPr>
        <w:spacing w:line="480" w:lineRule="auto"/>
        <w:jc w:val="center"/>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供应商(盖章)：</w:t>
      </w:r>
    </w:p>
    <w:p>
      <w:pPr>
        <w:spacing w:line="480" w:lineRule="auto"/>
        <w:jc w:val="center"/>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法定代表人 (签字或盖章)：</w:t>
      </w:r>
    </w:p>
    <w:p>
      <w:pPr>
        <w:spacing w:line="48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日期：  年   月   日</w:t>
      </w:r>
    </w:p>
    <w:p>
      <w:pPr>
        <w:pStyle w:val="155"/>
        <w:outlineLvl w:val="2"/>
        <w:rPr>
          <w:rFonts w:hint="eastAsia" w:ascii="仿宋" w:hAnsi="仿宋" w:eastAsia="仿宋" w:cs="仿宋"/>
          <w:color w:val="auto"/>
          <w:highlight w:val="none"/>
        </w:rPr>
      </w:pPr>
      <w:bookmarkStart w:id="25" w:name="_Toc14582"/>
    </w:p>
    <w:p>
      <w:pPr>
        <w:pStyle w:val="155"/>
        <w:outlineLvl w:val="2"/>
        <w:rPr>
          <w:rFonts w:hint="eastAsia" w:ascii="仿宋" w:hAnsi="仿宋" w:eastAsia="仿宋" w:cs="仿宋"/>
          <w:color w:val="auto"/>
          <w:highlight w:val="none"/>
        </w:rPr>
      </w:pPr>
      <w:r>
        <w:rPr>
          <w:rFonts w:hint="eastAsia" w:ascii="仿宋" w:hAnsi="仿宋" w:eastAsia="仿宋" w:cs="仿宋"/>
          <w:color w:val="auto"/>
          <w:highlight w:val="none"/>
        </w:rPr>
        <w:t>附件</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、报价明细表</w:t>
      </w:r>
      <w:bookmarkEnd w:id="25"/>
    </w:p>
    <w:p>
      <w:pPr>
        <w:pStyle w:val="156"/>
        <w:spacing w:line="276" w:lineRule="auto"/>
        <w:jc w:val="center"/>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报价明细表</w:t>
      </w:r>
    </w:p>
    <w:tbl>
      <w:tblPr>
        <w:tblStyle w:val="35"/>
        <w:tblW w:w="95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932"/>
        <w:gridCol w:w="3622"/>
        <w:gridCol w:w="900"/>
        <w:gridCol w:w="913"/>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1211" w:type="dxa"/>
            <w:noWrap w:val="0"/>
            <w:vAlign w:val="center"/>
          </w:tcPr>
          <w:p>
            <w:pPr>
              <w:pStyle w:val="156"/>
              <w:widowControl/>
              <w:spacing w:line="276" w:lineRule="auto"/>
              <w:jc w:val="center"/>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序号</w:t>
            </w:r>
          </w:p>
        </w:tc>
        <w:tc>
          <w:tcPr>
            <w:tcW w:w="1932" w:type="dxa"/>
            <w:noWrap w:val="0"/>
            <w:vAlign w:val="center"/>
          </w:tcPr>
          <w:p>
            <w:pPr>
              <w:pStyle w:val="156"/>
              <w:widowControl/>
              <w:spacing w:line="276" w:lineRule="auto"/>
              <w:jc w:val="center"/>
              <w:rPr>
                <w:rFonts w:hint="eastAsia" w:ascii="宋体" w:hAnsi="宋体" w:eastAsia="宋体" w:cs="Times New Roman"/>
                <w:color w:val="auto"/>
                <w:kern w:val="0"/>
                <w:sz w:val="24"/>
                <w:szCs w:val="24"/>
                <w:highlight w:val="none"/>
                <w:lang w:val="en-US" w:eastAsia="zh-CN" w:bidi="ar-SA"/>
              </w:rPr>
            </w:pPr>
            <w:r>
              <w:rPr>
                <w:rFonts w:hint="eastAsia" w:ascii="宋体" w:hAnsi="宋体" w:cs="Times New Roman"/>
                <w:color w:val="auto"/>
                <w:kern w:val="0"/>
                <w:sz w:val="24"/>
                <w:szCs w:val="24"/>
                <w:highlight w:val="none"/>
                <w:lang w:val="en-US" w:eastAsia="zh-CN" w:bidi="ar-SA"/>
              </w:rPr>
              <w:t>费用名称</w:t>
            </w:r>
          </w:p>
        </w:tc>
        <w:tc>
          <w:tcPr>
            <w:tcW w:w="3622" w:type="dxa"/>
            <w:noWrap w:val="0"/>
            <w:vAlign w:val="center"/>
          </w:tcPr>
          <w:p>
            <w:pPr>
              <w:pStyle w:val="156"/>
              <w:widowControl/>
              <w:spacing w:line="276" w:lineRule="auto"/>
              <w:jc w:val="center"/>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是否属于小、微企业（监狱企业、残疾人福利性单位）提供的服务</w:t>
            </w:r>
          </w:p>
        </w:tc>
        <w:tc>
          <w:tcPr>
            <w:tcW w:w="900" w:type="dxa"/>
            <w:noWrap w:val="0"/>
            <w:vAlign w:val="center"/>
          </w:tcPr>
          <w:p>
            <w:pPr>
              <w:pStyle w:val="156"/>
              <w:widowControl/>
              <w:spacing w:line="276" w:lineRule="auto"/>
              <w:jc w:val="center"/>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数量</w:t>
            </w:r>
          </w:p>
        </w:tc>
        <w:tc>
          <w:tcPr>
            <w:tcW w:w="913" w:type="dxa"/>
            <w:noWrap w:val="0"/>
            <w:vAlign w:val="center"/>
          </w:tcPr>
          <w:p>
            <w:pPr>
              <w:pStyle w:val="156"/>
              <w:widowControl/>
              <w:spacing w:line="276" w:lineRule="auto"/>
              <w:jc w:val="center"/>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单价（元）</w:t>
            </w:r>
          </w:p>
        </w:tc>
        <w:tc>
          <w:tcPr>
            <w:tcW w:w="969" w:type="dxa"/>
            <w:noWrap w:val="0"/>
            <w:vAlign w:val="center"/>
          </w:tcPr>
          <w:p>
            <w:pPr>
              <w:pStyle w:val="156"/>
              <w:widowControl/>
              <w:spacing w:line="276" w:lineRule="auto"/>
              <w:jc w:val="center"/>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总价</w:t>
            </w:r>
          </w:p>
          <w:p>
            <w:pPr>
              <w:pStyle w:val="156"/>
              <w:widowControl/>
              <w:spacing w:line="276" w:lineRule="auto"/>
              <w:jc w:val="center"/>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1211"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r>
              <w:rPr>
                <w:rFonts w:hint="eastAsia" w:ascii="宋体" w:hAnsi="宋体" w:cs="Times New Roman"/>
                <w:color w:val="auto"/>
                <w:kern w:val="0"/>
                <w:sz w:val="24"/>
                <w:szCs w:val="24"/>
                <w:highlight w:val="none"/>
                <w:lang w:val="en-US" w:eastAsia="zh-CN" w:bidi="ar-SA"/>
              </w:rPr>
              <w:t>（一）</w:t>
            </w:r>
          </w:p>
        </w:tc>
        <w:tc>
          <w:tcPr>
            <w:tcW w:w="1932"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Times New Roman"/>
                <w:color w:val="auto"/>
                <w:kern w:val="0"/>
                <w:sz w:val="24"/>
                <w:szCs w:val="24"/>
                <w:highlight w:val="none"/>
                <w:lang w:val="en-US" w:eastAsia="zh-CN" w:bidi="ar-SA"/>
              </w:rPr>
            </w:pPr>
            <w:r>
              <w:rPr>
                <w:rFonts w:hint="default" w:ascii="宋体" w:hAnsi="宋体" w:eastAsia="宋体" w:cs="Times New Roman"/>
                <w:b w:val="0"/>
                <w:bCs w:val="0"/>
                <w:color w:val="auto"/>
                <w:kern w:val="2"/>
                <w:sz w:val="24"/>
                <w:szCs w:val="24"/>
                <w:highlight w:val="none"/>
                <w:lang w:val="en-US" w:eastAsia="zh-CN" w:bidi="ar-SA"/>
              </w:rPr>
              <w:t>钻探建井费</w:t>
            </w:r>
          </w:p>
        </w:tc>
        <w:tc>
          <w:tcPr>
            <w:tcW w:w="3622"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c>
          <w:tcPr>
            <w:tcW w:w="900"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c>
          <w:tcPr>
            <w:tcW w:w="913"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c>
          <w:tcPr>
            <w:tcW w:w="969"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1211"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r>
              <w:rPr>
                <w:rFonts w:hint="eastAsia" w:ascii="宋体" w:hAnsi="宋体" w:cs="Times New Roman"/>
                <w:color w:val="auto"/>
                <w:kern w:val="0"/>
                <w:sz w:val="24"/>
                <w:szCs w:val="24"/>
                <w:highlight w:val="none"/>
                <w:lang w:val="en-US" w:eastAsia="zh-CN" w:bidi="ar-SA"/>
              </w:rPr>
              <w:t>（二）</w:t>
            </w:r>
          </w:p>
        </w:tc>
        <w:tc>
          <w:tcPr>
            <w:tcW w:w="1932"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Times New Roman"/>
                <w:color w:val="auto"/>
                <w:kern w:val="0"/>
                <w:sz w:val="24"/>
                <w:szCs w:val="24"/>
                <w:highlight w:val="none"/>
                <w:lang w:val="en-US" w:eastAsia="zh-CN" w:bidi="ar-SA"/>
              </w:rPr>
            </w:pPr>
            <w:r>
              <w:rPr>
                <w:rFonts w:hint="default" w:ascii="宋体" w:hAnsi="宋体" w:eastAsia="宋体" w:cs="Times New Roman"/>
                <w:b w:val="0"/>
                <w:bCs w:val="0"/>
                <w:color w:val="auto"/>
                <w:kern w:val="2"/>
                <w:sz w:val="24"/>
                <w:szCs w:val="24"/>
                <w:highlight w:val="none"/>
                <w:lang w:val="en-US" w:eastAsia="zh-CN" w:bidi="ar-SA"/>
              </w:rPr>
              <w:t>分析测试费</w:t>
            </w:r>
          </w:p>
        </w:tc>
        <w:tc>
          <w:tcPr>
            <w:tcW w:w="3622"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c>
          <w:tcPr>
            <w:tcW w:w="900"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c>
          <w:tcPr>
            <w:tcW w:w="913"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c>
          <w:tcPr>
            <w:tcW w:w="969"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1211"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r>
              <w:rPr>
                <w:rFonts w:hint="eastAsia" w:ascii="宋体" w:hAnsi="宋体" w:cs="Times New Roman"/>
                <w:color w:val="auto"/>
                <w:kern w:val="0"/>
                <w:sz w:val="24"/>
                <w:szCs w:val="24"/>
                <w:highlight w:val="none"/>
                <w:lang w:val="en-US" w:eastAsia="zh-CN" w:bidi="ar-SA"/>
              </w:rPr>
              <w:t>（三）</w:t>
            </w:r>
          </w:p>
        </w:tc>
        <w:tc>
          <w:tcPr>
            <w:tcW w:w="1932"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Times New Roman"/>
                <w:color w:val="auto"/>
                <w:kern w:val="0"/>
                <w:sz w:val="24"/>
                <w:szCs w:val="24"/>
                <w:highlight w:val="none"/>
                <w:lang w:val="en-US" w:eastAsia="zh-CN" w:bidi="ar-SA"/>
              </w:rPr>
            </w:pPr>
            <w:r>
              <w:rPr>
                <w:rFonts w:hint="default" w:ascii="宋体" w:hAnsi="宋体" w:eastAsia="宋体" w:cs="Times New Roman"/>
                <w:b w:val="0"/>
                <w:bCs w:val="0"/>
                <w:color w:val="auto"/>
                <w:kern w:val="2"/>
                <w:sz w:val="24"/>
                <w:szCs w:val="24"/>
                <w:highlight w:val="none"/>
                <w:lang w:val="en-US" w:eastAsia="zh-CN" w:bidi="ar-SA"/>
              </w:rPr>
              <w:t>水文地质调查</w:t>
            </w:r>
          </w:p>
        </w:tc>
        <w:tc>
          <w:tcPr>
            <w:tcW w:w="3622"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c>
          <w:tcPr>
            <w:tcW w:w="900"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c>
          <w:tcPr>
            <w:tcW w:w="913"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c>
          <w:tcPr>
            <w:tcW w:w="969"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1211"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r>
              <w:rPr>
                <w:rFonts w:hint="eastAsia" w:ascii="宋体" w:hAnsi="宋体" w:cs="Times New Roman"/>
                <w:color w:val="auto"/>
                <w:kern w:val="0"/>
                <w:sz w:val="24"/>
                <w:szCs w:val="24"/>
                <w:highlight w:val="none"/>
                <w:lang w:val="en-US" w:eastAsia="zh-CN" w:bidi="ar-SA"/>
              </w:rPr>
              <w:t>（四）</w:t>
            </w:r>
          </w:p>
        </w:tc>
        <w:tc>
          <w:tcPr>
            <w:tcW w:w="1932"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Times New Roman"/>
                <w:color w:val="auto"/>
                <w:kern w:val="0"/>
                <w:sz w:val="24"/>
                <w:szCs w:val="24"/>
                <w:highlight w:val="none"/>
                <w:lang w:val="en-US" w:eastAsia="zh-CN" w:bidi="ar-SA"/>
              </w:rPr>
            </w:pPr>
            <w:r>
              <w:rPr>
                <w:rFonts w:hint="default" w:ascii="宋体" w:hAnsi="宋体" w:eastAsia="宋体" w:cs="Times New Roman"/>
                <w:b w:val="0"/>
                <w:bCs w:val="0"/>
                <w:color w:val="auto"/>
                <w:kern w:val="2"/>
                <w:sz w:val="24"/>
                <w:szCs w:val="24"/>
                <w:highlight w:val="none"/>
                <w:lang w:val="en-US" w:eastAsia="zh-CN" w:bidi="ar-SA"/>
              </w:rPr>
              <w:t>辅助调查费</w:t>
            </w:r>
          </w:p>
        </w:tc>
        <w:tc>
          <w:tcPr>
            <w:tcW w:w="3622"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c>
          <w:tcPr>
            <w:tcW w:w="900"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c>
          <w:tcPr>
            <w:tcW w:w="913"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c>
          <w:tcPr>
            <w:tcW w:w="969"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1211"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r>
              <w:rPr>
                <w:rFonts w:hint="eastAsia" w:ascii="宋体" w:hAnsi="宋体" w:cs="Times New Roman"/>
                <w:color w:val="auto"/>
                <w:kern w:val="0"/>
                <w:sz w:val="24"/>
                <w:szCs w:val="24"/>
                <w:highlight w:val="none"/>
                <w:lang w:val="en-US" w:eastAsia="zh-CN" w:bidi="ar-SA"/>
              </w:rPr>
              <w:t>（五）</w:t>
            </w:r>
          </w:p>
        </w:tc>
        <w:tc>
          <w:tcPr>
            <w:tcW w:w="1932" w:type="dxa"/>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Times New Roman"/>
                <w:color w:val="auto"/>
                <w:kern w:val="0"/>
                <w:sz w:val="24"/>
                <w:szCs w:val="24"/>
                <w:highlight w:val="none"/>
                <w:lang w:val="en-US" w:eastAsia="zh-CN" w:bidi="ar-SA"/>
              </w:rPr>
            </w:pPr>
            <w:r>
              <w:rPr>
                <w:rFonts w:hint="default" w:ascii="宋体" w:hAnsi="宋体" w:eastAsia="宋体" w:cs="Times New Roman"/>
                <w:b w:val="0"/>
                <w:bCs w:val="0"/>
                <w:color w:val="auto"/>
                <w:kern w:val="2"/>
                <w:sz w:val="24"/>
                <w:szCs w:val="24"/>
                <w:highlight w:val="none"/>
                <w:lang w:val="en-US" w:eastAsia="zh-CN" w:bidi="ar-SA"/>
              </w:rPr>
              <w:t>综合研究及</w:t>
            </w:r>
            <w:r>
              <w:rPr>
                <w:rFonts w:hint="default" w:ascii="宋体" w:hAnsi="宋体" w:eastAsia="宋体" w:cs="Times New Roman"/>
                <w:b w:val="0"/>
                <w:bCs w:val="0"/>
                <w:color w:val="auto"/>
                <w:kern w:val="2"/>
                <w:sz w:val="24"/>
                <w:szCs w:val="24"/>
                <w:highlight w:val="none"/>
                <w:lang w:val="en-US" w:eastAsia="zh-CN" w:bidi="ar-SA"/>
              </w:rPr>
              <w:br w:type="textWrapping"/>
            </w:r>
            <w:r>
              <w:rPr>
                <w:rFonts w:hint="default" w:ascii="宋体" w:hAnsi="宋体" w:eastAsia="宋体" w:cs="Times New Roman"/>
                <w:b w:val="0"/>
                <w:bCs w:val="0"/>
                <w:color w:val="auto"/>
                <w:kern w:val="2"/>
                <w:sz w:val="24"/>
                <w:szCs w:val="24"/>
                <w:highlight w:val="none"/>
                <w:lang w:val="en-US" w:eastAsia="zh-CN" w:bidi="ar-SA"/>
              </w:rPr>
              <w:t>报告编写</w:t>
            </w:r>
          </w:p>
        </w:tc>
        <w:tc>
          <w:tcPr>
            <w:tcW w:w="3622"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c>
          <w:tcPr>
            <w:tcW w:w="900"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c>
          <w:tcPr>
            <w:tcW w:w="913"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c>
          <w:tcPr>
            <w:tcW w:w="969"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1211"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c>
          <w:tcPr>
            <w:tcW w:w="1932"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c>
          <w:tcPr>
            <w:tcW w:w="3622"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c>
          <w:tcPr>
            <w:tcW w:w="900"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c>
          <w:tcPr>
            <w:tcW w:w="913"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c>
          <w:tcPr>
            <w:tcW w:w="969" w:type="dxa"/>
            <w:noWrap w:val="0"/>
            <w:vAlign w:val="center"/>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9547" w:type="dxa"/>
            <w:gridSpan w:val="6"/>
            <w:noWrap w:val="0"/>
            <w:vAlign w:val="top"/>
          </w:tcPr>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投标报价人民币小写：</w:t>
            </w:r>
          </w:p>
          <w:p>
            <w:pPr>
              <w:pStyle w:val="156"/>
              <w:widowControl/>
              <w:spacing w:line="276" w:lineRule="auto"/>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投标报价人民币大写：</w:t>
            </w:r>
          </w:p>
        </w:tc>
      </w:tr>
    </w:tbl>
    <w:p>
      <w:pPr>
        <w:pStyle w:val="156"/>
        <w:widowControl/>
        <w:spacing w:line="276" w:lineRule="auto"/>
        <w:ind w:firstLine="482"/>
        <w:rPr>
          <w:rFonts w:hint="eastAsia" w:ascii="宋体" w:hAnsi="宋体" w:eastAsia="宋体" w:cs="Times New Roman"/>
          <w:color w:val="auto"/>
          <w:kern w:val="0"/>
          <w:sz w:val="24"/>
          <w:szCs w:val="24"/>
          <w:highlight w:val="none"/>
          <w:lang w:val="en-US" w:eastAsia="zh-CN" w:bidi="ar-SA"/>
        </w:rPr>
      </w:pPr>
      <w:r>
        <w:rPr>
          <w:rFonts w:hint="eastAsia" w:ascii="宋体" w:hAnsi="宋体" w:cs="Times New Roman"/>
          <w:color w:val="auto"/>
          <w:kern w:val="0"/>
          <w:sz w:val="24"/>
          <w:szCs w:val="24"/>
          <w:highlight w:val="none"/>
          <w:lang w:val="en-US" w:eastAsia="zh-CN" w:bidi="ar-SA"/>
        </w:rPr>
        <w:t>供应商</w:t>
      </w:r>
      <w:r>
        <w:rPr>
          <w:rFonts w:hint="eastAsia" w:ascii="宋体" w:hAnsi="宋体" w:eastAsia="宋体" w:cs="Times New Roman"/>
          <w:color w:val="auto"/>
          <w:kern w:val="0"/>
          <w:sz w:val="24"/>
          <w:szCs w:val="24"/>
          <w:highlight w:val="none"/>
          <w:lang w:val="en-US" w:eastAsia="zh-CN" w:bidi="ar-SA"/>
        </w:rPr>
        <w:t xml:space="preserve">（企业电子章）：                    </w:t>
      </w:r>
    </w:p>
    <w:p>
      <w:pPr>
        <w:pStyle w:val="156"/>
        <w:widowControl/>
        <w:spacing w:line="276" w:lineRule="auto"/>
        <w:ind w:firstLine="482"/>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注：</w:t>
      </w:r>
    </w:p>
    <w:p>
      <w:pPr>
        <w:pStyle w:val="156"/>
        <w:widowControl/>
        <w:spacing w:line="276" w:lineRule="auto"/>
        <w:ind w:firstLine="482"/>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1..投标人可根据需要自行增减表格行数。</w:t>
      </w:r>
    </w:p>
    <w:p>
      <w:pPr>
        <w:pStyle w:val="156"/>
        <w:widowControl/>
        <w:spacing w:line="276" w:lineRule="auto"/>
        <w:ind w:firstLine="482"/>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2.投标人对所报相关内容的真实性负责，采购代理机构有权将相关内容进行公示，因弄虚作假导致的后果由投标人自行承担。</w:t>
      </w:r>
    </w:p>
    <w:p>
      <w:pPr>
        <w:pStyle w:val="156"/>
        <w:widowControl/>
        <w:spacing w:line="276" w:lineRule="auto"/>
        <w:ind w:firstLine="482"/>
        <w:rPr>
          <w:rFonts w:hint="eastAsia" w:ascii="宋体" w:hAnsi="宋体" w:eastAsia="宋体" w:cs="Times New Roman"/>
          <w:color w:val="auto"/>
          <w:kern w:val="0"/>
          <w:sz w:val="24"/>
          <w:szCs w:val="24"/>
          <w:highlight w:val="none"/>
          <w:lang w:val="en-US" w:eastAsia="zh-CN" w:bidi="ar-SA"/>
        </w:rPr>
      </w:pPr>
    </w:p>
    <w:p>
      <w:pPr>
        <w:pStyle w:val="8"/>
        <w:rPr>
          <w:rFonts w:hint="eastAsia" w:ascii="宋体" w:hAnsi="宋体" w:eastAsia="宋体" w:cs="Times New Roman"/>
          <w:color w:val="auto"/>
          <w:kern w:val="0"/>
          <w:sz w:val="24"/>
          <w:szCs w:val="24"/>
          <w:highlight w:val="none"/>
          <w:lang w:val="en-US" w:eastAsia="zh-CN" w:bidi="ar-SA"/>
        </w:rPr>
      </w:pPr>
    </w:p>
    <w:p>
      <w:pPr>
        <w:widowControl w:val="0"/>
        <w:autoSpaceDE w:val="0"/>
        <w:autoSpaceDN w:val="0"/>
        <w:adjustRightInd w:val="0"/>
        <w:spacing w:line="360" w:lineRule="auto"/>
        <w:jc w:val="center"/>
        <w:rPr>
          <w:rFonts w:hint="eastAsia" w:ascii="宋体" w:hAnsi="宋体" w:eastAsia="宋体" w:cs="Times New Roman"/>
          <w:color w:val="auto"/>
          <w:kern w:val="0"/>
          <w:sz w:val="24"/>
          <w:szCs w:val="24"/>
          <w:highlight w:val="none"/>
          <w:lang w:val="en-US" w:eastAsia="zh-CN" w:bidi="ar-SA"/>
        </w:rPr>
      </w:pPr>
    </w:p>
    <w:p>
      <w:pPr>
        <w:widowControl/>
        <w:jc w:val="both"/>
        <w:rPr>
          <w:rFonts w:ascii="宋体" w:hAnsi="宋体" w:eastAsia="宋体" w:cs="Times New Roman"/>
          <w:color w:val="auto"/>
          <w:kern w:val="0"/>
          <w:sz w:val="28"/>
          <w:szCs w:val="28"/>
          <w:highlight w:val="none"/>
        </w:rPr>
      </w:pPr>
      <w:bookmarkStart w:id="26" w:name="_Toc24983_WPSOffice_Level1"/>
      <w:r>
        <w:rPr>
          <w:rFonts w:hint="eastAsia" w:ascii="宋体" w:hAnsi="宋体" w:eastAsia="宋体" w:cs="Times New Roman"/>
          <w:color w:val="auto"/>
          <w:kern w:val="0"/>
          <w:sz w:val="24"/>
          <w:szCs w:val="24"/>
          <w:highlight w:val="none"/>
          <w:lang w:val="en-US" w:eastAsia="zh-CN" w:bidi="ar-SA"/>
        </w:rPr>
        <w:br w:type="page"/>
      </w:r>
      <w:bookmarkEnd w:id="26"/>
      <w:bookmarkStart w:id="27" w:name="_Toc22081_WPSOffice_Level1"/>
      <w:r>
        <w:rPr>
          <w:rFonts w:hint="eastAsia" w:ascii="宋体" w:hAnsi="宋体" w:eastAsia="宋体" w:cs="宋体"/>
          <w:b/>
          <w:color w:val="auto"/>
          <w:kern w:val="0"/>
          <w:sz w:val="24"/>
          <w:szCs w:val="24"/>
          <w:highlight w:val="none"/>
          <w:lang w:val="en-US" w:eastAsia="zh-CN"/>
        </w:rPr>
        <w:t xml:space="preserve">                          </w:t>
      </w:r>
      <w:r>
        <w:rPr>
          <w:rFonts w:hint="eastAsia" w:ascii="宋体" w:hAnsi="宋体" w:eastAsia="宋体" w:cs="宋体"/>
          <w:b/>
          <w:bCs/>
          <w:color w:val="auto"/>
          <w:sz w:val="28"/>
          <w:szCs w:val="28"/>
          <w:highlight w:val="none"/>
          <w:lang w:val="en-US" w:eastAsia="zh-CN"/>
        </w:rPr>
        <w:t>三</w:t>
      </w:r>
      <w:r>
        <w:rPr>
          <w:rFonts w:hint="eastAsia" w:ascii="宋体" w:hAnsi="宋体" w:eastAsia="宋体" w:cs="宋体"/>
          <w:b/>
          <w:bCs/>
          <w:color w:val="auto"/>
          <w:sz w:val="28"/>
          <w:szCs w:val="28"/>
          <w:highlight w:val="none"/>
        </w:rPr>
        <w:t>、</w:t>
      </w:r>
      <w:bookmarkEnd w:id="27"/>
      <w:r>
        <w:rPr>
          <w:rFonts w:hint="eastAsia" w:ascii="宋体" w:hAnsi="宋体" w:eastAsia="宋体" w:cs="宋体"/>
          <w:b/>
          <w:bCs/>
          <w:color w:val="auto"/>
          <w:sz w:val="28"/>
          <w:szCs w:val="28"/>
          <w:highlight w:val="none"/>
        </w:rPr>
        <w:t>投标承诺函</w:t>
      </w:r>
      <w:bookmarkStart w:id="28" w:name="_Toc28466_WPSOffice_Level1"/>
    </w:p>
    <w:p>
      <w:pPr>
        <w:numPr>
          <w:ilvl w:val="0"/>
          <w:numId w:val="6"/>
        </w:numPr>
        <w:spacing w:line="360" w:lineRule="auto"/>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投标单位基本账户开户许可证</w:t>
      </w:r>
    </w:p>
    <w:p>
      <w:pPr>
        <w:spacing w:line="360" w:lineRule="auto"/>
        <w:ind w:left="560"/>
        <w:rPr>
          <w:rFonts w:ascii="宋体" w:hAnsi="宋体" w:eastAsia="宋体" w:cs="Times New Roman"/>
          <w:color w:val="auto"/>
          <w:kern w:val="0"/>
          <w:sz w:val="28"/>
          <w:szCs w:val="28"/>
          <w:highlight w:val="none"/>
        </w:rPr>
      </w:pPr>
    </w:p>
    <w:p>
      <w:pPr>
        <w:spacing w:line="360" w:lineRule="auto"/>
        <w:ind w:left="560"/>
        <w:rPr>
          <w:rFonts w:ascii="宋体" w:hAnsi="宋体" w:eastAsia="宋体" w:cs="Times New Roman"/>
          <w:color w:val="auto"/>
          <w:kern w:val="0"/>
          <w:sz w:val="28"/>
          <w:szCs w:val="28"/>
          <w:highlight w:val="none"/>
        </w:rPr>
      </w:pPr>
    </w:p>
    <w:p>
      <w:pPr>
        <w:spacing w:line="360" w:lineRule="auto"/>
        <w:ind w:left="560"/>
        <w:rPr>
          <w:rFonts w:ascii="宋体" w:hAnsi="宋体" w:eastAsia="宋体" w:cs="Times New Roman"/>
          <w:color w:val="auto"/>
          <w:kern w:val="0"/>
          <w:sz w:val="28"/>
          <w:szCs w:val="28"/>
          <w:highlight w:val="none"/>
        </w:rPr>
      </w:pPr>
    </w:p>
    <w:p>
      <w:pPr>
        <w:spacing w:line="360" w:lineRule="auto"/>
        <w:ind w:left="560"/>
        <w:rPr>
          <w:rFonts w:ascii="宋体" w:hAnsi="宋体" w:eastAsia="宋体" w:cs="Times New Roman"/>
          <w:color w:val="auto"/>
          <w:kern w:val="0"/>
          <w:sz w:val="28"/>
          <w:szCs w:val="28"/>
          <w:highlight w:val="none"/>
        </w:rPr>
      </w:pPr>
    </w:p>
    <w:p>
      <w:pPr>
        <w:spacing w:line="360" w:lineRule="auto"/>
        <w:ind w:left="560"/>
        <w:rPr>
          <w:rFonts w:ascii="宋体" w:hAnsi="宋体" w:eastAsia="宋体" w:cs="Times New Roman"/>
          <w:color w:val="auto"/>
          <w:kern w:val="0"/>
          <w:sz w:val="28"/>
          <w:szCs w:val="28"/>
          <w:highlight w:val="none"/>
        </w:rPr>
      </w:pPr>
    </w:p>
    <w:p>
      <w:pPr>
        <w:spacing w:line="360" w:lineRule="auto"/>
        <w:ind w:left="560"/>
        <w:rPr>
          <w:rFonts w:ascii="宋体" w:hAnsi="宋体" w:eastAsia="宋体" w:cs="Times New Roman"/>
          <w:color w:val="auto"/>
          <w:kern w:val="0"/>
          <w:sz w:val="28"/>
          <w:szCs w:val="28"/>
          <w:highlight w:val="none"/>
        </w:rPr>
      </w:pPr>
    </w:p>
    <w:p>
      <w:pPr>
        <w:spacing w:line="360" w:lineRule="auto"/>
        <w:ind w:left="560"/>
        <w:rPr>
          <w:rFonts w:ascii="宋体" w:hAnsi="宋体" w:eastAsia="宋体" w:cs="Times New Roman"/>
          <w:color w:val="auto"/>
          <w:kern w:val="0"/>
          <w:sz w:val="28"/>
          <w:szCs w:val="28"/>
          <w:highlight w:val="none"/>
        </w:rPr>
      </w:pPr>
    </w:p>
    <w:p>
      <w:pPr>
        <w:spacing w:line="360" w:lineRule="auto"/>
        <w:ind w:left="560"/>
        <w:rPr>
          <w:rFonts w:ascii="宋体" w:hAnsi="宋体" w:eastAsia="宋体" w:cs="Times New Roman"/>
          <w:color w:val="auto"/>
          <w:kern w:val="0"/>
          <w:sz w:val="28"/>
          <w:szCs w:val="28"/>
          <w:highlight w:val="none"/>
        </w:rPr>
      </w:pPr>
    </w:p>
    <w:p>
      <w:pPr>
        <w:spacing w:line="360" w:lineRule="auto"/>
        <w:ind w:left="560"/>
        <w:rPr>
          <w:rFonts w:ascii="宋体" w:hAnsi="宋体" w:eastAsia="宋体" w:cs="Times New Roman"/>
          <w:color w:val="auto"/>
          <w:kern w:val="0"/>
          <w:sz w:val="28"/>
          <w:szCs w:val="28"/>
          <w:highlight w:val="none"/>
        </w:rPr>
      </w:pPr>
    </w:p>
    <w:p>
      <w:pPr>
        <w:spacing w:line="360" w:lineRule="auto"/>
        <w:ind w:left="560"/>
        <w:rPr>
          <w:rFonts w:ascii="宋体" w:hAnsi="宋体" w:eastAsia="宋体" w:cs="Times New Roman"/>
          <w:color w:val="auto"/>
          <w:kern w:val="0"/>
          <w:sz w:val="28"/>
          <w:szCs w:val="28"/>
          <w:highlight w:val="none"/>
        </w:rPr>
      </w:pPr>
    </w:p>
    <w:p>
      <w:pPr>
        <w:spacing w:line="360" w:lineRule="auto"/>
        <w:ind w:left="560"/>
        <w:rPr>
          <w:rFonts w:ascii="宋体" w:hAnsi="宋体" w:eastAsia="宋体" w:cs="Times New Roman"/>
          <w:color w:val="auto"/>
          <w:kern w:val="0"/>
          <w:sz w:val="28"/>
          <w:szCs w:val="28"/>
          <w:highlight w:val="none"/>
        </w:rPr>
      </w:pPr>
    </w:p>
    <w:p>
      <w:pPr>
        <w:spacing w:line="360" w:lineRule="auto"/>
        <w:ind w:left="560"/>
        <w:rPr>
          <w:rFonts w:ascii="宋体" w:hAnsi="宋体" w:eastAsia="宋体" w:cs="Times New Roman"/>
          <w:color w:val="auto"/>
          <w:kern w:val="0"/>
          <w:sz w:val="28"/>
          <w:szCs w:val="28"/>
          <w:highlight w:val="none"/>
        </w:rPr>
      </w:pPr>
    </w:p>
    <w:p>
      <w:pPr>
        <w:spacing w:line="360" w:lineRule="auto"/>
        <w:ind w:left="560"/>
        <w:rPr>
          <w:rFonts w:ascii="宋体" w:hAnsi="宋体" w:eastAsia="宋体" w:cs="Times New Roman"/>
          <w:color w:val="auto"/>
          <w:kern w:val="0"/>
          <w:sz w:val="28"/>
          <w:szCs w:val="28"/>
          <w:highlight w:val="none"/>
        </w:rPr>
      </w:pPr>
    </w:p>
    <w:p>
      <w:pPr>
        <w:spacing w:line="360" w:lineRule="auto"/>
        <w:ind w:left="560"/>
        <w:rPr>
          <w:rFonts w:ascii="宋体" w:hAnsi="宋体" w:eastAsia="宋体" w:cs="Times New Roman"/>
          <w:color w:val="auto"/>
          <w:kern w:val="0"/>
          <w:sz w:val="28"/>
          <w:szCs w:val="28"/>
          <w:highlight w:val="none"/>
        </w:rPr>
      </w:pPr>
    </w:p>
    <w:p>
      <w:pPr>
        <w:spacing w:line="360" w:lineRule="auto"/>
        <w:ind w:left="560"/>
        <w:rPr>
          <w:rFonts w:ascii="宋体" w:hAnsi="宋体" w:eastAsia="宋体" w:cs="Times New Roman"/>
          <w:color w:val="auto"/>
          <w:kern w:val="0"/>
          <w:sz w:val="28"/>
          <w:szCs w:val="28"/>
          <w:highlight w:val="none"/>
        </w:rPr>
      </w:pPr>
    </w:p>
    <w:p>
      <w:pPr>
        <w:spacing w:line="360" w:lineRule="auto"/>
        <w:ind w:left="560"/>
        <w:rPr>
          <w:rFonts w:ascii="宋体" w:hAnsi="宋体" w:eastAsia="宋体" w:cs="Times New Roman"/>
          <w:color w:val="auto"/>
          <w:kern w:val="0"/>
          <w:sz w:val="28"/>
          <w:szCs w:val="28"/>
          <w:highlight w:val="none"/>
        </w:rPr>
      </w:pPr>
    </w:p>
    <w:p>
      <w:pPr>
        <w:spacing w:line="360" w:lineRule="auto"/>
        <w:ind w:left="560"/>
        <w:rPr>
          <w:rFonts w:ascii="宋体" w:hAnsi="宋体" w:eastAsia="宋体" w:cs="Times New Roman"/>
          <w:color w:val="auto"/>
          <w:kern w:val="0"/>
          <w:sz w:val="28"/>
          <w:szCs w:val="28"/>
          <w:highlight w:val="none"/>
        </w:rPr>
      </w:pPr>
    </w:p>
    <w:p>
      <w:pPr>
        <w:spacing w:line="360" w:lineRule="auto"/>
        <w:ind w:left="560"/>
        <w:rPr>
          <w:rFonts w:ascii="宋体" w:hAnsi="宋体" w:eastAsia="宋体" w:cs="Times New Roman"/>
          <w:color w:val="auto"/>
          <w:kern w:val="0"/>
          <w:sz w:val="28"/>
          <w:szCs w:val="28"/>
          <w:highlight w:val="none"/>
        </w:rPr>
      </w:pPr>
    </w:p>
    <w:p>
      <w:pPr>
        <w:spacing w:line="360" w:lineRule="auto"/>
        <w:ind w:left="560"/>
        <w:rPr>
          <w:rFonts w:ascii="宋体" w:hAnsi="宋体" w:eastAsia="宋体" w:cs="Times New Roman"/>
          <w:color w:val="auto"/>
          <w:kern w:val="0"/>
          <w:sz w:val="28"/>
          <w:szCs w:val="28"/>
          <w:highlight w:val="none"/>
        </w:rPr>
      </w:pPr>
    </w:p>
    <w:p>
      <w:pPr>
        <w:spacing w:line="360" w:lineRule="auto"/>
        <w:rPr>
          <w:rFonts w:ascii="宋体" w:hAnsi="宋体" w:eastAsia="宋体" w:cs="Times New Roman"/>
          <w:color w:val="auto"/>
          <w:kern w:val="0"/>
          <w:sz w:val="28"/>
          <w:szCs w:val="28"/>
          <w:highlight w:val="none"/>
        </w:rPr>
      </w:pPr>
    </w:p>
    <w:p>
      <w:pPr>
        <w:spacing w:line="360" w:lineRule="auto"/>
        <w:ind w:left="560" w:firstLine="3080" w:firstLineChars="1100"/>
        <w:rPr>
          <w:rFonts w:ascii="宋体" w:hAnsi="宋体" w:eastAsia="宋体" w:cs="宋体"/>
          <w:color w:val="auto"/>
          <w:sz w:val="24"/>
          <w:szCs w:val="24"/>
          <w:highlight w:val="none"/>
        </w:rPr>
      </w:pPr>
      <w:r>
        <w:rPr>
          <w:rFonts w:hint="eastAsia" w:ascii="宋体" w:hAnsi="宋体" w:eastAsia="宋体" w:cs="Times New Roman"/>
          <w:color w:val="auto"/>
          <w:kern w:val="0"/>
          <w:sz w:val="28"/>
          <w:szCs w:val="28"/>
          <w:highlight w:val="none"/>
        </w:rPr>
        <w:t>2、投标承诺书</w:t>
      </w:r>
    </w:p>
    <w:p>
      <w:pPr>
        <w:spacing w:line="360" w:lineRule="auto"/>
        <w:ind w:left="56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u w:val="single"/>
        </w:rPr>
        <w:t>致</w:t>
      </w:r>
      <w:r>
        <w:rPr>
          <w:rFonts w:hint="eastAsia" w:ascii="Times New Roman" w:hAnsi="Times New Roman" w:eastAsia="宋体" w:cs="Times New Roman"/>
          <w:color w:val="auto"/>
          <w:sz w:val="24"/>
          <w:szCs w:val="24"/>
          <w:highlight w:val="none"/>
          <w:u w:val="single"/>
        </w:rPr>
        <w:t>：</w:t>
      </w:r>
      <w:r>
        <w:rPr>
          <w:rFonts w:ascii="Times New Roman" w:hAnsi="Times New Roman" w:eastAsia="宋体" w:cs="Times New Roman"/>
          <w:color w:val="auto"/>
          <w:sz w:val="24"/>
          <w:szCs w:val="24"/>
          <w:highlight w:val="none"/>
          <w:u w:val="single"/>
        </w:rPr>
        <w:t xml:space="preserve">（招标人）          </w:t>
      </w:r>
      <w:r>
        <w:rPr>
          <w:rFonts w:ascii="Times New Roman" w:hAnsi="Times New Roman" w:eastAsia="宋体" w:cs="Times New Roman"/>
          <w:color w:val="auto"/>
          <w:sz w:val="24"/>
          <w:szCs w:val="24"/>
          <w:highlight w:val="none"/>
        </w:rPr>
        <w:t xml:space="preserve">                   </w:t>
      </w:r>
    </w:p>
    <w:p>
      <w:pPr>
        <w:spacing w:line="360" w:lineRule="auto"/>
        <w:ind w:left="560"/>
        <w:outlineLvl w:val="0"/>
        <w:rPr>
          <w:rFonts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我方自愿参加</w:t>
      </w:r>
      <w:r>
        <w:rPr>
          <w:rFonts w:ascii="Times New Roman" w:hAnsi="Times New Roman" w:eastAsia="宋体" w:cs="Times New Roman"/>
          <w:color w:val="auto"/>
          <w:sz w:val="24"/>
          <w:szCs w:val="24"/>
          <w:highlight w:val="none"/>
          <w:u w:val="single"/>
        </w:rPr>
        <w:t xml:space="preserve">        </w:t>
      </w:r>
      <w:r>
        <w:rPr>
          <w:rFonts w:hint="eastAsia" w:ascii="宋体" w:hAnsi="宋体" w:eastAsia="宋体" w:cs="宋体"/>
          <w:color w:val="auto"/>
          <w:sz w:val="24"/>
          <w:szCs w:val="24"/>
          <w:highlight w:val="none"/>
          <w:u w:val="single"/>
        </w:rPr>
        <w:t>（</w:t>
      </w:r>
      <w:r>
        <w:rPr>
          <w:rFonts w:ascii="宋体" w:hAnsi="Times New Roman" w:eastAsia="宋体" w:cs="Times New Roman"/>
          <w:color w:val="auto"/>
          <w:sz w:val="24"/>
          <w:szCs w:val="24"/>
          <w:highlight w:val="none"/>
          <w:u w:val="single"/>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，编号为</w:t>
      </w:r>
      <w:r>
        <w:rPr>
          <w:rFonts w:ascii="Times New Roman" w:hAnsi="Times New Roman" w:eastAsia="宋体" w:cs="Times New Roman"/>
          <w:color w:val="auto"/>
          <w:sz w:val="24"/>
          <w:szCs w:val="24"/>
          <w:highlight w:val="none"/>
          <w:u w:val="single"/>
        </w:rPr>
        <w:t xml:space="preserve">             </w:t>
      </w:r>
      <w:r>
        <w:rPr>
          <w:rFonts w:hint="eastAsia" w:ascii="宋体" w:hAnsi="宋体" w:eastAsia="宋体" w:cs="宋体"/>
          <w:color w:val="auto"/>
          <w:sz w:val="24"/>
          <w:szCs w:val="24"/>
          <w:highlight w:val="none"/>
        </w:rPr>
        <w:t>的</w:t>
      </w:r>
      <w:r>
        <w:rPr>
          <w:rFonts w:ascii="Times New Roman" w:hAnsi="Times New Roman" w:eastAsia="宋体" w:cs="Times New Roman"/>
          <w:color w:val="auto"/>
          <w:sz w:val="24"/>
          <w:szCs w:val="24"/>
          <w:highlight w:val="none"/>
        </w:rPr>
        <w:t>项目招</w:t>
      </w:r>
      <w:r>
        <w:rPr>
          <w:rFonts w:hint="eastAsia" w:ascii="宋体" w:hAnsi="宋体" w:eastAsia="宋体" w:cs="宋体"/>
          <w:color w:val="auto"/>
          <w:sz w:val="24"/>
          <w:szCs w:val="24"/>
          <w:highlight w:val="none"/>
        </w:rPr>
        <w:t>标。</w:t>
      </w:r>
    </w:p>
    <w:p>
      <w:pPr>
        <w:spacing w:line="360" w:lineRule="auto"/>
        <w:ind w:left="560"/>
        <w:outlineLvl w:val="0"/>
        <w:rPr>
          <w:rFonts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我代表</w:t>
      </w:r>
      <w:r>
        <w:rPr>
          <w:rFonts w:ascii="Times New Roman" w:hAnsi="Times New Roman" w:eastAsia="宋体" w:cs="Times New Roman"/>
          <w:color w:val="auto"/>
          <w:sz w:val="24"/>
          <w:szCs w:val="24"/>
          <w:highlight w:val="none"/>
        </w:rPr>
        <w:t xml:space="preserve">   </w:t>
      </w:r>
      <w:r>
        <w:rPr>
          <w:rFonts w:hint="eastAsia" w:ascii="宋体" w:hAnsi="宋体" w:eastAsia="宋体" w:cs="宋体"/>
          <w:color w:val="auto"/>
          <w:sz w:val="24"/>
          <w:szCs w:val="24"/>
          <w:highlight w:val="none"/>
          <w:u w:val="single"/>
        </w:rPr>
        <w:t>（投标人名称）</w:t>
      </w:r>
      <w:r>
        <w:rPr>
          <w:rFonts w:ascii="Times New Roman" w:hAnsi="Times New Roman" w:eastAsia="宋体" w:cs="Times New Roman"/>
          <w:color w:val="auto"/>
          <w:sz w:val="24"/>
          <w:szCs w:val="24"/>
          <w:highlight w:val="none"/>
          <w:u w:val="single"/>
        </w:rPr>
        <w:t xml:space="preserve">    </w:t>
      </w:r>
      <w:r>
        <w:rPr>
          <w:rFonts w:hint="eastAsia" w:ascii="宋体" w:hAnsi="宋体" w:eastAsia="宋体" w:cs="宋体"/>
          <w:color w:val="auto"/>
          <w:sz w:val="24"/>
          <w:szCs w:val="24"/>
          <w:highlight w:val="none"/>
        </w:rPr>
        <w:t>，在此作如下承诺：</w:t>
      </w:r>
    </w:p>
    <w:p>
      <w:pPr>
        <w:wordWrap w:val="0"/>
        <w:spacing w:line="360" w:lineRule="auto"/>
        <w:ind w:left="560"/>
        <w:outlineLvl w:val="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w:t>
      </w:r>
      <w:r>
        <w:rPr>
          <w:rFonts w:hint="eastAsia" w:ascii="宋体" w:hAnsi="宋体" w:eastAsia="宋体" w:cs="宋体"/>
          <w:color w:val="auto"/>
          <w:sz w:val="24"/>
          <w:szCs w:val="24"/>
          <w:highlight w:val="none"/>
        </w:rPr>
        <w:t>、完全理解和接受本项目招标文件的一切规定和要求；</w:t>
      </w:r>
    </w:p>
    <w:p>
      <w:pPr>
        <w:wordWrap w:val="0"/>
        <w:spacing w:line="360" w:lineRule="auto"/>
        <w:ind w:left="560"/>
        <w:outlineLvl w:val="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w:t>
      </w:r>
      <w:r>
        <w:rPr>
          <w:rFonts w:hint="eastAsia" w:ascii="宋体" w:hAnsi="宋体" w:eastAsia="宋体" w:cs="宋体"/>
          <w:color w:val="auto"/>
          <w:sz w:val="24"/>
          <w:szCs w:val="24"/>
          <w:highlight w:val="none"/>
        </w:rPr>
        <w:t>、我方递交的投标文件中所有的资料均为真实的、准确的，无任何虚假内容。若存在有虚假内容，我方承诺放弃投标及中标并愿意接受法定的惩罚；</w:t>
      </w:r>
    </w:p>
    <w:p>
      <w:pPr>
        <w:spacing w:line="360" w:lineRule="auto"/>
        <w:ind w:left="560"/>
        <w:outlineLvl w:val="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w:t>
      </w:r>
      <w:r>
        <w:rPr>
          <w:rFonts w:hint="eastAsia" w:ascii="宋体" w:hAnsi="宋体" w:eastAsia="宋体" w:cs="宋体"/>
          <w:color w:val="auto"/>
          <w:sz w:val="24"/>
          <w:szCs w:val="24"/>
          <w:highlight w:val="none"/>
        </w:rPr>
        <w:t>、若中标，本承诺和投标文件一起成为合同不可分割的一部分，与合同具有同等的法律效力；</w:t>
      </w:r>
    </w:p>
    <w:p>
      <w:pPr>
        <w:spacing w:line="360" w:lineRule="auto"/>
        <w:ind w:left="560"/>
        <w:outlineLvl w:val="0"/>
        <w:rPr>
          <w:rFonts w:ascii="Times New Roman" w:hAnsi="Times New Roman" w:eastAsia="宋体" w:cs="Times New Roman"/>
          <w:color w:val="auto"/>
          <w:sz w:val="24"/>
          <w:szCs w:val="24"/>
          <w:highlight w:val="none"/>
        </w:rPr>
      </w:pPr>
    </w:p>
    <w:p>
      <w:pPr>
        <w:spacing w:line="360" w:lineRule="auto"/>
        <w:ind w:left="560"/>
        <w:outlineLvl w:val="0"/>
        <w:rPr>
          <w:rFonts w:ascii="Times New Roman" w:hAnsi="Times New Roman" w:eastAsia="宋体" w:cs="Times New Roman"/>
          <w:color w:val="auto"/>
          <w:sz w:val="24"/>
          <w:szCs w:val="24"/>
          <w:highlight w:val="none"/>
        </w:rPr>
      </w:pPr>
    </w:p>
    <w:p>
      <w:pPr>
        <w:spacing w:line="360" w:lineRule="auto"/>
        <w:ind w:left="560"/>
        <w:outlineLvl w:val="0"/>
        <w:rPr>
          <w:rFonts w:ascii="Times New Roman" w:hAnsi="Times New Roman" w:eastAsia="宋体" w:cs="Times New Roman"/>
          <w:color w:val="auto"/>
          <w:sz w:val="24"/>
          <w:szCs w:val="24"/>
          <w:highlight w:val="none"/>
        </w:rPr>
      </w:pPr>
    </w:p>
    <w:p>
      <w:pPr>
        <w:spacing w:line="360" w:lineRule="auto"/>
        <w:ind w:left="560"/>
        <w:outlineLvl w:val="0"/>
        <w:rPr>
          <w:rFonts w:ascii="Times New Roman" w:hAnsi="Times New Roman" w:eastAsia="宋体" w:cs="Times New Roman"/>
          <w:color w:val="auto"/>
          <w:sz w:val="24"/>
          <w:szCs w:val="24"/>
          <w:highlight w:val="none"/>
        </w:rPr>
      </w:pPr>
    </w:p>
    <w:p>
      <w:pPr>
        <w:spacing w:line="600" w:lineRule="auto"/>
        <w:ind w:left="560"/>
        <w:outlineLvl w:val="0"/>
        <w:rPr>
          <w:rFonts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lang w:val="en-US" w:eastAsia="zh-CN"/>
        </w:rPr>
        <w:t>供应商</w:t>
      </w:r>
      <w:r>
        <w:rPr>
          <w:rFonts w:ascii="Times New Roman" w:hAnsi="Times New Roman" w:eastAsia="宋体" w:cs="Times New Roman"/>
          <w:color w:val="auto"/>
          <w:sz w:val="24"/>
          <w:szCs w:val="24"/>
          <w:highlight w:val="none"/>
        </w:rPr>
        <w:t>(</w:t>
      </w:r>
      <w:r>
        <w:rPr>
          <w:rFonts w:hint="eastAsia" w:ascii="宋体" w:hAnsi="宋体" w:eastAsia="宋体" w:cs="宋体"/>
          <w:color w:val="auto"/>
          <w:sz w:val="24"/>
          <w:szCs w:val="24"/>
          <w:highlight w:val="none"/>
        </w:rPr>
        <w:t>盖公章</w:t>
      </w:r>
      <w:r>
        <w:rPr>
          <w:rFonts w:ascii="Times New Roman" w:hAnsi="Times New Roman" w:eastAsia="宋体" w:cs="Times New Roman"/>
          <w:color w:val="auto"/>
          <w:sz w:val="24"/>
          <w:szCs w:val="24"/>
          <w:highlight w:val="none"/>
        </w:rPr>
        <w:t>):_____________</w:t>
      </w:r>
    </w:p>
    <w:p>
      <w:pPr>
        <w:spacing w:line="600" w:lineRule="auto"/>
        <w:ind w:left="560"/>
        <w:outlineLvl w:val="0"/>
        <w:rPr>
          <w:rFonts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法定代表人或授权代理人（签字或盖章）：</w:t>
      </w:r>
      <w:r>
        <w:rPr>
          <w:rFonts w:ascii="Times New Roman" w:hAnsi="Times New Roman" w:eastAsia="宋体" w:cs="Times New Roman"/>
          <w:color w:val="auto"/>
          <w:sz w:val="24"/>
          <w:szCs w:val="24"/>
          <w:highlight w:val="none"/>
        </w:rPr>
        <w:t>__________</w:t>
      </w:r>
    </w:p>
    <w:p>
      <w:pPr>
        <w:spacing w:line="360" w:lineRule="auto"/>
        <w:ind w:left="560"/>
        <w:outlineLvl w:val="0"/>
        <w:rPr>
          <w:rFonts w:ascii="Times New Roman" w:hAnsi="Times New Roman" w:eastAsia="宋体" w:cs="Times New Roman"/>
          <w:color w:val="auto"/>
          <w:sz w:val="24"/>
          <w:szCs w:val="24"/>
          <w:highlight w:val="none"/>
        </w:rPr>
      </w:pPr>
    </w:p>
    <w:p>
      <w:pPr>
        <w:spacing w:line="360" w:lineRule="auto"/>
        <w:ind w:left="560"/>
        <w:outlineLvl w:val="0"/>
        <w:rPr>
          <w:rFonts w:ascii="Times New Roman" w:hAnsi="Times New Roman" w:eastAsia="宋体" w:cs="Times New Roman"/>
          <w:color w:val="auto"/>
          <w:sz w:val="24"/>
          <w:szCs w:val="24"/>
          <w:highlight w:val="none"/>
        </w:rPr>
      </w:pPr>
    </w:p>
    <w:p>
      <w:pPr>
        <w:spacing w:line="480" w:lineRule="exact"/>
        <w:ind w:firstLine="64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ascii="Times New Roman" w:hAnsi="Times New Roman" w:eastAsia="宋体" w:cs="Times New Roman"/>
          <w:color w:val="auto"/>
          <w:sz w:val="24"/>
          <w:szCs w:val="24"/>
          <w:highlight w:val="none"/>
        </w:rPr>
        <w:t xml:space="preserve">  </w:t>
      </w:r>
      <w:r>
        <w:rPr>
          <w:rFonts w:hint="eastAsia" w:ascii="宋体" w:hAnsi="宋体" w:eastAsia="宋体" w:cs="宋体"/>
          <w:color w:val="auto"/>
          <w:sz w:val="24"/>
          <w:szCs w:val="24"/>
          <w:highlight w:val="none"/>
        </w:rPr>
        <w:t>月</w:t>
      </w:r>
      <w:r>
        <w:rPr>
          <w:rFonts w:ascii="Times New Roman" w:hAnsi="Times New Roman" w:eastAsia="宋体" w:cs="Times New Roman"/>
          <w:color w:val="auto"/>
          <w:sz w:val="24"/>
          <w:szCs w:val="24"/>
          <w:highlight w:val="none"/>
        </w:rPr>
        <w:t xml:space="preserve">  </w:t>
      </w:r>
      <w:r>
        <w:rPr>
          <w:rFonts w:hint="eastAsia" w:ascii="宋体" w:hAnsi="宋体" w:eastAsia="宋体" w:cs="宋体"/>
          <w:color w:val="auto"/>
          <w:sz w:val="24"/>
          <w:szCs w:val="24"/>
          <w:highlight w:val="none"/>
        </w:rPr>
        <w:t>日</w:t>
      </w:r>
    </w:p>
    <w:p>
      <w:pPr>
        <w:spacing w:line="480" w:lineRule="exact"/>
        <w:jc w:val="center"/>
        <w:rPr>
          <w:rFonts w:hint="eastAsia" w:ascii="宋体" w:hAnsi="宋体" w:eastAsia="宋体" w:cs="宋体"/>
          <w:b/>
          <w:color w:val="auto"/>
          <w:kern w:val="0"/>
          <w:sz w:val="24"/>
          <w:szCs w:val="24"/>
          <w:highlight w:val="none"/>
        </w:rPr>
      </w:pPr>
    </w:p>
    <w:p>
      <w:pPr>
        <w:spacing w:line="480" w:lineRule="exact"/>
        <w:jc w:val="center"/>
        <w:rPr>
          <w:rFonts w:hint="eastAsia" w:ascii="宋体" w:hAnsi="宋体" w:eastAsia="宋体" w:cs="宋体"/>
          <w:b/>
          <w:color w:val="auto"/>
          <w:kern w:val="0"/>
          <w:sz w:val="24"/>
          <w:szCs w:val="24"/>
          <w:highlight w:val="none"/>
        </w:rPr>
      </w:pPr>
    </w:p>
    <w:p>
      <w:pPr>
        <w:spacing w:line="480" w:lineRule="exact"/>
        <w:jc w:val="center"/>
        <w:rPr>
          <w:rFonts w:hint="eastAsia" w:ascii="宋体" w:hAnsi="宋体" w:eastAsia="宋体" w:cs="宋体"/>
          <w:b/>
          <w:color w:val="auto"/>
          <w:kern w:val="0"/>
          <w:sz w:val="24"/>
          <w:szCs w:val="24"/>
          <w:highlight w:val="none"/>
        </w:rPr>
      </w:pPr>
    </w:p>
    <w:p>
      <w:pPr>
        <w:pStyle w:val="52"/>
        <w:rPr>
          <w:rFonts w:hint="eastAsia" w:ascii="宋体" w:hAnsi="宋体" w:eastAsia="宋体" w:cs="宋体"/>
          <w:b/>
          <w:color w:val="auto"/>
          <w:kern w:val="0"/>
          <w:sz w:val="24"/>
          <w:szCs w:val="24"/>
          <w:highlight w:val="none"/>
        </w:rPr>
      </w:pPr>
    </w:p>
    <w:p>
      <w:pPr>
        <w:pStyle w:val="53"/>
        <w:rPr>
          <w:rFonts w:hint="eastAsia" w:ascii="宋体" w:hAnsi="宋体" w:eastAsia="宋体" w:cs="宋体"/>
          <w:b/>
          <w:color w:val="auto"/>
          <w:kern w:val="0"/>
          <w:sz w:val="24"/>
          <w:szCs w:val="24"/>
          <w:highlight w:val="none"/>
        </w:rPr>
      </w:pPr>
    </w:p>
    <w:p>
      <w:pPr>
        <w:pStyle w:val="52"/>
        <w:rPr>
          <w:rFonts w:hint="eastAsia" w:ascii="宋体" w:hAnsi="宋体" w:eastAsia="宋体" w:cs="宋体"/>
          <w:b/>
          <w:color w:val="auto"/>
          <w:kern w:val="0"/>
          <w:sz w:val="24"/>
          <w:szCs w:val="24"/>
          <w:highlight w:val="none"/>
        </w:rPr>
      </w:pPr>
    </w:p>
    <w:p>
      <w:pPr>
        <w:pStyle w:val="53"/>
        <w:rPr>
          <w:rFonts w:hint="eastAsia" w:ascii="宋体" w:hAnsi="宋体" w:eastAsia="宋体" w:cs="宋体"/>
          <w:b/>
          <w:color w:val="auto"/>
          <w:kern w:val="0"/>
          <w:sz w:val="24"/>
          <w:szCs w:val="24"/>
          <w:highlight w:val="none"/>
        </w:rPr>
      </w:pPr>
    </w:p>
    <w:p>
      <w:pPr>
        <w:pStyle w:val="52"/>
        <w:rPr>
          <w:rFonts w:hint="eastAsia" w:ascii="宋体" w:hAnsi="宋体" w:eastAsia="宋体" w:cs="宋体"/>
          <w:b/>
          <w:color w:val="auto"/>
          <w:kern w:val="0"/>
          <w:sz w:val="24"/>
          <w:szCs w:val="24"/>
          <w:highlight w:val="none"/>
        </w:rPr>
      </w:pPr>
    </w:p>
    <w:p>
      <w:pPr>
        <w:pStyle w:val="53"/>
        <w:rPr>
          <w:rFonts w:hint="eastAsia"/>
          <w:color w:val="auto"/>
          <w:highlight w:val="none"/>
        </w:rPr>
      </w:pPr>
    </w:p>
    <w:p>
      <w:pPr>
        <w:spacing w:line="480" w:lineRule="exact"/>
        <w:jc w:val="center"/>
        <w:rPr>
          <w:rFonts w:hint="eastAsia" w:ascii="宋体" w:hAnsi="宋体" w:eastAsia="宋体" w:cs="宋体"/>
          <w:b/>
          <w:color w:val="auto"/>
          <w:kern w:val="0"/>
          <w:sz w:val="24"/>
          <w:szCs w:val="24"/>
          <w:highlight w:val="none"/>
        </w:rPr>
      </w:pPr>
    </w:p>
    <w:p>
      <w:pPr>
        <w:spacing w:line="360" w:lineRule="auto"/>
        <w:ind w:firstLine="640" w:firstLineChars="200"/>
        <w:jc w:val="center"/>
        <w:outlineLvl w:val="1"/>
        <w:rPr>
          <w:rFonts w:hint="eastAsia"/>
          <w:b w:val="0"/>
          <w:bCs w:val="0"/>
          <w:color w:val="auto"/>
          <w:sz w:val="32"/>
          <w:szCs w:val="32"/>
          <w:highlight w:val="none"/>
          <w:lang w:val="en-US"/>
        </w:rPr>
      </w:pPr>
    </w:p>
    <w:p>
      <w:pPr>
        <w:spacing w:line="360" w:lineRule="auto"/>
        <w:ind w:firstLine="640" w:firstLineChars="200"/>
        <w:jc w:val="center"/>
        <w:outlineLvl w:val="1"/>
        <w:rPr>
          <w:rFonts w:hint="eastAsia"/>
          <w:b w:val="0"/>
          <w:bCs w:val="0"/>
          <w:color w:val="auto"/>
          <w:sz w:val="32"/>
          <w:szCs w:val="32"/>
          <w:highlight w:val="none"/>
          <w:lang w:val="en-US"/>
        </w:rPr>
      </w:pPr>
    </w:p>
    <w:p>
      <w:pPr>
        <w:spacing w:line="360" w:lineRule="auto"/>
        <w:ind w:firstLine="640" w:firstLineChars="200"/>
        <w:jc w:val="center"/>
        <w:outlineLvl w:val="1"/>
        <w:rPr>
          <w:rFonts w:hint="eastAsia"/>
          <w:b w:val="0"/>
          <w:bCs w:val="0"/>
          <w:color w:val="auto"/>
          <w:sz w:val="32"/>
          <w:szCs w:val="32"/>
          <w:highlight w:val="none"/>
          <w:lang w:val="en-US"/>
        </w:rPr>
      </w:pPr>
    </w:p>
    <w:p>
      <w:pPr>
        <w:spacing w:line="360" w:lineRule="auto"/>
        <w:ind w:firstLine="640" w:firstLineChars="200"/>
        <w:jc w:val="center"/>
        <w:outlineLvl w:val="1"/>
        <w:rPr>
          <w:b w:val="0"/>
          <w:bCs w:val="0"/>
          <w:color w:val="auto"/>
          <w:sz w:val="32"/>
          <w:szCs w:val="32"/>
          <w:highlight w:val="none"/>
          <w:lang w:val="en-US"/>
        </w:rPr>
      </w:pPr>
      <w:r>
        <w:rPr>
          <w:rFonts w:hint="eastAsia"/>
          <w:b w:val="0"/>
          <w:bCs w:val="0"/>
          <w:color w:val="auto"/>
          <w:sz w:val="32"/>
          <w:szCs w:val="32"/>
          <w:highlight w:val="none"/>
          <w:lang w:val="en-US" w:eastAsia="zh-CN"/>
        </w:rPr>
        <w:t>3、</w:t>
      </w:r>
      <w:r>
        <w:rPr>
          <w:rFonts w:hint="eastAsia"/>
          <w:b w:val="0"/>
          <w:bCs w:val="0"/>
          <w:color w:val="auto"/>
          <w:sz w:val="32"/>
          <w:szCs w:val="32"/>
          <w:highlight w:val="none"/>
          <w:lang w:val="en-US"/>
        </w:rPr>
        <w:t>联合体协议书（如有，投标文件中应附原件扫描件）</w:t>
      </w:r>
    </w:p>
    <w:p>
      <w:pPr>
        <w:rPr>
          <w:color w:val="auto"/>
          <w:highlight w:val="none"/>
          <w:lang w:val="en-US"/>
        </w:rPr>
      </w:pPr>
    </w:p>
    <w:p>
      <w:pPr>
        <w:spacing w:line="500" w:lineRule="exact"/>
        <w:ind w:firstLine="480" w:firstLineChars="200"/>
        <w:rPr>
          <w:color w:val="auto"/>
          <w:sz w:val="24"/>
          <w:szCs w:val="24"/>
          <w:highlight w:val="none"/>
          <w:lang w:val="en-US"/>
        </w:rPr>
      </w:pPr>
      <w:r>
        <w:rPr>
          <w:rFonts w:hint="eastAsia"/>
          <w:color w:val="auto"/>
          <w:sz w:val="24"/>
          <w:szCs w:val="24"/>
          <w:highlight w:val="none"/>
          <w:u w:val="single"/>
          <w:lang w:val="en-US"/>
        </w:rPr>
        <w:t xml:space="preserve">                  </w:t>
      </w:r>
      <w:r>
        <w:rPr>
          <w:rFonts w:hint="eastAsia"/>
          <w:color w:val="auto"/>
          <w:sz w:val="24"/>
          <w:szCs w:val="24"/>
          <w:highlight w:val="none"/>
          <w:lang w:val="en-US"/>
        </w:rPr>
        <w:t xml:space="preserve">（所有成员单位名称）自愿组成 </w:t>
      </w:r>
      <w:r>
        <w:rPr>
          <w:rFonts w:hint="eastAsia"/>
          <w:color w:val="auto"/>
          <w:sz w:val="24"/>
          <w:szCs w:val="24"/>
          <w:highlight w:val="none"/>
          <w:u w:val="single"/>
          <w:lang w:val="en-US"/>
        </w:rPr>
        <w:t xml:space="preserve">         </w:t>
      </w:r>
      <w:r>
        <w:rPr>
          <w:rFonts w:hint="eastAsia"/>
          <w:color w:val="auto"/>
          <w:sz w:val="24"/>
          <w:szCs w:val="24"/>
          <w:highlight w:val="none"/>
          <w:lang w:val="en-US"/>
        </w:rPr>
        <w:t>（联合体名称）联合体，共同参加</w:t>
      </w:r>
      <w:r>
        <w:rPr>
          <w:rFonts w:hint="eastAsia"/>
          <w:color w:val="auto"/>
          <w:sz w:val="24"/>
          <w:szCs w:val="24"/>
          <w:highlight w:val="none"/>
          <w:u w:val="single"/>
          <w:lang w:val="en-US"/>
        </w:rPr>
        <w:t xml:space="preserve">          </w:t>
      </w:r>
      <w:r>
        <w:rPr>
          <w:rFonts w:hint="eastAsia"/>
          <w:color w:val="auto"/>
          <w:sz w:val="24"/>
          <w:szCs w:val="24"/>
          <w:highlight w:val="none"/>
          <w:lang w:val="en-US"/>
        </w:rPr>
        <w:t>（项目名称）投标。现就联合体投标事宜订立如下协议。</w:t>
      </w:r>
    </w:p>
    <w:p>
      <w:pPr>
        <w:spacing w:line="500" w:lineRule="exact"/>
        <w:ind w:firstLine="480" w:firstLineChars="200"/>
        <w:rPr>
          <w:color w:val="auto"/>
          <w:sz w:val="24"/>
          <w:szCs w:val="24"/>
          <w:highlight w:val="none"/>
          <w:lang w:val="en-US"/>
        </w:rPr>
      </w:pPr>
      <w:r>
        <w:rPr>
          <w:rFonts w:hint="eastAsia"/>
          <w:color w:val="auto"/>
          <w:sz w:val="24"/>
          <w:szCs w:val="24"/>
          <w:highlight w:val="none"/>
          <w:lang w:val="en-US"/>
        </w:rPr>
        <w:t>1、</w:t>
      </w:r>
      <w:r>
        <w:rPr>
          <w:rFonts w:hint="eastAsia"/>
          <w:color w:val="auto"/>
          <w:sz w:val="24"/>
          <w:szCs w:val="24"/>
          <w:highlight w:val="none"/>
          <w:u w:val="single"/>
          <w:lang w:val="en-US"/>
        </w:rPr>
        <w:t xml:space="preserve">          </w:t>
      </w:r>
      <w:r>
        <w:rPr>
          <w:rFonts w:hint="eastAsia"/>
          <w:color w:val="auto"/>
          <w:sz w:val="24"/>
          <w:szCs w:val="24"/>
          <w:highlight w:val="none"/>
          <w:lang w:val="en-US"/>
        </w:rPr>
        <w:t>（某成员单位名称）为</w:t>
      </w:r>
      <w:r>
        <w:rPr>
          <w:rFonts w:hint="eastAsia"/>
          <w:color w:val="auto"/>
          <w:sz w:val="24"/>
          <w:szCs w:val="24"/>
          <w:highlight w:val="none"/>
          <w:u w:val="single"/>
          <w:lang w:val="en-US"/>
        </w:rPr>
        <w:t xml:space="preserve">         </w:t>
      </w:r>
      <w:r>
        <w:rPr>
          <w:rFonts w:hint="eastAsia"/>
          <w:color w:val="auto"/>
          <w:sz w:val="24"/>
          <w:szCs w:val="24"/>
          <w:highlight w:val="none"/>
          <w:lang w:val="en-US"/>
        </w:rPr>
        <w:t>（联合体名称）牵头人。</w:t>
      </w:r>
    </w:p>
    <w:p>
      <w:pPr>
        <w:spacing w:line="500" w:lineRule="exact"/>
        <w:ind w:firstLine="480" w:firstLineChars="200"/>
        <w:rPr>
          <w:color w:val="auto"/>
          <w:sz w:val="24"/>
          <w:szCs w:val="24"/>
          <w:highlight w:val="none"/>
          <w:lang w:val="en-US"/>
        </w:rPr>
      </w:pPr>
      <w:r>
        <w:rPr>
          <w:rFonts w:hint="eastAsia"/>
          <w:color w:val="auto"/>
          <w:sz w:val="24"/>
          <w:szCs w:val="24"/>
          <w:highlight w:val="none"/>
          <w:lang w:val="en-US"/>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spacing w:line="500" w:lineRule="exact"/>
        <w:ind w:firstLine="480" w:firstLineChars="200"/>
        <w:rPr>
          <w:color w:val="auto"/>
          <w:sz w:val="24"/>
          <w:szCs w:val="24"/>
          <w:highlight w:val="none"/>
          <w:lang w:val="en-US"/>
        </w:rPr>
      </w:pPr>
      <w:r>
        <w:rPr>
          <w:rFonts w:hint="eastAsia"/>
          <w:color w:val="auto"/>
          <w:sz w:val="24"/>
          <w:szCs w:val="24"/>
          <w:highlight w:val="none"/>
          <w:lang w:val="en-US"/>
        </w:rPr>
        <w:t>3、联合体将严格按照招标文件的各项要求，递交投标文件，履行合同，并对外承担连带责任。</w:t>
      </w:r>
    </w:p>
    <w:p>
      <w:pPr>
        <w:spacing w:line="500" w:lineRule="exact"/>
        <w:ind w:firstLine="480" w:firstLineChars="200"/>
        <w:rPr>
          <w:color w:val="auto"/>
          <w:sz w:val="24"/>
          <w:szCs w:val="24"/>
          <w:highlight w:val="none"/>
          <w:lang w:val="en-US"/>
        </w:rPr>
      </w:pPr>
      <w:r>
        <w:rPr>
          <w:rFonts w:hint="eastAsia"/>
          <w:color w:val="auto"/>
          <w:sz w:val="24"/>
          <w:szCs w:val="24"/>
          <w:highlight w:val="none"/>
          <w:lang w:val="en-US"/>
        </w:rPr>
        <w:t>4、联合体各成员单位内部的职责分工如下</w:t>
      </w:r>
      <w:r>
        <w:rPr>
          <w:rFonts w:hint="eastAsia"/>
          <w:color w:val="auto"/>
          <w:sz w:val="24"/>
          <w:szCs w:val="24"/>
          <w:highlight w:val="none"/>
          <w:u w:val="single"/>
          <w:lang w:val="en-US"/>
        </w:rPr>
        <w:t xml:space="preserve">：                  </w:t>
      </w:r>
      <w:r>
        <w:rPr>
          <w:rFonts w:hint="eastAsia"/>
          <w:color w:val="auto"/>
          <w:sz w:val="24"/>
          <w:szCs w:val="24"/>
          <w:highlight w:val="none"/>
          <w:lang w:val="en-US"/>
        </w:rPr>
        <w:t>。</w:t>
      </w:r>
    </w:p>
    <w:p>
      <w:pPr>
        <w:spacing w:line="500" w:lineRule="exact"/>
        <w:ind w:firstLine="480" w:firstLineChars="200"/>
        <w:rPr>
          <w:color w:val="auto"/>
          <w:sz w:val="24"/>
          <w:szCs w:val="24"/>
          <w:highlight w:val="none"/>
          <w:lang w:val="en-US"/>
        </w:rPr>
      </w:pPr>
      <w:r>
        <w:rPr>
          <w:rFonts w:hint="eastAsia"/>
          <w:color w:val="auto"/>
          <w:sz w:val="24"/>
          <w:szCs w:val="24"/>
          <w:highlight w:val="none"/>
          <w:lang w:val="en-US"/>
        </w:rPr>
        <w:t xml:space="preserve">5、本协议书自签署之日起生效，合同履行完毕后自动失效。 </w:t>
      </w:r>
    </w:p>
    <w:p>
      <w:pPr>
        <w:spacing w:line="500" w:lineRule="exact"/>
        <w:ind w:firstLine="480" w:firstLineChars="200"/>
        <w:rPr>
          <w:color w:val="auto"/>
          <w:sz w:val="24"/>
          <w:szCs w:val="24"/>
          <w:highlight w:val="none"/>
          <w:lang w:val="en-US"/>
        </w:rPr>
      </w:pPr>
      <w:r>
        <w:rPr>
          <w:rFonts w:hint="eastAsia"/>
          <w:color w:val="auto"/>
          <w:sz w:val="24"/>
          <w:szCs w:val="24"/>
          <w:highlight w:val="none"/>
          <w:lang w:val="en-US"/>
        </w:rPr>
        <w:t>6、本协议书一式</w:t>
      </w:r>
      <w:r>
        <w:rPr>
          <w:rFonts w:hint="eastAsia"/>
          <w:color w:val="auto"/>
          <w:sz w:val="24"/>
          <w:szCs w:val="24"/>
          <w:highlight w:val="none"/>
          <w:u w:val="none"/>
          <w:lang w:val="en-US" w:eastAsia="zh-CN"/>
        </w:rPr>
        <w:t>三</w:t>
      </w:r>
      <w:r>
        <w:rPr>
          <w:rFonts w:hint="eastAsia"/>
          <w:color w:val="auto"/>
          <w:sz w:val="24"/>
          <w:szCs w:val="24"/>
          <w:highlight w:val="none"/>
          <w:lang w:val="en-US"/>
        </w:rPr>
        <w:t>份，联合体成员和招标人各执一份。</w:t>
      </w:r>
    </w:p>
    <w:p>
      <w:pPr>
        <w:spacing w:line="500" w:lineRule="exact"/>
        <w:ind w:firstLine="480" w:firstLineChars="200"/>
        <w:rPr>
          <w:color w:val="auto"/>
          <w:sz w:val="24"/>
          <w:szCs w:val="24"/>
          <w:highlight w:val="none"/>
          <w:lang w:val="en-US"/>
        </w:rPr>
      </w:pPr>
      <w:r>
        <w:rPr>
          <w:rFonts w:hint="eastAsia"/>
          <w:color w:val="auto"/>
          <w:sz w:val="24"/>
          <w:szCs w:val="24"/>
          <w:highlight w:val="none"/>
          <w:lang w:val="en-US"/>
        </w:rPr>
        <w:t>注：本协议书由委托代理人签字的，应附法定代表人签字的授权委托书。</w:t>
      </w:r>
    </w:p>
    <w:p>
      <w:pPr>
        <w:spacing w:line="500" w:lineRule="exact"/>
        <w:jc w:val="left"/>
        <w:rPr>
          <w:color w:val="auto"/>
          <w:sz w:val="24"/>
          <w:szCs w:val="24"/>
          <w:highlight w:val="none"/>
          <w:lang w:val="en-US"/>
        </w:rPr>
      </w:pPr>
      <w:r>
        <w:rPr>
          <w:rFonts w:hint="eastAsia"/>
          <w:color w:val="auto"/>
          <w:sz w:val="24"/>
          <w:szCs w:val="24"/>
          <w:highlight w:val="none"/>
          <w:lang w:val="en-US"/>
        </w:rPr>
        <w:t>联合体牵头人名称：</w:t>
      </w:r>
      <w:r>
        <w:rPr>
          <w:rFonts w:hint="eastAsia"/>
          <w:color w:val="auto"/>
          <w:sz w:val="24"/>
          <w:szCs w:val="24"/>
          <w:highlight w:val="none"/>
          <w:u w:val="single"/>
          <w:lang w:val="en-US"/>
        </w:rPr>
        <w:t xml:space="preserve">                    </w:t>
      </w:r>
      <w:r>
        <w:rPr>
          <w:rFonts w:hint="eastAsia"/>
          <w:color w:val="auto"/>
          <w:sz w:val="24"/>
          <w:szCs w:val="24"/>
          <w:highlight w:val="none"/>
          <w:lang w:val="en-US"/>
        </w:rPr>
        <w:t>（</w:t>
      </w:r>
      <w:r>
        <w:rPr>
          <w:rFonts w:hint="eastAsia"/>
          <w:color w:val="auto"/>
          <w:sz w:val="24"/>
          <w:szCs w:val="24"/>
          <w:highlight w:val="none"/>
        </w:rPr>
        <w:t>盖单位电子签章</w:t>
      </w:r>
      <w:r>
        <w:rPr>
          <w:rFonts w:hint="eastAsia"/>
          <w:color w:val="auto"/>
          <w:sz w:val="24"/>
          <w:szCs w:val="24"/>
          <w:highlight w:val="none"/>
          <w:lang w:val="en-US"/>
        </w:rPr>
        <w:t>）</w:t>
      </w:r>
    </w:p>
    <w:p>
      <w:pPr>
        <w:spacing w:line="500" w:lineRule="exact"/>
        <w:jc w:val="left"/>
        <w:rPr>
          <w:color w:val="auto"/>
          <w:sz w:val="24"/>
          <w:szCs w:val="24"/>
          <w:highlight w:val="none"/>
          <w:lang w:val="en-US"/>
        </w:rPr>
      </w:pPr>
      <w:r>
        <w:rPr>
          <w:rFonts w:hint="eastAsia"/>
          <w:color w:val="auto"/>
          <w:sz w:val="24"/>
          <w:szCs w:val="24"/>
          <w:highlight w:val="none"/>
          <w:lang w:val="en-US"/>
        </w:rPr>
        <w:t>法定代表人或其委托代理人：</w:t>
      </w:r>
      <w:r>
        <w:rPr>
          <w:rFonts w:hint="eastAsia"/>
          <w:color w:val="auto"/>
          <w:sz w:val="24"/>
          <w:szCs w:val="24"/>
          <w:highlight w:val="none"/>
          <w:u w:val="single"/>
          <w:lang w:val="en-US"/>
        </w:rPr>
        <w:t xml:space="preserve">            </w:t>
      </w:r>
      <w:r>
        <w:rPr>
          <w:rFonts w:hint="eastAsia"/>
          <w:color w:val="auto"/>
          <w:sz w:val="24"/>
          <w:szCs w:val="24"/>
          <w:highlight w:val="none"/>
          <w:lang w:val="en-US"/>
        </w:rPr>
        <w:t>（盖个人电子签章）</w:t>
      </w:r>
    </w:p>
    <w:p>
      <w:pPr>
        <w:spacing w:line="500" w:lineRule="exact"/>
        <w:jc w:val="left"/>
        <w:rPr>
          <w:color w:val="auto"/>
          <w:sz w:val="24"/>
          <w:szCs w:val="24"/>
          <w:highlight w:val="none"/>
          <w:lang w:val="en-US"/>
        </w:rPr>
      </w:pPr>
      <w:r>
        <w:rPr>
          <w:rFonts w:hint="eastAsia"/>
          <w:color w:val="auto"/>
          <w:sz w:val="24"/>
          <w:szCs w:val="24"/>
          <w:highlight w:val="none"/>
          <w:lang w:val="en-US"/>
        </w:rPr>
        <w:t>联合体成员一名称：</w:t>
      </w:r>
      <w:r>
        <w:rPr>
          <w:rFonts w:hint="eastAsia"/>
          <w:color w:val="auto"/>
          <w:sz w:val="24"/>
          <w:szCs w:val="24"/>
          <w:highlight w:val="none"/>
          <w:u w:val="single"/>
          <w:lang w:val="en-US"/>
        </w:rPr>
        <w:t xml:space="preserve">                    </w:t>
      </w:r>
      <w:r>
        <w:rPr>
          <w:rFonts w:hint="eastAsia"/>
          <w:color w:val="auto"/>
          <w:sz w:val="24"/>
          <w:szCs w:val="24"/>
          <w:highlight w:val="none"/>
          <w:lang w:val="en-US"/>
        </w:rPr>
        <w:t>（盖单位章）</w:t>
      </w:r>
    </w:p>
    <w:p>
      <w:pPr>
        <w:spacing w:line="500" w:lineRule="exact"/>
        <w:jc w:val="left"/>
        <w:rPr>
          <w:color w:val="auto"/>
          <w:sz w:val="24"/>
          <w:szCs w:val="24"/>
          <w:highlight w:val="none"/>
          <w:lang w:val="en-US"/>
        </w:rPr>
      </w:pPr>
      <w:r>
        <w:rPr>
          <w:rFonts w:hint="eastAsia"/>
          <w:color w:val="auto"/>
          <w:sz w:val="24"/>
          <w:szCs w:val="24"/>
          <w:highlight w:val="none"/>
          <w:lang w:val="en-US"/>
        </w:rPr>
        <w:t>法定代表人或其委托代理人：</w:t>
      </w:r>
      <w:r>
        <w:rPr>
          <w:rFonts w:hint="eastAsia"/>
          <w:color w:val="auto"/>
          <w:sz w:val="24"/>
          <w:szCs w:val="24"/>
          <w:highlight w:val="none"/>
          <w:u w:val="single"/>
          <w:lang w:val="en-US"/>
        </w:rPr>
        <w:t xml:space="preserve">            </w:t>
      </w:r>
      <w:r>
        <w:rPr>
          <w:rFonts w:hint="eastAsia"/>
          <w:color w:val="auto"/>
          <w:sz w:val="24"/>
          <w:szCs w:val="24"/>
          <w:highlight w:val="none"/>
          <w:lang w:val="en-US"/>
        </w:rPr>
        <w:t>（签字或盖章）</w:t>
      </w:r>
    </w:p>
    <w:p>
      <w:pPr>
        <w:spacing w:line="500" w:lineRule="exact"/>
        <w:jc w:val="left"/>
        <w:rPr>
          <w:color w:val="auto"/>
          <w:sz w:val="24"/>
          <w:szCs w:val="24"/>
          <w:highlight w:val="none"/>
          <w:lang w:val="en-US"/>
        </w:rPr>
      </w:pPr>
    </w:p>
    <w:p>
      <w:pPr>
        <w:spacing w:line="360" w:lineRule="auto"/>
        <w:ind w:left="5670" w:leftChars="2700"/>
        <w:jc w:val="right"/>
        <w:rPr>
          <w:color w:val="auto"/>
          <w:sz w:val="24"/>
          <w:szCs w:val="24"/>
          <w:highlight w:val="none"/>
          <w:lang w:val="en-US"/>
        </w:rPr>
      </w:pPr>
    </w:p>
    <w:p>
      <w:pPr>
        <w:spacing w:line="360" w:lineRule="auto"/>
        <w:ind w:firstLine="1200" w:firstLineChars="500"/>
        <w:jc w:val="both"/>
        <w:rPr>
          <w:color w:val="auto"/>
          <w:sz w:val="24"/>
          <w:szCs w:val="24"/>
          <w:highlight w:val="none"/>
          <w:lang w:val="en-US"/>
        </w:rPr>
      </w:pPr>
      <w:r>
        <w:rPr>
          <w:rFonts w:hint="eastAsia"/>
          <w:color w:val="auto"/>
          <w:sz w:val="24"/>
          <w:szCs w:val="24"/>
          <w:highlight w:val="none"/>
          <w:u w:val="single"/>
          <w:lang w:val="en-US"/>
        </w:rPr>
        <w:t xml:space="preserve">     </w:t>
      </w:r>
      <w:r>
        <w:rPr>
          <w:rFonts w:hint="eastAsia"/>
          <w:color w:val="auto"/>
          <w:sz w:val="24"/>
          <w:szCs w:val="24"/>
          <w:highlight w:val="none"/>
          <w:lang w:val="en-US"/>
        </w:rPr>
        <w:t>年</w:t>
      </w:r>
      <w:r>
        <w:rPr>
          <w:rFonts w:hint="eastAsia"/>
          <w:color w:val="auto"/>
          <w:sz w:val="24"/>
          <w:szCs w:val="24"/>
          <w:highlight w:val="none"/>
          <w:u w:val="single"/>
          <w:lang w:val="en-US"/>
        </w:rPr>
        <w:t xml:space="preserve">      </w:t>
      </w:r>
      <w:r>
        <w:rPr>
          <w:rFonts w:hint="eastAsia"/>
          <w:color w:val="auto"/>
          <w:sz w:val="24"/>
          <w:szCs w:val="24"/>
          <w:highlight w:val="none"/>
          <w:lang w:val="en-US"/>
        </w:rPr>
        <w:t>月</w:t>
      </w:r>
      <w:r>
        <w:rPr>
          <w:rFonts w:hint="eastAsia"/>
          <w:color w:val="auto"/>
          <w:sz w:val="24"/>
          <w:szCs w:val="24"/>
          <w:highlight w:val="none"/>
          <w:u w:val="single"/>
          <w:lang w:val="en-US"/>
        </w:rPr>
        <w:t xml:space="preserve">      </w:t>
      </w:r>
      <w:r>
        <w:rPr>
          <w:rFonts w:hint="eastAsia"/>
          <w:color w:val="auto"/>
          <w:sz w:val="24"/>
          <w:szCs w:val="24"/>
          <w:highlight w:val="none"/>
          <w:lang w:val="en-US"/>
        </w:rPr>
        <w:t>日</w:t>
      </w:r>
    </w:p>
    <w:p>
      <w:pPr>
        <w:spacing w:line="480" w:lineRule="exact"/>
        <w:jc w:val="both"/>
        <w:rPr>
          <w:rFonts w:ascii="宋体" w:hAnsi="宋体" w:eastAsia="宋体" w:cs="宋体"/>
          <w:b/>
          <w:bCs/>
          <w:color w:val="auto"/>
          <w:sz w:val="28"/>
          <w:szCs w:val="28"/>
          <w:highlight w:val="none"/>
        </w:rPr>
      </w:pPr>
      <w:r>
        <w:rPr>
          <w:rFonts w:hint="eastAsia" w:ascii="宋体" w:hAnsi="宋体" w:eastAsia="宋体" w:cs="宋体"/>
          <w:b/>
          <w:color w:val="auto"/>
          <w:kern w:val="0"/>
          <w:sz w:val="24"/>
          <w:szCs w:val="24"/>
          <w:highlight w:val="none"/>
        </w:rPr>
        <w:br w:type="page"/>
      </w:r>
      <w:r>
        <w:rPr>
          <w:rFonts w:hint="eastAsia" w:ascii="宋体" w:hAnsi="宋体" w:eastAsia="宋体" w:cs="宋体"/>
          <w:b/>
          <w:color w:val="auto"/>
          <w:kern w:val="0"/>
          <w:sz w:val="24"/>
          <w:szCs w:val="24"/>
          <w:highlight w:val="none"/>
          <w:lang w:val="en-US" w:eastAsia="zh-CN"/>
        </w:rPr>
        <w:t xml:space="preserve">                        </w:t>
      </w:r>
      <w:r>
        <w:rPr>
          <w:rFonts w:hint="eastAsia" w:ascii="宋体" w:hAnsi="宋体" w:eastAsia="宋体" w:cs="宋体"/>
          <w:b/>
          <w:bCs/>
          <w:color w:val="auto"/>
          <w:sz w:val="28"/>
          <w:szCs w:val="28"/>
          <w:highlight w:val="none"/>
          <w:lang w:val="en-US" w:eastAsia="zh-CN"/>
        </w:rPr>
        <w:t>四</w:t>
      </w:r>
      <w:r>
        <w:rPr>
          <w:rFonts w:hint="eastAsia" w:ascii="宋体" w:hAnsi="宋体" w:eastAsia="宋体" w:cs="宋体"/>
          <w:b/>
          <w:bCs/>
          <w:color w:val="auto"/>
          <w:sz w:val="28"/>
          <w:szCs w:val="28"/>
          <w:highlight w:val="none"/>
        </w:rPr>
        <w:t>、法定代表人身份证明</w:t>
      </w:r>
      <w:bookmarkEnd w:id="28"/>
    </w:p>
    <w:p>
      <w:pPr>
        <w:spacing w:line="480" w:lineRule="exact"/>
        <w:ind w:firstLine="48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w:t>
      </w:r>
    </w:p>
    <w:p>
      <w:pPr>
        <w:spacing w:line="480" w:lineRule="exact"/>
        <w:ind w:firstLine="48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单位性质：</w:t>
      </w:r>
    </w:p>
    <w:p>
      <w:pPr>
        <w:spacing w:line="480" w:lineRule="exact"/>
        <w:ind w:firstLine="48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p>
    <w:p>
      <w:pPr>
        <w:spacing w:line="480" w:lineRule="exact"/>
        <w:ind w:firstLine="48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成立时间：年月日</w:t>
      </w:r>
    </w:p>
    <w:p>
      <w:pPr>
        <w:spacing w:line="480" w:lineRule="exact"/>
        <w:ind w:firstLine="48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经营期限：</w:t>
      </w:r>
    </w:p>
    <w:p>
      <w:pPr>
        <w:spacing w:line="480" w:lineRule="exact"/>
        <w:ind w:firstLine="48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姓名：性别：</w:t>
      </w:r>
    </w:p>
    <w:p>
      <w:pPr>
        <w:spacing w:line="480" w:lineRule="exact"/>
        <w:ind w:firstLine="48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年龄：职务：</w:t>
      </w:r>
    </w:p>
    <w:p>
      <w:pPr>
        <w:spacing w:line="480" w:lineRule="exact"/>
        <w:ind w:firstLine="48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系（供应商名称）的法定代表人。</w:t>
      </w:r>
    </w:p>
    <w:p>
      <w:pPr>
        <w:spacing w:line="480" w:lineRule="exact"/>
        <w:ind w:firstLine="48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特此证明。</w:t>
      </w:r>
    </w:p>
    <w:p>
      <w:pPr>
        <w:spacing w:line="480" w:lineRule="exact"/>
        <w:ind w:firstLine="480"/>
        <w:rPr>
          <w:rFonts w:ascii="宋体" w:hAnsi="宋体" w:eastAsia="宋体" w:cs="宋体"/>
          <w:bCs/>
          <w:color w:val="auto"/>
          <w:sz w:val="24"/>
          <w:szCs w:val="24"/>
          <w:highlight w:val="none"/>
        </w:rPr>
      </w:pPr>
    </w:p>
    <w:p>
      <w:pPr>
        <w:wordWrap w:val="0"/>
        <w:spacing w:line="480" w:lineRule="exact"/>
        <w:ind w:firstLine="482"/>
        <w:jc w:val="righ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供应商：（盖单位章）</w:t>
      </w:r>
    </w:p>
    <w:p>
      <w:pPr>
        <w:wordWrap w:val="0"/>
        <w:spacing w:line="480" w:lineRule="exact"/>
        <w:ind w:firstLine="482"/>
        <w:jc w:val="righ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年月日</w:t>
      </w:r>
    </w:p>
    <w:p>
      <w:pPr>
        <w:widowControl/>
        <w:spacing w:line="480" w:lineRule="exact"/>
        <w:jc w:val="center"/>
        <w:rPr>
          <w:rFonts w:ascii="宋体" w:hAnsi="宋体" w:eastAsia="宋体" w:cs="宋体"/>
          <w:b/>
          <w:bCs/>
          <w:color w:val="auto"/>
          <w:sz w:val="28"/>
          <w:szCs w:val="28"/>
          <w:highlight w:val="none"/>
        </w:rPr>
      </w:pPr>
      <w:r>
        <w:rPr>
          <w:rFonts w:hint="eastAsia" w:ascii="宋体" w:hAnsi="宋体" w:eastAsia="宋体" w:cs="宋体"/>
          <w:b/>
          <w:bCs/>
          <w:color w:val="auto"/>
          <w:kern w:val="0"/>
          <w:sz w:val="24"/>
          <w:szCs w:val="24"/>
          <w:highlight w:val="none"/>
        </w:rPr>
        <w:br w:type="page"/>
      </w:r>
      <w:r>
        <w:rPr>
          <w:rFonts w:hint="eastAsia" w:ascii="宋体" w:hAnsi="宋体" w:eastAsia="宋体" w:cs="宋体"/>
          <w:b/>
          <w:bCs/>
          <w:color w:val="auto"/>
          <w:kern w:val="0"/>
          <w:sz w:val="28"/>
          <w:szCs w:val="28"/>
          <w:highlight w:val="none"/>
          <w:lang w:val="en-US" w:eastAsia="zh-CN"/>
        </w:rPr>
        <w:t>五</w:t>
      </w:r>
      <w:r>
        <w:rPr>
          <w:rFonts w:hint="eastAsia" w:ascii="宋体" w:hAnsi="宋体" w:eastAsia="宋体" w:cs="宋体"/>
          <w:b/>
          <w:bCs/>
          <w:color w:val="auto"/>
          <w:sz w:val="28"/>
          <w:szCs w:val="28"/>
          <w:highlight w:val="none"/>
        </w:rPr>
        <w:t>、授权委托书</w:t>
      </w:r>
    </w:p>
    <w:p>
      <w:pPr>
        <w:spacing w:line="480" w:lineRule="exact"/>
        <w:rPr>
          <w:rFonts w:ascii="宋体" w:hAnsi="宋体" w:eastAsia="宋体" w:cs="宋体"/>
          <w:color w:val="auto"/>
          <w:kern w:val="0"/>
          <w:sz w:val="24"/>
          <w:szCs w:val="24"/>
          <w:highlight w:val="none"/>
        </w:rPr>
      </w:pPr>
    </w:p>
    <w:p>
      <w:pPr>
        <w:wordWrap w:val="0"/>
        <w:spacing w:line="480" w:lineRule="exact"/>
        <w:ind w:firstLine="708" w:firstLineChars="295"/>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本人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（姓名）系</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（供应商名称）的法定代表人，现委托</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（姓名）为我方代理人。代理人根据授权，以我方名义签署、澄清、说明、补正、递交、撤回、修改</w:t>
      </w:r>
      <w:r>
        <w:rPr>
          <w:rFonts w:hint="eastAsia" w:ascii="宋体" w:hAnsi="宋体" w:eastAsia="宋体" w:cs="宋体"/>
          <w:bCs/>
          <w:color w:val="auto"/>
          <w:sz w:val="24"/>
          <w:szCs w:val="24"/>
          <w:highlight w:val="none"/>
          <w:u w:val="single"/>
        </w:rPr>
        <w:t xml:space="preserve">                  （项目名称）</w:t>
      </w:r>
      <w:r>
        <w:rPr>
          <w:rFonts w:hint="eastAsia" w:ascii="宋体" w:hAnsi="宋体" w:eastAsia="宋体" w:cs="宋体"/>
          <w:bCs/>
          <w:color w:val="auto"/>
          <w:sz w:val="24"/>
          <w:szCs w:val="24"/>
          <w:highlight w:val="none"/>
        </w:rPr>
        <w:t>投标文件、签订合同和处理有关事宜，其法律后果由我方承担。</w:t>
      </w:r>
    </w:p>
    <w:p>
      <w:pPr>
        <w:wordWrap w:val="0"/>
        <w:spacing w:line="480" w:lineRule="exact"/>
        <w:ind w:firstLine="48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委托期限：</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wordWrap w:val="0"/>
        <w:spacing w:line="480" w:lineRule="exact"/>
        <w:ind w:firstLine="48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代理人无转委托权。 </w:t>
      </w:r>
    </w:p>
    <w:p>
      <w:pPr>
        <w:wordWrap w:val="0"/>
        <w:spacing w:line="480" w:lineRule="exact"/>
        <w:ind w:firstLine="523" w:firstLineChars="218"/>
        <w:rPr>
          <w:rFonts w:ascii="宋体" w:hAnsi="宋体" w:eastAsia="宋体" w:cs="宋体"/>
          <w:bCs/>
          <w:color w:val="auto"/>
          <w:sz w:val="24"/>
          <w:szCs w:val="24"/>
          <w:highlight w:val="none"/>
        </w:rPr>
      </w:pPr>
    </w:p>
    <w:p>
      <w:pPr>
        <w:wordWrap w:val="0"/>
        <w:spacing w:line="480" w:lineRule="exac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附：法定代表人、委托代理人身份证扫描件 </w:t>
      </w:r>
    </w:p>
    <w:p>
      <w:pPr>
        <w:wordWrap w:val="0"/>
        <w:spacing w:line="480" w:lineRule="exact"/>
        <w:rPr>
          <w:rFonts w:ascii="宋体" w:hAnsi="宋体" w:eastAsia="宋体" w:cs="宋体"/>
          <w:bCs/>
          <w:color w:val="auto"/>
          <w:sz w:val="24"/>
          <w:szCs w:val="24"/>
          <w:highlight w:val="none"/>
        </w:rPr>
      </w:pPr>
    </w:p>
    <w:p>
      <w:pPr>
        <w:wordWrap w:val="0"/>
        <w:spacing w:line="480" w:lineRule="exact"/>
        <w:rPr>
          <w:rFonts w:ascii="宋体" w:hAnsi="宋体" w:eastAsia="宋体" w:cs="宋体"/>
          <w:bCs/>
          <w:color w:val="auto"/>
          <w:sz w:val="24"/>
          <w:szCs w:val="24"/>
          <w:highlight w:val="none"/>
        </w:rPr>
      </w:pPr>
    </w:p>
    <w:p>
      <w:pPr>
        <w:wordWrap w:val="0"/>
        <w:spacing w:line="480" w:lineRule="exact"/>
        <w:rPr>
          <w:rFonts w:ascii="宋体" w:hAnsi="宋体" w:eastAsia="宋体" w:cs="宋体"/>
          <w:bCs/>
          <w:color w:val="auto"/>
          <w:sz w:val="24"/>
          <w:szCs w:val="24"/>
          <w:highlight w:val="none"/>
        </w:rPr>
      </w:pPr>
    </w:p>
    <w:p>
      <w:pPr>
        <w:wordWrap w:val="0"/>
        <w:spacing w:line="480" w:lineRule="exact"/>
        <w:rPr>
          <w:rFonts w:ascii="宋体" w:hAnsi="宋体" w:eastAsia="宋体" w:cs="宋体"/>
          <w:bCs/>
          <w:color w:val="auto"/>
          <w:sz w:val="24"/>
          <w:szCs w:val="24"/>
          <w:highlight w:val="none"/>
        </w:rPr>
      </w:pPr>
    </w:p>
    <w:p>
      <w:pPr>
        <w:wordWrap w:val="0"/>
        <w:spacing w:line="480" w:lineRule="exact"/>
        <w:jc w:val="righ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供应商：（盖单位章）</w:t>
      </w:r>
    </w:p>
    <w:p>
      <w:pPr>
        <w:wordWrap w:val="0"/>
        <w:spacing w:line="480" w:lineRule="exact"/>
        <w:rPr>
          <w:rFonts w:ascii="宋体" w:hAnsi="宋体" w:eastAsia="宋体" w:cs="宋体"/>
          <w:bCs/>
          <w:color w:val="auto"/>
          <w:sz w:val="24"/>
          <w:szCs w:val="24"/>
          <w:highlight w:val="none"/>
        </w:rPr>
      </w:pPr>
    </w:p>
    <w:p>
      <w:pPr>
        <w:wordWrap w:val="0"/>
        <w:spacing w:line="480" w:lineRule="exact"/>
        <w:jc w:val="righ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法定代表人：  （</w:t>
      </w:r>
      <w:r>
        <w:rPr>
          <w:rFonts w:hint="eastAsia" w:ascii="宋体" w:hAnsi="宋体" w:eastAsia="宋体" w:cs="宋体"/>
          <w:color w:val="auto"/>
          <w:sz w:val="24"/>
          <w:szCs w:val="24"/>
          <w:highlight w:val="none"/>
        </w:rPr>
        <w:t>签字或盖章</w:t>
      </w:r>
      <w:r>
        <w:rPr>
          <w:rFonts w:hint="eastAsia" w:ascii="宋体" w:hAnsi="宋体" w:eastAsia="宋体" w:cs="宋体"/>
          <w:bCs/>
          <w:color w:val="auto"/>
          <w:sz w:val="24"/>
          <w:szCs w:val="24"/>
          <w:highlight w:val="none"/>
        </w:rPr>
        <w:t>）</w:t>
      </w:r>
    </w:p>
    <w:p>
      <w:pPr>
        <w:wordWrap w:val="0"/>
        <w:spacing w:line="480" w:lineRule="exact"/>
        <w:jc w:val="right"/>
        <w:rPr>
          <w:rFonts w:ascii="宋体" w:hAnsi="宋体" w:eastAsia="宋体" w:cs="宋体"/>
          <w:bCs/>
          <w:color w:val="auto"/>
          <w:sz w:val="24"/>
          <w:szCs w:val="24"/>
          <w:highlight w:val="none"/>
        </w:rPr>
      </w:pPr>
    </w:p>
    <w:p>
      <w:pPr>
        <w:wordWrap w:val="0"/>
        <w:spacing w:line="480" w:lineRule="exact"/>
        <w:jc w:val="righ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委托代理人：  （</w:t>
      </w:r>
      <w:r>
        <w:rPr>
          <w:rFonts w:hint="eastAsia" w:ascii="宋体" w:hAnsi="宋体" w:eastAsia="宋体" w:cs="宋体"/>
          <w:color w:val="auto"/>
          <w:sz w:val="24"/>
          <w:szCs w:val="24"/>
          <w:highlight w:val="none"/>
        </w:rPr>
        <w:t>签字或盖章</w:t>
      </w:r>
      <w:r>
        <w:rPr>
          <w:rFonts w:hint="eastAsia" w:ascii="宋体" w:hAnsi="宋体" w:eastAsia="宋体" w:cs="宋体"/>
          <w:bCs/>
          <w:color w:val="auto"/>
          <w:sz w:val="24"/>
          <w:szCs w:val="24"/>
          <w:highlight w:val="none"/>
        </w:rPr>
        <w:t>）</w:t>
      </w:r>
    </w:p>
    <w:p>
      <w:pPr>
        <w:wordWrap w:val="0"/>
        <w:spacing w:line="480" w:lineRule="exact"/>
        <w:rPr>
          <w:rFonts w:ascii="宋体" w:hAnsi="宋体" w:eastAsia="宋体" w:cs="宋体"/>
          <w:bCs/>
          <w:color w:val="auto"/>
          <w:sz w:val="24"/>
          <w:szCs w:val="24"/>
          <w:highlight w:val="none"/>
        </w:rPr>
      </w:pPr>
    </w:p>
    <w:p>
      <w:pPr>
        <w:wordWrap w:val="0"/>
        <w:spacing w:line="480" w:lineRule="exact"/>
        <w:jc w:val="right"/>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日期:年月日</w:t>
      </w:r>
    </w:p>
    <w:p>
      <w:pPr>
        <w:wordWrap w:val="0"/>
        <w:spacing w:line="480" w:lineRule="exact"/>
        <w:ind w:firstLine="240" w:firstLineChars="100"/>
        <w:rPr>
          <w:rFonts w:ascii="宋体" w:hAnsi="宋体" w:eastAsia="宋体" w:cs="宋体"/>
          <w:bCs/>
          <w:color w:val="auto"/>
          <w:kern w:val="0"/>
          <w:sz w:val="24"/>
          <w:szCs w:val="24"/>
          <w:highlight w:val="none"/>
        </w:rPr>
      </w:pPr>
    </w:p>
    <w:p>
      <w:pPr>
        <w:wordWrap w:val="0"/>
        <w:spacing w:line="480" w:lineRule="exact"/>
        <w:ind w:firstLine="240" w:firstLineChars="100"/>
        <w:rPr>
          <w:rFonts w:ascii="宋体" w:hAnsi="宋体" w:eastAsia="宋体" w:cs="宋体"/>
          <w:bCs/>
          <w:color w:val="auto"/>
          <w:kern w:val="0"/>
          <w:sz w:val="24"/>
          <w:szCs w:val="24"/>
          <w:highlight w:val="none"/>
        </w:rPr>
      </w:pPr>
    </w:p>
    <w:p>
      <w:pPr>
        <w:wordWrap w:val="0"/>
        <w:spacing w:line="480" w:lineRule="exact"/>
        <w:ind w:firstLine="240" w:firstLineChars="100"/>
        <w:rPr>
          <w:rFonts w:ascii="宋体" w:hAnsi="宋体" w:eastAsia="宋体" w:cs="宋体"/>
          <w:bCs/>
          <w:color w:val="auto"/>
          <w:kern w:val="0"/>
          <w:sz w:val="24"/>
          <w:szCs w:val="24"/>
          <w:highlight w:val="none"/>
        </w:rPr>
      </w:pPr>
    </w:p>
    <w:p>
      <w:pPr>
        <w:spacing w:line="400" w:lineRule="exact"/>
        <w:rPr>
          <w:rFonts w:ascii="宋体" w:hAnsi="宋体" w:eastAsia="宋体" w:cs="宋体"/>
          <w:color w:val="auto"/>
          <w:sz w:val="24"/>
          <w:szCs w:val="24"/>
          <w:highlight w:val="none"/>
        </w:rPr>
      </w:pPr>
      <w:bookmarkStart w:id="29" w:name="_Toc466566810"/>
      <w:bookmarkEnd w:id="29"/>
      <w:r>
        <w:rPr>
          <w:rFonts w:hint="eastAsia" w:ascii="宋体" w:hAnsi="宋体" w:eastAsia="宋体" w:cs="宋体"/>
          <w:b/>
          <w:bCs/>
          <w:color w:val="auto"/>
          <w:sz w:val="24"/>
          <w:szCs w:val="24"/>
          <w:highlight w:val="none"/>
        </w:rPr>
        <w:t>注</w:t>
      </w:r>
      <w:r>
        <w:rPr>
          <w:rFonts w:hint="eastAsia" w:ascii="宋体" w:hAnsi="宋体" w:eastAsia="宋体" w:cs="宋体"/>
          <w:color w:val="auto"/>
          <w:sz w:val="24"/>
          <w:szCs w:val="24"/>
          <w:highlight w:val="none"/>
        </w:rPr>
        <w:t>：因投标文件中授权委托书授权代理人无法手写签字，可以以印刷体代替，以法定代表人签章为准。（印刷体为电脑打出的字体）。</w:t>
      </w:r>
    </w:p>
    <w:p>
      <w:pPr>
        <w:widowControl/>
        <w:wordWrap w:val="0"/>
        <w:spacing w:line="480" w:lineRule="exact"/>
        <w:rPr>
          <w:rFonts w:ascii="宋体" w:hAnsi="宋体" w:eastAsia="宋体" w:cs="宋体"/>
          <w:color w:val="auto"/>
          <w:sz w:val="24"/>
          <w:szCs w:val="24"/>
          <w:highlight w:val="none"/>
        </w:rPr>
      </w:pPr>
    </w:p>
    <w:p>
      <w:pPr>
        <w:spacing w:line="480" w:lineRule="exact"/>
        <w:rPr>
          <w:rFonts w:ascii="宋体" w:hAnsi="宋体" w:eastAsia="宋体" w:cs="宋体"/>
          <w:color w:val="auto"/>
          <w:kern w:val="0"/>
          <w:sz w:val="24"/>
          <w:szCs w:val="24"/>
          <w:highlight w:val="none"/>
        </w:rPr>
        <w:sectPr>
          <w:type w:val="continuous"/>
          <w:pgSz w:w="11906" w:h="16838"/>
          <w:pgMar w:top="1440" w:right="1080" w:bottom="1440" w:left="1080" w:header="720" w:footer="720" w:gutter="0"/>
          <w:pgNumType w:fmt="decimal"/>
          <w:cols w:space="720" w:num="1"/>
          <w:docGrid w:type="lines" w:linePitch="312" w:charSpace="0"/>
        </w:sectPr>
      </w:pPr>
    </w:p>
    <w:p>
      <w:pPr>
        <w:jc w:val="center"/>
        <w:rPr>
          <w:rFonts w:ascii="宋体" w:hAnsi="宋体" w:eastAsia="宋体" w:cs="宋体"/>
          <w:b/>
          <w:bCs/>
          <w:color w:val="auto"/>
          <w:sz w:val="28"/>
          <w:szCs w:val="28"/>
          <w:highlight w:val="none"/>
        </w:rPr>
      </w:pPr>
      <w:bookmarkStart w:id="30" w:name="_Toc6589_WPSOffice_Level1"/>
      <w:r>
        <w:rPr>
          <w:rFonts w:hint="eastAsia" w:ascii="宋体" w:hAnsi="宋体" w:eastAsia="宋体" w:cs="宋体"/>
          <w:b/>
          <w:bCs/>
          <w:color w:val="auto"/>
          <w:sz w:val="28"/>
          <w:szCs w:val="28"/>
          <w:highlight w:val="none"/>
          <w:lang w:val="en-US" w:eastAsia="zh-CN"/>
        </w:rPr>
        <w:t>六</w:t>
      </w:r>
      <w:r>
        <w:rPr>
          <w:rFonts w:hint="eastAsia" w:ascii="宋体" w:hAnsi="宋体" w:eastAsia="宋体" w:cs="宋体"/>
          <w:b/>
          <w:bCs/>
          <w:color w:val="auto"/>
          <w:sz w:val="28"/>
          <w:szCs w:val="28"/>
          <w:highlight w:val="none"/>
        </w:rPr>
        <w:t>、企业基本情况资料</w:t>
      </w:r>
      <w:bookmarkEnd w:id="30"/>
    </w:p>
    <w:p>
      <w:pPr>
        <w:spacing w:line="480" w:lineRule="exact"/>
        <w:jc w:val="center"/>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.1企业基本情况表</w:t>
      </w:r>
    </w:p>
    <w:tbl>
      <w:tblPr>
        <w:tblStyle w:val="35"/>
        <w:tblpPr w:leftFromText="180" w:rightFromText="180" w:vertAnchor="text" w:horzAnchor="margin" w:tblpXSpec="center" w:tblpY="163"/>
        <w:tblOverlap w:val="never"/>
        <w:tblW w:w="9300" w:type="dxa"/>
        <w:tblInd w:w="0" w:type="dxa"/>
        <w:tblLayout w:type="fixed"/>
        <w:tblCellMar>
          <w:top w:w="0" w:type="dxa"/>
          <w:left w:w="108" w:type="dxa"/>
          <w:bottom w:w="0" w:type="dxa"/>
          <w:right w:w="108" w:type="dxa"/>
        </w:tblCellMar>
      </w:tblPr>
      <w:tblGrid>
        <w:gridCol w:w="1982"/>
        <w:gridCol w:w="1083"/>
        <w:gridCol w:w="1059"/>
        <w:gridCol w:w="1098"/>
        <w:gridCol w:w="648"/>
        <w:gridCol w:w="1360"/>
        <w:gridCol w:w="2070"/>
      </w:tblGrid>
      <w:tr>
        <w:tblPrEx>
          <w:tblLayout w:type="fixed"/>
          <w:tblCellMar>
            <w:top w:w="0" w:type="dxa"/>
            <w:left w:w="108" w:type="dxa"/>
            <w:bottom w:w="0" w:type="dxa"/>
            <w:right w:w="108" w:type="dxa"/>
          </w:tblCellMar>
        </w:tblPrEx>
        <w:trPr>
          <w:trHeight w:val="676" w:hRule="atLeast"/>
        </w:trPr>
        <w:tc>
          <w:tcPr>
            <w:tcW w:w="1982" w:type="dxa"/>
            <w:tcBorders>
              <w:top w:val="single" w:color="auto" w:sz="4" w:space="0"/>
              <w:left w:val="single" w:color="auto" w:sz="4" w:space="0"/>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响应人名称</w:t>
            </w:r>
          </w:p>
        </w:tc>
        <w:tc>
          <w:tcPr>
            <w:tcW w:w="7318" w:type="dxa"/>
            <w:gridSpan w:val="6"/>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p>
        </w:tc>
      </w:tr>
      <w:tr>
        <w:tblPrEx>
          <w:tblLayout w:type="fixed"/>
          <w:tblCellMar>
            <w:top w:w="0" w:type="dxa"/>
            <w:left w:w="108" w:type="dxa"/>
            <w:bottom w:w="0" w:type="dxa"/>
            <w:right w:w="108" w:type="dxa"/>
          </w:tblCellMar>
        </w:tblPrEx>
        <w:trPr>
          <w:trHeight w:val="676" w:hRule="atLeast"/>
        </w:trPr>
        <w:tc>
          <w:tcPr>
            <w:tcW w:w="1982" w:type="dxa"/>
            <w:tcBorders>
              <w:top w:val="single" w:color="auto" w:sz="4" w:space="0"/>
              <w:left w:val="single" w:color="auto" w:sz="4" w:space="0"/>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注册地址</w:t>
            </w:r>
          </w:p>
        </w:tc>
        <w:tc>
          <w:tcPr>
            <w:tcW w:w="3888" w:type="dxa"/>
            <w:gridSpan w:val="4"/>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p>
        </w:tc>
        <w:tc>
          <w:tcPr>
            <w:tcW w:w="1360" w:type="dxa"/>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2070" w:type="dxa"/>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p>
        </w:tc>
      </w:tr>
      <w:tr>
        <w:tblPrEx>
          <w:tblLayout w:type="fixed"/>
          <w:tblCellMar>
            <w:top w:w="0" w:type="dxa"/>
            <w:left w:w="108" w:type="dxa"/>
            <w:bottom w:w="0" w:type="dxa"/>
            <w:right w:w="108" w:type="dxa"/>
          </w:tblCellMar>
        </w:tblPrEx>
        <w:trPr>
          <w:cantSplit/>
          <w:trHeight w:val="676" w:hRule="atLeast"/>
        </w:trPr>
        <w:tc>
          <w:tcPr>
            <w:tcW w:w="1982" w:type="dxa"/>
            <w:vMerge w:val="restart"/>
            <w:tcBorders>
              <w:top w:val="nil"/>
              <w:left w:val="single" w:color="auto" w:sz="4" w:space="0"/>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p>
        </w:tc>
        <w:tc>
          <w:tcPr>
            <w:tcW w:w="1083" w:type="dxa"/>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p>
        </w:tc>
        <w:tc>
          <w:tcPr>
            <w:tcW w:w="2805" w:type="dxa"/>
            <w:gridSpan w:val="3"/>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p>
        </w:tc>
        <w:tc>
          <w:tcPr>
            <w:tcW w:w="1360" w:type="dxa"/>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电 话</w:t>
            </w:r>
          </w:p>
        </w:tc>
        <w:tc>
          <w:tcPr>
            <w:tcW w:w="2070" w:type="dxa"/>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p>
        </w:tc>
      </w:tr>
      <w:tr>
        <w:tblPrEx>
          <w:tblLayout w:type="fixed"/>
          <w:tblCellMar>
            <w:top w:w="0" w:type="dxa"/>
            <w:left w:w="108" w:type="dxa"/>
            <w:bottom w:w="0" w:type="dxa"/>
            <w:right w:w="108" w:type="dxa"/>
          </w:tblCellMar>
        </w:tblPrEx>
        <w:trPr>
          <w:cantSplit/>
          <w:trHeight w:val="676" w:hRule="atLeast"/>
        </w:trPr>
        <w:tc>
          <w:tcPr>
            <w:tcW w:w="1982" w:type="dxa"/>
            <w:vMerge w:val="continue"/>
            <w:tcBorders>
              <w:top w:val="nil"/>
              <w:left w:val="single" w:color="auto" w:sz="4" w:space="0"/>
              <w:bottom w:val="single" w:color="auto" w:sz="4" w:space="0"/>
              <w:right w:val="single" w:color="auto" w:sz="4" w:space="0"/>
            </w:tcBorders>
            <w:vAlign w:val="center"/>
          </w:tcPr>
          <w:p>
            <w:pPr>
              <w:widowControl/>
              <w:spacing w:line="480" w:lineRule="exact"/>
              <w:rPr>
                <w:rFonts w:ascii="宋体" w:hAnsi="宋体" w:eastAsia="宋体" w:cs="宋体"/>
                <w:color w:val="auto"/>
                <w:sz w:val="24"/>
                <w:szCs w:val="24"/>
                <w:highlight w:val="none"/>
              </w:rPr>
            </w:pPr>
          </w:p>
        </w:tc>
        <w:tc>
          <w:tcPr>
            <w:tcW w:w="1083" w:type="dxa"/>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传  真</w:t>
            </w:r>
          </w:p>
        </w:tc>
        <w:tc>
          <w:tcPr>
            <w:tcW w:w="2805" w:type="dxa"/>
            <w:gridSpan w:val="3"/>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p>
        </w:tc>
        <w:tc>
          <w:tcPr>
            <w:tcW w:w="1360" w:type="dxa"/>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网 址</w:t>
            </w:r>
          </w:p>
        </w:tc>
        <w:tc>
          <w:tcPr>
            <w:tcW w:w="2070" w:type="dxa"/>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p>
        </w:tc>
      </w:tr>
      <w:tr>
        <w:tblPrEx>
          <w:tblLayout w:type="fixed"/>
          <w:tblCellMar>
            <w:top w:w="0" w:type="dxa"/>
            <w:left w:w="108" w:type="dxa"/>
            <w:bottom w:w="0" w:type="dxa"/>
            <w:right w:w="108" w:type="dxa"/>
          </w:tblCellMar>
        </w:tblPrEx>
        <w:trPr>
          <w:trHeight w:val="676" w:hRule="atLeast"/>
        </w:trPr>
        <w:tc>
          <w:tcPr>
            <w:tcW w:w="1982" w:type="dxa"/>
            <w:tcBorders>
              <w:top w:val="single" w:color="auto" w:sz="4" w:space="0"/>
              <w:left w:val="single" w:color="auto" w:sz="4" w:space="0"/>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1083" w:type="dxa"/>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1059" w:type="dxa"/>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p>
        </w:tc>
        <w:tc>
          <w:tcPr>
            <w:tcW w:w="1098" w:type="dxa"/>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4078" w:type="dxa"/>
            <w:gridSpan w:val="3"/>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p>
        </w:tc>
      </w:tr>
      <w:tr>
        <w:tblPrEx>
          <w:tblLayout w:type="fixed"/>
          <w:tblCellMar>
            <w:top w:w="0" w:type="dxa"/>
            <w:left w:w="108" w:type="dxa"/>
            <w:bottom w:w="0" w:type="dxa"/>
            <w:right w:w="108" w:type="dxa"/>
          </w:tblCellMar>
        </w:tblPrEx>
        <w:trPr>
          <w:trHeight w:val="676" w:hRule="atLeast"/>
        </w:trPr>
        <w:tc>
          <w:tcPr>
            <w:tcW w:w="1982" w:type="dxa"/>
            <w:tcBorders>
              <w:top w:val="single" w:color="auto" w:sz="4" w:space="0"/>
              <w:left w:val="single" w:color="auto" w:sz="4" w:space="0"/>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p>
        </w:tc>
        <w:tc>
          <w:tcPr>
            <w:tcW w:w="1083" w:type="dxa"/>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1059" w:type="dxa"/>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p>
        </w:tc>
        <w:tc>
          <w:tcPr>
            <w:tcW w:w="1098" w:type="dxa"/>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4078" w:type="dxa"/>
            <w:gridSpan w:val="3"/>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p>
        </w:tc>
      </w:tr>
      <w:tr>
        <w:tblPrEx>
          <w:tblLayout w:type="fixed"/>
          <w:tblCellMar>
            <w:top w:w="0" w:type="dxa"/>
            <w:left w:w="108" w:type="dxa"/>
            <w:bottom w:w="0" w:type="dxa"/>
            <w:right w:w="108" w:type="dxa"/>
          </w:tblCellMar>
        </w:tblPrEx>
        <w:trPr>
          <w:trHeight w:val="676" w:hRule="atLeast"/>
        </w:trPr>
        <w:tc>
          <w:tcPr>
            <w:tcW w:w="1982" w:type="dxa"/>
            <w:tcBorders>
              <w:top w:val="single" w:color="auto" w:sz="4" w:space="0"/>
              <w:left w:val="single" w:color="auto" w:sz="4" w:space="0"/>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成立时间</w:t>
            </w:r>
          </w:p>
        </w:tc>
        <w:tc>
          <w:tcPr>
            <w:tcW w:w="2142" w:type="dxa"/>
            <w:gridSpan w:val="2"/>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p>
        </w:tc>
        <w:tc>
          <w:tcPr>
            <w:tcW w:w="5176" w:type="dxa"/>
            <w:gridSpan w:val="4"/>
            <w:tcBorders>
              <w:top w:val="single" w:color="auto" w:sz="4" w:space="0"/>
              <w:left w:val="nil"/>
              <w:bottom w:val="single" w:color="auto" w:sz="4" w:space="0"/>
              <w:right w:val="single" w:color="auto" w:sz="4" w:space="0"/>
            </w:tcBorders>
            <w:vAlign w:val="center"/>
          </w:tcPr>
          <w:p>
            <w:pPr>
              <w:topLinePunct/>
              <w:spacing w:line="480" w:lineRule="exact"/>
              <w:ind w:firstLine="120" w:firstLineChars="50"/>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员工总人数：</w:t>
            </w:r>
          </w:p>
        </w:tc>
      </w:tr>
      <w:tr>
        <w:tblPrEx>
          <w:tblLayout w:type="fixed"/>
          <w:tblCellMar>
            <w:top w:w="0" w:type="dxa"/>
            <w:left w:w="108" w:type="dxa"/>
            <w:bottom w:w="0" w:type="dxa"/>
            <w:right w:w="108" w:type="dxa"/>
          </w:tblCellMar>
        </w:tblPrEx>
        <w:trPr>
          <w:cantSplit/>
          <w:trHeight w:val="676" w:hRule="atLeast"/>
        </w:trPr>
        <w:tc>
          <w:tcPr>
            <w:tcW w:w="1982" w:type="dxa"/>
            <w:tcBorders>
              <w:top w:val="single" w:color="auto" w:sz="4" w:space="0"/>
              <w:left w:val="single" w:color="auto" w:sz="4" w:space="0"/>
              <w:bottom w:val="single" w:color="auto" w:sz="4" w:space="0"/>
              <w:right w:val="single" w:color="auto" w:sz="4" w:space="0"/>
            </w:tcBorders>
            <w:vAlign w:val="center"/>
          </w:tcPr>
          <w:p>
            <w:pPr>
              <w:topLinePunct/>
              <w:spacing w:line="48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Times New Roman"/>
                <w:color w:val="auto"/>
                <w:sz w:val="24"/>
                <w:szCs w:val="24"/>
                <w:highlight w:val="none"/>
              </w:rPr>
              <w:t>营业执照</w:t>
            </w:r>
            <w:r>
              <w:rPr>
                <w:rFonts w:hint="eastAsia" w:ascii="宋体" w:hAnsi="宋体" w:eastAsia="宋体" w:cs="Times New Roman"/>
                <w:color w:val="auto"/>
                <w:sz w:val="24"/>
                <w:szCs w:val="24"/>
                <w:highlight w:val="none"/>
                <w:lang w:val="en-US" w:eastAsia="zh-CN"/>
              </w:rPr>
              <w:t>号</w:t>
            </w:r>
            <w:r>
              <w:rPr>
                <w:rFonts w:hint="eastAsia" w:ascii="宋体" w:hAnsi="宋体" w:eastAsia="宋体" w:cs="Times New Roman"/>
                <w:color w:val="auto"/>
                <w:sz w:val="24"/>
                <w:szCs w:val="24"/>
                <w:highlight w:val="none"/>
              </w:rPr>
              <w:t>或事业单位法人证书</w:t>
            </w:r>
            <w:r>
              <w:rPr>
                <w:rFonts w:hint="eastAsia" w:ascii="宋体" w:hAnsi="宋体" w:eastAsia="宋体" w:cs="Times New Roman"/>
                <w:color w:val="auto"/>
                <w:sz w:val="24"/>
                <w:szCs w:val="24"/>
                <w:highlight w:val="none"/>
                <w:lang w:val="en-US" w:eastAsia="zh-CN"/>
              </w:rPr>
              <w:t>号</w:t>
            </w:r>
          </w:p>
        </w:tc>
        <w:tc>
          <w:tcPr>
            <w:tcW w:w="7318" w:type="dxa"/>
            <w:gridSpan w:val="6"/>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p>
        </w:tc>
      </w:tr>
      <w:tr>
        <w:tblPrEx>
          <w:tblLayout w:type="fixed"/>
          <w:tblCellMar>
            <w:top w:w="0" w:type="dxa"/>
            <w:left w:w="108" w:type="dxa"/>
            <w:bottom w:w="0" w:type="dxa"/>
            <w:right w:w="108" w:type="dxa"/>
          </w:tblCellMar>
        </w:tblPrEx>
        <w:trPr>
          <w:cantSplit/>
          <w:trHeight w:val="676" w:hRule="atLeast"/>
        </w:trPr>
        <w:tc>
          <w:tcPr>
            <w:tcW w:w="1982" w:type="dxa"/>
            <w:tcBorders>
              <w:top w:val="single" w:color="auto" w:sz="4" w:space="0"/>
              <w:left w:val="single" w:color="auto" w:sz="4" w:space="0"/>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注册资金</w:t>
            </w:r>
          </w:p>
        </w:tc>
        <w:tc>
          <w:tcPr>
            <w:tcW w:w="7318" w:type="dxa"/>
            <w:gridSpan w:val="6"/>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p>
        </w:tc>
      </w:tr>
      <w:tr>
        <w:tblPrEx>
          <w:tblLayout w:type="fixed"/>
          <w:tblCellMar>
            <w:top w:w="0" w:type="dxa"/>
            <w:left w:w="108" w:type="dxa"/>
            <w:bottom w:w="0" w:type="dxa"/>
            <w:right w:w="108" w:type="dxa"/>
          </w:tblCellMar>
        </w:tblPrEx>
        <w:trPr>
          <w:cantSplit/>
          <w:trHeight w:val="676" w:hRule="atLeast"/>
        </w:trPr>
        <w:tc>
          <w:tcPr>
            <w:tcW w:w="1982" w:type="dxa"/>
            <w:tcBorders>
              <w:top w:val="single" w:color="auto" w:sz="4" w:space="0"/>
              <w:left w:val="single" w:color="auto" w:sz="4" w:space="0"/>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p>
        </w:tc>
        <w:tc>
          <w:tcPr>
            <w:tcW w:w="7318" w:type="dxa"/>
            <w:gridSpan w:val="6"/>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p>
        </w:tc>
      </w:tr>
      <w:tr>
        <w:tblPrEx>
          <w:tblLayout w:type="fixed"/>
          <w:tblCellMar>
            <w:top w:w="0" w:type="dxa"/>
            <w:left w:w="108" w:type="dxa"/>
            <w:bottom w:w="0" w:type="dxa"/>
            <w:right w:w="108" w:type="dxa"/>
          </w:tblCellMar>
        </w:tblPrEx>
        <w:trPr>
          <w:trHeight w:val="676" w:hRule="atLeast"/>
        </w:trPr>
        <w:tc>
          <w:tcPr>
            <w:tcW w:w="1982" w:type="dxa"/>
            <w:tcBorders>
              <w:top w:val="single" w:color="auto" w:sz="4" w:space="0"/>
              <w:left w:val="single" w:color="auto" w:sz="4" w:space="0"/>
              <w:right w:val="single" w:color="auto" w:sz="4" w:space="0"/>
            </w:tcBorders>
            <w:vAlign w:val="center"/>
          </w:tcPr>
          <w:p>
            <w:pPr>
              <w:topLinePunct/>
              <w:spacing w:line="480" w:lineRule="exact"/>
              <w:ind w:firstLine="240" w:firstLineChars="100"/>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经营范围</w:t>
            </w:r>
          </w:p>
        </w:tc>
        <w:tc>
          <w:tcPr>
            <w:tcW w:w="7318" w:type="dxa"/>
            <w:gridSpan w:val="6"/>
            <w:tcBorders>
              <w:top w:val="single" w:color="auto" w:sz="4" w:space="0"/>
              <w:left w:val="nil"/>
              <w:right w:val="single" w:color="auto" w:sz="4" w:space="0"/>
            </w:tcBorders>
            <w:vAlign w:val="center"/>
          </w:tcPr>
          <w:p>
            <w:pPr>
              <w:topLinePunct/>
              <w:spacing w:line="480" w:lineRule="exact"/>
              <w:rPr>
                <w:rFonts w:ascii="宋体" w:hAnsi="宋体" w:eastAsia="宋体" w:cs="宋体"/>
                <w:color w:val="auto"/>
                <w:sz w:val="24"/>
                <w:szCs w:val="24"/>
                <w:highlight w:val="none"/>
              </w:rPr>
            </w:pPr>
          </w:p>
        </w:tc>
      </w:tr>
      <w:tr>
        <w:tblPrEx>
          <w:tblLayout w:type="fixed"/>
          <w:tblCellMar>
            <w:top w:w="0" w:type="dxa"/>
            <w:left w:w="108" w:type="dxa"/>
            <w:bottom w:w="0" w:type="dxa"/>
            <w:right w:w="108" w:type="dxa"/>
          </w:tblCellMar>
        </w:tblPrEx>
        <w:trPr>
          <w:trHeight w:val="689" w:hRule="atLeast"/>
        </w:trPr>
        <w:tc>
          <w:tcPr>
            <w:tcW w:w="1982" w:type="dxa"/>
            <w:tcBorders>
              <w:top w:val="single" w:color="auto" w:sz="4" w:space="0"/>
              <w:left w:val="single" w:color="auto" w:sz="4" w:space="0"/>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7318" w:type="dxa"/>
            <w:gridSpan w:val="6"/>
            <w:tcBorders>
              <w:top w:val="single" w:color="auto" w:sz="4" w:space="0"/>
              <w:left w:val="nil"/>
              <w:bottom w:val="single" w:color="auto" w:sz="4" w:space="0"/>
              <w:right w:val="single" w:color="auto" w:sz="4" w:space="0"/>
            </w:tcBorders>
            <w:vAlign w:val="center"/>
          </w:tcPr>
          <w:p>
            <w:pPr>
              <w:topLinePunct/>
              <w:spacing w:line="480" w:lineRule="exact"/>
              <w:jc w:val="center"/>
              <w:rPr>
                <w:rFonts w:ascii="宋体" w:hAnsi="宋体" w:eastAsia="宋体" w:cs="宋体"/>
                <w:color w:val="auto"/>
                <w:sz w:val="24"/>
                <w:szCs w:val="24"/>
                <w:highlight w:val="none"/>
              </w:rPr>
            </w:pPr>
          </w:p>
        </w:tc>
      </w:tr>
    </w:tbl>
    <w:p>
      <w:pPr>
        <w:spacing w:line="360" w:lineRule="auto"/>
        <w:jc w:val="center"/>
        <w:rPr>
          <w:rFonts w:hint="eastAsia" w:asciiTheme="minorEastAsia" w:hAnsiTheme="minorEastAsia" w:eastAsiaTheme="minorEastAsia" w:cstheme="minorEastAsia"/>
          <w:b/>
          <w:color w:val="auto"/>
          <w:kern w:val="0"/>
          <w:sz w:val="32"/>
          <w:szCs w:val="32"/>
          <w:highlight w:val="none"/>
        </w:rPr>
      </w:pPr>
      <w:bookmarkStart w:id="31" w:name="_Toc60537404"/>
      <w:bookmarkStart w:id="32" w:name="_Toc27509_WPSOffice_Level1"/>
    </w:p>
    <w:p>
      <w:pPr>
        <w:spacing w:line="360" w:lineRule="auto"/>
        <w:jc w:val="center"/>
        <w:rPr>
          <w:rFonts w:hint="eastAsia" w:asciiTheme="minorEastAsia" w:hAnsiTheme="minorEastAsia" w:eastAsiaTheme="minorEastAsia" w:cstheme="minorEastAsia"/>
          <w:b/>
          <w:color w:val="auto"/>
          <w:kern w:val="0"/>
          <w:sz w:val="32"/>
          <w:szCs w:val="32"/>
          <w:highlight w:val="none"/>
        </w:rPr>
      </w:pPr>
    </w:p>
    <w:p>
      <w:pPr>
        <w:spacing w:line="360" w:lineRule="auto"/>
        <w:jc w:val="center"/>
        <w:rPr>
          <w:rFonts w:hint="eastAsia" w:asciiTheme="minorEastAsia" w:hAnsiTheme="minorEastAsia" w:eastAsiaTheme="minorEastAsia" w:cstheme="minorEastAsia"/>
          <w:b/>
          <w:color w:val="auto"/>
          <w:kern w:val="0"/>
          <w:sz w:val="32"/>
          <w:szCs w:val="32"/>
          <w:highlight w:val="none"/>
        </w:rPr>
      </w:pPr>
    </w:p>
    <w:p>
      <w:pPr>
        <w:spacing w:line="360" w:lineRule="auto"/>
        <w:jc w:val="center"/>
        <w:rPr>
          <w:rFonts w:hint="eastAsia" w:asciiTheme="minorEastAsia" w:hAnsiTheme="minorEastAsia" w:eastAsiaTheme="minorEastAsia" w:cstheme="minorEastAsia"/>
          <w:b/>
          <w:color w:val="auto"/>
          <w:kern w:val="0"/>
          <w:sz w:val="32"/>
          <w:szCs w:val="32"/>
          <w:highlight w:val="none"/>
        </w:rPr>
      </w:pPr>
    </w:p>
    <w:p>
      <w:pPr>
        <w:spacing w:line="360" w:lineRule="auto"/>
        <w:jc w:val="center"/>
        <w:rPr>
          <w:rFonts w:hint="eastAsia" w:asciiTheme="minorEastAsia" w:hAnsiTheme="minorEastAsia" w:eastAsiaTheme="minorEastAsia" w:cstheme="minorEastAsia"/>
          <w:b/>
          <w:color w:val="auto"/>
          <w:kern w:val="0"/>
          <w:sz w:val="32"/>
          <w:szCs w:val="32"/>
          <w:highlight w:val="none"/>
        </w:rPr>
      </w:pPr>
    </w:p>
    <w:p>
      <w:pPr>
        <w:spacing w:line="360" w:lineRule="auto"/>
        <w:jc w:val="center"/>
        <w:rPr>
          <w:rFonts w:hint="eastAsia" w:asciiTheme="minorEastAsia" w:hAnsiTheme="minorEastAsia" w:eastAsiaTheme="minorEastAsia" w:cstheme="minorEastAsia"/>
          <w:b/>
          <w:color w:val="auto"/>
          <w:kern w:val="0"/>
          <w:sz w:val="32"/>
          <w:szCs w:val="32"/>
          <w:highlight w:val="none"/>
        </w:rPr>
      </w:pPr>
    </w:p>
    <w:p>
      <w:pPr>
        <w:spacing w:line="360" w:lineRule="auto"/>
        <w:jc w:val="center"/>
        <w:rPr>
          <w:rFonts w:hint="eastAsia" w:asciiTheme="minorEastAsia" w:hAnsiTheme="minorEastAsia" w:eastAsiaTheme="minorEastAsia" w:cstheme="minorEastAsia"/>
          <w:b/>
          <w:color w:val="auto"/>
          <w:kern w:val="0"/>
          <w:sz w:val="32"/>
          <w:szCs w:val="32"/>
          <w:highlight w:val="none"/>
        </w:rPr>
      </w:pPr>
    </w:p>
    <w:p>
      <w:pPr>
        <w:spacing w:line="360" w:lineRule="auto"/>
        <w:jc w:val="center"/>
        <w:rPr>
          <w:rFonts w:hint="eastAsia" w:asciiTheme="minorEastAsia" w:hAnsiTheme="minorEastAsia" w:eastAsiaTheme="minorEastAsia" w:cstheme="minorEastAsia"/>
          <w:bCs/>
          <w:color w:val="auto"/>
          <w:sz w:val="28"/>
          <w:szCs w:val="28"/>
          <w:highlight w:val="none"/>
        </w:rPr>
      </w:pPr>
      <w:r>
        <w:rPr>
          <w:rFonts w:hint="eastAsia" w:asciiTheme="minorEastAsia" w:hAnsiTheme="minorEastAsia" w:cstheme="minorEastAsia"/>
          <w:b/>
          <w:color w:val="auto"/>
          <w:kern w:val="0"/>
          <w:sz w:val="32"/>
          <w:szCs w:val="32"/>
          <w:highlight w:val="none"/>
          <w:lang w:val="en-US" w:eastAsia="zh-CN"/>
        </w:rPr>
        <w:t>6.2</w:t>
      </w:r>
      <w:r>
        <w:rPr>
          <w:rFonts w:hint="eastAsia" w:asciiTheme="minorEastAsia" w:hAnsiTheme="minorEastAsia" w:eastAsiaTheme="minorEastAsia" w:cstheme="minorEastAsia"/>
          <w:b/>
          <w:color w:val="auto"/>
          <w:kern w:val="0"/>
          <w:sz w:val="32"/>
          <w:szCs w:val="32"/>
          <w:highlight w:val="none"/>
        </w:rPr>
        <w:t>业绩一览表及证明材料</w:t>
      </w:r>
    </w:p>
    <w:p>
      <w:pPr>
        <w:spacing w:line="360" w:lineRule="auto"/>
        <w:ind w:firstLine="141" w:firstLineChars="5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p>
      <w:pPr>
        <w:spacing w:line="360" w:lineRule="auto"/>
        <w:ind w:firstLine="141" w:firstLineChars="5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项目编号：</w:t>
      </w:r>
    </w:p>
    <w:tbl>
      <w:tblPr>
        <w:tblStyle w:val="35"/>
        <w:tblW w:w="7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356"/>
        <w:gridCol w:w="1356"/>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vAlign w:val="center"/>
          </w:tcPr>
          <w:p>
            <w:pPr>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序号</w:t>
            </w:r>
          </w:p>
        </w:tc>
        <w:tc>
          <w:tcPr>
            <w:tcW w:w="1620" w:type="dxa"/>
            <w:vAlign w:val="center"/>
          </w:tcPr>
          <w:p>
            <w:pPr>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356" w:type="dxa"/>
            <w:vAlign w:val="center"/>
          </w:tcPr>
          <w:p>
            <w:pPr>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采购单位</w:t>
            </w:r>
          </w:p>
        </w:tc>
        <w:tc>
          <w:tcPr>
            <w:tcW w:w="1356" w:type="dxa"/>
            <w:vAlign w:val="center"/>
          </w:tcPr>
          <w:p>
            <w:pPr>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中标金额</w:t>
            </w:r>
          </w:p>
        </w:tc>
        <w:tc>
          <w:tcPr>
            <w:tcW w:w="1731" w:type="dxa"/>
            <w:vAlign w:val="center"/>
          </w:tcPr>
          <w:p>
            <w:pPr>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合同签订时间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vAlign w:val="center"/>
          </w:tcPr>
          <w:p>
            <w:pPr>
              <w:jc w:val="center"/>
              <w:rPr>
                <w:rFonts w:hint="eastAsia" w:asciiTheme="minorEastAsia" w:hAnsiTheme="minorEastAsia" w:eastAsiaTheme="minorEastAsia" w:cstheme="minorEastAsia"/>
                <w:color w:val="auto"/>
                <w:sz w:val="24"/>
                <w:highlight w:val="none"/>
              </w:rPr>
            </w:pPr>
          </w:p>
        </w:tc>
        <w:tc>
          <w:tcPr>
            <w:tcW w:w="1620"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731" w:type="dxa"/>
            <w:vAlign w:val="center"/>
          </w:tcPr>
          <w:p>
            <w:pPr>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vAlign w:val="center"/>
          </w:tcPr>
          <w:p>
            <w:pPr>
              <w:jc w:val="center"/>
              <w:rPr>
                <w:rFonts w:hint="eastAsia" w:asciiTheme="minorEastAsia" w:hAnsiTheme="minorEastAsia" w:eastAsiaTheme="minorEastAsia" w:cstheme="minorEastAsia"/>
                <w:color w:val="auto"/>
                <w:sz w:val="24"/>
                <w:highlight w:val="none"/>
              </w:rPr>
            </w:pPr>
          </w:p>
        </w:tc>
        <w:tc>
          <w:tcPr>
            <w:tcW w:w="1620"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731" w:type="dxa"/>
            <w:vAlign w:val="center"/>
          </w:tcPr>
          <w:p>
            <w:pPr>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vAlign w:val="center"/>
          </w:tcPr>
          <w:p>
            <w:pPr>
              <w:jc w:val="center"/>
              <w:rPr>
                <w:rFonts w:hint="eastAsia" w:asciiTheme="minorEastAsia" w:hAnsiTheme="minorEastAsia" w:eastAsiaTheme="minorEastAsia" w:cstheme="minorEastAsia"/>
                <w:color w:val="auto"/>
                <w:sz w:val="24"/>
                <w:highlight w:val="none"/>
              </w:rPr>
            </w:pPr>
          </w:p>
        </w:tc>
        <w:tc>
          <w:tcPr>
            <w:tcW w:w="1620"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731" w:type="dxa"/>
            <w:vAlign w:val="center"/>
          </w:tcPr>
          <w:p>
            <w:pPr>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vAlign w:val="center"/>
          </w:tcPr>
          <w:p>
            <w:pPr>
              <w:jc w:val="center"/>
              <w:rPr>
                <w:rFonts w:hint="eastAsia" w:asciiTheme="minorEastAsia" w:hAnsiTheme="minorEastAsia" w:eastAsiaTheme="minorEastAsia" w:cstheme="minorEastAsia"/>
                <w:color w:val="auto"/>
                <w:sz w:val="24"/>
                <w:highlight w:val="none"/>
              </w:rPr>
            </w:pPr>
          </w:p>
        </w:tc>
        <w:tc>
          <w:tcPr>
            <w:tcW w:w="1620"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731" w:type="dxa"/>
            <w:vAlign w:val="center"/>
          </w:tcPr>
          <w:p>
            <w:pPr>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vAlign w:val="center"/>
          </w:tcPr>
          <w:p>
            <w:pPr>
              <w:jc w:val="center"/>
              <w:rPr>
                <w:rFonts w:hint="eastAsia" w:asciiTheme="minorEastAsia" w:hAnsiTheme="minorEastAsia" w:eastAsiaTheme="minorEastAsia" w:cstheme="minorEastAsia"/>
                <w:color w:val="auto"/>
                <w:sz w:val="24"/>
                <w:highlight w:val="none"/>
              </w:rPr>
            </w:pPr>
          </w:p>
        </w:tc>
        <w:tc>
          <w:tcPr>
            <w:tcW w:w="1620"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731" w:type="dxa"/>
            <w:vAlign w:val="center"/>
          </w:tcPr>
          <w:p>
            <w:pPr>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vAlign w:val="center"/>
          </w:tcPr>
          <w:p>
            <w:pPr>
              <w:jc w:val="center"/>
              <w:rPr>
                <w:rFonts w:hint="eastAsia" w:asciiTheme="minorEastAsia" w:hAnsiTheme="minorEastAsia" w:eastAsiaTheme="minorEastAsia" w:cstheme="minorEastAsia"/>
                <w:color w:val="auto"/>
                <w:sz w:val="24"/>
                <w:highlight w:val="none"/>
              </w:rPr>
            </w:pPr>
          </w:p>
        </w:tc>
        <w:tc>
          <w:tcPr>
            <w:tcW w:w="1620"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731" w:type="dxa"/>
            <w:vAlign w:val="center"/>
          </w:tcPr>
          <w:p>
            <w:pPr>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vAlign w:val="center"/>
          </w:tcPr>
          <w:p>
            <w:pPr>
              <w:jc w:val="center"/>
              <w:rPr>
                <w:rFonts w:hint="eastAsia" w:asciiTheme="minorEastAsia" w:hAnsiTheme="minorEastAsia" w:eastAsiaTheme="minorEastAsia" w:cstheme="minorEastAsia"/>
                <w:color w:val="auto"/>
                <w:sz w:val="24"/>
                <w:highlight w:val="none"/>
              </w:rPr>
            </w:pPr>
          </w:p>
        </w:tc>
        <w:tc>
          <w:tcPr>
            <w:tcW w:w="1620"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731" w:type="dxa"/>
            <w:vAlign w:val="center"/>
          </w:tcPr>
          <w:p>
            <w:pPr>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vAlign w:val="center"/>
          </w:tcPr>
          <w:p>
            <w:pPr>
              <w:jc w:val="center"/>
              <w:rPr>
                <w:rFonts w:hint="eastAsia" w:asciiTheme="minorEastAsia" w:hAnsiTheme="minorEastAsia" w:eastAsiaTheme="minorEastAsia" w:cstheme="minorEastAsia"/>
                <w:color w:val="auto"/>
                <w:sz w:val="24"/>
                <w:highlight w:val="none"/>
              </w:rPr>
            </w:pPr>
          </w:p>
        </w:tc>
        <w:tc>
          <w:tcPr>
            <w:tcW w:w="1620"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731" w:type="dxa"/>
            <w:vAlign w:val="center"/>
          </w:tcPr>
          <w:p>
            <w:pPr>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vAlign w:val="center"/>
          </w:tcPr>
          <w:p>
            <w:pPr>
              <w:jc w:val="center"/>
              <w:rPr>
                <w:rFonts w:hint="eastAsia" w:asciiTheme="minorEastAsia" w:hAnsiTheme="minorEastAsia" w:eastAsiaTheme="minorEastAsia" w:cstheme="minorEastAsia"/>
                <w:color w:val="auto"/>
                <w:sz w:val="24"/>
                <w:highlight w:val="none"/>
              </w:rPr>
            </w:pPr>
          </w:p>
        </w:tc>
        <w:tc>
          <w:tcPr>
            <w:tcW w:w="1620"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731" w:type="dxa"/>
            <w:vAlign w:val="center"/>
          </w:tcPr>
          <w:p>
            <w:pPr>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vAlign w:val="center"/>
          </w:tcPr>
          <w:p>
            <w:pPr>
              <w:jc w:val="center"/>
              <w:rPr>
                <w:rFonts w:hint="eastAsia" w:asciiTheme="minorEastAsia" w:hAnsiTheme="minorEastAsia" w:eastAsiaTheme="minorEastAsia" w:cstheme="minorEastAsia"/>
                <w:color w:val="auto"/>
                <w:sz w:val="24"/>
                <w:highlight w:val="none"/>
              </w:rPr>
            </w:pPr>
          </w:p>
        </w:tc>
        <w:tc>
          <w:tcPr>
            <w:tcW w:w="1620"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731" w:type="dxa"/>
            <w:vAlign w:val="center"/>
          </w:tcPr>
          <w:p>
            <w:pPr>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vAlign w:val="center"/>
          </w:tcPr>
          <w:p>
            <w:pPr>
              <w:jc w:val="center"/>
              <w:rPr>
                <w:rFonts w:hint="eastAsia" w:asciiTheme="minorEastAsia" w:hAnsiTheme="minorEastAsia" w:eastAsiaTheme="minorEastAsia" w:cstheme="minorEastAsia"/>
                <w:color w:val="auto"/>
                <w:sz w:val="24"/>
                <w:highlight w:val="none"/>
              </w:rPr>
            </w:pPr>
          </w:p>
        </w:tc>
        <w:tc>
          <w:tcPr>
            <w:tcW w:w="1620"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731" w:type="dxa"/>
            <w:vAlign w:val="center"/>
          </w:tcPr>
          <w:p>
            <w:pPr>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vAlign w:val="center"/>
          </w:tcPr>
          <w:p>
            <w:pPr>
              <w:jc w:val="center"/>
              <w:rPr>
                <w:rFonts w:hint="eastAsia" w:asciiTheme="minorEastAsia" w:hAnsiTheme="minorEastAsia" w:eastAsiaTheme="minorEastAsia" w:cstheme="minorEastAsia"/>
                <w:color w:val="auto"/>
                <w:sz w:val="24"/>
                <w:highlight w:val="none"/>
              </w:rPr>
            </w:pPr>
          </w:p>
        </w:tc>
        <w:tc>
          <w:tcPr>
            <w:tcW w:w="1620"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356" w:type="dxa"/>
            <w:vAlign w:val="center"/>
          </w:tcPr>
          <w:p>
            <w:pPr>
              <w:jc w:val="center"/>
              <w:rPr>
                <w:rFonts w:hint="eastAsia" w:asciiTheme="minorEastAsia" w:hAnsiTheme="minorEastAsia" w:eastAsiaTheme="minorEastAsia" w:cstheme="minorEastAsia"/>
                <w:color w:val="auto"/>
                <w:sz w:val="24"/>
                <w:highlight w:val="none"/>
              </w:rPr>
            </w:pPr>
          </w:p>
        </w:tc>
        <w:tc>
          <w:tcPr>
            <w:tcW w:w="1731" w:type="dxa"/>
            <w:vAlign w:val="center"/>
          </w:tcPr>
          <w:p>
            <w:pPr>
              <w:jc w:val="center"/>
              <w:rPr>
                <w:rFonts w:hint="eastAsia" w:asciiTheme="minorEastAsia" w:hAnsiTheme="minorEastAsia" w:eastAsiaTheme="minorEastAsia" w:cstheme="minorEastAsia"/>
                <w:color w:val="auto"/>
                <w:sz w:val="24"/>
                <w:highlight w:val="none"/>
              </w:rPr>
            </w:pPr>
          </w:p>
        </w:tc>
      </w:tr>
    </w:tbl>
    <w:p>
      <w:pPr>
        <w:spacing w:line="360" w:lineRule="auto"/>
        <w:rPr>
          <w:rFonts w:hint="eastAsia" w:asciiTheme="minorEastAsia" w:hAnsiTheme="minorEastAsia" w:eastAsiaTheme="minorEastAsia" w:cstheme="minorEastAsia"/>
          <w:color w:val="auto"/>
          <w:sz w:val="24"/>
          <w:highlight w:val="none"/>
        </w:rPr>
      </w:pP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供应商：（签章）</w:t>
      </w:r>
    </w:p>
    <w:p>
      <w:pPr>
        <w:spacing w:after="120" w:line="600" w:lineRule="exac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法定代表人（签章）：</w:t>
      </w:r>
      <w:r>
        <w:rPr>
          <w:rFonts w:hint="eastAsia" w:asciiTheme="minorEastAsia" w:hAnsiTheme="minorEastAsia" w:eastAsiaTheme="minorEastAsia" w:cstheme="minorEastAsia"/>
          <w:color w:val="auto"/>
          <w:sz w:val="24"/>
          <w:highlight w:val="none"/>
          <w:u w:val="single"/>
        </w:rPr>
        <w:t xml:space="preserve">                    </w:t>
      </w:r>
    </w:p>
    <w:p>
      <w:pPr>
        <w:spacing w:line="600" w:lineRule="exac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p>
      <w:pPr>
        <w:spacing w:line="360" w:lineRule="auto"/>
        <w:rPr>
          <w:rFonts w:hint="eastAsia" w:asciiTheme="minorEastAsia" w:hAnsiTheme="minorEastAsia" w:eastAsiaTheme="minorEastAsia" w:cstheme="minorEastAsia"/>
          <w:color w:val="auto"/>
          <w:sz w:val="24"/>
          <w:highlight w:val="none"/>
        </w:rPr>
      </w:pPr>
    </w:p>
    <w:p>
      <w:pPr>
        <w:spacing w:line="360" w:lineRule="auto"/>
        <w:rPr>
          <w:rFonts w:hint="eastAsia" w:asciiTheme="minorEastAsia" w:hAnsiTheme="minorEastAsia" w:eastAsiaTheme="minorEastAsia" w:cstheme="minorEastAsia"/>
          <w:color w:val="auto"/>
          <w:sz w:val="24"/>
          <w:highlight w:val="none"/>
        </w:rPr>
      </w:pPr>
      <w:bookmarkStart w:id="33" w:name="_Toc18314"/>
      <w:r>
        <w:rPr>
          <w:rFonts w:hint="eastAsia" w:asciiTheme="minorEastAsia" w:hAnsiTheme="minorEastAsia" w:eastAsiaTheme="minorEastAsia" w:cstheme="minorEastAsia"/>
          <w:color w:val="auto"/>
          <w:sz w:val="24"/>
          <w:highlight w:val="none"/>
        </w:rPr>
        <w:t>注：供应商所列项目清单须附合同原件扫描件</w:t>
      </w:r>
      <w:r>
        <w:rPr>
          <w:rFonts w:hint="eastAsia" w:asciiTheme="minorEastAsia" w:hAnsiTheme="minorEastAsia" w:cstheme="minorEastAsia"/>
          <w:color w:val="auto"/>
          <w:sz w:val="24"/>
          <w:highlight w:val="none"/>
          <w:lang w:val="en-US" w:eastAsia="zh-CN"/>
        </w:rPr>
        <w:t>或中标通知书</w:t>
      </w:r>
      <w:r>
        <w:rPr>
          <w:rFonts w:hint="eastAsia" w:asciiTheme="minorEastAsia" w:hAnsiTheme="minorEastAsia" w:eastAsiaTheme="minorEastAsia" w:cstheme="minorEastAsia"/>
          <w:color w:val="auto"/>
          <w:sz w:val="24"/>
          <w:highlight w:val="none"/>
        </w:rPr>
        <w:t>，时间要求为20</w:t>
      </w:r>
      <w:r>
        <w:rPr>
          <w:rFonts w:hint="eastAsia" w:asciiTheme="minorEastAsia" w:hAnsiTheme="minorEastAsia" w:eastAsiaTheme="minorEastAsia" w:cstheme="minorEastAsia"/>
          <w:color w:val="auto"/>
          <w:sz w:val="24"/>
          <w:highlight w:val="none"/>
          <w:lang w:val="en-US" w:eastAsia="zh-CN"/>
        </w:rPr>
        <w:t>2</w:t>
      </w:r>
      <w:r>
        <w:rPr>
          <w:rFonts w:hint="eastAsia" w:asciiTheme="minorEastAsia" w:hAnsiTheme="minorEastAsia" w:cstheme="minorEastAsia"/>
          <w:color w:val="auto"/>
          <w:sz w:val="24"/>
          <w:highlight w:val="none"/>
          <w:lang w:val="en-US" w:eastAsia="zh-CN"/>
        </w:rPr>
        <w:t>2</w:t>
      </w:r>
      <w:r>
        <w:rPr>
          <w:rFonts w:hint="eastAsia" w:asciiTheme="minorEastAsia" w:hAnsiTheme="minorEastAsia" w:eastAsiaTheme="minorEastAsia" w:cstheme="minorEastAsia"/>
          <w:color w:val="auto"/>
          <w:sz w:val="24"/>
          <w:highlight w:val="none"/>
        </w:rPr>
        <w:t>年1月1日以来。</w:t>
      </w:r>
      <w:bookmarkEnd w:id="33"/>
    </w:p>
    <w:p>
      <w:pPr>
        <w:spacing w:line="480" w:lineRule="exact"/>
        <w:rPr>
          <w:rFonts w:ascii="宋体" w:hAnsi="宋体" w:eastAsia="宋体" w:cs="宋体"/>
          <w:color w:val="auto"/>
          <w:sz w:val="24"/>
          <w:szCs w:val="24"/>
          <w:highlight w:val="none"/>
        </w:rPr>
      </w:pPr>
    </w:p>
    <w:p>
      <w:pPr>
        <w:spacing w:line="58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br w:type="page"/>
      </w:r>
      <w:r>
        <w:rPr>
          <w:rFonts w:hint="eastAsia" w:ascii="宋体" w:hAnsi="宋体" w:eastAsia="宋体" w:cs="Times New Roman"/>
          <w:b/>
          <w:bCs/>
          <w:color w:val="auto"/>
          <w:sz w:val="24"/>
          <w:szCs w:val="24"/>
          <w:highlight w:val="none"/>
          <w:lang w:val="en-US" w:eastAsia="zh-CN"/>
        </w:rPr>
        <w:t>6</w:t>
      </w:r>
      <w:r>
        <w:rPr>
          <w:rFonts w:hint="eastAsia" w:ascii="宋体" w:hAnsi="宋体" w:eastAsia="宋体" w:cs="Times New Roman"/>
          <w:b/>
          <w:bCs/>
          <w:color w:val="auto"/>
          <w:sz w:val="24"/>
          <w:szCs w:val="24"/>
          <w:highlight w:val="none"/>
        </w:rPr>
        <w:t>.</w:t>
      </w:r>
      <w:r>
        <w:rPr>
          <w:rFonts w:hint="eastAsia" w:ascii="宋体" w:hAnsi="宋体" w:eastAsia="宋体" w:cs="Times New Roman"/>
          <w:b/>
          <w:bCs/>
          <w:color w:val="auto"/>
          <w:sz w:val="24"/>
          <w:szCs w:val="24"/>
          <w:highlight w:val="none"/>
          <w:lang w:val="en-US" w:eastAsia="zh-CN"/>
        </w:rPr>
        <w:t>3</w:t>
      </w:r>
      <w:r>
        <w:rPr>
          <w:rFonts w:hint="eastAsia" w:ascii="宋体" w:hAnsi="宋体" w:eastAsia="宋体" w:cs="Times New Roman"/>
          <w:b/>
          <w:bCs/>
          <w:color w:val="auto"/>
          <w:sz w:val="24"/>
          <w:szCs w:val="24"/>
          <w:highlight w:val="none"/>
        </w:rPr>
        <w:t>资格审查资料</w:t>
      </w:r>
    </w:p>
    <w:bookmarkEnd w:id="31"/>
    <w:p>
      <w:pPr>
        <w:spacing w:line="480" w:lineRule="exact"/>
        <w:jc w:val="center"/>
        <w:outlineLvl w:val="0"/>
        <w:rPr>
          <w:rFonts w:hint="eastAsia" w:ascii="宋体" w:hAnsi="宋体" w:eastAsia="宋体" w:cs="宋体"/>
          <w:b/>
          <w:bCs/>
          <w:color w:val="auto"/>
          <w:sz w:val="28"/>
          <w:szCs w:val="28"/>
          <w:highlight w:val="none"/>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hint="eastAsia" w:ascii="宋体" w:hAnsi="宋体" w:eastAsia="宋体" w:cs="宋体"/>
          <w:b/>
          <w:bCs/>
          <w:color w:val="auto"/>
          <w:sz w:val="28"/>
          <w:szCs w:val="28"/>
          <w:highlight w:val="none"/>
          <w:lang w:val="en-US" w:eastAsia="zh-CN"/>
        </w:rPr>
      </w:pPr>
    </w:p>
    <w:p>
      <w:pPr>
        <w:spacing w:line="480" w:lineRule="exact"/>
        <w:jc w:val="center"/>
        <w:outlineLvl w:val="0"/>
        <w:rPr>
          <w:rFonts w:ascii="宋体" w:hAnsi="宋体"/>
          <w:b/>
          <w:bCs/>
          <w:color w:val="auto"/>
          <w:sz w:val="24"/>
          <w:szCs w:val="24"/>
          <w:highlight w:val="none"/>
        </w:rPr>
      </w:pPr>
      <w:r>
        <w:rPr>
          <w:rFonts w:hint="eastAsia" w:ascii="宋体" w:hAnsi="宋体" w:eastAsia="宋体" w:cs="宋体"/>
          <w:b/>
          <w:bCs/>
          <w:color w:val="auto"/>
          <w:sz w:val="28"/>
          <w:szCs w:val="28"/>
          <w:highlight w:val="none"/>
          <w:lang w:val="en-US" w:eastAsia="zh-CN"/>
        </w:rPr>
        <w:t>七</w:t>
      </w:r>
      <w:r>
        <w:rPr>
          <w:rFonts w:hint="eastAsia" w:ascii="宋体" w:hAnsi="宋体" w:eastAsia="宋体" w:cs="宋体"/>
          <w:b/>
          <w:bCs/>
          <w:color w:val="auto"/>
          <w:sz w:val="28"/>
          <w:szCs w:val="28"/>
          <w:highlight w:val="none"/>
        </w:rPr>
        <w:t xml:space="preserve">、 </w:t>
      </w:r>
      <w:r>
        <w:rPr>
          <w:rFonts w:hint="eastAsia" w:ascii="宋体" w:hAnsi="宋体"/>
          <w:b/>
          <w:bCs/>
          <w:color w:val="auto"/>
          <w:sz w:val="24"/>
          <w:szCs w:val="24"/>
          <w:highlight w:val="none"/>
        </w:rPr>
        <w:t>项目</w:t>
      </w:r>
      <w:r>
        <w:rPr>
          <w:rFonts w:hint="eastAsia" w:ascii="宋体" w:hAnsi="宋体"/>
          <w:b/>
          <w:bCs/>
          <w:color w:val="auto"/>
          <w:sz w:val="24"/>
          <w:szCs w:val="24"/>
          <w:highlight w:val="none"/>
          <w:lang w:val="en-US" w:eastAsia="zh-CN"/>
        </w:rPr>
        <w:t>服务</w:t>
      </w:r>
      <w:r>
        <w:rPr>
          <w:rFonts w:hint="eastAsia" w:ascii="宋体" w:hAnsi="宋体"/>
          <w:b/>
          <w:bCs/>
          <w:color w:val="auto"/>
          <w:sz w:val="24"/>
          <w:szCs w:val="24"/>
          <w:highlight w:val="none"/>
        </w:rPr>
        <w:t>方案</w:t>
      </w:r>
    </w:p>
    <w:p>
      <w:pPr>
        <w:widowControl/>
        <w:spacing w:line="520" w:lineRule="atLeast"/>
        <w:ind w:firstLine="480"/>
        <w:rPr>
          <w:rFonts w:ascii="宋体" w:hAnsi="宋体"/>
          <w:color w:val="auto"/>
          <w:sz w:val="24"/>
          <w:szCs w:val="24"/>
          <w:highlight w:val="none"/>
        </w:rPr>
      </w:pPr>
      <w:r>
        <w:rPr>
          <w:rFonts w:hint="eastAsia" w:ascii="宋体" w:hAnsi="宋体"/>
          <w:color w:val="auto"/>
          <w:kern w:val="2"/>
          <w:sz w:val="24"/>
          <w:szCs w:val="24"/>
          <w:highlight w:val="none"/>
        </w:rPr>
        <w:t>此项格式自理，内容应包括但不限制于评分办法提到的内容。</w:t>
      </w:r>
    </w:p>
    <w:p>
      <w:pPr>
        <w:spacing w:line="480" w:lineRule="exact"/>
        <w:rPr>
          <w:rFonts w:ascii="宋体" w:hAnsi="宋体" w:eastAsia="宋体" w:cs="宋体"/>
          <w:color w:val="auto"/>
          <w:sz w:val="24"/>
          <w:szCs w:val="24"/>
          <w:highlight w:val="none"/>
        </w:rPr>
      </w:pPr>
    </w:p>
    <w:p>
      <w:pPr>
        <w:keepNext/>
        <w:keepLines/>
        <w:spacing w:before="100" w:beforeAutospacing="1" w:after="100" w:afterAutospacing="1" w:line="480" w:lineRule="exact"/>
        <w:ind w:left="851" w:right="4046" w:hanging="284"/>
        <w:jc w:val="center"/>
        <w:textAlignment w:val="baseline"/>
        <w:rPr>
          <w:rFonts w:ascii="宋体" w:hAnsi="宋体" w:eastAsia="宋体" w:cs="宋体"/>
          <w:color w:val="auto"/>
          <w:kern w:val="0"/>
          <w:sz w:val="24"/>
          <w:szCs w:val="24"/>
          <w:highlight w:val="none"/>
        </w:rPr>
      </w:pPr>
    </w:p>
    <w:p>
      <w:pPr>
        <w:widowControl/>
        <w:jc w:val="center"/>
        <w:rPr>
          <w:rFonts w:ascii="宋体" w:hAnsi="宋体"/>
          <w:b/>
          <w:bCs/>
          <w:color w:val="auto"/>
          <w:sz w:val="24"/>
          <w:szCs w:val="24"/>
          <w:highlight w:val="none"/>
        </w:rPr>
      </w:pPr>
      <w:r>
        <w:rPr>
          <w:rFonts w:hint="eastAsia" w:ascii="宋体" w:hAnsi="宋体" w:eastAsia="宋体" w:cs="宋体"/>
          <w:b/>
          <w:bCs/>
          <w:color w:val="auto"/>
          <w:kern w:val="0"/>
          <w:sz w:val="24"/>
          <w:szCs w:val="24"/>
          <w:highlight w:val="none"/>
        </w:rPr>
        <w:br w:type="page"/>
      </w:r>
      <w:r>
        <w:rPr>
          <w:rFonts w:hint="eastAsia" w:ascii="宋体" w:hAnsi="宋体" w:eastAsia="宋体" w:cs="宋体"/>
          <w:b/>
          <w:bCs/>
          <w:color w:val="auto"/>
          <w:sz w:val="28"/>
          <w:szCs w:val="28"/>
          <w:highlight w:val="none"/>
          <w:lang w:val="en-US" w:eastAsia="zh-CN"/>
        </w:rPr>
        <w:t>八</w:t>
      </w:r>
      <w:r>
        <w:rPr>
          <w:rFonts w:hint="eastAsia" w:ascii="宋体" w:hAnsi="宋体" w:eastAsia="宋体" w:cs="宋体"/>
          <w:b/>
          <w:bCs/>
          <w:color w:val="auto"/>
          <w:sz w:val="28"/>
          <w:szCs w:val="28"/>
          <w:highlight w:val="none"/>
        </w:rPr>
        <w:t>、</w:t>
      </w:r>
      <w:bookmarkEnd w:id="32"/>
      <w:r>
        <w:rPr>
          <w:rFonts w:hint="eastAsia" w:ascii="宋体" w:hAnsi="宋体"/>
          <w:b/>
          <w:bCs/>
          <w:color w:val="auto"/>
          <w:sz w:val="24"/>
          <w:szCs w:val="24"/>
          <w:highlight w:val="none"/>
        </w:rPr>
        <w:t>服务能力及优惠承诺</w:t>
      </w:r>
    </w:p>
    <w:p>
      <w:pPr>
        <w:widowControl/>
        <w:jc w:val="center"/>
        <w:rPr>
          <w:rFonts w:ascii="宋体" w:hAnsi="宋体"/>
          <w:bCs/>
          <w:color w:val="auto"/>
          <w:sz w:val="24"/>
          <w:szCs w:val="24"/>
          <w:highlight w:val="none"/>
        </w:rPr>
      </w:pPr>
    </w:p>
    <w:p>
      <w:pPr>
        <w:widowControl/>
        <w:jc w:val="center"/>
        <w:rPr>
          <w:rFonts w:ascii="宋体" w:hAnsi="宋体"/>
          <w:bCs/>
          <w:color w:val="auto"/>
          <w:sz w:val="24"/>
          <w:szCs w:val="24"/>
          <w:highlight w:val="none"/>
        </w:rPr>
      </w:pPr>
      <w:r>
        <w:rPr>
          <w:rFonts w:hint="eastAsia" w:ascii="宋体" w:hAnsi="宋体"/>
          <w:bCs/>
          <w:color w:val="auto"/>
          <w:sz w:val="24"/>
          <w:szCs w:val="24"/>
          <w:highlight w:val="none"/>
        </w:rPr>
        <w:t>此项格式自理，内容应包括但不限制于评分办法提到的内容。</w:t>
      </w:r>
    </w:p>
    <w:p>
      <w:pPr>
        <w:spacing w:line="480" w:lineRule="auto"/>
        <w:ind w:firstLine="480"/>
        <w:rPr>
          <w:rFonts w:hint="eastAsia" w:ascii="宋体" w:hAnsi="宋体" w:eastAsia="宋体" w:cs="宋体"/>
          <w:bCs/>
          <w:color w:val="auto"/>
          <w:sz w:val="22"/>
          <w:highlight w:val="none"/>
        </w:rPr>
      </w:pPr>
    </w:p>
    <w:p>
      <w:pPr>
        <w:spacing w:line="48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(格式自拟）</w:t>
      </w:r>
    </w:p>
    <w:p>
      <w:pPr>
        <w:spacing w:line="480" w:lineRule="exact"/>
        <w:rPr>
          <w:rFonts w:ascii="宋体" w:hAnsi="宋体" w:eastAsia="宋体" w:cs="宋体"/>
          <w:color w:val="auto"/>
          <w:sz w:val="24"/>
          <w:szCs w:val="24"/>
          <w:highlight w:val="none"/>
        </w:rPr>
      </w:pPr>
    </w:p>
    <w:p>
      <w:pPr>
        <w:spacing w:line="480" w:lineRule="exact"/>
        <w:rPr>
          <w:rFonts w:ascii="宋体" w:hAnsi="宋体" w:eastAsia="宋体" w:cs="宋体"/>
          <w:color w:val="auto"/>
          <w:sz w:val="24"/>
          <w:szCs w:val="24"/>
          <w:highlight w:val="none"/>
        </w:rPr>
      </w:pPr>
    </w:p>
    <w:p>
      <w:pPr>
        <w:spacing w:line="480" w:lineRule="exact"/>
        <w:rPr>
          <w:rFonts w:ascii="宋体" w:hAnsi="宋体" w:eastAsia="宋体" w:cs="宋体"/>
          <w:color w:val="auto"/>
          <w:sz w:val="24"/>
          <w:szCs w:val="24"/>
          <w:highlight w:val="none"/>
        </w:rPr>
      </w:pPr>
    </w:p>
    <w:p>
      <w:pPr>
        <w:spacing w:line="480" w:lineRule="exact"/>
        <w:rPr>
          <w:rFonts w:ascii="宋体" w:hAnsi="宋体" w:eastAsia="宋体" w:cs="宋体"/>
          <w:color w:val="auto"/>
          <w:sz w:val="24"/>
          <w:szCs w:val="24"/>
          <w:highlight w:val="none"/>
        </w:rPr>
      </w:pPr>
    </w:p>
    <w:p>
      <w:pPr>
        <w:spacing w:line="480" w:lineRule="exact"/>
        <w:rPr>
          <w:rFonts w:ascii="宋体" w:hAnsi="宋体" w:eastAsia="宋体" w:cs="宋体"/>
          <w:color w:val="auto"/>
          <w:sz w:val="24"/>
          <w:szCs w:val="24"/>
          <w:highlight w:val="none"/>
        </w:rPr>
      </w:pPr>
    </w:p>
    <w:p>
      <w:pPr>
        <w:spacing w:line="480" w:lineRule="exact"/>
        <w:rPr>
          <w:rFonts w:ascii="宋体" w:hAnsi="宋体" w:eastAsia="宋体" w:cs="宋体"/>
          <w:color w:val="auto"/>
          <w:sz w:val="24"/>
          <w:szCs w:val="24"/>
          <w:highlight w:val="none"/>
        </w:rPr>
      </w:pPr>
    </w:p>
    <w:p>
      <w:pPr>
        <w:spacing w:line="480" w:lineRule="exact"/>
        <w:jc w:val="center"/>
        <w:textAlignment w:val="baseline"/>
        <w:rPr>
          <w:rFonts w:ascii="宋体" w:hAnsi="宋体" w:eastAsia="宋体" w:cs="宋体"/>
          <w:color w:val="auto"/>
          <w:sz w:val="24"/>
          <w:szCs w:val="24"/>
          <w:highlight w:val="none"/>
        </w:rPr>
      </w:pPr>
    </w:p>
    <w:p>
      <w:pPr>
        <w:spacing w:line="480" w:lineRule="exact"/>
        <w:jc w:val="center"/>
        <w:textAlignment w:val="baseline"/>
        <w:rPr>
          <w:rFonts w:ascii="宋体" w:hAnsi="宋体" w:eastAsia="宋体" w:cs="宋体"/>
          <w:color w:val="auto"/>
          <w:sz w:val="24"/>
          <w:szCs w:val="24"/>
          <w:highlight w:val="none"/>
        </w:rPr>
      </w:pPr>
    </w:p>
    <w:p>
      <w:pPr>
        <w:spacing w:line="480" w:lineRule="exact"/>
        <w:jc w:val="center"/>
        <w:textAlignment w:val="baseline"/>
        <w:rPr>
          <w:rFonts w:ascii="宋体" w:hAnsi="宋体" w:eastAsia="宋体" w:cs="宋体"/>
          <w:color w:val="auto"/>
          <w:sz w:val="24"/>
          <w:szCs w:val="24"/>
          <w:highlight w:val="none"/>
        </w:rPr>
      </w:pPr>
    </w:p>
    <w:p>
      <w:pPr>
        <w:keepNext/>
        <w:widowControl/>
        <w:spacing w:line="480" w:lineRule="exact"/>
        <w:jc w:val="center"/>
        <w:outlineLvl w:val="2"/>
        <w:rPr>
          <w:rFonts w:ascii="宋体" w:hAnsi="宋体" w:eastAsia="宋体" w:cs="宋体"/>
          <w:b/>
          <w:bCs/>
          <w:color w:val="auto"/>
          <w:sz w:val="28"/>
          <w:szCs w:val="28"/>
          <w:highlight w:val="none"/>
        </w:rPr>
      </w:pPr>
      <w:r>
        <w:rPr>
          <w:rFonts w:hint="eastAsia" w:ascii="宋体" w:hAnsi="宋体" w:eastAsia="宋体" w:cs="宋体"/>
          <w:b/>
          <w:bCs/>
          <w:color w:val="auto"/>
          <w:kern w:val="0"/>
          <w:sz w:val="24"/>
          <w:szCs w:val="24"/>
          <w:highlight w:val="none"/>
        </w:rPr>
        <w:br w:type="page"/>
      </w:r>
      <w:r>
        <w:rPr>
          <w:rFonts w:hint="eastAsia" w:ascii="宋体" w:hAnsi="宋体" w:eastAsia="宋体" w:cs="宋体"/>
          <w:b/>
          <w:bCs/>
          <w:color w:val="auto"/>
          <w:sz w:val="28"/>
          <w:szCs w:val="28"/>
          <w:highlight w:val="none"/>
          <w:lang w:val="en-US" w:eastAsia="zh-CN"/>
        </w:rPr>
        <w:t>九</w:t>
      </w:r>
      <w:r>
        <w:rPr>
          <w:rFonts w:hint="eastAsia" w:ascii="宋体" w:hAnsi="宋体" w:eastAsia="宋体" w:cs="宋体"/>
          <w:b/>
          <w:bCs/>
          <w:color w:val="auto"/>
          <w:sz w:val="28"/>
          <w:szCs w:val="28"/>
          <w:highlight w:val="none"/>
        </w:rPr>
        <w:t>、其他资料</w:t>
      </w:r>
    </w:p>
    <w:p>
      <w:pPr>
        <w:spacing w:line="360" w:lineRule="auto"/>
        <w:jc w:val="both"/>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1.</w:t>
      </w:r>
      <w:r>
        <w:rPr>
          <w:rFonts w:hint="eastAsia" w:ascii="宋体" w:hAnsi="宋体" w:eastAsia="宋体" w:cs="宋体"/>
          <w:b/>
          <w:bCs/>
          <w:color w:val="auto"/>
          <w:sz w:val="28"/>
          <w:szCs w:val="28"/>
          <w:highlight w:val="none"/>
        </w:rPr>
        <w:t>供应商认为应附的其他资料</w:t>
      </w:r>
    </w:p>
    <w:p>
      <w:pPr>
        <w:pStyle w:val="157"/>
        <w:outlineLvl w:val="2"/>
        <w:rPr>
          <w:rFonts w:hint="default"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w:t>
      </w:r>
      <w:bookmarkStart w:id="34" w:name="_Toc7383"/>
      <w:r>
        <w:rPr>
          <w:rFonts w:hint="eastAsia" w:ascii="宋体" w:hAnsi="宋体" w:eastAsia="宋体" w:cs="宋体"/>
          <w:bCs/>
          <w:color w:val="auto"/>
          <w:sz w:val="24"/>
          <w:szCs w:val="24"/>
          <w:highlight w:val="none"/>
          <w:lang w:val="en-US" w:eastAsia="zh-CN"/>
        </w:rPr>
        <w:t>《政府采购促进中小企业发展管理办法》（财库〔2020〕46号）相关</w:t>
      </w:r>
      <w:r>
        <w:rPr>
          <w:rFonts w:hint="eastAsia" w:ascii="宋体" w:hAnsi="宋体" w:eastAsia="宋体" w:cs="宋体"/>
          <w:b/>
          <w:bCs/>
          <w:color w:val="auto"/>
          <w:sz w:val="24"/>
          <w:szCs w:val="24"/>
          <w:highlight w:val="none"/>
          <w:lang w:val="en-US" w:eastAsia="zh-CN"/>
        </w:rPr>
        <w:t>附件，供应商若符合该办法相关规定，按附件内容如实填写</w:t>
      </w:r>
    </w:p>
    <w:p>
      <w:pPr>
        <w:pStyle w:val="157"/>
        <w:outlineLvl w:val="2"/>
        <w:rPr>
          <w:rFonts w:hint="eastAsia" w:ascii="仿宋" w:hAnsi="仿宋" w:eastAsia="仿宋" w:cs="仿宋"/>
          <w:b/>
          <w:color w:val="auto"/>
          <w:highlight w:val="none"/>
          <w:lang w:eastAsia="en-US"/>
        </w:rPr>
      </w:pPr>
    </w:p>
    <w:p>
      <w:pPr>
        <w:pStyle w:val="157"/>
        <w:outlineLvl w:val="2"/>
        <w:rPr>
          <w:rFonts w:hint="eastAsia" w:ascii="仿宋" w:hAnsi="仿宋" w:eastAsia="仿宋" w:cs="仿宋"/>
          <w:b/>
          <w:color w:val="auto"/>
          <w:highlight w:val="none"/>
          <w:lang w:eastAsia="en-US"/>
        </w:rPr>
      </w:pPr>
    </w:p>
    <w:p>
      <w:pPr>
        <w:pStyle w:val="157"/>
        <w:outlineLvl w:val="2"/>
        <w:rPr>
          <w:rFonts w:hint="eastAsia" w:ascii="仿宋" w:hAnsi="仿宋" w:eastAsia="仿宋" w:cs="仿宋"/>
          <w:b/>
          <w:color w:val="auto"/>
          <w:highlight w:val="none"/>
          <w:lang w:eastAsia="en-US"/>
        </w:rPr>
      </w:pPr>
    </w:p>
    <w:p>
      <w:pPr>
        <w:pStyle w:val="157"/>
        <w:outlineLvl w:val="2"/>
        <w:rPr>
          <w:rFonts w:hint="eastAsia" w:ascii="仿宋" w:hAnsi="仿宋" w:eastAsia="仿宋" w:cs="仿宋"/>
          <w:b/>
          <w:color w:val="auto"/>
          <w:highlight w:val="none"/>
          <w:lang w:eastAsia="en-US"/>
        </w:rPr>
      </w:pPr>
    </w:p>
    <w:p>
      <w:pPr>
        <w:pStyle w:val="157"/>
        <w:outlineLvl w:val="2"/>
        <w:rPr>
          <w:rFonts w:hint="eastAsia" w:ascii="仿宋" w:hAnsi="仿宋" w:eastAsia="仿宋" w:cs="仿宋"/>
          <w:b/>
          <w:color w:val="auto"/>
          <w:highlight w:val="none"/>
          <w:lang w:eastAsia="en-US"/>
        </w:rPr>
      </w:pPr>
    </w:p>
    <w:p>
      <w:pPr>
        <w:pStyle w:val="157"/>
        <w:outlineLvl w:val="2"/>
        <w:rPr>
          <w:rFonts w:hint="eastAsia" w:ascii="仿宋" w:hAnsi="仿宋" w:eastAsia="仿宋" w:cs="仿宋"/>
          <w:b/>
          <w:color w:val="auto"/>
          <w:highlight w:val="none"/>
          <w:lang w:eastAsia="en-US"/>
        </w:rPr>
      </w:pPr>
    </w:p>
    <w:p>
      <w:pPr>
        <w:pStyle w:val="157"/>
        <w:outlineLvl w:val="2"/>
        <w:rPr>
          <w:rFonts w:hint="eastAsia" w:ascii="仿宋" w:hAnsi="仿宋" w:eastAsia="仿宋" w:cs="仿宋"/>
          <w:b/>
          <w:color w:val="auto"/>
          <w:highlight w:val="none"/>
          <w:lang w:eastAsia="en-US"/>
        </w:rPr>
      </w:pPr>
    </w:p>
    <w:p>
      <w:pPr>
        <w:pStyle w:val="157"/>
        <w:outlineLvl w:val="2"/>
        <w:rPr>
          <w:rFonts w:hint="eastAsia" w:ascii="仿宋" w:hAnsi="仿宋" w:eastAsia="仿宋" w:cs="仿宋"/>
          <w:b/>
          <w:color w:val="auto"/>
          <w:highlight w:val="none"/>
          <w:lang w:eastAsia="en-US"/>
        </w:rPr>
      </w:pPr>
    </w:p>
    <w:p>
      <w:pPr>
        <w:pStyle w:val="157"/>
        <w:outlineLvl w:val="2"/>
        <w:rPr>
          <w:rFonts w:hint="eastAsia" w:ascii="仿宋" w:hAnsi="仿宋" w:eastAsia="仿宋" w:cs="仿宋"/>
          <w:b/>
          <w:color w:val="auto"/>
          <w:highlight w:val="none"/>
          <w:lang w:eastAsia="en-US"/>
        </w:rPr>
      </w:pPr>
    </w:p>
    <w:p>
      <w:pPr>
        <w:pStyle w:val="157"/>
        <w:outlineLvl w:val="2"/>
        <w:rPr>
          <w:rFonts w:hint="eastAsia" w:ascii="仿宋" w:hAnsi="仿宋" w:eastAsia="仿宋" w:cs="仿宋"/>
          <w:b/>
          <w:color w:val="auto"/>
          <w:highlight w:val="none"/>
          <w:lang w:eastAsia="en-US"/>
        </w:rPr>
      </w:pPr>
    </w:p>
    <w:p>
      <w:pPr>
        <w:pStyle w:val="157"/>
        <w:outlineLvl w:val="2"/>
        <w:rPr>
          <w:rFonts w:hint="eastAsia" w:ascii="仿宋" w:hAnsi="仿宋" w:eastAsia="仿宋" w:cs="仿宋"/>
          <w:b/>
          <w:color w:val="auto"/>
          <w:highlight w:val="none"/>
          <w:lang w:eastAsia="en-US"/>
        </w:rPr>
      </w:pPr>
    </w:p>
    <w:p>
      <w:pPr>
        <w:pStyle w:val="157"/>
        <w:outlineLvl w:val="2"/>
        <w:rPr>
          <w:rFonts w:hint="eastAsia" w:ascii="仿宋" w:hAnsi="仿宋" w:eastAsia="仿宋" w:cs="仿宋"/>
          <w:b/>
          <w:color w:val="auto"/>
          <w:highlight w:val="none"/>
          <w:lang w:eastAsia="en-US"/>
        </w:rPr>
      </w:pPr>
    </w:p>
    <w:p>
      <w:pPr>
        <w:pStyle w:val="157"/>
        <w:outlineLvl w:val="2"/>
        <w:rPr>
          <w:rFonts w:hint="eastAsia" w:ascii="仿宋" w:hAnsi="仿宋" w:eastAsia="仿宋" w:cs="仿宋"/>
          <w:b/>
          <w:color w:val="auto"/>
          <w:highlight w:val="none"/>
          <w:lang w:eastAsia="en-US"/>
        </w:rPr>
      </w:pPr>
    </w:p>
    <w:p>
      <w:pPr>
        <w:pStyle w:val="157"/>
        <w:outlineLvl w:val="2"/>
        <w:rPr>
          <w:rFonts w:hint="eastAsia" w:ascii="仿宋" w:hAnsi="仿宋" w:eastAsia="仿宋" w:cs="仿宋"/>
          <w:b/>
          <w:color w:val="auto"/>
          <w:highlight w:val="none"/>
          <w:lang w:eastAsia="en-US"/>
        </w:rPr>
      </w:pPr>
    </w:p>
    <w:p>
      <w:pPr>
        <w:pStyle w:val="157"/>
        <w:outlineLvl w:val="2"/>
        <w:rPr>
          <w:rFonts w:hint="eastAsia" w:ascii="仿宋" w:hAnsi="仿宋" w:eastAsia="仿宋" w:cs="仿宋"/>
          <w:b/>
          <w:color w:val="auto"/>
          <w:highlight w:val="none"/>
          <w:lang w:eastAsia="en-US"/>
        </w:rPr>
      </w:pPr>
    </w:p>
    <w:p>
      <w:pPr>
        <w:pStyle w:val="157"/>
        <w:outlineLvl w:val="2"/>
        <w:rPr>
          <w:rFonts w:hint="eastAsia" w:ascii="仿宋" w:hAnsi="仿宋" w:eastAsia="仿宋" w:cs="仿宋"/>
          <w:b/>
          <w:color w:val="auto"/>
          <w:highlight w:val="none"/>
          <w:lang w:eastAsia="en-US"/>
        </w:rPr>
      </w:pPr>
    </w:p>
    <w:p>
      <w:pPr>
        <w:pStyle w:val="157"/>
        <w:outlineLvl w:val="2"/>
        <w:rPr>
          <w:rFonts w:hint="eastAsia" w:ascii="仿宋" w:hAnsi="仿宋" w:eastAsia="仿宋" w:cs="仿宋"/>
          <w:b/>
          <w:color w:val="auto"/>
          <w:highlight w:val="none"/>
          <w:lang w:eastAsia="en-US"/>
        </w:rPr>
      </w:pPr>
    </w:p>
    <w:p>
      <w:pPr>
        <w:pStyle w:val="157"/>
        <w:outlineLvl w:val="2"/>
        <w:rPr>
          <w:rFonts w:hint="eastAsia" w:ascii="仿宋" w:hAnsi="仿宋" w:eastAsia="仿宋" w:cs="仿宋"/>
          <w:b/>
          <w:color w:val="auto"/>
          <w:highlight w:val="none"/>
          <w:lang w:eastAsia="en-US"/>
        </w:rPr>
      </w:pPr>
    </w:p>
    <w:p>
      <w:pPr>
        <w:pStyle w:val="157"/>
        <w:outlineLvl w:val="2"/>
        <w:rPr>
          <w:rFonts w:hint="eastAsia" w:ascii="仿宋" w:hAnsi="仿宋" w:eastAsia="仿宋" w:cs="仿宋"/>
          <w:b/>
          <w:color w:val="auto"/>
          <w:highlight w:val="none"/>
          <w:lang w:eastAsia="en-US"/>
        </w:rPr>
      </w:pPr>
    </w:p>
    <w:p>
      <w:pPr>
        <w:pStyle w:val="157"/>
        <w:outlineLvl w:val="2"/>
        <w:rPr>
          <w:rFonts w:hint="eastAsia" w:ascii="仿宋" w:hAnsi="仿宋" w:eastAsia="仿宋" w:cs="仿宋"/>
          <w:color w:val="auto"/>
          <w:highlight w:val="none"/>
        </w:rPr>
      </w:pPr>
      <w:r>
        <w:rPr>
          <w:rFonts w:hint="eastAsia" w:ascii="仿宋" w:hAnsi="仿宋" w:eastAsia="仿宋" w:cs="仿宋"/>
          <w:b/>
          <w:color w:val="auto"/>
          <w:highlight w:val="none"/>
          <w:lang w:eastAsia="en-US"/>
        </w:rPr>
        <w:t>附件</w:t>
      </w:r>
      <w:r>
        <w:rPr>
          <w:rFonts w:hint="eastAsia" w:ascii="仿宋" w:hAnsi="仿宋" w:eastAsia="仿宋" w:cs="仿宋"/>
          <w:b/>
          <w:color w:val="auto"/>
          <w:highlight w:val="none"/>
          <w:lang w:val="en-US" w:eastAsia="zh-CN"/>
        </w:rPr>
        <w:t>1</w:t>
      </w:r>
      <w:r>
        <w:rPr>
          <w:rFonts w:hint="eastAsia" w:ascii="仿宋" w:hAnsi="仿宋" w:eastAsia="仿宋" w:cs="仿宋"/>
          <w:b/>
          <w:color w:val="auto"/>
          <w:highlight w:val="none"/>
        </w:rPr>
        <w:t>、</w:t>
      </w:r>
      <w:r>
        <w:rPr>
          <w:rFonts w:hint="eastAsia" w:ascii="仿宋" w:hAnsi="仿宋" w:eastAsia="仿宋" w:cs="仿宋"/>
          <w:color w:val="auto"/>
          <w:highlight w:val="none"/>
        </w:rPr>
        <w:t>中小微企业声明函（投标人）</w:t>
      </w:r>
      <w:bookmarkEnd w:id="34"/>
    </w:p>
    <w:p>
      <w:pPr>
        <w:pStyle w:val="158"/>
        <w:spacing w:line="276" w:lineRule="auto"/>
        <w:jc w:val="center"/>
        <w:rPr>
          <w:rFonts w:hint="eastAsia" w:ascii="宋体" w:hAnsi="宋体" w:eastAsia="宋体" w:cs="宋体"/>
          <w:b/>
          <w:color w:val="auto"/>
          <w:spacing w:val="14"/>
          <w:sz w:val="24"/>
          <w:szCs w:val="24"/>
          <w:highlight w:val="none"/>
        </w:rPr>
      </w:pPr>
      <w:r>
        <w:rPr>
          <w:rFonts w:hint="eastAsia" w:ascii="宋体" w:hAnsi="宋体" w:eastAsia="宋体" w:cs="宋体"/>
          <w:b w:val="0"/>
          <w:bCs/>
          <w:color w:val="auto"/>
          <w:spacing w:val="14"/>
          <w:sz w:val="24"/>
          <w:szCs w:val="24"/>
          <w:highlight w:val="none"/>
        </w:rPr>
        <w:t>中小企业声明函（</w:t>
      </w:r>
      <w:r>
        <w:rPr>
          <w:rFonts w:hint="eastAsia" w:ascii="宋体" w:hAnsi="宋体" w:eastAsia="宋体" w:cs="宋体"/>
          <w:b w:val="0"/>
          <w:bCs/>
          <w:color w:val="auto"/>
          <w:spacing w:val="14"/>
          <w:sz w:val="24"/>
          <w:szCs w:val="24"/>
          <w:highlight w:val="none"/>
          <w:lang w:val="en-US" w:eastAsia="zh-CN"/>
        </w:rPr>
        <w:t>服务</w:t>
      </w:r>
      <w:r>
        <w:rPr>
          <w:rFonts w:hint="eastAsia" w:ascii="宋体" w:hAnsi="宋体" w:eastAsia="宋体" w:cs="宋体"/>
          <w:b w:val="0"/>
          <w:bCs/>
          <w:color w:val="auto"/>
          <w:spacing w:val="14"/>
          <w:sz w:val="24"/>
          <w:szCs w:val="24"/>
          <w:highlight w:val="none"/>
        </w:rPr>
        <w:t>）</w:t>
      </w:r>
    </w:p>
    <w:p>
      <w:pPr>
        <w:pStyle w:val="158"/>
        <w:spacing w:line="500" w:lineRule="exact"/>
        <w:jc w:val="left"/>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本公司郑重声明，根据《政府采购促进中小企业发展管理办法》（财库〔2020〕46 号）的规定，本公司参加</w:t>
      </w:r>
      <w:r>
        <w:rPr>
          <w:rFonts w:hint="eastAsia" w:ascii="宋体" w:hAnsi="宋体" w:eastAsia="宋体" w:cs="宋体"/>
          <w:color w:val="auto"/>
          <w:spacing w:val="14"/>
          <w:sz w:val="24"/>
          <w:szCs w:val="24"/>
          <w:highlight w:val="none"/>
          <w:u w:val="single"/>
        </w:rPr>
        <w:t>（单位名称）</w:t>
      </w:r>
      <w:r>
        <w:rPr>
          <w:rFonts w:hint="eastAsia" w:ascii="宋体" w:hAnsi="宋体" w:eastAsia="宋体" w:cs="宋体"/>
          <w:color w:val="auto"/>
          <w:spacing w:val="14"/>
          <w:sz w:val="24"/>
          <w:szCs w:val="24"/>
          <w:highlight w:val="none"/>
        </w:rPr>
        <w:t>的</w:t>
      </w:r>
      <w:r>
        <w:rPr>
          <w:rFonts w:hint="eastAsia" w:ascii="宋体" w:hAnsi="宋体" w:eastAsia="宋体" w:cs="宋体"/>
          <w:color w:val="auto"/>
          <w:spacing w:val="14"/>
          <w:sz w:val="24"/>
          <w:szCs w:val="24"/>
          <w:highlight w:val="none"/>
          <w:u w:val="single"/>
        </w:rPr>
        <w:t>（项目名称）</w:t>
      </w:r>
      <w:r>
        <w:rPr>
          <w:rFonts w:hint="eastAsia" w:ascii="宋体" w:hAnsi="宋体" w:eastAsia="宋体" w:cs="宋体"/>
          <w:color w:val="auto"/>
          <w:spacing w:val="14"/>
          <w:sz w:val="24"/>
          <w:szCs w:val="24"/>
          <w:highlight w:val="none"/>
        </w:rPr>
        <w:t>采购活动。服务全部由符合正常要求的中小企业承接。相关企业（含联合体中的中小企业、签订分包意向协议的中小企业）的具体情况如下：</w:t>
      </w:r>
    </w:p>
    <w:p>
      <w:pPr>
        <w:pStyle w:val="158"/>
        <w:spacing w:line="500" w:lineRule="exact"/>
        <w:jc w:val="left"/>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1、</w:t>
      </w:r>
      <w:r>
        <w:rPr>
          <w:rFonts w:hint="eastAsia" w:ascii="宋体" w:hAnsi="宋体" w:eastAsia="宋体" w:cs="宋体"/>
          <w:color w:val="auto"/>
          <w:spacing w:val="14"/>
          <w:sz w:val="24"/>
          <w:szCs w:val="24"/>
          <w:highlight w:val="none"/>
          <w:u w:val="single"/>
        </w:rPr>
        <w:t>（标的名称）</w:t>
      </w:r>
      <w:r>
        <w:rPr>
          <w:rFonts w:hint="eastAsia" w:ascii="宋体" w:hAnsi="宋体" w:eastAsia="宋体" w:cs="宋体"/>
          <w:color w:val="auto"/>
          <w:spacing w:val="14"/>
          <w:sz w:val="24"/>
          <w:szCs w:val="24"/>
          <w:highlight w:val="none"/>
        </w:rPr>
        <w:t>，属于</w:t>
      </w:r>
      <w:r>
        <w:rPr>
          <w:rFonts w:hint="eastAsia" w:ascii="宋体" w:hAnsi="宋体" w:eastAsia="宋体" w:cs="宋体"/>
          <w:color w:val="auto"/>
          <w:spacing w:val="14"/>
          <w:sz w:val="24"/>
          <w:szCs w:val="24"/>
          <w:highlight w:val="none"/>
          <w:u w:val="single"/>
        </w:rPr>
        <w:t>其他未列明行业</w:t>
      </w:r>
      <w:r>
        <w:rPr>
          <w:rFonts w:hint="eastAsia" w:ascii="宋体" w:hAnsi="宋体" w:eastAsia="宋体" w:cs="宋体"/>
          <w:color w:val="auto"/>
          <w:spacing w:val="14"/>
          <w:sz w:val="24"/>
          <w:szCs w:val="24"/>
          <w:highlight w:val="none"/>
        </w:rPr>
        <w:t>：承接企业为</w:t>
      </w:r>
      <w:r>
        <w:rPr>
          <w:rFonts w:hint="eastAsia" w:ascii="宋体" w:hAnsi="宋体" w:eastAsia="宋体" w:cs="宋体"/>
          <w:color w:val="auto"/>
          <w:spacing w:val="14"/>
          <w:sz w:val="24"/>
          <w:szCs w:val="24"/>
          <w:highlight w:val="none"/>
          <w:u w:val="single"/>
        </w:rPr>
        <w:t>（企业名称）</w:t>
      </w:r>
      <w:r>
        <w:rPr>
          <w:rFonts w:hint="eastAsia" w:ascii="宋体" w:hAnsi="宋体" w:eastAsia="宋体" w:cs="宋体"/>
          <w:color w:val="auto"/>
          <w:spacing w:val="14"/>
          <w:sz w:val="24"/>
          <w:szCs w:val="24"/>
          <w:highlight w:val="none"/>
        </w:rPr>
        <w:t>，从业人员</w:t>
      </w:r>
      <w:r>
        <w:rPr>
          <w:rFonts w:hint="eastAsia" w:ascii="宋体" w:hAnsi="宋体" w:eastAsia="宋体" w:cs="宋体"/>
          <w:color w:val="auto"/>
          <w:spacing w:val="14"/>
          <w:sz w:val="24"/>
          <w:szCs w:val="24"/>
          <w:highlight w:val="none"/>
          <w:u w:val="single"/>
        </w:rPr>
        <w:t xml:space="preserve">  人</w:t>
      </w:r>
      <w:r>
        <w:rPr>
          <w:rFonts w:hint="eastAsia" w:ascii="宋体" w:hAnsi="宋体" w:eastAsia="宋体" w:cs="宋体"/>
          <w:color w:val="auto"/>
          <w:spacing w:val="14"/>
          <w:sz w:val="24"/>
          <w:szCs w:val="24"/>
          <w:highlight w:val="none"/>
        </w:rPr>
        <w:t>，营业收入为</w:t>
      </w:r>
      <w:r>
        <w:rPr>
          <w:rFonts w:hint="eastAsia" w:ascii="宋体" w:hAnsi="宋体" w:eastAsia="宋体" w:cs="宋体"/>
          <w:color w:val="auto"/>
          <w:spacing w:val="14"/>
          <w:sz w:val="24"/>
          <w:szCs w:val="24"/>
          <w:highlight w:val="none"/>
          <w:u w:val="single"/>
        </w:rPr>
        <w:t xml:space="preserve">    万元</w:t>
      </w:r>
      <w:r>
        <w:rPr>
          <w:rFonts w:hint="eastAsia" w:ascii="宋体" w:hAnsi="宋体" w:eastAsia="宋体" w:cs="宋体"/>
          <w:color w:val="auto"/>
          <w:spacing w:val="14"/>
          <w:sz w:val="24"/>
          <w:szCs w:val="24"/>
          <w:highlight w:val="none"/>
        </w:rPr>
        <w:t>，资产总额为</w:t>
      </w:r>
      <w:r>
        <w:rPr>
          <w:rFonts w:hint="eastAsia" w:ascii="宋体" w:hAnsi="宋体" w:eastAsia="宋体" w:cs="宋体"/>
          <w:color w:val="auto"/>
          <w:spacing w:val="14"/>
          <w:sz w:val="24"/>
          <w:szCs w:val="24"/>
          <w:highlight w:val="none"/>
          <w:u w:val="single"/>
        </w:rPr>
        <w:t xml:space="preserve">     万元</w:t>
      </w:r>
      <w:r>
        <w:rPr>
          <w:rFonts w:hint="eastAsia" w:ascii="宋体" w:hAnsi="宋体" w:eastAsia="宋体" w:cs="宋体"/>
          <w:color w:val="auto"/>
          <w:spacing w:val="14"/>
          <w:sz w:val="24"/>
          <w:szCs w:val="24"/>
          <w:highlight w:val="none"/>
        </w:rPr>
        <w:t>，属于</w:t>
      </w:r>
      <w:r>
        <w:rPr>
          <w:rFonts w:hint="eastAsia" w:ascii="宋体" w:hAnsi="宋体" w:eastAsia="宋体" w:cs="宋体"/>
          <w:color w:val="auto"/>
          <w:spacing w:val="14"/>
          <w:sz w:val="24"/>
          <w:szCs w:val="24"/>
          <w:highlight w:val="none"/>
          <w:u w:val="single"/>
        </w:rPr>
        <w:t>（中型企业、小型企业、微型企业）</w:t>
      </w:r>
      <w:r>
        <w:rPr>
          <w:rFonts w:hint="eastAsia" w:ascii="宋体" w:hAnsi="宋体" w:eastAsia="宋体" w:cs="宋体"/>
          <w:color w:val="auto"/>
          <w:spacing w:val="14"/>
          <w:sz w:val="24"/>
          <w:szCs w:val="24"/>
          <w:highlight w:val="none"/>
        </w:rPr>
        <w:t>；</w:t>
      </w:r>
    </w:p>
    <w:p>
      <w:pPr>
        <w:pStyle w:val="158"/>
        <w:spacing w:line="500" w:lineRule="exact"/>
        <w:jc w:val="left"/>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2、</w:t>
      </w:r>
      <w:r>
        <w:rPr>
          <w:rFonts w:hint="eastAsia" w:ascii="宋体" w:hAnsi="宋体" w:eastAsia="宋体" w:cs="宋体"/>
          <w:color w:val="auto"/>
          <w:spacing w:val="14"/>
          <w:sz w:val="24"/>
          <w:szCs w:val="24"/>
          <w:highlight w:val="none"/>
          <w:u w:val="single"/>
        </w:rPr>
        <w:t>（标的名称）</w:t>
      </w:r>
      <w:r>
        <w:rPr>
          <w:rFonts w:hint="eastAsia" w:ascii="宋体" w:hAnsi="宋体" w:eastAsia="宋体" w:cs="宋体"/>
          <w:color w:val="auto"/>
          <w:spacing w:val="14"/>
          <w:sz w:val="24"/>
          <w:szCs w:val="24"/>
          <w:highlight w:val="none"/>
        </w:rPr>
        <w:t>，属于</w:t>
      </w:r>
      <w:r>
        <w:rPr>
          <w:rFonts w:hint="eastAsia" w:ascii="宋体" w:hAnsi="宋体" w:eastAsia="宋体" w:cs="宋体"/>
          <w:color w:val="auto"/>
          <w:spacing w:val="14"/>
          <w:sz w:val="24"/>
          <w:szCs w:val="24"/>
          <w:highlight w:val="none"/>
          <w:u w:val="single"/>
        </w:rPr>
        <w:t>（其他未列明行业）</w:t>
      </w:r>
      <w:r>
        <w:rPr>
          <w:rFonts w:hint="eastAsia" w:ascii="宋体" w:hAnsi="宋体" w:eastAsia="宋体" w:cs="宋体"/>
          <w:color w:val="auto"/>
          <w:spacing w:val="14"/>
          <w:sz w:val="24"/>
          <w:szCs w:val="24"/>
          <w:highlight w:val="none"/>
        </w:rPr>
        <w:t>行业：承接企业为</w:t>
      </w:r>
      <w:r>
        <w:rPr>
          <w:rFonts w:hint="eastAsia" w:ascii="宋体" w:hAnsi="宋体" w:eastAsia="宋体" w:cs="宋体"/>
          <w:color w:val="auto"/>
          <w:spacing w:val="14"/>
          <w:sz w:val="24"/>
          <w:szCs w:val="24"/>
          <w:highlight w:val="none"/>
          <w:u w:val="single"/>
        </w:rPr>
        <w:t>（企业名称）</w:t>
      </w:r>
      <w:r>
        <w:rPr>
          <w:rFonts w:hint="eastAsia" w:ascii="宋体" w:hAnsi="宋体" w:eastAsia="宋体" w:cs="宋体"/>
          <w:color w:val="auto"/>
          <w:spacing w:val="14"/>
          <w:sz w:val="24"/>
          <w:szCs w:val="24"/>
          <w:highlight w:val="none"/>
        </w:rPr>
        <w:t>，从业人员</w:t>
      </w:r>
      <w:r>
        <w:rPr>
          <w:rFonts w:hint="eastAsia" w:ascii="宋体" w:hAnsi="宋体" w:eastAsia="宋体" w:cs="宋体"/>
          <w:color w:val="auto"/>
          <w:spacing w:val="14"/>
          <w:sz w:val="24"/>
          <w:szCs w:val="24"/>
          <w:highlight w:val="none"/>
          <w:u w:val="single"/>
        </w:rPr>
        <w:t xml:space="preserve">  人</w:t>
      </w:r>
      <w:r>
        <w:rPr>
          <w:rFonts w:hint="eastAsia" w:ascii="宋体" w:hAnsi="宋体" w:eastAsia="宋体" w:cs="宋体"/>
          <w:color w:val="auto"/>
          <w:spacing w:val="14"/>
          <w:sz w:val="24"/>
          <w:szCs w:val="24"/>
          <w:highlight w:val="none"/>
        </w:rPr>
        <w:t>，营业收入为</w:t>
      </w:r>
      <w:r>
        <w:rPr>
          <w:rFonts w:hint="eastAsia" w:ascii="宋体" w:hAnsi="宋体" w:eastAsia="宋体" w:cs="宋体"/>
          <w:color w:val="auto"/>
          <w:spacing w:val="14"/>
          <w:sz w:val="24"/>
          <w:szCs w:val="24"/>
          <w:highlight w:val="none"/>
          <w:u w:val="single"/>
        </w:rPr>
        <w:t xml:space="preserve">    万元</w:t>
      </w:r>
      <w:r>
        <w:rPr>
          <w:rFonts w:hint="eastAsia" w:ascii="宋体" w:hAnsi="宋体" w:eastAsia="宋体" w:cs="宋体"/>
          <w:color w:val="auto"/>
          <w:spacing w:val="14"/>
          <w:sz w:val="24"/>
          <w:szCs w:val="24"/>
          <w:highlight w:val="none"/>
        </w:rPr>
        <w:t>，资产总额为</w:t>
      </w:r>
      <w:r>
        <w:rPr>
          <w:rFonts w:hint="eastAsia" w:ascii="宋体" w:hAnsi="宋体" w:eastAsia="宋体" w:cs="宋体"/>
          <w:color w:val="auto"/>
          <w:spacing w:val="14"/>
          <w:sz w:val="24"/>
          <w:szCs w:val="24"/>
          <w:highlight w:val="none"/>
          <w:u w:val="single"/>
        </w:rPr>
        <w:t xml:space="preserve">     万元</w:t>
      </w:r>
      <w:r>
        <w:rPr>
          <w:rFonts w:hint="eastAsia" w:ascii="宋体" w:hAnsi="宋体" w:eastAsia="宋体" w:cs="宋体"/>
          <w:color w:val="auto"/>
          <w:spacing w:val="14"/>
          <w:sz w:val="24"/>
          <w:szCs w:val="24"/>
          <w:highlight w:val="none"/>
        </w:rPr>
        <w:t>，属于</w:t>
      </w:r>
      <w:r>
        <w:rPr>
          <w:rFonts w:hint="eastAsia" w:ascii="宋体" w:hAnsi="宋体" w:eastAsia="宋体" w:cs="宋体"/>
          <w:color w:val="auto"/>
          <w:spacing w:val="14"/>
          <w:sz w:val="24"/>
          <w:szCs w:val="24"/>
          <w:highlight w:val="none"/>
          <w:u w:val="single"/>
        </w:rPr>
        <w:t>（中型企业、小型企业、微型企业）</w:t>
      </w:r>
      <w:r>
        <w:rPr>
          <w:rFonts w:hint="eastAsia" w:ascii="宋体" w:hAnsi="宋体" w:eastAsia="宋体" w:cs="宋体"/>
          <w:color w:val="auto"/>
          <w:spacing w:val="14"/>
          <w:sz w:val="24"/>
          <w:szCs w:val="24"/>
          <w:highlight w:val="none"/>
        </w:rPr>
        <w:t>；</w:t>
      </w:r>
    </w:p>
    <w:p>
      <w:pPr>
        <w:pStyle w:val="158"/>
        <w:spacing w:line="500" w:lineRule="exact"/>
        <w:jc w:val="left"/>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w:t>
      </w:r>
    </w:p>
    <w:p>
      <w:pPr>
        <w:pStyle w:val="158"/>
        <w:spacing w:line="500" w:lineRule="exact"/>
        <w:jc w:val="left"/>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以上企业，不属于大企业的分支机构，不存在控股股东为大企业的情形，也不存在与大企业的负责人为同一人的情形。</w:t>
      </w:r>
    </w:p>
    <w:p>
      <w:pPr>
        <w:pStyle w:val="158"/>
        <w:spacing w:line="500" w:lineRule="exact"/>
        <w:jc w:val="left"/>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本企业对上述声明内容的真实性负责。如有虚假，将依法承担相应责任。</w:t>
      </w:r>
    </w:p>
    <w:p>
      <w:pPr>
        <w:pStyle w:val="158"/>
        <w:spacing w:line="500" w:lineRule="exact"/>
        <w:jc w:val="left"/>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lang w:val="en-US" w:eastAsia="zh-CN"/>
        </w:rPr>
        <w:t>供应商</w:t>
      </w:r>
      <w:r>
        <w:rPr>
          <w:rFonts w:hint="eastAsia" w:ascii="宋体" w:hAnsi="宋体" w:eastAsia="宋体" w:cs="宋体"/>
          <w:color w:val="auto"/>
          <w:spacing w:val="14"/>
          <w:sz w:val="24"/>
          <w:szCs w:val="24"/>
          <w:highlight w:val="none"/>
        </w:rPr>
        <w:t>（企业电子章）：</w:t>
      </w:r>
    </w:p>
    <w:p>
      <w:pPr>
        <w:pStyle w:val="158"/>
        <w:spacing w:line="500" w:lineRule="exact"/>
        <w:jc w:val="left"/>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日期：</w:t>
      </w:r>
    </w:p>
    <w:p>
      <w:pPr>
        <w:pStyle w:val="158"/>
        <w:spacing w:line="500" w:lineRule="exact"/>
        <w:jc w:val="left"/>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注：1、从业人员、营业收入、资产总额填报上一年度数据，无上一年度数据的新成立企业可不填报。</w:t>
      </w:r>
    </w:p>
    <w:p>
      <w:pPr>
        <w:pStyle w:val="158"/>
        <w:numPr>
          <w:ilvl w:val="0"/>
          <w:numId w:val="7"/>
        </w:numPr>
        <w:spacing w:line="500" w:lineRule="exact"/>
        <w:jc w:val="left"/>
        <w:rPr>
          <w:rFonts w:hint="eastAsia" w:ascii="宋体" w:hAnsi="宋体" w:eastAsia="宋体" w:cs="宋体"/>
          <w:color w:val="auto"/>
          <w:spacing w:val="14"/>
          <w:sz w:val="24"/>
          <w:szCs w:val="24"/>
          <w:highlight w:val="none"/>
          <w:lang w:val="en-US" w:eastAsia="zh-CN" w:bidi="ar-SA"/>
        </w:rPr>
      </w:pPr>
      <w:r>
        <w:rPr>
          <w:rFonts w:hint="eastAsia" w:ascii="宋体" w:hAnsi="宋体" w:eastAsia="宋体" w:cs="宋体"/>
          <w:color w:val="auto"/>
          <w:spacing w:val="14"/>
          <w:sz w:val="24"/>
          <w:szCs w:val="24"/>
          <w:highlight w:val="none"/>
        </w:rPr>
        <w:t>中小企业划分标准见</w:t>
      </w:r>
      <w:r>
        <w:rPr>
          <w:rFonts w:hint="eastAsia" w:ascii="宋体" w:hAnsi="宋体" w:eastAsia="宋体" w:cs="宋体"/>
          <w:color w:val="auto"/>
          <w:spacing w:val="14"/>
          <w:sz w:val="24"/>
          <w:szCs w:val="24"/>
          <w:highlight w:val="none"/>
          <w:lang w:val="en-US" w:eastAsia="zh-CN" w:bidi="ar-SA"/>
        </w:rPr>
        <w:t>工业和信息化部国家统计局国家发展和改革委员财政部《关于印发中小企业划型标准规定的通知》（工信部联企业〔2011〕300 号)。</w:t>
      </w:r>
    </w:p>
    <w:p>
      <w:pPr>
        <w:pStyle w:val="158"/>
        <w:numPr>
          <w:ilvl w:val="0"/>
          <w:numId w:val="0"/>
        </w:numPr>
        <w:spacing w:line="500" w:lineRule="exact"/>
        <w:ind w:firstLine="538" w:firstLineChars="200"/>
        <w:jc w:val="left"/>
        <w:rPr>
          <w:rFonts w:hint="eastAsia" w:ascii="宋体" w:hAnsi="宋体" w:eastAsia="宋体" w:cs="宋体"/>
          <w:b/>
          <w:bCs/>
          <w:color w:val="auto"/>
          <w:spacing w:val="14"/>
          <w:sz w:val="24"/>
          <w:szCs w:val="24"/>
          <w:highlight w:val="none"/>
          <w:lang w:val="en-US" w:eastAsia="zh-CN" w:bidi="ar-SA"/>
        </w:rPr>
      </w:pPr>
    </w:p>
    <w:p>
      <w:pPr>
        <w:pStyle w:val="160"/>
        <w:bidi w:val="0"/>
        <w:rPr>
          <w:rFonts w:hint="eastAsia" w:ascii="仿宋" w:hAnsi="仿宋" w:eastAsia="仿宋" w:cs="仿宋"/>
          <w:b/>
          <w:color w:val="auto"/>
          <w:kern w:val="0"/>
          <w:sz w:val="32"/>
          <w:szCs w:val="24"/>
          <w:highlight w:val="none"/>
          <w:lang w:bidi="ar-SA"/>
        </w:rPr>
      </w:pPr>
      <w:r>
        <w:rPr>
          <w:rFonts w:hint="eastAsia" w:ascii="宋体" w:hAnsi="宋体" w:eastAsia="宋体" w:cs="宋体"/>
          <w:color w:val="auto"/>
          <w:sz w:val="24"/>
          <w:szCs w:val="24"/>
          <w:highlight w:val="none"/>
        </w:rPr>
        <w:br w:type="page"/>
      </w:r>
      <w:r>
        <w:rPr>
          <w:rFonts w:hint="eastAsia" w:ascii="仿宋" w:hAnsi="仿宋" w:eastAsia="仿宋" w:cs="仿宋"/>
          <w:b/>
          <w:color w:val="auto"/>
          <w:kern w:val="0"/>
          <w:sz w:val="32"/>
          <w:szCs w:val="24"/>
          <w:highlight w:val="none"/>
          <w:lang w:val="en-US" w:eastAsia="zh-CN" w:bidi="ar-SA"/>
        </w:rPr>
        <w:t>附件2</w:t>
      </w:r>
      <w:r>
        <w:rPr>
          <w:rFonts w:hint="eastAsia" w:ascii="仿宋" w:hAnsi="仿宋" w:eastAsia="仿宋" w:cs="仿宋"/>
          <w:b/>
          <w:color w:val="auto"/>
          <w:kern w:val="0"/>
          <w:sz w:val="32"/>
          <w:szCs w:val="24"/>
          <w:highlight w:val="none"/>
          <w:lang w:bidi="ar-SA"/>
        </w:rPr>
        <w:t>、残疾人福利性单位声明函</w:t>
      </w:r>
    </w:p>
    <w:p>
      <w:pPr>
        <w:pStyle w:val="159"/>
        <w:rPr>
          <w:rFonts w:hint="eastAsia" w:ascii="仿宋" w:hAnsi="仿宋" w:eastAsia="仿宋" w:cs="仿宋"/>
          <w:color w:val="auto"/>
          <w:highlight w:val="none"/>
        </w:rPr>
      </w:pPr>
    </w:p>
    <w:p>
      <w:pPr>
        <w:pStyle w:val="158"/>
        <w:spacing w:line="276" w:lineRule="auto"/>
        <w:jc w:val="center"/>
        <w:rPr>
          <w:rFonts w:hint="eastAsia" w:ascii="宋体" w:hAnsi="宋体" w:eastAsia="宋体" w:cs="宋体"/>
          <w:b w:val="0"/>
          <w:bCs/>
          <w:color w:val="auto"/>
          <w:spacing w:val="14"/>
          <w:sz w:val="24"/>
          <w:szCs w:val="24"/>
          <w:highlight w:val="none"/>
          <w:lang w:val="en-US" w:eastAsia="zh-CN" w:bidi="ar-SA"/>
        </w:rPr>
      </w:pPr>
      <w:r>
        <w:rPr>
          <w:rFonts w:hint="eastAsia" w:ascii="宋体" w:hAnsi="宋体" w:eastAsia="宋体" w:cs="宋体"/>
          <w:b w:val="0"/>
          <w:bCs/>
          <w:color w:val="auto"/>
          <w:spacing w:val="14"/>
          <w:sz w:val="24"/>
          <w:szCs w:val="24"/>
          <w:highlight w:val="none"/>
          <w:lang w:val="en-US" w:eastAsia="zh-CN" w:bidi="ar-SA"/>
        </w:rPr>
        <w:t>残疾人福利性单位声明函</w:t>
      </w:r>
    </w:p>
    <w:p>
      <w:pPr>
        <w:pStyle w:val="161"/>
        <w:spacing w:line="276" w:lineRule="auto"/>
        <w:jc w:val="center"/>
        <w:rPr>
          <w:rFonts w:hint="eastAsia" w:ascii="宋体" w:hAnsi="宋体" w:eastAsia="宋体" w:cs="宋体"/>
          <w:color w:val="auto"/>
          <w:spacing w:val="14"/>
          <w:sz w:val="24"/>
          <w:szCs w:val="24"/>
          <w:highlight w:val="none"/>
        </w:rPr>
      </w:pPr>
    </w:p>
    <w:p>
      <w:pPr>
        <w:pStyle w:val="161"/>
        <w:spacing w:line="276" w:lineRule="auto"/>
        <w:ind w:firstLine="420"/>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本单位郑重声明，根据《财政部 民政部 中国残疾人联合会关于促进残疾人就业政府采购政策的通知》（财库〔2017〕 141号）的规定，本单位为符合条件的残疾人福利性单位，且本单位参加__________________单位的________________________项目采购活动提供本单位制造的货物（由本单位承担工程/提供服务），或者提供其他残疾人福利性单位制造的货物（不包括使用非残疾人福利性单位注册商标的货物）。</w:t>
      </w:r>
    </w:p>
    <w:p>
      <w:pPr>
        <w:pStyle w:val="161"/>
        <w:spacing w:line="276" w:lineRule="auto"/>
        <w:ind w:firstLine="420"/>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本单位对上述声明的真实性负责。如有虚假，将依法承担相应责任。</w:t>
      </w:r>
    </w:p>
    <w:p>
      <w:pPr>
        <w:pStyle w:val="161"/>
        <w:spacing w:line="276" w:lineRule="auto"/>
        <w:rPr>
          <w:rFonts w:hint="eastAsia" w:ascii="宋体" w:hAnsi="宋体" w:eastAsia="宋体" w:cs="宋体"/>
          <w:color w:val="auto"/>
          <w:spacing w:val="14"/>
          <w:sz w:val="24"/>
          <w:szCs w:val="24"/>
          <w:highlight w:val="none"/>
        </w:rPr>
      </w:pPr>
    </w:p>
    <w:p>
      <w:pPr>
        <w:pStyle w:val="161"/>
        <w:spacing w:line="276" w:lineRule="auto"/>
        <w:rPr>
          <w:rFonts w:hint="eastAsia" w:ascii="宋体" w:hAnsi="宋体" w:eastAsia="宋体" w:cs="宋体"/>
          <w:color w:val="auto"/>
          <w:spacing w:val="14"/>
          <w:sz w:val="24"/>
          <w:szCs w:val="24"/>
          <w:highlight w:val="none"/>
        </w:rPr>
      </w:pPr>
    </w:p>
    <w:p>
      <w:pPr>
        <w:pStyle w:val="161"/>
        <w:spacing w:line="276" w:lineRule="auto"/>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 xml:space="preserve">                                     投标人（企业电子章）：</w:t>
      </w:r>
    </w:p>
    <w:p>
      <w:pPr>
        <w:pStyle w:val="162"/>
        <w:outlineLvl w:val="2"/>
        <w:rPr>
          <w:rFonts w:hint="eastAsia" w:ascii="仿宋" w:hAnsi="仿宋" w:eastAsia="仿宋" w:cs="仿宋"/>
          <w:color w:val="auto"/>
          <w:highlight w:val="none"/>
        </w:rPr>
      </w:pPr>
      <w:r>
        <w:rPr>
          <w:rFonts w:hint="eastAsia" w:ascii="宋体" w:hAnsi="宋体" w:eastAsia="宋体" w:cs="宋体"/>
          <w:color w:val="auto"/>
          <w:sz w:val="24"/>
          <w:szCs w:val="24"/>
          <w:highlight w:val="none"/>
        </w:rPr>
        <w:br w:type="page"/>
      </w:r>
      <w:bookmarkStart w:id="35" w:name="_Toc26775"/>
      <w:r>
        <w:rPr>
          <w:rFonts w:hint="eastAsia" w:ascii="仿宋" w:hAnsi="仿宋" w:eastAsia="仿宋" w:cs="仿宋"/>
          <w:color w:val="auto"/>
          <w:highlight w:val="none"/>
        </w:rPr>
        <w:t>附件</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、监狱企业证明文件</w:t>
      </w:r>
      <w:bookmarkEnd w:id="35"/>
    </w:p>
    <w:p>
      <w:pPr>
        <w:pStyle w:val="163"/>
        <w:spacing w:line="276" w:lineRule="auto"/>
        <w:jc w:val="center"/>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监狱企业证明文件</w:t>
      </w:r>
    </w:p>
    <w:p>
      <w:pPr>
        <w:pStyle w:val="163"/>
        <w:spacing w:line="276" w:lineRule="auto"/>
        <w:jc w:val="center"/>
        <w:rPr>
          <w:rFonts w:hint="eastAsia" w:ascii="宋体" w:hAnsi="宋体" w:eastAsia="宋体" w:cs="宋体"/>
          <w:color w:val="auto"/>
          <w:spacing w:val="14"/>
          <w:sz w:val="24"/>
          <w:szCs w:val="24"/>
          <w:highlight w:val="none"/>
        </w:rPr>
      </w:pPr>
    </w:p>
    <w:p>
      <w:pPr>
        <w:pStyle w:val="163"/>
        <w:spacing w:line="276" w:lineRule="auto"/>
        <w:ind w:firstLine="420"/>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（监狱企业参加政府采购活动时，应当提供由省级以上监狱管理局、戒毒管理局(含新疆生产建设兵团)出具的属于监狱企业的证明文件。</w:t>
      </w:r>
    </w:p>
    <w:p>
      <w:pPr>
        <w:pStyle w:val="163"/>
        <w:spacing w:line="276" w:lineRule="auto"/>
        <w:rPr>
          <w:rFonts w:hint="eastAsia" w:ascii="宋体" w:hAnsi="宋体" w:eastAsia="宋体" w:cs="宋体"/>
          <w:color w:val="auto"/>
          <w:spacing w:val="14"/>
          <w:sz w:val="24"/>
          <w:szCs w:val="24"/>
          <w:highlight w:val="none"/>
        </w:rPr>
      </w:pPr>
    </w:p>
    <w:p>
      <w:pPr>
        <w:pStyle w:val="163"/>
        <w:spacing w:line="276" w:lineRule="auto"/>
        <w:rPr>
          <w:rFonts w:hint="eastAsia" w:ascii="宋体" w:hAnsi="宋体" w:eastAsia="宋体" w:cs="宋体"/>
          <w:color w:val="auto"/>
          <w:spacing w:val="14"/>
          <w:sz w:val="24"/>
          <w:szCs w:val="24"/>
          <w:highlight w:val="none"/>
        </w:rPr>
      </w:pPr>
    </w:p>
    <w:p>
      <w:pPr>
        <w:pStyle w:val="163"/>
        <w:spacing w:line="276" w:lineRule="auto"/>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注：在投标文件中附扫描件</w:t>
      </w:r>
    </w:p>
    <w:p>
      <w:pPr>
        <w:pStyle w:val="167"/>
        <w:widowControl/>
        <w:spacing w:line="276" w:lineRule="auto"/>
        <w:rPr>
          <w:rFonts w:hint="default"/>
          <w:color w:val="auto"/>
          <w:highlight w:val="none"/>
          <w:lang w:val="en-US"/>
        </w:rPr>
      </w:pPr>
    </w:p>
    <w:sectPr>
      <w:footerReference r:id="rId6"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monospace">
    <w:altName w:val="思源黑体"/>
    <w:panose1 w:val="00000000000000000000"/>
    <w:charset w:val="00"/>
    <w:family w:val="auto"/>
    <w:pitch w:val="default"/>
    <w:sig w:usb0="00000000" w:usb1="00000000" w:usb2="00000000" w:usb3="00000000" w:csb0="00040001" w:csb1="00000000"/>
  </w:font>
  <w:font w:name="方正大标宋简体">
    <w:altName w:val="微软雅黑"/>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Microsoft JhengHei">
    <w:panose1 w:val="020B0604030504040204"/>
    <w:charset w:val="88"/>
    <w:family w:val="swiss"/>
    <w:pitch w:val="default"/>
    <w:sig w:usb0="000002A7" w:usb1="28CF4400" w:usb2="00000016" w:usb3="00000000" w:csb0="00100009" w:csb1="00000000"/>
  </w:font>
  <w:font w:name="方正小标宋简体">
    <w:altName w:val="黑体"/>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w:pict>
        <v:shape id="_x0000_s1033" o:spid="_x0000_s1033"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0"/>
                  <w:jc w:val="center"/>
                </w:pPr>
                <w:r>
                  <w:fldChar w:fldCharType="begin"/>
                </w:r>
                <w:r>
                  <w:instrText xml:space="preserve"> PAGE   \* MERGEFORMAT </w:instrText>
                </w:r>
                <w:r>
                  <w:fldChar w:fldCharType="separate"/>
                </w:r>
                <w:r>
                  <w:rPr>
                    <w:lang w:val="zh-CN"/>
                  </w:rPr>
                  <w:t>3</w:t>
                </w:r>
                <w:r>
                  <w:fldChar w:fldCharType="end"/>
                </w:r>
              </w:p>
            </w:txbxContent>
          </v:textbox>
        </v:shape>
      </w:pict>
    </w:r>
  </w:p>
  <w:p>
    <w:pPr>
      <w:pStyle w:val="20"/>
      <w:jc w:val="right"/>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w:pict>
        <v:shape id="_x0000_s1032" o:spid="_x0000_s1032"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w:pict>
        <v:shape id="_x0000_s1030" o:spid="_x0000_s103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67</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67106"/>
    <w:multiLevelType w:val="singleLevel"/>
    <w:tmpl w:val="15F67106"/>
    <w:lvl w:ilvl="0" w:tentative="0">
      <w:start w:val="1"/>
      <w:numFmt w:val="decimal"/>
      <w:suff w:val="nothing"/>
      <w:lvlText w:val="%1、"/>
      <w:lvlJc w:val="left"/>
    </w:lvl>
  </w:abstractNum>
  <w:abstractNum w:abstractNumId="1">
    <w:nsid w:val="1DD93AF5"/>
    <w:multiLevelType w:val="multilevel"/>
    <w:tmpl w:val="1DD93AF5"/>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39CB68A3"/>
    <w:multiLevelType w:val="multilevel"/>
    <w:tmpl w:val="39CB68A3"/>
    <w:lvl w:ilvl="0" w:tentative="0">
      <w:start w:val="1"/>
      <w:numFmt w:val="decimal"/>
      <w:suff w:val="nothing"/>
      <w:lvlText w:val="第%1章 "/>
      <w:lvlJc w:val="left"/>
      <w:pPr>
        <w:ind w:left="0" w:firstLine="0"/>
      </w:pPr>
      <w:rPr>
        <w:rFonts w:ascii="方正大标宋简体" w:eastAsia="方正大标宋简体"/>
        <w:b w:val="0"/>
        <w:i w:val="0"/>
        <w:sz w:val="36"/>
        <w:szCs w:val="36"/>
      </w:rPr>
    </w:lvl>
    <w:lvl w:ilvl="1" w:tentative="0">
      <w:start w:val="1"/>
      <w:numFmt w:val="decimal"/>
      <w:pStyle w:val="51"/>
      <w:suff w:val="nothing"/>
      <w:lvlText w:val="    %1、"/>
      <w:lvlJc w:val="left"/>
      <w:pPr>
        <w:ind w:left="0" w:firstLine="0"/>
      </w:pPr>
      <w:rPr>
        <w:rFonts w:ascii="黑体" w:eastAsia="黑体"/>
        <w:b/>
        <w:i w:val="0"/>
        <w:sz w:val="30"/>
        <w:szCs w:val="30"/>
      </w:rPr>
    </w:lvl>
    <w:lvl w:ilvl="2" w:tentative="0">
      <w:start w:val="1"/>
      <w:numFmt w:val="decimal"/>
      <w:suff w:val="nothing"/>
      <w:lvlText w:val="    %1.%2 "/>
      <w:lvlJc w:val="left"/>
      <w:pPr>
        <w:ind w:left="459" w:firstLine="0"/>
      </w:pPr>
      <w:rPr>
        <w:b w:val="0"/>
        <w:bCs w:val="0"/>
        <w:i w:val="0"/>
        <w:iCs w:val="0"/>
        <w:caps w:val="0"/>
        <w:smallCaps w:val="0"/>
        <w:vanish w:val="0"/>
        <w:color w:val="000000"/>
        <w:position w:val="0"/>
      </w:rPr>
    </w:lvl>
    <w:lvl w:ilvl="3" w:tentative="0">
      <w:start w:val="1"/>
      <w:numFmt w:val="decimal"/>
      <w:suff w:val="nothing"/>
      <w:lvlText w:val="    %1.%2.%3  "/>
      <w:lvlJc w:val="left"/>
      <w:pPr>
        <w:ind w:left="0" w:firstLine="0"/>
      </w:pPr>
      <w:rPr>
        <w:rFonts w:ascii="仿宋_GB2312" w:eastAsia="仿宋_GB2312"/>
        <w:b/>
        <w:i w:val="0"/>
        <w:sz w:val="28"/>
        <w:szCs w:val="28"/>
      </w:rPr>
    </w:lvl>
    <w:lvl w:ilvl="4" w:tentative="0">
      <w:start w:val="1"/>
      <w:numFmt w:val="decimal"/>
      <w:suff w:val="nothing"/>
      <w:lvlText w:val=""/>
      <w:lvlJc w:val="left"/>
      <w:pPr>
        <w:ind w:left="0" w:firstLine="0"/>
      </w:pPr>
    </w:lvl>
    <w:lvl w:ilvl="5" w:tentative="0">
      <w:start w:val="1"/>
      <w:numFmt w:val="decimal"/>
      <w:suff w:val="nothing"/>
      <w:lvlText w:val=""/>
      <w:lvlJc w:val="left"/>
      <w:pPr>
        <w:ind w:left="0" w:firstLine="0"/>
      </w:pPr>
    </w:lvl>
    <w:lvl w:ilvl="6" w:tentative="0">
      <w:start w:val="1"/>
      <w:numFmt w:val="decimal"/>
      <w:suff w:val="nothing"/>
      <w:lvlText w:val=""/>
      <w:lvlJc w:val="left"/>
      <w:pPr>
        <w:ind w:left="0" w:firstLine="0"/>
      </w:pPr>
    </w:lvl>
    <w:lvl w:ilvl="7" w:tentative="0">
      <w:start w:val="1"/>
      <w:numFmt w:val="decimal"/>
      <w:suff w:val="nothing"/>
      <w:lvlText w:val=""/>
      <w:lvlJc w:val="left"/>
      <w:pPr>
        <w:ind w:left="0" w:firstLine="0"/>
      </w:pPr>
    </w:lvl>
    <w:lvl w:ilvl="8" w:tentative="0">
      <w:start w:val="1"/>
      <w:numFmt w:val="decimal"/>
      <w:suff w:val="nothing"/>
      <w:lvlText w:val=""/>
      <w:lvlJc w:val="left"/>
      <w:pPr>
        <w:ind w:left="0" w:firstLine="0"/>
      </w:pPr>
    </w:lvl>
  </w:abstractNum>
  <w:abstractNum w:abstractNumId="3">
    <w:nsid w:val="4F3FF634"/>
    <w:multiLevelType w:val="singleLevel"/>
    <w:tmpl w:val="4F3FF634"/>
    <w:lvl w:ilvl="0" w:tentative="0">
      <w:start w:val="2"/>
      <w:numFmt w:val="decimal"/>
      <w:lvlText w:val="%1."/>
      <w:lvlJc w:val="left"/>
      <w:pPr>
        <w:tabs>
          <w:tab w:val="left" w:pos="312"/>
        </w:tabs>
      </w:pPr>
    </w:lvl>
  </w:abstractNum>
  <w:abstractNum w:abstractNumId="4">
    <w:nsid w:val="53C73C67"/>
    <w:multiLevelType w:val="singleLevel"/>
    <w:tmpl w:val="53C73C67"/>
    <w:lvl w:ilvl="0" w:tentative="0">
      <w:start w:val="2"/>
      <w:numFmt w:val="decimal"/>
      <w:suff w:val="nothing"/>
      <w:lvlText w:val="（%1）"/>
      <w:lvlJc w:val="left"/>
    </w:lvl>
  </w:abstractNum>
  <w:abstractNum w:abstractNumId="5">
    <w:nsid w:val="5CAA32CF"/>
    <w:multiLevelType w:val="singleLevel"/>
    <w:tmpl w:val="5CAA32CF"/>
    <w:lvl w:ilvl="0" w:tentative="0">
      <w:start w:val="2"/>
      <w:numFmt w:val="decimal"/>
      <w:suff w:val="nothing"/>
      <w:lvlText w:val="%1、"/>
      <w:lvlJc w:val="left"/>
    </w:lvl>
  </w:abstractNum>
  <w:abstractNum w:abstractNumId="6">
    <w:nsid w:val="72498D52"/>
    <w:multiLevelType w:val="singleLevel"/>
    <w:tmpl w:val="72498D52"/>
    <w:lvl w:ilvl="0" w:tentative="0">
      <w:start w:val="1"/>
      <w:numFmt w:val="chineseCounting"/>
      <w:suff w:val="nothing"/>
      <w:lvlText w:val="%1、"/>
      <w:lvlJc w:val="left"/>
      <w:rPr>
        <w:rFonts w:hint="eastAsia"/>
      </w:rPr>
    </w:lvl>
  </w:abstractNum>
  <w:num w:numId="1">
    <w:abstractNumId w:val="2"/>
  </w:num>
  <w:num w:numId="2">
    <w:abstractNumId w:val="3"/>
  </w:num>
  <w:num w:numId="3">
    <w:abstractNumId w:val="6"/>
  </w:num>
  <w:num w:numId="4">
    <w:abstractNumId w:val="4"/>
  </w:num>
  <w:num w:numId="5">
    <w:abstractNumId w:val="0"/>
  </w:num>
  <w:num w:numId="6">
    <w:abstractNumId w:val="1"/>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得力科技">
    <w15:presenceInfo w15:providerId="None" w15:userId="得力科技"/>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trackRevisions w:val="1"/>
  <w:documentProtection w:edit="trackedChanges" w:enforcement="1" w:cryptProviderType="rsaFull" w:cryptAlgorithmClass="hash" w:cryptAlgorithmType="typeAny" w:cryptAlgorithmSid="4" w:cryptSpinCount="0" w:hash="P28IGXg6/YU10jm1+kkGkNlDi9o=" w:salt="qkwV4ueahsS1d/PcBFMtAA=="/>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963C5"/>
    <w:rsid w:val="00031121"/>
    <w:rsid w:val="000B1429"/>
    <w:rsid w:val="00174297"/>
    <w:rsid w:val="00195470"/>
    <w:rsid w:val="001B7466"/>
    <w:rsid w:val="00274C59"/>
    <w:rsid w:val="00275B6E"/>
    <w:rsid w:val="002B6404"/>
    <w:rsid w:val="002C60C4"/>
    <w:rsid w:val="00332D99"/>
    <w:rsid w:val="00347866"/>
    <w:rsid w:val="003848CF"/>
    <w:rsid w:val="00456779"/>
    <w:rsid w:val="0049389E"/>
    <w:rsid w:val="004E5A0F"/>
    <w:rsid w:val="0059496F"/>
    <w:rsid w:val="007155D3"/>
    <w:rsid w:val="007E325F"/>
    <w:rsid w:val="008114FE"/>
    <w:rsid w:val="00864078"/>
    <w:rsid w:val="008C79F3"/>
    <w:rsid w:val="008F3015"/>
    <w:rsid w:val="00903187"/>
    <w:rsid w:val="00961027"/>
    <w:rsid w:val="00994628"/>
    <w:rsid w:val="009B6A11"/>
    <w:rsid w:val="009E7184"/>
    <w:rsid w:val="009F3FD4"/>
    <w:rsid w:val="00A12844"/>
    <w:rsid w:val="00A4646B"/>
    <w:rsid w:val="00A72883"/>
    <w:rsid w:val="00B56A09"/>
    <w:rsid w:val="00B61751"/>
    <w:rsid w:val="00BB2F63"/>
    <w:rsid w:val="00BE77F2"/>
    <w:rsid w:val="00C85820"/>
    <w:rsid w:val="00C963C5"/>
    <w:rsid w:val="00CA54B4"/>
    <w:rsid w:val="00D009D6"/>
    <w:rsid w:val="00D0227B"/>
    <w:rsid w:val="00D2215E"/>
    <w:rsid w:val="00D32012"/>
    <w:rsid w:val="00D72B19"/>
    <w:rsid w:val="00DC7658"/>
    <w:rsid w:val="00E60E13"/>
    <w:rsid w:val="00E776BB"/>
    <w:rsid w:val="00F50204"/>
    <w:rsid w:val="01BF4614"/>
    <w:rsid w:val="02345FA1"/>
    <w:rsid w:val="025925B6"/>
    <w:rsid w:val="02C55752"/>
    <w:rsid w:val="031217A2"/>
    <w:rsid w:val="039F3D9C"/>
    <w:rsid w:val="04574AE2"/>
    <w:rsid w:val="047D44E4"/>
    <w:rsid w:val="05107100"/>
    <w:rsid w:val="05301608"/>
    <w:rsid w:val="056811D2"/>
    <w:rsid w:val="08AE6180"/>
    <w:rsid w:val="095302C0"/>
    <w:rsid w:val="0A026E23"/>
    <w:rsid w:val="0AA00BD7"/>
    <w:rsid w:val="0B8D21ED"/>
    <w:rsid w:val="0BB71218"/>
    <w:rsid w:val="0CAB5F0B"/>
    <w:rsid w:val="0D232291"/>
    <w:rsid w:val="0F6D2CDF"/>
    <w:rsid w:val="0F716D39"/>
    <w:rsid w:val="116714D4"/>
    <w:rsid w:val="14BC4BC3"/>
    <w:rsid w:val="153A4F32"/>
    <w:rsid w:val="185327A6"/>
    <w:rsid w:val="1A4E7F4E"/>
    <w:rsid w:val="1AAD3C89"/>
    <w:rsid w:val="1ABA3814"/>
    <w:rsid w:val="1B0E587B"/>
    <w:rsid w:val="1D87331F"/>
    <w:rsid w:val="1ECA1519"/>
    <w:rsid w:val="1F9226F8"/>
    <w:rsid w:val="206E4688"/>
    <w:rsid w:val="24EE447F"/>
    <w:rsid w:val="25F035EF"/>
    <w:rsid w:val="26024838"/>
    <w:rsid w:val="2A1D149A"/>
    <w:rsid w:val="2A300B83"/>
    <w:rsid w:val="2C1B0F06"/>
    <w:rsid w:val="2F7B3E80"/>
    <w:rsid w:val="2F9B50AB"/>
    <w:rsid w:val="30B628F8"/>
    <w:rsid w:val="321B2044"/>
    <w:rsid w:val="338A3D83"/>
    <w:rsid w:val="35304138"/>
    <w:rsid w:val="359D360C"/>
    <w:rsid w:val="37B02A59"/>
    <w:rsid w:val="382A4D1F"/>
    <w:rsid w:val="38900EC9"/>
    <w:rsid w:val="38B742FA"/>
    <w:rsid w:val="3B4660B2"/>
    <w:rsid w:val="3C13123E"/>
    <w:rsid w:val="3C1F6519"/>
    <w:rsid w:val="3D034246"/>
    <w:rsid w:val="3E0844C2"/>
    <w:rsid w:val="3F913B78"/>
    <w:rsid w:val="42BE5B65"/>
    <w:rsid w:val="42FB72AA"/>
    <w:rsid w:val="4369479E"/>
    <w:rsid w:val="45AD38E4"/>
    <w:rsid w:val="46BA124C"/>
    <w:rsid w:val="473363F2"/>
    <w:rsid w:val="47420E8A"/>
    <w:rsid w:val="47B014D7"/>
    <w:rsid w:val="4905403E"/>
    <w:rsid w:val="4C627A59"/>
    <w:rsid w:val="4DBD305B"/>
    <w:rsid w:val="4FFB54BD"/>
    <w:rsid w:val="54D2437A"/>
    <w:rsid w:val="54E25890"/>
    <w:rsid w:val="56205156"/>
    <w:rsid w:val="56B40027"/>
    <w:rsid w:val="591405AB"/>
    <w:rsid w:val="5930613D"/>
    <w:rsid w:val="5BDC17B4"/>
    <w:rsid w:val="5BEE780C"/>
    <w:rsid w:val="642D5A14"/>
    <w:rsid w:val="64933096"/>
    <w:rsid w:val="65387171"/>
    <w:rsid w:val="66092573"/>
    <w:rsid w:val="66414040"/>
    <w:rsid w:val="694917AC"/>
    <w:rsid w:val="69FB58D5"/>
    <w:rsid w:val="6BD82B29"/>
    <w:rsid w:val="6CC72E45"/>
    <w:rsid w:val="6EC61B1E"/>
    <w:rsid w:val="714B2CDF"/>
    <w:rsid w:val="731E487F"/>
    <w:rsid w:val="73BE6F7A"/>
    <w:rsid w:val="758137F7"/>
    <w:rsid w:val="75A03265"/>
    <w:rsid w:val="77466135"/>
    <w:rsid w:val="77627BE4"/>
    <w:rsid w:val="7A84680A"/>
    <w:rsid w:val="7D503DC4"/>
    <w:rsid w:val="7D672A1D"/>
    <w:rsid w:val="7DCB1E6F"/>
    <w:rsid w:val="7E3946BF"/>
    <w:rsid w:val="DDBE2368"/>
    <w:rsid w:val="F7BF91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iPriority="99" w:semiHidden="0"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qFormat="1" w:unhideWhenUsed="0" w:uiPriority="39" w:semiHidden="0"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qFormat="1" w:unhideWhenUsed="0" w:uiPriority="99" w:semiHidden="0"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56"/>
    <w:qFormat/>
    <w:uiPriority w:val="0"/>
    <w:pPr>
      <w:keepNext/>
      <w:keepLines/>
      <w:spacing w:before="340" w:after="330" w:line="578" w:lineRule="auto"/>
      <w:outlineLvl w:val="0"/>
    </w:pPr>
    <w:rPr>
      <w:rFonts w:ascii="Calibri" w:hAnsi="Calibri" w:eastAsia="宋体" w:cs="Times New Roman"/>
      <w:b/>
      <w:bCs/>
      <w:kern w:val="44"/>
      <w:sz w:val="44"/>
      <w:szCs w:val="44"/>
    </w:rPr>
  </w:style>
  <w:style w:type="paragraph" w:styleId="6">
    <w:name w:val="heading 2"/>
    <w:basedOn w:val="1"/>
    <w:next w:val="1"/>
    <w:link w:val="57"/>
    <w:qFormat/>
    <w:uiPriority w:val="0"/>
    <w:pPr>
      <w:keepNext/>
      <w:keepLines/>
      <w:spacing w:before="100" w:beforeAutospacing="1" w:after="100" w:afterAutospacing="1" w:line="240" w:lineRule="atLeast"/>
      <w:ind w:left="851" w:hanging="284"/>
      <w:textAlignment w:val="baseline"/>
      <w:outlineLvl w:val="1"/>
    </w:pPr>
    <w:rPr>
      <w:rFonts w:ascii="黑体" w:hAnsi="Arial" w:eastAsia="黑体" w:cs="Times New Roman"/>
      <w:kern w:val="0"/>
      <w:sz w:val="28"/>
      <w:szCs w:val="28"/>
    </w:rPr>
  </w:style>
  <w:style w:type="paragraph" w:styleId="7">
    <w:name w:val="heading 3"/>
    <w:basedOn w:val="1"/>
    <w:next w:val="8"/>
    <w:link w:val="58"/>
    <w:qFormat/>
    <w:uiPriority w:val="0"/>
    <w:pPr>
      <w:keepNext/>
      <w:keepLines/>
      <w:spacing w:before="260" w:after="260" w:line="408" w:lineRule="auto"/>
      <w:outlineLvl w:val="2"/>
    </w:pPr>
    <w:rPr>
      <w:rFonts w:ascii="Times New Roman" w:hAnsi="Times New Roman" w:eastAsia="宋体" w:cs="Times New Roman"/>
      <w:b/>
      <w:bCs/>
      <w:kern w:val="0"/>
      <w:sz w:val="32"/>
      <w:szCs w:val="32"/>
    </w:rPr>
  </w:style>
  <w:style w:type="paragraph" w:styleId="9">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Indent"/>
    <w:basedOn w:val="1"/>
    <w:next w:val="3"/>
    <w:link w:val="66"/>
    <w:unhideWhenUsed/>
    <w:qFormat/>
    <w:uiPriority w:val="0"/>
    <w:pPr>
      <w:spacing w:after="120"/>
      <w:ind w:left="420" w:leftChars="200"/>
    </w:pPr>
    <w:rPr>
      <w:rFonts w:ascii="Times New Roman" w:hAnsi="Times New Roman" w:eastAsia="宋体" w:cs="Times New Roman"/>
    </w:rPr>
  </w:style>
  <w:style w:type="paragraph" w:styleId="3">
    <w:name w:val="Body Text 3"/>
    <w:basedOn w:val="1"/>
    <w:next w:val="4"/>
    <w:qFormat/>
    <w:uiPriority w:val="0"/>
    <w:pPr>
      <w:ind w:firstLine="964" w:firstLineChars="200"/>
    </w:pPr>
    <w:rPr>
      <w:sz w:val="24"/>
      <w:szCs w:val="20"/>
    </w:rPr>
  </w:style>
  <w:style w:type="paragraph" w:styleId="4">
    <w:name w:val="toc 8"/>
    <w:basedOn w:val="1"/>
    <w:next w:val="1"/>
    <w:qFormat/>
    <w:uiPriority w:val="39"/>
    <w:pPr>
      <w:spacing w:line="360" w:lineRule="auto"/>
      <w:ind w:left="2940" w:leftChars="1400" w:firstLine="480" w:firstLineChars="200"/>
    </w:pPr>
    <w:rPr>
      <w:rFonts w:ascii="宋体" w:hAnsi="Times New Roman" w:eastAsia="宋体"/>
      <w:sz w:val="28"/>
      <w:szCs w:val="24"/>
    </w:rPr>
  </w:style>
  <w:style w:type="paragraph" w:styleId="8">
    <w:name w:val="Normal Indent"/>
    <w:basedOn w:val="1"/>
    <w:qFormat/>
    <w:uiPriority w:val="0"/>
    <w:pPr>
      <w:ind w:firstLine="420"/>
    </w:pPr>
    <w:rPr>
      <w:rFonts w:ascii="Calibri" w:hAnsi="Calibri" w:eastAsia="宋体" w:cs="Times New Roman"/>
      <w:sz w:val="28"/>
      <w:szCs w:val="28"/>
    </w:rPr>
  </w:style>
  <w:style w:type="paragraph" w:styleId="10">
    <w:name w:val="Document Map"/>
    <w:basedOn w:val="1"/>
    <w:link w:val="60"/>
    <w:qFormat/>
    <w:uiPriority w:val="0"/>
    <w:rPr>
      <w:rFonts w:ascii="宋体" w:hAnsi="Times New Roman" w:eastAsia="宋体" w:cs="Times New Roman"/>
      <w:kern w:val="0"/>
      <w:sz w:val="18"/>
      <w:szCs w:val="18"/>
    </w:rPr>
  </w:style>
  <w:style w:type="paragraph" w:styleId="11">
    <w:name w:val="toa heading"/>
    <w:basedOn w:val="1"/>
    <w:next w:val="1"/>
    <w:unhideWhenUsed/>
    <w:qFormat/>
    <w:uiPriority w:val="99"/>
    <w:rPr>
      <w:rFonts w:ascii="Cambria" w:hAnsi="Cambria" w:eastAsia="微软雅黑" w:cs="Arial"/>
      <w:szCs w:val="21"/>
    </w:rPr>
  </w:style>
  <w:style w:type="paragraph" w:styleId="12">
    <w:name w:val="annotation text"/>
    <w:basedOn w:val="1"/>
    <w:link w:val="61"/>
    <w:qFormat/>
    <w:uiPriority w:val="0"/>
    <w:pPr>
      <w:jc w:val="left"/>
    </w:pPr>
    <w:rPr>
      <w:rFonts w:ascii="Calibri" w:hAnsi="Calibri" w:eastAsia="宋体" w:cs="Times New Roman"/>
      <w:kern w:val="0"/>
      <w:sz w:val="20"/>
      <w:szCs w:val="20"/>
    </w:rPr>
  </w:style>
  <w:style w:type="paragraph" w:styleId="13">
    <w:name w:val="Body Text"/>
    <w:basedOn w:val="1"/>
    <w:next w:val="14"/>
    <w:link w:val="63"/>
    <w:qFormat/>
    <w:uiPriority w:val="0"/>
    <w:pPr>
      <w:spacing w:after="120"/>
    </w:pPr>
    <w:rPr>
      <w:rFonts w:ascii="Times New Roman" w:hAnsi="Times New Roman" w:eastAsia="宋体" w:cs="Times New Roman"/>
      <w:kern w:val="0"/>
      <w:sz w:val="20"/>
      <w:szCs w:val="21"/>
    </w:rPr>
  </w:style>
  <w:style w:type="paragraph" w:styleId="14">
    <w:name w:val="Body Text 2"/>
    <w:basedOn w:val="1"/>
    <w:next w:val="15"/>
    <w:link w:val="73"/>
    <w:qFormat/>
    <w:uiPriority w:val="0"/>
    <w:rPr>
      <w:rFonts w:ascii="宋体" w:hAnsi="宋体" w:eastAsia="宋体" w:cs="Arial"/>
      <w:b/>
      <w:kern w:val="0"/>
      <w:sz w:val="28"/>
      <w:szCs w:val="20"/>
    </w:rPr>
  </w:style>
  <w:style w:type="paragraph" w:styleId="15">
    <w:name w:val="Plain Text"/>
    <w:basedOn w:val="1"/>
    <w:next w:val="13"/>
    <w:link w:val="67"/>
    <w:qFormat/>
    <w:uiPriority w:val="0"/>
    <w:pPr>
      <w:adjustRightInd w:val="0"/>
      <w:textAlignment w:val="baseline"/>
    </w:pPr>
    <w:rPr>
      <w:rFonts w:ascii="宋体" w:hAnsi="Courier New" w:eastAsia="宋体" w:cs="Times New Roman"/>
      <w:kern w:val="0"/>
      <w:sz w:val="20"/>
      <w:szCs w:val="20"/>
    </w:rPr>
  </w:style>
  <w:style w:type="paragraph" w:styleId="16">
    <w:name w:val="List 2"/>
    <w:basedOn w:val="1"/>
    <w:unhideWhenUsed/>
    <w:qFormat/>
    <w:uiPriority w:val="99"/>
    <w:pPr>
      <w:ind w:left="100" w:leftChars="200" w:hanging="200" w:hangingChars="200"/>
    </w:pPr>
  </w:style>
  <w:style w:type="paragraph" w:styleId="17">
    <w:name w:val="Date"/>
    <w:basedOn w:val="1"/>
    <w:next w:val="1"/>
    <w:link w:val="69"/>
    <w:qFormat/>
    <w:uiPriority w:val="0"/>
    <w:rPr>
      <w:rFonts w:ascii="宋体" w:hAnsi="宋体" w:eastAsia="宋体" w:cs="Times New Roman"/>
      <w:kern w:val="0"/>
      <w:sz w:val="32"/>
      <w:szCs w:val="32"/>
    </w:rPr>
  </w:style>
  <w:style w:type="paragraph" w:styleId="18">
    <w:name w:val="Body Text Indent 2"/>
    <w:basedOn w:val="1"/>
    <w:link w:val="70"/>
    <w:qFormat/>
    <w:uiPriority w:val="0"/>
    <w:pPr>
      <w:spacing w:after="120" w:line="480" w:lineRule="auto"/>
      <w:ind w:left="420" w:leftChars="200"/>
    </w:pPr>
    <w:rPr>
      <w:rFonts w:ascii="Times New Roman" w:hAnsi="Times New Roman" w:eastAsia="宋体" w:cs="Times New Roman"/>
      <w:kern w:val="0"/>
      <w:sz w:val="20"/>
      <w:szCs w:val="21"/>
    </w:rPr>
  </w:style>
  <w:style w:type="paragraph" w:styleId="19">
    <w:name w:val="Balloon Text"/>
    <w:basedOn w:val="1"/>
    <w:link w:val="72"/>
    <w:qFormat/>
    <w:uiPriority w:val="0"/>
    <w:rPr>
      <w:rFonts w:ascii="Times New Roman" w:hAnsi="Times New Roman" w:eastAsia="宋体" w:cs="Times New Roman"/>
      <w:kern w:val="0"/>
      <w:sz w:val="18"/>
      <w:szCs w:val="18"/>
    </w:rPr>
  </w:style>
  <w:style w:type="paragraph" w:styleId="20">
    <w:name w:val="footer"/>
    <w:basedOn w:val="1"/>
    <w:link w:val="55"/>
    <w:unhideWhenUsed/>
    <w:qFormat/>
    <w:uiPriority w:val="0"/>
    <w:pPr>
      <w:tabs>
        <w:tab w:val="center" w:pos="4153"/>
        <w:tab w:val="right" w:pos="8306"/>
      </w:tabs>
      <w:snapToGrid w:val="0"/>
      <w:jc w:val="left"/>
    </w:pPr>
    <w:rPr>
      <w:sz w:val="18"/>
      <w:szCs w:val="18"/>
    </w:rPr>
  </w:style>
  <w:style w:type="paragraph" w:styleId="21">
    <w:name w:val="envelope return"/>
    <w:basedOn w:val="1"/>
    <w:unhideWhenUsed/>
    <w:qFormat/>
    <w:uiPriority w:val="99"/>
    <w:pPr>
      <w:snapToGrid w:val="0"/>
    </w:pPr>
    <w:rPr>
      <w:rFonts w:ascii="Arial" w:hAnsi="Arial" w:cs="Arial"/>
    </w:rPr>
  </w:style>
  <w:style w:type="paragraph" w:styleId="22">
    <w:name w:val="header"/>
    <w:basedOn w:val="1"/>
    <w:link w:val="54"/>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List"/>
    <w:basedOn w:val="1"/>
    <w:qFormat/>
    <w:uiPriority w:val="99"/>
    <w:pPr>
      <w:ind w:left="420" w:hanging="420"/>
    </w:pPr>
    <w:rPr>
      <w:rFonts w:ascii="Arial" w:hAnsi="Arial" w:eastAsia="楷体_GB2312"/>
      <w:kern w:val="2"/>
      <w:sz w:val="28"/>
    </w:rPr>
  </w:style>
  <w:style w:type="paragraph" w:styleId="24">
    <w:name w:val="Body Text Indent 3"/>
    <w:basedOn w:val="1"/>
    <w:qFormat/>
    <w:uiPriority w:val="0"/>
    <w:pPr>
      <w:spacing w:after="120"/>
      <w:ind w:left="420" w:leftChars="200"/>
    </w:pPr>
    <w:rPr>
      <w:sz w:val="16"/>
      <w:szCs w:val="16"/>
    </w:rPr>
  </w:style>
  <w:style w:type="paragraph" w:styleId="25">
    <w:name w:val="index 7"/>
    <w:basedOn w:val="1"/>
    <w:next w:val="1"/>
    <w:unhideWhenUsed/>
    <w:qFormat/>
    <w:uiPriority w:val="99"/>
    <w:pPr>
      <w:ind w:left="1200" w:leftChars="1200"/>
    </w:pPr>
  </w:style>
  <w:style w:type="paragraph" w:styleId="26">
    <w:name w:val="toc 2"/>
    <w:basedOn w:val="1"/>
    <w:next w:val="1"/>
    <w:unhideWhenUsed/>
    <w:qFormat/>
    <w:uiPriority w:val="39"/>
    <w:pPr>
      <w:adjustRightInd w:val="0"/>
      <w:snapToGrid w:val="0"/>
      <w:spacing w:line="400" w:lineRule="exact"/>
      <w:ind w:left="200" w:leftChars="200"/>
      <w:jc w:val="left"/>
    </w:pPr>
    <w:rPr>
      <w:rFonts w:eastAsia="仿宋_GB2312"/>
      <w:smallCaps/>
    </w:rPr>
  </w:style>
  <w:style w:type="paragraph" w:styleId="27">
    <w:name w:val="Message Header"/>
    <w:basedOn w:val="1"/>
    <w:next w:val="28"/>
    <w:link w:val="74"/>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Cs w:val="21"/>
    </w:rPr>
  </w:style>
  <w:style w:type="paragraph" w:customStyle="1" w:styleId="28">
    <w:name w:val="我的正文"/>
    <w:basedOn w:val="2"/>
    <w:qFormat/>
    <w:uiPriority w:val="0"/>
    <w:pPr>
      <w:ind w:firstLine="480" w:firstLineChars="200"/>
    </w:pPr>
    <w:rPr>
      <w:szCs w:val="20"/>
    </w:rPr>
  </w:style>
  <w:style w:type="paragraph" w:styleId="29">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30">
    <w:name w:val="Title"/>
    <w:basedOn w:val="31"/>
    <w:next w:val="1"/>
    <w:qFormat/>
    <w:uiPriority w:val="10"/>
    <w:pPr>
      <w:ind w:firstLine="0" w:firstLineChars="0"/>
      <w:jc w:val="center"/>
    </w:pPr>
    <w:rPr>
      <w:b/>
      <w:bCs/>
    </w:rPr>
  </w:style>
  <w:style w:type="paragraph" w:styleId="31">
    <w:name w:val="No Spacing"/>
    <w:basedOn w:val="1"/>
    <w:qFormat/>
    <w:uiPriority w:val="0"/>
    <w:pPr>
      <w:widowControl w:val="0"/>
      <w:jc w:val="both"/>
    </w:pPr>
    <w:rPr>
      <w:rFonts w:ascii="Times New Roman" w:hAnsi="Times New Roman" w:eastAsia="宋体" w:cs="Arial"/>
      <w:kern w:val="2"/>
      <w:sz w:val="21"/>
      <w:szCs w:val="22"/>
      <w:lang w:val="en-US" w:eastAsia="zh-CN" w:bidi="ar-SA"/>
    </w:rPr>
  </w:style>
  <w:style w:type="paragraph" w:styleId="32">
    <w:name w:val="annotation subject"/>
    <w:basedOn w:val="12"/>
    <w:next w:val="12"/>
    <w:link w:val="75"/>
    <w:qFormat/>
    <w:uiPriority w:val="0"/>
    <w:rPr>
      <w:b/>
      <w:bCs/>
    </w:rPr>
  </w:style>
  <w:style w:type="paragraph" w:styleId="33">
    <w:name w:val="Body Text First Indent"/>
    <w:basedOn w:val="13"/>
    <w:next w:val="34"/>
    <w:link w:val="64"/>
    <w:qFormat/>
    <w:uiPriority w:val="0"/>
    <w:pPr>
      <w:ind w:firstLine="420" w:firstLineChars="100"/>
    </w:pPr>
    <w:rPr>
      <w:rFonts w:ascii="Calibri" w:hAnsi="Calibri"/>
      <w:szCs w:val="20"/>
    </w:rPr>
  </w:style>
  <w:style w:type="paragraph" w:styleId="34">
    <w:name w:val="Body Text First Indent 2"/>
    <w:basedOn w:val="2"/>
    <w:next w:val="33"/>
    <w:link w:val="76"/>
    <w:qFormat/>
    <w:uiPriority w:val="0"/>
    <w:pPr>
      <w:ind w:firstLine="420" w:firstLineChars="200"/>
    </w:pPr>
    <w:rPr>
      <w:rFonts w:ascii="Calibri" w:hAnsi="Calibri"/>
      <w:kern w:val="0"/>
      <w:sz w:val="20"/>
      <w:szCs w:val="20"/>
    </w:rPr>
  </w:style>
  <w:style w:type="table" w:styleId="36">
    <w:name w:val="Table Grid"/>
    <w:basedOn w:val="35"/>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8">
    <w:name w:val="Strong"/>
    <w:basedOn w:val="37"/>
    <w:qFormat/>
    <w:uiPriority w:val="0"/>
    <w:rPr>
      <w:rFonts w:ascii="Calibri" w:hAnsi="Calibri" w:eastAsia="宋体" w:cs="Times New Roman"/>
      <w:b/>
      <w:bCs/>
    </w:rPr>
  </w:style>
  <w:style w:type="character" w:styleId="39">
    <w:name w:val="FollowedHyperlink"/>
    <w:basedOn w:val="37"/>
    <w:unhideWhenUsed/>
    <w:qFormat/>
    <w:uiPriority w:val="99"/>
    <w:rPr>
      <w:color w:val="800080"/>
      <w:u w:val="none"/>
    </w:rPr>
  </w:style>
  <w:style w:type="character" w:styleId="40">
    <w:name w:val="Emphasis"/>
    <w:qFormat/>
    <w:uiPriority w:val="0"/>
    <w:rPr>
      <w:rFonts w:ascii="Calibri" w:hAnsi="Calibri" w:eastAsia="宋体" w:cs="Times New Roman"/>
      <w:b/>
    </w:rPr>
  </w:style>
  <w:style w:type="character" w:styleId="41">
    <w:name w:val="HTML Definition"/>
    <w:qFormat/>
    <w:uiPriority w:val="0"/>
    <w:rPr>
      <w:rFonts w:ascii="Calibri" w:hAnsi="Calibri" w:eastAsia="宋体" w:cs="Times New Roman"/>
    </w:rPr>
  </w:style>
  <w:style w:type="character" w:styleId="42">
    <w:name w:val="HTML Typewriter"/>
    <w:qFormat/>
    <w:uiPriority w:val="0"/>
    <w:rPr>
      <w:rFonts w:hint="default" w:ascii="monospace" w:hAnsi="monospace" w:eastAsia="monospace" w:cs="monospace"/>
      <w:sz w:val="20"/>
    </w:rPr>
  </w:style>
  <w:style w:type="character" w:styleId="43">
    <w:name w:val="HTML Acronym"/>
    <w:qFormat/>
    <w:uiPriority w:val="0"/>
    <w:rPr>
      <w:rFonts w:ascii="Calibri" w:hAnsi="Calibri" w:eastAsia="宋体" w:cs="Times New Roman"/>
    </w:rPr>
  </w:style>
  <w:style w:type="character" w:styleId="44">
    <w:name w:val="HTML Variable"/>
    <w:qFormat/>
    <w:uiPriority w:val="0"/>
    <w:rPr>
      <w:rFonts w:ascii="Calibri" w:hAnsi="Calibri" w:eastAsia="宋体" w:cs="Times New Roman"/>
    </w:rPr>
  </w:style>
  <w:style w:type="character" w:styleId="45">
    <w:name w:val="Hyperlink"/>
    <w:qFormat/>
    <w:uiPriority w:val="0"/>
    <w:rPr>
      <w:rFonts w:ascii="Calibri" w:hAnsi="Calibri" w:eastAsia="宋体" w:cs="Times New Roman"/>
      <w:color w:val="0000FF"/>
      <w:u w:val="single"/>
    </w:rPr>
  </w:style>
  <w:style w:type="character" w:styleId="46">
    <w:name w:val="HTML Code"/>
    <w:qFormat/>
    <w:uiPriority w:val="0"/>
    <w:rPr>
      <w:rFonts w:ascii="monospace" w:hAnsi="monospace" w:eastAsia="monospace" w:cs="monospace"/>
      <w:sz w:val="20"/>
    </w:rPr>
  </w:style>
  <w:style w:type="character" w:styleId="47">
    <w:name w:val="annotation reference"/>
    <w:qFormat/>
    <w:uiPriority w:val="0"/>
    <w:rPr>
      <w:rFonts w:ascii="Calibri" w:hAnsi="Calibri" w:eastAsia="宋体" w:cs="Times New Roman"/>
      <w:sz w:val="21"/>
      <w:szCs w:val="21"/>
    </w:rPr>
  </w:style>
  <w:style w:type="character" w:styleId="48">
    <w:name w:val="HTML Cite"/>
    <w:qFormat/>
    <w:uiPriority w:val="0"/>
    <w:rPr>
      <w:rFonts w:ascii="Calibri" w:hAnsi="Calibri" w:eastAsia="宋体" w:cs="Times New Roman"/>
    </w:rPr>
  </w:style>
  <w:style w:type="character" w:styleId="49">
    <w:name w:val="HTML Keyboard"/>
    <w:qFormat/>
    <w:uiPriority w:val="0"/>
    <w:rPr>
      <w:rFonts w:hint="default" w:ascii="monospace" w:hAnsi="monospace" w:eastAsia="monospace" w:cs="monospace"/>
      <w:color w:val="FFFFFF"/>
      <w:sz w:val="20"/>
      <w:shd w:val="clear" w:color="auto" w:fill="76C0E3"/>
    </w:rPr>
  </w:style>
  <w:style w:type="character" w:styleId="50">
    <w:name w:val="HTML Sample"/>
    <w:qFormat/>
    <w:uiPriority w:val="0"/>
    <w:rPr>
      <w:rFonts w:hint="default" w:ascii="monospace" w:hAnsi="monospace" w:eastAsia="monospace" w:cs="monospace"/>
    </w:rPr>
  </w:style>
  <w:style w:type="paragraph" w:customStyle="1" w:styleId="51">
    <w:name w:val="Heading2"/>
    <w:basedOn w:val="1"/>
    <w:next w:val="1"/>
    <w:qFormat/>
    <w:uiPriority w:val="0"/>
    <w:pPr>
      <w:keepNext/>
      <w:keepLines/>
      <w:numPr>
        <w:ilvl w:val="1"/>
        <w:numId w:val="1"/>
      </w:numPr>
      <w:spacing w:before="260" w:after="260" w:line="415" w:lineRule="auto"/>
    </w:pPr>
    <w:rPr>
      <w:rFonts w:ascii="Arial" w:hAnsi="Arial" w:eastAsia="黑体"/>
      <w:b/>
      <w:bCs/>
      <w:kern w:val="2"/>
      <w:sz w:val="32"/>
      <w:szCs w:val="32"/>
    </w:rPr>
  </w:style>
  <w:style w:type="paragraph" w:customStyle="1" w:styleId="52">
    <w:name w:val="Default"/>
    <w:basedOn w:val="15"/>
    <w:next w:val="53"/>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53">
    <w:name w:val="正文 A"/>
    <w:next w:val="52"/>
    <w:qFormat/>
    <w:uiPriority w:val="0"/>
    <w:pPr>
      <w:keepNext w:val="0"/>
      <w:keepLines w:val="0"/>
      <w:pageBreakBefore w:val="0"/>
      <w:framePr w:wrap="around" w:vAnchor="margin" w:hAnchor="text" w:yAlign="top"/>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Calibri" w:hAnsi="Calibri" w:eastAsia="Arial Unicode MS" w:cs="Arial Unicode MS"/>
      <w:color w:val="000000"/>
      <w:spacing w:val="0"/>
      <w:w w:val="100"/>
      <w:kern w:val="2"/>
      <w:position w:val="0"/>
      <w:sz w:val="21"/>
      <w:szCs w:val="21"/>
      <w:u w:val="none" w:color="000000"/>
      <w:shd w:val="clear" w:color="auto" w:fill="auto"/>
      <w:vertAlign w:val="baseline"/>
      <w:lang w:val="en-US"/>
    </w:rPr>
  </w:style>
  <w:style w:type="character" w:customStyle="1" w:styleId="54">
    <w:name w:val="页眉 Char"/>
    <w:basedOn w:val="37"/>
    <w:link w:val="22"/>
    <w:qFormat/>
    <w:uiPriority w:val="0"/>
    <w:rPr>
      <w:sz w:val="18"/>
      <w:szCs w:val="18"/>
    </w:rPr>
  </w:style>
  <w:style w:type="character" w:customStyle="1" w:styleId="55">
    <w:name w:val="页脚 Char"/>
    <w:basedOn w:val="37"/>
    <w:link w:val="20"/>
    <w:qFormat/>
    <w:uiPriority w:val="0"/>
    <w:rPr>
      <w:sz w:val="18"/>
      <w:szCs w:val="18"/>
    </w:rPr>
  </w:style>
  <w:style w:type="character" w:customStyle="1" w:styleId="56">
    <w:name w:val="标题 1 Char"/>
    <w:basedOn w:val="37"/>
    <w:link w:val="5"/>
    <w:qFormat/>
    <w:uiPriority w:val="0"/>
    <w:rPr>
      <w:rFonts w:ascii="Calibri" w:hAnsi="Calibri" w:eastAsia="宋体" w:cs="Times New Roman"/>
      <w:b/>
      <w:bCs/>
      <w:kern w:val="44"/>
      <w:sz w:val="44"/>
      <w:szCs w:val="44"/>
    </w:rPr>
  </w:style>
  <w:style w:type="character" w:customStyle="1" w:styleId="57">
    <w:name w:val="标题 2 Char"/>
    <w:basedOn w:val="37"/>
    <w:link w:val="6"/>
    <w:qFormat/>
    <w:uiPriority w:val="0"/>
    <w:rPr>
      <w:rFonts w:ascii="黑体" w:hAnsi="Arial" w:eastAsia="黑体" w:cs="Times New Roman"/>
      <w:kern w:val="0"/>
      <w:sz w:val="28"/>
      <w:szCs w:val="28"/>
    </w:rPr>
  </w:style>
  <w:style w:type="character" w:customStyle="1" w:styleId="58">
    <w:name w:val="标题 3 Char"/>
    <w:basedOn w:val="37"/>
    <w:link w:val="7"/>
    <w:qFormat/>
    <w:uiPriority w:val="0"/>
    <w:rPr>
      <w:rFonts w:ascii="Times New Roman" w:hAnsi="Times New Roman" w:eastAsia="宋体" w:cs="Times New Roman"/>
      <w:b/>
      <w:bCs/>
      <w:kern w:val="0"/>
      <w:sz w:val="32"/>
      <w:szCs w:val="32"/>
    </w:rPr>
  </w:style>
  <w:style w:type="character" w:customStyle="1" w:styleId="59">
    <w:name w:val="文档结构图 Char"/>
    <w:basedOn w:val="37"/>
    <w:link w:val="10"/>
    <w:qFormat/>
    <w:uiPriority w:val="0"/>
    <w:rPr>
      <w:rFonts w:ascii="宋体" w:eastAsia="宋体"/>
      <w:sz w:val="18"/>
      <w:szCs w:val="18"/>
    </w:rPr>
  </w:style>
  <w:style w:type="character" w:customStyle="1" w:styleId="60">
    <w:name w:val="文档结构图 Char1"/>
    <w:link w:val="10"/>
    <w:qFormat/>
    <w:uiPriority w:val="0"/>
    <w:rPr>
      <w:rFonts w:ascii="宋体" w:hAnsi="Times New Roman" w:eastAsia="宋体" w:cs="Times New Roman"/>
      <w:kern w:val="0"/>
      <w:sz w:val="18"/>
      <w:szCs w:val="18"/>
    </w:rPr>
  </w:style>
  <w:style w:type="character" w:customStyle="1" w:styleId="61">
    <w:name w:val="批注文字 Char"/>
    <w:basedOn w:val="37"/>
    <w:link w:val="12"/>
    <w:qFormat/>
    <w:uiPriority w:val="0"/>
    <w:rPr>
      <w:rFonts w:ascii="Calibri" w:hAnsi="Calibri" w:eastAsia="宋体" w:cs="Times New Roman"/>
      <w:kern w:val="0"/>
      <w:sz w:val="20"/>
      <w:szCs w:val="20"/>
    </w:rPr>
  </w:style>
  <w:style w:type="character" w:customStyle="1" w:styleId="62">
    <w:name w:val="正文文本 Char"/>
    <w:basedOn w:val="37"/>
    <w:link w:val="13"/>
    <w:qFormat/>
    <w:uiPriority w:val="0"/>
  </w:style>
  <w:style w:type="character" w:customStyle="1" w:styleId="63">
    <w:name w:val="正文文本 Char2"/>
    <w:link w:val="13"/>
    <w:qFormat/>
    <w:uiPriority w:val="0"/>
    <w:rPr>
      <w:rFonts w:ascii="Times New Roman" w:hAnsi="Times New Roman" w:eastAsia="宋体" w:cs="Times New Roman"/>
      <w:kern w:val="0"/>
      <w:sz w:val="20"/>
      <w:szCs w:val="21"/>
    </w:rPr>
  </w:style>
  <w:style w:type="character" w:customStyle="1" w:styleId="64">
    <w:name w:val="正文首行缩进 Char"/>
    <w:basedOn w:val="62"/>
    <w:link w:val="33"/>
    <w:qFormat/>
    <w:uiPriority w:val="0"/>
    <w:rPr>
      <w:rFonts w:ascii="Calibri" w:hAnsi="Calibri" w:eastAsia="宋体" w:cs="Times New Roman"/>
      <w:kern w:val="0"/>
      <w:sz w:val="20"/>
      <w:szCs w:val="20"/>
    </w:rPr>
  </w:style>
  <w:style w:type="character" w:customStyle="1" w:styleId="65">
    <w:name w:val="正文文本缩进 Char"/>
    <w:basedOn w:val="37"/>
    <w:link w:val="2"/>
    <w:qFormat/>
    <w:uiPriority w:val="0"/>
  </w:style>
  <w:style w:type="character" w:customStyle="1" w:styleId="66">
    <w:name w:val="正文文本缩进 Char3"/>
    <w:basedOn w:val="37"/>
    <w:link w:val="2"/>
    <w:qFormat/>
    <w:uiPriority w:val="0"/>
    <w:rPr>
      <w:rFonts w:ascii="Times New Roman" w:hAnsi="Times New Roman" w:eastAsia="宋体" w:cs="Times New Roman"/>
    </w:rPr>
  </w:style>
  <w:style w:type="character" w:customStyle="1" w:styleId="67">
    <w:name w:val="纯文本 Char"/>
    <w:basedOn w:val="37"/>
    <w:link w:val="15"/>
    <w:qFormat/>
    <w:uiPriority w:val="0"/>
    <w:rPr>
      <w:rFonts w:ascii="宋体" w:hAnsi="Courier New" w:eastAsia="宋体" w:cs="Times New Roman"/>
      <w:kern w:val="0"/>
      <w:sz w:val="20"/>
      <w:szCs w:val="20"/>
    </w:rPr>
  </w:style>
  <w:style w:type="character" w:customStyle="1" w:styleId="68">
    <w:name w:val="日期 Char"/>
    <w:basedOn w:val="37"/>
    <w:link w:val="17"/>
    <w:qFormat/>
    <w:uiPriority w:val="0"/>
  </w:style>
  <w:style w:type="character" w:customStyle="1" w:styleId="69">
    <w:name w:val="日期 Char2"/>
    <w:link w:val="17"/>
    <w:qFormat/>
    <w:uiPriority w:val="0"/>
    <w:rPr>
      <w:rFonts w:ascii="宋体" w:hAnsi="宋体" w:eastAsia="宋体" w:cs="Times New Roman"/>
      <w:kern w:val="0"/>
      <w:sz w:val="32"/>
      <w:szCs w:val="32"/>
    </w:rPr>
  </w:style>
  <w:style w:type="character" w:customStyle="1" w:styleId="70">
    <w:name w:val="正文文本缩进 2 Char"/>
    <w:basedOn w:val="37"/>
    <w:link w:val="18"/>
    <w:qFormat/>
    <w:uiPriority w:val="0"/>
    <w:rPr>
      <w:rFonts w:ascii="Times New Roman" w:hAnsi="Times New Roman" w:eastAsia="宋体" w:cs="Times New Roman"/>
      <w:kern w:val="0"/>
      <w:sz w:val="20"/>
      <w:szCs w:val="21"/>
    </w:rPr>
  </w:style>
  <w:style w:type="character" w:customStyle="1" w:styleId="71">
    <w:name w:val="批注框文本 Char"/>
    <w:basedOn w:val="37"/>
    <w:link w:val="19"/>
    <w:qFormat/>
    <w:uiPriority w:val="0"/>
    <w:rPr>
      <w:sz w:val="18"/>
      <w:szCs w:val="18"/>
    </w:rPr>
  </w:style>
  <w:style w:type="character" w:customStyle="1" w:styleId="72">
    <w:name w:val="批注框文本 Char2"/>
    <w:link w:val="19"/>
    <w:qFormat/>
    <w:uiPriority w:val="0"/>
    <w:rPr>
      <w:rFonts w:ascii="Times New Roman" w:hAnsi="Times New Roman" w:eastAsia="宋体" w:cs="Times New Roman"/>
      <w:kern w:val="0"/>
      <w:sz w:val="18"/>
      <w:szCs w:val="18"/>
    </w:rPr>
  </w:style>
  <w:style w:type="character" w:customStyle="1" w:styleId="73">
    <w:name w:val="正文文本 2 Char"/>
    <w:basedOn w:val="37"/>
    <w:link w:val="14"/>
    <w:qFormat/>
    <w:uiPriority w:val="0"/>
    <w:rPr>
      <w:rFonts w:ascii="宋体" w:hAnsi="宋体" w:eastAsia="宋体" w:cs="Arial"/>
      <w:b/>
      <w:kern w:val="0"/>
      <w:sz w:val="28"/>
      <w:szCs w:val="20"/>
    </w:rPr>
  </w:style>
  <w:style w:type="character" w:customStyle="1" w:styleId="74">
    <w:name w:val="信息标题 Char"/>
    <w:basedOn w:val="37"/>
    <w:link w:val="27"/>
    <w:qFormat/>
    <w:uiPriority w:val="0"/>
    <w:rPr>
      <w:rFonts w:ascii="Cambria" w:hAnsi="Cambria" w:eastAsia="宋体" w:cs="Times New Roman"/>
      <w:szCs w:val="21"/>
      <w:shd w:val="pct20" w:color="auto" w:fill="auto"/>
    </w:rPr>
  </w:style>
  <w:style w:type="character" w:customStyle="1" w:styleId="75">
    <w:name w:val="批注主题 Char"/>
    <w:basedOn w:val="61"/>
    <w:link w:val="32"/>
    <w:qFormat/>
    <w:uiPriority w:val="0"/>
    <w:rPr>
      <w:b/>
      <w:bCs/>
    </w:rPr>
  </w:style>
  <w:style w:type="character" w:customStyle="1" w:styleId="76">
    <w:name w:val="正文首行缩进 2 Char"/>
    <w:basedOn w:val="65"/>
    <w:link w:val="34"/>
    <w:qFormat/>
    <w:uiPriority w:val="0"/>
    <w:rPr>
      <w:rFonts w:ascii="Calibri" w:hAnsi="Calibri" w:eastAsia="宋体" w:cs="Times New Roman"/>
      <w:kern w:val="0"/>
      <w:sz w:val="20"/>
      <w:szCs w:val="20"/>
    </w:rPr>
  </w:style>
  <w:style w:type="character" w:customStyle="1" w:styleId="77">
    <w:name w:val="日期 Char4"/>
    <w:basedOn w:val="37"/>
    <w:semiHidden/>
    <w:qFormat/>
    <w:uiPriority w:val="99"/>
  </w:style>
  <w:style w:type="character" w:customStyle="1" w:styleId="78">
    <w:name w:val="正文首行缩进 Char2"/>
    <w:qFormat/>
    <w:uiPriority w:val="0"/>
    <w:rPr>
      <w:rFonts w:ascii="Calibri" w:hAnsi="Calibri" w:eastAsia="宋体" w:cs="Times New Roman"/>
      <w:szCs w:val="21"/>
    </w:rPr>
  </w:style>
  <w:style w:type="character" w:customStyle="1" w:styleId="79">
    <w:name w:val="批注主题 Char1"/>
    <w:qFormat/>
    <w:uiPriority w:val="0"/>
    <w:rPr>
      <w:rFonts w:ascii="Times New Roman" w:hAnsi="Times New Roman" w:eastAsia="宋体" w:cs="Times New Roman"/>
      <w:b/>
      <w:bCs/>
      <w:szCs w:val="21"/>
    </w:rPr>
  </w:style>
  <w:style w:type="character" w:customStyle="1" w:styleId="80">
    <w:name w:val="页眉 Char4"/>
    <w:qFormat/>
    <w:uiPriority w:val="0"/>
    <w:rPr>
      <w:rFonts w:ascii="Times New Roman" w:hAnsi="Times New Roman" w:eastAsia="宋体" w:cs="Times New Roman"/>
      <w:sz w:val="18"/>
      <w:szCs w:val="18"/>
    </w:rPr>
  </w:style>
  <w:style w:type="character" w:customStyle="1" w:styleId="81">
    <w:name w:val="页脚 Char2"/>
    <w:qFormat/>
    <w:uiPriority w:val="0"/>
    <w:rPr>
      <w:rFonts w:ascii="Times New Roman" w:hAnsi="Times New Roman" w:eastAsia="宋体" w:cs="Times New Roman"/>
      <w:kern w:val="0"/>
      <w:sz w:val="18"/>
      <w:szCs w:val="18"/>
    </w:rPr>
  </w:style>
  <w:style w:type="character" w:customStyle="1" w:styleId="82">
    <w:name w:val="正文文本缩进 2 Char1"/>
    <w:basedOn w:val="37"/>
    <w:semiHidden/>
    <w:qFormat/>
    <w:uiPriority w:val="99"/>
  </w:style>
  <w:style w:type="character" w:customStyle="1" w:styleId="83">
    <w:name w:val="页眉 Char2"/>
    <w:qFormat/>
    <w:uiPriority w:val="0"/>
    <w:rPr>
      <w:rFonts w:ascii="Times New Roman" w:hAnsi="Times New Roman" w:eastAsia="宋体" w:cs="Times New Roman"/>
      <w:sz w:val="18"/>
      <w:szCs w:val="18"/>
    </w:rPr>
  </w:style>
  <w:style w:type="character" w:customStyle="1" w:styleId="84">
    <w:name w:val="纯文本 Char2"/>
    <w:qFormat/>
    <w:uiPriority w:val="0"/>
    <w:rPr>
      <w:rFonts w:ascii="宋体" w:hAnsi="Courier New" w:eastAsia="宋体" w:cs="Courier New"/>
      <w:szCs w:val="21"/>
    </w:rPr>
  </w:style>
  <w:style w:type="character" w:customStyle="1" w:styleId="85">
    <w:name w:val="日期 Char3"/>
    <w:qFormat/>
    <w:uiPriority w:val="0"/>
    <w:rPr>
      <w:rFonts w:ascii="Times New Roman" w:hAnsi="Times New Roman" w:eastAsia="宋体" w:cs="Times New Roman"/>
      <w:szCs w:val="21"/>
    </w:rPr>
  </w:style>
  <w:style w:type="character" w:customStyle="1" w:styleId="86">
    <w:name w:val="列出段落 Char"/>
    <w:link w:val="87"/>
    <w:qFormat/>
    <w:uiPriority w:val="0"/>
    <w:rPr>
      <w:rFonts w:ascii="Calibri" w:hAnsi="Calibri"/>
      <w:szCs w:val="24"/>
    </w:rPr>
  </w:style>
  <w:style w:type="paragraph" w:styleId="87">
    <w:name w:val="List Paragraph"/>
    <w:basedOn w:val="1"/>
    <w:link w:val="86"/>
    <w:qFormat/>
    <w:uiPriority w:val="0"/>
    <w:pPr>
      <w:ind w:firstLine="420" w:firstLineChars="200"/>
    </w:pPr>
    <w:rPr>
      <w:rFonts w:ascii="Calibri" w:hAnsi="Calibri"/>
      <w:szCs w:val="24"/>
    </w:rPr>
  </w:style>
  <w:style w:type="character" w:customStyle="1" w:styleId="88">
    <w:name w:val="纯文本 Char1"/>
    <w:qFormat/>
    <w:uiPriority w:val="0"/>
    <w:rPr>
      <w:rFonts w:ascii="宋体" w:hAnsi="Courier New" w:eastAsia="宋体" w:cs="Courier New"/>
      <w:szCs w:val="21"/>
    </w:rPr>
  </w:style>
  <w:style w:type="character" w:customStyle="1" w:styleId="89">
    <w:name w:val="hover"/>
    <w:qFormat/>
    <w:uiPriority w:val="0"/>
    <w:rPr>
      <w:rFonts w:ascii="Calibri" w:hAnsi="Calibri" w:eastAsia="宋体" w:cs="Times New Roman"/>
      <w:color w:val="2590EB"/>
    </w:rPr>
  </w:style>
  <w:style w:type="character" w:customStyle="1" w:styleId="90">
    <w:name w:val="正文文本 Char1"/>
    <w:qFormat/>
    <w:uiPriority w:val="0"/>
    <w:rPr>
      <w:rFonts w:ascii="Times New Roman" w:hAnsi="Times New Roman" w:eastAsia="宋体" w:cs="Times New Roman"/>
      <w:szCs w:val="21"/>
    </w:rPr>
  </w:style>
  <w:style w:type="character" w:customStyle="1" w:styleId="91">
    <w:name w:val="文档结构图 Char4"/>
    <w:basedOn w:val="37"/>
    <w:semiHidden/>
    <w:qFormat/>
    <w:uiPriority w:val="99"/>
    <w:rPr>
      <w:rFonts w:ascii="宋体" w:eastAsia="宋体"/>
      <w:sz w:val="18"/>
      <w:szCs w:val="18"/>
    </w:rPr>
  </w:style>
  <w:style w:type="character" w:customStyle="1" w:styleId="92">
    <w:name w:val="页眉 Char3"/>
    <w:qFormat/>
    <w:uiPriority w:val="0"/>
    <w:rPr>
      <w:rFonts w:ascii="Times New Roman" w:hAnsi="Times New Roman" w:eastAsia="宋体" w:cs="Times New Roman"/>
      <w:sz w:val="18"/>
      <w:szCs w:val="18"/>
    </w:rPr>
  </w:style>
  <w:style w:type="character" w:customStyle="1" w:styleId="93">
    <w:name w:val="日期 Char1"/>
    <w:qFormat/>
    <w:uiPriority w:val="0"/>
    <w:rPr>
      <w:rFonts w:ascii="Times New Roman" w:hAnsi="Times New Roman" w:eastAsia="宋体" w:cs="Times New Roman"/>
      <w:szCs w:val="21"/>
    </w:rPr>
  </w:style>
  <w:style w:type="character" w:customStyle="1" w:styleId="94">
    <w:name w:val="文档结构图 Char2"/>
    <w:qFormat/>
    <w:uiPriority w:val="0"/>
    <w:rPr>
      <w:rFonts w:ascii="宋体" w:hAnsi="Times New Roman" w:eastAsia="宋体" w:cs="Times New Roman"/>
      <w:sz w:val="18"/>
      <w:szCs w:val="18"/>
    </w:rPr>
  </w:style>
  <w:style w:type="character" w:customStyle="1" w:styleId="95">
    <w:name w:val="正文文本缩进 Char2"/>
    <w:qFormat/>
    <w:uiPriority w:val="0"/>
    <w:rPr>
      <w:rFonts w:ascii="Times New Roman" w:hAnsi="Times New Roman" w:eastAsia="宋体" w:cs="Times New Roman"/>
      <w:szCs w:val="21"/>
    </w:rPr>
  </w:style>
  <w:style w:type="character" w:customStyle="1" w:styleId="96">
    <w:name w:val="Intense Reference"/>
    <w:qFormat/>
    <w:uiPriority w:val="0"/>
    <w:rPr>
      <w:rFonts w:ascii="Calibri" w:hAnsi="Calibri" w:eastAsia="宋体" w:cs="Times New Roman"/>
      <w:b/>
      <w:bCs/>
      <w:smallCaps/>
      <w:color w:val="C0504D"/>
      <w:spacing w:val="5"/>
      <w:u w:val="single"/>
    </w:rPr>
  </w:style>
  <w:style w:type="character" w:customStyle="1" w:styleId="97">
    <w:name w:val="批注框文本 Char3"/>
    <w:qFormat/>
    <w:uiPriority w:val="0"/>
    <w:rPr>
      <w:rFonts w:ascii="Times New Roman" w:hAnsi="Times New Roman" w:eastAsia="宋体" w:cs="Times New Roman"/>
      <w:sz w:val="18"/>
      <w:szCs w:val="18"/>
    </w:rPr>
  </w:style>
  <w:style w:type="character" w:customStyle="1" w:styleId="98">
    <w:name w:val="批注框文本 Char4"/>
    <w:qFormat/>
    <w:uiPriority w:val="0"/>
    <w:rPr>
      <w:rFonts w:ascii="Times New Roman" w:hAnsi="Times New Roman" w:eastAsia="宋体" w:cs="Times New Roman"/>
      <w:sz w:val="18"/>
      <w:szCs w:val="18"/>
    </w:rPr>
  </w:style>
  <w:style w:type="character" w:customStyle="1" w:styleId="99">
    <w:name w:val="批注框文本 Char1"/>
    <w:qFormat/>
    <w:uiPriority w:val="0"/>
    <w:rPr>
      <w:rFonts w:ascii="Times New Roman" w:hAnsi="Times New Roman" w:eastAsia="宋体" w:cs="Times New Roman"/>
      <w:sz w:val="18"/>
      <w:szCs w:val="18"/>
    </w:rPr>
  </w:style>
  <w:style w:type="character" w:customStyle="1" w:styleId="100">
    <w:name w:val="批注文字 Char2"/>
    <w:qFormat/>
    <w:uiPriority w:val="0"/>
    <w:rPr>
      <w:rFonts w:ascii="Times New Roman" w:hAnsi="Times New Roman" w:eastAsia="宋体" w:cs="Times New Roman"/>
      <w:szCs w:val="21"/>
    </w:rPr>
  </w:style>
  <w:style w:type="character" w:customStyle="1" w:styleId="101">
    <w:name w:val="15"/>
    <w:qFormat/>
    <w:uiPriority w:val="0"/>
    <w:rPr>
      <w:rFonts w:hint="default" w:ascii="Calibri" w:hAnsi="Calibri" w:eastAsia="宋体" w:cs="Times New Roman"/>
      <w:color w:val="CC0000"/>
    </w:rPr>
  </w:style>
  <w:style w:type="character" w:customStyle="1" w:styleId="102">
    <w:name w:val="正文文本 Char3"/>
    <w:basedOn w:val="37"/>
    <w:semiHidden/>
    <w:qFormat/>
    <w:uiPriority w:val="99"/>
  </w:style>
  <w:style w:type="character" w:customStyle="1" w:styleId="103">
    <w:name w:val="hanggao2"/>
    <w:qFormat/>
    <w:uiPriority w:val="0"/>
    <w:rPr>
      <w:rFonts w:ascii="Calibri" w:hAnsi="Calibri" w:eastAsia="宋体" w:cs="Times New Roman"/>
      <w:sz w:val="18"/>
      <w:szCs w:val="18"/>
    </w:rPr>
  </w:style>
  <w:style w:type="character" w:customStyle="1" w:styleId="104">
    <w:name w:val="批注主题 Char2"/>
    <w:qFormat/>
    <w:uiPriority w:val="0"/>
    <w:rPr>
      <w:rFonts w:ascii="Times New Roman" w:hAnsi="Times New Roman" w:eastAsia="宋体" w:cs="Times New Roman"/>
      <w:b/>
      <w:bCs/>
      <w:szCs w:val="21"/>
    </w:rPr>
  </w:style>
  <w:style w:type="character" w:customStyle="1" w:styleId="105">
    <w:name w:val="10"/>
    <w:qFormat/>
    <w:uiPriority w:val="0"/>
    <w:rPr>
      <w:rFonts w:hint="default" w:ascii="Calibri" w:hAnsi="Calibri" w:eastAsia="宋体" w:cs="Times New Roman"/>
    </w:rPr>
  </w:style>
  <w:style w:type="character" w:customStyle="1" w:styleId="106">
    <w:name w:val="页眉 Char1"/>
    <w:qFormat/>
    <w:uiPriority w:val="0"/>
    <w:rPr>
      <w:rFonts w:ascii="Times New Roman" w:hAnsi="Times New Roman" w:eastAsia="宋体" w:cs="Times New Roman"/>
      <w:sz w:val="18"/>
      <w:szCs w:val="18"/>
    </w:rPr>
  </w:style>
  <w:style w:type="character" w:customStyle="1" w:styleId="107">
    <w:name w:val="正文首行缩进 2 Char2"/>
    <w:qFormat/>
    <w:uiPriority w:val="0"/>
    <w:rPr>
      <w:rFonts w:ascii="Calibri" w:hAnsi="Calibri" w:eastAsia="宋体" w:cs="Times New Roman"/>
      <w:szCs w:val="21"/>
    </w:rPr>
  </w:style>
  <w:style w:type="character" w:customStyle="1" w:styleId="108">
    <w:name w:val="批注主题 Char3"/>
    <w:basedOn w:val="109"/>
    <w:semiHidden/>
    <w:qFormat/>
    <w:uiPriority w:val="99"/>
    <w:rPr>
      <w:b/>
      <w:bCs/>
    </w:rPr>
  </w:style>
  <w:style w:type="character" w:customStyle="1" w:styleId="109">
    <w:name w:val="批注文字 Char3"/>
    <w:basedOn w:val="37"/>
    <w:semiHidden/>
    <w:qFormat/>
    <w:uiPriority w:val="99"/>
  </w:style>
  <w:style w:type="character" w:customStyle="1" w:styleId="110">
    <w:name w:val="页脚 Char1"/>
    <w:qFormat/>
    <w:uiPriority w:val="0"/>
    <w:rPr>
      <w:rFonts w:ascii="Times New Roman" w:hAnsi="Times New Roman" w:eastAsia="宋体" w:cs="Times New Roman"/>
      <w:sz w:val="18"/>
      <w:szCs w:val="18"/>
    </w:rPr>
  </w:style>
  <w:style w:type="character" w:customStyle="1" w:styleId="111">
    <w:name w:val="文档结构图 Char3"/>
    <w:qFormat/>
    <w:uiPriority w:val="0"/>
    <w:rPr>
      <w:rFonts w:ascii="宋体" w:hAnsi="Times New Roman" w:eastAsia="宋体" w:cs="Times New Roman"/>
      <w:sz w:val="18"/>
      <w:szCs w:val="18"/>
    </w:rPr>
  </w:style>
  <w:style w:type="character" w:customStyle="1" w:styleId="112">
    <w:name w:val="font11"/>
    <w:basedOn w:val="37"/>
    <w:qFormat/>
    <w:uiPriority w:val="0"/>
    <w:rPr>
      <w:rFonts w:hint="eastAsia" w:ascii="宋体" w:hAnsi="宋体" w:eastAsia="宋体" w:cs="宋体"/>
      <w:color w:val="FF0000"/>
      <w:sz w:val="20"/>
      <w:szCs w:val="20"/>
      <w:u w:val="none"/>
    </w:rPr>
  </w:style>
  <w:style w:type="character" w:customStyle="1" w:styleId="113">
    <w:name w:val="16"/>
    <w:qFormat/>
    <w:uiPriority w:val="0"/>
    <w:rPr>
      <w:rFonts w:hint="default" w:ascii="Times New Roman" w:hAnsi="Times New Roman" w:eastAsia="宋体" w:cs="Times New Roman"/>
    </w:rPr>
  </w:style>
  <w:style w:type="character" w:customStyle="1" w:styleId="114">
    <w:name w:val="正文首行缩进 Char1"/>
    <w:qFormat/>
    <w:uiPriority w:val="0"/>
    <w:rPr>
      <w:rFonts w:ascii="Times New Roman" w:hAnsi="Times New Roman" w:eastAsia="Arial Unicode MS" w:cs="Arial Unicode MS"/>
      <w:color w:val="000000"/>
      <w:sz w:val="28"/>
      <w:szCs w:val="28"/>
      <w:u w:color="000000"/>
    </w:rPr>
  </w:style>
  <w:style w:type="character" w:customStyle="1" w:styleId="115">
    <w:name w:val="正文首行缩进 Char3"/>
    <w:basedOn w:val="102"/>
    <w:semiHidden/>
    <w:qFormat/>
    <w:uiPriority w:val="99"/>
  </w:style>
  <w:style w:type="character" w:customStyle="1" w:styleId="116">
    <w:name w:val="正文首行缩进 2 Char3"/>
    <w:basedOn w:val="66"/>
    <w:semiHidden/>
    <w:qFormat/>
    <w:uiPriority w:val="99"/>
  </w:style>
  <w:style w:type="character" w:customStyle="1" w:styleId="117">
    <w:name w:val="正文首行缩进 2 Char1"/>
    <w:qFormat/>
    <w:uiPriority w:val="0"/>
    <w:rPr>
      <w:rFonts w:ascii="Times New Roman" w:hAnsi="Times New Roman" w:eastAsia="Arial Unicode MS" w:cs="Arial Unicode MS"/>
      <w:color w:val="000000"/>
      <w:szCs w:val="21"/>
      <w:u w:color="000000"/>
    </w:rPr>
  </w:style>
  <w:style w:type="character" w:customStyle="1" w:styleId="118">
    <w:name w:val="hover3"/>
    <w:qFormat/>
    <w:uiPriority w:val="0"/>
    <w:rPr>
      <w:rFonts w:ascii="Calibri" w:hAnsi="Calibri" w:eastAsia="宋体" w:cs="Times New Roman"/>
    </w:rPr>
  </w:style>
  <w:style w:type="character" w:customStyle="1" w:styleId="119">
    <w:name w:val="纯文本 Char3"/>
    <w:basedOn w:val="37"/>
    <w:semiHidden/>
    <w:qFormat/>
    <w:uiPriority w:val="99"/>
    <w:rPr>
      <w:rFonts w:ascii="宋体" w:hAnsi="Courier New" w:eastAsia="宋体" w:cs="Courier New"/>
      <w:szCs w:val="21"/>
    </w:rPr>
  </w:style>
  <w:style w:type="character" w:customStyle="1" w:styleId="120">
    <w:name w:val="font01"/>
    <w:qFormat/>
    <w:uiPriority w:val="0"/>
    <w:rPr>
      <w:rFonts w:hint="eastAsia" w:ascii="宋体" w:hAnsi="宋体" w:eastAsia="宋体" w:cs="宋体"/>
      <w:color w:val="000000"/>
      <w:sz w:val="22"/>
      <w:szCs w:val="22"/>
      <w:u w:val="none"/>
    </w:rPr>
  </w:style>
  <w:style w:type="character" w:customStyle="1" w:styleId="121">
    <w:name w:val="a"/>
    <w:qFormat/>
    <w:uiPriority w:val="0"/>
    <w:rPr>
      <w:rFonts w:ascii="Calibri" w:hAnsi="Calibri" w:eastAsia="宋体" w:cs="Times New Roman"/>
    </w:rPr>
  </w:style>
  <w:style w:type="character" w:customStyle="1" w:styleId="122">
    <w:name w:val="批注框文本 Char5"/>
    <w:basedOn w:val="37"/>
    <w:semiHidden/>
    <w:qFormat/>
    <w:uiPriority w:val="99"/>
    <w:rPr>
      <w:sz w:val="18"/>
      <w:szCs w:val="18"/>
    </w:rPr>
  </w:style>
  <w:style w:type="character" w:customStyle="1" w:styleId="123">
    <w:name w:val="正文文本缩进 Char1"/>
    <w:qFormat/>
    <w:uiPriority w:val="0"/>
    <w:rPr>
      <w:rFonts w:ascii="Times New Roman" w:hAnsi="Times New Roman" w:eastAsia="宋体" w:cs="Times New Roman"/>
      <w:szCs w:val="21"/>
    </w:rPr>
  </w:style>
  <w:style w:type="character" w:customStyle="1" w:styleId="124">
    <w:name w:val="mini-outputtext1"/>
    <w:basedOn w:val="37"/>
    <w:qFormat/>
    <w:uiPriority w:val="0"/>
    <w:rPr>
      <w:rFonts w:ascii="Calibri" w:hAnsi="Calibri" w:eastAsia="宋体" w:cs="Times New Roman"/>
    </w:rPr>
  </w:style>
  <w:style w:type="character" w:customStyle="1" w:styleId="125">
    <w:name w:val="font61"/>
    <w:qFormat/>
    <w:uiPriority w:val="0"/>
    <w:rPr>
      <w:rFonts w:hint="eastAsia" w:ascii="宋体" w:hAnsi="宋体" w:eastAsia="宋体" w:cs="宋体"/>
      <w:color w:val="000000"/>
      <w:sz w:val="22"/>
      <w:szCs w:val="22"/>
      <w:u w:val="none"/>
    </w:rPr>
  </w:style>
  <w:style w:type="character" w:customStyle="1" w:styleId="126">
    <w:name w:val="hover1"/>
    <w:qFormat/>
    <w:uiPriority w:val="0"/>
    <w:rPr>
      <w:rFonts w:ascii="Calibri" w:hAnsi="Calibri" w:eastAsia="宋体" w:cs="Times New Roman"/>
      <w:color w:val="2590EB"/>
    </w:rPr>
  </w:style>
  <w:style w:type="character" w:customStyle="1" w:styleId="127">
    <w:name w:val="hover2"/>
    <w:qFormat/>
    <w:uiPriority w:val="0"/>
    <w:rPr>
      <w:rFonts w:ascii="Calibri" w:hAnsi="Calibri" w:eastAsia="宋体" w:cs="Times New Roman"/>
      <w:color w:val="2590EB"/>
    </w:rPr>
  </w:style>
  <w:style w:type="character" w:customStyle="1" w:styleId="128">
    <w:name w:val="批注文字 Char1"/>
    <w:qFormat/>
    <w:uiPriority w:val="0"/>
    <w:rPr>
      <w:rFonts w:ascii="Times New Roman" w:hAnsi="Times New Roman" w:eastAsia="宋体" w:cs="Times New Roman"/>
      <w:szCs w:val="21"/>
    </w:rPr>
  </w:style>
  <w:style w:type="character" w:customStyle="1" w:styleId="129">
    <w:name w:val="页脚 Char3"/>
    <w:qFormat/>
    <w:uiPriority w:val="0"/>
    <w:rPr>
      <w:rFonts w:ascii="Times New Roman" w:hAnsi="Times New Roman" w:eastAsia="宋体" w:cs="Times New Roman"/>
      <w:sz w:val="18"/>
      <w:szCs w:val="18"/>
    </w:rPr>
  </w:style>
  <w:style w:type="paragraph" w:customStyle="1" w:styleId="130">
    <w:name w:val="_Style 6"/>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1">
    <w:name w:val="无间距"/>
    <w:qFormat/>
    <w:uiPriority w:val="0"/>
    <w:pPr>
      <w:widowControl w:val="0"/>
      <w:jc w:val="both"/>
    </w:pPr>
    <w:rPr>
      <w:rFonts w:ascii="Times New Roman" w:hAnsi="Times New Roman" w:eastAsia="宋体" w:cs="Arial"/>
      <w:kern w:val="2"/>
      <w:sz w:val="21"/>
      <w:szCs w:val="24"/>
      <w:lang w:val="en-US" w:eastAsia="zh-CN" w:bidi="ar-SA"/>
    </w:rPr>
  </w:style>
  <w:style w:type="paragraph" w:customStyle="1" w:styleId="132">
    <w:name w:val="_Style 0"/>
    <w:qFormat/>
    <w:uiPriority w:val="0"/>
    <w:pPr>
      <w:widowControl w:val="0"/>
      <w:jc w:val="both"/>
    </w:pPr>
    <w:rPr>
      <w:rFonts w:ascii="Times New Roman" w:hAnsi="Times New Roman" w:eastAsia="宋体" w:cs="Arial"/>
      <w:kern w:val="2"/>
      <w:sz w:val="21"/>
      <w:szCs w:val="22"/>
      <w:lang w:val="en-US" w:eastAsia="zh-CN" w:bidi="ar-SA"/>
    </w:rPr>
  </w:style>
  <w:style w:type="paragraph" w:customStyle="1" w:styleId="133">
    <w:name w:val="正文 New New New New"/>
    <w:qFormat/>
    <w:uiPriority w:val="0"/>
    <w:pPr>
      <w:widowControl w:val="0"/>
      <w:jc w:val="both"/>
    </w:pPr>
    <w:rPr>
      <w:rFonts w:ascii="Times New Roman" w:hAnsi="Times New Roman" w:eastAsia="宋体" w:cs="Arial"/>
      <w:kern w:val="0"/>
      <w:sz w:val="20"/>
      <w:szCs w:val="24"/>
      <w:lang w:val="en-US" w:eastAsia="zh-CN" w:bidi="ar-SA"/>
    </w:rPr>
  </w:style>
  <w:style w:type="paragraph" w:customStyle="1" w:styleId="134">
    <w:name w:val="正文文本 21"/>
    <w:basedOn w:val="1"/>
    <w:qFormat/>
    <w:uiPriority w:val="0"/>
    <w:rPr>
      <w:rFonts w:ascii="Calibri" w:hAnsi="Calibri" w:eastAsia="宋体" w:cs="Arial"/>
      <w:szCs w:val="21"/>
    </w:rPr>
  </w:style>
  <w:style w:type="paragraph" w:customStyle="1" w:styleId="135">
    <w:name w:val="a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6">
    <w:name w:val="列出段落1"/>
    <w:basedOn w:val="1"/>
    <w:qFormat/>
    <w:uiPriority w:val="0"/>
    <w:pPr>
      <w:ind w:firstLine="420" w:firstLineChars="200"/>
    </w:pPr>
    <w:rPr>
      <w:rFonts w:ascii="Calibri" w:hAnsi="Calibri" w:eastAsia="宋体" w:cs="Times New Roman"/>
      <w:szCs w:val="21"/>
    </w:rPr>
  </w:style>
  <w:style w:type="paragraph" w:customStyle="1" w:styleId="137">
    <w:name w:val="文档正文"/>
    <w:basedOn w:val="1"/>
    <w:qFormat/>
    <w:uiPriority w:val="0"/>
    <w:pPr>
      <w:spacing w:line="480" w:lineRule="atLeast"/>
      <w:ind w:firstLine="567"/>
      <w:textAlignment w:val="baseline"/>
    </w:pPr>
    <w:rPr>
      <w:rFonts w:ascii="仿宋_GB2312" w:hAnsi="仿宋_GB2312" w:eastAsia="宋体" w:cs="宋体"/>
      <w:sz w:val="28"/>
      <w:szCs w:val="28"/>
    </w:rPr>
  </w:style>
  <w:style w:type="paragraph" w:customStyle="1" w:styleId="138">
    <w:name w:val="&quot;msolistparagraph&quot;"/>
    <w:basedOn w:val="1"/>
    <w:qFormat/>
    <w:uiPriority w:val="0"/>
    <w:pPr>
      <w:ind w:firstLine="420" w:firstLineChars="200"/>
    </w:pPr>
    <w:rPr>
      <w:rFonts w:ascii="Times New Roman" w:hAnsi="Times New Roman" w:eastAsia="宋体" w:cs="Times New Roman"/>
      <w:szCs w:val="24"/>
    </w:rPr>
  </w:style>
  <w:style w:type="paragraph" w:customStyle="1" w:styleId="139">
    <w:name w:val="_Style 29"/>
    <w:basedOn w:val="1"/>
    <w:next w:val="87"/>
    <w:qFormat/>
    <w:uiPriority w:val="0"/>
    <w:pPr>
      <w:ind w:firstLine="420" w:firstLineChars="200"/>
    </w:pPr>
    <w:rPr>
      <w:rFonts w:ascii="Calibri" w:hAnsi="Calibri" w:eastAsia="宋体" w:cs="Times New Roman"/>
      <w:szCs w:val="24"/>
    </w:rPr>
  </w:style>
  <w:style w:type="paragraph" w:customStyle="1" w:styleId="140">
    <w:name w:val="大标题"/>
    <w:basedOn w:val="1"/>
    <w:next w:val="34"/>
    <w:qFormat/>
    <w:uiPriority w:val="0"/>
    <w:pPr>
      <w:jc w:val="center"/>
    </w:pPr>
    <w:rPr>
      <w:rFonts w:ascii="Arial" w:hAnsi="Arial"/>
      <w:b/>
      <w:sz w:val="28"/>
      <w:szCs w:val="24"/>
    </w:rPr>
  </w:style>
  <w:style w:type="paragraph" w:customStyle="1" w:styleId="141">
    <w:name w:val="无间隔1"/>
    <w:qFormat/>
    <w:uiPriority w:val="0"/>
    <w:pPr>
      <w:widowControl w:val="0"/>
      <w:jc w:val="both"/>
    </w:pPr>
    <w:rPr>
      <w:rFonts w:ascii="Times New Roman" w:hAnsi="Times New Roman" w:eastAsia="宋体" w:cs="Arial"/>
      <w:kern w:val="2"/>
      <w:sz w:val="21"/>
      <w:szCs w:val="24"/>
      <w:lang w:val="en-US" w:eastAsia="zh-CN" w:bidi="ar-SA"/>
    </w:rPr>
  </w:style>
  <w:style w:type="paragraph" w:customStyle="1" w:styleId="142">
    <w:name w:val="WPSOffice手动目录 1"/>
    <w:qFormat/>
    <w:uiPriority w:val="0"/>
    <w:rPr>
      <w:rFonts w:ascii="Times New Roman" w:hAnsi="Times New Roman" w:eastAsia="宋体" w:cs="Times New Roman"/>
      <w:kern w:val="0"/>
      <w:sz w:val="20"/>
      <w:szCs w:val="20"/>
      <w:lang w:val="en-US" w:eastAsia="zh-CN" w:bidi="ar-SA"/>
    </w:rPr>
  </w:style>
  <w:style w:type="paragraph" w:customStyle="1" w:styleId="143">
    <w:name w:val="正文_13_0"/>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21"/>
      <w:szCs w:val="24"/>
      <w:lang w:val="en-US" w:eastAsia="zh-CN" w:bidi="ar-SA"/>
    </w:rPr>
  </w:style>
  <w:style w:type="paragraph" w:customStyle="1" w:styleId="144">
    <w:name w:val="Table Paragraph"/>
    <w:basedOn w:val="1"/>
    <w:qFormat/>
    <w:uiPriority w:val="0"/>
    <w:pPr>
      <w:autoSpaceDE w:val="0"/>
      <w:autoSpaceDN w:val="0"/>
      <w:adjustRightInd w:val="0"/>
      <w:jc w:val="left"/>
    </w:pPr>
    <w:rPr>
      <w:rFonts w:ascii="宋体" w:hAnsi="Calibri" w:eastAsia="宋体" w:cs="宋体"/>
      <w:kern w:val="0"/>
      <w:sz w:val="24"/>
      <w:szCs w:val="24"/>
    </w:rPr>
  </w:style>
  <w:style w:type="paragraph" w:customStyle="1" w:styleId="145">
    <w:name w:val="cjk"/>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customStyle="1" w:styleId="146">
    <w:name w:val="网格型2"/>
    <w:basedOn w:val="3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47">
    <w:name w:val="网格型1"/>
    <w:basedOn w:val="35"/>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8">
    <w:name w:val="first-child"/>
    <w:basedOn w:val="37"/>
    <w:qFormat/>
    <w:uiPriority w:val="0"/>
  </w:style>
  <w:style w:type="character" w:customStyle="1" w:styleId="149">
    <w:name w:val="layui-layer-tabnow"/>
    <w:basedOn w:val="37"/>
    <w:qFormat/>
    <w:uiPriority w:val="0"/>
    <w:rPr>
      <w:bdr w:val="single" w:color="CCCCCC" w:sz="4" w:space="0"/>
      <w:shd w:val="clear" w:fill="FFFFFF"/>
    </w:rPr>
  </w:style>
  <w:style w:type="paragraph" w:customStyle="1" w:styleId="150">
    <w:name w:val="标题 11"/>
    <w:basedOn w:val="1"/>
    <w:qFormat/>
    <w:uiPriority w:val="0"/>
    <w:pPr>
      <w:spacing w:before="340" w:beforeAutospacing="0" w:after="330" w:afterAutospacing="0" w:line="578" w:lineRule="auto"/>
      <w:outlineLvl w:val="0"/>
    </w:pPr>
    <w:rPr>
      <w:b/>
      <w:bCs/>
      <w:kern w:val="44"/>
      <w:sz w:val="44"/>
      <w:szCs w:val="44"/>
    </w:rPr>
  </w:style>
  <w:style w:type="character" w:customStyle="1" w:styleId="151">
    <w:name w:val="font21"/>
    <w:basedOn w:val="37"/>
    <w:qFormat/>
    <w:uiPriority w:val="0"/>
    <w:rPr>
      <w:rFonts w:hint="eastAsia" w:ascii="宋体" w:hAnsi="宋体" w:eastAsia="宋体" w:cs="宋体"/>
      <w:color w:val="000000"/>
      <w:sz w:val="22"/>
      <w:szCs w:val="22"/>
      <w:u w:val="none"/>
    </w:rPr>
  </w:style>
  <w:style w:type="character" w:customStyle="1" w:styleId="152">
    <w:name w:val="font41"/>
    <w:basedOn w:val="37"/>
    <w:qFormat/>
    <w:uiPriority w:val="0"/>
    <w:rPr>
      <w:rFonts w:hint="eastAsia" w:ascii="宋体" w:hAnsi="宋体" w:eastAsia="宋体" w:cs="宋体"/>
      <w:color w:val="000000"/>
      <w:sz w:val="22"/>
      <w:szCs w:val="22"/>
      <w:u w:val="none"/>
    </w:rPr>
  </w:style>
  <w:style w:type="paragraph" w:customStyle="1" w:styleId="153">
    <w:name w:val="_Style 3"/>
    <w:basedOn w:val="1"/>
    <w:next w:val="24"/>
    <w:qFormat/>
    <w:uiPriority w:val="0"/>
    <w:pPr>
      <w:autoSpaceDE w:val="0"/>
      <w:autoSpaceDN w:val="0"/>
      <w:adjustRightInd w:val="0"/>
      <w:spacing w:line="480" w:lineRule="exact"/>
      <w:ind w:firstLine="560"/>
      <w:jc w:val="left"/>
    </w:pPr>
    <w:rPr>
      <w:rFonts w:ascii="宋体" w:hAnsi="宋体"/>
      <w:color w:val="000000"/>
      <w:kern w:val="0"/>
      <w:sz w:val="28"/>
      <w:szCs w:val="20"/>
    </w:rPr>
  </w:style>
  <w:style w:type="paragraph" w:customStyle="1" w:styleId="154">
    <w:name w:val="*正文_0"/>
    <w:basedOn w:val="1"/>
    <w:next w:val="1"/>
    <w:qFormat/>
    <w:uiPriority w:val="0"/>
    <w:pPr>
      <w:widowControl/>
      <w:ind w:firstLine="482"/>
    </w:pPr>
    <w:rPr>
      <w:rFonts w:ascii="微软雅黑" w:hAnsi="微软雅黑" w:eastAsia="微软雅黑"/>
      <w:kern w:val="0"/>
      <w:szCs w:val="20"/>
    </w:rPr>
  </w:style>
  <w:style w:type="paragraph" w:customStyle="1" w:styleId="155">
    <w:name w:val="Normal_7"/>
    <w:qFormat/>
    <w:uiPriority w:val="0"/>
    <w:rPr>
      <w:rFonts w:ascii="黑体" w:hAnsi="黑体" w:eastAsia="黑体" w:cs="Times New Roman"/>
      <w:b/>
      <w:sz w:val="32"/>
      <w:szCs w:val="24"/>
      <w:lang w:bidi="ar-SA"/>
    </w:rPr>
  </w:style>
  <w:style w:type="paragraph" w:customStyle="1" w:styleId="156">
    <w:name w:val="正文_5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7">
    <w:name w:val="Normal_8"/>
    <w:qFormat/>
    <w:uiPriority w:val="0"/>
    <w:rPr>
      <w:rFonts w:ascii="黑体" w:hAnsi="黑体" w:eastAsia="黑体" w:cs="Times New Roman"/>
      <w:b/>
      <w:sz w:val="32"/>
      <w:szCs w:val="24"/>
      <w:lang w:bidi="ar-SA"/>
    </w:rPr>
  </w:style>
  <w:style w:type="paragraph" w:customStyle="1" w:styleId="158">
    <w:name w:val="*正文_4_0_0"/>
    <w:basedOn w:val="159"/>
    <w:next w:val="159"/>
    <w:qFormat/>
    <w:uiPriority w:val="0"/>
    <w:pPr>
      <w:widowControl/>
      <w:ind w:firstLine="482"/>
    </w:pPr>
    <w:rPr>
      <w:rFonts w:ascii="微软雅黑" w:hAnsi="微软雅黑" w:eastAsia="微软雅黑"/>
      <w:kern w:val="0"/>
      <w:szCs w:val="20"/>
    </w:rPr>
  </w:style>
  <w:style w:type="paragraph" w:customStyle="1" w:styleId="159">
    <w:name w:val="正文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0">
    <w:name w:val="Normal_9"/>
    <w:qFormat/>
    <w:uiPriority w:val="0"/>
    <w:rPr>
      <w:rFonts w:ascii="黑体" w:hAnsi="黑体" w:eastAsia="黑体" w:cs="Times New Roman"/>
      <w:b/>
      <w:sz w:val="32"/>
      <w:szCs w:val="24"/>
      <w:lang w:bidi="ar-SA"/>
    </w:rPr>
  </w:style>
  <w:style w:type="paragraph" w:customStyle="1" w:styleId="161">
    <w:name w:val="正文_8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2">
    <w:name w:val="Normal_10"/>
    <w:qFormat/>
    <w:uiPriority w:val="0"/>
    <w:rPr>
      <w:rFonts w:ascii="黑体" w:hAnsi="黑体" w:eastAsia="黑体" w:cs="Times New Roman"/>
      <w:b/>
      <w:sz w:val="32"/>
      <w:szCs w:val="24"/>
      <w:lang w:bidi="ar-SA"/>
    </w:rPr>
  </w:style>
  <w:style w:type="paragraph" w:customStyle="1" w:styleId="163">
    <w:name w:val="正文_9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4">
    <w:name w:val="Normal_11"/>
    <w:qFormat/>
    <w:uiPriority w:val="0"/>
    <w:rPr>
      <w:rFonts w:ascii="黑体" w:hAnsi="黑体" w:eastAsia="黑体" w:cs="Times New Roman"/>
      <w:b/>
      <w:sz w:val="32"/>
      <w:szCs w:val="24"/>
      <w:lang w:bidi="ar-SA"/>
    </w:rPr>
  </w:style>
  <w:style w:type="paragraph" w:customStyle="1" w:styleId="165">
    <w:name w:val="正文_1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6">
    <w:name w:val="Normal_12"/>
    <w:qFormat/>
    <w:uiPriority w:val="0"/>
    <w:rPr>
      <w:rFonts w:ascii="黑体" w:hAnsi="黑体" w:eastAsia="黑体" w:cs="Times New Roman"/>
      <w:b/>
      <w:sz w:val="32"/>
      <w:szCs w:val="24"/>
      <w:lang w:bidi="ar-SA"/>
    </w:rPr>
  </w:style>
  <w:style w:type="paragraph" w:customStyle="1" w:styleId="167">
    <w:name w:val="正文_1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8">
    <w:name w:val="Normal_16"/>
    <w:qFormat/>
    <w:uiPriority w:val="0"/>
    <w:rPr>
      <w:rFonts w:ascii="黑体" w:hAnsi="黑体" w:eastAsia="黑体" w:cs="Times New Roman"/>
      <w:b/>
      <w:sz w:val="32"/>
      <w:szCs w:val="24"/>
      <w:lang w:bidi="ar-SA"/>
    </w:rPr>
  </w:style>
  <w:style w:type="paragraph" w:customStyle="1" w:styleId="169">
    <w:name w:val="*正文_0_0_0"/>
    <w:basedOn w:val="170"/>
    <w:next w:val="170"/>
    <w:qFormat/>
    <w:uiPriority w:val="0"/>
    <w:pPr>
      <w:widowControl/>
      <w:ind w:firstLine="482"/>
    </w:pPr>
    <w:rPr>
      <w:rFonts w:ascii="微软雅黑" w:hAnsi="微软雅黑" w:eastAsia="微软雅黑"/>
      <w:kern w:val="0"/>
      <w:szCs w:val="20"/>
    </w:rPr>
  </w:style>
  <w:style w:type="paragraph" w:customStyle="1" w:styleId="170">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1">
    <w:name w:val="Heading 2"/>
    <w:basedOn w:val="1"/>
    <w:qFormat/>
    <w:uiPriority w:val="1"/>
    <w:pPr>
      <w:ind w:left="100" w:right="102"/>
      <w:jc w:val="left"/>
      <w:outlineLvl w:val="2"/>
    </w:pPr>
    <w:rPr>
      <w:rFonts w:hint="default" w:ascii="Microsoft JhengHei" w:hAnsi="Microsoft JhengHei" w:eastAsia="Microsoft JhengHei" w:cs="Microsoft JhengHei"/>
      <w:b/>
      <w:bCs/>
      <w:kern w:val="0"/>
      <w:sz w:val="32"/>
      <w:szCs w:val="32"/>
      <w:lang w:eastAsia="en-US"/>
    </w:rPr>
  </w:style>
  <w:style w:type="character" w:customStyle="1" w:styleId="172">
    <w:name w:val="NormalCharacter"/>
    <w:qFormat/>
    <w:uiPriority w:val="0"/>
    <w:rPr>
      <w:rFonts w:ascii="Times New Roman" w:hAnsi="Times New Roman" w:eastAsia="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3" textRotate="1"/>
    <customShpInfo spid="_x0000_s1032" textRotate="1"/>
    <customShpInfo spid="_x0000_s103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华硕电脑(中国)有限公司</Company>
  <Pages>55</Pages>
  <Words>4157</Words>
  <Characters>23700</Characters>
  <Lines>197</Lines>
  <Paragraphs>55</Paragraphs>
  <TotalTime>3</TotalTime>
  <ScaleCrop>false</ScaleCrop>
  <LinksUpToDate>false</LinksUpToDate>
  <CharactersWithSpaces>27802</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2021-09-01T11:58:00Z</dcterms:created>
  <dc:creator>得力科技</dc:creator>
  <cp:lastModifiedBy>又又</cp:lastModifiedBy>
  <cp:lastPrinted>2025-12-23T09:45:00Z</cp:lastPrinted>
  <dcterms:modified xsi:type="dcterms:W3CDTF">2025-12-24T07:56:39Z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ICV">
    <vt:lpwstr>6F5C00EE2B38994728AA4869D533E24F</vt:lpwstr>
  </property>
</Properties>
</file>