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7D936">
      <w:pPr>
        <w:pageBreakBefore w:val="0"/>
        <w:kinsoku/>
        <w:overflowPunct/>
        <w:bidi w:val="0"/>
        <w:spacing w:line="360" w:lineRule="auto"/>
        <w:jc w:val="center"/>
        <w:rPr>
          <w:rFonts w:hint="eastAsia" w:ascii="宋体" w:hAnsi="宋体" w:eastAsia="宋体" w:cs="宋体"/>
          <w:b/>
          <w:bCs/>
          <w:sz w:val="52"/>
          <w:szCs w:val="48"/>
          <w:lang w:eastAsia="zh-CN"/>
        </w:rPr>
      </w:pPr>
    </w:p>
    <w:p w14:paraId="0E28C4FE">
      <w:pPr>
        <w:pageBreakBefore w:val="0"/>
        <w:kinsoku/>
        <w:overflowPunct/>
        <w:bidi w:val="0"/>
        <w:spacing w:line="360" w:lineRule="auto"/>
        <w:jc w:val="center"/>
        <w:rPr>
          <w:rFonts w:hint="eastAsia" w:ascii="宋体" w:hAnsi="宋体" w:eastAsia="宋体" w:cs="宋体"/>
          <w:b/>
          <w:bCs/>
          <w:color w:val="000000" w:themeColor="text1"/>
          <w:sz w:val="36"/>
          <w:szCs w:val="40"/>
          <w:lang w:eastAsia="zh-CN"/>
          <w14:textFill>
            <w14:solidFill>
              <w14:schemeClr w14:val="tx1"/>
            </w14:solidFill>
          </w14:textFill>
        </w:rPr>
      </w:pPr>
      <w:r>
        <w:rPr>
          <w:rFonts w:hint="eastAsia" w:ascii="宋体" w:hAnsi="宋体" w:eastAsia="宋体" w:cs="宋体"/>
          <w:b/>
          <w:bCs/>
          <w:sz w:val="56"/>
          <w:szCs w:val="52"/>
          <w:lang w:eastAsia="zh-CN"/>
        </w:rPr>
        <w:t>三门峡市伯阳学校餐厅改造项目</w:t>
      </w:r>
    </w:p>
    <w:p w14:paraId="613801A5">
      <w:pPr>
        <w:pageBreakBefore w:val="0"/>
        <w:kinsoku/>
        <w:overflowPunct/>
        <w:bidi w:val="0"/>
        <w:spacing w:line="360" w:lineRule="auto"/>
        <w:jc w:val="center"/>
        <w:rPr>
          <w:rFonts w:hint="eastAsia" w:ascii="宋体" w:hAnsi="宋体" w:eastAsia="宋体" w:cs="宋体"/>
          <w:b/>
          <w:bCs/>
          <w:color w:val="0000FF"/>
          <w:sz w:val="28"/>
          <w:szCs w:val="32"/>
        </w:rPr>
      </w:pPr>
    </w:p>
    <w:p w14:paraId="5EADFCEB">
      <w:pPr>
        <w:pageBreakBefore w:val="0"/>
        <w:kinsoku/>
        <w:overflowPunct/>
        <w:bidi w:val="0"/>
        <w:spacing w:line="360" w:lineRule="auto"/>
        <w:jc w:val="center"/>
        <w:rPr>
          <w:rFonts w:hint="eastAsia" w:ascii="宋体" w:hAnsi="宋体" w:eastAsia="宋体" w:cs="宋体"/>
          <w:b/>
          <w:bCs/>
          <w:color w:val="auto"/>
          <w:sz w:val="28"/>
          <w:szCs w:val="32"/>
          <w:highlight w:val="yellow"/>
        </w:rPr>
      </w:pPr>
      <w:bookmarkStart w:id="398" w:name="_GoBack"/>
      <w:bookmarkEnd w:id="398"/>
    </w:p>
    <w:p w14:paraId="486A6185">
      <w:pPr>
        <w:pageBreakBefore w:val="0"/>
        <w:kinsoku/>
        <w:overflowPunct/>
        <w:bidi w:val="0"/>
        <w:spacing w:line="360" w:lineRule="auto"/>
        <w:jc w:val="center"/>
        <w:rPr>
          <w:rFonts w:hint="eastAsia" w:ascii="宋体" w:hAnsi="宋体" w:eastAsia="宋体" w:cs="宋体"/>
          <w:b/>
          <w:bCs/>
          <w:color w:val="auto"/>
          <w:sz w:val="28"/>
          <w:szCs w:val="32"/>
          <w:highlight w:val="yellow"/>
        </w:rPr>
      </w:pPr>
    </w:p>
    <w:p w14:paraId="56F73A01">
      <w:pPr>
        <w:pageBreakBefore w:val="0"/>
        <w:kinsoku/>
        <w:overflowPunct/>
        <w:bidi w:val="0"/>
        <w:spacing w:line="360" w:lineRule="auto"/>
        <w:jc w:val="center"/>
        <w:rPr>
          <w:rFonts w:hint="eastAsia" w:ascii="宋体" w:hAnsi="宋体" w:eastAsia="宋体" w:cs="宋体"/>
          <w:b/>
          <w:bCs/>
          <w:sz w:val="60"/>
          <w:szCs w:val="60"/>
        </w:rPr>
      </w:pPr>
    </w:p>
    <w:p w14:paraId="1385D2BD">
      <w:pPr>
        <w:pageBreakBefore w:val="0"/>
        <w:kinsoku/>
        <w:overflowPunct/>
        <w:bidi w:val="0"/>
        <w:spacing w:line="360" w:lineRule="auto"/>
        <w:jc w:val="center"/>
        <w:rPr>
          <w:rFonts w:hint="eastAsia" w:ascii="宋体" w:hAnsi="宋体" w:eastAsia="宋体" w:cs="宋体"/>
          <w:b/>
          <w:bCs/>
          <w:sz w:val="60"/>
          <w:szCs w:val="60"/>
        </w:rPr>
      </w:pPr>
    </w:p>
    <w:p w14:paraId="34DD36B8">
      <w:pPr>
        <w:pageBreakBefore w:val="0"/>
        <w:kinsoku/>
        <w:overflowPunct/>
        <w:bidi w:val="0"/>
        <w:spacing w:line="360" w:lineRule="auto"/>
        <w:jc w:val="center"/>
        <w:rPr>
          <w:rFonts w:hint="eastAsia" w:ascii="宋体" w:hAnsi="宋体" w:eastAsia="宋体" w:cs="宋体"/>
          <w:b/>
          <w:bCs/>
          <w:sz w:val="60"/>
          <w:szCs w:val="60"/>
        </w:rPr>
      </w:pPr>
      <w:r>
        <w:rPr>
          <w:rFonts w:hint="eastAsia" w:ascii="宋体" w:hAnsi="宋体" w:eastAsia="宋体" w:cs="宋体"/>
          <w:b/>
          <w:bCs/>
          <w:sz w:val="60"/>
          <w:szCs w:val="60"/>
        </w:rPr>
        <w:t>竞争性磋商文件</w:t>
      </w:r>
    </w:p>
    <w:p w14:paraId="137107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32"/>
          <w:highlight w:val="none"/>
          <w:lang w:eastAsia="zh-CN"/>
        </w:rPr>
      </w:pPr>
      <w:r>
        <w:rPr>
          <w:rFonts w:hint="eastAsia" w:ascii="宋体" w:hAnsi="宋体" w:eastAsia="宋体" w:cs="宋体"/>
          <w:b/>
          <w:bCs/>
          <w:color w:val="auto"/>
          <w:sz w:val="28"/>
          <w:szCs w:val="32"/>
          <w:highlight w:val="none"/>
          <w:lang w:eastAsia="zh-CN"/>
        </w:rPr>
        <w:t>项目</w:t>
      </w:r>
      <w:r>
        <w:rPr>
          <w:rFonts w:hint="eastAsia" w:ascii="宋体" w:hAnsi="宋体" w:eastAsia="宋体" w:cs="宋体"/>
          <w:b/>
          <w:bCs/>
          <w:color w:val="auto"/>
          <w:sz w:val="28"/>
          <w:szCs w:val="32"/>
          <w:highlight w:val="none"/>
        </w:rPr>
        <w:t>编号：</w:t>
      </w:r>
      <w:r>
        <w:rPr>
          <w:rFonts w:hint="eastAsia" w:ascii="宋体" w:hAnsi="宋体" w:eastAsia="宋体" w:cs="宋体"/>
          <w:b/>
          <w:bCs/>
          <w:color w:val="auto"/>
          <w:sz w:val="28"/>
          <w:szCs w:val="32"/>
          <w:highlight w:val="none"/>
          <w:lang w:eastAsia="zh-CN"/>
        </w:rPr>
        <w:t>三财竞磋采购-2025-98、SGZ[2025]615-ZC407</w:t>
      </w:r>
    </w:p>
    <w:p w14:paraId="50DF82DD">
      <w:pPr>
        <w:pageBreakBefore w:val="0"/>
        <w:kinsoku/>
        <w:overflowPunct/>
        <w:bidi w:val="0"/>
        <w:spacing w:line="360" w:lineRule="auto"/>
        <w:rPr>
          <w:rFonts w:hint="eastAsia" w:ascii="宋体" w:hAnsi="宋体" w:eastAsia="宋体" w:cs="宋体"/>
          <w:b/>
          <w:bCs/>
        </w:rPr>
      </w:pPr>
    </w:p>
    <w:p w14:paraId="3D94B13A">
      <w:pPr>
        <w:pageBreakBefore w:val="0"/>
        <w:kinsoku/>
        <w:overflowPunct/>
        <w:bidi w:val="0"/>
        <w:spacing w:line="360" w:lineRule="auto"/>
        <w:jc w:val="center"/>
        <w:rPr>
          <w:rFonts w:hint="eastAsia" w:ascii="宋体" w:hAnsi="宋体" w:eastAsia="宋体" w:cs="宋体"/>
          <w:b/>
          <w:bCs/>
        </w:rPr>
      </w:pPr>
    </w:p>
    <w:p w14:paraId="27288DB2">
      <w:pPr>
        <w:pageBreakBefore w:val="0"/>
        <w:kinsoku/>
        <w:overflowPunct/>
        <w:bidi w:val="0"/>
        <w:spacing w:line="360" w:lineRule="auto"/>
        <w:jc w:val="center"/>
        <w:rPr>
          <w:rFonts w:hint="eastAsia" w:ascii="宋体" w:hAnsi="宋体" w:eastAsia="宋体" w:cs="宋体"/>
          <w:b/>
          <w:bCs/>
        </w:rPr>
      </w:pPr>
    </w:p>
    <w:p w14:paraId="56AD2E80">
      <w:pPr>
        <w:pageBreakBefore w:val="0"/>
        <w:kinsoku/>
        <w:overflowPunct/>
        <w:bidi w:val="0"/>
        <w:spacing w:line="360" w:lineRule="auto"/>
        <w:jc w:val="center"/>
        <w:rPr>
          <w:rFonts w:hint="eastAsia" w:ascii="宋体" w:hAnsi="宋体" w:eastAsia="宋体" w:cs="宋体"/>
          <w:b/>
          <w:bCs/>
        </w:rPr>
      </w:pPr>
    </w:p>
    <w:p w14:paraId="143149A8">
      <w:pPr>
        <w:pageBreakBefore w:val="0"/>
        <w:kinsoku/>
        <w:overflowPunct/>
        <w:bidi w:val="0"/>
        <w:adjustRightInd w:val="0"/>
        <w:snapToGrid w:val="0"/>
        <w:spacing w:line="360" w:lineRule="auto"/>
        <w:jc w:val="both"/>
        <w:rPr>
          <w:rFonts w:hint="eastAsia" w:ascii="宋体" w:hAnsi="宋体" w:eastAsia="宋体" w:cs="宋体"/>
          <w:b/>
          <w:bCs/>
          <w:sz w:val="32"/>
          <w:szCs w:val="32"/>
        </w:rPr>
      </w:pPr>
    </w:p>
    <w:p w14:paraId="5A62E81E">
      <w:pPr>
        <w:keepNext w:val="0"/>
        <w:keepLines w:val="0"/>
        <w:pageBreakBefore w:val="0"/>
        <w:widowControl w:val="0"/>
        <w:kinsoku/>
        <w:wordWrap/>
        <w:overflowPunct/>
        <w:topLinePunct w:val="0"/>
        <w:autoSpaceDE/>
        <w:autoSpaceDN/>
        <w:bidi w:val="0"/>
        <w:adjustRightInd w:val="0"/>
        <w:snapToGrid w:val="0"/>
        <w:spacing w:line="360" w:lineRule="auto"/>
        <w:ind w:firstLine="1285" w:firstLineChars="400"/>
        <w:jc w:val="both"/>
        <w:textAlignment w:val="auto"/>
        <w:rPr>
          <w:rFonts w:hint="eastAsia" w:ascii="宋体" w:hAnsi="宋体" w:eastAsia="宋体" w:cs="宋体"/>
          <w:b/>
          <w:bCs/>
          <w:sz w:val="32"/>
          <w:szCs w:val="32"/>
        </w:rPr>
      </w:pPr>
    </w:p>
    <w:p w14:paraId="650394E7">
      <w:pPr>
        <w:keepNext w:val="0"/>
        <w:keepLines w:val="0"/>
        <w:pageBreakBefore w:val="0"/>
        <w:widowControl w:val="0"/>
        <w:kinsoku/>
        <w:wordWrap/>
        <w:overflowPunct/>
        <w:topLinePunct w:val="0"/>
        <w:autoSpaceDE/>
        <w:autoSpaceDN/>
        <w:bidi w:val="0"/>
        <w:adjustRightInd w:val="0"/>
        <w:snapToGrid w:val="0"/>
        <w:spacing w:line="360" w:lineRule="auto"/>
        <w:ind w:firstLine="1285" w:firstLineChars="400"/>
        <w:jc w:val="both"/>
        <w:textAlignment w:val="auto"/>
        <w:rPr>
          <w:rFonts w:hint="eastAsia" w:ascii="宋体" w:hAnsi="宋体" w:eastAsia="宋体" w:cs="宋体"/>
          <w:b/>
          <w:bCs/>
          <w:sz w:val="32"/>
          <w:szCs w:val="32"/>
        </w:rPr>
      </w:pPr>
    </w:p>
    <w:p w14:paraId="366F968C">
      <w:pPr>
        <w:keepNext w:val="0"/>
        <w:keepLines w:val="0"/>
        <w:pageBreakBefore w:val="0"/>
        <w:widowControl w:val="0"/>
        <w:kinsoku/>
        <w:wordWrap/>
        <w:overflowPunct/>
        <w:topLinePunct w:val="0"/>
        <w:autoSpaceDE/>
        <w:autoSpaceDN/>
        <w:bidi w:val="0"/>
        <w:adjustRightInd w:val="0"/>
        <w:snapToGrid w:val="0"/>
        <w:spacing w:line="360" w:lineRule="auto"/>
        <w:ind w:firstLine="1285" w:firstLineChars="400"/>
        <w:jc w:val="both"/>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rPr>
        <w:t>采</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购</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人：</w:t>
      </w:r>
      <w:r>
        <w:rPr>
          <w:rFonts w:hint="eastAsia" w:ascii="宋体" w:hAnsi="宋体" w:eastAsia="宋体" w:cs="宋体"/>
          <w:b/>
          <w:bCs/>
          <w:sz w:val="32"/>
          <w:szCs w:val="32"/>
          <w:lang w:eastAsia="zh-CN"/>
        </w:rPr>
        <w:t>三门峡市伯阳学校</w:t>
      </w:r>
    </w:p>
    <w:p w14:paraId="3C838577">
      <w:pPr>
        <w:keepNext w:val="0"/>
        <w:keepLines w:val="0"/>
        <w:pageBreakBefore w:val="0"/>
        <w:widowControl w:val="0"/>
        <w:kinsoku/>
        <w:wordWrap/>
        <w:overflowPunct/>
        <w:topLinePunct w:val="0"/>
        <w:autoSpaceDE/>
        <w:autoSpaceDN/>
        <w:bidi w:val="0"/>
        <w:spacing w:line="360" w:lineRule="auto"/>
        <w:ind w:firstLine="1285" w:firstLineChars="400"/>
        <w:jc w:val="both"/>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rPr>
        <w:t>代理机构：</w:t>
      </w:r>
      <w:r>
        <w:rPr>
          <w:rFonts w:hint="eastAsia" w:ascii="宋体" w:hAnsi="宋体" w:eastAsia="宋体" w:cs="宋体"/>
          <w:b/>
          <w:bCs/>
          <w:sz w:val="32"/>
          <w:szCs w:val="32"/>
          <w:lang w:eastAsia="zh-CN"/>
        </w:rPr>
        <w:t>汇衡昊远项目管理咨询有限公司</w:t>
      </w:r>
    </w:p>
    <w:p w14:paraId="25158B8E">
      <w:pPr>
        <w:keepNext w:val="0"/>
        <w:keepLines w:val="0"/>
        <w:pageBreakBefore w:val="0"/>
        <w:widowControl w:val="0"/>
        <w:kinsoku/>
        <w:wordWrap/>
        <w:overflowPunct/>
        <w:topLinePunct w:val="0"/>
        <w:autoSpaceDE/>
        <w:autoSpaceDN/>
        <w:bidi w:val="0"/>
        <w:spacing w:line="360" w:lineRule="auto"/>
        <w:ind w:firstLine="1285" w:firstLineChars="400"/>
        <w:jc w:val="both"/>
        <w:textAlignment w:val="auto"/>
        <w:rPr>
          <w:rFonts w:hint="eastAsia" w:ascii="宋体" w:hAnsi="宋体" w:eastAsia="宋体" w:cs="宋体"/>
          <w:b/>
          <w:bCs/>
          <w:sz w:val="32"/>
          <w:szCs w:val="32"/>
        </w:rPr>
      </w:pPr>
      <w:r>
        <w:rPr>
          <w:rFonts w:hint="eastAsia" w:ascii="宋体" w:hAnsi="宋体" w:eastAsia="宋体" w:cs="宋体"/>
          <w:b/>
          <w:bCs/>
          <w:sz w:val="32"/>
          <w:szCs w:val="32"/>
          <w:lang w:eastAsia="zh-CN"/>
        </w:rPr>
        <w:t>日</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期：</w:t>
      </w:r>
      <w:r>
        <w:rPr>
          <w:rFonts w:hint="eastAsia" w:ascii="宋体" w:hAnsi="宋体" w:eastAsia="宋体" w:cs="宋体"/>
          <w:b/>
          <w:bCs/>
          <w:sz w:val="32"/>
          <w:szCs w:val="32"/>
        </w:rPr>
        <w:t>二〇二</w:t>
      </w:r>
      <w:r>
        <w:rPr>
          <w:rFonts w:hint="eastAsia" w:ascii="宋体" w:hAnsi="宋体" w:eastAsia="宋体" w:cs="宋体"/>
          <w:b/>
          <w:bCs/>
          <w:sz w:val="32"/>
          <w:szCs w:val="32"/>
          <w:lang w:eastAsia="zh-CN"/>
        </w:rPr>
        <w:t>五</w:t>
      </w:r>
      <w:r>
        <w:rPr>
          <w:rFonts w:hint="eastAsia" w:ascii="宋体" w:hAnsi="宋体" w:eastAsia="宋体" w:cs="宋体"/>
          <w:b/>
          <w:bCs/>
          <w:sz w:val="32"/>
          <w:szCs w:val="32"/>
        </w:rPr>
        <w:t>年</w:t>
      </w:r>
      <w:r>
        <w:rPr>
          <w:rFonts w:hint="eastAsia" w:ascii="宋体" w:hAnsi="宋体" w:eastAsia="宋体" w:cs="宋体"/>
          <w:b/>
          <w:bCs/>
          <w:sz w:val="32"/>
          <w:szCs w:val="32"/>
          <w:lang w:val="en-US" w:eastAsia="zh-CN"/>
        </w:rPr>
        <w:t>十二</w:t>
      </w:r>
      <w:r>
        <w:rPr>
          <w:rFonts w:hint="eastAsia" w:ascii="宋体" w:hAnsi="宋体" w:eastAsia="宋体" w:cs="宋体"/>
          <w:b/>
          <w:bCs/>
          <w:sz w:val="32"/>
          <w:szCs w:val="32"/>
        </w:rPr>
        <w:t>月</w:t>
      </w:r>
    </w:p>
    <w:p w14:paraId="141B462B">
      <w:pPr>
        <w:pageBreakBefore w:val="0"/>
        <w:kinsoku/>
        <w:overflowPunct/>
        <w:bidi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br w:type="page"/>
      </w:r>
    </w:p>
    <w:p w14:paraId="045A700C">
      <w:pPr>
        <w:pageBreakBefore w:val="0"/>
        <w:kinsoku/>
        <w:overflowPunct/>
        <w:bidi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目  录</w:t>
      </w:r>
    </w:p>
    <w:p w14:paraId="0F3C145E">
      <w:pPr>
        <w:pStyle w:val="12"/>
        <w:pageBreakBefore w:val="0"/>
        <w:tabs>
          <w:tab w:val="right" w:leader="dot" w:pos="8306"/>
        </w:tabs>
        <w:kinsoku/>
        <w:overflowPunct/>
        <w:bidi w:val="0"/>
        <w:spacing w:line="360" w:lineRule="auto"/>
        <w:rPr>
          <w:sz w:val="28"/>
          <w:szCs w:val="28"/>
        </w:rPr>
      </w:pPr>
      <w:r>
        <w:rPr>
          <w:rFonts w:hint="eastAsia" w:ascii="宋体" w:hAnsi="宋体" w:eastAsia="宋体" w:cs="宋体"/>
          <w:b/>
          <w:bCs/>
          <w:color w:val="000000"/>
          <w:kern w:val="0"/>
          <w:sz w:val="28"/>
          <w:szCs w:val="28"/>
        </w:rPr>
        <w:fldChar w:fldCharType="begin"/>
      </w:r>
      <w:r>
        <w:rPr>
          <w:rFonts w:hint="eastAsia" w:ascii="宋体" w:hAnsi="宋体" w:eastAsia="宋体" w:cs="宋体"/>
          <w:b/>
          <w:bCs/>
          <w:color w:val="000000"/>
          <w:kern w:val="0"/>
          <w:sz w:val="28"/>
          <w:szCs w:val="28"/>
        </w:rPr>
        <w:instrText xml:space="preserve">TOC \o "1-1" \h \u </w:instrText>
      </w:r>
      <w:r>
        <w:rPr>
          <w:rFonts w:hint="eastAsia" w:ascii="宋体" w:hAnsi="宋体" w:eastAsia="宋体" w:cs="宋体"/>
          <w:b/>
          <w:bCs/>
          <w:color w:val="000000"/>
          <w:kern w:val="0"/>
          <w:sz w:val="28"/>
          <w:szCs w:val="28"/>
        </w:rPr>
        <w:fldChar w:fldCharType="separate"/>
      </w:r>
      <w:r>
        <w:rPr>
          <w:rFonts w:hint="eastAsia" w:ascii="宋体" w:hAnsi="宋体" w:eastAsia="宋体" w:cs="宋体"/>
          <w:bCs/>
          <w:color w:val="000000"/>
          <w:kern w:val="0"/>
          <w:sz w:val="28"/>
          <w:szCs w:val="28"/>
        </w:rPr>
        <w:fldChar w:fldCharType="begin"/>
      </w:r>
      <w:r>
        <w:rPr>
          <w:rFonts w:hint="eastAsia" w:ascii="宋体" w:hAnsi="宋体" w:eastAsia="宋体" w:cs="宋体"/>
          <w:bCs/>
          <w:kern w:val="0"/>
          <w:sz w:val="28"/>
          <w:szCs w:val="28"/>
        </w:rPr>
        <w:instrText xml:space="preserve"> HYPERLINK \l _Toc8252 </w:instrText>
      </w:r>
      <w:r>
        <w:rPr>
          <w:rFonts w:hint="eastAsia" w:ascii="宋体" w:hAnsi="宋体" w:eastAsia="宋体" w:cs="宋体"/>
          <w:bCs/>
          <w:kern w:val="0"/>
          <w:sz w:val="28"/>
          <w:szCs w:val="28"/>
        </w:rPr>
        <w:fldChar w:fldCharType="separate"/>
      </w:r>
      <w:r>
        <w:rPr>
          <w:rFonts w:hint="eastAsia" w:ascii="宋体" w:hAnsi="宋体" w:eastAsia="宋体" w:cs="宋体"/>
          <w:sz w:val="28"/>
          <w:szCs w:val="28"/>
        </w:rPr>
        <w:t>第一章  竞争性磋商公告</w:t>
      </w:r>
      <w:r>
        <w:rPr>
          <w:sz w:val="28"/>
          <w:szCs w:val="28"/>
        </w:rPr>
        <w:tab/>
      </w:r>
      <w:r>
        <w:rPr>
          <w:sz w:val="28"/>
          <w:szCs w:val="28"/>
        </w:rPr>
        <w:fldChar w:fldCharType="begin"/>
      </w:r>
      <w:r>
        <w:rPr>
          <w:sz w:val="28"/>
          <w:szCs w:val="28"/>
        </w:rPr>
        <w:instrText xml:space="preserve"> PAGEREF _Toc8252 \h </w:instrText>
      </w:r>
      <w:r>
        <w:rPr>
          <w:sz w:val="28"/>
          <w:szCs w:val="28"/>
        </w:rPr>
        <w:fldChar w:fldCharType="separate"/>
      </w:r>
      <w:r>
        <w:rPr>
          <w:sz w:val="28"/>
          <w:szCs w:val="28"/>
        </w:rPr>
        <w:t>3</w:t>
      </w:r>
      <w:r>
        <w:rPr>
          <w:sz w:val="28"/>
          <w:szCs w:val="28"/>
        </w:rPr>
        <w:fldChar w:fldCharType="end"/>
      </w:r>
      <w:r>
        <w:rPr>
          <w:rFonts w:hint="eastAsia" w:ascii="宋体" w:hAnsi="宋体" w:eastAsia="宋体" w:cs="宋体"/>
          <w:bCs/>
          <w:color w:val="000000"/>
          <w:kern w:val="0"/>
          <w:sz w:val="28"/>
          <w:szCs w:val="28"/>
        </w:rPr>
        <w:fldChar w:fldCharType="end"/>
      </w:r>
    </w:p>
    <w:p w14:paraId="4A920008">
      <w:pPr>
        <w:pStyle w:val="12"/>
        <w:pageBreakBefore w:val="0"/>
        <w:tabs>
          <w:tab w:val="right" w:leader="dot" w:pos="8306"/>
        </w:tabs>
        <w:kinsoku/>
        <w:overflowPunct/>
        <w:bidi w:val="0"/>
        <w:spacing w:line="360" w:lineRule="auto"/>
        <w:rPr>
          <w:sz w:val="28"/>
          <w:szCs w:val="28"/>
        </w:rPr>
      </w:pPr>
      <w:r>
        <w:rPr>
          <w:rFonts w:hint="eastAsia" w:ascii="宋体" w:hAnsi="宋体" w:eastAsia="宋体" w:cs="宋体"/>
          <w:bCs/>
          <w:color w:val="000000"/>
          <w:kern w:val="0"/>
          <w:sz w:val="28"/>
          <w:szCs w:val="28"/>
        </w:rPr>
        <w:fldChar w:fldCharType="begin"/>
      </w:r>
      <w:r>
        <w:rPr>
          <w:rFonts w:hint="eastAsia" w:ascii="宋体" w:hAnsi="宋体" w:eastAsia="宋体" w:cs="宋体"/>
          <w:bCs/>
          <w:kern w:val="0"/>
          <w:sz w:val="28"/>
          <w:szCs w:val="28"/>
        </w:rPr>
        <w:instrText xml:space="preserve"> HYPERLINK \l _Toc29232 </w:instrText>
      </w:r>
      <w:r>
        <w:rPr>
          <w:rFonts w:hint="eastAsia" w:ascii="宋体" w:hAnsi="宋体" w:eastAsia="宋体" w:cs="宋体"/>
          <w:bCs/>
          <w:kern w:val="0"/>
          <w:sz w:val="28"/>
          <w:szCs w:val="28"/>
        </w:rPr>
        <w:fldChar w:fldCharType="separate"/>
      </w:r>
      <w:r>
        <w:rPr>
          <w:rFonts w:hint="eastAsia" w:ascii="宋体" w:hAnsi="宋体" w:eastAsia="宋体" w:cs="宋体"/>
          <w:sz w:val="28"/>
          <w:szCs w:val="28"/>
        </w:rPr>
        <w:t>第二章  供应商须知</w:t>
      </w:r>
      <w:r>
        <w:rPr>
          <w:sz w:val="28"/>
          <w:szCs w:val="28"/>
        </w:rPr>
        <w:tab/>
      </w:r>
      <w:r>
        <w:rPr>
          <w:sz w:val="28"/>
          <w:szCs w:val="28"/>
        </w:rPr>
        <w:fldChar w:fldCharType="begin"/>
      </w:r>
      <w:r>
        <w:rPr>
          <w:sz w:val="28"/>
          <w:szCs w:val="28"/>
        </w:rPr>
        <w:instrText xml:space="preserve"> PAGEREF _Toc29232 \h </w:instrText>
      </w:r>
      <w:r>
        <w:rPr>
          <w:sz w:val="28"/>
          <w:szCs w:val="28"/>
        </w:rPr>
        <w:fldChar w:fldCharType="separate"/>
      </w:r>
      <w:r>
        <w:rPr>
          <w:sz w:val="28"/>
          <w:szCs w:val="28"/>
        </w:rPr>
        <w:t>8</w:t>
      </w:r>
      <w:r>
        <w:rPr>
          <w:sz w:val="28"/>
          <w:szCs w:val="28"/>
        </w:rPr>
        <w:fldChar w:fldCharType="end"/>
      </w:r>
      <w:r>
        <w:rPr>
          <w:rFonts w:hint="eastAsia" w:ascii="宋体" w:hAnsi="宋体" w:eastAsia="宋体" w:cs="宋体"/>
          <w:bCs/>
          <w:color w:val="000000"/>
          <w:kern w:val="0"/>
          <w:sz w:val="28"/>
          <w:szCs w:val="28"/>
        </w:rPr>
        <w:fldChar w:fldCharType="end"/>
      </w:r>
    </w:p>
    <w:p w14:paraId="28868589">
      <w:pPr>
        <w:pStyle w:val="12"/>
        <w:pageBreakBefore w:val="0"/>
        <w:tabs>
          <w:tab w:val="right" w:leader="dot" w:pos="8306"/>
        </w:tabs>
        <w:kinsoku/>
        <w:overflowPunct/>
        <w:bidi w:val="0"/>
        <w:spacing w:line="360" w:lineRule="auto"/>
        <w:rPr>
          <w:sz w:val="28"/>
          <w:szCs w:val="28"/>
        </w:rPr>
      </w:pPr>
      <w:r>
        <w:rPr>
          <w:rFonts w:hint="eastAsia" w:ascii="宋体" w:hAnsi="宋体" w:eastAsia="宋体" w:cs="宋体"/>
          <w:bCs/>
          <w:color w:val="000000"/>
          <w:kern w:val="0"/>
          <w:sz w:val="28"/>
          <w:szCs w:val="28"/>
        </w:rPr>
        <w:fldChar w:fldCharType="begin"/>
      </w:r>
      <w:r>
        <w:rPr>
          <w:rFonts w:hint="eastAsia" w:ascii="宋体" w:hAnsi="宋体" w:eastAsia="宋体" w:cs="宋体"/>
          <w:bCs/>
          <w:kern w:val="0"/>
          <w:sz w:val="28"/>
          <w:szCs w:val="28"/>
        </w:rPr>
        <w:instrText xml:space="preserve"> HYPERLINK \l _Toc31788 </w:instrText>
      </w:r>
      <w:r>
        <w:rPr>
          <w:rFonts w:hint="eastAsia" w:ascii="宋体" w:hAnsi="宋体" w:eastAsia="宋体" w:cs="宋体"/>
          <w:bCs/>
          <w:kern w:val="0"/>
          <w:sz w:val="28"/>
          <w:szCs w:val="28"/>
        </w:rPr>
        <w:fldChar w:fldCharType="separate"/>
      </w:r>
      <w:r>
        <w:rPr>
          <w:rFonts w:hint="eastAsia" w:ascii="宋体" w:hAnsi="宋体" w:eastAsia="宋体" w:cs="宋体"/>
          <w:sz w:val="28"/>
          <w:szCs w:val="28"/>
        </w:rPr>
        <w:t>第三章  工程量清单</w:t>
      </w:r>
      <w:r>
        <w:rPr>
          <w:sz w:val="28"/>
          <w:szCs w:val="28"/>
        </w:rPr>
        <w:tab/>
      </w:r>
      <w:r>
        <w:rPr>
          <w:sz w:val="28"/>
          <w:szCs w:val="28"/>
        </w:rPr>
        <w:fldChar w:fldCharType="begin"/>
      </w:r>
      <w:r>
        <w:rPr>
          <w:sz w:val="28"/>
          <w:szCs w:val="28"/>
        </w:rPr>
        <w:instrText xml:space="preserve"> PAGEREF _Toc31788 \h </w:instrText>
      </w:r>
      <w:r>
        <w:rPr>
          <w:sz w:val="28"/>
          <w:szCs w:val="28"/>
        </w:rPr>
        <w:fldChar w:fldCharType="separate"/>
      </w:r>
      <w:r>
        <w:rPr>
          <w:sz w:val="28"/>
          <w:szCs w:val="28"/>
        </w:rPr>
        <w:t>27</w:t>
      </w:r>
      <w:r>
        <w:rPr>
          <w:sz w:val="28"/>
          <w:szCs w:val="28"/>
        </w:rPr>
        <w:fldChar w:fldCharType="end"/>
      </w:r>
      <w:r>
        <w:rPr>
          <w:rFonts w:hint="eastAsia" w:ascii="宋体" w:hAnsi="宋体" w:eastAsia="宋体" w:cs="宋体"/>
          <w:bCs/>
          <w:color w:val="000000"/>
          <w:kern w:val="0"/>
          <w:sz w:val="28"/>
          <w:szCs w:val="28"/>
        </w:rPr>
        <w:fldChar w:fldCharType="end"/>
      </w:r>
    </w:p>
    <w:p w14:paraId="3AC3B0C1">
      <w:pPr>
        <w:pStyle w:val="12"/>
        <w:pageBreakBefore w:val="0"/>
        <w:tabs>
          <w:tab w:val="right" w:leader="dot" w:pos="8306"/>
        </w:tabs>
        <w:kinsoku/>
        <w:overflowPunct/>
        <w:bidi w:val="0"/>
        <w:spacing w:line="360" w:lineRule="auto"/>
        <w:rPr>
          <w:sz w:val="28"/>
          <w:szCs w:val="28"/>
        </w:rPr>
      </w:pPr>
      <w:r>
        <w:rPr>
          <w:rFonts w:hint="eastAsia" w:ascii="宋体" w:hAnsi="宋体" w:eastAsia="宋体" w:cs="宋体"/>
          <w:bCs/>
          <w:color w:val="000000"/>
          <w:kern w:val="0"/>
          <w:sz w:val="28"/>
          <w:szCs w:val="28"/>
        </w:rPr>
        <w:fldChar w:fldCharType="begin"/>
      </w:r>
      <w:r>
        <w:rPr>
          <w:rFonts w:hint="eastAsia" w:ascii="宋体" w:hAnsi="宋体" w:eastAsia="宋体" w:cs="宋体"/>
          <w:bCs/>
          <w:kern w:val="0"/>
          <w:sz w:val="28"/>
          <w:szCs w:val="28"/>
        </w:rPr>
        <w:instrText xml:space="preserve"> HYPERLINK \l _Toc5987 </w:instrText>
      </w:r>
      <w:r>
        <w:rPr>
          <w:rFonts w:hint="eastAsia" w:ascii="宋体" w:hAnsi="宋体" w:eastAsia="宋体" w:cs="宋体"/>
          <w:bCs/>
          <w:kern w:val="0"/>
          <w:sz w:val="28"/>
          <w:szCs w:val="28"/>
        </w:rPr>
        <w:fldChar w:fldCharType="separate"/>
      </w:r>
      <w:r>
        <w:rPr>
          <w:rFonts w:hint="eastAsia" w:ascii="宋体" w:hAnsi="宋体" w:eastAsia="宋体" w:cs="宋体"/>
          <w:sz w:val="28"/>
          <w:szCs w:val="28"/>
        </w:rPr>
        <w:t>第四章  磋商办法</w:t>
      </w:r>
      <w:r>
        <w:rPr>
          <w:sz w:val="28"/>
          <w:szCs w:val="28"/>
        </w:rPr>
        <w:tab/>
      </w:r>
      <w:r>
        <w:rPr>
          <w:sz w:val="28"/>
          <w:szCs w:val="28"/>
        </w:rPr>
        <w:fldChar w:fldCharType="begin"/>
      </w:r>
      <w:r>
        <w:rPr>
          <w:sz w:val="28"/>
          <w:szCs w:val="28"/>
        </w:rPr>
        <w:instrText xml:space="preserve"> PAGEREF _Toc5987 \h </w:instrText>
      </w:r>
      <w:r>
        <w:rPr>
          <w:sz w:val="28"/>
          <w:szCs w:val="28"/>
        </w:rPr>
        <w:fldChar w:fldCharType="separate"/>
      </w:r>
      <w:r>
        <w:rPr>
          <w:sz w:val="28"/>
          <w:szCs w:val="28"/>
        </w:rPr>
        <w:t>28</w:t>
      </w:r>
      <w:r>
        <w:rPr>
          <w:sz w:val="28"/>
          <w:szCs w:val="28"/>
        </w:rPr>
        <w:fldChar w:fldCharType="end"/>
      </w:r>
      <w:r>
        <w:rPr>
          <w:rFonts w:hint="eastAsia" w:ascii="宋体" w:hAnsi="宋体" w:eastAsia="宋体" w:cs="宋体"/>
          <w:bCs/>
          <w:color w:val="000000"/>
          <w:kern w:val="0"/>
          <w:sz w:val="28"/>
          <w:szCs w:val="28"/>
        </w:rPr>
        <w:fldChar w:fldCharType="end"/>
      </w:r>
    </w:p>
    <w:p w14:paraId="4730B677">
      <w:pPr>
        <w:pStyle w:val="12"/>
        <w:pageBreakBefore w:val="0"/>
        <w:tabs>
          <w:tab w:val="right" w:leader="dot" w:pos="8306"/>
        </w:tabs>
        <w:kinsoku/>
        <w:overflowPunct/>
        <w:bidi w:val="0"/>
        <w:spacing w:line="360" w:lineRule="auto"/>
        <w:rPr>
          <w:sz w:val="28"/>
          <w:szCs w:val="28"/>
        </w:rPr>
      </w:pPr>
      <w:r>
        <w:rPr>
          <w:rFonts w:hint="eastAsia" w:ascii="宋体" w:hAnsi="宋体" w:eastAsia="宋体" w:cs="宋体"/>
          <w:bCs/>
          <w:color w:val="000000"/>
          <w:kern w:val="0"/>
          <w:sz w:val="28"/>
          <w:szCs w:val="28"/>
        </w:rPr>
        <w:fldChar w:fldCharType="begin"/>
      </w:r>
      <w:r>
        <w:rPr>
          <w:rFonts w:hint="eastAsia" w:ascii="宋体" w:hAnsi="宋体" w:eastAsia="宋体" w:cs="宋体"/>
          <w:bCs/>
          <w:kern w:val="0"/>
          <w:sz w:val="28"/>
          <w:szCs w:val="28"/>
        </w:rPr>
        <w:instrText xml:space="preserve"> HYPERLINK \l _Toc12328 </w:instrText>
      </w:r>
      <w:r>
        <w:rPr>
          <w:rFonts w:hint="eastAsia" w:ascii="宋体" w:hAnsi="宋体" w:eastAsia="宋体" w:cs="宋体"/>
          <w:bCs/>
          <w:kern w:val="0"/>
          <w:sz w:val="28"/>
          <w:szCs w:val="28"/>
        </w:rPr>
        <w:fldChar w:fldCharType="separate"/>
      </w:r>
      <w:r>
        <w:rPr>
          <w:rFonts w:hint="eastAsia" w:ascii="宋体" w:hAnsi="宋体" w:eastAsia="宋体" w:cs="宋体"/>
          <w:sz w:val="28"/>
          <w:szCs w:val="28"/>
        </w:rPr>
        <w:t>第五章  合同条款及格式</w:t>
      </w:r>
      <w:r>
        <w:rPr>
          <w:sz w:val="28"/>
          <w:szCs w:val="28"/>
        </w:rPr>
        <w:tab/>
      </w:r>
      <w:r>
        <w:rPr>
          <w:sz w:val="28"/>
          <w:szCs w:val="28"/>
        </w:rPr>
        <w:fldChar w:fldCharType="begin"/>
      </w:r>
      <w:r>
        <w:rPr>
          <w:sz w:val="28"/>
          <w:szCs w:val="28"/>
        </w:rPr>
        <w:instrText xml:space="preserve"> PAGEREF _Toc12328 \h </w:instrText>
      </w:r>
      <w:r>
        <w:rPr>
          <w:sz w:val="28"/>
          <w:szCs w:val="28"/>
        </w:rPr>
        <w:fldChar w:fldCharType="separate"/>
      </w:r>
      <w:r>
        <w:rPr>
          <w:sz w:val="28"/>
          <w:szCs w:val="28"/>
        </w:rPr>
        <w:t>37</w:t>
      </w:r>
      <w:r>
        <w:rPr>
          <w:sz w:val="28"/>
          <w:szCs w:val="28"/>
        </w:rPr>
        <w:fldChar w:fldCharType="end"/>
      </w:r>
      <w:r>
        <w:rPr>
          <w:rFonts w:hint="eastAsia" w:ascii="宋体" w:hAnsi="宋体" w:eastAsia="宋体" w:cs="宋体"/>
          <w:bCs/>
          <w:color w:val="000000"/>
          <w:kern w:val="0"/>
          <w:sz w:val="28"/>
          <w:szCs w:val="28"/>
        </w:rPr>
        <w:fldChar w:fldCharType="end"/>
      </w:r>
    </w:p>
    <w:p w14:paraId="6E761DD4">
      <w:pPr>
        <w:pStyle w:val="12"/>
        <w:pageBreakBefore w:val="0"/>
        <w:tabs>
          <w:tab w:val="right" w:leader="dot" w:pos="8306"/>
        </w:tabs>
        <w:kinsoku/>
        <w:overflowPunct/>
        <w:bidi w:val="0"/>
        <w:spacing w:line="360" w:lineRule="auto"/>
        <w:rPr>
          <w:sz w:val="28"/>
          <w:szCs w:val="28"/>
        </w:rPr>
      </w:pPr>
      <w:r>
        <w:rPr>
          <w:rFonts w:hint="eastAsia" w:ascii="宋体" w:hAnsi="宋体" w:eastAsia="宋体" w:cs="宋体"/>
          <w:bCs/>
          <w:color w:val="000000"/>
          <w:kern w:val="0"/>
          <w:sz w:val="28"/>
          <w:szCs w:val="28"/>
        </w:rPr>
        <w:fldChar w:fldCharType="begin"/>
      </w:r>
      <w:r>
        <w:rPr>
          <w:rFonts w:hint="eastAsia" w:ascii="宋体" w:hAnsi="宋体" w:eastAsia="宋体" w:cs="宋体"/>
          <w:bCs/>
          <w:kern w:val="0"/>
          <w:sz w:val="28"/>
          <w:szCs w:val="28"/>
        </w:rPr>
        <w:instrText xml:space="preserve"> HYPERLINK \l _Toc9421 </w:instrText>
      </w:r>
      <w:r>
        <w:rPr>
          <w:rFonts w:hint="eastAsia" w:ascii="宋体" w:hAnsi="宋体" w:eastAsia="宋体" w:cs="宋体"/>
          <w:bCs/>
          <w:kern w:val="0"/>
          <w:sz w:val="28"/>
          <w:szCs w:val="28"/>
        </w:rPr>
        <w:fldChar w:fldCharType="separate"/>
      </w:r>
      <w:r>
        <w:rPr>
          <w:rFonts w:hint="eastAsia" w:ascii="宋体" w:hAnsi="宋体" w:eastAsia="宋体" w:cs="宋体"/>
          <w:sz w:val="28"/>
          <w:szCs w:val="28"/>
        </w:rPr>
        <w:t>第六章  磋商响应文件格式</w:t>
      </w:r>
      <w:r>
        <w:rPr>
          <w:sz w:val="28"/>
          <w:szCs w:val="28"/>
        </w:rPr>
        <w:tab/>
      </w:r>
      <w:r>
        <w:rPr>
          <w:sz w:val="28"/>
          <w:szCs w:val="28"/>
        </w:rPr>
        <w:fldChar w:fldCharType="begin"/>
      </w:r>
      <w:r>
        <w:rPr>
          <w:sz w:val="28"/>
          <w:szCs w:val="28"/>
        </w:rPr>
        <w:instrText xml:space="preserve"> PAGEREF _Toc9421 \h </w:instrText>
      </w:r>
      <w:r>
        <w:rPr>
          <w:sz w:val="28"/>
          <w:szCs w:val="28"/>
        </w:rPr>
        <w:fldChar w:fldCharType="separate"/>
      </w:r>
      <w:r>
        <w:rPr>
          <w:sz w:val="28"/>
          <w:szCs w:val="28"/>
        </w:rPr>
        <w:t>42</w:t>
      </w:r>
      <w:r>
        <w:rPr>
          <w:sz w:val="28"/>
          <w:szCs w:val="28"/>
        </w:rPr>
        <w:fldChar w:fldCharType="end"/>
      </w:r>
      <w:r>
        <w:rPr>
          <w:rFonts w:hint="eastAsia" w:ascii="宋体" w:hAnsi="宋体" w:eastAsia="宋体" w:cs="宋体"/>
          <w:bCs/>
          <w:color w:val="000000"/>
          <w:kern w:val="0"/>
          <w:sz w:val="28"/>
          <w:szCs w:val="28"/>
        </w:rPr>
        <w:fldChar w:fldCharType="end"/>
      </w:r>
    </w:p>
    <w:p w14:paraId="34C0A6CA">
      <w:pPr>
        <w:pageBreakBefore w:val="0"/>
        <w:kinsoku/>
        <w:overflowPunct/>
        <w:bidi w:val="0"/>
        <w:spacing w:line="360" w:lineRule="auto"/>
        <w:rPr>
          <w:rFonts w:hint="eastAsia" w:ascii="宋体" w:hAnsi="宋体" w:eastAsia="宋体" w:cs="宋体"/>
          <w:b/>
          <w:bCs/>
          <w:color w:val="000000"/>
          <w:kern w:val="0"/>
          <w:sz w:val="24"/>
          <w:szCs w:val="24"/>
        </w:rPr>
      </w:pPr>
      <w:r>
        <w:rPr>
          <w:rFonts w:hint="eastAsia" w:ascii="宋体" w:hAnsi="宋体" w:eastAsia="宋体" w:cs="宋体"/>
          <w:bCs/>
          <w:color w:val="000000"/>
          <w:kern w:val="0"/>
          <w:sz w:val="28"/>
          <w:szCs w:val="28"/>
        </w:rPr>
        <w:fldChar w:fldCharType="end"/>
      </w:r>
    </w:p>
    <w:p w14:paraId="70E09235">
      <w:pPr>
        <w:pageBreakBefore w:val="0"/>
        <w:kinsoku/>
        <w:overflowPunct/>
        <w:bidi w:val="0"/>
        <w:spacing w:line="360" w:lineRule="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p>
    <w:p w14:paraId="04DFA04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000000"/>
          <w:kern w:val="0"/>
          <w:sz w:val="24"/>
          <w:szCs w:val="24"/>
        </w:rPr>
      </w:pPr>
      <w:bookmarkStart w:id="0" w:name="_Toc8252"/>
      <w:bookmarkStart w:id="1" w:name="_Toc31887"/>
      <w:r>
        <w:rPr>
          <w:rFonts w:hint="eastAsia" w:ascii="宋体" w:hAnsi="宋体" w:eastAsia="宋体" w:cs="宋体"/>
          <w:b/>
          <w:sz w:val="24"/>
          <w:szCs w:val="24"/>
        </w:rPr>
        <w:t>第一章  竞争性磋商公告</w:t>
      </w:r>
      <w:bookmarkEnd w:id="0"/>
      <w:bookmarkEnd w:id="1"/>
    </w:p>
    <w:p w14:paraId="5AC8D97E">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14:paraId="73E45915">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三门峡市伯阳学校餐厅改造项目</w:t>
      </w:r>
      <w:r>
        <w:rPr>
          <w:rFonts w:hint="eastAsia" w:ascii="宋体" w:hAnsi="宋体" w:eastAsia="宋体" w:cs="宋体"/>
          <w:color w:val="auto"/>
          <w:sz w:val="24"/>
          <w:szCs w:val="24"/>
        </w:rPr>
        <w:t>招标项目的潜在投标人应在</w:t>
      </w:r>
      <w:r>
        <w:rPr>
          <w:rFonts w:hint="eastAsia" w:ascii="宋体" w:hAnsi="宋体" w:cs="宋体"/>
          <w:b/>
          <w:bCs w:val="0"/>
          <w:kern w:val="0"/>
          <w:sz w:val="24"/>
          <w:szCs w:val="22"/>
        </w:rPr>
        <w:t>门峡市公共资源交易中心网</w:t>
      </w:r>
      <w:r>
        <w:rPr>
          <w:rFonts w:hint="eastAsia" w:ascii="宋体" w:hAnsi="宋体" w:eastAsia="宋体" w:cs="宋体"/>
          <w:color w:val="auto"/>
          <w:sz w:val="24"/>
          <w:szCs w:val="24"/>
        </w:rPr>
        <w:t>获取招标文件，</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08时30分</w:t>
      </w:r>
      <w:r>
        <w:rPr>
          <w:rFonts w:hint="eastAsia" w:ascii="宋体" w:hAnsi="宋体" w:eastAsia="宋体" w:cs="宋体"/>
          <w:color w:val="auto"/>
          <w:sz w:val="24"/>
          <w:szCs w:val="24"/>
        </w:rPr>
        <w:t>（北京时间）前递交响应文件。</w:t>
      </w:r>
    </w:p>
    <w:p w14:paraId="36E0C72B">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一、项目基本情况：</w:t>
      </w:r>
    </w:p>
    <w:p w14:paraId="64C9F921">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三财竞磋采购-2025-98、SGZ[2025]615-ZC407</w:t>
      </w:r>
    </w:p>
    <w:p w14:paraId="75044912">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2、项目名称：</w:t>
      </w:r>
      <w:r>
        <w:rPr>
          <w:rFonts w:hint="eastAsia" w:ascii="宋体" w:hAnsi="宋体" w:eastAsia="宋体" w:cs="宋体"/>
          <w:sz w:val="24"/>
          <w:szCs w:val="24"/>
          <w:lang w:eastAsia="zh-CN"/>
        </w:rPr>
        <w:t>三门峡市伯阳学校餐厅改造项目</w:t>
      </w:r>
    </w:p>
    <w:p w14:paraId="6ED2DDB7">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3、采购方式：竞争性磋商</w:t>
      </w:r>
    </w:p>
    <w:p w14:paraId="09DF3D69">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ascii="宋体" w:hAnsi="宋体" w:eastAsia="宋体" w:cs="宋体"/>
          <w:sz w:val="24"/>
          <w:szCs w:val="24"/>
          <w:lang w:eastAsia="zh-CN"/>
        </w:rPr>
        <w:t>预算金额：734599.51元</w:t>
      </w:r>
    </w:p>
    <w:p w14:paraId="6B0A5C7B">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ascii="宋体" w:hAnsi="宋体" w:cs="宋体"/>
          <w:sz w:val="24"/>
          <w:szCs w:val="24"/>
          <w:lang w:eastAsia="zh-CN"/>
        </w:rPr>
        <w:t>最高限价：734599.51</w:t>
      </w:r>
      <w:r>
        <w:rPr>
          <w:rFonts w:hint="eastAsia" w:ascii="宋体" w:hAnsi="宋体" w:eastAsia="宋体" w:cs="宋体"/>
          <w:sz w:val="24"/>
          <w:szCs w:val="24"/>
          <w:lang w:eastAsia="zh-CN"/>
        </w:rPr>
        <w:t>元</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650"/>
        <w:gridCol w:w="1504"/>
        <w:gridCol w:w="1217"/>
        <w:gridCol w:w="1218"/>
        <w:gridCol w:w="1218"/>
        <w:gridCol w:w="1218"/>
      </w:tblGrid>
      <w:tr w14:paraId="7BE7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Align w:val="center"/>
          </w:tcPr>
          <w:p w14:paraId="2147ECDE">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650" w:type="dxa"/>
            <w:vAlign w:val="center"/>
          </w:tcPr>
          <w:p w14:paraId="360323BD">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vertAlign w:val="baseline"/>
                <w:lang w:val="en-US" w:eastAsia="zh-CN"/>
              </w:rPr>
              <w:t>包号</w:t>
            </w:r>
          </w:p>
        </w:tc>
        <w:tc>
          <w:tcPr>
            <w:tcW w:w="1504" w:type="dxa"/>
            <w:vAlign w:val="center"/>
          </w:tcPr>
          <w:p w14:paraId="2288454F">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包名称</w:t>
            </w:r>
          </w:p>
        </w:tc>
        <w:tc>
          <w:tcPr>
            <w:tcW w:w="1217" w:type="dxa"/>
            <w:vAlign w:val="center"/>
          </w:tcPr>
          <w:p w14:paraId="1D3EF224">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包预算（元）</w:t>
            </w:r>
          </w:p>
        </w:tc>
        <w:tc>
          <w:tcPr>
            <w:tcW w:w="1218" w:type="dxa"/>
            <w:vAlign w:val="center"/>
          </w:tcPr>
          <w:p w14:paraId="01B0715E">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包最高限价（元）</w:t>
            </w:r>
          </w:p>
        </w:tc>
        <w:tc>
          <w:tcPr>
            <w:tcW w:w="1218" w:type="dxa"/>
            <w:vAlign w:val="center"/>
          </w:tcPr>
          <w:p w14:paraId="7047AB0D">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是否专门面向中小企业</w:t>
            </w:r>
          </w:p>
        </w:tc>
        <w:tc>
          <w:tcPr>
            <w:tcW w:w="1218" w:type="dxa"/>
            <w:vAlign w:val="center"/>
          </w:tcPr>
          <w:p w14:paraId="56C9A759">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采购预留金额（元）</w:t>
            </w:r>
          </w:p>
        </w:tc>
      </w:tr>
      <w:tr w14:paraId="3709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Align w:val="center"/>
          </w:tcPr>
          <w:p w14:paraId="40D668BB">
            <w:pPr>
              <w:keepNext w:val="0"/>
              <w:keepLines w:val="0"/>
              <w:pageBreakBefore w:val="0"/>
              <w:widowControl w:val="0"/>
              <w:kinsoku/>
              <w:wordWrap/>
              <w:overflowPunct/>
              <w:topLinePunct w:val="0"/>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650" w:type="dxa"/>
            <w:vAlign w:val="center"/>
          </w:tcPr>
          <w:p w14:paraId="2EC3CD3A">
            <w:pPr>
              <w:keepNext w:val="0"/>
              <w:keepLines w:val="0"/>
              <w:pageBreakBefore w:val="0"/>
              <w:widowControl w:val="0"/>
              <w:kinsoku/>
              <w:wordWrap/>
              <w:overflowPunct/>
              <w:topLinePunct w:val="0"/>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包1</w:t>
            </w:r>
          </w:p>
        </w:tc>
        <w:tc>
          <w:tcPr>
            <w:tcW w:w="1504" w:type="dxa"/>
            <w:vAlign w:val="center"/>
          </w:tcPr>
          <w:p w14:paraId="39BDA973">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三门峡市伯阳学校餐厅改造项目</w:t>
            </w:r>
          </w:p>
        </w:tc>
        <w:tc>
          <w:tcPr>
            <w:tcW w:w="1217" w:type="dxa"/>
            <w:vAlign w:val="center"/>
          </w:tcPr>
          <w:p w14:paraId="3386CBD2">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734599.51</w:t>
            </w:r>
          </w:p>
        </w:tc>
        <w:tc>
          <w:tcPr>
            <w:tcW w:w="1218" w:type="dxa"/>
            <w:vAlign w:val="center"/>
          </w:tcPr>
          <w:p w14:paraId="30D9969B">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eastAsia="zh-CN"/>
              </w:rPr>
              <w:t>734599.51</w:t>
            </w:r>
          </w:p>
        </w:tc>
        <w:tc>
          <w:tcPr>
            <w:tcW w:w="1218" w:type="dxa"/>
            <w:vAlign w:val="center"/>
          </w:tcPr>
          <w:p w14:paraId="67ACCAEE">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是</w:t>
            </w:r>
          </w:p>
        </w:tc>
        <w:tc>
          <w:tcPr>
            <w:tcW w:w="1218" w:type="dxa"/>
            <w:vAlign w:val="center"/>
          </w:tcPr>
          <w:p w14:paraId="1693FBEA">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eastAsia="zh-CN"/>
              </w:rPr>
              <w:t>734599.51</w:t>
            </w:r>
          </w:p>
        </w:tc>
      </w:tr>
    </w:tbl>
    <w:p w14:paraId="0E86E063">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5、采购需求（包括但不限于标的的名称、数量、简要技术需求或服务要求等）</w:t>
      </w:r>
    </w:p>
    <w:p w14:paraId="020E5CAA">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（1）采购范围：</w:t>
      </w:r>
      <w:r>
        <w:rPr>
          <w:rFonts w:hint="eastAsia" w:ascii="宋体" w:hAnsi="宋体" w:eastAsia="宋体" w:cs="宋体"/>
          <w:sz w:val="24"/>
          <w:szCs w:val="24"/>
          <w:lang w:eastAsia="zh-CN"/>
        </w:rPr>
        <w:t>竞争性</w:t>
      </w:r>
      <w:r>
        <w:rPr>
          <w:rFonts w:hint="eastAsia" w:ascii="宋体" w:hAnsi="宋体" w:eastAsia="宋体" w:cs="宋体"/>
          <w:sz w:val="24"/>
          <w:szCs w:val="24"/>
        </w:rPr>
        <w:t>磋商文件及工程量清单所</w:t>
      </w:r>
      <w:r>
        <w:rPr>
          <w:rFonts w:hint="eastAsia" w:ascii="宋体" w:hAnsi="宋体" w:eastAsia="宋体" w:cs="宋体"/>
          <w:sz w:val="24"/>
          <w:szCs w:val="24"/>
          <w:lang w:eastAsia="zh-CN"/>
        </w:rPr>
        <w:t>包含</w:t>
      </w:r>
      <w:r>
        <w:rPr>
          <w:rFonts w:hint="eastAsia" w:ascii="宋体" w:hAnsi="宋体" w:eastAsia="宋体" w:cs="宋体"/>
          <w:sz w:val="24"/>
          <w:szCs w:val="24"/>
        </w:rPr>
        <w:t>的全部内容</w:t>
      </w:r>
    </w:p>
    <w:p w14:paraId="6E297B45">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）项目概况：本工程为三门峡市伯阳学校餐厅改造项目，主要内容包含学校餐厅改造、教职工餐厅改造、餐厅阳光井及室内改造、体育馆地下室改造等，具体内容详见竞争性磋商文件及工程量清单。</w:t>
      </w:r>
    </w:p>
    <w:p w14:paraId="730A5E50">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（3）资金来源：财政资金，已落实。</w:t>
      </w:r>
    </w:p>
    <w:p w14:paraId="4C4C1A24">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（4）质量要求：</w:t>
      </w:r>
      <w:r>
        <w:rPr>
          <w:rFonts w:hint="eastAsia" w:ascii="宋体" w:hAnsi="宋体" w:eastAsia="宋体" w:cs="宋体"/>
          <w:sz w:val="24"/>
          <w:szCs w:val="24"/>
          <w:lang w:eastAsia="zh-CN"/>
        </w:rPr>
        <w:t>达到国家现行工程施工质量验收规范合格标准</w:t>
      </w:r>
    </w:p>
    <w:p w14:paraId="38A73970">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（5）</w:t>
      </w:r>
      <w:r>
        <w:rPr>
          <w:rFonts w:hint="eastAsia" w:ascii="宋体" w:hAnsi="宋体" w:eastAsia="宋体" w:cs="宋体"/>
          <w:sz w:val="24"/>
          <w:szCs w:val="24"/>
          <w:lang w:eastAsia="zh-CN"/>
        </w:rPr>
        <w:t>计划工期：</w:t>
      </w:r>
      <w:r>
        <w:rPr>
          <w:rFonts w:hint="eastAsia" w:ascii="宋体" w:hAnsi="宋体" w:eastAsia="宋体" w:cs="宋体"/>
          <w:sz w:val="24"/>
          <w:szCs w:val="24"/>
          <w:lang w:val="en-US" w:eastAsia="zh-CN"/>
        </w:rPr>
        <w:t>30日历天</w:t>
      </w:r>
    </w:p>
    <w:p w14:paraId="54CDDEC2">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）保修期</w:t>
      </w:r>
      <w:r>
        <w:rPr>
          <w:rFonts w:hint="eastAsia" w:ascii="宋体" w:hAnsi="宋体" w:eastAsia="宋体" w:cs="宋体"/>
          <w:sz w:val="24"/>
          <w:szCs w:val="24"/>
        </w:rPr>
        <w:t>：按国家规定</w:t>
      </w:r>
    </w:p>
    <w:p w14:paraId="1761E086">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、合同履行期限</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30日历天</w:t>
      </w:r>
    </w:p>
    <w:p w14:paraId="4DB54110">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7、本项目是否接受联合体投标：否</w:t>
      </w:r>
    </w:p>
    <w:p w14:paraId="52F3F423">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8、是否接受进口产品：否</w:t>
      </w:r>
    </w:p>
    <w:p w14:paraId="7A1961AF">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9、是否专门面向中小企业采购：是</w:t>
      </w:r>
    </w:p>
    <w:p w14:paraId="55F5654B">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cs="宋体"/>
          <w:bCs/>
          <w:kern w:val="0"/>
          <w:sz w:val="24"/>
          <w:szCs w:val="22"/>
        </w:rPr>
        <w:t>申请人资格要求</w:t>
      </w:r>
    </w:p>
    <w:p w14:paraId="0D99F55D">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70177D48">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2、落实政府采购政策满足的资格要求：</w:t>
      </w:r>
      <w:r>
        <w:rPr>
          <w:rFonts w:hint="eastAsia" w:ascii="宋体" w:hAnsi="宋体" w:eastAsia="宋体" w:cs="宋体"/>
          <w:sz w:val="24"/>
          <w:szCs w:val="24"/>
          <w:lang w:eastAsia="zh-CN"/>
        </w:rPr>
        <w:t>本项目为专门面向中小微企业采购项目（监狱企业、残疾人福利性企业视同小微企业）,执行促进中小企业（监狱企业、残疾人福利性企业）发展等政府采购政策。</w:t>
      </w:r>
    </w:p>
    <w:p w14:paraId="5E983126">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4DEFFD68">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须具备独立法人资格，持有合法有效的营业执照</w:t>
      </w:r>
      <w:r>
        <w:rPr>
          <w:rFonts w:hint="eastAsia" w:ascii="宋体" w:hAnsi="宋体" w:eastAsia="宋体" w:cs="宋体"/>
          <w:color w:val="auto"/>
          <w:sz w:val="24"/>
          <w:szCs w:val="24"/>
          <w:highlight w:val="none"/>
        </w:rPr>
        <w:t>；</w:t>
      </w:r>
    </w:p>
    <w:p w14:paraId="0A8FA839">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lang w:eastAsia="zh-CN"/>
        </w:rPr>
        <w:t>供应商须具有建筑工程施工总承包叁级（含叁级）及以上资质，具有有效的安全生产许可证，并在人员、设备、资金等方面具有相应的施工能力；</w:t>
      </w:r>
    </w:p>
    <w:p w14:paraId="28FF12D2">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lang w:eastAsia="zh-CN"/>
        </w:rPr>
        <w:t>拟派项目经理须具有建筑工程专业贰级（含贰级）及以上注册建造师资格、具备有效的安全生产考核合格证书，未在其它在建工程项目中担任项目经理，提供在本单位的社会养老保险缴费证明；</w:t>
      </w:r>
    </w:p>
    <w:p w14:paraId="19FEF2E9">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供应商须</w:t>
      </w:r>
      <w:r>
        <w:rPr>
          <w:rFonts w:hint="eastAsia" w:ascii="宋体" w:hAnsi="宋体" w:eastAsia="宋体" w:cs="宋体"/>
          <w:color w:val="auto"/>
          <w:sz w:val="24"/>
          <w:szCs w:val="24"/>
          <w:highlight w:val="none"/>
          <w:lang w:eastAsia="zh-CN"/>
        </w:rPr>
        <w:t>出具无行贿犯罪记录，在中国裁判文书网自行查询或自行承诺（查询/承诺对象为企业、法定代表人、项目经理）（查询日期必须在公告发布之日之后）</w:t>
      </w:r>
      <w:r>
        <w:rPr>
          <w:rFonts w:hint="eastAsia" w:ascii="宋体" w:hAnsi="宋体" w:eastAsia="宋体" w:cs="宋体"/>
          <w:color w:val="auto"/>
          <w:sz w:val="24"/>
          <w:szCs w:val="24"/>
          <w:highlight w:val="none"/>
        </w:rPr>
        <w:t>；</w:t>
      </w:r>
    </w:p>
    <w:p w14:paraId="758548FE">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供应商须</w:t>
      </w:r>
      <w:r>
        <w:rPr>
          <w:rFonts w:hint="eastAsia" w:ascii="宋体" w:hAnsi="宋体" w:eastAsia="宋体" w:cs="宋体"/>
          <w:kern w:val="0"/>
          <w:sz w:val="24"/>
          <w:szCs w:val="24"/>
          <w:highlight w:val="none"/>
          <w:lang w:val="en-US" w:eastAsia="zh-CN" w:bidi="ar"/>
        </w:rPr>
        <w:t>出具本企业无商业贿赂和不正当竞争行为承诺书，格式自拟；</w:t>
      </w:r>
    </w:p>
    <w:p w14:paraId="6F72F07A">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lang w:eastAsia="zh-CN"/>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 “中国执行信息公开网”网站（http</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//zxgk.court.gov.cn/shixin）“信用中国”网站（www.creditchina.gov.cn）、中国政府采购网（www.ccgp.gov.cn）；提供网站的查询信息截图（查询时间自公告发布之日起）。</w:t>
      </w:r>
    </w:p>
    <w:p w14:paraId="1031CC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本项目不接受联合体投标</w:t>
      </w:r>
      <w:r>
        <w:rPr>
          <w:rFonts w:hint="eastAsia" w:ascii="宋体" w:hAnsi="宋体" w:eastAsia="宋体" w:cs="宋体"/>
          <w:sz w:val="24"/>
          <w:szCs w:val="24"/>
        </w:rPr>
        <w:t>，提供非联合体承诺，格式自拟</w:t>
      </w:r>
      <w:r>
        <w:rPr>
          <w:rFonts w:hint="eastAsia" w:ascii="宋体" w:hAnsi="宋体" w:eastAsia="宋体" w:cs="宋体"/>
          <w:color w:val="auto"/>
          <w:sz w:val="24"/>
          <w:szCs w:val="24"/>
          <w:highlight w:val="none"/>
        </w:rPr>
        <w:t>。</w:t>
      </w:r>
    </w:p>
    <w:p w14:paraId="22A8B0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8</w:t>
      </w:r>
      <w:r>
        <w:rPr>
          <w:rFonts w:hint="eastAsia" w:ascii="宋体" w:hAnsi="宋体" w:eastAsia="宋体" w:cs="宋体"/>
          <w:sz w:val="24"/>
          <w:szCs w:val="24"/>
        </w:rPr>
        <w:t>本项目实行资格后审，资格审查的具体要求见竞争性磋商文件。</w:t>
      </w:r>
    </w:p>
    <w:p w14:paraId="0DDCB165">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温馨提醒：本项目为资格后审，资格审查由采购人依法组建的磋商小组负责。各供应商应认真阅读本项目供应商资格要求，避免无资格投标而造成不必要的损失。</w:t>
      </w:r>
    </w:p>
    <w:p w14:paraId="1212DCBF">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三、获取采购文件：</w:t>
      </w:r>
    </w:p>
    <w:p w14:paraId="05D32CE9">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eastAsia="宋体" w:cs="宋体"/>
          <w:color w:val="auto"/>
          <w:sz w:val="24"/>
          <w:szCs w:val="24"/>
          <w:highlight w:val="none"/>
        </w:rPr>
        <w:t>2025年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rPr>
        <w:t>，每天上午00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00至12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00，下午12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00至23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59（北京时间，法定节假日除外。）</w:t>
      </w:r>
    </w:p>
    <w:p w14:paraId="5C2FDEDF">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2.地点：三门峡市公共资源交易中心网；</w:t>
      </w:r>
    </w:p>
    <w:p w14:paraId="0AD6839E">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3.方式：本项目没有报名环节，投标供应商凭CA数字证书通过三门峡市公共资源交易中心网（网址：http</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//gzjy.smx.gov.cn/），点击交易平台选择“市场主体登录”，登陆系统后，点击采购业务-业务管理-竞争性磋商文件领取菜单-点击领取按钮-领取.smxzf格式的电子竞争性磋商文件。</w:t>
      </w:r>
    </w:p>
    <w:p w14:paraId="40F3019C">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宋体" w:hAnsi="宋体"/>
          <w:sz w:val="24"/>
          <w:szCs w:val="24"/>
        </w:rPr>
      </w:pPr>
      <w:r>
        <w:rPr>
          <w:rFonts w:hint="eastAsia" w:ascii="宋体" w:hAnsi="宋体"/>
          <w:sz w:val="24"/>
          <w:szCs w:val="24"/>
        </w:rPr>
        <w:t>办理CA证书：</w:t>
      </w:r>
    </w:p>
    <w:p w14:paraId="07C5B7E3">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"http://gzjy.smx.gov.cn/bzzx/008001/20231102/4defc9b5-408e-47f2-9e9f-1f376a06ee1f.html" </w:instrText>
      </w:r>
      <w:r>
        <w:rPr>
          <w:rFonts w:hint="eastAsia" w:ascii="宋体" w:hAnsi="宋体"/>
          <w:sz w:val="24"/>
          <w:szCs w:val="24"/>
        </w:rPr>
        <w:fldChar w:fldCharType="separate"/>
      </w:r>
      <w:r>
        <w:rPr>
          <w:rFonts w:hint="eastAsia" w:ascii="宋体" w:hAnsi="宋体"/>
          <w:sz w:val="24"/>
          <w:szCs w:val="24"/>
        </w:rPr>
        <w:t>http</w:t>
      </w:r>
      <w:r>
        <w:rPr>
          <w:rFonts w:hint="eastAsia" w:ascii="宋体" w:hAnsi="宋体"/>
          <w:sz w:val="24"/>
          <w:szCs w:val="24"/>
          <w:lang w:val="en-US" w:eastAsia="zh-CN"/>
        </w:rPr>
        <w:t>:</w:t>
      </w:r>
      <w:r>
        <w:rPr>
          <w:rFonts w:hint="eastAsia" w:ascii="宋体" w:hAnsi="宋体"/>
          <w:sz w:val="24"/>
          <w:szCs w:val="24"/>
        </w:rPr>
        <w:t>//gzjy.smx.gov.cn/bzzx/008001/20231102/4defc9b5-408e-47f2-9e9f-1f376a06ee1f.html</w:t>
      </w:r>
      <w:r>
        <w:rPr>
          <w:rFonts w:hint="eastAsia" w:ascii="宋体" w:hAnsi="宋体"/>
          <w:sz w:val="24"/>
          <w:szCs w:val="24"/>
        </w:rPr>
        <w:fldChar w:fldCharType="end"/>
      </w:r>
    </w:p>
    <w:p w14:paraId="076E68A0">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4.售价：0元</w:t>
      </w:r>
    </w:p>
    <w:p w14:paraId="4D42D3EE">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四、响应文件提交：</w:t>
      </w:r>
    </w:p>
    <w:p w14:paraId="73279D38">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1.截止时间：</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08</w:t>
      </w:r>
      <w:r>
        <w:rPr>
          <w:rFonts w:hint="eastAsia" w:ascii="宋体" w:hAnsi="宋体" w:eastAsia="宋体" w:cs="宋体"/>
          <w:color w:val="auto"/>
          <w:sz w:val="24"/>
          <w:szCs w:val="24"/>
        </w:rPr>
        <w:t>时30分（北京时间）</w:t>
      </w:r>
    </w:p>
    <w:p w14:paraId="67E61028">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2.地点：加密电子竞争性磋商响应文件须在磋商截止时间前通过三门峡市公共资源交易中心电子交易平台加密上传。</w:t>
      </w:r>
    </w:p>
    <w:p w14:paraId="07FF1504">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五、响应文件开启：</w:t>
      </w:r>
    </w:p>
    <w:p w14:paraId="1AC0C0E7">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lang w:eastAsia="zh-CN"/>
        </w:rPr>
        <w:t>2026年01月16日</w:t>
      </w:r>
      <w:r>
        <w:rPr>
          <w:rFonts w:hint="eastAsia" w:ascii="宋体" w:hAnsi="宋体" w:eastAsia="宋体" w:cs="宋体"/>
          <w:color w:val="auto"/>
          <w:sz w:val="24"/>
          <w:szCs w:val="24"/>
          <w:highlight w:val="none"/>
        </w:rPr>
        <w:t>08时30分（北京时间）</w:t>
      </w:r>
    </w:p>
    <w:p w14:paraId="4EA4E8E7">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highlight w:val="none"/>
          <w:lang w:eastAsia="zh-CN"/>
        </w:rPr>
        <w:t>三门峡市公共资源交易中心五楼开标区</w:t>
      </w:r>
    </w:p>
    <w:p w14:paraId="0864367C">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六、发布公告的媒介及公告期限</w:t>
      </w:r>
    </w:p>
    <w:p w14:paraId="418CAEBD">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本次招标公告在《河南省政府采购网》《三门峡市公共资源交易中心网》和《中国招标投标公共服务平台》上发布，招标公告期限为三个工作日。</w:t>
      </w:r>
    </w:p>
    <w:p w14:paraId="26D332B1">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七、其他补充事宜</w:t>
      </w:r>
    </w:p>
    <w:p w14:paraId="5AEAB86C">
      <w:pPr>
        <w:pStyle w:val="14"/>
        <w:pageBreakBefore w:val="0"/>
        <w:kinsoku/>
        <w:overflowPunct/>
        <w:bidi w:val="0"/>
        <w:spacing w:before="0" w:beforeAutospacing="0" w:after="0" w:afterAutospacing="0" w:line="360" w:lineRule="auto"/>
        <w:ind w:firstLine="566"/>
        <w:jc w:val="both"/>
        <w:outlineLvl w:val="9"/>
        <w:rPr>
          <w:rFonts w:hint="eastAsia" w:ascii="宋体" w:hAnsi="宋体" w:eastAsia="宋体" w:cs="宋体"/>
          <w:highlight w:val="none"/>
        </w:rPr>
      </w:pPr>
      <w:r>
        <w:rPr>
          <w:rFonts w:hint="eastAsia" w:ascii="宋体" w:hAnsi="宋体" w:eastAsia="宋体" w:cs="宋体"/>
          <w:highlight w:val="none"/>
        </w:rPr>
        <w:t>1.本项目为不见面开标项目，开标当日，投标人无需到开标现场参加开标会议，投标人应当在投标截止时间前，登陆不见面开标大厅选择登陆三门峡市公共资源电子招投标系统进行登陆（网址为http</w:t>
      </w:r>
      <w:r>
        <w:rPr>
          <w:rFonts w:hint="eastAsia" w:ascii="宋体" w:hAnsi="宋体" w:eastAsia="宋体" w:cs="宋体"/>
          <w:highlight w:val="none"/>
          <w:lang w:val="en-US" w:eastAsia="zh-CN"/>
        </w:rPr>
        <w:t>:</w:t>
      </w:r>
      <w:r>
        <w:rPr>
          <w:rFonts w:hint="eastAsia" w:ascii="宋体" w:hAnsi="宋体" w:eastAsia="宋体" w:cs="宋体"/>
          <w:highlight w:val="none"/>
        </w:rPr>
        <w:t>//120.194.249.36</w:t>
      </w:r>
      <w:r>
        <w:rPr>
          <w:rFonts w:hint="eastAsia" w:ascii="宋体" w:hAnsi="宋体" w:eastAsia="宋体" w:cs="宋体"/>
          <w:highlight w:val="none"/>
          <w:lang w:eastAsia="zh-CN"/>
        </w:rPr>
        <w:t>：</w:t>
      </w:r>
      <w:r>
        <w:rPr>
          <w:rFonts w:hint="eastAsia" w:ascii="宋体" w:hAnsi="宋体" w:eastAsia="宋体" w:cs="宋体"/>
          <w:highlight w:val="none"/>
        </w:rPr>
        <w:t>10094/BidOpening/bidopeninghallaction/hall/login）,在线准时参加开标活动并进行磋商响应文件解密等。每位投标人的解密时间为开标时间起30分钟内完成。因投标人原因未能解密、解密失败或解密超时的将被拒绝。</w:t>
      </w:r>
    </w:p>
    <w:p w14:paraId="3455BF50">
      <w:pPr>
        <w:pStyle w:val="14"/>
        <w:pageBreakBefore w:val="0"/>
        <w:kinsoku/>
        <w:overflowPunct/>
        <w:bidi w:val="0"/>
        <w:spacing w:before="0" w:beforeAutospacing="0" w:after="0" w:afterAutospacing="0" w:line="360" w:lineRule="auto"/>
        <w:ind w:firstLine="566"/>
        <w:jc w:val="both"/>
        <w:outlineLvl w:val="9"/>
        <w:rPr>
          <w:rFonts w:hint="eastAsia" w:ascii="宋体" w:hAnsi="宋体" w:eastAsia="宋体" w:cs="宋体"/>
          <w:highlight w:val="none"/>
        </w:rPr>
      </w:pPr>
      <w:r>
        <w:rPr>
          <w:rFonts w:hint="eastAsia" w:ascii="宋体" w:hAnsi="宋体" w:eastAsia="宋体" w:cs="宋体"/>
          <w:highlight w:val="none"/>
        </w:rPr>
        <w:t>2.本项目为电子化、无纸化交易项目，开标时不再接受任何纸质资料，为保证您能投标成功，请需仔细阅读竞争性磋商文件和三门峡市公共资源交易中心官网业务办理指南。</w:t>
      </w:r>
    </w:p>
    <w:p w14:paraId="1F610E66">
      <w:pPr>
        <w:pStyle w:val="14"/>
        <w:pageBreakBefore w:val="0"/>
        <w:kinsoku/>
        <w:overflowPunct/>
        <w:bidi w:val="0"/>
        <w:spacing w:before="0" w:beforeAutospacing="0" w:after="0" w:afterAutospacing="0" w:line="360" w:lineRule="auto"/>
        <w:ind w:firstLine="566"/>
        <w:jc w:val="both"/>
        <w:outlineLvl w:val="9"/>
        <w:rPr>
          <w:rFonts w:hint="eastAsia" w:ascii="宋体" w:hAnsi="宋体" w:eastAsia="宋体" w:cs="宋体"/>
          <w:highlight w:val="none"/>
        </w:rPr>
      </w:pPr>
      <w:r>
        <w:rPr>
          <w:rFonts w:hint="eastAsia" w:ascii="宋体" w:hAnsi="宋体" w:eastAsia="宋体" w:cs="宋体"/>
          <w:highlight w:val="none"/>
        </w:rPr>
        <w:t>3.根据《河南省财政厅关于优化政府采购营商环境有关问题的通知》（豫财购【2019】4号）第6条的规定，磋商保证金不再收取。</w:t>
      </w:r>
    </w:p>
    <w:p w14:paraId="11EF0287">
      <w:pPr>
        <w:pStyle w:val="14"/>
        <w:pageBreakBefore w:val="0"/>
        <w:kinsoku/>
        <w:overflowPunct/>
        <w:bidi w:val="0"/>
        <w:spacing w:before="0" w:beforeAutospacing="0" w:after="0" w:afterAutospacing="0" w:line="360" w:lineRule="auto"/>
        <w:ind w:firstLine="566"/>
        <w:jc w:val="both"/>
        <w:outlineLvl w:val="9"/>
        <w:rPr>
          <w:rFonts w:hint="eastAsia" w:ascii="宋体" w:hAnsi="宋体" w:eastAsia="宋体" w:cs="宋体"/>
          <w:highlight w:val="none"/>
        </w:rPr>
      </w:pPr>
      <w:r>
        <w:rPr>
          <w:rFonts w:hint="eastAsia" w:ascii="宋体" w:hAnsi="宋体" w:eastAsia="宋体" w:cs="宋体"/>
          <w:highlight w:val="none"/>
        </w:rPr>
        <w:t>4.本项目实行资格后审，审查内容以投标文件为准，其上传资料真实性由供应商自行承担，同时，供应商请完善主体库。</w:t>
      </w:r>
    </w:p>
    <w:p w14:paraId="51907EB2">
      <w:pPr>
        <w:pStyle w:val="14"/>
        <w:pageBreakBefore w:val="0"/>
        <w:kinsoku/>
        <w:overflowPunct/>
        <w:bidi w:val="0"/>
        <w:spacing w:before="0" w:beforeAutospacing="0" w:after="0" w:afterAutospacing="0" w:line="360" w:lineRule="auto"/>
        <w:ind w:firstLine="566"/>
        <w:jc w:val="both"/>
        <w:outlineLvl w:val="9"/>
        <w:rPr>
          <w:rFonts w:hint="eastAsia" w:ascii="宋体" w:hAnsi="宋体" w:eastAsia="宋体" w:cs="宋体"/>
          <w:highlight w:val="none"/>
        </w:rPr>
      </w:pPr>
      <w:r>
        <w:rPr>
          <w:rFonts w:hint="eastAsia" w:ascii="宋体" w:hAnsi="宋体" w:eastAsia="宋体" w:cs="宋体"/>
          <w:highlight w:val="none"/>
        </w:rPr>
        <w:t>5.评标打分部分：评标打分部分仍按照100分制原则进行，涉及到资格审查、企业荣誉、企业业绩等计分部分时，以投标单位自行上传到磋商响应文件中的相应内容为准。</w:t>
      </w:r>
    </w:p>
    <w:p w14:paraId="436CFD92">
      <w:pPr>
        <w:pStyle w:val="14"/>
        <w:pageBreakBefore w:val="0"/>
        <w:kinsoku/>
        <w:overflowPunct/>
        <w:bidi w:val="0"/>
        <w:spacing w:before="0" w:beforeAutospacing="0" w:after="0" w:afterAutospacing="0" w:line="360" w:lineRule="auto"/>
        <w:ind w:firstLine="566"/>
        <w:jc w:val="both"/>
        <w:outlineLvl w:val="9"/>
        <w:rPr>
          <w:rFonts w:hint="eastAsia" w:ascii="宋体" w:hAnsi="宋体" w:eastAsia="宋体" w:cs="宋体"/>
          <w:highlight w:val="none"/>
        </w:rPr>
      </w:pPr>
      <w:r>
        <w:rPr>
          <w:rFonts w:hint="eastAsia" w:ascii="宋体" w:hAnsi="宋体" w:eastAsia="宋体" w:cs="宋体"/>
          <w:highlight w:val="none"/>
        </w:rPr>
        <w:t>6.在竞争性磋商文件中要求投标人按照磋商响应文件格式进行磋商响应文件编制，在磋商响应文件编制时，应明确将供应商企业基本情况、人员情况、财务情况、业绩情况编入磋商响应文件，便于进行资格审查及评标打分。</w:t>
      </w:r>
    </w:p>
    <w:p w14:paraId="0EEE56FF">
      <w:pPr>
        <w:pStyle w:val="14"/>
        <w:pageBreakBefore w:val="0"/>
        <w:kinsoku/>
        <w:overflowPunct/>
        <w:bidi w:val="0"/>
        <w:spacing w:before="0" w:beforeAutospacing="0" w:after="0" w:afterAutospacing="0" w:line="360" w:lineRule="auto"/>
        <w:ind w:firstLine="566"/>
        <w:jc w:val="both"/>
        <w:outlineLvl w:val="9"/>
        <w:rPr>
          <w:rFonts w:hint="eastAsia" w:ascii="宋体" w:hAnsi="宋体" w:eastAsia="宋体" w:cs="宋体"/>
          <w:highlight w:val="none"/>
        </w:rPr>
      </w:pPr>
      <w:r>
        <w:rPr>
          <w:rFonts w:hint="eastAsia" w:ascii="宋体" w:hAnsi="宋体" w:eastAsia="宋体" w:cs="宋体"/>
          <w:highlight w:val="none"/>
        </w:rPr>
        <w:t>7.我单位（采购人）严格按三财购【2021】9号文要求的时限发布中标结果公告，发出中标通知书，签订采购合同，上传采购合同。</w:t>
      </w:r>
    </w:p>
    <w:p w14:paraId="7163AC8D">
      <w:pPr>
        <w:pStyle w:val="14"/>
        <w:pageBreakBefore w:val="0"/>
        <w:kinsoku/>
        <w:overflowPunct/>
        <w:bidi w:val="0"/>
        <w:spacing w:before="0" w:beforeAutospacing="0" w:after="0" w:afterAutospacing="0" w:line="360" w:lineRule="auto"/>
        <w:ind w:firstLine="566"/>
        <w:jc w:val="both"/>
        <w:outlineLvl w:val="9"/>
        <w:rPr>
          <w:rFonts w:hint="default" w:ascii="宋体" w:hAnsi="宋体" w:eastAsia="宋体" w:cs="宋体"/>
          <w:highlight w:val="none"/>
          <w:lang w:val="en-US" w:eastAsia="zh-CN"/>
        </w:rPr>
      </w:pPr>
      <w:r>
        <w:rPr>
          <w:rFonts w:hint="eastAsia" w:ascii="宋体" w:hAnsi="宋体" w:eastAsia="宋体" w:cs="宋体"/>
          <w:highlight w:val="none"/>
          <w:lang w:val="en-US" w:eastAsia="zh-CN"/>
        </w:rPr>
        <w:t>8、监督单位：</w:t>
      </w:r>
    </w:p>
    <w:p w14:paraId="02304472">
      <w:pPr>
        <w:pStyle w:val="14"/>
        <w:pageBreakBefore w:val="0"/>
        <w:kinsoku/>
        <w:overflowPunct/>
        <w:bidi w:val="0"/>
        <w:spacing w:before="0" w:beforeAutospacing="0" w:after="0" w:afterAutospacing="0" w:line="360" w:lineRule="auto"/>
        <w:ind w:firstLine="566"/>
        <w:jc w:val="both"/>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监督</w:t>
      </w:r>
      <w:r>
        <w:rPr>
          <w:rFonts w:hint="eastAsia" w:ascii="宋体" w:hAnsi="宋体" w:eastAsia="宋体" w:cs="宋体"/>
          <w:color w:val="auto"/>
          <w:sz w:val="24"/>
          <w:szCs w:val="24"/>
          <w:lang w:eastAsia="zh-CN"/>
        </w:rPr>
        <w:t>单位</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三门峡市教育局</w:t>
      </w:r>
    </w:p>
    <w:p w14:paraId="0E0420E6">
      <w:pPr>
        <w:pStyle w:val="14"/>
        <w:pageBreakBefore w:val="0"/>
        <w:kinsoku/>
        <w:overflowPunct/>
        <w:bidi w:val="0"/>
        <w:spacing w:before="0" w:beforeAutospacing="0" w:after="0" w:afterAutospacing="0" w:line="360" w:lineRule="auto"/>
        <w:ind w:firstLine="566"/>
        <w:jc w:val="both"/>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联系方式：0398-2816652</w:t>
      </w:r>
    </w:p>
    <w:p w14:paraId="394CB698">
      <w:pPr>
        <w:pStyle w:val="14"/>
        <w:pageBreakBefore w:val="0"/>
        <w:kinsoku/>
        <w:overflowPunct/>
        <w:bidi w:val="0"/>
        <w:spacing w:before="0" w:beforeAutospacing="0" w:after="0" w:afterAutospacing="0" w:line="360" w:lineRule="auto"/>
        <w:ind w:firstLine="566"/>
        <w:jc w:val="both"/>
        <w:outlineLvl w:val="9"/>
        <w:rPr>
          <w:rFonts w:hint="default" w:ascii="宋体" w:hAnsi="宋体" w:eastAsia="宋体" w:cs="宋体"/>
          <w:highlight w:val="none"/>
          <w:lang w:val="en-US" w:eastAsia="zh-CN"/>
        </w:rPr>
      </w:pPr>
      <w:r>
        <w:rPr>
          <w:rFonts w:hint="default" w:ascii="宋体" w:hAnsi="宋体" w:eastAsia="宋体" w:cs="宋体"/>
          <w:highlight w:val="none"/>
          <w:lang w:val="en-US" w:eastAsia="zh-CN"/>
        </w:rPr>
        <w:t>监督单位：三门峡市财政局政府采购监督管理科</w:t>
      </w:r>
    </w:p>
    <w:p w14:paraId="6BD076D5">
      <w:pPr>
        <w:pStyle w:val="14"/>
        <w:pageBreakBefore w:val="0"/>
        <w:kinsoku/>
        <w:overflowPunct/>
        <w:bidi w:val="0"/>
        <w:spacing w:before="0" w:beforeAutospacing="0" w:after="0" w:afterAutospacing="0" w:line="360" w:lineRule="auto"/>
        <w:ind w:firstLine="566"/>
        <w:jc w:val="both"/>
        <w:outlineLvl w:val="9"/>
        <w:rPr>
          <w:rFonts w:hint="default" w:ascii="宋体" w:hAnsi="宋体" w:eastAsia="宋体" w:cs="宋体"/>
          <w:highlight w:val="none"/>
          <w:lang w:val="en-US" w:eastAsia="zh-CN"/>
        </w:rPr>
      </w:pPr>
      <w:r>
        <w:rPr>
          <w:rFonts w:hint="default" w:ascii="宋体" w:hAnsi="宋体" w:eastAsia="宋体" w:cs="宋体"/>
          <w:highlight w:val="none"/>
          <w:lang w:val="en-US" w:eastAsia="zh-CN"/>
        </w:rPr>
        <w:t>联系电话：0398-2608915</w:t>
      </w:r>
    </w:p>
    <w:p w14:paraId="0FBF9273">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七、联系方式</w:t>
      </w:r>
    </w:p>
    <w:p w14:paraId="7A7B631B">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51185790">
      <w:pPr>
        <w:pageBreakBefore w:val="0"/>
        <w:widowControl/>
        <w:kinsoku/>
        <w:overflowPunct/>
        <w:bidi w:val="0"/>
        <w:spacing w:line="360" w:lineRule="auto"/>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名</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lang w:eastAsia="zh-CN"/>
        </w:rPr>
        <w:t>称</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三门峡市伯阳学校</w:t>
      </w:r>
    </w:p>
    <w:p w14:paraId="0CEFC140">
      <w:pPr>
        <w:pageBreakBefore w:val="0"/>
        <w:widowControl/>
        <w:kinsoku/>
        <w:overflowPunct/>
        <w:bidi w:val="0"/>
        <w:spacing w:line="360" w:lineRule="auto"/>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地</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址：</w:t>
      </w:r>
      <w:r>
        <w:rPr>
          <w:rFonts w:hint="eastAsia" w:ascii="宋体" w:hAnsi="宋体" w:eastAsia="宋体" w:cs="宋体"/>
          <w:color w:val="000000"/>
          <w:kern w:val="0"/>
          <w:sz w:val="24"/>
          <w:szCs w:val="24"/>
          <w:highlight w:val="none"/>
          <w:lang w:eastAsia="zh-CN"/>
        </w:rPr>
        <w:t>三门峡市陕州区甘棠街道天鹅名筑附近</w:t>
      </w:r>
    </w:p>
    <w:p w14:paraId="60ACE07F">
      <w:pPr>
        <w:pageBreakBefore w:val="0"/>
        <w:widowControl/>
        <w:kinsoku/>
        <w:overflowPunct/>
        <w:bidi w:val="0"/>
        <w:spacing w:line="360" w:lineRule="auto"/>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联</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系</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人：</w:t>
      </w:r>
      <w:r>
        <w:rPr>
          <w:rFonts w:hint="eastAsia" w:ascii="宋体" w:hAnsi="宋体" w:eastAsia="宋体" w:cs="宋体"/>
          <w:color w:val="000000"/>
          <w:kern w:val="0"/>
          <w:sz w:val="24"/>
          <w:szCs w:val="24"/>
          <w:highlight w:val="none"/>
          <w:lang w:eastAsia="zh-CN"/>
        </w:rPr>
        <w:t>崔先生</w:t>
      </w:r>
    </w:p>
    <w:p w14:paraId="36903B2E">
      <w:pPr>
        <w:pageBreakBefore w:val="0"/>
        <w:widowControl/>
        <w:kinsoku/>
        <w:overflowPunct/>
        <w:bidi w:val="0"/>
        <w:spacing w:line="360" w:lineRule="auto"/>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联系</w:t>
      </w:r>
      <w:r>
        <w:rPr>
          <w:rFonts w:hint="eastAsia" w:ascii="宋体" w:hAnsi="宋体" w:eastAsia="宋体" w:cs="宋体"/>
          <w:color w:val="000000"/>
          <w:kern w:val="0"/>
          <w:sz w:val="24"/>
          <w:szCs w:val="24"/>
          <w:highlight w:val="none"/>
          <w:lang w:eastAsia="zh-CN"/>
        </w:rPr>
        <w:t>方式</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0398-2955525</w:t>
      </w:r>
    </w:p>
    <w:p w14:paraId="562E8B18">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14:paraId="7583905C">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称：</w:t>
      </w:r>
      <w:r>
        <w:rPr>
          <w:rFonts w:hint="eastAsia" w:ascii="宋体" w:hAnsi="宋体" w:eastAsia="宋体" w:cs="宋体"/>
          <w:sz w:val="24"/>
          <w:szCs w:val="24"/>
          <w:lang w:eastAsia="zh-CN"/>
        </w:rPr>
        <w:t>汇衡昊远项目管理咨询有限公司</w:t>
      </w:r>
    </w:p>
    <w:p w14:paraId="5C35023B">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址：三门峡市湖滨区虢国西路海洋世纪城11号楼602室（海洋SOHO公寓）</w:t>
      </w:r>
    </w:p>
    <w:p w14:paraId="03D937C4">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系</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val="en-US" w:eastAsia="zh-CN"/>
        </w:rPr>
        <w:t>郭昌盛</w:t>
      </w:r>
    </w:p>
    <w:p w14:paraId="61D4468D">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联系方式：13419811003</w:t>
      </w:r>
    </w:p>
    <w:p w14:paraId="142FFD45">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.项目联系方式</w:t>
      </w:r>
    </w:p>
    <w:p w14:paraId="432125CE">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项目联系人：</w:t>
      </w:r>
      <w:r>
        <w:rPr>
          <w:rFonts w:hint="eastAsia" w:ascii="宋体" w:hAnsi="宋体" w:eastAsia="宋体" w:cs="宋体"/>
          <w:sz w:val="24"/>
          <w:szCs w:val="24"/>
          <w:highlight w:val="none"/>
          <w:lang w:val="en-US" w:eastAsia="zh-CN"/>
        </w:rPr>
        <w:t>郭昌盛</w:t>
      </w:r>
    </w:p>
    <w:p w14:paraId="1F7AB03A">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联系方式：13419811003</w:t>
      </w:r>
    </w:p>
    <w:p w14:paraId="4A68B76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4"/>
          <w:szCs w:val="24"/>
        </w:rPr>
      </w:pPr>
      <w:r>
        <w:rPr>
          <w:rFonts w:hint="eastAsia" w:ascii="宋体" w:hAnsi="宋体" w:eastAsia="宋体" w:cs="宋体"/>
          <w:b/>
          <w:bCs/>
          <w:kern w:val="0"/>
          <w:sz w:val="32"/>
          <w:szCs w:val="32"/>
          <w:shd w:val="clear" w:color="auto" w:fill="FFFFFF"/>
        </w:rPr>
        <w:br w:type="page"/>
      </w:r>
      <w:bookmarkStart w:id="2" w:name="_Toc29232"/>
      <w:bookmarkStart w:id="3" w:name="_Toc14693"/>
      <w:r>
        <w:rPr>
          <w:rFonts w:hint="eastAsia" w:ascii="宋体" w:hAnsi="宋体" w:eastAsia="宋体" w:cs="宋体"/>
          <w:b/>
          <w:sz w:val="24"/>
          <w:szCs w:val="24"/>
        </w:rPr>
        <w:t>第二章  供应商须知</w:t>
      </w:r>
      <w:bookmarkEnd w:id="2"/>
    </w:p>
    <w:bookmarkEnd w:id="3"/>
    <w:p w14:paraId="693A3809">
      <w:pPr>
        <w:pStyle w:val="9"/>
        <w:pageBreakBefore w:val="0"/>
        <w:kinsoku/>
        <w:overflowPunct/>
        <w:bidi w:val="0"/>
        <w:spacing w:line="360" w:lineRule="auto"/>
        <w:ind w:right="63"/>
        <w:jc w:val="center"/>
        <w:rPr>
          <w:rFonts w:hint="eastAsia" w:ascii="宋体" w:hAnsi="宋体" w:eastAsia="宋体" w:cs="宋体"/>
          <w:b/>
          <w:bCs/>
        </w:rPr>
      </w:pPr>
      <w:r>
        <w:rPr>
          <w:rFonts w:hint="eastAsia" w:ascii="宋体" w:hAnsi="宋体" w:eastAsia="宋体" w:cs="宋体"/>
          <w:b/>
          <w:bCs/>
          <w:color w:val="000000"/>
          <w:kern w:val="0"/>
          <w:sz w:val="24"/>
          <w:szCs w:val="24"/>
        </w:rPr>
        <w:t>供应商须知前附表</w:t>
      </w:r>
    </w:p>
    <w:tbl>
      <w:tblPr>
        <w:tblStyle w:val="17"/>
        <w:tblW w:w="8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081"/>
        <w:gridCol w:w="5416"/>
      </w:tblGrid>
      <w:tr w14:paraId="692E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3CD9BC6">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序号</w:t>
            </w:r>
          </w:p>
        </w:tc>
        <w:tc>
          <w:tcPr>
            <w:tcW w:w="2081" w:type="dxa"/>
            <w:vAlign w:val="center"/>
          </w:tcPr>
          <w:p w14:paraId="2A890314">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条 款 名 称</w:t>
            </w:r>
          </w:p>
        </w:tc>
        <w:tc>
          <w:tcPr>
            <w:tcW w:w="5416" w:type="dxa"/>
            <w:vAlign w:val="center"/>
          </w:tcPr>
          <w:p w14:paraId="6F4E4210">
            <w:pPr>
              <w:pageBreakBefore w:val="0"/>
              <w:kinsoku/>
              <w:overflowPunct/>
              <w:bidi w:val="0"/>
              <w:spacing w:line="360" w:lineRule="auto"/>
              <w:jc w:val="center"/>
              <w:rPr>
                <w:rFonts w:hint="eastAsia" w:ascii="宋体" w:hAnsi="宋体" w:eastAsia="宋体" w:cs="宋体"/>
                <w:sz w:val="24"/>
              </w:rPr>
            </w:pPr>
            <w:r>
              <w:rPr>
                <w:rFonts w:hint="eastAsia" w:ascii="宋体" w:hAnsi="宋体" w:eastAsia="宋体" w:cs="宋体"/>
                <w:sz w:val="24"/>
              </w:rPr>
              <w:t>编 列 内 容</w:t>
            </w:r>
          </w:p>
        </w:tc>
      </w:tr>
      <w:tr w14:paraId="3EB9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59B937B">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1.1.1</w:t>
            </w:r>
          </w:p>
        </w:tc>
        <w:tc>
          <w:tcPr>
            <w:tcW w:w="2081" w:type="dxa"/>
            <w:vAlign w:val="center"/>
          </w:tcPr>
          <w:p w14:paraId="17BD1DA7">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采购人</w:t>
            </w:r>
          </w:p>
        </w:tc>
        <w:tc>
          <w:tcPr>
            <w:tcW w:w="5416" w:type="dxa"/>
          </w:tcPr>
          <w:p w14:paraId="5C092507">
            <w:pPr>
              <w:pageBreakBefore w:val="0"/>
              <w:kinsoku/>
              <w:overflowPunct/>
              <w:bidi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名    称：三门峡市伯阳学校</w:t>
            </w:r>
          </w:p>
          <w:p w14:paraId="14250424">
            <w:pPr>
              <w:pageBreakBefore w:val="0"/>
              <w:kinsoku/>
              <w:overflowPunct/>
              <w:bidi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地    址：三门峡市陕州区甘棠街道天鹅名筑附近</w:t>
            </w:r>
          </w:p>
          <w:p w14:paraId="5AB52F7D">
            <w:pPr>
              <w:pageBreakBefore w:val="0"/>
              <w:kinsoku/>
              <w:overflowPunct/>
              <w:bidi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联 系 人：崔先生</w:t>
            </w:r>
          </w:p>
          <w:p w14:paraId="17181826">
            <w:pPr>
              <w:pageBreakBefore w:val="0"/>
              <w:kinsoku/>
              <w:overflowPunct/>
              <w:bidi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联系方式：0398-2955525</w:t>
            </w:r>
          </w:p>
        </w:tc>
      </w:tr>
      <w:tr w14:paraId="2388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83041BF">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1.1.2</w:t>
            </w:r>
          </w:p>
        </w:tc>
        <w:tc>
          <w:tcPr>
            <w:tcW w:w="2081" w:type="dxa"/>
            <w:vAlign w:val="center"/>
          </w:tcPr>
          <w:p w14:paraId="764FF96F">
            <w:pPr>
              <w:pageBreakBefore w:val="0"/>
              <w:kinsoku/>
              <w:overflowPunct/>
              <w:bidi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代理机构</w:t>
            </w:r>
          </w:p>
        </w:tc>
        <w:tc>
          <w:tcPr>
            <w:tcW w:w="5416" w:type="dxa"/>
          </w:tcPr>
          <w:p w14:paraId="5F45DAED">
            <w:pPr>
              <w:pageBreakBefore w:val="0"/>
              <w:kinsoku/>
              <w:overflowPunct/>
              <w:bidi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名    称：汇衡昊远项目管理咨询有限公司</w:t>
            </w:r>
          </w:p>
          <w:p w14:paraId="09DC6BAC">
            <w:pPr>
              <w:pageBreakBefore w:val="0"/>
              <w:kinsoku/>
              <w:overflowPunct/>
              <w:bidi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地    址：三门峡市湖滨区虢国西路海洋世纪城11号楼602室（海洋SOHO公寓）</w:t>
            </w:r>
          </w:p>
          <w:p w14:paraId="3AFC27FE">
            <w:pPr>
              <w:pageBreakBefore w:val="0"/>
              <w:kinsoku/>
              <w:overflowPunct/>
              <w:bidi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联 系 人：郭昌盛</w:t>
            </w:r>
          </w:p>
          <w:p w14:paraId="5D424E18">
            <w:pPr>
              <w:pageBreakBefore w:val="0"/>
              <w:kinsoku/>
              <w:overflowPunct/>
              <w:bidi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联系方式：13419811003</w:t>
            </w:r>
          </w:p>
        </w:tc>
      </w:tr>
      <w:tr w14:paraId="28A2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2E2EC5D">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1.1.3</w:t>
            </w:r>
          </w:p>
        </w:tc>
        <w:tc>
          <w:tcPr>
            <w:tcW w:w="2081" w:type="dxa"/>
            <w:vAlign w:val="center"/>
          </w:tcPr>
          <w:p w14:paraId="2DAC8BA7">
            <w:pPr>
              <w:pageBreakBefore w:val="0"/>
              <w:kinsoku/>
              <w:overflowPunct/>
              <w:bidi w:val="0"/>
              <w:spacing w:line="360" w:lineRule="auto"/>
              <w:jc w:val="center"/>
              <w:rPr>
                <w:rFonts w:hint="eastAsia" w:ascii="宋体" w:hAnsi="宋体" w:eastAsia="宋体" w:cs="宋体"/>
                <w:sz w:val="24"/>
              </w:rPr>
            </w:pPr>
            <w:r>
              <w:rPr>
                <w:rFonts w:hint="eastAsia" w:ascii="宋体" w:hAnsi="宋体" w:eastAsia="宋体" w:cs="宋体"/>
                <w:sz w:val="24"/>
              </w:rPr>
              <w:t>项目名称</w:t>
            </w:r>
          </w:p>
        </w:tc>
        <w:tc>
          <w:tcPr>
            <w:tcW w:w="5416" w:type="dxa"/>
            <w:vAlign w:val="center"/>
          </w:tcPr>
          <w:p w14:paraId="006C24FF">
            <w:pPr>
              <w:pageBreakBefore w:val="0"/>
              <w:kinsoku/>
              <w:overflowPunct/>
              <w:autoSpaceDE w:val="0"/>
              <w:autoSpaceDN w:val="0"/>
              <w:bidi w:val="0"/>
              <w:adjustRightInd w:val="0"/>
              <w:spacing w:line="360" w:lineRule="auto"/>
              <w:rPr>
                <w:rFonts w:hint="eastAsia" w:ascii="宋体" w:hAnsi="宋体" w:eastAsia="宋体" w:cs="宋体"/>
                <w:sz w:val="24"/>
                <w:lang w:eastAsia="zh-CN"/>
              </w:rPr>
            </w:pPr>
            <w:r>
              <w:rPr>
                <w:rFonts w:hint="eastAsia" w:ascii="宋体" w:hAnsi="宋体" w:eastAsia="宋体" w:cs="宋体"/>
                <w:sz w:val="24"/>
                <w:szCs w:val="24"/>
                <w:lang w:eastAsia="zh-CN"/>
              </w:rPr>
              <w:t>三门峡市伯阳学校餐厅改造项目</w:t>
            </w:r>
          </w:p>
        </w:tc>
      </w:tr>
      <w:tr w14:paraId="0B1B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D0723DC">
            <w:pPr>
              <w:pageBreakBefore w:val="0"/>
              <w:kinsoku/>
              <w:overflowPunct/>
              <w:autoSpaceDE w:val="0"/>
              <w:autoSpaceDN w:val="0"/>
              <w:bidi w:val="0"/>
              <w:adjustRightInd w:val="0"/>
              <w:spacing w:line="360" w:lineRule="auto"/>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1.1.4</w:t>
            </w:r>
          </w:p>
        </w:tc>
        <w:tc>
          <w:tcPr>
            <w:tcW w:w="2081" w:type="dxa"/>
            <w:vAlign w:val="center"/>
          </w:tcPr>
          <w:p w14:paraId="46F82DBC">
            <w:pPr>
              <w:pageBreakBefore w:val="0"/>
              <w:kinsoku/>
              <w:overflowPunct/>
              <w:bidi w:val="0"/>
              <w:spacing w:line="360" w:lineRule="auto"/>
              <w:jc w:val="center"/>
              <w:rPr>
                <w:rFonts w:hint="eastAsia" w:ascii="宋体" w:hAnsi="宋体" w:eastAsia="宋体" w:cs="宋体"/>
                <w:sz w:val="24"/>
                <w:highlight w:val="none"/>
              </w:rPr>
            </w:pPr>
            <w:r>
              <w:rPr>
                <w:rFonts w:hint="eastAsia" w:ascii="宋体" w:hAnsi="宋体" w:eastAsia="宋体" w:cs="宋体"/>
                <w:sz w:val="24"/>
                <w:szCs w:val="24"/>
                <w:highlight w:val="none"/>
                <w:lang w:eastAsia="zh-CN"/>
              </w:rPr>
              <w:t>项目编号</w:t>
            </w:r>
          </w:p>
        </w:tc>
        <w:tc>
          <w:tcPr>
            <w:tcW w:w="5416" w:type="dxa"/>
            <w:vAlign w:val="center"/>
          </w:tcPr>
          <w:p w14:paraId="532FDF8E">
            <w:pPr>
              <w:pageBreakBefore w:val="0"/>
              <w:kinsoku/>
              <w:overflowPunct/>
              <w:autoSpaceDE w:val="0"/>
              <w:autoSpaceDN w:val="0"/>
              <w:bidi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eastAsia="zh-CN"/>
              </w:rPr>
              <w:t>三财竞磋采购-2025-98、SGZ[2025]615-ZC407</w:t>
            </w:r>
          </w:p>
        </w:tc>
      </w:tr>
      <w:tr w14:paraId="53A1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8EEE6D7">
            <w:pPr>
              <w:pageBreakBefore w:val="0"/>
              <w:kinsoku/>
              <w:overflowPunct/>
              <w:autoSpaceDE w:val="0"/>
              <w:autoSpaceDN w:val="0"/>
              <w:bidi w:val="0"/>
              <w:adjustRightInd w:val="0"/>
              <w:spacing w:line="360" w:lineRule="auto"/>
              <w:jc w:val="center"/>
              <w:rPr>
                <w:rFonts w:hint="eastAsia" w:ascii="宋体" w:hAnsi="宋体" w:eastAsia="宋体" w:cs="宋体"/>
                <w:kern w:val="0"/>
                <w:sz w:val="24"/>
                <w:lang w:eastAsia="zh-CN"/>
              </w:rPr>
            </w:pPr>
            <w:r>
              <w:rPr>
                <w:rFonts w:hint="eastAsia" w:ascii="宋体" w:hAnsi="宋体" w:eastAsia="宋体" w:cs="宋体"/>
                <w:kern w:val="0"/>
                <w:sz w:val="24"/>
              </w:rPr>
              <w:t>1.1.</w:t>
            </w:r>
            <w:r>
              <w:rPr>
                <w:rFonts w:hint="eastAsia" w:ascii="宋体" w:hAnsi="宋体" w:eastAsia="宋体" w:cs="宋体"/>
                <w:kern w:val="0"/>
                <w:sz w:val="24"/>
                <w:lang w:val="en-US" w:eastAsia="zh-CN"/>
              </w:rPr>
              <w:t>5</w:t>
            </w:r>
          </w:p>
        </w:tc>
        <w:tc>
          <w:tcPr>
            <w:tcW w:w="2081" w:type="dxa"/>
            <w:vAlign w:val="center"/>
          </w:tcPr>
          <w:p w14:paraId="05D6E6C4">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项目地点</w:t>
            </w:r>
          </w:p>
        </w:tc>
        <w:tc>
          <w:tcPr>
            <w:tcW w:w="5416" w:type="dxa"/>
            <w:vAlign w:val="center"/>
          </w:tcPr>
          <w:p w14:paraId="72D34292">
            <w:pPr>
              <w:pageBreakBefore w:val="0"/>
              <w:kinsoku/>
              <w:overflowPunct/>
              <w:autoSpaceDE w:val="0"/>
              <w:autoSpaceDN w:val="0"/>
              <w:bidi w:val="0"/>
              <w:adjustRightInd w:val="0"/>
              <w:spacing w:line="360" w:lineRule="auto"/>
              <w:rPr>
                <w:rFonts w:hint="eastAsia" w:ascii="宋体" w:hAnsi="宋体" w:eastAsia="宋体" w:cs="宋体"/>
                <w:kern w:val="0"/>
                <w:sz w:val="24"/>
                <w:lang w:eastAsia="zh-CN"/>
              </w:rPr>
            </w:pPr>
            <w:r>
              <w:rPr>
                <w:rFonts w:hint="eastAsia" w:ascii="宋体" w:hAnsi="宋体" w:eastAsia="宋体" w:cs="宋体"/>
                <w:sz w:val="24"/>
                <w:lang w:eastAsia="zh-CN"/>
              </w:rPr>
              <w:t>三门峡市伯阳学校</w:t>
            </w:r>
          </w:p>
        </w:tc>
      </w:tr>
      <w:tr w14:paraId="5ADA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90FCB5B">
            <w:pPr>
              <w:pageBreakBefore w:val="0"/>
              <w:kinsoku/>
              <w:overflowPunct/>
              <w:autoSpaceDE w:val="0"/>
              <w:autoSpaceDN w:val="0"/>
              <w:bidi w:val="0"/>
              <w:adjustRightInd w:val="0"/>
              <w:spacing w:line="360" w:lineRule="auto"/>
              <w:jc w:val="center"/>
              <w:rPr>
                <w:rFonts w:hint="eastAsia" w:ascii="宋体" w:hAnsi="宋体" w:eastAsia="宋体" w:cs="宋体"/>
                <w:kern w:val="0"/>
                <w:sz w:val="24"/>
                <w:lang w:eastAsia="zh-CN"/>
              </w:rPr>
            </w:pPr>
            <w:r>
              <w:rPr>
                <w:rFonts w:hint="eastAsia" w:ascii="宋体" w:hAnsi="宋体" w:eastAsia="宋体" w:cs="宋体"/>
                <w:kern w:val="0"/>
                <w:sz w:val="24"/>
              </w:rPr>
              <w:t>1.1.</w:t>
            </w:r>
            <w:r>
              <w:rPr>
                <w:rFonts w:hint="eastAsia" w:ascii="宋体" w:hAnsi="宋体" w:eastAsia="宋体" w:cs="宋体"/>
                <w:kern w:val="0"/>
                <w:sz w:val="24"/>
                <w:lang w:val="en-US" w:eastAsia="zh-CN"/>
              </w:rPr>
              <w:t>6</w:t>
            </w:r>
          </w:p>
        </w:tc>
        <w:tc>
          <w:tcPr>
            <w:tcW w:w="2081" w:type="dxa"/>
            <w:vAlign w:val="center"/>
          </w:tcPr>
          <w:p w14:paraId="700F58F1">
            <w:pPr>
              <w:pageBreakBefore w:val="0"/>
              <w:kinsoku/>
              <w:overflowPunct/>
              <w:autoSpaceDE w:val="0"/>
              <w:autoSpaceDN w:val="0"/>
              <w:bidi w:val="0"/>
              <w:adjustRightIn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项目概况</w:t>
            </w:r>
          </w:p>
        </w:tc>
        <w:tc>
          <w:tcPr>
            <w:tcW w:w="5416" w:type="dxa"/>
            <w:vAlign w:val="center"/>
          </w:tcPr>
          <w:p w14:paraId="65B64B46">
            <w:pPr>
              <w:pageBreakBefore w:val="0"/>
              <w:kinsoku/>
              <w:overflowPunct/>
              <w:autoSpaceDE w:val="0"/>
              <w:autoSpaceDN w:val="0"/>
              <w:bidi w:val="0"/>
              <w:adjustRightInd w:val="0"/>
              <w:spacing w:line="360" w:lineRule="auto"/>
              <w:rPr>
                <w:rFonts w:hint="eastAsia" w:ascii="宋体" w:hAnsi="宋体" w:eastAsia="宋体" w:cs="宋体"/>
                <w:sz w:val="24"/>
                <w:highlight w:val="none"/>
              </w:rPr>
            </w:pPr>
            <w:r>
              <w:rPr>
                <w:rFonts w:hint="eastAsia" w:ascii="宋体" w:hAnsi="宋体" w:eastAsia="宋体" w:cs="宋体"/>
                <w:sz w:val="24"/>
                <w:szCs w:val="24"/>
                <w:lang w:eastAsia="zh-CN"/>
              </w:rPr>
              <w:t>本工程为三门峡市伯阳学校餐厅改造项目，主要内容包含学校餐厅改造、教职工餐厅改造、餐厅阳光井及室内改造、体育馆地下室改造等，具体内容详见竞争性磋商文件及工程量清单。</w:t>
            </w:r>
          </w:p>
        </w:tc>
      </w:tr>
      <w:tr w14:paraId="3AC9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2ABB410">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1.2.1</w:t>
            </w:r>
          </w:p>
        </w:tc>
        <w:tc>
          <w:tcPr>
            <w:tcW w:w="2081" w:type="dxa"/>
            <w:vAlign w:val="center"/>
          </w:tcPr>
          <w:p w14:paraId="30EE28EC">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资金来源</w:t>
            </w:r>
          </w:p>
        </w:tc>
        <w:tc>
          <w:tcPr>
            <w:tcW w:w="5416" w:type="dxa"/>
            <w:vAlign w:val="center"/>
          </w:tcPr>
          <w:p w14:paraId="70165BBF">
            <w:pPr>
              <w:pageBreakBefore w:val="0"/>
              <w:kinsoku/>
              <w:overflowPunct/>
              <w:autoSpaceDE w:val="0"/>
              <w:autoSpaceDN w:val="0"/>
              <w:bidi w:val="0"/>
              <w:adjustRightInd w:val="0"/>
              <w:spacing w:line="360" w:lineRule="auto"/>
              <w:rPr>
                <w:rFonts w:hint="eastAsia" w:ascii="宋体" w:hAnsi="宋体" w:eastAsia="宋体" w:cs="宋体"/>
                <w:kern w:val="0"/>
                <w:sz w:val="24"/>
              </w:rPr>
            </w:pPr>
            <w:r>
              <w:rPr>
                <w:rFonts w:hint="eastAsia" w:ascii="宋体" w:hAnsi="宋体" w:eastAsia="宋体" w:cs="宋体"/>
                <w:kern w:val="0"/>
                <w:sz w:val="24"/>
              </w:rPr>
              <w:t>财政资金</w:t>
            </w:r>
          </w:p>
        </w:tc>
      </w:tr>
      <w:tr w14:paraId="0D3F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B3BD8A5">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1.2.2</w:t>
            </w:r>
          </w:p>
        </w:tc>
        <w:tc>
          <w:tcPr>
            <w:tcW w:w="2081" w:type="dxa"/>
            <w:vAlign w:val="center"/>
          </w:tcPr>
          <w:p w14:paraId="383AAF9E">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资金落实情况</w:t>
            </w:r>
          </w:p>
        </w:tc>
        <w:tc>
          <w:tcPr>
            <w:tcW w:w="5416" w:type="dxa"/>
            <w:vAlign w:val="center"/>
          </w:tcPr>
          <w:p w14:paraId="063DD5E8">
            <w:pPr>
              <w:pageBreakBefore w:val="0"/>
              <w:kinsoku/>
              <w:overflowPunct/>
              <w:bidi w:val="0"/>
              <w:spacing w:line="360" w:lineRule="auto"/>
              <w:rPr>
                <w:rFonts w:hint="eastAsia" w:ascii="宋体" w:hAnsi="宋体" w:eastAsia="宋体" w:cs="宋体"/>
              </w:rPr>
            </w:pPr>
            <w:r>
              <w:rPr>
                <w:rFonts w:hint="eastAsia" w:ascii="宋体" w:hAnsi="宋体" w:eastAsia="宋体" w:cs="宋体"/>
                <w:kern w:val="0"/>
                <w:sz w:val="24"/>
              </w:rPr>
              <w:t>已落实</w:t>
            </w:r>
          </w:p>
        </w:tc>
      </w:tr>
      <w:tr w14:paraId="6EA6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3B709AB">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1.3.1</w:t>
            </w:r>
          </w:p>
        </w:tc>
        <w:tc>
          <w:tcPr>
            <w:tcW w:w="2081" w:type="dxa"/>
            <w:vAlign w:val="center"/>
          </w:tcPr>
          <w:p w14:paraId="210C3824">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采购范围</w:t>
            </w:r>
          </w:p>
        </w:tc>
        <w:tc>
          <w:tcPr>
            <w:tcW w:w="5416" w:type="dxa"/>
            <w:vAlign w:val="center"/>
          </w:tcPr>
          <w:p w14:paraId="211C18EE">
            <w:pPr>
              <w:pageBreakBefore w:val="0"/>
              <w:kinsoku/>
              <w:overflowPunct/>
              <w:autoSpaceDE w:val="0"/>
              <w:autoSpaceDN w:val="0"/>
              <w:bidi w:val="0"/>
              <w:adjustRightInd w:val="0"/>
              <w:spacing w:line="360" w:lineRule="auto"/>
              <w:rPr>
                <w:rFonts w:hint="eastAsia" w:ascii="宋体" w:hAnsi="宋体" w:eastAsia="宋体" w:cs="宋体"/>
                <w:kern w:val="0"/>
                <w:sz w:val="24"/>
                <w:lang w:eastAsia="zh-CN"/>
              </w:rPr>
            </w:pPr>
            <w:r>
              <w:rPr>
                <w:rFonts w:hint="eastAsia" w:ascii="宋体" w:hAnsi="宋体" w:eastAsia="宋体" w:cs="宋体"/>
                <w:kern w:val="0"/>
                <w:sz w:val="24"/>
                <w:szCs w:val="24"/>
                <w:lang w:eastAsia="zh-CN"/>
              </w:rPr>
              <w:t>竞争性磋商文件及工程量清单所包含的全部内容</w:t>
            </w:r>
          </w:p>
        </w:tc>
      </w:tr>
      <w:tr w14:paraId="3E5A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B67C3BD">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1.3.2</w:t>
            </w:r>
          </w:p>
        </w:tc>
        <w:tc>
          <w:tcPr>
            <w:tcW w:w="2081" w:type="dxa"/>
            <w:vAlign w:val="center"/>
          </w:tcPr>
          <w:p w14:paraId="35260E15">
            <w:pPr>
              <w:pageBreakBefore w:val="0"/>
              <w:kinsoku/>
              <w:overflowPunct/>
              <w:autoSpaceDE w:val="0"/>
              <w:autoSpaceDN w:val="0"/>
              <w:bidi w:val="0"/>
              <w:adjustRightIn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计划工期</w:t>
            </w:r>
          </w:p>
        </w:tc>
        <w:tc>
          <w:tcPr>
            <w:tcW w:w="5416" w:type="dxa"/>
            <w:vAlign w:val="center"/>
          </w:tcPr>
          <w:p w14:paraId="585AE840">
            <w:pPr>
              <w:pageBreakBefore w:val="0"/>
              <w:kinsoku/>
              <w:overflowPunct/>
              <w:autoSpaceDE w:val="0"/>
              <w:autoSpaceDN w:val="0"/>
              <w:bidi w:val="0"/>
              <w:adjustRightInd w:val="0"/>
              <w:spacing w:line="360" w:lineRule="auto"/>
              <w:rPr>
                <w:rFonts w:hint="eastAsia" w:ascii="宋体" w:hAnsi="宋体" w:eastAsia="宋体" w:cs="宋体"/>
                <w:kern w:val="0"/>
                <w:sz w:val="24"/>
                <w:highlight w:val="none"/>
                <w:lang w:eastAsia="zh-CN"/>
              </w:rPr>
            </w:pPr>
            <w:r>
              <w:rPr>
                <w:rFonts w:hint="eastAsia" w:ascii="宋体" w:hAnsi="宋体" w:eastAsia="宋体" w:cs="宋体"/>
                <w:kern w:val="0"/>
                <w:sz w:val="24"/>
                <w:szCs w:val="24"/>
                <w:highlight w:val="none"/>
                <w:lang w:val="en-US" w:eastAsia="zh-CN"/>
              </w:rPr>
              <w:t>30日历天</w:t>
            </w:r>
          </w:p>
        </w:tc>
      </w:tr>
      <w:tr w14:paraId="0B3D5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8AD11CF">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1.3.3</w:t>
            </w:r>
          </w:p>
        </w:tc>
        <w:tc>
          <w:tcPr>
            <w:tcW w:w="2081" w:type="dxa"/>
            <w:vAlign w:val="center"/>
          </w:tcPr>
          <w:p w14:paraId="376310CD">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质量要求</w:t>
            </w:r>
          </w:p>
        </w:tc>
        <w:tc>
          <w:tcPr>
            <w:tcW w:w="5416" w:type="dxa"/>
            <w:vAlign w:val="center"/>
          </w:tcPr>
          <w:p w14:paraId="154AB790">
            <w:pPr>
              <w:pageBreakBefore w:val="0"/>
              <w:kinsoku/>
              <w:overflowPunct/>
              <w:autoSpaceDE w:val="0"/>
              <w:autoSpaceDN w:val="0"/>
              <w:bidi w:val="0"/>
              <w:adjustRightInd w:val="0"/>
              <w:spacing w:line="360" w:lineRule="auto"/>
              <w:rPr>
                <w:rFonts w:hint="eastAsia" w:ascii="宋体" w:hAnsi="宋体" w:eastAsia="宋体" w:cs="宋体"/>
                <w:kern w:val="0"/>
                <w:sz w:val="24"/>
                <w:lang w:eastAsia="zh-CN"/>
              </w:rPr>
            </w:pPr>
            <w:r>
              <w:rPr>
                <w:rFonts w:hint="eastAsia" w:ascii="宋体" w:hAnsi="宋体" w:eastAsia="宋体" w:cs="宋体"/>
                <w:sz w:val="24"/>
                <w:szCs w:val="24"/>
                <w:lang w:eastAsia="zh-CN"/>
              </w:rPr>
              <w:t>达到国家现行工程施工质量验收规范合格标准</w:t>
            </w:r>
          </w:p>
        </w:tc>
      </w:tr>
      <w:tr w14:paraId="107B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FBE6FCF">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1.3.4</w:t>
            </w:r>
          </w:p>
        </w:tc>
        <w:tc>
          <w:tcPr>
            <w:tcW w:w="2081" w:type="dxa"/>
            <w:vAlign w:val="center"/>
          </w:tcPr>
          <w:p w14:paraId="299CA5E2">
            <w:pPr>
              <w:pageBreakBefore w:val="0"/>
              <w:kinsoku/>
              <w:overflowPunct/>
              <w:autoSpaceDE w:val="0"/>
              <w:autoSpaceDN w:val="0"/>
              <w:bidi w:val="0"/>
              <w:adjustRightInd w:val="0"/>
              <w:spacing w:line="360" w:lineRule="auto"/>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保修期</w:t>
            </w:r>
          </w:p>
        </w:tc>
        <w:tc>
          <w:tcPr>
            <w:tcW w:w="5416" w:type="dxa"/>
            <w:vAlign w:val="center"/>
          </w:tcPr>
          <w:p w14:paraId="714B6372">
            <w:pPr>
              <w:pageBreakBefore w:val="0"/>
              <w:kinsoku/>
              <w:overflowPunct/>
              <w:autoSpaceDE w:val="0"/>
              <w:autoSpaceDN w:val="0"/>
              <w:bidi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按国家规定</w:t>
            </w:r>
          </w:p>
        </w:tc>
      </w:tr>
      <w:tr w14:paraId="0A14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656330C">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1.4</w:t>
            </w:r>
          </w:p>
        </w:tc>
        <w:tc>
          <w:tcPr>
            <w:tcW w:w="2081" w:type="dxa"/>
            <w:vAlign w:val="center"/>
          </w:tcPr>
          <w:p w14:paraId="6EA42075">
            <w:pPr>
              <w:pageBreakBefore w:val="0"/>
              <w:kinsoku/>
              <w:overflowPunct/>
              <w:bidi w:val="0"/>
              <w:snapToGrid w:val="0"/>
              <w:spacing w:line="360" w:lineRule="auto"/>
              <w:jc w:val="center"/>
              <w:rPr>
                <w:rFonts w:hint="eastAsia" w:ascii="宋体" w:hAnsi="宋体" w:eastAsia="宋体" w:cs="宋体"/>
                <w:sz w:val="24"/>
              </w:rPr>
            </w:pPr>
            <w:r>
              <w:rPr>
                <w:rFonts w:hint="eastAsia" w:ascii="宋体" w:hAnsi="宋体" w:eastAsia="宋体" w:cs="宋体"/>
                <w:sz w:val="24"/>
              </w:rPr>
              <w:t>供应商资格要求</w:t>
            </w:r>
          </w:p>
        </w:tc>
        <w:tc>
          <w:tcPr>
            <w:tcW w:w="5416" w:type="dxa"/>
          </w:tcPr>
          <w:p w14:paraId="78778426">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63488B75">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2、落实政府采购政策满足的资格要求：</w:t>
            </w:r>
            <w:r>
              <w:rPr>
                <w:rFonts w:hint="eastAsia" w:ascii="宋体" w:hAnsi="宋体" w:eastAsia="宋体" w:cs="宋体"/>
                <w:sz w:val="24"/>
                <w:szCs w:val="24"/>
                <w:lang w:eastAsia="zh-CN"/>
              </w:rPr>
              <w:t>本项目为专门面向中小微企业采购项目（监狱企业、残疾人福利性企业视同小微企业）,执行促进中小企业（监狱企业、残疾人福利性企业）发展等政府采购政策。</w:t>
            </w:r>
          </w:p>
          <w:p w14:paraId="2AC8F851">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2F13EF67">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须具备独立法人资格，持有合法有效的营业执照</w:t>
            </w:r>
            <w:r>
              <w:rPr>
                <w:rFonts w:hint="eastAsia" w:ascii="宋体" w:hAnsi="宋体" w:eastAsia="宋体" w:cs="宋体"/>
                <w:color w:val="auto"/>
                <w:sz w:val="24"/>
                <w:szCs w:val="24"/>
                <w:highlight w:val="none"/>
              </w:rPr>
              <w:t>；</w:t>
            </w:r>
          </w:p>
          <w:p w14:paraId="6E522DA5">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lang w:eastAsia="zh-CN"/>
              </w:rPr>
              <w:t>供应商须具有建筑工程施工总承包叁级（含叁级）及以上资质，具有有效的安全生产许可证，并在人员、设备、资金等方面具有相应的施工能力；</w:t>
            </w:r>
          </w:p>
          <w:p w14:paraId="4004014E">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lang w:eastAsia="zh-CN"/>
              </w:rPr>
              <w:t>拟派项目经理须具有建筑工程专业贰级（含贰级）及以上注册建造师资格、具备有效的安全生产考核合格证书，未在其它在建工程项目中担任项目经理，提供在本单位的社会养老保险缴费证明；</w:t>
            </w:r>
          </w:p>
          <w:p w14:paraId="322ABE27">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供应商须</w:t>
            </w:r>
            <w:r>
              <w:rPr>
                <w:rFonts w:hint="eastAsia" w:ascii="宋体" w:hAnsi="宋体" w:eastAsia="宋体" w:cs="宋体"/>
                <w:color w:val="auto"/>
                <w:sz w:val="24"/>
                <w:szCs w:val="24"/>
                <w:highlight w:val="none"/>
                <w:lang w:eastAsia="zh-CN"/>
              </w:rPr>
              <w:t>出具无行贿犯罪记录，在中国裁判文书网自行查询或自行承诺（查询/承诺对象为企业、法定代表人、项目经理）（查询日期必须在公告发布之日之后）</w:t>
            </w:r>
            <w:r>
              <w:rPr>
                <w:rFonts w:hint="eastAsia" w:ascii="宋体" w:hAnsi="宋体" w:eastAsia="宋体" w:cs="宋体"/>
                <w:color w:val="auto"/>
                <w:sz w:val="24"/>
                <w:szCs w:val="24"/>
                <w:highlight w:val="none"/>
              </w:rPr>
              <w:t>；</w:t>
            </w:r>
          </w:p>
          <w:p w14:paraId="43888964">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供应商须</w:t>
            </w:r>
            <w:r>
              <w:rPr>
                <w:rFonts w:hint="eastAsia" w:ascii="宋体" w:hAnsi="宋体" w:eastAsia="宋体" w:cs="宋体"/>
                <w:kern w:val="0"/>
                <w:sz w:val="24"/>
                <w:szCs w:val="24"/>
                <w:highlight w:val="none"/>
                <w:lang w:val="en-US" w:eastAsia="zh-CN" w:bidi="ar"/>
              </w:rPr>
              <w:t>出具本企业无商业贿赂和不正当竞争行为承诺书，格式自拟；</w:t>
            </w:r>
          </w:p>
          <w:p w14:paraId="0E81C450">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lang w:eastAsia="zh-CN"/>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 “中国执行信息公开网”网站（http</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//zxgk.court.gov.cn/shixin）“信用中国”网站（www.creditchina.gov.cn）、中国政府采购网（www.ccgp.gov.cn）；提供网站的查询信息截图（查询时间自公告发布之日起）。</w:t>
            </w:r>
          </w:p>
          <w:p w14:paraId="32A1E4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本项目不接受联合体投标</w:t>
            </w:r>
            <w:r>
              <w:rPr>
                <w:rFonts w:hint="eastAsia" w:ascii="宋体" w:hAnsi="宋体" w:eastAsia="宋体" w:cs="宋体"/>
                <w:sz w:val="24"/>
                <w:szCs w:val="24"/>
              </w:rPr>
              <w:t>，提供非联合体承诺，格式自拟</w:t>
            </w:r>
            <w:r>
              <w:rPr>
                <w:rFonts w:hint="eastAsia" w:ascii="宋体" w:hAnsi="宋体" w:eastAsia="宋体" w:cs="宋体"/>
                <w:color w:val="auto"/>
                <w:sz w:val="24"/>
                <w:szCs w:val="24"/>
                <w:highlight w:val="none"/>
              </w:rPr>
              <w:t>。</w:t>
            </w:r>
          </w:p>
          <w:p w14:paraId="07ADA3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8</w:t>
            </w:r>
            <w:r>
              <w:rPr>
                <w:rFonts w:hint="eastAsia" w:ascii="宋体" w:hAnsi="宋体" w:eastAsia="宋体" w:cs="宋体"/>
                <w:sz w:val="24"/>
                <w:szCs w:val="24"/>
              </w:rPr>
              <w:t>本项目实行资格后审，资格审查的具体要求见竞争性磋商文件。</w:t>
            </w:r>
          </w:p>
          <w:p w14:paraId="3A3F05CD">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0"/>
                <w:sz w:val="24"/>
                <w:szCs w:val="28"/>
              </w:rPr>
            </w:pPr>
            <w:r>
              <w:rPr>
                <w:rFonts w:hint="eastAsia" w:ascii="宋体" w:hAnsi="宋体" w:eastAsia="宋体" w:cs="宋体"/>
                <w:sz w:val="24"/>
                <w:szCs w:val="24"/>
              </w:rPr>
              <w:t>温馨提醒：本项目为资格后审，资格审查由采购人依法组建的磋商小组负责。各供应商应认真阅读本项目供应商资格要求，避免无资格投标而造成不必要的损失。</w:t>
            </w:r>
          </w:p>
        </w:tc>
      </w:tr>
      <w:tr w14:paraId="5A48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B57A352">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1.6.5</w:t>
            </w:r>
          </w:p>
        </w:tc>
        <w:tc>
          <w:tcPr>
            <w:tcW w:w="2081" w:type="dxa"/>
            <w:vAlign w:val="center"/>
          </w:tcPr>
          <w:p w14:paraId="2126CF0B">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是否退还磋商响应文件</w:t>
            </w:r>
          </w:p>
        </w:tc>
        <w:tc>
          <w:tcPr>
            <w:tcW w:w="5416" w:type="dxa"/>
            <w:vAlign w:val="center"/>
          </w:tcPr>
          <w:p w14:paraId="6C74B4BC">
            <w:pPr>
              <w:pageBreakBefore w:val="0"/>
              <w:kinsoku/>
              <w:overflowPunct/>
              <w:bidi w:val="0"/>
              <w:spacing w:line="360" w:lineRule="auto"/>
              <w:rPr>
                <w:rFonts w:hint="eastAsia" w:ascii="宋体" w:hAnsi="宋体" w:eastAsia="宋体" w:cs="宋体"/>
                <w:sz w:val="24"/>
              </w:rPr>
            </w:pPr>
            <w:r>
              <w:rPr>
                <w:rFonts w:hint="eastAsia" w:ascii="宋体" w:hAnsi="宋体" w:eastAsia="宋体" w:cs="宋体"/>
                <w:sz w:val="24"/>
              </w:rPr>
              <w:t xml:space="preserve">否 </w:t>
            </w:r>
          </w:p>
        </w:tc>
      </w:tr>
      <w:tr w14:paraId="36EB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89CE8EE">
            <w:pPr>
              <w:pageBreakBefore w:val="0"/>
              <w:kinsoku/>
              <w:overflowPunct/>
              <w:autoSpaceDE w:val="0"/>
              <w:autoSpaceDN w:val="0"/>
              <w:bidi w:val="0"/>
              <w:adjustRightInd w:val="0"/>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2.1</w:t>
            </w:r>
          </w:p>
        </w:tc>
        <w:tc>
          <w:tcPr>
            <w:tcW w:w="2081" w:type="dxa"/>
            <w:vAlign w:val="center"/>
          </w:tcPr>
          <w:p w14:paraId="7169A998">
            <w:pPr>
              <w:pageBreakBefore w:val="0"/>
              <w:widowControl/>
              <w:kinsoku/>
              <w:overflowPunct/>
              <w:bidi w:val="0"/>
              <w:spacing w:line="360" w:lineRule="auto"/>
              <w:jc w:val="center"/>
              <w:rPr>
                <w:rFonts w:hint="eastAsia" w:ascii="宋体" w:hAnsi="宋体" w:eastAsia="宋体" w:cs="宋体"/>
                <w:kern w:val="0"/>
                <w:sz w:val="24"/>
              </w:rPr>
            </w:pPr>
            <w:r>
              <w:rPr>
                <w:rFonts w:hint="eastAsia" w:ascii="宋体" w:hAnsi="宋体" w:eastAsia="宋体" w:cs="宋体"/>
                <w:color w:val="auto"/>
                <w:sz w:val="24"/>
                <w:szCs w:val="24"/>
                <w:highlight w:val="none"/>
              </w:rPr>
              <w:t>踏勘现场</w:t>
            </w:r>
          </w:p>
        </w:tc>
        <w:tc>
          <w:tcPr>
            <w:tcW w:w="5416" w:type="dxa"/>
            <w:vAlign w:val="center"/>
          </w:tcPr>
          <w:p w14:paraId="6C2F2AA5">
            <w:pPr>
              <w:pageBreakBefore w:val="0"/>
              <w:widowControl/>
              <w:kinsoku/>
              <w:overflowPunct/>
              <w:bidi w:val="0"/>
              <w:spacing w:line="360" w:lineRule="auto"/>
              <w:jc w:val="left"/>
              <w:rPr>
                <w:rFonts w:hint="eastAsia" w:ascii="宋体" w:hAnsi="宋体" w:eastAsia="宋体" w:cs="宋体"/>
                <w:sz w:val="24"/>
              </w:rPr>
            </w:pPr>
            <w:r>
              <w:rPr>
                <w:rFonts w:hint="eastAsia" w:ascii="宋体" w:hAnsi="宋体" w:eastAsia="宋体" w:cs="宋体"/>
                <w:color w:val="auto"/>
                <w:sz w:val="24"/>
                <w:szCs w:val="24"/>
                <w:highlight w:val="none"/>
              </w:rPr>
              <w:t>不组织，投标人自行踏勘。</w:t>
            </w:r>
          </w:p>
        </w:tc>
      </w:tr>
      <w:tr w14:paraId="6234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4304474">
            <w:pPr>
              <w:pageBreakBefore w:val="0"/>
              <w:kinsoku/>
              <w:overflowPunct/>
              <w:autoSpaceDE w:val="0"/>
              <w:autoSpaceDN w:val="0"/>
              <w:bidi w:val="0"/>
              <w:adjustRightInd w:val="0"/>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2.2</w:t>
            </w:r>
          </w:p>
        </w:tc>
        <w:tc>
          <w:tcPr>
            <w:tcW w:w="2081" w:type="dxa"/>
            <w:vAlign w:val="center"/>
          </w:tcPr>
          <w:p w14:paraId="2F92B97C">
            <w:pPr>
              <w:pageBreakBefore w:val="0"/>
              <w:widowControl/>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磋商预备会</w:t>
            </w:r>
          </w:p>
        </w:tc>
        <w:tc>
          <w:tcPr>
            <w:tcW w:w="5416" w:type="dxa"/>
            <w:vAlign w:val="center"/>
          </w:tcPr>
          <w:p w14:paraId="60517AFB">
            <w:pPr>
              <w:pageBreakBefore w:val="0"/>
              <w:widowControl/>
              <w:kinsoku/>
              <w:overflowPunct/>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w:t>
            </w:r>
          </w:p>
        </w:tc>
      </w:tr>
      <w:tr w14:paraId="0DC2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F3079A3">
            <w:pPr>
              <w:pageBreakBefore w:val="0"/>
              <w:kinsoku/>
              <w:overflowPunct/>
              <w:autoSpaceDE w:val="0"/>
              <w:autoSpaceDN w:val="0"/>
              <w:bidi w:val="0"/>
              <w:adjustRightInd w:val="0"/>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2.3</w:t>
            </w:r>
          </w:p>
        </w:tc>
        <w:tc>
          <w:tcPr>
            <w:tcW w:w="2081" w:type="dxa"/>
            <w:vAlign w:val="center"/>
          </w:tcPr>
          <w:p w14:paraId="54920FC7">
            <w:pPr>
              <w:pageBreakBefore w:val="0"/>
              <w:widowControl/>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z w:val="24"/>
                <w:szCs w:val="24"/>
                <w:lang w:eastAsia="zh-CN"/>
              </w:rPr>
              <w:t>供应商</w:t>
            </w:r>
            <w:r>
              <w:rPr>
                <w:rFonts w:hint="eastAsia" w:ascii="宋体" w:hAnsi="宋体" w:eastAsia="宋体" w:cs="宋体"/>
                <w:sz w:val="24"/>
                <w:szCs w:val="24"/>
              </w:rPr>
              <w:t>提出问题的截止时间</w:t>
            </w:r>
          </w:p>
        </w:tc>
        <w:tc>
          <w:tcPr>
            <w:tcW w:w="5416" w:type="dxa"/>
            <w:vAlign w:val="center"/>
          </w:tcPr>
          <w:p w14:paraId="166CFEE4">
            <w:pPr>
              <w:pageBreakBefore w:val="0"/>
              <w:widowControl/>
              <w:kinsoku/>
              <w:overflowPunct/>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sz w:val="24"/>
                <w:szCs w:val="24"/>
              </w:rPr>
              <w:t>响应性文件递交截止时间5天前</w:t>
            </w:r>
          </w:p>
        </w:tc>
      </w:tr>
      <w:tr w14:paraId="16EF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0FA69FF">
            <w:pPr>
              <w:pageBreakBefore w:val="0"/>
              <w:kinsoku/>
              <w:overflowPunct/>
              <w:autoSpaceDE w:val="0"/>
              <w:autoSpaceDN w:val="0"/>
              <w:bidi w:val="0"/>
              <w:adjustRightInd w:val="0"/>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2.4</w:t>
            </w:r>
          </w:p>
        </w:tc>
        <w:tc>
          <w:tcPr>
            <w:tcW w:w="2081" w:type="dxa"/>
            <w:vAlign w:val="center"/>
          </w:tcPr>
          <w:p w14:paraId="31E09460">
            <w:pPr>
              <w:pageBreakBefore w:val="0"/>
              <w:widowControl/>
              <w:kinsoku/>
              <w:overflowPunct/>
              <w:bidi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招标人书面澄清的时间</w:t>
            </w:r>
          </w:p>
        </w:tc>
        <w:tc>
          <w:tcPr>
            <w:tcW w:w="5416" w:type="dxa"/>
            <w:vAlign w:val="center"/>
          </w:tcPr>
          <w:p w14:paraId="67E4F554">
            <w:pPr>
              <w:pageBreakBefore w:val="0"/>
              <w:widowControl/>
              <w:kinsoku/>
              <w:overflowPunct/>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sz w:val="24"/>
                <w:szCs w:val="24"/>
              </w:rPr>
              <w:t>响应性文件递交截止时间5天前</w:t>
            </w:r>
          </w:p>
        </w:tc>
      </w:tr>
      <w:tr w14:paraId="6283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843E953">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2.5</w:t>
            </w:r>
          </w:p>
        </w:tc>
        <w:tc>
          <w:tcPr>
            <w:tcW w:w="2081" w:type="dxa"/>
            <w:vAlign w:val="center"/>
          </w:tcPr>
          <w:p w14:paraId="3B7F1619">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磋商有效期</w:t>
            </w:r>
          </w:p>
        </w:tc>
        <w:tc>
          <w:tcPr>
            <w:tcW w:w="5416" w:type="dxa"/>
            <w:vAlign w:val="center"/>
          </w:tcPr>
          <w:p w14:paraId="210009DA">
            <w:pPr>
              <w:pageBreakBefore w:val="0"/>
              <w:kinsoku/>
              <w:overflowPunct/>
              <w:bidi w:val="0"/>
              <w:spacing w:line="360" w:lineRule="auto"/>
              <w:rPr>
                <w:rFonts w:hint="eastAsia" w:ascii="宋体" w:hAnsi="宋体" w:eastAsia="宋体" w:cs="宋体"/>
                <w:sz w:val="24"/>
              </w:rPr>
            </w:pPr>
            <w:r>
              <w:rPr>
                <w:rFonts w:hint="eastAsia" w:ascii="宋体" w:hAnsi="宋体" w:eastAsia="宋体" w:cs="宋体"/>
                <w:sz w:val="24"/>
                <w:szCs w:val="24"/>
              </w:rPr>
              <w:t>磋商响应文件递交截止日后60日历天</w:t>
            </w:r>
          </w:p>
        </w:tc>
      </w:tr>
      <w:tr w14:paraId="6A930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4BFC6DB">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2.6</w:t>
            </w:r>
          </w:p>
        </w:tc>
        <w:tc>
          <w:tcPr>
            <w:tcW w:w="2081" w:type="dxa"/>
            <w:vAlign w:val="center"/>
          </w:tcPr>
          <w:p w14:paraId="4E8834B4">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sz w:val="24"/>
              </w:rPr>
              <w:t>电子化磋商响应文件的编制和签署</w:t>
            </w:r>
          </w:p>
        </w:tc>
        <w:tc>
          <w:tcPr>
            <w:tcW w:w="5416" w:type="dxa"/>
          </w:tcPr>
          <w:p w14:paraId="54C0D6D6">
            <w:pPr>
              <w:pageBreakBefore w:val="0"/>
              <w:kinsoku/>
              <w:overflowPunct/>
              <w:bidi w:val="0"/>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1、磋商响应文件应按第六章“磋商响应文件格式”进行编写，如有必要，可以增加附页，作为磋商响应文件的组成部分。</w:t>
            </w:r>
          </w:p>
          <w:p w14:paraId="2CC8A051">
            <w:pPr>
              <w:pageBreakBefore w:val="0"/>
              <w:kinsoku/>
              <w:overflowPunct/>
              <w:bidi w:val="0"/>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2、磋商响应文件应当对竞争性磋商文件有关工期、磋商有效期、质量要求、</w:t>
            </w:r>
            <w:r>
              <w:rPr>
                <w:rFonts w:hint="eastAsia" w:ascii="宋体" w:hAnsi="宋体" w:eastAsia="宋体" w:cs="宋体"/>
                <w:color w:val="000000"/>
                <w:kern w:val="0"/>
                <w:sz w:val="24"/>
                <w:szCs w:val="24"/>
                <w:lang w:eastAsia="zh-CN"/>
              </w:rPr>
              <w:t>技术部分</w:t>
            </w:r>
            <w:r>
              <w:rPr>
                <w:rFonts w:hint="eastAsia" w:ascii="宋体" w:hAnsi="宋体" w:eastAsia="宋体" w:cs="宋体"/>
                <w:color w:val="000000"/>
                <w:kern w:val="0"/>
                <w:sz w:val="24"/>
                <w:szCs w:val="24"/>
              </w:rPr>
              <w:t>准和要求、采购范围等实质性内容作出响应。其中，磋商函附录在满足竞争性磋商文件实质性要求的基础上，可以提出比竞争性磋商文件要求更有利于采购人的承诺。</w:t>
            </w:r>
          </w:p>
          <w:p w14:paraId="220F9500">
            <w:pPr>
              <w:pageBreakBefore w:val="0"/>
              <w:kinsoku/>
              <w:overflowPunct/>
              <w:bidi w:val="0"/>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3、供应商在生成电子化磋商响应文件后，必须对电子化磋商响应文件进行电子签章，未进行签章的视为无效文件。</w:t>
            </w:r>
          </w:p>
          <w:p w14:paraId="12B75426">
            <w:pPr>
              <w:pageBreakBefore w:val="0"/>
              <w:kinsoku/>
              <w:overflowPunct/>
              <w:bidi w:val="0"/>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查看。</w:t>
            </w:r>
          </w:p>
          <w:p w14:paraId="2F9804E8">
            <w:pPr>
              <w:pageBreakBefore w:val="0"/>
              <w:kinsoku/>
              <w:overflowPunct/>
              <w:bidi w:val="0"/>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电子化响应文件制作软件请点击https</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//download.bqpoint.com/download/downloaddetail.html?SourceFrom=Ztb&amp;ZtbSoftXiaQuCode=1506&amp;ZtbSoftType=tballinclusive进行下载。</w:t>
            </w:r>
          </w:p>
        </w:tc>
      </w:tr>
      <w:tr w14:paraId="079B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F9EAC20">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2.7</w:t>
            </w:r>
          </w:p>
        </w:tc>
        <w:tc>
          <w:tcPr>
            <w:tcW w:w="2081" w:type="dxa"/>
            <w:vAlign w:val="center"/>
          </w:tcPr>
          <w:p w14:paraId="3E5C39E4">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sz w:val="24"/>
              </w:rPr>
              <w:t>电子化磋商响应文件的格式</w:t>
            </w:r>
          </w:p>
        </w:tc>
        <w:tc>
          <w:tcPr>
            <w:tcW w:w="5416" w:type="dxa"/>
          </w:tcPr>
          <w:p w14:paraId="08510E47">
            <w:pPr>
              <w:pageBreakBefore w:val="0"/>
              <w:tabs>
                <w:tab w:val="left" w:pos="0"/>
              </w:tabs>
              <w:kinsoku/>
              <w:overflowPunct/>
              <w:bidi w:val="0"/>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1E338400">
            <w:pPr>
              <w:pageBreakBefore w:val="0"/>
              <w:tabs>
                <w:tab w:val="left" w:pos="0"/>
              </w:tabs>
              <w:kinsoku/>
              <w:overflowPunct/>
              <w:bidi w:val="0"/>
              <w:spacing w:line="360" w:lineRule="auto"/>
              <w:rPr>
                <w:rFonts w:hint="eastAsia" w:ascii="宋体" w:hAnsi="宋体" w:eastAsia="宋体" w:cs="宋体"/>
              </w:rPr>
            </w:pPr>
            <w:r>
              <w:rPr>
                <w:rFonts w:hint="eastAsia" w:ascii="宋体" w:hAnsi="宋体" w:eastAsia="宋体" w:cs="宋体"/>
                <w:color w:val="000000"/>
                <w:kern w:val="0"/>
                <w:sz w:val="24"/>
                <w:szCs w:val="24"/>
              </w:rPr>
              <w:t>注：供应商投报多个标段的，每个标段需要单独制作电子响应文件。</w:t>
            </w:r>
          </w:p>
        </w:tc>
      </w:tr>
      <w:tr w14:paraId="1A2F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2AAF668">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2.8</w:t>
            </w:r>
          </w:p>
        </w:tc>
        <w:tc>
          <w:tcPr>
            <w:tcW w:w="2081" w:type="dxa"/>
            <w:vAlign w:val="center"/>
          </w:tcPr>
          <w:p w14:paraId="09E1D96E">
            <w:pPr>
              <w:pageBreakBefore w:val="0"/>
              <w:kinsoku/>
              <w:overflowPunct/>
              <w:autoSpaceDE w:val="0"/>
              <w:autoSpaceDN w:val="0"/>
              <w:bidi w:val="0"/>
              <w:adjustRightInd w:val="0"/>
              <w:spacing w:line="360" w:lineRule="auto"/>
              <w:jc w:val="center"/>
              <w:rPr>
                <w:rFonts w:hint="eastAsia" w:ascii="宋体" w:hAnsi="宋体" w:eastAsia="宋体" w:cs="宋体"/>
                <w:sz w:val="24"/>
              </w:rPr>
            </w:pPr>
            <w:r>
              <w:rPr>
                <w:rFonts w:hint="eastAsia" w:ascii="宋体" w:hAnsi="宋体" w:eastAsia="宋体" w:cs="宋体"/>
                <w:sz w:val="24"/>
              </w:rPr>
              <w:t>电子化磋商响应文件的上传</w:t>
            </w:r>
          </w:p>
        </w:tc>
        <w:tc>
          <w:tcPr>
            <w:tcW w:w="5416" w:type="dxa"/>
          </w:tcPr>
          <w:p w14:paraId="7BDD5AE2">
            <w:pPr>
              <w:pageBreakBefore w:val="0"/>
              <w:kinsoku/>
              <w:overflowPunct/>
              <w:bidi w:val="0"/>
              <w:spacing w:line="360" w:lineRule="auto"/>
              <w:rPr>
                <w:rFonts w:hint="eastAsia" w:ascii="宋体" w:hAnsi="宋体" w:eastAsia="宋体" w:cs="宋体"/>
                <w:sz w:val="24"/>
              </w:rPr>
            </w:pPr>
            <w:r>
              <w:rPr>
                <w:rFonts w:hint="eastAsia" w:ascii="宋体" w:hAnsi="宋体" w:eastAsia="宋体" w:cs="宋体"/>
                <w:sz w:val="24"/>
              </w:rPr>
              <w:t>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68EA41BE">
            <w:pPr>
              <w:pageBreakBefore w:val="0"/>
              <w:kinsoku/>
              <w:overflowPunct/>
              <w:bidi w:val="0"/>
              <w:spacing w:line="360" w:lineRule="auto"/>
              <w:rPr>
                <w:rFonts w:hint="eastAsia" w:ascii="宋体" w:hAnsi="宋体" w:eastAsia="宋体" w:cs="宋体"/>
                <w:sz w:val="24"/>
              </w:rPr>
            </w:pPr>
            <w:r>
              <w:rPr>
                <w:rFonts w:hint="eastAsia" w:ascii="宋体" w:hAnsi="宋体" w:eastAsia="宋体" w:cs="宋体"/>
                <w:sz w:val="24"/>
              </w:rPr>
              <w:t>注：按照电子化投标操作教材制作完成的电子化磋商响应文件无法上传的，供应商应在磋商响应文件递交截止时间前尽早的联系中心技术人员，以便有充分的时间进行处理。</w:t>
            </w:r>
          </w:p>
          <w:p w14:paraId="78E298C5">
            <w:pPr>
              <w:pageBreakBefore w:val="0"/>
              <w:kinsoku/>
              <w:overflowPunct/>
              <w:bidi w:val="0"/>
              <w:spacing w:line="360" w:lineRule="auto"/>
              <w:rPr>
                <w:rFonts w:hint="eastAsia" w:ascii="宋体" w:hAnsi="宋体" w:eastAsia="宋体" w:cs="宋体"/>
                <w:sz w:val="24"/>
              </w:rPr>
            </w:pPr>
            <w:r>
              <w:rPr>
                <w:rFonts w:hint="eastAsia" w:ascii="宋体" w:hAnsi="宋体" w:eastAsia="宋体" w:cs="宋体"/>
                <w:sz w:val="24"/>
              </w:rPr>
              <w:t>技术联系电话：0398-3117871；</w:t>
            </w:r>
          </w:p>
          <w:p w14:paraId="5818D59E">
            <w:pPr>
              <w:pageBreakBefore w:val="0"/>
              <w:kinsoku/>
              <w:overflowPunct/>
              <w:bidi w:val="0"/>
              <w:spacing w:line="360" w:lineRule="auto"/>
              <w:rPr>
                <w:rFonts w:hint="eastAsia" w:ascii="宋体" w:hAnsi="宋体" w:eastAsia="宋体" w:cs="宋体"/>
                <w:sz w:val="24"/>
              </w:rPr>
            </w:pPr>
            <w:r>
              <w:rPr>
                <w:rFonts w:hint="eastAsia" w:ascii="宋体" w:hAnsi="宋体" w:eastAsia="宋体" w:cs="宋体"/>
                <w:sz w:val="24"/>
              </w:rPr>
              <w:t>主体库咨询电话</w:t>
            </w:r>
            <w:r>
              <w:rPr>
                <w:rFonts w:hint="eastAsia" w:ascii="宋体" w:hAnsi="宋体" w:eastAsia="宋体" w:cs="宋体"/>
                <w:sz w:val="24"/>
                <w:lang w:eastAsia="zh-CN"/>
              </w:rPr>
              <w:t>：</w:t>
            </w:r>
            <w:r>
              <w:rPr>
                <w:rFonts w:hint="eastAsia" w:ascii="宋体" w:hAnsi="宋体" w:eastAsia="宋体" w:cs="宋体"/>
                <w:sz w:val="24"/>
              </w:rPr>
              <w:t>0398-3117815；</w:t>
            </w:r>
          </w:p>
          <w:p w14:paraId="683BA361">
            <w:pPr>
              <w:pageBreakBefore w:val="0"/>
              <w:kinsoku/>
              <w:overflowPunct/>
              <w:bidi w:val="0"/>
              <w:spacing w:line="360" w:lineRule="auto"/>
              <w:rPr>
                <w:rFonts w:hint="eastAsia" w:ascii="宋体" w:hAnsi="宋体" w:eastAsia="宋体" w:cs="宋体"/>
                <w:sz w:val="24"/>
              </w:rPr>
            </w:pPr>
            <w:r>
              <w:rPr>
                <w:rFonts w:hint="eastAsia" w:ascii="宋体" w:hAnsi="宋体" w:eastAsia="宋体" w:cs="宋体"/>
                <w:sz w:val="24"/>
              </w:rPr>
              <w:t>CA证书制发</w:t>
            </w:r>
            <w:r>
              <w:rPr>
                <w:rFonts w:hint="eastAsia" w:ascii="宋体" w:hAnsi="宋体" w:eastAsia="宋体" w:cs="宋体"/>
                <w:sz w:val="24"/>
                <w:lang w:eastAsia="zh-CN"/>
              </w:rPr>
              <w:t>：</w:t>
            </w:r>
            <w:r>
              <w:rPr>
                <w:rFonts w:hint="eastAsia" w:ascii="宋体" w:hAnsi="宋体" w:eastAsia="宋体" w:cs="宋体"/>
                <w:sz w:val="24"/>
              </w:rPr>
              <w:t>0398-2181635；</w:t>
            </w:r>
          </w:p>
          <w:p w14:paraId="363B1461">
            <w:pPr>
              <w:pageBreakBefore w:val="0"/>
              <w:kinsoku/>
              <w:overflowPunct/>
              <w:bidi w:val="0"/>
              <w:spacing w:line="360" w:lineRule="auto"/>
              <w:rPr>
                <w:rFonts w:hint="eastAsia" w:ascii="宋体" w:hAnsi="宋体" w:eastAsia="宋体" w:cs="宋体"/>
                <w:sz w:val="24"/>
              </w:rPr>
            </w:pPr>
            <w:r>
              <w:rPr>
                <w:rFonts w:hint="eastAsia" w:ascii="宋体" w:hAnsi="宋体" w:eastAsia="宋体" w:cs="宋体"/>
                <w:sz w:val="24"/>
              </w:rPr>
              <w:t>科技信息科</w:t>
            </w:r>
            <w:r>
              <w:rPr>
                <w:rFonts w:hint="eastAsia" w:ascii="宋体" w:hAnsi="宋体" w:eastAsia="宋体" w:cs="宋体"/>
                <w:sz w:val="24"/>
                <w:lang w:eastAsia="zh-CN"/>
              </w:rPr>
              <w:t>：</w:t>
            </w:r>
            <w:r>
              <w:rPr>
                <w:rFonts w:hint="eastAsia" w:ascii="宋体" w:hAnsi="宋体" w:eastAsia="宋体" w:cs="宋体"/>
                <w:sz w:val="24"/>
              </w:rPr>
              <w:t>0398-3117095。</w:t>
            </w:r>
          </w:p>
          <w:p w14:paraId="2559A38B">
            <w:pPr>
              <w:pageBreakBefore w:val="0"/>
              <w:kinsoku/>
              <w:overflowPunct/>
              <w:bidi w:val="0"/>
              <w:spacing w:line="360" w:lineRule="auto"/>
              <w:rPr>
                <w:rFonts w:hint="eastAsia" w:ascii="宋体" w:hAnsi="宋体" w:eastAsia="宋体" w:cs="宋体"/>
                <w:sz w:val="24"/>
              </w:rPr>
            </w:pPr>
            <w:r>
              <w:rPr>
                <w:rFonts w:hint="eastAsia" w:ascii="宋体" w:hAnsi="宋体" w:eastAsia="宋体" w:cs="宋体"/>
                <w:sz w:val="24"/>
              </w:rPr>
              <w:t>供应商应充分考虑到处理技术问题和上传数据等工作所需的时间问题。未在磋商响应文件递交截止时间前成功上传的磋商响应文件，不予接收。</w:t>
            </w:r>
          </w:p>
        </w:tc>
      </w:tr>
      <w:tr w14:paraId="30DA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3452481">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2.9</w:t>
            </w:r>
          </w:p>
        </w:tc>
        <w:tc>
          <w:tcPr>
            <w:tcW w:w="2081" w:type="dxa"/>
            <w:vAlign w:val="center"/>
          </w:tcPr>
          <w:p w14:paraId="09F82AB0">
            <w:pPr>
              <w:pageBreakBefore w:val="0"/>
              <w:kinsoku/>
              <w:overflowPunct/>
              <w:autoSpaceDE w:val="0"/>
              <w:autoSpaceDN w:val="0"/>
              <w:bidi w:val="0"/>
              <w:adjustRightInd w:val="0"/>
              <w:spacing w:line="360" w:lineRule="auto"/>
              <w:jc w:val="center"/>
              <w:rPr>
                <w:rFonts w:hint="eastAsia" w:ascii="宋体" w:hAnsi="宋体" w:eastAsia="宋体" w:cs="宋体"/>
                <w:color w:val="auto"/>
                <w:sz w:val="24"/>
              </w:rPr>
            </w:pPr>
            <w:r>
              <w:rPr>
                <w:rFonts w:hint="eastAsia" w:ascii="宋体" w:hAnsi="宋体" w:eastAsia="宋体" w:cs="宋体"/>
                <w:color w:val="auto"/>
                <w:kern w:val="0"/>
                <w:sz w:val="24"/>
              </w:rPr>
              <w:t>磋商响应文件递交截止时间</w:t>
            </w:r>
          </w:p>
        </w:tc>
        <w:tc>
          <w:tcPr>
            <w:tcW w:w="5416" w:type="dxa"/>
            <w:vAlign w:val="center"/>
          </w:tcPr>
          <w:p w14:paraId="3588E3A1">
            <w:pPr>
              <w:pageBreakBefore w:val="0"/>
              <w:kinsoku/>
              <w:overflowPunct/>
              <w:bidi w:val="0"/>
              <w:spacing w:line="360" w:lineRule="auto"/>
              <w:jc w:val="left"/>
              <w:rPr>
                <w:rFonts w:hint="eastAsia" w:ascii="宋体" w:hAnsi="宋体" w:eastAsia="宋体" w:cs="宋体"/>
                <w:color w:val="auto"/>
                <w:sz w:val="24"/>
                <w:lang w:eastAsia="zh-CN"/>
              </w:rPr>
            </w:pPr>
            <w:r>
              <w:rPr>
                <w:rFonts w:hint="eastAsia" w:ascii="宋体" w:hAnsi="宋体" w:eastAsia="宋体" w:cs="宋体"/>
                <w:color w:val="auto"/>
                <w:sz w:val="24"/>
                <w:highlight w:val="none"/>
                <w:lang w:eastAsia="zh-CN"/>
              </w:rPr>
              <w:t>2026年01月16日</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lang w:eastAsia="zh-CN"/>
              </w:rPr>
              <w:t>8时30分</w:t>
            </w:r>
          </w:p>
        </w:tc>
      </w:tr>
      <w:tr w14:paraId="648C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0D6EDD9">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2.10</w:t>
            </w:r>
          </w:p>
        </w:tc>
        <w:tc>
          <w:tcPr>
            <w:tcW w:w="2081" w:type="dxa"/>
            <w:vAlign w:val="center"/>
          </w:tcPr>
          <w:p w14:paraId="2CAEE043">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sz w:val="24"/>
              </w:rPr>
              <w:t>电子化项目开标、解密、唱标</w:t>
            </w:r>
          </w:p>
        </w:tc>
        <w:tc>
          <w:tcPr>
            <w:tcW w:w="5416" w:type="dxa"/>
          </w:tcPr>
          <w:p w14:paraId="7D16F19B">
            <w:pPr>
              <w:pageBreakBefore w:val="0"/>
              <w:kinsoku/>
              <w:overflowPunct/>
              <w:bidi w:val="0"/>
              <w:spacing w:line="360" w:lineRule="auto"/>
              <w:jc w:val="left"/>
              <w:rPr>
                <w:rFonts w:hint="eastAsia" w:ascii="宋体" w:hAnsi="宋体" w:eastAsia="宋体" w:cs="宋体"/>
                <w:sz w:val="24"/>
                <w:szCs w:val="24"/>
              </w:rPr>
            </w:pPr>
            <w:r>
              <w:rPr>
                <w:rFonts w:hint="eastAsia" w:ascii="宋体" w:hAnsi="宋体" w:eastAsia="宋体" w:cs="宋体"/>
                <w:sz w:val="24"/>
              </w:rPr>
              <w:t>1、</w:t>
            </w:r>
            <w:r>
              <w:rPr>
                <w:rFonts w:hint="eastAsia" w:ascii="宋体" w:hAnsi="宋体" w:eastAsia="宋体" w:cs="宋体"/>
                <w:sz w:val="24"/>
                <w:szCs w:val="24"/>
              </w:rPr>
              <w:t>本项目为不见面开标项目。开标当日，投标人无需到开标现场参加开标会议，投标人应当在投标截止时间前，登陆不见面开标大厅选择登陆三门峡市公共资源电子招投标系统进行登陆（网址为http</w:t>
            </w:r>
            <w:r>
              <w:rPr>
                <w:rFonts w:hint="eastAsia" w:ascii="宋体" w:hAnsi="宋体" w:eastAsia="宋体" w:cs="宋体"/>
                <w:sz w:val="24"/>
                <w:szCs w:val="24"/>
                <w:lang w:val="en-US" w:eastAsia="zh-CN"/>
              </w:rPr>
              <w:t>:</w:t>
            </w:r>
            <w:r>
              <w:rPr>
                <w:rFonts w:hint="eastAsia" w:ascii="宋体" w:hAnsi="宋体" w:eastAsia="宋体" w:cs="宋体"/>
                <w:sz w:val="24"/>
                <w:szCs w:val="24"/>
              </w:rPr>
              <w:t>//120.194.249.36</w:t>
            </w:r>
            <w:r>
              <w:rPr>
                <w:rFonts w:hint="eastAsia" w:ascii="宋体" w:hAnsi="宋体" w:eastAsia="宋体" w:cs="宋体"/>
                <w:sz w:val="24"/>
                <w:szCs w:val="24"/>
                <w:lang w:val="en-US" w:eastAsia="zh-CN"/>
              </w:rPr>
              <w:t>:</w:t>
            </w:r>
            <w:r>
              <w:rPr>
                <w:rFonts w:hint="eastAsia" w:ascii="宋体" w:hAnsi="宋体" w:eastAsia="宋体" w:cs="宋体"/>
                <w:sz w:val="24"/>
                <w:szCs w:val="24"/>
              </w:rPr>
              <w:t>10094/BidOpening/bidopeninghallaction/hall/login）。在线准时参加开标活动并进行投标文件解密等。每位投标人的解密时间为开标时间起30分钟内完成。因投标人原因未能解密、解密失败或解密超时的将被拒绝。</w:t>
            </w:r>
          </w:p>
          <w:p w14:paraId="507068F2">
            <w:pPr>
              <w:pageBreakBefore w:val="0"/>
              <w:kinsoku/>
              <w:overflowPunct/>
              <w:bidi w:val="0"/>
              <w:spacing w:line="360" w:lineRule="auto"/>
              <w:rPr>
                <w:rFonts w:hint="eastAsia" w:ascii="宋体" w:hAnsi="宋体" w:eastAsia="宋体" w:cs="宋体"/>
                <w:sz w:val="24"/>
              </w:rPr>
            </w:pPr>
            <w:r>
              <w:rPr>
                <w:rFonts w:hint="eastAsia" w:ascii="宋体" w:hAnsi="宋体" w:eastAsia="宋体" w:cs="宋体"/>
                <w:sz w:val="24"/>
              </w:rPr>
              <w:t>2、电子化磋商响应文件解密异常的处理</w:t>
            </w:r>
          </w:p>
          <w:p w14:paraId="15E0C9C0">
            <w:pPr>
              <w:pageBreakBefore w:val="0"/>
              <w:kinsoku/>
              <w:overflowPunct/>
              <w:bidi w:val="0"/>
              <w:spacing w:line="360" w:lineRule="auto"/>
              <w:rPr>
                <w:rFonts w:hint="eastAsia" w:ascii="宋体" w:hAnsi="宋体" w:eastAsia="宋体" w:cs="宋体"/>
                <w:sz w:val="24"/>
              </w:rPr>
            </w:pPr>
            <w:r>
              <w:rPr>
                <w:rFonts w:hint="eastAsia" w:ascii="宋体" w:hAnsi="宋体" w:eastAsia="宋体" w:cs="宋体"/>
                <w:sz w:val="24"/>
              </w:rPr>
              <w:t>如出现供应商的电子磋商响应文件无法解密等异常情况，供应商应及时致电代理机构说明。磋商响应文件异常，按以下步骤进行处理：</w:t>
            </w:r>
          </w:p>
          <w:p w14:paraId="718EE0AB">
            <w:pPr>
              <w:pageBreakBefore w:val="0"/>
              <w:numPr>
                <w:ilvl w:val="0"/>
                <w:numId w:val="0"/>
              </w:numPr>
              <w:kinsoku/>
              <w:overflowPunct/>
              <w:bidi w:val="0"/>
              <w:spacing w:line="360" w:lineRule="auto"/>
              <w:ind w:left="720" w:leftChars="0" w:hanging="720" w:firstLineChars="0"/>
              <w:rPr>
                <w:rFonts w:hint="eastAsia" w:ascii="宋体" w:hAnsi="宋体" w:eastAsia="宋体" w:cs="宋体"/>
                <w:sz w:val="24"/>
              </w:rPr>
            </w:pPr>
            <w:r>
              <w:rPr>
                <w:rFonts w:hint="eastAsia" w:ascii="宋体" w:hAnsi="宋体" w:eastAsia="宋体" w:cs="宋体"/>
                <w:kern w:val="2"/>
                <w:sz w:val="24"/>
                <w:szCs w:val="22"/>
                <w:lang w:val="en-US" w:eastAsia="zh-CN" w:bidi="ar-SA"/>
              </w:rPr>
              <w:t>1.</w:t>
            </w:r>
            <w:r>
              <w:rPr>
                <w:rFonts w:hint="eastAsia" w:ascii="宋体" w:hAnsi="宋体" w:eastAsia="宋体" w:cs="宋体"/>
                <w:sz w:val="24"/>
              </w:rPr>
              <w:t>首先由技术人员进行问题排查。</w:t>
            </w:r>
          </w:p>
          <w:p w14:paraId="157A1CD0">
            <w:pPr>
              <w:pageBreakBefore w:val="0"/>
              <w:kinsoku/>
              <w:overflowPunct/>
              <w:bidi w:val="0"/>
              <w:spacing w:line="360" w:lineRule="auto"/>
              <w:rPr>
                <w:rFonts w:hint="eastAsia" w:ascii="宋体" w:hAnsi="宋体" w:eastAsia="宋体" w:cs="宋体"/>
                <w:sz w:val="24"/>
              </w:rPr>
            </w:pPr>
            <w:r>
              <w:rPr>
                <w:rFonts w:hint="eastAsia" w:ascii="宋体" w:hAnsi="宋体" w:eastAsia="宋体" w:cs="宋体"/>
                <w:sz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6A06A8FF">
            <w:pPr>
              <w:pageBreakBefore w:val="0"/>
              <w:kinsoku/>
              <w:overflowPunct/>
              <w:bidi w:val="0"/>
              <w:spacing w:line="360" w:lineRule="auto"/>
              <w:rPr>
                <w:rFonts w:hint="eastAsia" w:ascii="宋体" w:hAnsi="宋体" w:eastAsia="宋体" w:cs="宋体"/>
                <w:sz w:val="24"/>
              </w:rPr>
            </w:pPr>
            <w:r>
              <w:rPr>
                <w:rFonts w:hint="eastAsia" w:ascii="宋体" w:hAnsi="宋体" w:eastAsia="宋体" w:cs="宋体"/>
                <w:sz w:val="24"/>
              </w:rPr>
              <w:t>3、待所有供应商磋商响应文件解密完成后，由代理机构操作，对所有已解密磋商响应文件进行电子唱标。</w:t>
            </w:r>
          </w:p>
          <w:p w14:paraId="7E5B9F22">
            <w:pPr>
              <w:pageBreakBefore w:val="0"/>
              <w:kinsoku/>
              <w:overflowPunct/>
              <w:bidi w:val="0"/>
              <w:spacing w:line="360" w:lineRule="auto"/>
              <w:rPr>
                <w:rFonts w:hint="eastAsia" w:ascii="宋体" w:hAnsi="宋体" w:eastAsia="宋体" w:cs="宋体"/>
                <w:sz w:val="24"/>
              </w:rPr>
            </w:pPr>
            <w:r>
              <w:rPr>
                <w:rFonts w:hint="eastAsia" w:ascii="宋体" w:hAnsi="宋体" w:eastAsia="宋体" w:cs="宋体"/>
                <w:sz w:val="24"/>
              </w:rPr>
              <w:t>供应商应保证在开标期间电话、电脑、网络能够正常工作。供应商因停电、电脑病毒、网络堵塞等原因，未在规定的解密时间内对磋商响应文件进行解密的，其磋商响应文件不予接收、唱标。</w:t>
            </w:r>
          </w:p>
          <w:p w14:paraId="6FEFCDF0">
            <w:pPr>
              <w:pageBreakBefore w:val="0"/>
              <w:numPr>
                <w:ilvl w:val="0"/>
                <w:numId w:val="1"/>
              </w:numPr>
              <w:kinsoku/>
              <w:overflowPunct/>
              <w:bidi w:val="0"/>
              <w:spacing w:line="360" w:lineRule="auto"/>
              <w:rPr>
                <w:rFonts w:hint="eastAsia" w:ascii="宋体" w:hAnsi="宋体" w:eastAsia="宋体" w:cs="宋体"/>
                <w:sz w:val="24"/>
              </w:rPr>
            </w:pPr>
            <w:r>
              <w:rPr>
                <w:rFonts w:hint="eastAsia" w:ascii="宋体" w:hAnsi="宋体" w:eastAsia="宋体" w:cs="宋体"/>
                <w:sz w:val="24"/>
              </w:rPr>
              <w:t>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p w14:paraId="5A81F00E">
            <w:pPr>
              <w:pageBreakBefore w:val="0"/>
              <w:numPr>
                <w:ilvl w:val="0"/>
                <w:numId w:val="0"/>
              </w:numPr>
              <w:kinsoku/>
              <w:overflowPunct/>
              <w:bidi w:val="0"/>
              <w:spacing w:line="360" w:lineRule="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6CBFE651">
            <w:pPr>
              <w:pageBreakBefore w:val="0"/>
              <w:numPr>
                <w:ilvl w:val="0"/>
                <w:numId w:val="0"/>
              </w:numPr>
              <w:kinsoku/>
              <w:overflowPunct/>
              <w:bidi w:val="0"/>
              <w:spacing w:line="360" w:lineRule="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、如评标委员会对需要回复的响应人连续三次致电未接通的，视为响应人放弃回复，评标委员会将自行对需要回复的内容进行认定。</w:t>
            </w:r>
          </w:p>
        </w:tc>
      </w:tr>
      <w:tr w14:paraId="66C2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2DFE08A">
            <w:pPr>
              <w:pageBreakBefore w:val="0"/>
              <w:kinsoku/>
              <w:overflowPunct/>
              <w:autoSpaceDE w:val="0"/>
              <w:autoSpaceDN w:val="0"/>
              <w:bidi w:val="0"/>
              <w:adjustRightInd w:val="0"/>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w:t>
            </w:r>
          </w:p>
        </w:tc>
        <w:tc>
          <w:tcPr>
            <w:tcW w:w="2081" w:type="dxa"/>
            <w:vAlign w:val="center"/>
          </w:tcPr>
          <w:p w14:paraId="2C776DAB">
            <w:pPr>
              <w:pageBreakBefore w:val="0"/>
              <w:widowControl/>
              <w:kinsoku/>
              <w:overflowPunct/>
              <w:bidi w:val="0"/>
              <w:adjustRightInd w:val="0"/>
              <w:snapToGrid w:val="0"/>
              <w:spacing w:line="360" w:lineRule="auto"/>
              <w:jc w:val="center"/>
              <w:rPr>
                <w:rFonts w:hint="eastAsia" w:ascii="宋体" w:hAnsi="宋体" w:eastAsia="宋体" w:cs="宋体"/>
                <w:b/>
                <w:bCs/>
                <w:sz w:val="24"/>
              </w:rPr>
            </w:pPr>
            <w:r>
              <w:rPr>
                <w:rFonts w:hint="eastAsia" w:ascii="宋体" w:hAnsi="宋体" w:eastAsia="宋体" w:cs="宋体"/>
                <w:b/>
                <w:bCs/>
                <w:color w:val="000000"/>
                <w:kern w:val="0"/>
                <w:sz w:val="24"/>
                <w:szCs w:val="24"/>
              </w:rPr>
              <w:t>本项目对应的中小企业划分标准所属行业</w:t>
            </w:r>
          </w:p>
        </w:tc>
        <w:tc>
          <w:tcPr>
            <w:tcW w:w="5416" w:type="dxa"/>
            <w:vAlign w:val="center"/>
          </w:tcPr>
          <w:p w14:paraId="58DE3B48">
            <w:pPr>
              <w:pageBreakBefore w:val="0"/>
              <w:widowControl/>
              <w:kinsoku/>
              <w:overflowPunct/>
              <w:bidi w:val="0"/>
              <w:adjustRightInd w:val="0"/>
              <w:snapToGrid w:val="0"/>
              <w:spacing w:line="360" w:lineRule="auto"/>
              <w:jc w:val="left"/>
              <w:rPr>
                <w:rFonts w:hint="eastAsia" w:ascii="宋体" w:hAnsi="宋体" w:eastAsia="宋体" w:cs="宋体"/>
                <w:b/>
                <w:bCs/>
                <w:sz w:val="24"/>
                <w:lang w:val="en-US" w:eastAsia="zh-CN"/>
              </w:rPr>
            </w:pPr>
            <w:r>
              <w:rPr>
                <w:rFonts w:hint="eastAsia" w:ascii="宋体" w:hAnsi="宋体" w:eastAsia="宋体" w:cs="宋体"/>
                <w:b/>
                <w:bCs/>
                <w:color w:val="000000"/>
                <w:kern w:val="0"/>
                <w:sz w:val="24"/>
                <w:szCs w:val="24"/>
                <w:lang w:val="en-US" w:eastAsia="zh-CN"/>
              </w:rPr>
              <w:t>建筑业</w:t>
            </w:r>
          </w:p>
        </w:tc>
      </w:tr>
      <w:tr w14:paraId="50DB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restart"/>
            <w:vAlign w:val="center"/>
          </w:tcPr>
          <w:p w14:paraId="20403504">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3.1</w:t>
            </w:r>
          </w:p>
        </w:tc>
        <w:tc>
          <w:tcPr>
            <w:tcW w:w="2081" w:type="dxa"/>
            <w:vMerge w:val="restart"/>
            <w:vAlign w:val="center"/>
          </w:tcPr>
          <w:p w14:paraId="63412944">
            <w:pPr>
              <w:pageBreakBefore w:val="0"/>
              <w:kinsoku/>
              <w:overflowPunct/>
              <w:autoSpaceDE w:val="0"/>
              <w:autoSpaceDN w:val="0"/>
              <w:bidi w:val="0"/>
              <w:adjustRightInd w:val="0"/>
              <w:spacing w:line="360" w:lineRule="auto"/>
              <w:jc w:val="center"/>
              <w:rPr>
                <w:rFonts w:hint="eastAsia" w:ascii="宋体" w:hAnsi="宋体" w:eastAsia="宋体" w:cs="宋体"/>
                <w:sz w:val="24"/>
              </w:rPr>
            </w:pPr>
            <w:r>
              <w:rPr>
                <w:rFonts w:hint="eastAsia" w:ascii="宋体" w:hAnsi="宋体" w:eastAsia="宋体" w:cs="宋体"/>
                <w:sz w:val="24"/>
              </w:rPr>
              <w:t>开标时间及地点</w:t>
            </w:r>
          </w:p>
        </w:tc>
        <w:tc>
          <w:tcPr>
            <w:tcW w:w="5416" w:type="dxa"/>
          </w:tcPr>
          <w:p w14:paraId="7249223C">
            <w:pPr>
              <w:pageBreakBefore w:val="0"/>
              <w:kinsoku/>
              <w:overflowPunct/>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开标时间：</w:t>
            </w:r>
            <w:r>
              <w:rPr>
                <w:rFonts w:hint="eastAsia" w:ascii="宋体" w:hAnsi="宋体" w:eastAsia="宋体" w:cs="宋体"/>
                <w:color w:val="auto"/>
                <w:sz w:val="24"/>
                <w:highlight w:val="none"/>
                <w:lang w:eastAsia="zh-CN"/>
              </w:rPr>
              <w:t>2026年01月16日</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lang w:eastAsia="zh-CN"/>
              </w:rPr>
              <w:t>8时30分</w:t>
            </w:r>
          </w:p>
        </w:tc>
      </w:tr>
      <w:tr w14:paraId="5208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continue"/>
            <w:vAlign w:val="center"/>
          </w:tcPr>
          <w:p w14:paraId="2FA28ECC">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p>
        </w:tc>
        <w:tc>
          <w:tcPr>
            <w:tcW w:w="2081" w:type="dxa"/>
            <w:vMerge w:val="continue"/>
            <w:vAlign w:val="center"/>
          </w:tcPr>
          <w:p w14:paraId="0278E0BA">
            <w:pPr>
              <w:pageBreakBefore w:val="0"/>
              <w:kinsoku/>
              <w:overflowPunct/>
              <w:autoSpaceDE w:val="0"/>
              <w:autoSpaceDN w:val="0"/>
              <w:bidi w:val="0"/>
              <w:adjustRightInd w:val="0"/>
              <w:spacing w:line="360" w:lineRule="auto"/>
              <w:jc w:val="center"/>
              <w:rPr>
                <w:rFonts w:hint="eastAsia" w:ascii="宋体" w:hAnsi="宋体" w:eastAsia="宋体" w:cs="宋体"/>
                <w:sz w:val="24"/>
              </w:rPr>
            </w:pPr>
          </w:p>
        </w:tc>
        <w:tc>
          <w:tcPr>
            <w:tcW w:w="5416" w:type="dxa"/>
          </w:tcPr>
          <w:p w14:paraId="52CA64AF">
            <w:pPr>
              <w:pageBreakBefore w:val="0"/>
              <w:kinsoku/>
              <w:overflowPunct/>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开标地点：</w:t>
            </w:r>
            <w:r>
              <w:rPr>
                <w:rFonts w:hint="eastAsia" w:ascii="宋体" w:hAnsi="宋体" w:eastAsia="宋体" w:cs="宋体"/>
                <w:color w:val="auto"/>
                <w:sz w:val="24"/>
                <w:highlight w:val="none"/>
                <w:lang w:eastAsia="zh-CN"/>
              </w:rPr>
              <w:t>三门峡市公共资源交易中心五楼开标区</w:t>
            </w:r>
          </w:p>
        </w:tc>
      </w:tr>
      <w:tr w14:paraId="74DB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A895FED">
            <w:pPr>
              <w:pageBreakBefore w:val="0"/>
              <w:kinsoku/>
              <w:overflowPunct/>
              <w:autoSpaceDE w:val="0"/>
              <w:autoSpaceDN w:val="0"/>
              <w:bidi w:val="0"/>
              <w:adjustRightInd w:val="0"/>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3.2</w:t>
            </w:r>
          </w:p>
        </w:tc>
        <w:tc>
          <w:tcPr>
            <w:tcW w:w="2081" w:type="dxa"/>
            <w:vAlign w:val="center"/>
          </w:tcPr>
          <w:p w14:paraId="7CE664C6">
            <w:pPr>
              <w:pageBreakBefore w:val="0"/>
              <w:widowControl/>
              <w:kinsoku/>
              <w:overflowPunct/>
              <w:bidi w:val="0"/>
              <w:spacing w:line="360" w:lineRule="auto"/>
              <w:jc w:val="center"/>
              <w:rPr>
                <w:rFonts w:hint="eastAsia" w:ascii="宋体" w:hAnsi="宋体" w:eastAsia="宋体" w:cs="宋体"/>
                <w:sz w:val="24"/>
              </w:rPr>
            </w:pPr>
            <w:r>
              <w:rPr>
                <w:rFonts w:hint="eastAsia" w:ascii="宋体" w:hAnsi="宋体" w:eastAsia="宋体" w:cs="宋体"/>
                <w:color w:val="auto"/>
                <w:kern w:val="44"/>
                <w:sz w:val="24"/>
                <w:szCs w:val="24"/>
                <w:highlight w:val="none"/>
              </w:rPr>
              <w:t>近年完成的类似项目的年份要求</w:t>
            </w:r>
          </w:p>
        </w:tc>
        <w:tc>
          <w:tcPr>
            <w:tcW w:w="5416" w:type="dxa"/>
            <w:vAlign w:val="center"/>
          </w:tcPr>
          <w:p w14:paraId="6B4E1B50">
            <w:pPr>
              <w:pageBreakBefore w:val="0"/>
              <w:widowControl/>
              <w:kinsoku/>
              <w:overflowPunct/>
              <w:bidi w:val="0"/>
              <w:spacing w:line="360" w:lineRule="auto"/>
              <w:jc w:val="left"/>
              <w:rPr>
                <w:rFonts w:hint="eastAsia" w:ascii="宋体" w:hAnsi="宋体" w:eastAsia="宋体" w:cs="宋体"/>
                <w:sz w:val="24"/>
                <w:highlight w:val="none"/>
              </w:rPr>
            </w:pPr>
            <w:r>
              <w:rPr>
                <w:rFonts w:hint="eastAsia" w:ascii="宋体" w:hAnsi="宋体" w:eastAsia="宋体" w:cs="宋体"/>
                <w:color w:val="auto"/>
                <w:kern w:val="44"/>
                <w:sz w:val="24"/>
                <w:szCs w:val="24"/>
                <w:highlight w:val="none"/>
              </w:rPr>
              <w:t>20</w:t>
            </w:r>
            <w:r>
              <w:rPr>
                <w:rFonts w:hint="eastAsia" w:ascii="宋体" w:hAnsi="宋体" w:eastAsia="宋体" w:cs="宋体"/>
                <w:color w:val="auto"/>
                <w:kern w:val="44"/>
                <w:sz w:val="24"/>
                <w:szCs w:val="24"/>
                <w:highlight w:val="none"/>
                <w:lang w:val="en-US" w:eastAsia="zh-CN"/>
              </w:rPr>
              <w:t>22</w:t>
            </w:r>
            <w:r>
              <w:rPr>
                <w:rFonts w:hint="eastAsia" w:ascii="宋体" w:hAnsi="宋体" w:eastAsia="宋体" w:cs="宋体"/>
                <w:color w:val="auto"/>
                <w:kern w:val="44"/>
                <w:sz w:val="24"/>
                <w:szCs w:val="24"/>
                <w:highlight w:val="none"/>
              </w:rPr>
              <w:t>年</w:t>
            </w:r>
            <w:r>
              <w:rPr>
                <w:rFonts w:hint="eastAsia" w:ascii="宋体" w:hAnsi="宋体" w:eastAsia="宋体" w:cs="宋体"/>
                <w:color w:val="auto"/>
                <w:kern w:val="44"/>
                <w:sz w:val="24"/>
                <w:szCs w:val="24"/>
                <w:highlight w:val="none"/>
                <w:lang w:val="en-US" w:eastAsia="zh-CN"/>
              </w:rPr>
              <w:t>1</w:t>
            </w:r>
            <w:r>
              <w:rPr>
                <w:rFonts w:hint="eastAsia" w:ascii="宋体" w:hAnsi="宋体" w:eastAsia="宋体" w:cs="宋体"/>
                <w:color w:val="auto"/>
                <w:kern w:val="44"/>
                <w:sz w:val="24"/>
                <w:szCs w:val="24"/>
                <w:highlight w:val="none"/>
              </w:rPr>
              <w:t>月1日以来</w:t>
            </w:r>
          </w:p>
        </w:tc>
      </w:tr>
      <w:tr w14:paraId="31D8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722EC7B">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4</w:t>
            </w:r>
          </w:p>
        </w:tc>
        <w:tc>
          <w:tcPr>
            <w:tcW w:w="2081" w:type="dxa"/>
            <w:vAlign w:val="center"/>
          </w:tcPr>
          <w:p w14:paraId="61365A88">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磋商小组的组建</w:t>
            </w:r>
          </w:p>
        </w:tc>
        <w:tc>
          <w:tcPr>
            <w:tcW w:w="5416" w:type="dxa"/>
          </w:tcPr>
          <w:p w14:paraId="6FB55FAB">
            <w:pPr>
              <w:pageBreakBefore w:val="0"/>
              <w:kinsoku/>
              <w:overflowPunct/>
              <w:bidi w:val="0"/>
              <w:spacing w:line="360" w:lineRule="auto"/>
              <w:rPr>
                <w:rFonts w:hint="eastAsia" w:ascii="宋体" w:hAnsi="宋体" w:eastAsia="宋体" w:cs="宋体"/>
                <w:sz w:val="24"/>
              </w:rPr>
            </w:pPr>
            <w:r>
              <w:rPr>
                <w:rFonts w:hint="eastAsia" w:ascii="宋体" w:hAnsi="宋体" w:eastAsia="宋体" w:cs="宋体"/>
                <w:sz w:val="24"/>
              </w:rPr>
              <w:t>磋商小组共3人组成，其中采购人代表1人；在相关评标专家库中随机抽取</w:t>
            </w:r>
            <w:r>
              <w:rPr>
                <w:rFonts w:hint="eastAsia" w:ascii="宋体" w:hAnsi="宋体" w:eastAsia="宋体" w:cs="宋体"/>
                <w:sz w:val="24"/>
                <w:lang w:eastAsia="zh-CN"/>
              </w:rPr>
              <w:t>相关</w:t>
            </w:r>
            <w:r>
              <w:rPr>
                <w:rFonts w:hint="eastAsia" w:ascii="宋体" w:hAnsi="宋体" w:eastAsia="宋体" w:cs="宋体"/>
                <w:sz w:val="24"/>
              </w:rPr>
              <w:t>方面专家2人。</w:t>
            </w:r>
          </w:p>
          <w:p w14:paraId="6B45645D">
            <w:pPr>
              <w:pageBreakBefore w:val="0"/>
              <w:kinsoku/>
              <w:overflowPunct/>
              <w:bidi w:val="0"/>
              <w:spacing w:line="360" w:lineRule="auto"/>
              <w:rPr>
                <w:rFonts w:hint="eastAsia" w:ascii="宋体" w:hAnsi="宋体" w:eastAsia="宋体" w:cs="宋体"/>
                <w:sz w:val="24"/>
              </w:rPr>
            </w:pPr>
            <w:r>
              <w:rPr>
                <w:rFonts w:hint="eastAsia" w:ascii="宋体" w:hAnsi="宋体" w:eastAsia="宋体" w:cs="宋体"/>
                <w:color w:val="000000"/>
                <w:kern w:val="0"/>
                <w:sz w:val="24"/>
                <w:szCs w:val="24"/>
              </w:rPr>
              <w:t>根据省政府关于评标专家的有关管理规定，招标人代表（业主代表）无评标劳务费。</w:t>
            </w:r>
          </w:p>
        </w:tc>
      </w:tr>
      <w:tr w14:paraId="59D1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F6AA664">
            <w:pPr>
              <w:pageBreakBefore w:val="0"/>
              <w:kinsoku/>
              <w:overflowPunct/>
              <w:autoSpaceDE w:val="0"/>
              <w:autoSpaceDN w:val="0"/>
              <w:bidi w:val="0"/>
              <w:adjustRightInd w:val="0"/>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4.1</w:t>
            </w:r>
          </w:p>
        </w:tc>
        <w:tc>
          <w:tcPr>
            <w:tcW w:w="2081" w:type="dxa"/>
            <w:vAlign w:val="center"/>
          </w:tcPr>
          <w:p w14:paraId="50460EA7">
            <w:pPr>
              <w:pageBreakBefore w:val="0"/>
              <w:widowControl/>
              <w:kinsoku/>
              <w:overflowPunct/>
              <w:bidi w:val="0"/>
              <w:spacing w:line="360" w:lineRule="auto"/>
              <w:jc w:val="center"/>
              <w:rPr>
                <w:rFonts w:hint="eastAsia" w:ascii="宋体" w:hAnsi="宋体" w:eastAsia="宋体" w:cs="宋体"/>
                <w:kern w:val="0"/>
                <w:sz w:val="24"/>
              </w:rPr>
            </w:pPr>
            <w:r>
              <w:rPr>
                <w:rFonts w:hint="eastAsia" w:ascii="宋体" w:hAnsi="宋体" w:eastAsia="宋体" w:cs="宋体"/>
                <w:spacing w:val="6"/>
                <w:sz w:val="24"/>
                <w:szCs w:val="24"/>
              </w:rPr>
              <w:t>磋商标准及方法</w:t>
            </w:r>
          </w:p>
        </w:tc>
        <w:tc>
          <w:tcPr>
            <w:tcW w:w="5416" w:type="dxa"/>
            <w:vAlign w:val="center"/>
          </w:tcPr>
          <w:p w14:paraId="4FF8EECD">
            <w:pPr>
              <w:pageBreakBefore w:val="0"/>
              <w:widowControl/>
              <w:kinsoku/>
              <w:overflowPunct/>
              <w:bidi w:val="0"/>
              <w:spacing w:line="360" w:lineRule="auto"/>
              <w:jc w:val="left"/>
              <w:rPr>
                <w:rFonts w:hint="eastAsia" w:ascii="宋体" w:hAnsi="宋体" w:eastAsia="宋体" w:cs="宋体"/>
                <w:color w:val="000000"/>
                <w:kern w:val="0"/>
                <w:sz w:val="24"/>
                <w:szCs w:val="24"/>
              </w:rPr>
            </w:pPr>
            <w:r>
              <w:rPr>
                <w:rFonts w:hint="eastAsia" w:ascii="宋体" w:hAnsi="宋体" w:eastAsia="宋体" w:cs="宋体"/>
                <w:spacing w:val="6"/>
                <w:sz w:val="24"/>
                <w:szCs w:val="24"/>
              </w:rPr>
              <w:t>由磋商小组采用综合评</w:t>
            </w:r>
            <w:r>
              <w:rPr>
                <w:rFonts w:hint="eastAsia" w:ascii="宋体" w:hAnsi="宋体" w:eastAsia="宋体" w:cs="宋体"/>
                <w:spacing w:val="6"/>
                <w:sz w:val="24"/>
                <w:szCs w:val="24"/>
                <w:lang w:val="en-US" w:eastAsia="zh-CN"/>
              </w:rPr>
              <w:t>分</w:t>
            </w:r>
            <w:r>
              <w:rPr>
                <w:rFonts w:hint="eastAsia" w:ascii="宋体" w:hAnsi="宋体" w:eastAsia="宋体" w:cs="宋体"/>
                <w:spacing w:val="6"/>
                <w:sz w:val="24"/>
                <w:szCs w:val="24"/>
              </w:rPr>
              <w:t>法对提交最后报价的</w:t>
            </w:r>
            <w:r>
              <w:rPr>
                <w:rFonts w:hint="eastAsia" w:ascii="宋体" w:hAnsi="宋体" w:eastAsia="宋体" w:cs="宋体"/>
                <w:spacing w:val="6"/>
                <w:sz w:val="24"/>
                <w:szCs w:val="24"/>
                <w:lang w:eastAsia="zh-CN"/>
              </w:rPr>
              <w:t>供应商</w:t>
            </w:r>
            <w:r>
              <w:rPr>
                <w:rFonts w:hint="eastAsia" w:ascii="宋体" w:hAnsi="宋体" w:eastAsia="宋体" w:cs="宋体"/>
                <w:spacing w:val="6"/>
                <w:sz w:val="24"/>
                <w:szCs w:val="24"/>
              </w:rPr>
              <w:t>的响应文件和最后报价进行综合评分。综合评</w:t>
            </w:r>
            <w:r>
              <w:rPr>
                <w:rFonts w:hint="eastAsia" w:ascii="宋体" w:hAnsi="宋体" w:eastAsia="宋体" w:cs="宋体"/>
                <w:spacing w:val="6"/>
                <w:sz w:val="24"/>
                <w:szCs w:val="24"/>
                <w:lang w:val="en-US" w:eastAsia="zh-CN"/>
              </w:rPr>
              <w:t>分</w:t>
            </w:r>
            <w:r>
              <w:rPr>
                <w:rFonts w:hint="eastAsia" w:ascii="宋体" w:hAnsi="宋体" w:eastAsia="宋体" w:cs="宋体"/>
                <w:spacing w:val="6"/>
                <w:sz w:val="24"/>
                <w:szCs w:val="24"/>
              </w:rPr>
              <w:t>法，是指响应文件满足竞争性磋商文件全部实质性要求且按评审因素的量化指标评审得分最高的</w:t>
            </w:r>
            <w:r>
              <w:rPr>
                <w:rFonts w:hint="eastAsia" w:ascii="宋体" w:hAnsi="宋体" w:eastAsia="宋体" w:cs="宋体"/>
                <w:spacing w:val="6"/>
                <w:sz w:val="24"/>
                <w:szCs w:val="24"/>
                <w:lang w:eastAsia="zh-CN"/>
              </w:rPr>
              <w:t>供应商</w:t>
            </w:r>
            <w:r>
              <w:rPr>
                <w:rFonts w:hint="eastAsia" w:ascii="宋体" w:hAnsi="宋体" w:eastAsia="宋体" w:cs="宋体"/>
                <w:spacing w:val="6"/>
                <w:sz w:val="24"/>
                <w:szCs w:val="24"/>
              </w:rPr>
              <w:t>为中标单位的磋商方法。</w:t>
            </w:r>
          </w:p>
        </w:tc>
      </w:tr>
      <w:tr w14:paraId="39D1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25AC3A2">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5</w:t>
            </w:r>
          </w:p>
        </w:tc>
        <w:tc>
          <w:tcPr>
            <w:tcW w:w="2081" w:type="dxa"/>
            <w:vAlign w:val="center"/>
          </w:tcPr>
          <w:p w14:paraId="37E3B854">
            <w:pPr>
              <w:pageBreakBefore w:val="0"/>
              <w:kinsoku/>
              <w:overflowPunct/>
              <w:autoSpaceDE w:val="0"/>
              <w:autoSpaceDN w:val="0"/>
              <w:bidi w:val="0"/>
              <w:adjustRightInd w:val="0"/>
              <w:spacing w:line="360" w:lineRule="auto"/>
              <w:jc w:val="center"/>
              <w:rPr>
                <w:rFonts w:hint="eastAsia" w:ascii="宋体" w:hAnsi="宋体" w:eastAsia="宋体" w:cs="宋体"/>
                <w:sz w:val="24"/>
              </w:rPr>
            </w:pPr>
            <w:r>
              <w:rPr>
                <w:rFonts w:hint="eastAsia" w:ascii="宋体" w:hAnsi="宋体" w:eastAsia="宋体" w:cs="宋体"/>
                <w:sz w:val="24"/>
              </w:rPr>
              <w:t>竞争性磋商</w:t>
            </w:r>
          </w:p>
        </w:tc>
        <w:tc>
          <w:tcPr>
            <w:tcW w:w="5416" w:type="dxa"/>
          </w:tcPr>
          <w:p w14:paraId="3D5A7C8E">
            <w:pPr>
              <w:pageBreakBefore w:val="0"/>
              <w:kinsoku/>
              <w:overflowPunct/>
              <w:bidi w:val="0"/>
              <w:spacing w:line="360" w:lineRule="auto"/>
              <w:rPr>
                <w:rFonts w:hint="eastAsia" w:ascii="宋体" w:hAnsi="宋体" w:eastAsia="宋体" w:cs="宋体"/>
                <w:sz w:val="24"/>
              </w:rPr>
            </w:pPr>
            <w:r>
              <w:rPr>
                <w:rFonts w:hint="eastAsia" w:ascii="宋体" w:hAnsi="宋体" w:eastAsia="宋体" w:cs="宋体"/>
                <w:sz w:val="24"/>
              </w:rPr>
              <w:t>1、磋商时，供应商通过交易系统的磋商大厅与磋商小组进行磋商。</w:t>
            </w:r>
          </w:p>
          <w:p w14:paraId="024B718A">
            <w:pPr>
              <w:pageBreakBefore w:val="0"/>
              <w:kinsoku/>
              <w:overflowPunct/>
              <w:bidi w:val="0"/>
              <w:spacing w:line="360" w:lineRule="auto"/>
              <w:rPr>
                <w:rFonts w:hint="eastAsia" w:ascii="宋体" w:hAnsi="宋体" w:eastAsia="宋体" w:cs="宋体"/>
                <w:sz w:val="24"/>
              </w:rPr>
            </w:pPr>
            <w:r>
              <w:rPr>
                <w:rFonts w:hint="eastAsia" w:ascii="宋体" w:hAnsi="宋体" w:eastAsia="宋体" w:cs="宋体"/>
                <w:sz w:val="24"/>
              </w:rPr>
              <w:t>2、磋商小组对电子化磋商响应文件有质疑的，将通过电子化交易系统对供应商发起质疑，并</w:t>
            </w:r>
            <w:r>
              <w:rPr>
                <w:rFonts w:hint="eastAsia" w:ascii="宋体" w:hAnsi="宋体" w:eastAsia="宋体" w:cs="宋体"/>
                <w:sz w:val="24"/>
                <w:lang w:val="en-US" w:eastAsia="zh-CN"/>
              </w:rPr>
              <w:t>由代理机构</w:t>
            </w:r>
            <w:r>
              <w:rPr>
                <w:rFonts w:hint="eastAsia" w:ascii="宋体" w:hAnsi="宋体" w:eastAsia="宋体" w:cs="宋体"/>
                <w:sz w:val="24"/>
              </w:rPr>
              <w:t>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23C83882">
            <w:pPr>
              <w:pageBreakBefore w:val="0"/>
              <w:kinsoku/>
              <w:overflowPunct/>
              <w:bidi w:val="0"/>
              <w:spacing w:line="360" w:lineRule="auto"/>
              <w:rPr>
                <w:rFonts w:hint="eastAsia" w:ascii="宋体" w:hAnsi="宋体" w:eastAsia="宋体" w:cs="宋体"/>
                <w:sz w:val="24"/>
              </w:rPr>
            </w:pPr>
            <w:r>
              <w:rPr>
                <w:rFonts w:hint="eastAsia" w:ascii="宋体" w:hAnsi="宋体" w:eastAsia="宋体" w:cs="宋体"/>
                <w:sz w:val="24"/>
              </w:rPr>
              <w:t>3、磋商小组对需要答复的供应商连续三次致电未接通的，视为供应商放弃答复，磋商小组将自行对该质疑内容进行认定。</w:t>
            </w:r>
          </w:p>
        </w:tc>
      </w:tr>
      <w:tr w14:paraId="06CD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52DA7E9">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5.2.1</w:t>
            </w:r>
          </w:p>
        </w:tc>
        <w:tc>
          <w:tcPr>
            <w:tcW w:w="2081" w:type="dxa"/>
            <w:vAlign w:val="center"/>
          </w:tcPr>
          <w:p w14:paraId="66304B7C">
            <w:pPr>
              <w:pageBreakBefore w:val="0"/>
              <w:kinsoku/>
              <w:overflowPunct/>
              <w:autoSpaceDE w:val="0"/>
              <w:autoSpaceDN w:val="0"/>
              <w:bidi w:val="0"/>
              <w:adjustRightInd w:val="0"/>
              <w:spacing w:line="360" w:lineRule="auto"/>
              <w:jc w:val="center"/>
              <w:rPr>
                <w:rFonts w:hint="eastAsia" w:ascii="宋体" w:hAnsi="宋体" w:eastAsia="宋体" w:cs="宋体"/>
                <w:sz w:val="24"/>
              </w:rPr>
            </w:pPr>
            <w:r>
              <w:rPr>
                <w:rFonts w:hint="eastAsia" w:ascii="宋体" w:hAnsi="宋体" w:eastAsia="宋体" w:cs="宋体"/>
                <w:sz w:val="24"/>
              </w:rPr>
              <w:t>资格审查</w:t>
            </w:r>
          </w:p>
        </w:tc>
        <w:tc>
          <w:tcPr>
            <w:tcW w:w="5416" w:type="dxa"/>
          </w:tcPr>
          <w:p w14:paraId="71FD363A">
            <w:pPr>
              <w:pageBreakBefore w:val="0"/>
              <w:kinsoku/>
              <w:overflowPunct/>
              <w:bidi w:val="0"/>
              <w:spacing w:line="360" w:lineRule="auto"/>
              <w:rPr>
                <w:rFonts w:hint="eastAsia" w:ascii="宋体" w:hAnsi="宋体" w:eastAsia="宋体" w:cs="宋体"/>
                <w:sz w:val="24"/>
                <w:szCs w:val="24"/>
              </w:rPr>
            </w:pPr>
            <w:r>
              <w:rPr>
                <w:rFonts w:hint="eastAsia" w:ascii="宋体" w:hAnsi="宋体" w:eastAsia="宋体" w:cs="宋体"/>
                <w:sz w:val="24"/>
                <w:szCs w:val="24"/>
              </w:rPr>
              <w:t>本项目为资格后审，资格审查由采购人依法组建的磋商小组负责。</w:t>
            </w:r>
          </w:p>
          <w:p w14:paraId="7DC55572">
            <w:pPr>
              <w:pageBreakBefore w:val="0"/>
              <w:kinsoku/>
              <w:overflowPunct/>
              <w:bidi w:val="0"/>
              <w:spacing w:line="360" w:lineRule="auto"/>
              <w:rPr>
                <w:rFonts w:hint="eastAsia" w:ascii="宋体" w:hAnsi="宋体" w:eastAsia="宋体" w:cs="宋体"/>
                <w:sz w:val="24"/>
              </w:rPr>
            </w:pPr>
            <w:r>
              <w:rPr>
                <w:rFonts w:hint="eastAsia" w:ascii="宋体" w:hAnsi="宋体" w:eastAsia="宋体" w:cs="宋体"/>
                <w:sz w:val="24"/>
                <w:szCs w:val="24"/>
              </w:rPr>
              <w:t>供应商资格审查内容以</w:t>
            </w:r>
            <w:r>
              <w:rPr>
                <w:rFonts w:hint="eastAsia" w:ascii="宋体" w:hAnsi="宋体" w:eastAsia="宋体" w:cs="宋体"/>
                <w:bCs/>
                <w:sz w:val="24"/>
                <w:szCs w:val="24"/>
              </w:rPr>
              <w:t>供应商在其响应文件“资格审查资料”中上传的信息为准</w:t>
            </w:r>
            <w:r>
              <w:rPr>
                <w:rFonts w:hint="eastAsia" w:ascii="宋体" w:hAnsi="宋体" w:eastAsia="宋体" w:cs="宋体"/>
                <w:sz w:val="24"/>
                <w:szCs w:val="24"/>
              </w:rPr>
              <w:t>。供应商上传的信息资料扫描件必须清晰可辨、真实有效（供应商对其真实性负责）。否则，由此造成的资格审查不合格或应得分而未得分等情况的，由供应商承担责任。</w:t>
            </w:r>
          </w:p>
          <w:p w14:paraId="4CE8D21D">
            <w:pPr>
              <w:pageBreakBefore w:val="0"/>
              <w:kinsoku/>
              <w:overflowPunct/>
              <w:bidi w:val="0"/>
              <w:spacing w:line="360" w:lineRule="auto"/>
              <w:rPr>
                <w:rFonts w:hint="eastAsia" w:ascii="宋体" w:hAnsi="宋体" w:eastAsia="宋体" w:cs="宋体"/>
                <w:sz w:val="24"/>
              </w:rPr>
            </w:pPr>
            <w:r>
              <w:rPr>
                <w:rFonts w:hint="eastAsia" w:ascii="宋体" w:hAnsi="宋体" w:eastAsia="宋体" w:cs="宋体"/>
                <w:sz w:val="24"/>
              </w:rPr>
              <w:t>注：1、</w:t>
            </w:r>
            <w:r>
              <w:rPr>
                <w:rFonts w:hint="eastAsia" w:ascii="宋体" w:hAnsi="宋体" w:eastAsia="宋体" w:cs="宋体"/>
                <w:sz w:val="24"/>
                <w:szCs w:val="24"/>
              </w:rPr>
              <w:t>供应商应及时维护、完善主体信息库信息</w:t>
            </w:r>
            <w:r>
              <w:rPr>
                <w:rFonts w:hint="eastAsia" w:ascii="宋体" w:hAnsi="宋体" w:eastAsia="宋体" w:cs="宋体"/>
                <w:sz w:val="24"/>
              </w:rPr>
              <w:t>。项目开标时间起，至评审结束，信息库将处于锁定状态。如连续投报多个项目，信息库锁定时间也将延长。请供应商合理安排资料上传时间，尽可能早地将所有项目资料上传至三门峡市公共资源交易市场主体（供应商）信息库。</w:t>
            </w:r>
          </w:p>
          <w:p w14:paraId="2643D7E6">
            <w:pPr>
              <w:pageBreakBefore w:val="0"/>
              <w:kinsoku/>
              <w:overflowPunct/>
              <w:bidi w:val="0"/>
              <w:spacing w:line="360" w:lineRule="auto"/>
              <w:jc w:val="left"/>
              <w:rPr>
                <w:rFonts w:hint="eastAsia" w:ascii="宋体" w:hAnsi="宋体" w:eastAsia="宋体" w:cs="宋体"/>
                <w:sz w:val="24"/>
              </w:rPr>
            </w:pPr>
            <w:r>
              <w:rPr>
                <w:rFonts w:hint="eastAsia" w:ascii="宋体" w:hAnsi="宋体" w:eastAsia="宋体" w:cs="宋体"/>
                <w:sz w:val="24"/>
              </w:rPr>
              <w:t>具体操作详见《三门峡市公共资源交易市场主体（供应商）信息库操作手册》。链接地址：http</w:t>
            </w:r>
            <w:r>
              <w:rPr>
                <w:rFonts w:hint="eastAsia" w:ascii="宋体" w:hAnsi="宋体" w:eastAsia="宋体" w:cs="宋体"/>
                <w:sz w:val="24"/>
                <w:lang w:val="en-US" w:eastAsia="zh-CN"/>
              </w:rPr>
              <w:t>:</w:t>
            </w:r>
            <w:r>
              <w:rPr>
                <w:rFonts w:hint="eastAsia" w:ascii="宋体" w:hAnsi="宋体" w:eastAsia="宋体" w:cs="宋体"/>
                <w:sz w:val="24"/>
              </w:rPr>
              <w:t>//gzjy.smx.gov.cn/fwzn/004003/20200325/b13aa3fa-a543-403f-b537-82cb417132bd.html</w:t>
            </w:r>
          </w:p>
        </w:tc>
      </w:tr>
      <w:tr w14:paraId="3A8F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FEFA4F0">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5.6</w:t>
            </w:r>
          </w:p>
        </w:tc>
        <w:tc>
          <w:tcPr>
            <w:tcW w:w="2081" w:type="dxa"/>
            <w:vAlign w:val="center"/>
          </w:tcPr>
          <w:p w14:paraId="5AB25AB6">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是否授权磋商小组确定成交供应商</w:t>
            </w:r>
          </w:p>
        </w:tc>
        <w:tc>
          <w:tcPr>
            <w:tcW w:w="5416" w:type="dxa"/>
            <w:vAlign w:val="center"/>
          </w:tcPr>
          <w:p w14:paraId="5820EE2C">
            <w:pPr>
              <w:pageBreakBefore w:val="0"/>
              <w:kinsoku/>
              <w:overflowPunct/>
              <w:bidi w:val="0"/>
              <w:spacing w:line="360" w:lineRule="auto"/>
              <w:rPr>
                <w:rFonts w:hint="eastAsia" w:ascii="宋体" w:hAnsi="宋体" w:eastAsia="宋体" w:cs="宋体"/>
                <w:sz w:val="24"/>
              </w:rPr>
            </w:pPr>
            <w:r>
              <w:rPr>
                <w:rFonts w:hint="eastAsia" w:ascii="宋体" w:hAnsi="宋体" w:eastAsia="宋体" w:cs="宋体"/>
                <w:sz w:val="24"/>
              </w:rPr>
              <w:t>否，推荐的成交候选人数：三名</w:t>
            </w:r>
          </w:p>
        </w:tc>
      </w:tr>
      <w:tr w14:paraId="53BB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7C98AF9">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9</w:t>
            </w:r>
          </w:p>
        </w:tc>
        <w:tc>
          <w:tcPr>
            <w:tcW w:w="7497" w:type="dxa"/>
            <w:gridSpan w:val="2"/>
            <w:vAlign w:val="center"/>
          </w:tcPr>
          <w:p w14:paraId="64DADE95">
            <w:pPr>
              <w:pageBreakBefore w:val="0"/>
              <w:kinsoku/>
              <w:overflowPunct/>
              <w:bidi w:val="0"/>
              <w:spacing w:line="360" w:lineRule="auto"/>
              <w:rPr>
                <w:rFonts w:hint="eastAsia" w:ascii="宋体" w:hAnsi="宋体" w:eastAsia="宋体" w:cs="宋体"/>
                <w:sz w:val="24"/>
              </w:rPr>
            </w:pPr>
            <w:r>
              <w:rPr>
                <w:rFonts w:hint="eastAsia" w:ascii="宋体" w:hAnsi="宋体" w:eastAsia="宋体" w:cs="宋体"/>
                <w:kern w:val="0"/>
                <w:sz w:val="24"/>
              </w:rPr>
              <w:t>需要补充的其他内容</w:t>
            </w:r>
          </w:p>
        </w:tc>
      </w:tr>
      <w:tr w14:paraId="7378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87335F8">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9.1</w:t>
            </w:r>
          </w:p>
        </w:tc>
        <w:tc>
          <w:tcPr>
            <w:tcW w:w="2081" w:type="dxa"/>
            <w:vAlign w:val="center"/>
          </w:tcPr>
          <w:p w14:paraId="2B5AB90E">
            <w:pPr>
              <w:pageBreakBefore w:val="0"/>
              <w:kinsoku/>
              <w:overflowPunct/>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磋商保证金</w:t>
            </w:r>
          </w:p>
        </w:tc>
        <w:tc>
          <w:tcPr>
            <w:tcW w:w="5416" w:type="dxa"/>
            <w:vAlign w:val="center"/>
          </w:tcPr>
          <w:p w14:paraId="6376D860">
            <w:pPr>
              <w:pageBreakBefore w:val="0"/>
              <w:kinsoku/>
              <w:overflowPunct/>
              <w:bidi w:val="0"/>
              <w:spacing w:line="360" w:lineRule="auto"/>
              <w:rPr>
                <w:rFonts w:hint="eastAsia" w:ascii="宋体" w:hAnsi="宋体" w:eastAsia="宋体" w:cs="宋体"/>
                <w:sz w:val="24"/>
              </w:rPr>
            </w:pPr>
            <w:r>
              <w:rPr>
                <w:rFonts w:hint="eastAsia" w:ascii="宋体" w:hAnsi="宋体" w:eastAsia="宋体" w:cs="宋体"/>
                <w:sz w:val="24"/>
                <w:szCs w:val="24"/>
              </w:rPr>
              <w:t>根据《河南省财政厅关于优化政府采购营商环境有关问题的通知》（豫财购【2019】4号）第6条的规定，磋商保证金不再收取。</w:t>
            </w:r>
          </w:p>
        </w:tc>
      </w:tr>
      <w:tr w14:paraId="2E91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7AC6797">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9.2</w:t>
            </w:r>
          </w:p>
        </w:tc>
        <w:tc>
          <w:tcPr>
            <w:tcW w:w="2081" w:type="dxa"/>
            <w:vAlign w:val="center"/>
          </w:tcPr>
          <w:p w14:paraId="7BCA1BBA">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sz w:val="24"/>
              </w:rPr>
              <w:t>履约保证金</w:t>
            </w:r>
          </w:p>
        </w:tc>
        <w:tc>
          <w:tcPr>
            <w:tcW w:w="5416" w:type="dxa"/>
            <w:vAlign w:val="center"/>
          </w:tcPr>
          <w:p w14:paraId="37766DF4">
            <w:pPr>
              <w:pageBreakBefore w:val="0"/>
              <w:kinsoku/>
              <w:overflowPunct/>
              <w:bidi w:val="0"/>
              <w:spacing w:line="360" w:lineRule="auto"/>
              <w:rPr>
                <w:rFonts w:hint="eastAsia" w:ascii="宋体" w:hAnsi="宋体" w:eastAsia="宋体" w:cs="宋体"/>
                <w:sz w:val="24"/>
              </w:rPr>
            </w:pPr>
            <w:r>
              <w:rPr>
                <w:rFonts w:hint="eastAsia" w:ascii="宋体" w:hAnsi="宋体" w:eastAsia="宋体" w:cs="宋体"/>
                <w:color w:val="000000"/>
                <w:kern w:val="0"/>
                <w:sz w:val="24"/>
                <w:szCs w:val="24"/>
              </w:rPr>
              <w:t>采购人与中标单位自行协商</w:t>
            </w:r>
          </w:p>
        </w:tc>
      </w:tr>
      <w:tr w14:paraId="4292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042834A">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9.3</w:t>
            </w:r>
          </w:p>
        </w:tc>
        <w:tc>
          <w:tcPr>
            <w:tcW w:w="2081" w:type="dxa"/>
            <w:vAlign w:val="center"/>
          </w:tcPr>
          <w:p w14:paraId="38408248">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付款方式</w:t>
            </w:r>
          </w:p>
        </w:tc>
        <w:tc>
          <w:tcPr>
            <w:tcW w:w="5416" w:type="dxa"/>
            <w:vAlign w:val="center"/>
          </w:tcPr>
          <w:p w14:paraId="42B1FC64">
            <w:pPr>
              <w:pageBreakBefore w:val="0"/>
              <w:kinsoku/>
              <w:overflowPunct/>
              <w:bidi w:val="0"/>
              <w:spacing w:line="360" w:lineRule="auto"/>
              <w:rPr>
                <w:rFonts w:hint="eastAsia" w:ascii="宋体" w:hAnsi="宋体" w:eastAsia="宋体" w:cs="宋体"/>
                <w:sz w:val="24"/>
              </w:rPr>
            </w:pPr>
            <w:r>
              <w:rPr>
                <w:rFonts w:hint="eastAsia" w:ascii="宋体" w:hAnsi="宋体" w:eastAsia="宋体" w:cs="宋体"/>
                <w:sz w:val="24"/>
              </w:rPr>
              <w:t>双方在合同中协商约定,但不得违反国家、省、市相关规定。</w:t>
            </w:r>
          </w:p>
        </w:tc>
      </w:tr>
      <w:tr w14:paraId="62C4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1EB41C1">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9.4</w:t>
            </w:r>
          </w:p>
        </w:tc>
        <w:tc>
          <w:tcPr>
            <w:tcW w:w="2081" w:type="dxa"/>
            <w:vAlign w:val="center"/>
          </w:tcPr>
          <w:p w14:paraId="21673A4E">
            <w:pPr>
              <w:pageBreakBefore w:val="0"/>
              <w:kinsoku/>
              <w:overflowPunct/>
              <w:autoSpaceDE w:val="0"/>
              <w:autoSpaceDN w:val="0"/>
              <w:bidi w:val="0"/>
              <w:adjustRightInd w:val="0"/>
              <w:spacing w:line="360" w:lineRule="auto"/>
              <w:jc w:val="center"/>
              <w:rPr>
                <w:rFonts w:hint="eastAsia" w:ascii="宋体" w:hAnsi="宋体" w:eastAsia="宋体" w:cs="宋体"/>
                <w:bCs/>
                <w:kern w:val="0"/>
                <w:sz w:val="24"/>
              </w:rPr>
            </w:pPr>
            <w:r>
              <w:rPr>
                <w:rFonts w:hint="eastAsia" w:ascii="宋体" w:hAnsi="宋体" w:eastAsia="宋体" w:cs="宋体"/>
                <w:bCs/>
                <w:kern w:val="0"/>
                <w:sz w:val="24"/>
              </w:rPr>
              <w:t>采购控制价</w:t>
            </w:r>
          </w:p>
        </w:tc>
        <w:tc>
          <w:tcPr>
            <w:tcW w:w="5416" w:type="dxa"/>
            <w:vAlign w:val="center"/>
          </w:tcPr>
          <w:p w14:paraId="544C2BFF">
            <w:pPr>
              <w:pageBreakBefore w:val="0"/>
              <w:kinsoku/>
              <w:overflowPunct/>
              <w:bidi w:val="0"/>
              <w:spacing w:line="360" w:lineRule="auto"/>
              <w:rPr>
                <w:rFonts w:hint="eastAsia" w:ascii="宋体" w:hAnsi="宋体" w:eastAsia="宋体" w:cs="宋体"/>
                <w:sz w:val="24"/>
                <w:szCs w:val="24"/>
              </w:rPr>
            </w:pPr>
            <w:r>
              <w:rPr>
                <w:rFonts w:hint="eastAsia" w:ascii="宋体" w:hAnsi="宋体" w:eastAsia="宋体" w:cs="宋体"/>
                <w:sz w:val="24"/>
                <w:szCs w:val="24"/>
              </w:rPr>
              <w:t>招标控制价：</w:t>
            </w:r>
            <w:r>
              <w:rPr>
                <w:rFonts w:hint="eastAsia" w:ascii="宋体" w:hAnsi="宋体" w:eastAsia="宋体" w:cs="宋体"/>
                <w:sz w:val="24"/>
                <w:szCs w:val="24"/>
                <w:lang w:eastAsia="zh-CN"/>
              </w:rPr>
              <w:t>734599.51元</w:t>
            </w:r>
            <w:r>
              <w:rPr>
                <w:rFonts w:hint="eastAsia" w:ascii="宋体" w:hAnsi="宋体" w:eastAsia="宋体" w:cs="宋体"/>
                <w:sz w:val="24"/>
                <w:szCs w:val="24"/>
              </w:rPr>
              <w:t>；</w:t>
            </w:r>
          </w:p>
          <w:p w14:paraId="3AE02ADB">
            <w:pPr>
              <w:pageBreakBefore w:val="0"/>
              <w:kinsoku/>
              <w:overflowPunct/>
              <w:autoSpaceDE w:val="0"/>
              <w:autoSpaceDN w:val="0"/>
              <w:bidi w:val="0"/>
              <w:adjustRightInd w:val="0"/>
              <w:spacing w:line="360" w:lineRule="auto"/>
              <w:jc w:val="left"/>
              <w:rPr>
                <w:rFonts w:hint="eastAsia" w:ascii="宋体" w:hAnsi="宋体" w:eastAsia="宋体" w:cs="宋体"/>
                <w:bCs/>
                <w:kern w:val="0"/>
                <w:sz w:val="24"/>
              </w:rPr>
            </w:pPr>
            <w:r>
              <w:rPr>
                <w:rFonts w:hint="eastAsia" w:ascii="宋体" w:hAnsi="宋体" w:eastAsia="宋体" w:cs="宋体"/>
                <w:bCs/>
                <w:kern w:val="0"/>
                <w:sz w:val="24"/>
              </w:rPr>
              <w:t>招标控制价是招标人控制招标工程造价的最高限价，大于招标控制价的报价视为无效报价其</w:t>
            </w:r>
            <w:r>
              <w:rPr>
                <w:rFonts w:hint="eastAsia" w:ascii="宋体" w:hAnsi="宋体" w:eastAsia="宋体" w:cs="宋体"/>
                <w:bCs/>
                <w:kern w:val="0"/>
                <w:sz w:val="24"/>
                <w:lang w:eastAsia="zh-CN"/>
              </w:rPr>
              <w:t>投标报价</w:t>
            </w:r>
            <w:r>
              <w:rPr>
                <w:rFonts w:hint="eastAsia" w:ascii="宋体" w:hAnsi="宋体" w:eastAsia="宋体" w:cs="宋体"/>
                <w:bCs/>
                <w:kern w:val="0"/>
                <w:sz w:val="24"/>
              </w:rPr>
              <w:t xml:space="preserve">不再进行评审。有效报价是指不超过招标控制价的报价。 </w:t>
            </w:r>
          </w:p>
        </w:tc>
      </w:tr>
      <w:tr w14:paraId="19B79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D0CD693">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9.5</w:t>
            </w:r>
          </w:p>
        </w:tc>
        <w:tc>
          <w:tcPr>
            <w:tcW w:w="2081" w:type="dxa"/>
            <w:vAlign w:val="center"/>
          </w:tcPr>
          <w:p w14:paraId="6B7D2102">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sz w:val="24"/>
              </w:rPr>
              <w:t>招标代理服务费</w:t>
            </w:r>
          </w:p>
        </w:tc>
        <w:tc>
          <w:tcPr>
            <w:tcW w:w="5416" w:type="dxa"/>
            <w:vAlign w:val="center"/>
          </w:tcPr>
          <w:p w14:paraId="536FD469">
            <w:pPr>
              <w:pageBreakBefore w:val="0"/>
              <w:kinsoku/>
              <w:overflowPunct/>
              <w:bidi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1.1收取标准：参考河南省招标代理服务收费指导意见（豫招协[2023]002号）规定的收费标准计算。</w:t>
            </w:r>
          </w:p>
          <w:p w14:paraId="29CA10D6">
            <w:pPr>
              <w:pageBreakBefore w:val="0"/>
              <w:kinsoku/>
              <w:overflowPunct/>
              <w:bidi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1.2收取方式：中标人在领取通知书时，以现金或转账的方式一次性向代理机构缴纳代理服务费。</w:t>
            </w:r>
          </w:p>
          <w:p w14:paraId="0A99BAEB">
            <w:pPr>
              <w:pageBreakBefore w:val="0"/>
              <w:kinsoku/>
              <w:overflowPunct/>
              <w:bidi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1.3中标人领取通知书时向招标代理机构提交2份纸质投标文件并按以下要求装订：胶装（不得采用活页装订），应有目录，并逐页标注连续页码，需加盖公章。</w:t>
            </w:r>
          </w:p>
        </w:tc>
      </w:tr>
      <w:tr w14:paraId="31C0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16CDF3C">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bookmarkStart w:id="4" w:name="_Toc466284452"/>
            <w:bookmarkStart w:id="5" w:name="_Toc14871"/>
            <w:r>
              <w:rPr>
                <w:rFonts w:hint="eastAsia" w:ascii="宋体" w:hAnsi="宋体" w:eastAsia="宋体" w:cs="宋体"/>
                <w:kern w:val="0"/>
                <w:sz w:val="24"/>
              </w:rPr>
              <w:t>9.6</w:t>
            </w:r>
          </w:p>
        </w:tc>
        <w:tc>
          <w:tcPr>
            <w:tcW w:w="2081" w:type="dxa"/>
            <w:vAlign w:val="center"/>
          </w:tcPr>
          <w:p w14:paraId="77D03677">
            <w:pPr>
              <w:pageBreakBefore w:val="0"/>
              <w:kinsoku/>
              <w:overflowPunct/>
              <w:autoSpaceDE w:val="0"/>
              <w:autoSpaceDN w:val="0"/>
              <w:bidi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其他声明</w:t>
            </w:r>
          </w:p>
        </w:tc>
        <w:tc>
          <w:tcPr>
            <w:tcW w:w="5416" w:type="dxa"/>
            <w:vAlign w:val="center"/>
          </w:tcPr>
          <w:p w14:paraId="2E6975B6">
            <w:pPr>
              <w:pageBreakBefore w:val="0"/>
              <w:kinsoku/>
              <w:overflowPunct/>
              <w:bidi w:val="0"/>
              <w:spacing w:line="360" w:lineRule="auto"/>
              <w:rPr>
                <w:rFonts w:hint="eastAsia" w:ascii="宋体" w:hAnsi="宋体" w:eastAsia="宋体" w:cs="宋体"/>
                <w:sz w:val="24"/>
              </w:rPr>
            </w:pPr>
            <w:r>
              <w:rPr>
                <w:rFonts w:hint="eastAsia" w:ascii="宋体" w:hAnsi="宋体" w:eastAsia="宋体" w:cs="宋体"/>
                <w:sz w:val="24"/>
              </w:rPr>
              <w:t>1、本项目为电子化、无纸化交易项目，磋商时不再接受任何纸质资料，供应商按要求在三门峡市公共资源电子化交易系统中提交电子化磋商响应文件即可。为保证您能成功参加竞标，请需仔细阅读磋商文件和三门峡市公共资源交易中心官网业务办理指南；</w:t>
            </w:r>
          </w:p>
          <w:p w14:paraId="21926662">
            <w:pPr>
              <w:pageBreakBefore w:val="0"/>
              <w:kinsoku/>
              <w:overflowPunct/>
              <w:bidi w:val="0"/>
              <w:spacing w:line="360" w:lineRule="auto"/>
              <w:rPr>
                <w:rFonts w:hint="eastAsia" w:ascii="宋体" w:hAnsi="宋体" w:eastAsia="宋体" w:cs="宋体"/>
                <w:sz w:val="24"/>
              </w:rPr>
            </w:pPr>
            <w:r>
              <w:rPr>
                <w:rFonts w:hint="eastAsia" w:ascii="宋体" w:hAnsi="宋体" w:eastAsia="宋体" w:cs="宋体"/>
                <w:sz w:val="24"/>
              </w:rPr>
              <w:t>2、在符合相关法律法规的前提下，磋商文件的解释权归采购人所有。本磋商文件中其他部分内容与供应商须知前附表不一致的，以供应商须知前附表为准。</w:t>
            </w:r>
          </w:p>
          <w:p w14:paraId="51C02675">
            <w:pPr>
              <w:pageBreakBefore w:val="0"/>
              <w:kinsoku/>
              <w:overflowPunct/>
              <w:bidi w:val="0"/>
              <w:spacing w:line="360" w:lineRule="auto"/>
              <w:rPr>
                <w:rFonts w:hint="eastAsia" w:ascii="宋体" w:hAnsi="宋体" w:eastAsia="宋体" w:cs="宋体"/>
                <w:sz w:val="24"/>
              </w:rPr>
            </w:pPr>
            <w:r>
              <w:rPr>
                <w:rFonts w:hint="eastAsia" w:ascii="宋体" w:hAnsi="宋体" w:eastAsia="宋体" w:cs="宋体"/>
                <w:sz w:val="24"/>
              </w:rPr>
              <w:t>3、本竞争性磋商文件未尽事宜，执行国家、省、市相关规定。</w:t>
            </w:r>
          </w:p>
        </w:tc>
      </w:tr>
    </w:tbl>
    <w:p w14:paraId="2249C91D">
      <w:pPr>
        <w:pageBreakBefore w:val="0"/>
        <w:kinsoku/>
        <w:overflowPunct/>
        <w:bidi w:val="0"/>
        <w:spacing w:line="360" w:lineRule="auto"/>
        <w:rPr>
          <w:rFonts w:hint="eastAsia" w:ascii="宋体" w:hAnsi="宋体" w:eastAsia="宋体" w:cs="宋体"/>
          <w:b/>
        </w:rPr>
      </w:pPr>
      <w:r>
        <w:rPr>
          <w:rFonts w:hint="eastAsia" w:ascii="宋体" w:hAnsi="宋体" w:eastAsia="宋体" w:cs="宋体"/>
          <w:b/>
        </w:rPr>
        <w:br w:type="page"/>
      </w:r>
    </w:p>
    <w:p w14:paraId="7C7605AF">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bookmarkStart w:id="6" w:name="_Toc20260"/>
      <w:r>
        <w:rPr>
          <w:rFonts w:hint="eastAsia" w:ascii="宋体" w:hAnsi="宋体" w:eastAsia="宋体" w:cs="宋体"/>
          <w:b/>
          <w:bCs/>
          <w:sz w:val="24"/>
          <w:szCs w:val="24"/>
          <w:lang w:val="en-US" w:eastAsia="zh-CN"/>
        </w:rPr>
        <w:t>1.</w:t>
      </w:r>
      <w:r>
        <w:rPr>
          <w:rFonts w:hint="eastAsia" w:ascii="宋体" w:hAnsi="宋体" w:eastAsia="宋体" w:cs="宋体"/>
          <w:b/>
          <w:bCs/>
          <w:sz w:val="24"/>
          <w:szCs w:val="24"/>
        </w:rPr>
        <w:t>总则</w:t>
      </w:r>
      <w:bookmarkEnd w:id="4"/>
      <w:bookmarkEnd w:id="5"/>
      <w:bookmarkEnd w:id="6"/>
    </w:p>
    <w:p w14:paraId="57397B75">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bookmarkStart w:id="7" w:name="_Toc62"/>
      <w:bookmarkStart w:id="8" w:name="_Toc380394466"/>
      <w:bookmarkStart w:id="9" w:name="_Toc278155328"/>
      <w:bookmarkStart w:id="10" w:name="_Toc27981"/>
      <w:bookmarkStart w:id="11" w:name="_Toc466284453"/>
      <w:bookmarkStart w:id="12" w:name="_Toc20729"/>
      <w:bookmarkStart w:id="13" w:name="_Toc277149365"/>
      <w:bookmarkStart w:id="14" w:name="_Toc6286"/>
      <w:r>
        <w:rPr>
          <w:rFonts w:hint="eastAsia" w:ascii="宋体" w:hAnsi="宋体" w:eastAsia="宋体" w:cs="宋体"/>
          <w:b/>
          <w:bCs/>
          <w:sz w:val="24"/>
          <w:szCs w:val="24"/>
        </w:rPr>
        <w:t>1.1项目概况</w:t>
      </w:r>
      <w:bookmarkEnd w:id="7"/>
      <w:bookmarkEnd w:id="8"/>
      <w:bookmarkEnd w:id="9"/>
      <w:bookmarkEnd w:id="10"/>
      <w:bookmarkEnd w:id="11"/>
      <w:bookmarkEnd w:id="12"/>
      <w:bookmarkEnd w:id="13"/>
      <w:bookmarkEnd w:id="14"/>
    </w:p>
    <w:p w14:paraId="248220F0">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1.1.1根据《中华人民共和国政府采购法》等有关法律、法规和规章的规定，本磋商项目已具备竞争性磋商条件，现对本项目进行采购。</w:t>
      </w:r>
      <w:bookmarkStart w:id="15" w:name="_Toc277149369"/>
      <w:bookmarkStart w:id="16" w:name="_Toc270604580"/>
      <w:bookmarkStart w:id="17" w:name="_Toc270604807"/>
      <w:bookmarkStart w:id="18" w:name="_Toc278155332"/>
      <w:bookmarkStart w:id="19" w:name="_Toc269470299"/>
      <w:bookmarkStart w:id="20" w:name="_Toc380394470"/>
      <w:bookmarkStart w:id="21" w:name="_Toc466284457"/>
    </w:p>
    <w:p w14:paraId="5515474C">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1.1.2本次磋商项目采购人：见供应商须知前附表。</w:t>
      </w:r>
    </w:p>
    <w:p w14:paraId="533B4294">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1.1.3本次磋商项目代理机构：见供应商须知前附表。</w:t>
      </w:r>
    </w:p>
    <w:p w14:paraId="773A90C0">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1.1.4本次磋商项目名称：见供应商须知前附表。</w:t>
      </w:r>
    </w:p>
    <w:p w14:paraId="1C8750D4">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1.1.5本项目实施地点：见供应商须知前附表。</w:t>
      </w:r>
    </w:p>
    <w:p w14:paraId="1ECEB146">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1.1.6本项目工程概况：见供应商须知前附表。</w:t>
      </w:r>
    </w:p>
    <w:p w14:paraId="4A21AD8E">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bookmarkStart w:id="22" w:name="_Toc277149366"/>
      <w:bookmarkStart w:id="23" w:name="_Toc278155329"/>
      <w:bookmarkStart w:id="24" w:name="_Toc425761630"/>
      <w:bookmarkStart w:id="25" w:name="_Toc19001"/>
      <w:bookmarkStart w:id="26" w:name="_Toc270604804"/>
      <w:bookmarkStart w:id="27" w:name="_Toc26640"/>
      <w:bookmarkStart w:id="28" w:name="_Toc15779"/>
      <w:bookmarkStart w:id="29" w:name="_Toc380394467"/>
      <w:bookmarkStart w:id="30" w:name="_Toc269470296"/>
      <w:bookmarkStart w:id="31" w:name="_Toc270604577"/>
      <w:bookmarkStart w:id="32" w:name="_Toc21477"/>
      <w:r>
        <w:rPr>
          <w:rFonts w:hint="eastAsia" w:ascii="宋体" w:hAnsi="宋体" w:eastAsia="宋体" w:cs="宋体"/>
          <w:b/>
          <w:bCs/>
          <w:sz w:val="24"/>
          <w:szCs w:val="24"/>
        </w:rPr>
        <w:t>1.2资金来源和落实情况</w:t>
      </w:r>
      <w:bookmarkEnd w:id="22"/>
      <w:bookmarkEnd w:id="23"/>
      <w:bookmarkEnd w:id="24"/>
      <w:bookmarkEnd w:id="25"/>
      <w:bookmarkEnd w:id="26"/>
      <w:bookmarkEnd w:id="27"/>
      <w:bookmarkEnd w:id="28"/>
      <w:bookmarkEnd w:id="29"/>
      <w:bookmarkEnd w:id="30"/>
      <w:bookmarkEnd w:id="31"/>
      <w:bookmarkEnd w:id="32"/>
    </w:p>
    <w:p w14:paraId="3AC0C6EC">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1.2.1本采购项目的资金来源：见供应商须知前附表。</w:t>
      </w:r>
    </w:p>
    <w:p w14:paraId="34EC3326">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1.2.2本采购项目的资金落实情况：见供应商须知前附表。</w:t>
      </w:r>
    </w:p>
    <w:p w14:paraId="4026D786">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bookmarkStart w:id="33" w:name="_Toc22027"/>
      <w:bookmarkStart w:id="34" w:name="_Toc425761631"/>
      <w:bookmarkStart w:id="35" w:name="_Toc269470297"/>
      <w:bookmarkStart w:id="36" w:name="_Toc270604578"/>
      <w:bookmarkStart w:id="37" w:name="_Toc285"/>
      <w:bookmarkStart w:id="38" w:name="_Toc277149367"/>
      <w:bookmarkStart w:id="39" w:name="_Toc380394468"/>
      <w:bookmarkStart w:id="40" w:name="_Toc23999"/>
      <w:bookmarkStart w:id="41" w:name="_Toc19528"/>
      <w:bookmarkStart w:id="42" w:name="_Toc270604805"/>
      <w:bookmarkStart w:id="43" w:name="_Toc278155330"/>
      <w:r>
        <w:rPr>
          <w:rFonts w:hint="eastAsia" w:ascii="宋体" w:hAnsi="宋体" w:eastAsia="宋体" w:cs="宋体"/>
          <w:b/>
          <w:bCs/>
          <w:sz w:val="24"/>
          <w:szCs w:val="24"/>
        </w:rPr>
        <w:t>1.3采购范围、工期</w:t>
      </w:r>
      <w:r>
        <w:rPr>
          <w:rFonts w:hint="eastAsia" w:ascii="宋体" w:hAnsi="宋体" w:eastAsia="宋体" w:cs="宋体"/>
          <w:b/>
          <w:bCs/>
          <w:sz w:val="24"/>
          <w:szCs w:val="24"/>
          <w:lang w:eastAsia="zh-CN"/>
        </w:rPr>
        <w:t>、</w:t>
      </w:r>
      <w:r>
        <w:rPr>
          <w:rFonts w:hint="eastAsia" w:ascii="宋体" w:hAnsi="宋体" w:eastAsia="宋体" w:cs="宋体"/>
          <w:b/>
          <w:bCs/>
          <w:sz w:val="24"/>
          <w:szCs w:val="24"/>
        </w:rPr>
        <w:t>质量</w:t>
      </w:r>
      <w:r>
        <w:rPr>
          <w:rFonts w:hint="eastAsia" w:ascii="宋体" w:hAnsi="宋体" w:eastAsia="宋体" w:cs="宋体"/>
          <w:b/>
          <w:bCs/>
          <w:sz w:val="24"/>
          <w:szCs w:val="24"/>
          <w:lang w:eastAsia="zh-CN"/>
        </w:rPr>
        <w:t>、保修期</w:t>
      </w:r>
      <w:r>
        <w:rPr>
          <w:rFonts w:hint="eastAsia" w:ascii="宋体" w:hAnsi="宋体" w:eastAsia="宋体" w:cs="宋体"/>
          <w:b/>
          <w:bCs/>
          <w:sz w:val="24"/>
          <w:szCs w:val="24"/>
        </w:rPr>
        <w:t>要求</w:t>
      </w:r>
      <w:bookmarkEnd w:id="33"/>
      <w:bookmarkEnd w:id="34"/>
      <w:bookmarkEnd w:id="35"/>
      <w:bookmarkEnd w:id="36"/>
      <w:bookmarkEnd w:id="37"/>
      <w:bookmarkEnd w:id="38"/>
      <w:bookmarkEnd w:id="39"/>
      <w:bookmarkEnd w:id="40"/>
      <w:bookmarkEnd w:id="41"/>
      <w:bookmarkEnd w:id="42"/>
      <w:bookmarkEnd w:id="43"/>
    </w:p>
    <w:p w14:paraId="4986D3C1">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1.3.1本次采购范围：见供应商须知前附表。</w:t>
      </w:r>
    </w:p>
    <w:p w14:paraId="644162C8">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1.3.2本项目的工期要求：见供应商须知前附表。</w:t>
      </w:r>
    </w:p>
    <w:p w14:paraId="7E8BA089">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1.3.3本项目的质量要求：见供应商须知前附表。</w:t>
      </w:r>
    </w:p>
    <w:p w14:paraId="401EFE90">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1.3.4本项目的</w:t>
      </w:r>
      <w:r>
        <w:rPr>
          <w:rFonts w:hint="eastAsia" w:ascii="宋体" w:hAnsi="宋体" w:eastAsia="宋体" w:cs="宋体"/>
          <w:sz w:val="24"/>
          <w:szCs w:val="24"/>
          <w:lang w:eastAsia="zh-CN"/>
        </w:rPr>
        <w:t>保修期</w:t>
      </w:r>
      <w:r>
        <w:rPr>
          <w:rFonts w:hint="eastAsia" w:ascii="宋体" w:hAnsi="宋体" w:eastAsia="宋体" w:cs="宋体"/>
          <w:sz w:val="24"/>
          <w:szCs w:val="24"/>
        </w:rPr>
        <w:t>要求：见供应商须知前附表。</w:t>
      </w:r>
    </w:p>
    <w:p w14:paraId="6E0FA4F9">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bookmarkStart w:id="44" w:name="_Toc269470298"/>
      <w:bookmarkStart w:id="45" w:name="_Toc277149368"/>
      <w:bookmarkStart w:id="46" w:name="_Toc15861"/>
      <w:bookmarkStart w:id="47" w:name="_Toc380394469"/>
      <w:bookmarkStart w:id="48" w:name="_Toc270604579"/>
      <w:bookmarkStart w:id="49" w:name="_Toc2252"/>
      <w:bookmarkStart w:id="50" w:name="_Toc22973"/>
      <w:bookmarkStart w:id="51" w:name="_Toc278155331"/>
      <w:bookmarkStart w:id="52" w:name="_Toc6153"/>
      <w:bookmarkStart w:id="53" w:name="_Toc425761632"/>
      <w:bookmarkStart w:id="54" w:name="_Toc270604806"/>
      <w:r>
        <w:rPr>
          <w:rFonts w:hint="eastAsia" w:ascii="宋体" w:hAnsi="宋体" w:eastAsia="宋体" w:cs="宋体"/>
          <w:b/>
          <w:bCs/>
          <w:sz w:val="24"/>
          <w:szCs w:val="24"/>
        </w:rPr>
        <w:t>1.4供应商资格要求</w:t>
      </w:r>
      <w:bookmarkEnd w:id="44"/>
      <w:r>
        <w:rPr>
          <w:rFonts w:hint="eastAsia" w:ascii="宋体" w:hAnsi="宋体" w:eastAsia="宋体" w:cs="宋体"/>
          <w:b/>
          <w:bCs/>
          <w:sz w:val="24"/>
          <w:szCs w:val="24"/>
        </w:rPr>
        <w:t>：见供应商须知前附表。</w:t>
      </w:r>
      <w:bookmarkEnd w:id="45"/>
      <w:bookmarkEnd w:id="46"/>
      <w:bookmarkEnd w:id="47"/>
      <w:bookmarkEnd w:id="48"/>
      <w:bookmarkEnd w:id="49"/>
      <w:bookmarkEnd w:id="50"/>
      <w:bookmarkEnd w:id="51"/>
      <w:bookmarkEnd w:id="52"/>
      <w:bookmarkEnd w:id="53"/>
      <w:bookmarkEnd w:id="54"/>
    </w:p>
    <w:p w14:paraId="21074704">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1.4.1投标人应具备承担本项目的资质条件、能力和信誉。</w:t>
      </w:r>
    </w:p>
    <w:p w14:paraId="7B90A3B6">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（1）资质条件：见</w:t>
      </w:r>
      <w:r>
        <w:rPr>
          <w:rFonts w:hint="eastAsia" w:ascii="宋体" w:hAnsi="宋体" w:eastAsia="宋体" w:cs="宋体"/>
          <w:sz w:val="24"/>
          <w:szCs w:val="24"/>
          <w:lang w:eastAsia="zh-CN"/>
        </w:rPr>
        <w:t>供应商须知前附表</w:t>
      </w:r>
      <w:r>
        <w:rPr>
          <w:rFonts w:hint="eastAsia" w:ascii="宋体" w:hAnsi="宋体" w:eastAsia="宋体" w:cs="宋体"/>
          <w:sz w:val="24"/>
          <w:szCs w:val="24"/>
        </w:rPr>
        <w:t>；</w:t>
      </w:r>
    </w:p>
    <w:p w14:paraId="7B071CB0">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（2）项目经理资格：见</w:t>
      </w:r>
      <w:r>
        <w:rPr>
          <w:rFonts w:hint="eastAsia" w:ascii="宋体" w:hAnsi="宋体" w:eastAsia="宋体" w:cs="宋体"/>
          <w:sz w:val="24"/>
          <w:szCs w:val="24"/>
          <w:lang w:eastAsia="zh-CN"/>
        </w:rPr>
        <w:t>供应商须知前附表</w:t>
      </w:r>
      <w:r>
        <w:rPr>
          <w:rFonts w:hint="eastAsia" w:ascii="宋体" w:hAnsi="宋体" w:eastAsia="宋体" w:cs="宋体"/>
          <w:sz w:val="24"/>
          <w:szCs w:val="24"/>
        </w:rPr>
        <w:t>；</w:t>
      </w:r>
    </w:p>
    <w:p w14:paraId="698C52A0">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（3）信誉要求：见</w:t>
      </w:r>
      <w:r>
        <w:rPr>
          <w:rFonts w:hint="eastAsia" w:ascii="宋体" w:hAnsi="宋体" w:eastAsia="宋体" w:cs="宋体"/>
          <w:sz w:val="24"/>
          <w:szCs w:val="24"/>
          <w:lang w:eastAsia="zh-CN"/>
        </w:rPr>
        <w:t>供应商须知前附表</w:t>
      </w:r>
      <w:r>
        <w:rPr>
          <w:rFonts w:hint="eastAsia" w:ascii="宋体" w:hAnsi="宋体" w:eastAsia="宋体" w:cs="宋体"/>
          <w:sz w:val="24"/>
          <w:szCs w:val="24"/>
        </w:rPr>
        <w:t>；</w:t>
      </w:r>
    </w:p>
    <w:p w14:paraId="53291D45">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（4）其他要求：见</w:t>
      </w:r>
      <w:r>
        <w:rPr>
          <w:rFonts w:hint="eastAsia" w:ascii="宋体" w:hAnsi="宋体" w:eastAsia="宋体" w:cs="宋体"/>
          <w:sz w:val="24"/>
          <w:szCs w:val="24"/>
          <w:lang w:eastAsia="zh-CN"/>
        </w:rPr>
        <w:t>供应商须知前附表</w:t>
      </w:r>
      <w:r>
        <w:rPr>
          <w:rFonts w:hint="eastAsia" w:ascii="宋体" w:hAnsi="宋体" w:eastAsia="宋体" w:cs="宋体"/>
          <w:sz w:val="24"/>
          <w:szCs w:val="24"/>
        </w:rPr>
        <w:t>。</w:t>
      </w:r>
    </w:p>
    <w:p w14:paraId="3F9F6945">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1.4.2本项目不接受联合体投标。</w:t>
      </w:r>
    </w:p>
    <w:p w14:paraId="0B71DF5E">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1.4.3投标人不得存在下列情形之一：</w:t>
      </w:r>
    </w:p>
    <w:p w14:paraId="5AC0541F">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（1）为招标人不具有独立法人资格的附属机构（单位）； </w:t>
      </w:r>
    </w:p>
    <w:p w14:paraId="7F2BF82F">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（2）为</w:t>
      </w:r>
      <w:r>
        <w:rPr>
          <w:rFonts w:hint="eastAsia" w:ascii="宋体" w:hAnsi="宋体" w:eastAsia="宋体" w:cs="宋体"/>
          <w:sz w:val="24"/>
          <w:szCs w:val="24"/>
          <w:lang w:eastAsia="zh-CN"/>
        </w:rPr>
        <w:t>本项目</w:t>
      </w:r>
      <w:r>
        <w:rPr>
          <w:rFonts w:hint="eastAsia" w:ascii="宋体" w:hAnsi="宋体" w:eastAsia="宋体" w:cs="宋体"/>
          <w:sz w:val="24"/>
          <w:szCs w:val="24"/>
        </w:rPr>
        <w:t>前期准备提供设计或咨询服务的，但设计施工总承包的除外；</w:t>
      </w:r>
    </w:p>
    <w:p w14:paraId="383291CD">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（3）为</w:t>
      </w:r>
      <w:r>
        <w:rPr>
          <w:rFonts w:hint="eastAsia" w:ascii="宋体" w:hAnsi="宋体" w:eastAsia="宋体" w:cs="宋体"/>
          <w:sz w:val="24"/>
          <w:szCs w:val="24"/>
          <w:lang w:eastAsia="zh-CN"/>
        </w:rPr>
        <w:t>本项目</w:t>
      </w:r>
      <w:r>
        <w:rPr>
          <w:rFonts w:hint="eastAsia" w:ascii="宋体" w:hAnsi="宋体" w:eastAsia="宋体" w:cs="宋体"/>
          <w:sz w:val="24"/>
          <w:szCs w:val="24"/>
        </w:rPr>
        <w:t>的监理人；</w:t>
      </w:r>
    </w:p>
    <w:p w14:paraId="335715D6">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（4）为</w:t>
      </w:r>
      <w:r>
        <w:rPr>
          <w:rFonts w:hint="eastAsia" w:ascii="宋体" w:hAnsi="宋体" w:eastAsia="宋体" w:cs="宋体"/>
          <w:sz w:val="24"/>
          <w:szCs w:val="24"/>
          <w:lang w:eastAsia="zh-CN"/>
        </w:rPr>
        <w:t>本项目</w:t>
      </w:r>
      <w:r>
        <w:rPr>
          <w:rFonts w:hint="eastAsia" w:ascii="宋体" w:hAnsi="宋体" w:eastAsia="宋体" w:cs="宋体"/>
          <w:sz w:val="24"/>
          <w:szCs w:val="24"/>
        </w:rPr>
        <w:t>的代建人；</w:t>
      </w:r>
    </w:p>
    <w:p w14:paraId="7C2DACFD">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（5）为</w:t>
      </w:r>
      <w:r>
        <w:rPr>
          <w:rFonts w:hint="eastAsia" w:ascii="宋体" w:hAnsi="宋体" w:eastAsia="宋体" w:cs="宋体"/>
          <w:sz w:val="24"/>
          <w:szCs w:val="24"/>
          <w:lang w:eastAsia="zh-CN"/>
        </w:rPr>
        <w:t>本项目</w:t>
      </w:r>
      <w:r>
        <w:rPr>
          <w:rFonts w:hint="eastAsia" w:ascii="宋体" w:hAnsi="宋体" w:eastAsia="宋体" w:cs="宋体"/>
          <w:sz w:val="24"/>
          <w:szCs w:val="24"/>
        </w:rPr>
        <w:t>提供招标代理服务的；</w:t>
      </w:r>
    </w:p>
    <w:p w14:paraId="435B78D2">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（6）与</w:t>
      </w:r>
      <w:r>
        <w:rPr>
          <w:rFonts w:hint="eastAsia" w:ascii="宋体" w:hAnsi="宋体" w:eastAsia="宋体" w:cs="宋体"/>
          <w:sz w:val="24"/>
          <w:szCs w:val="24"/>
          <w:lang w:eastAsia="zh-CN"/>
        </w:rPr>
        <w:t>本项目</w:t>
      </w:r>
      <w:r>
        <w:rPr>
          <w:rFonts w:hint="eastAsia" w:ascii="宋体" w:hAnsi="宋体" w:eastAsia="宋体" w:cs="宋体"/>
          <w:sz w:val="24"/>
          <w:szCs w:val="24"/>
        </w:rPr>
        <w:t>的监理人或代建人或招标代理机构同为一个法定代表人的；</w:t>
      </w:r>
    </w:p>
    <w:p w14:paraId="477DAF98">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（7）与</w:t>
      </w:r>
      <w:r>
        <w:rPr>
          <w:rFonts w:hint="eastAsia" w:ascii="宋体" w:hAnsi="宋体" w:eastAsia="宋体" w:cs="宋体"/>
          <w:sz w:val="24"/>
          <w:szCs w:val="24"/>
          <w:lang w:eastAsia="zh-CN"/>
        </w:rPr>
        <w:t>本项目</w:t>
      </w:r>
      <w:r>
        <w:rPr>
          <w:rFonts w:hint="eastAsia" w:ascii="宋体" w:hAnsi="宋体" w:eastAsia="宋体" w:cs="宋体"/>
          <w:sz w:val="24"/>
          <w:szCs w:val="24"/>
        </w:rPr>
        <w:t>的监理人或代建人或招标代理机构相互控股或参股的；</w:t>
      </w:r>
    </w:p>
    <w:p w14:paraId="4B39D49E">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（8）与</w:t>
      </w:r>
      <w:r>
        <w:rPr>
          <w:rFonts w:hint="eastAsia" w:ascii="宋体" w:hAnsi="宋体" w:eastAsia="宋体" w:cs="宋体"/>
          <w:sz w:val="24"/>
          <w:szCs w:val="24"/>
          <w:lang w:eastAsia="zh-CN"/>
        </w:rPr>
        <w:t>本项目</w:t>
      </w:r>
      <w:r>
        <w:rPr>
          <w:rFonts w:hint="eastAsia" w:ascii="宋体" w:hAnsi="宋体" w:eastAsia="宋体" w:cs="宋体"/>
          <w:sz w:val="24"/>
          <w:szCs w:val="24"/>
        </w:rPr>
        <w:t>的监理人或代建人或招标代理机构相互任职或工作的；</w:t>
      </w:r>
    </w:p>
    <w:p w14:paraId="67A4D9F2">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（9）被责令停业的；</w:t>
      </w:r>
    </w:p>
    <w:p w14:paraId="0F213352">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（10）被暂停或取消投标资格的；</w:t>
      </w:r>
    </w:p>
    <w:p w14:paraId="3CDF4879">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（11）财产被接管或冻结的；</w:t>
      </w:r>
    </w:p>
    <w:p w14:paraId="1440DBE2">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（12）在最近三年内有骗取中标或严重违约或重大工程质量问题的。</w:t>
      </w:r>
    </w:p>
    <w:p w14:paraId="28874221">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bookmarkStart w:id="55" w:name="_Toc10549"/>
      <w:bookmarkStart w:id="56" w:name="_Toc976"/>
      <w:bookmarkStart w:id="57" w:name="_Toc18062"/>
      <w:bookmarkStart w:id="58" w:name="_Toc25040"/>
      <w:r>
        <w:rPr>
          <w:rFonts w:hint="eastAsia" w:ascii="宋体" w:hAnsi="宋体" w:eastAsia="宋体" w:cs="宋体"/>
          <w:b/>
          <w:bCs/>
          <w:sz w:val="24"/>
          <w:szCs w:val="24"/>
        </w:rPr>
        <w:t>1.5费用承担</w:t>
      </w:r>
      <w:bookmarkEnd w:id="15"/>
      <w:bookmarkEnd w:id="16"/>
      <w:bookmarkEnd w:id="17"/>
      <w:bookmarkEnd w:id="18"/>
      <w:bookmarkEnd w:id="19"/>
      <w:bookmarkEnd w:id="20"/>
      <w:bookmarkEnd w:id="21"/>
      <w:bookmarkEnd w:id="55"/>
      <w:bookmarkEnd w:id="56"/>
      <w:bookmarkEnd w:id="57"/>
      <w:bookmarkEnd w:id="58"/>
    </w:p>
    <w:p w14:paraId="28375E12">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1.5.1供应商准备和参加磋商活动发生的一切费用自理。</w:t>
      </w:r>
    </w:p>
    <w:p w14:paraId="11E81805">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bookmarkStart w:id="59" w:name="_Toc278155333"/>
      <w:bookmarkStart w:id="60" w:name="_Toc7894"/>
      <w:bookmarkStart w:id="61" w:name="_Toc23515"/>
      <w:bookmarkStart w:id="62" w:name="_Toc466284458"/>
      <w:bookmarkStart w:id="63" w:name="_Toc277149370"/>
      <w:bookmarkStart w:id="64" w:name="_Toc1107"/>
      <w:bookmarkStart w:id="65" w:name="_Toc270604581"/>
      <w:bookmarkStart w:id="66" w:name="_Toc270604808"/>
      <w:bookmarkStart w:id="67" w:name="_Toc269470300"/>
      <w:bookmarkStart w:id="68" w:name="_Toc380394471"/>
      <w:bookmarkStart w:id="69" w:name="_Toc859"/>
      <w:r>
        <w:rPr>
          <w:rFonts w:hint="eastAsia" w:ascii="宋体" w:hAnsi="宋体" w:eastAsia="宋体" w:cs="宋体"/>
          <w:b/>
          <w:bCs/>
          <w:sz w:val="24"/>
          <w:szCs w:val="24"/>
        </w:rPr>
        <w:t>1.6保密</w:t>
      </w:r>
      <w:bookmarkEnd w:id="59"/>
      <w:bookmarkEnd w:id="60"/>
      <w:bookmarkEnd w:id="61"/>
      <w:bookmarkEnd w:id="62"/>
      <w:bookmarkEnd w:id="63"/>
      <w:bookmarkEnd w:id="64"/>
      <w:bookmarkEnd w:id="65"/>
      <w:bookmarkEnd w:id="66"/>
      <w:bookmarkEnd w:id="67"/>
      <w:bookmarkEnd w:id="68"/>
      <w:bookmarkEnd w:id="69"/>
    </w:p>
    <w:p w14:paraId="6BABAEE7">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1.6.1磋商期间，直到授予成交的供应商合同止，凡是与磋商响应文件审查、澄清、评价、比较以及推荐成交候选人等方面的情况，均不得向供应商或其他无关的人员透露。</w:t>
      </w:r>
    </w:p>
    <w:p w14:paraId="0166FB5D">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1.6.2在磋商过程中，供应商如向磋商小组成员施加任何影响，都将会导致其磋商被拒绝。</w:t>
      </w:r>
    </w:p>
    <w:p w14:paraId="52D51D76">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1.6.3为保证成交结果的公正性，磋商期间直至授予成交供应商合同时，磋商小组成员不得与供应商私下交换意见。在磋商结束后，凡与磋商情况有接触的任何人不得也不应将磋商情况扩散出磋商小组成员之外。</w:t>
      </w:r>
    </w:p>
    <w:p w14:paraId="41939E2C">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4</w:t>
      </w:r>
      <w:r>
        <w:rPr>
          <w:rFonts w:hint="eastAsia" w:ascii="宋体" w:hAnsi="宋体" w:eastAsia="宋体" w:cs="宋体"/>
          <w:sz w:val="24"/>
          <w:szCs w:val="24"/>
        </w:rPr>
        <w:t>参加本项目采购的供应商如对本次评审推荐的拟成交供应商有异议或发现违规违纪行为，请以书面形式向采购人、采购代理机构递交质疑函原件（不接受邮寄、电报、电传、传真、电子数据交换和电子邮件），超过法律规定时间将不再受理。</w:t>
      </w:r>
    </w:p>
    <w:p w14:paraId="16148FD7">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5</w:t>
      </w:r>
      <w:r>
        <w:rPr>
          <w:rFonts w:hint="eastAsia" w:ascii="宋体" w:hAnsi="宋体" w:eastAsia="宋体" w:cs="宋体"/>
          <w:sz w:val="24"/>
          <w:szCs w:val="24"/>
        </w:rPr>
        <w:t>供应商递交的磋商文件不论中标与否均不予退还。</w:t>
      </w:r>
    </w:p>
    <w:p w14:paraId="050CAB7E">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bookmarkStart w:id="70" w:name="_Toc270604582"/>
      <w:bookmarkStart w:id="71" w:name="_Toc28471"/>
      <w:bookmarkStart w:id="72" w:name="_Toc277149371"/>
      <w:bookmarkStart w:id="73" w:name="_Toc270604809"/>
      <w:bookmarkStart w:id="74" w:name="_Toc278155334"/>
      <w:bookmarkStart w:id="75" w:name="_Toc17801"/>
      <w:bookmarkStart w:id="76" w:name="_Toc29602"/>
      <w:bookmarkStart w:id="77" w:name="_Toc25505"/>
      <w:bookmarkStart w:id="78" w:name="_Toc380394472"/>
      <w:bookmarkStart w:id="79" w:name="_Toc269470301"/>
      <w:bookmarkStart w:id="80" w:name="_Toc466284459"/>
      <w:r>
        <w:rPr>
          <w:rFonts w:hint="eastAsia" w:ascii="宋体" w:hAnsi="宋体" w:eastAsia="宋体" w:cs="宋体"/>
          <w:b/>
          <w:bCs/>
          <w:sz w:val="24"/>
          <w:szCs w:val="24"/>
        </w:rPr>
        <w:t>1.7语言文字</w:t>
      </w:r>
      <w:bookmarkEnd w:id="70"/>
      <w:bookmarkEnd w:id="71"/>
      <w:bookmarkEnd w:id="72"/>
      <w:bookmarkEnd w:id="73"/>
      <w:bookmarkEnd w:id="74"/>
      <w:bookmarkEnd w:id="75"/>
      <w:bookmarkEnd w:id="76"/>
      <w:bookmarkEnd w:id="77"/>
      <w:bookmarkEnd w:id="78"/>
      <w:bookmarkEnd w:id="79"/>
      <w:bookmarkEnd w:id="80"/>
    </w:p>
    <w:p w14:paraId="49B329A5">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1.7.1除专用术语外，与采购有关的语言均使用中文。必要时专用术语应附有中文注释。</w:t>
      </w:r>
    </w:p>
    <w:p w14:paraId="15938BD3">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bookmarkStart w:id="81" w:name="_Toc20169"/>
      <w:bookmarkStart w:id="82" w:name="_Toc278155335"/>
      <w:bookmarkStart w:id="83" w:name="_Toc277149372"/>
      <w:bookmarkStart w:id="84" w:name="_Toc9357"/>
      <w:bookmarkStart w:id="85" w:name="_Toc380394473"/>
      <w:bookmarkStart w:id="86" w:name="_Toc21514"/>
      <w:bookmarkStart w:id="87" w:name="_Toc9268"/>
      <w:bookmarkStart w:id="88" w:name="_Toc466284460"/>
      <w:bookmarkStart w:id="89" w:name="_Toc270604810"/>
      <w:bookmarkStart w:id="90" w:name="_Toc270604583"/>
      <w:bookmarkStart w:id="91" w:name="_Toc269470302"/>
      <w:r>
        <w:rPr>
          <w:rFonts w:hint="eastAsia" w:ascii="宋体" w:hAnsi="宋体" w:eastAsia="宋体" w:cs="宋体"/>
          <w:b/>
          <w:bCs/>
          <w:sz w:val="24"/>
          <w:szCs w:val="24"/>
        </w:rPr>
        <w:t>1.8计量单位</w:t>
      </w:r>
      <w:bookmarkEnd w:id="81"/>
      <w:bookmarkEnd w:id="82"/>
      <w:bookmarkEnd w:id="83"/>
      <w:bookmarkEnd w:id="84"/>
      <w:bookmarkEnd w:id="85"/>
      <w:bookmarkEnd w:id="86"/>
      <w:bookmarkEnd w:id="87"/>
      <w:bookmarkEnd w:id="88"/>
      <w:bookmarkEnd w:id="89"/>
      <w:bookmarkEnd w:id="90"/>
      <w:bookmarkEnd w:id="91"/>
    </w:p>
    <w:p w14:paraId="25938EF9">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1.8.1所有计量均采用中华人民共和国法定计量单位。</w:t>
      </w:r>
    </w:p>
    <w:p w14:paraId="56DA8CDE">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bookmarkStart w:id="92" w:name="_Toc380394474"/>
      <w:bookmarkStart w:id="93" w:name="_Toc25935"/>
      <w:bookmarkStart w:id="94" w:name="_Toc22287"/>
      <w:bookmarkStart w:id="95" w:name="_Toc277149373"/>
      <w:bookmarkStart w:id="96" w:name="_Toc278155336"/>
      <w:bookmarkStart w:id="97" w:name="_Toc269470303"/>
      <w:bookmarkStart w:id="98" w:name="_Toc9488"/>
      <w:bookmarkStart w:id="99" w:name="_Toc270604584"/>
      <w:bookmarkStart w:id="100" w:name="_Toc466284461"/>
      <w:bookmarkStart w:id="101" w:name="_Toc27455"/>
      <w:bookmarkStart w:id="102" w:name="_Toc270604811"/>
      <w:r>
        <w:rPr>
          <w:rFonts w:hint="eastAsia" w:ascii="宋体" w:hAnsi="宋体" w:eastAsia="宋体" w:cs="宋体"/>
          <w:b/>
          <w:bCs/>
          <w:sz w:val="24"/>
          <w:szCs w:val="24"/>
        </w:rPr>
        <w:t>1.9踏勘现场</w:t>
      </w:r>
      <w:bookmarkEnd w:id="92"/>
      <w:bookmarkEnd w:id="93"/>
      <w:bookmarkEnd w:id="94"/>
      <w:bookmarkEnd w:id="95"/>
      <w:bookmarkEnd w:id="96"/>
      <w:bookmarkEnd w:id="97"/>
      <w:bookmarkEnd w:id="98"/>
      <w:bookmarkEnd w:id="99"/>
      <w:bookmarkEnd w:id="100"/>
      <w:bookmarkEnd w:id="101"/>
      <w:bookmarkEnd w:id="102"/>
    </w:p>
    <w:p w14:paraId="17E7B228">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1.9.1供应商踏勘现场，所发生的费用自理。</w:t>
      </w:r>
    </w:p>
    <w:p w14:paraId="33B0B7DA">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1.9.2除采购人的原因外，供应商自行承担在踏勘现场中所发生的人员伤亡和财产损失。</w:t>
      </w:r>
    </w:p>
    <w:p w14:paraId="7ED829FA">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1.9.3采购人在踏勘现场中介绍的项目场地和相关的周边环境情况，供应商在编制磋商响应文件时参考</w:t>
      </w:r>
      <w:r>
        <w:rPr>
          <w:rFonts w:hint="eastAsia" w:ascii="宋体" w:hAnsi="宋体" w:eastAsia="宋体" w:cs="宋体"/>
          <w:sz w:val="24"/>
          <w:szCs w:val="24"/>
          <w:lang w:eastAsia="zh-CN"/>
        </w:rPr>
        <w:t>。</w:t>
      </w:r>
    </w:p>
    <w:p w14:paraId="7EEC40F7">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1.9.4采购人不对供应商据此作出的判断和决策负责。</w:t>
      </w:r>
    </w:p>
    <w:p w14:paraId="0736A652">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bookmarkStart w:id="103" w:name="_Toc29208"/>
      <w:bookmarkStart w:id="104" w:name="_Toc19570"/>
      <w:bookmarkStart w:id="105" w:name="_Toc466284462"/>
      <w:bookmarkStart w:id="106" w:name="_Toc277149374"/>
      <w:bookmarkStart w:id="107" w:name="_Toc270604585"/>
      <w:bookmarkStart w:id="108" w:name="_Toc278155337"/>
      <w:bookmarkStart w:id="109" w:name="_Toc1914"/>
      <w:bookmarkStart w:id="110" w:name="_Toc270604812"/>
      <w:bookmarkStart w:id="111" w:name="_Toc380394475"/>
      <w:bookmarkStart w:id="112" w:name="_Toc1086"/>
      <w:bookmarkStart w:id="113" w:name="_Toc269470304"/>
      <w:r>
        <w:rPr>
          <w:rFonts w:hint="eastAsia" w:ascii="宋体" w:hAnsi="宋体" w:eastAsia="宋体" w:cs="宋体"/>
          <w:b/>
          <w:bCs/>
          <w:sz w:val="24"/>
          <w:szCs w:val="24"/>
        </w:rPr>
        <w:t>1.10磋商预备会</w:t>
      </w:r>
      <w:bookmarkEnd w:id="103"/>
      <w:bookmarkEnd w:id="104"/>
      <w:bookmarkEnd w:id="105"/>
      <w:bookmarkEnd w:id="106"/>
      <w:bookmarkEnd w:id="107"/>
      <w:bookmarkEnd w:id="108"/>
      <w:bookmarkEnd w:id="109"/>
      <w:bookmarkEnd w:id="110"/>
      <w:bookmarkEnd w:id="111"/>
      <w:bookmarkEnd w:id="112"/>
      <w:bookmarkEnd w:id="113"/>
    </w:p>
    <w:p w14:paraId="650BBD91">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1.10.1本次竞争性磋商不召开磋商预备会，供应商如有疑问，应通过交易系统提出问题，采购人通过发布公告的形式通知所有参加磋商的供应商。该部分内容为竞争性磋商文件的组成部分。</w:t>
      </w:r>
    </w:p>
    <w:p w14:paraId="2142C4B9">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bookmarkStart w:id="114" w:name="_Toc380394476"/>
      <w:bookmarkStart w:id="115" w:name="_Toc5553"/>
      <w:bookmarkStart w:id="116" w:name="_Toc277149375"/>
      <w:bookmarkStart w:id="117" w:name="_Toc466284463"/>
      <w:bookmarkStart w:id="118" w:name="_Toc269470305"/>
      <w:bookmarkStart w:id="119" w:name="_Toc5818"/>
      <w:bookmarkStart w:id="120" w:name="_Toc31773"/>
      <w:bookmarkStart w:id="121" w:name="_Toc278155338"/>
      <w:bookmarkStart w:id="122" w:name="_Toc270604586"/>
      <w:bookmarkStart w:id="123" w:name="_Toc26014"/>
      <w:bookmarkStart w:id="124" w:name="_Toc270604813"/>
      <w:r>
        <w:rPr>
          <w:rFonts w:hint="eastAsia" w:ascii="宋体" w:hAnsi="宋体" w:eastAsia="宋体" w:cs="宋体"/>
          <w:b/>
          <w:bCs/>
          <w:sz w:val="24"/>
          <w:szCs w:val="24"/>
        </w:rPr>
        <w:t>1.11分包</w:t>
      </w:r>
      <w:bookmarkEnd w:id="114"/>
      <w:bookmarkEnd w:id="115"/>
      <w:bookmarkEnd w:id="116"/>
      <w:bookmarkEnd w:id="117"/>
      <w:bookmarkEnd w:id="118"/>
      <w:bookmarkEnd w:id="119"/>
      <w:bookmarkEnd w:id="120"/>
      <w:bookmarkEnd w:id="121"/>
      <w:bookmarkEnd w:id="122"/>
      <w:bookmarkEnd w:id="123"/>
      <w:bookmarkEnd w:id="124"/>
    </w:p>
    <w:p w14:paraId="77C6C743">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1.11.1本项目不允许分包。</w:t>
      </w:r>
    </w:p>
    <w:p w14:paraId="272C8FC3">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bookmarkStart w:id="125" w:name="_Toc16608"/>
      <w:bookmarkStart w:id="126" w:name="_Toc391284747"/>
      <w:bookmarkStart w:id="127" w:name="_Toc27093"/>
      <w:bookmarkStart w:id="128" w:name="_Toc381"/>
      <w:bookmarkStart w:id="129" w:name="_Toc438797950"/>
      <w:bookmarkStart w:id="130" w:name="_Toc438797185"/>
      <w:bookmarkStart w:id="131" w:name="_Toc277149383"/>
      <w:bookmarkStart w:id="132" w:name="_Toc278155346"/>
      <w:bookmarkStart w:id="133" w:name="_Toc270604594"/>
      <w:bookmarkStart w:id="134" w:name="_Toc270604821"/>
      <w:bookmarkStart w:id="135" w:name="_Toc269470313"/>
      <w:bookmarkStart w:id="136" w:name="_Toc380394484"/>
      <w:bookmarkStart w:id="137" w:name="_Toc466284471"/>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竞争性磋商文件</w:t>
      </w:r>
      <w:bookmarkEnd w:id="125"/>
      <w:bookmarkEnd w:id="126"/>
      <w:bookmarkEnd w:id="127"/>
      <w:bookmarkEnd w:id="128"/>
      <w:bookmarkEnd w:id="129"/>
      <w:bookmarkEnd w:id="130"/>
    </w:p>
    <w:p w14:paraId="1EF8CBA0">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bookmarkStart w:id="138" w:name="_Toc438797186"/>
      <w:bookmarkStart w:id="139" w:name="_Toc391284748"/>
      <w:bookmarkStart w:id="140" w:name="_Toc438797951"/>
      <w:r>
        <w:rPr>
          <w:rFonts w:hint="eastAsia" w:ascii="宋体" w:hAnsi="宋体" w:eastAsia="宋体" w:cs="宋体"/>
          <w:b/>
          <w:bCs/>
          <w:sz w:val="24"/>
          <w:szCs w:val="24"/>
        </w:rPr>
        <w:t>2.1竞争性磋商文件的组成</w:t>
      </w:r>
      <w:bookmarkEnd w:id="138"/>
      <w:bookmarkEnd w:id="139"/>
      <w:bookmarkEnd w:id="140"/>
    </w:p>
    <w:p w14:paraId="015884C2">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本竞争性磋商文件包括：</w:t>
      </w:r>
    </w:p>
    <w:p w14:paraId="12A896B1">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第一章  竞争性磋商公告；</w:t>
      </w:r>
    </w:p>
    <w:p w14:paraId="2CC271AA">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第二章  供应商须知；</w:t>
      </w:r>
    </w:p>
    <w:p w14:paraId="5CA27FCF">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第三章  评分办法；</w:t>
      </w:r>
    </w:p>
    <w:p w14:paraId="2A5C2E70">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第四章  </w:t>
      </w:r>
      <w:r>
        <w:rPr>
          <w:rFonts w:hint="eastAsia" w:ascii="宋体" w:hAnsi="宋体" w:eastAsia="宋体" w:cs="宋体"/>
          <w:sz w:val="24"/>
          <w:szCs w:val="24"/>
          <w:lang w:eastAsia="zh-CN"/>
        </w:rPr>
        <w:t>技术部分</w:t>
      </w:r>
      <w:r>
        <w:rPr>
          <w:rFonts w:hint="eastAsia" w:ascii="宋体" w:hAnsi="宋体" w:eastAsia="宋体" w:cs="宋体"/>
          <w:sz w:val="24"/>
          <w:szCs w:val="24"/>
        </w:rPr>
        <w:t>准和要求；</w:t>
      </w:r>
    </w:p>
    <w:p w14:paraId="32B5D111">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第五章  合同条款及格式；</w:t>
      </w:r>
    </w:p>
    <w:p w14:paraId="6A14D2BF">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第六章  磋商响应文件格式；</w:t>
      </w:r>
    </w:p>
    <w:p w14:paraId="7E678C89">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根据本章第1.10 款、第2.2 款和第2.3 款对竞争性磋商文件所作的澄清、修改，构成竞争性磋商文件的组成部分。</w:t>
      </w:r>
    </w:p>
    <w:p w14:paraId="3A7A465B">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bookmarkStart w:id="141" w:name="_Toc391284749"/>
      <w:bookmarkStart w:id="142" w:name="_Toc438797952"/>
      <w:bookmarkStart w:id="143" w:name="_Toc438797187"/>
      <w:r>
        <w:rPr>
          <w:rFonts w:hint="eastAsia" w:ascii="宋体" w:hAnsi="宋体" w:eastAsia="宋体" w:cs="宋体"/>
          <w:b/>
          <w:bCs/>
          <w:sz w:val="24"/>
          <w:szCs w:val="24"/>
        </w:rPr>
        <w:t>2.2竞争性磋商文件的澄清</w:t>
      </w:r>
      <w:bookmarkEnd w:id="141"/>
      <w:bookmarkEnd w:id="142"/>
      <w:bookmarkEnd w:id="143"/>
    </w:p>
    <w:p w14:paraId="7F90D151">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2.2.1供应商应仔细阅读和检查竞争性磋商文件的全部内容。如发现缺页或附件不全，应及时向采购人提出，以便补齐。如有疑问，应在提交磋商响应文件截止时间五日前在电子交易系统中提出，要求采购人对竞争性磋商文件予以澄清，否则，将视为对本竞争性磋商文件要求无任何异议。</w:t>
      </w:r>
    </w:p>
    <w:p w14:paraId="7BC92CE0">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2.2.2竞争性磋商文件的澄清将在供应商须知前附表规定的时间在电子交易系统中以澄清公告的形式告知所有潜在供应商，但不指明澄清问题的来源。</w:t>
      </w:r>
    </w:p>
    <w:p w14:paraId="7C857DB3">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bookmarkStart w:id="144" w:name="_Toc438797188"/>
      <w:bookmarkStart w:id="145" w:name="_Toc438797953"/>
      <w:bookmarkStart w:id="146" w:name="_Toc391284750"/>
      <w:r>
        <w:rPr>
          <w:rFonts w:hint="eastAsia" w:ascii="宋体" w:hAnsi="宋体" w:eastAsia="宋体" w:cs="宋体"/>
          <w:b/>
          <w:bCs/>
          <w:sz w:val="24"/>
          <w:szCs w:val="24"/>
        </w:rPr>
        <w:t>2.3竞争性磋商文件的修改</w:t>
      </w:r>
      <w:bookmarkEnd w:id="144"/>
      <w:bookmarkEnd w:id="145"/>
      <w:bookmarkEnd w:id="146"/>
    </w:p>
    <w:p w14:paraId="78944CEF">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2.3.1在竞标截止时间5天前，采购人可以在电子交易系统中修改竞争性磋商文件，并以公告的形式告知所有潜在供应商。如果修改竞争性磋商文件的时间距竞标截止时间不足5天，相应延长竞标截止时间。</w:t>
      </w:r>
    </w:p>
    <w:p w14:paraId="7B037898">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2.3.2采购人一旦对竞争性磋商文件作出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14:paraId="4C2F23F6">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2.3.4修改（更正）或补充文件将作为竞争性磋商文件的组成部分，对所有供应商具有约束力。当竞争性磋商文件与修改（更正）或补充文件相矛盾时，以最后发出的修改（更正）或补充文件为准。</w:t>
      </w:r>
    </w:p>
    <w:p w14:paraId="0B375EF2">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2.4磋商报价</w:t>
      </w:r>
      <w:bookmarkEnd w:id="131"/>
      <w:bookmarkEnd w:id="132"/>
      <w:bookmarkEnd w:id="133"/>
      <w:bookmarkEnd w:id="134"/>
      <w:bookmarkEnd w:id="135"/>
      <w:bookmarkEnd w:id="136"/>
      <w:bookmarkEnd w:id="137"/>
    </w:p>
    <w:p w14:paraId="36FBCCDF">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bookmarkStart w:id="147" w:name="_Toc380394485"/>
      <w:bookmarkStart w:id="148" w:name="_Toc373158159"/>
      <w:bookmarkStart w:id="149" w:name="_Toc269470314"/>
      <w:bookmarkStart w:id="150" w:name="_Toc425761648"/>
      <w:bookmarkStart w:id="151" w:name="_Toc399229080"/>
      <w:bookmarkStart w:id="152" w:name="_Toc466284472"/>
      <w:bookmarkStart w:id="153" w:name="_Toc380394486"/>
      <w:r>
        <w:rPr>
          <w:rFonts w:hint="eastAsia" w:ascii="宋体" w:hAnsi="宋体" w:eastAsia="宋体" w:cs="宋体"/>
          <w:sz w:val="24"/>
          <w:szCs w:val="24"/>
        </w:rPr>
        <w:t>本项目磋商报价根据市场环境和生产要素价格变化情况及企业自身情况自主报价，但总价不得低于本项目实际成本。</w:t>
      </w:r>
    </w:p>
    <w:p w14:paraId="45E06967">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报价编制依据参本工程招标控制价编制依据。</w:t>
      </w:r>
    </w:p>
    <w:bookmarkEnd w:id="147"/>
    <w:bookmarkEnd w:id="148"/>
    <w:bookmarkEnd w:id="149"/>
    <w:bookmarkEnd w:id="150"/>
    <w:bookmarkEnd w:id="151"/>
    <w:p w14:paraId="68D8319B">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2.5磋商有效期</w:t>
      </w:r>
      <w:bookmarkEnd w:id="152"/>
      <w:bookmarkEnd w:id="153"/>
    </w:p>
    <w:p w14:paraId="183A57BE">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在供应商须知前附表规定的磋商有效期内，供应商不得要求撤销或修改其磋商响应文件。</w:t>
      </w:r>
    </w:p>
    <w:p w14:paraId="3D87A811">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bookmarkStart w:id="154" w:name="_Toc270604596"/>
      <w:bookmarkStart w:id="155" w:name="_Toc380394487"/>
      <w:bookmarkStart w:id="156" w:name="_Toc270604823"/>
      <w:bookmarkStart w:id="157" w:name="_Toc277149385"/>
      <w:bookmarkStart w:id="158" w:name="_Toc269470318"/>
      <w:bookmarkStart w:id="159" w:name="_Toc466284473"/>
      <w:bookmarkStart w:id="160" w:name="_Toc278155348"/>
      <w:r>
        <w:rPr>
          <w:rFonts w:hint="eastAsia" w:ascii="宋体" w:hAnsi="宋体" w:eastAsia="宋体" w:cs="宋体"/>
          <w:b/>
          <w:bCs/>
          <w:sz w:val="24"/>
          <w:szCs w:val="24"/>
        </w:rPr>
        <w:t>2.6磋商响应文件的编制</w:t>
      </w:r>
      <w:bookmarkEnd w:id="154"/>
      <w:bookmarkEnd w:id="155"/>
      <w:bookmarkEnd w:id="156"/>
      <w:bookmarkEnd w:id="157"/>
      <w:bookmarkEnd w:id="158"/>
      <w:bookmarkEnd w:id="159"/>
      <w:bookmarkEnd w:id="160"/>
      <w:r>
        <w:rPr>
          <w:rFonts w:hint="eastAsia" w:ascii="宋体" w:hAnsi="宋体" w:eastAsia="宋体" w:cs="宋体"/>
          <w:b/>
          <w:bCs/>
          <w:sz w:val="24"/>
          <w:szCs w:val="24"/>
        </w:rPr>
        <w:t>和签署</w:t>
      </w:r>
    </w:p>
    <w:p w14:paraId="0AD7A21A">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2.6.1磋商响应文件应按第六章“磋商响应文件格式”进行编写，如有必要，可以增加附页，作为磋商响应文件的组成部分。</w:t>
      </w:r>
    </w:p>
    <w:p w14:paraId="4536DC33">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2.6.2磋商响应文件应当对竞争性磋商文件有关工期、磋商有效期、质量要求、</w:t>
      </w:r>
      <w:r>
        <w:rPr>
          <w:rFonts w:hint="eastAsia" w:ascii="宋体" w:hAnsi="宋体" w:eastAsia="宋体" w:cs="宋体"/>
          <w:sz w:val="24"/>
          <w:szCs w:val="24"/>
          <w:lang w:eastAsia="zh-CN"/>
        </w:rPr>
        <w:t>技术部分</w:t>
      </w:r>
      <w:r>
        <w:rPr>
          <w:rFonts w:hint="eastAsia" w:ascii="宋体" w:hAnsi="宋体" w:eastAsia="宋体" w:cs="宋体"/>
          <w:sz w:val="24"/>
          <w:szCs w:val="24"/>
        </w:rPr>
        <w:t>准和要求、采购范围等实质性内容作出响应。其中，磋商函附录在满足竞争性磋商文件实质性要求的基础上，可以提出比竞争性磋商文件要求更有利于采购人的承诺。</w:t>
      </w:r>
    </w:p>
    <w:p w14:paraId="0DA1C9E6">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2.6.3供应商在生成电子化磋商响应文件后，必须对电子化磋商响应文件进行电子签章，未进行签章的视为无效文件。</w:t>
      </w:r>
    </w:p>
    <w:p w14:paraId="3AD5D780">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2.6.4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认真查看。</w:t>
      </w:r>
    </w:p>
    <w:p w14:paraId="1625041A">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电子化响应文件制作软件请点击</w:t>
      </w:r>
    </w:p>
    <w:p w14:paraId="7A6428BB">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https</w:t>
      </w:r>
      <w:r>
        <w:rPr>
          <w:rFonts w:hint="eastAsia" w:ascii="宋体" w:hAnsi="宋体" w:eastAsia="宋体" w:cs="宋体"/>
          <w:sz w:val="24"/>
          <w:szCs w:val="24"/>
          <w:lang w:val="en-US" w:eastAsia="zh-CN"/>
        </w:rPr>
        <w:t>:</w:t>
      </w:r>
      <w:r>
        <w:rPr>
          <w:rFonts w:hint="eastAsia" w:ascii="宋体" w:hAnsi="宋体" w:eastAsia="宋体" w:cs="宋体"/>
          <w:sz w:val="24"/>
          <w:szCs w:val="24"/>
        </w:rPr>
        <w:t>//download.bqpoint.com/download/downloaddetail.html?SourceFrom=Ztb&amp;ZtbSoftXiaQuCode=1506&amp;ZtbSoftType=tballinclusive进行下载。</w:t>
      </w:r>
    </w:p>
    <w:p w14:paraId="2849F726">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2.7电子化磋商响应文件的格式</w:t>
      </w:r>
    </w:p>
    <w:p w14:paraId="4BCDAE87">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bookmarkStart w:id="161" w:name="_Toc503885615"/>
      <w:bookmarkStart w:id="162" w:name="_Toc503112358"/>
      <w:bookmarkStart w:id="163" w:name="_Toc503886951"/>
      <w:bookmarkStart w:id="164" w:name="_Toc428276593"/>
      <w:r>
        <w:rPr>
          <w:rFonts w:hint="eastAsia" w:ascii="宋体" w:hAnsi="宋体" w:eastAsia="宋体" w:cs="宋体"/>
          <w:sz w:val="24"/>
          <w:szCs w:val="24"/>
        </w:rPr>
        <w:t>2.7.1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415C668A">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注：供应商投报多个标段的，每个标段需要单独制作电子响应文件。</w:t>
      </w:r>
    </w:p>
    <w:p w14:paraId="13A96652">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2.8电子化磋商响应文件的上传</w:t>
      </w:r>
    </w:p>
    <w:p w14:paraId="32A0B163">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2.8.1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2883F254">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2.8.2按照电子化投标操作教材制作完成的电子化磋商响应文件无法上传的，供应商应在磋商响应文件递交截止时间前尽早的联系中心技术人员，以便有充分的时间进行处理。</w:t>
      </w:r>
    </w:p>
    <w:p w14:paraId="597601D3">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技术联系电话：0398-3117871；主体库咨询电话</w:t>
      </w:r>
      <w:r>
        <w:rPr>
          <w:rFonts w:hint="eastAsia" w:ascii="宋体" w:hAnsi="宋体" w:eastAsia="宋体" w:cs="宋体"/>
          <w:sz w:val="24"/>
          <w:szCs w:val="24"/>
          <w:lang w:eastAsia="zh-CN"/>
        </w:rPr>
        <w:t>：</w:t>
      </w:r>
      <w:r>
        <w:rPr>
          <w:rFonts w:hint="eastAsia" w:ascii="宋体" w:hAnsi="宋体" w:eastAsia="宋体" w:cs="宋体"/>
          <w:sz w:val="24"/>
          <w:szCs w:val="24"/>
        </w:rPr>
        <w:t>0398-3117815；CA证书制发</w:t>
      </w:r>
      <w:r>
        <w:rPr>
          <w:rFonts w:hint="eastAsia" w:ascii="宋体" w:hAnsi="宋体" w:eastAsia="宋体" w:cs="宋体"/>
          <w:sz w:val="24"/>
          <w:szCs w:val="24"/>
          <w:lang w:eastAsia="zh-CN"/>
        </w:rPr>
        <w:t>：</w:t>
      </w:r>
      <w:r>
        <w:rPr>
          <w:rFonts w:hint="eastAsia" w:ascii="宋体" w:hAnsi="宋体" w:eastAsia="宋体" w:cs="宋体"/>
          <w:sz w:val="24"/>
          <w:szCs w:val="24"/>
        </w:rPr>
        <w:t>0398-2181635；科技信息科</w:t>
      </w:r>
      <w:r>
        <w:rPr>
          <w:rFonts w:hint="eastAsia" w:ascii="宋体" w:hAnsi="宋体" w:eastAsia="宋体" w:cs="宋体"/>
          <w:sz w:val="24"/>
          <w:szCs w:val="24"/>
          <w:lang w:eastAsia="zh-CN"/>
        </w:rPr>
        <w:t>：</w:t>
      </w:r>
      <w:r>
        <w:rPr>
          <w:rFonts w:hint="eastAsia" w:ascii="宋体" w:hAnsi="宋体" w:eastAsia="宋体" w:cs="宋体"/>
          <w:sz w:val="24"/>
          <w:szCs w:val="24"/>
        </w:rPr>
        <w:t>0398-3117095。</w:t>
      </w:r>
    </w:p>
    <w:p w14:paraId="3F0E3B89">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供应商应充分考虑到处理技术问题和上传数据等工作所需的时间问题，未在磋商响应文件递交截止时间前成功上传的磋商响应文件，不予接收。</w:t>
      </w:r>
    </w:p>
    <w:p w14:paraId="208E7D11">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2.9磋商响应文件的修改或撤回</w:t>
      </w:r>
    </w:p>
    <w:bookmarkEnd w:id="161"/>
    <w:bookmarkEnd w:id="162"/>
    <w:bookmarkEnd w:id="163"/>
    <w:bookmarkEnd w:id="164"/>
    <w:p w14:paraId="5ECEF36D">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2.9.1在</w:t>
      </w:r>
      <w:r>
        <w:rPr>
          <w:rFonts w:hint="eastAsia" w:ascii="宋体" w:hAnsi="宋体" w:eastAsia="宋体" w:cs="宋体"/>
          <w:sz w:val="24"/>
          <w:szCs w:val="24"/>
          <w:lang w:eastAsia="zh-CN"/>
        </w:rPr>
        <w:t>供应商须知前附表</w:t>
      </w:r>
      <w:r>
        <w:rPr>
          <w:rFonts w:hint="eastAsia" w:ascii="宋体" w:hAnsi="宋体" w:eastAsia="宋体" w:cs="宋体"/>
          <w:sz w:val="24"/>
          <w:szCs w:val="24"/>
        </w:rPr>
        <w:t>规定的磋商响应文件递交截止时间前，供应商可以修改或撤回已递交的磋商响应文件。</w:t>
      </w:r>
    </w:p>
    <w:p w14:paraId="7E1200C0">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bookmarkStart w:id="165" w:name="_Toc270604601"/>
      <w:bookmarkStart w:id="166" w:name="_Toc380394492"/>
      <w:bookmarkStart w:id="167" w:name="_Toc466284478"/>
      <w:r>
        <w:rPr>
          <w:rFonts w:hint="eastAsia" w:ascii="宋体" w:hAnsi="宋体" w:eastAsia="宋体" w:cs="宋体"/>
          <w:b/>
          <w:bCs/>
          <w:sz w:val="24"/>
          <w:szCs w:val="24"/>
        </w:rPr>
        <w:t>2.10电子化项目开标、解密、唱标</w:t>
      </w:r>
    </w:p>
    <w:p w14:paraId="44BEC451">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2.10.1本项目为不见面开标项目，开标当日供应商不得到开标现场参加开标会议。供应商应当在响应文件提交截止时间前，登陆不见面开标大厅</w:t>
      </w:r>
      <w:r>
        <w:rPr>
          <w:rFonts w:hint="eastAsia" w:ascii="宋体" w:hAnsi="宋体" w:eastAsia="宋体" w:cs="宋体"/>
          <w:kern w:val="2"/>
          <w:sz w:val="24"/>
          <w:szCs w:val="24"/>
          <w:highlight w:val="none"/>
          <w:lang w:val="en-US" w:eastAsia="zh-CN" w:bidi="ar"/>
        </w:rPr>
        <w:t>（网址为http://120.194.249.36:10094/BidOpening/bidopeninghallaction/hall/login）</w:t>
      </w:r>
      <w:r>
        <w:rPr>
          <w:rFonts w:hint="eastAsia" w:ascii="宋体" w:hAnsi="宋体" w:eastAsia="宋体" w:cs="宋体"/>
          <w:sz w:val="24"/>
          <w:szCs w:val="24"/>
        </w:rPr>
        <w:t>，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2282ACEF">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2.10.2电子化磋商响应文件解密异常的处理</w:t>
      </w:r>
    </w:p>
    <w:p w14:paraId="703A0291">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如出现供应商的电子磋商响应文件无法解密等异常情况，供应商应及时致电代理机构说明。磋商响应文件异常，按以下步骤进行处理：</w:t>
      </w:r>
    </w:p>
    <w:p w14:paraId="0422A7CE">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（1）首先由技术人员进行问题排查。</w:t>
      </w:r>
    </w:p>
    <w:p w14:paraId="651266E3">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5BB320CB">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2.10.3待所有供应商磋商响应文件解密完成后，由代理机构操作，对所有已解密磋商响应文件进行电子唱标。</w:t>
      </w:r>
    </w:p>
    <w:p w14:paraId="58E77404">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供应商应保证在开标期间电话、电脑、网络能够正常工作，供应商因停电、电脑病毒、网络堵塞等原因，未在规定的解密时间内对磋商响应文件进行解密的，其磋商响应文件不予接收、唱标。</w:t>
      </w:r>
    </w:p>
    <w:p w14:paraId="3C0C7090">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2.10.4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bookmarkEnd w:id="165"/>
    <w:bookmarkEnd w:id="166"/>
    <w:bookmarkEnd w:id="167"/>
    <w:p w14:paraId="1C44ACDF">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bookmarkStart w:id="168" w:name="_Toc21850"/>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开标时间和地点</w:t>
      </w:r>
      <w:bookmarkEnd w:id="168"/>
    </w:p>
    <w:p w14:paraId="47F68DE6">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采购人在</w:t>
      </w:r>
      <w:r>
        <w:rPr>
          <w:rFonts w:hint="eastAsia" w:ascii="宋体" w:hAnsi="宋体" w:eastAsia="宋体" w:cs="宋体"/>
          <w:sz w:val="24"/>
          <w:szCs w:val="24"/>
          <w:lang w:eastAsia="zh-CN"/>
        </w:rPr>
        <w:t>供应商须知前附表</w:t>
      </w:r>
      <w:r>
        <w:rPr>
          <w:rFonts w:hint="eastAsia" w:ascii="宋体" w:hAnsi="宋体" w:eastAsia="宋体" w:cs="宋体"/>
          <w:sz w:val="24"/>
          <w:szCs w:val="24"/>
        </w:rPr>
        <w:t>规定的开标时间和开标地点举行开标会议。</w:t>
      </w:r>
    </w:p>
    <w:p w14:paraId="640256E7">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bookmarkStart w:id="169" w:name="_Toc17432"/>
      <w:r>
        <w:rPr>
          <w:rFonts w:hint="eastAsia" w:ascii="宋体" w:hAnsi="宋体" w:eastAsia="宋体" w:cs="宋体"/>
          <w:b/>
          <w:bCs/>
          <w:sz w:val="24"/>
          <w:szCs w:val="24"/>
          <w:lang w:val="en-US" w:eastAsia="zh-CN"/>
        </w:rPr>
        <w:t>4.</w:t>
      </w:r>
      <w:r>
        <w:rPr>
          <w:rFonts w:hint="eastAsia" w:ascii="宋体" w:hAnsi="宋体" w:eastAsia="宋体" w:cs="宋体"/>
          <w:b/>
          <w:bCs/>
          <w:sz w:val="24"/>
          <w:szCs w:val="24"/>
        </w:rPr>
        <w:t>磋商小组的组建</w:t>
      </w:r>
      <w:bookmarkEnd w:id="169"/>
    </w:p>
    <w:p w14:paraId="1524301E">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本项目磋商由采购人依法组建的磋商小组负责。磋商小组共3人组成，其中采购人代表1人；在相关评标专家库中随机抽取</w:t>
      </w:r>
      <w:r>
        <w:rPr>
          <w:rFonts w:hint="eastAsia" w:ascii="宋体" w:hAnsi="宋体" w:eastAsia="宋体" w:cs="宋体"/>
          <w:sz w:val="24"/>
          <w:szCs w:val="24"/>
          <w:lang w:eastAsia="zh-CN"/>
        </w:rPr>
        <w:t>相关</w:t>
      </w:r>
      <w:r>
        <w:rPr>
          <w:rFonts w:hint="eastAsia" w:ascii="宋体" w:hAnsi="宋体" w:eastAsia="宋体" w:cs="宋体"/>
          <w:sz w:val="24"/>
          <w:szCs w:val="24"/>
        </w:rPr>
        <w:t>方面专家2人。</w:t>
      </w:r>
    </w:p>
    <w:p w14:paraId="34ADF333">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磋商专家由采购人代表于项目开标后，在相关监督部门的现场监督下，从相应评标专家库中随机抽取。</w:t>
      </w:r>
    </w:p>
    <w:p w14:paraId="58D201F0">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磋商小组成员有下列情形之一的，应当回避：</w:t>
      </w:r>
    </w:p>
    <w:p w14:paraId="4CB2AEDB">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(1)采购人或供应商的主要负责人的近亲属；</w:t>
      </w:r>
    </w:p>
    <w:p w14:paraId="7AEA48B8">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(2)项目主管部门或者行政监督部门的人员：</w:t>
      </w:r>
    </w:p>
    <w:p w14:paraId="4CC7DC81">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(3)与供应商有经济利益关系，可能影响对竞标公正评审的；</w:t>
      </w:r>
    </w:p>
    <w:p w14:paraId="5CBBD349">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(4)曾因在招标、评标以及其他与招投标有关活动中从事违法行为而受过行政处罚或刑事处罚的。</w:t>
      </w:r>
    </w:p>
    <w:p w14:paraId="74B7C3BA">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bookmarkStart w:id="170" w:name="_Toc6345"/>
      <w:r>
        <w:rPr>
          <w:rFonts w:hint="eastAsia" w:ascii="宋体" w:hAnsi="宋体" w:eastAsia="宋体" w:cs="宋体"/>
          <w:b/>
          <w:bCs/>
          <w:sz w:val="24"/>
          <w:szCs w:val="24"/>
          <w:lang w:val="en-US" w:eastAsia="zh-CN"/>
        </w:rPr>
        <w:t>5.</w:t>
      </w:r>
      <w:r>
        <w:rPr>
          <w:rFonts w:hint="eastAsia" w:ascii="宋体" w:hAnsi="宋体" w:eastAsia="宋体" w:cs="宋体"/>
          <w:b/>
          <w:bCs/>
          <w:sz w:val="24"/>
          <w:szCs w:val="24"/>
        </w:rPr>
        <w:t>竞争性磋商</w:t>
      </w:r>
      <w:bookmarkEnd w:id="170"/>
    </w:p>
    <w:p w14:paraId="1384E8C2">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bookmarkStart w:id="171" w:name="_Toc269470330"/>
      <w:r>
        <w:rPr>
          <w:rFonts w:hint="eastAsia" w:ascii="宋体" w:hAnsi="宋体" w:eastAsia="宋体" w:cs="宋体"/>
          <w:b/>
          <w:bCs/>
          <w:sz w:val="24"/>
          <w:szCs w:val="24"/>
        </w:rPr>
        <w:t>5.1磋商程序及原则</w:t>
      </w:r>
    </w:p>
    <w:p w14:paraId="6423DF1A">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5.1.1磋商时，磋商小组按顺序依次与供应商通过交易系统的磋商大厅进行磋商。</w:t>
      </w:r>
    </w:p>
    <w:p w14:paraId="2473EAE1">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5.1.2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66C48170">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5.1.3磋商小组对需要答复的供应商连续三次致电未接通的，视为供应商放弃答复，磋商小组将自行对该质疑内容进行认定。</w:t>
      </w:r>
    </w:p>
    <w:p w14:paraId="05CD4F07">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5.1.4本次竞争性磋商，采用初步评审后的多轮磋商最后报价制。</w:t>
      </w:r>
    </w:p>
    <w:p w14:paraId="516B4368">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5.2初步评审</w:t>
      </w:r>
    </w:p>
    <w:p w14:paraId="642B9376">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5.2.1在初步评审阶段，磋商小组将审查以下各项是否响应磋商文件要求，不符合磋商文件要求的响应文件将不得进入磋商阶段，其响应文件按废标处理：</w:t>
      </w:r>
    </w:p>
    <w:p w14:paraId="706FD064">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供应商资格审查不合格的（本项目实行资格后审，各供应商在磋商响应文件“供应商的资格证明文件”中提供的所有证件、证明作为供应商资格审查的依据，供应商对其真实性负责。提供不全或不符合磋商文件要求的，视为资格审查不合格，其磋商响应文件作废）。</w:t>
      </w:r>
    </w:p>
    <w:p w14:paraId="2050FFDB">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（2）磋商响应文件未按磋商文件要求签字、盖章的；</w:t>
      </w:r>
    </w:p>
    <w:p w14:paraId="291C0BEB">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（3）磋商响应文件没有实质性响应本项目磋商文件要求的；</w:t>
      </w:r>
    </w:p>
    <w:p w14:paraId="7A7E888C">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（4）磋商响应文件中有采购人不能接受的其它条件的；</w:t>
      </w:r>
    </w:p>
    <w:p w14:paraId="296BB7C8">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（5）法律、法规规定为废标的其他情形；</w:t>
      </w:r>
    </w:p>
    <w:p w14:paraId="1F9B530D">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5.2.2在初步评审阶段,磋商小组还需对供应商的磋商报价进行审核。修正原则如下</w:t>
      </w:r>
      <w:r>
        <w:rPr>
          <w:rFonts w:hint="eastAsia" w:ascii="宋体" w:hAnsi="宋体" w:eastAsia="宋体" w:cs="宋体"/>
          <w:sz w:val="24"/>
          <w:szCs w:val="24"/>
          <w:lang w:eastAsia="zh-CN"/>
        </w:rPr>
        <w:t>：</w:t>
      </w:r>
      <w:r>
        <w:rPr>
          <w:rFonts w:hint="eastAsia" w:ascii="宋体" w:hAnsi="宋体" w:eastAsia="宋体" w:cs="宋体"/>
          <w:sz w:val="24"/>
          <w:szCs w:val="24"/>
        </w:rPr>
        <w:t>如果大写表示的金额和小写表示的金额不一致时，以大写表示的金额为准。</w:t>
      </w:r>
    </w:p>
    <w:p w14:paraId="7272FF32">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bookmarkStart w:id="172" w:name="_Toc109537522"/>
      <w:bookmarkStart w:id="173" w:name="_Toc90713357"/>
      <w:bookmarkStart w:id="174" w:name="_Toc90712538"/>
      <w:bookmarkStart w:id="175" w:name="_Toc109550798"/>
      <w:r>
        <w:rPr>
          <w:rFonts w:hint="eastAsia" w:ascii="宋体" w:hAnsi="宋体" w:eastAsia="宋体" w:cs="宋体"/>
          <w:b/>
          <w:bCs/>
          <w:sz w:val="24"/>
          <w:szCs w:val="24"/>
        </w:rPr>
        <w:t>5.3详细磋商</w:t>
      </w:r>
    </w:p>
    <w:bookmarkEnd w:id="171"/>
    <w:bookmarkEnd w:id="172"/>
    <w:bookmarkEnd w:id="173"/>
    <w:bookmarkEnd w:id="174"/>
    <w:bookmarkEnd w:id="175"/>
    <w:p w14:paraId="1E8D21C2">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磋商小组通过电子交易系统按顺序与通过初步评审的供应商逐家进行磋商。磋商中，磋商双方可以就本项目所涉及的价格、技术、优惠服务承诺等进行实质性磋商，但磋商的任何一方不得透露与磋商有关的其他供应商的技术资料、价格和其他信息。</w:t>
      </w:r>
    </w:p>
    <w:p w14:paraId="4E10B519">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供应商应派熟悉本项目采购业务的代表参加磋商。参加磋商的代表应对磋商小组提出的涉及本项目采购相关的问题进行答复，如不能答复或答复不完善的，经磋商小组确认，取消该供应商的最后报价资格；</w:t>
      </w:r>
    </w:p>
    <w:p w14:paraId="61EE5D20">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磋商小组将允许供应商修改其磋商响应文件中不构成重大偏离的微小的、非正规的、不一致的或不规则的地方，但这些修改不能影响任何供应商的名次相应排列。</w:t>
      </w:r>
    </w:p>
    <w:p w14:paraId="7CCDFB91">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bookmarkStart w:id="176" w:name="_Toc194667286"/>
      <w:bookmarkStart w:id="177" w:name="_Toc270604832"/>
      <w:bookmarkStart w:id="178" w:name="_Toc270604605"/>
      <w:r>
        <w:rPr>
          <w:rFonts w:hint="eastAsia" w:ascii="宋体" w:hAnsi="宋体" w:eastAsia="宋体" w:cs="宋体"/>
          <w:b/>
          <w:bCs/>
          <w:sz w:val="24"/>
          <w:szCs w:val="24"/>
        </w:rPr>
        <w:t>5.4磋商响应文件的澄清</w:t>
      </w:r>
      <w:bookmarkEnd w:id="176"/>
      <w:bookmarkEnd w:id="177"/>
      <w:bookmarkEnd w:id="178"/>
    </w:p>
    <w:p w14:paraId="3C488112">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为有助于对磋商响应文件的审查、评价和比较，磋商小组可分别要求供应商对磋商响应文件中含义不清的内容进行澄清。有关澄清、说明或者更正不得超出响应文件的范围或者改变响应文件的实质性内容。</w:t>
      </w:r>
    </w:p>
    <w:p w14:paraId="73B7EDA3">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5.5磋商报价</w:t>
      </w:r>
    </w:p>
    <w:p w14:paraId="3CC09701">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作出实质性变动的情况下，供应商提交的最后报价不得高于其前一次报价。</w:t>
      </w:r>
    </w:p>
    <w:p w14:paraId="44F990F2">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最后报价是供应商响应文件的有效组成部分，未按要求进行最后报价的，其响应文件将被否决。</w:t>
      </w:r>
    </w:p>
    <w:p w14:paraId="25AF8C69">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经磋商确定最终采购需求和提交最后报价后，由磋商小组采用综合评分法对提交最后报价的供应商的响应文件和最后报价进行综合评分。</w:t>
      </w:r>
    </w:p>
    <w:p w14:paraId="7A911E4B">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评审活动遵循公平、公正、科学和择优的原则进行。磋商文件及其评分办法没有规定的方法、评审因素、标准和程序，不得作为评标依据。</w:t>
      </w:r>
    </w:p>
    <w:p w14:paraId="0FB97157">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bookmarkStart w:id="179" w:name="_Toc277149394"/>
      <w:bookmarkStart w:id="180" w:name="_Toc278155357"/>
      <w:bookmarkStart w:id="181" w:name="_Toc13642"/>
      <w:bookmarkStart w:id="182" w:name="_Toc6574"/>
      <w:bookmarkStart w:id="183" w:name="_Toc466284482"/>
      <w:bookmarkStart w:id="184" w:name="_Toc270604606"/>
      <w:bookmarkStart w:id="185" w:name="_Toc194667287"/>
      <w:bookmarkStart w:id="186" w:name="_Toc380394496"/>
      <w:bookmarkStart w:id="187" w:name="_Toc270604833"/>
      <w:bookmarkStart w:id="188" w:name="_Toc1215"/>
      <w:r>
        <w:rPr>
          <w:rFonts w:hint="eastAsia" w:ascii="宋体" w:hAnsi="宋体" w:eastAsia="宋体" w:cs="宋体"/>
          <w:b/>
          <w:bCs/>
          <w:sz w:val="24"/>
          <w:szCs w:val="24"/>
        </w:rPr>
        <w:t>5.6成交方法和原则</w:t>
      </w:r>
      <w:bookmarkEnd w:id="179"/>
      <w:bookmarkEnd w:id="180"/>
      <w:bookmarkEnd w:id="181"/>
      <w:bookmarkEnd w:id="182"/>
      <w:bookmarkEnd w:id="183"/>
      <w:bookmarkEnd w:id="184"/>
      <w:bookmarkEnd w:id="185"/>
      <w:bookmarkEnd w:id="186"/>
      <w:bookmarkEnd w:id="187"/>
      <w:bookmarkEnd w:id="188"/>
    </w:p>
    <w:p w14:paraId="3C3BF095">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磋商小组应当根据综合评分由高到低的顺序推荐3名成交候选供应商，出具磋商评审报告，并在报告上全体签字。</w:t>
      </w:r>
    </w:p>
    <w:p w14:paraId="110A797A">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最终得分相同的，按照最后报价由低到高的顺序推荐。最终得分和最后报价均相同的，按照技术指标优劣顺序或磋商小组举手表决，少数服从多数的原则推荐。</w:t>
      </w:r>
    </w:p>
    <w:p w14:paraId="492B3A77">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bookmarkStart w:id="189" w:name="_Toc22567"/>
      <w:r>
        <w:rPr>
          <w:rFonts w:hint="eastAsia" w:ascii="宋体" w:hAnsi="宋体" w:eastAsia="宋体" w:cs="宋体"/>
          <w:b/>
          <w:bCs/>
          <w:sz w:val="24"/>
          <w:szCs w:val="24"/>
          <w:lang w:val="en-US" w:eastAsia="zh-CN"/>
        </w:rPr>
        <w:t>6.</w:t>
      </w:r>
      <w:r>
        <w:rPr>
          <w:rFonts w:hint="eastAsia" w:ascii="宋体" w:hAnsi="宋体" w:eastAsia="宋体" w:cs="宋体"/>
          <w:b/>
          <w:bCs/>
          <w:sz w:val="24"/>
          <w:szCs w:val="24"/>
        </w:rPr>
        <w:t>定标</w:t>
      </w:r>
      <w:bookmarkEnd w:id="189"/>
    </w:p>
    <w:p w14:paraId="02841AD2">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采购人应当在收到评审报告后5个工作日内，从评审报告提出的成交候选供应商中，按照排序由高到低的原则确定成交供应商。采购人逾期未确定成交供应商且不提出异议的，视为确定排序第一的供应商为成交供应商。</w:t>
      </w:r>
    </w:p>
    <w:p w14:paraId="1E2633F9">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bookmarkStart w:id="190" w:name="_Toc466284483"/>
      <w:bookmarkStart w:id="191" w:name="_Toc4929"/>
      <w:bookmarkStart w:id="192" w:name="_Toc380394497"/>
      <w:bookmarkStart w:id="193" w:name="_Toc16682"/>
      <w:bookmarkStart w:id="194" w:name="_Toc270604607"/>
      <w:r>
        <w:rPr>
          <w:rFonts w:hint="eastAsia" w:ascii="宋体" w:hAnsi="宋体" w:eastAsia="宋体" w:cs="宋体"/>
          <w:b/>
          <w:bCs/>
          <w:sz w:val="24"/>
          <w:szCs w:val="24"/>
          <w:lang w:val="en-US" w:eastAsia="zh-CN"/>
        </w:rPr>
        <w:t>7.</w:t>
      </w:r>
      <w:r>
        <w:rPr>
          <w:rFonts w:hint="eastAsia" w:ascii="宋体" w:hAnsi="宋体" w:eastAsia="宋体" w:cs="宋体"/>
          <w:b/>
          <w:bCs/>
          <w:sz w:val="24"/>
          <w:szCs w:val="24"/>
        </w:rPr>
        <w:t>合同授予</w:t>
      </w:r>
      <w:bookmarkEnd w:id="190"/>
      <w:bookmarkEnd w:id="191"/>
      <w:bookmarkEnd w:id="192"/>
      <w:bookmarkEnd w:id="193"/>
      <w:bookmarkEnd w:id="194"/>
      <w:bookmarkStart w:id="195" w:name="_Toc1125"/>
      <w:bookmarkStart w:id="196" w:name="_Toc278155359"/>
      <w:bookmarkStart w:id="197" w:name="_Toc466284484"/>
      <w:bookmarkStart w:id="198" w:name="_Toc30341"/>
      <w:bookmarkStart w:id="199" w:name="_Toc277149396"/>
      <w:bookmarkStart w:id="200" w:name="_Toc270604608"/>
      <w:bookmarkStart w:id="201" w:name="_Toc12923"/>
      <w:bookmarkStart w:id="202" w:name="_Toc269470332"/>
      <w:bookmarkStart w:id="203" w:name="_Toc380394498"/>
      <w:bookmarkStart w:id="204" w:name="_Toc1750"/>
      <w:bookmarkStart w:id="205" w:name="_Toc270604835"/>
    </w:p>
    <w:p w14:paraId="5BE72356">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7.1成交通知</w:t>
      </w:r>
      <w:bookmarkEnd w:id="195"/>
      <w:bookmarkEnd w:id="196"/>
      <w:bookmarkEnd w:id="197"/>
      <w:bookmarkEnd w:id="198"/>
      <w:bookmarkEnd w:id="199"/>
      <w:bookmarkEnd w:id="200"/>
      <w:bookmarkEnd w:id="201"/>
      <w:bookmarkEnd w:id="202"/>
      <w:bookmarkEnd w:id="203"/>
      <w:bookmarkEnd w:id="204"/>
      <w:bookmarkEnd w:id="205"/>
    </w:p>
    <w:p w14:paraId="72DE7B00">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bookmarkStart w:id="206" w:name="_Toc269470333"/>
      <w:r>
        <w:rPr>
          <w:rFonts w:hint="eastAsia" w:ascii="宋体" w:hAnsi="宋体" w:eastAsia="宋体" w:cs="宋体"/>
          <w:sz w:val="24"/>
          <w:szCs w:val="24"/>
        </w:rPr>
        <w:t xml:space="preserve">在本章第3.3款规定的磋商有效期内，采购人以书面形式向成交供应商发出成交通知书。 </w:t>
      </w:r>
      <w:bookmarkEnd w:id="206"/>
      <w:bookmarkStart w:id="207" w:name="_Toc13418"/>
      <w:bookmarkStart w:id="208" w:name="_Toc25290"/>
      <w:bookmarkStart w:id="209" w:name="_Toc380394499"/>
      <w:bookmarkStart w:id="210" w:name="_Toc269470334"/>
      <w:bookmarkStart w:id="211" w:name="_Toc277149397"/>
      <w:bookmarkStart w:id="212" w:name="_Toc32369"/>
      <w:bookmarkStart w:id="213" w:name="_Toc466284485"/>
      <w:bookmarkStart w:id="214" w:name="_Toc270604836"/>
      <w:bookmarkStart w:id="215" w:name="_Toc270604609"/>
      <w:bookmarkStart w:id="216" w:name="_Toc278155360"/>
      <w:bookmarkStart w:id="217" w:name="_Toc2284"/>
    </w:p>
    <w:p w14:paraId="21E7D174">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7.2签订合同</w:t>
      </w:r>
      <w:bookmarkEnd w:id="207"/>
      <w:bookmarkEnd w:id="208"/>
      <w:bookmarkEnd w:id="209"/>
      <w:bookmarkEnd w:id="210"/>
      <w:bookmarkEnd w:id="211"/>
      <w:bookmarkEnd w:id="212"/>
      <w:bookmarkEnd w:id="213"/>
      <w:bookmarkEnd w:id="214"/>
      <w:bookmarkEnd w:id="215"/>
      <w:bookmarkEnd w:id="216"/>
      <w:bookmarkEnd w:id="217"/>
      <w:bookmarkStart w:id="218" w:name="_Toc269470335"/>
    </w:p>
    <w:p w14:paraId="37BA3C28">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7.2.1成交供应商的最后报价为成交价，成交价即为合同价。</w:t>
      </w:r>
    </w:p>
    <w:p w14:paraId="226C7E17">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7.2.2采购人和成交供应商应当自成交通知书发出之日起30天内，根据竞争性磋商文件、成交供应商的磋商响应文件及在磋商过程中对磋商响应文件作出的澄清、解释订立书面合同。成交供应商无正当理由拒签合同的，采购人取消其成交资格，并对由此给采购人造成的损失予以赔偿。</w:t>
      </w:r>
    </w:p>
    <w:p w14:paraId="2C38D691">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7.2.3采购人与成交供应商必须按国家、省、市相关规定签订合同。</w:t>
      </w:r>
    </w:p>
    <w:bookmarkEnd w:id="218"/>
    <w:p w14:paraId="541B4093">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bookmarkStart w:id="219" w:name="_Toc23592"/>
      <w:bookmarkStart w:id="220" w:name="_Toc11376"/>
      <w:bookmarkStart w:id="221" w:name="_Toc466284486"/>
      <w:bookmarkStart w:id="222" w:name="_Toc380394500"/>
      <w:bookmarkStart w:id="223" w:name="_Toc269470338"/>
      <w:bookmarkStart w:id="224" w:name="_Toc270604610"/>
      <w:r>
        <w:rPr>
          <w:rFonts w:hint="eastAsia" w:ascii="宋体" w:hAnsi="宋体" w:eastAsia="宋体" w:cs="宋体"/>
          <w:b/>
          <w:bCs/>
          <w:sz w:val="24"/>
          <w:szCs w:val="24"/>
          <w:lang w:val="en-US" w:eastAsia="zh-CN"/>
        </w:rPr>
        <w:t>8.</w:t>
      </w:r>
      <w:r>
        <w:rPr>
          <w:rFonts w:hint="eastAsia" w:ascii="宋体" w:hAnsi="宋体" w:eastAsia="宋体" w:cs="宋体"/>
          <w:b/>
          <w:bCs/>
          <w:sz w:val="24"/>
          <w:szCs w:val="24"/>
        </w:rPr>
        <w:t>纪律和监督</w:t>
      </w:r>
      <w:bookmarkEnd w:id="219"/>
      <w:bookmarkEnd w:id="220"/>
      <w:bookmarkEnd w:id="221"/>
      <w:bookmarkEnd w:id="222"/>
      <w:bookmarkEnd w:id="223"/>
      <w:bookmarkEnd w:id="224"/>
      <w:bookmarkStart w:id="225" w:name="_Toc16390"/>
      <w:bookmarkStart w:id="226" w:name="_Toc269470339"/>
      <w:bookmarkStart w:id="227" w:name="_Toc277149399"/>
      <w:bookmarkStart w:id="228" w:name="_Toc3777"/>
      <w:bookmarkStart w:id="229" w:name="_Toc20824"/>
      <w:bookmarkStart w:id="230" w:name="_Toc270604838"/>
      <w:bookmarkStart w:id="231" w:name="_Toc92"/>
      <w:bookmarkStart w:id="232" w:name="_Toc466284487"/>
      <w:bookmarkStart w:id="233" w:name="_Toc270604611"/>
      <w:bookmarkStart w:id="234" w:name="_Toc278155362"/>
      <w:bookmarkStart w:id="235" w:name="_Toc380394501"/>
    </w:p>
    <w:p w14:paraId="393BBDC3">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8.1对采购人的纪律要求</w:t>
      </w:r>
      <w:bookmarkEnd w:id="225"/>
      <w:bookmarkEnd w:id="226"/>
      <w:bookmarkEnd w:id="227"/>
      <w:bookmarkEnd w:id="228"/>
      <w:bookmarkEnd w:id="229"/>
      <w:bookmarkEnd w:id="230"/>
      <w:bookmarkEnd w:id="231"/>
      <w:bookmarkEnd w:id="232"/>
      <w:bookmarkEnd w:id="233"/>
      <w:bookmarkEnd w:id="234"/>
      <w:bookmarkEnd w:id="235"/>
    </w:p>
    <w:p w14:paraId="4884A244">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采购人不得泄漏竞争性磋商中应当保密的情况和资料，不得与供应商串通损害国家利益、社会公共利益或者他人合法权益。</w:t>
      </w:r>
      <w:bookmarkStart w:id="236" w:name="_Toc11732"/>
      <w:bookmarkStart w:id="237" w:name="_Toc270604839"/>
      <w:bookmarkStart w:id="238" w:name="_Toc380394502"/>
      <w:bookmarkStart w:id="239" w:name="_Toc277149400"/>
      <w:bookmarkStart w:id="240" w:name="_Toc5855"/>
      <w:bookmarkStart w:id="241" w:name="_Toc7499"/>
      <w:bookmarkStart w:id="242" w:name="_Toc8749"/>
      <w:bookmarkStart w:id="243" w:name="_Toc466284488"/>
      <w:bookmarkStart w:id="244" w:name="_Toc278155363"/>
      <w:bookmarkStart w:id="245" w:name="_Toc269470340"/>
      <w:bookmarkStart w:id="246" w:name="_Toc270604612"/>
    </w:p>
    <w:p w14:paraId="0AF11825">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8.2对供应商的纪律要求</w:t>
      </w:r>
      <w:bookmarkEnd w:id="236"/>
      <w:bookmarkEnd w:id="237"/>
      <w:bookmarkEnd w:id="238"/>
      <w:bookmarkEnd w:id="239"/>
      <w:bookmarkEnd w:id="240"/>
      <w:bookmarkEnd w:id="241"/>
      <w:bookmarkEnd w:id="242"/>
      <w:bookmarkEnd w:id="243"/>
      <w:bookmarkEnd w:id="244"/>
      <w:bookmarkEnd w:id="245"/>
      <w:bookmarkEnd w:id="246"/>
    </w:p>
    <w:p w14:paraId="1E4804A6">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供应商不得相互串通磋商或者与采购人串通磋商，不得向采购人或者磋商小组成员行贿谋取成交，不得以他人名义竞标或者以其他方式弄虚作假骗取成交；供应商不得以任何方式干扰、影响磋商工作。</w:t>
      </w:r>
    </w:p>
    <w:p w14:paraId="1B93744D">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bookmarkStart w:id="247" w:name="_Toc277149401"/>
      <w:bookmarkStart w:id="248" w:name="_Toc16836"/>
      <w:bookmarkStart w:id="249" w:name="_Toc278155364"/>
      <w:bookmarkStart w:id="250" w:name="_Toc11311"/>
      <w:bookmarkStart w:id="251" w:name="_Toc466284489"/>
      <w:bookmarkStart w:id="252" w:name="_Toc269470341"/>
      <w:bookmarkStart w:id="253" w:name="_Toc380394503"/>
      <w:bookmarkStart w:id="254" w:name="_Toc270604613"/>
      <w:bookmarkStart w:id="255" w:name="_Toc270604840"/>
      <w:bookmarkStart w:id="256" w:name="_Toc9495"/>
      <w:bookmarkStart w:id="257" w:name="_Toc15433"/>
      <w:r>
        <w:rPr>
          <w:rFonts w:hint="eastAsia" w:ascii="宋体" w:hAnsi="宋体" w:eastAsia="宋体" w:cs="宋体"/>
          <w:b/>
          <w:bCs/>
          <w:sz w:val="24"/>
          <w:szCs w:val="24"/>
        </w:rPr>
        <w:t>8.3对磋商小组成员的纪律要求</w:t>
      </w:r>
      <w:bookmarkEnd w:id="247"/>
      <w:bookmarkEnd w:id="248"/>
      <w:bookmarkEnd w:id="249"/>
      <w:bookmarkEnd w:id="250"/>
      <w:bookmarkEnd w:id="251"/>
      <w:bookmarkEnd w:id="252"/>
      <w:bookmarkEnd w:id="253"/>
      <w:bookmarkEnd w:id="254"/>
      <w:bookmarkEnd w:id="255"/>
      <w:bookmarkEnd w:id="256"/>
      <w:bookmarkEnd w:id="257"/>
    </w:p>
    <w:p w14:paraId="00E55803">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bookmarkStart w:id="258" w:name="_Toc270604614"/>
      <w:bookmarkStart w:id="259" w:name="_Toc22679"/>
      <w:bookmarkStart w:id="260" w:name="_Toc277149402"/>
      <w:bookmarkStart w:id="261" w:name="_Toc466284490"/>
      <w:bookmarkStart w:id="262" w:name="_Toc12167"/>
      <w:bookmarkStart w:id="263" w:name="_Toc380394504"/>
      <w:bookmarkStart w:id="264" w:name="_Toc14297"/>
      <w:bookmarkStart w:id="265" w:name="_Toc278155365"/>
      <w:bookmarkStart w:id="266" w:name="_Toc270604841"/>
      <w:bookmarkStart w:id="267" w:name="_Toc269470342"/>
      <w:bookmarkStart w:id="268" w:name="_Toc29118"/>
    </w:p>
    <w:p w14:paraId="37B5CC7B">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8.4对与磋商活动有关的工作人员的纪律要求</w:t>
      </w:r>
      <w:bookmarkEnd w:id="258"/>
      <w:bookmarkEnd w:id="259"/>
      <w:bookmarkEnd w:id="260"/>
      <w:bookmarkEnd w:id="261"/>
      <w:bookmarkEnd w:id="262"/>
      <w:bookmarkEnd w:id="263"/>
      <w:bookmarkEnd w:id="264"/>
      <w:bookmarkEnd w:id="265"/>
      <w:bookmarkEnd w:id="266"/>
      <w:bookmarkEnd w:id="267"/>
      <w:bookmarkEnd w:id="268"/>
    </w:p>
    <w:p w14:paraId="508AD4BA">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bookmarkStart w:id="269" w:name="_Toc269470343"/>
      <w:bookmarkStart w:id="270" w:name="_Toc270604615"/>
      <w:bookmarkStart w:id="271" w:name="_Toc466284491"/>
      <w:bookmarkStart w:id="272" w:name="_Toc13721"/>
      <w:bookmarkStart w:id="273" w:name="_Toc270604842"/>
      <w:bookmarkStart w:id="274" w:name="_Toc278155366"/>
      <w:bookmarkStart w:id="275" w:name="_Toc277149403"/>
      <w:bookmarkStart w:id="276" w:name="_Toc28497"/>
      <w:bookmarkStart w:id="277" w:name="_Toc14035"/>
      <w:bookmarkStart w:id="278" w:name="_Toc380394505"/>
      <w:bookmarkStart w:id="279" w:name="_Toc28616"/>
    </w:p>
    <w:p w14:paraId="0D1A8E71">
      <w:pPr>
        <w:keepNext w:val="0"/>
        <w:keepLines w:val="0"/>
        <w:pageBreakBefore w:val="0"/>
        <w:tabs>
          <w:tab w:val="left" w:pos="540"/>
        </w:tabs>
        <w:kinsoku/>
        <w:wordWrap/>
        <w:overflowPunct/>
        <w:topLinePunct w:val="0"/>
        <w:bidi w:val="0"/>
        <w:spacing w:line="360" w:lineRule="auto"/>
        <w:ind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8.5投诉</w:t>
      </w:r>
      <w:bookmarkEnd w:id="269"/>
      <w:bookmarkEnd w:id="270"/>
      <w:bookmarkEnd w:id="271"/>
      <w:bookmarkEnd w:id="272"/>
      <w:bookmarkEnd w:id="273"/>
      <w:bookmarkEnd w:id="274"/>
      <w:bookmarkEnd w:id="275"/>
      <w:bookmarkEnd w:id="276"/>
      <w:bookmarkEnd w:id="277"/>
      <w:bookmarkEnd w:id="278"/>
      <w:bookmarkEnd w:id="279"/>
    </w:p>
    <w:p w14:paraId="1A03F565">
      <w:pPr>
        <w:keepNext w:val="0"/>
        <w:keepLines w:val="0"/>
        <w:pageBreakBefore w:val="0"/>
        <w:tabs>
          <w:tab w:val="left" w:pos="540"/>
        </w:tabs>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供应商和其他利害关系人认为本次竞争性磋商违反法律、法规和规章规定的，有权向有关行政监督部门投诉。</w:t>
      </w:r>
    </w:p>
    <w:p w14:paraId="08096141">
      <w:pPr>
        <w:keepNext w:val="0"/>
        <w:keepLines w:val="0"/>
        <w:pageBreakBefore w:val="0"/>
        <w:numPr>
          <w:ilvl w:val="0"/>
          <w:numId w:val="0"/>
        </w:numPr>
        <w:tabs>
          <w:tab w:val="left" w:pos="0"/>
        </w:tabs>
        <w:kinsoku/>
        <w:wordWrap/>
        <w:overflowPunct/>
        <w:topLinePunct w:val="0"/>
        <w:bidi w:val="0"/>
        <w:spacing w:line="360" w:lineRule="auto"/>
        <w:ind w:left="-5" w:leftChars="0" w:firstLine="482" w:firstLineChars="200"/>
        <w:textAlignment w:val="auto"/>
        <w:outlineLvl w:val="9"/>
        <w:rPr>
          <w:rFonts w:hint="eastAsia" w:ascii="宋体" w:hAnsi="宋体" w:eastAsia="宋体" w:cs="宋体"/>
          <w:b/>
          <w:sz w:val="24"/>
          <w:szCs w:val="24"/>
        </w:rPr>
      </w:pPr>
      <w:bookmarkStart w:id="280" w:name="_Toc270604616"/>
      <w:bookmarkStart w:id="281" w:name="_Toc269470344"/>
      <w:bookmarkStart w:id="282" w:name="_Toc466284492"/>
      <w:bookmarkStart w:id="283" w:name="_Toc28446"/>
      <w:bookmarkStart w:id="284" w:name="_Toc380394506"/>
      <w:bookmarkStart w:id="285" w:name="_Toc19619"/>
      <w:r>
        <w:rPr>
          <w:rFonts w:hint="eastAsia" w:ascii="宋体" w:hAnsi="宋体" w:eastAsia="宋体" w:cs="宋体"/>
          <w:b/>
          <w:kern w:val="2"/>
          <w:sz w:val="24"/>
          <w:szCs w:val="24"/>
          <w:lang w:val="en-US" w:eastAsia="zh-CN" w:bidi="ar-SA"/>
        </w:rPr>
        <w:t>9.</w:t>
      </w:r>
      <w:r>
        <w:rPr>
          <w:rFonts w:hint="eastAsia" w:ascii="宋体" w:hAnsi="宋体" w:eastAsia="宋体" w:cs="宋体"/>
          <w:b/>
          <w:sz w:val="24"/>
          <w:szCs w:val="24"/>
        </w:rPr>
        <w:t>需要补充的其他内容</w:t>
      </w:r>
      <w:bookmarkEnd w:id="280"/>
      <w:bookmarkEnd w:id="281"/>
      <w:bookmarkEnd w:id="282"/>
      <w:bookmarkEnd w:id="283"/>
      <w:bookmarkEnd w:id="284"/>
      <w:bookmarkEnd w:id="285"/>
    </w:p>
    <w:p w14:paraId="4443C57C">
      <w:pPr>
        <w:keepNext w:val="0"/>
        <w:keepLines w:val="0"/>
        <w:pageBreakBefore w:val="0"/>
        <w:kinsoku/>
        <w:wordWrap/>
        <w:overflowPunct/>
        <w:topLinePunct w:val="0"/>
        <w:bidi w:val="0"/>
        <w:spacing w:line="360" w:lineRule="auto"/>
        <w:ind w:left="-5" w:firstLine="480" w:firstLineChars="200"/>
        <w:textAlignment w:val="auto"/>
        <w:outlineLvl w:val="9"/>
        <w:rPr>
          <w:rFonts w:hint="eastAsia" w:ascii="宋体" w:hAnsi="宋体" w:eastAsia="宋体" w:cs="宋体"/>
          <w:sz w:val="24"/>
        </w:rPr>
      </w:pPr>
      <w:r>
        <w:rPr>
          <w:rFonts w:hint="eastAsia" w:ascii="宋体" w:hAnsi="宋体" w:eastAsia="宋体" w:cs="宋体"/>
          <w:sz w:val="24"/>
          <w:szCs w:val="24"/>
        </w:rPr>
        <w:t>需要补充的其他内容：见供应商须知前附表。</w:t>
      </w:r>
    </w:p>
    <w:p w14:paraId="2AE01291">
      <w:pPr>
        <w:pageBreakBefore w:val="0"/>
        <w:kinsoku/>
        <w:overflowPunct/>
        <w:bidi w:val="0"/>
        <w:spacing w:line="360" w:lineRule="auto"/>
        <w:jc w:val="center"/>
        <w:rPr>
          <w:rFonts w:hint="eastAsia" w:ascii="宋体" w:hAnsi="宋体" w:eastAsia="宋体" w:cs="宋体"/>
        </w:rPr>
      </w:pPr>
      <w:r>
        <w:rPr>
          <w:rFonts w:hint="eastAsia" w:ascii="宋体" w:hAnsi="宋体" w:eastAsia="宋体" w:cs="宋体"/>
        </w:rPr>
        <w:br w:type="page"/>
      </w:r>
      <w:bookmarkStart w:id="286" w:name="_Toc10506"/>
    </w:p>
    <w:p w14:paraId="3AE9AE2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4"/>
          <w:szCs w:val="24"/>
        </w:rPr>
      </w:pPr>
      <w:bookmarkStart w:id="287" w:name="_Toc31788"/>
      <w:r>
        <w:rPr>
          <w:rFonts w:hint="eastAsia" w:ascii="宋体" w:hAnsi="宋体" w:eastAsia="宋体" w:cs="宋体"/>
          <w:b/>
          <w:sz w:val="24"/>
          <w:szCs w:val="24"/>
        </w:rPr>
        <w:t>第三章  工程量清单</w:t>
      </w:r>
      <w:bookmarkEnd w:id="286"/>
      <w:bookmarkEnd w:id="287"/>
    </w:p>
    <w:p w14:paraId="36E4C8CD">
      <w:pPr>
        <w:keepNext w:val="0"/>
        <w:keepLines w:val="0"/>
        <w:pageBreakBefore w:val="0"/>
        <w:widowControl/>
        <w:kinsoku/>
        <w:wordWrap/>
        <w:overflowPunct/>
        <w:topLinePunct w:val="0"/>
        <w:autoSpaceDE/>
        <w:autoSpaceDN/>
        <w:bidi w:val="0"/>
        <w:adjustRightInd w:val="0"/>
        <w:snapToGrid w:val="0"/>
        <w:spacing w:after="156" w:afterLines="50" w:line="360" w:lineRule="auto"/>
        <w:jc w:val="center"/>
        <w:textAlignment w:val="auto"/>
        <w:rPr>
          <w:rFonts w:hint="eastAsia" w:ascii="宋体" w:hAnsi="宋体" w:eastAsia="宋体" w:cs="宋体"/>
          <w:b/>
          <w:bCs/>
          <w:kern w:val="0"/>
          <w:sz w:val="28"/>
          <w:szCs w:val="28"/>
          <w:lang w:val="en-US" w:eastAsia="zh-CN"/>
        </w:rPr>
      </w:pPr>
    </w:p>
    <w:p w14:paraId="41DBE14E">
      <w:pPr>
        <w:keepNext w:val="0"/>
        <w:keepLines w:val="0"/>
        <w:pageBreakBefore w:val="0"/>
        <w:widowControl/>
        <w:kinsoku/>
        <w:wordWrap/>
        <w:overflowPunct/>
        <w:topLinePunct w:val="0"/>
        <w:autoSpaceDE/>
        <w:autoSpaceDN/>
        <w:bidi w:val="0"/>
        <w:adjustRightInd w:val="0"/>
        <w:snapToGrid w:val="0"/>
        <w:spacing w:after="156" w:afterLines="50" w:line="360" w:lineRule="auto"/>
        <w:jc w:val="center"/>
        <w:textAlignment w:val="auto"/>
        <w:rPr>
          <w:rFonts w:hint="eastAsia" w:ascii="宋体" w:hAnsi="宋体" w:eastAsia="宋体" w:cs="宋体"/>
          <w:b/>
          <w:bCs/>
          <w:kern w:val="0"/>
          <w:sz w:val="28"/>
          <w:szCs w:val="28"/>
          <w:lang w:val="en-US" w:eastAsia="zh-CN"/>
        </w:rPr>
      </w:pPr>
    </w:p>
    <w:p w14:paraId="315DC9B3">
      <w:pPr>
        <w:keepNext w:val="0"/>
        <w:keepLines w:val="0"/>
        <w:pageBreakBefore w:val="0"/>
        <w:widowControl/>
        <w:kinsoku/>
        <w:wordWrap/>
        <w:overflowPunct/>
        <w:topLinePunct w:val="0"/>
        <w:autoSpaceDE/>
        <w:autoSpaceDN/>
        <w:bidi w:val="0"/>
        <w:adjustRightInd w:val="0"/>
        <w:snapToGrid w:val="0"/>
        <w:spacing w:after="156" w:afterLines="50" w:line="360" w:lineRule="auto"/>
        <w:jc w:val="center"/>
        <w:textAlignment w:val="auto"/>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另附</w:t>
      </w:r>
    </w:p>
    <w:p w14:paraId="59711B4E">
      <w:pPr>
        <w:keepNext w:val="0"/>
        <w:keepLines w:val="0"/>
        <w:pageBreakBefore w:val="0"/>
        <w:widowControl/>
        <w:kinsoku/>
        <w:wordWrap/>
        <w:overflowPunct/>
        <w:topLinePunct w:val="0"/>
        <w:autoSpaceDE/>
        <w:autoSpaceDN/>
        <w:bidi w:val="0"/>
        <w:adjustRightInd w:val="0"/>
        <w:snapToGrid w:val="0"/>
        <w:spacing w:after="156" w:afterLines="50" w:line="360" w:lineRule="auto"/>
        <w:jc w:val="center"/>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br w:type="page"/>
      </w:r>
      <w:bookmarkStart w:id="288" w:name="_Toc25128"/>
    </w:p>
    <w:p w14:paraId="0B06675A">
      <w:pPr>
        <w:keepNext w:val="0"/>
        <w:keepLines w:val="0"/>
        <w:pageBreakBefore w:val="0"/>
        <w:widowControl/>
        <w:kinsoku/>
        <w:wordWrap/>
        <w:overflowPunct/>
        <w:topLinePunct w:val="0"/>
        <w:autoSpaceDE/>
        <w:autoSpaceDN/>
        <w:bidi w:val="0"/>
        <w:adjustRightInd w:val="0"/>
        <w:snapToGrid w:val="0"/>
        <w:spacing w:after="156" w:afterLines="50" w:line="360" w:lineRule="auto"/>
        <w:jc w:val="center"/>
        <w:textAlignment w:val="auto"/>
        <w:outlineLvl w:val="0"/>
        <w:rPr>
          <w:rFonts w:hint="eastAsia" w:ascii="宋体" w:hAnsi="宋体" w:eastAsia="宋体" w:cs="宋体"/>
          <w:bCs/>
          <w:color w:val="000000"/>
          <w:kern w:val="0"/>
          <w:sz w:val="24"/>
          <w:szCs w:val="24"/>
        </w:rPr>
      </w:pPr>
      <w:bookmarkStart w:id="289" w:name="_Toc5987"/>
      <w:r>
        <w:rPr>
          <w:rFonts w:hint="eastAsia" w:ascii="宋体" w:hAnsi="宋体" w:eastAsia="宋体" w:cs="宋体"/>
          <w:b/>
          <w:sz w:val="24"/>
          <w:szCs w:val="24"/>
        </w:rPr>
        <w:t>第四章  磋商办法</w:t>
      </w:r>
      <w:bookmarkEnd w:id="288"/>
      <w:bookmarkEnd w:id="289"/>
    </w:p>
    <w:p w14:paraId="347B52A8">
      <w:pPr>
        <w:pageBreakBefore w:val="0"/>
        <w:kinsoku/>
        <w:overflowPunct/>
        <w:bidi w:val="0"/>
        <w:spacing w:after="156" w:afterLines="50"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000000"/>
          <w:kern w:val="0"/>
          <w:sz w:val="24"/>
          <w:szCs w:val="24"/>
        </w:rPr>
        <w:t>磋商办法前附表</w:t>
      </w:r>
    </w:p>
    <w:tbl>
      <w:tblPr>
        <w:tblStyle w:val="17"/>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095"/>
        <w:gridCol w:w="2063"/>
        <w:gridCol w:w="4879"/>
      </w:tblGrid>
      <w:tr w14:paraId="686D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015" w:type="dxa"/>
            <w:gridSpan w:val="2"/>
            <w:noWrap w:val="0"/>
            <w:vAlign w:val="center"/>
          </w:tcPr>
          <w:p w14:paraId="1B797B4A">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2063" w:type="dxa"/>
            <w:noWrap w:val="0"/>
            <w:vAlign w:val="center"/>
          </w:tcPr>
          <w:p w14:paraId="3CE31EC8">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4879" w:type="dxa"/>
            <w:noWrap w:val="0"/>
            <w:vAlign w:val="center"/>
          </w:tcPr>
          <w:p w14:paraId="00B657B1">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504F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20" w:type="dxa"/>
            <w:vMerge w:val="restart"/>
            <w:noWrap w:val="0"/>
            <w:vAlign w:val="center"/>
          </w:tcPr>
          <w:p w14:paraId="0180184A">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1095" w:type="dxa"/>
            <w:vMerge w:val="restart"/>
            <w:noWrap w:val="0"/>
            <w:vAlign w:val="center"/>
          </w:tcPr>
          <w:p w14:paraId="02335414">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符合性</w:t>
            </w:r>
            <w:r>
              <w:rPr>
                <w:rFonts w:hint="eastAsia" w:ascii="宋体" w:hAnsi="宋体" w:eastAsia="宋体" w:cs="宋体"/>
                <w:color w:val="auto"/>
                <w:sz w:val="24"/>
                <w:szCs w:val="24"/>
                <w:highlight w:val="none"/>
              </w:rPr>
              <w:t>评审</w:t>
            </w:r>
          </w:p>
          <w:p w14:paraId="2AD381BF">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tc>
        <w:tc>
          <w:tcPr>
            <w:tcW w:w="2063" w:type="dxa"/>
            <w:noWrap w:val="0"/>
            <w:vAlign w:val="center"/>
          </w:tcPr>
          <w:p w14:paraId="7937643B">
            <w:pPr>
              <w:pageBreakBefore w:val="0"/>
              <w:suppressAutoHyphens/>
              <w:kinsoku/>
              <w:overflowPunct/>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z w:val="24"/>
                <w:szCs w:val="24"/>
              </w:rPr>
              <w:t>供应商名称</w:t>
            </w:r>
          </w:p>
        </w:tc>
        <w:tc>
          <w:tcPr>
            <w:tcW w:w="4879" w:type="dxa"/>
            <w:noWrap w:val="0"/>
            <w:vAlign w:val="center"/>
          </w:tcPr>
          <w:p w14:paraId="4FBEA21E">
            <w:pPr>
              <w:pageBreakBefore w:val="0"/>
              <w:suppressAutoHyphens/>
              <w:kinsoku/>
              <w:overflowPunct/>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sz w:val="24"/>
                <w:szCs w:val="24"/>
              </w:rPr>
              <w:t>与营业执照一致</w:t>
            </w:r>
          </w:p>
        </w:tc>
      </w:tr>
      <w:tr w14:paraId="407B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20" w:type="dxa"/>
            <w:vMerge w:val="continue"/>
            <w:noWrap w:val="0"/>
            <w:vAlign w:val="center"/>
          </w:tcPr>
          <w:p w14:paraId="309450B0">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04AB7572">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noWrap w:val="0"/>
            <w:vAlign w:val="center"/>
          </w:tcPr>
          <w:p w14:paraId="1A45E4A4">
            <w:pPr>
              <w:pageBreakBefore w:val="0"/>
              <w:suppressAutoHyphens/>
              <w:kinsoku/>
              <w:overflowPunct/>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z w:val="24"/>
                <w:szCs w:val="24"/>
              </w:rPr>
              <w:t>盖章、签字</w:t>
            </w:r>
          </w:p>
        </w:tc>
        <w:tc>
          <w:tcPr>
            <w:tcW w:w="4879" w:type="dxa"/>
            <w:noWrap w:val="0"/>
            <w:vAlign w:val="center"/>
          </w:tcPr>
          <w:p w14:paraId="05C171B3">
            <w:pPr>
              <w:pageBreakBefore w:val="0"/>
              <w:suppressAutoHyphens/>
              <w:kinsoku/>
              <w:overflowPunct/>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sz w:val="24"/>
                <w:szCs w:val="24"/>
              </w:rPr>
              <w:t>符合竞争性磋商文件签字、盖章的要求</w:t>
            </w:r>
          </w:p>
        </w:tc>
      </w:tr>
      <w:tr w14:paraId="332A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20" w:type="dxa"/>
            <w:vMerge w:val="continue"/>
            <w:noWrap w:val="0"/>
            <w:vAlign w:val="center"/>
          </w:tcPr>
          <w:p w14:paraId="4B95D3EE">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4B2F3CBB">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noWrap w:val="0"/>
            <w:vAlign w:val="center"/>
          </w:tcPr>
          <w:p w14:paraId="2FE81454">
            <w:pPr>
              <w:pageBreakBefore w:val="0"/>
              <w:suppressAutoHyphens/>
              <w:kinsoku/>
              <w:overflowPunct/>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z w:val="24"/>
                <w:szCs w:val="24"/>
              </w:rPr>
              <w:t>响应文件格式</w:t>
            </w:r>
          </w:p>
        </w:tc>
        <w:tc>
          <w:tcPr>
            <w:tcW w:w="4879" w:type="dxa"/>
            <w:noWrap w:val="0"/>
            <w:vAlign w:val="center"/>
          </w:tcPr>
          <w:p w14:paraId="06BC7097">
            <w:pPr>
              <w:pageBreakBefore w:val="0"/>
              <w:suppressAutoHyphens/>
              <w:kinsoku/>
              <w:overflowPunct/>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sz w:val="24"/>
                <w:szCs w:val="24"/>
              </w:rPr>
              <w:t>符合第六章“响应文件格式”要求</w:t>
            </w:r>
          </w:p>
        </w:tc>
      </w:tr>
      <w:tr w14:paraId="29C1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20" w:type="dxa"/>
            <w:vMerge w:val="restart"/>
            <w:noWrap w:val="0"/>
            <w:vAlign w:val="center"/>
          </w:tcPr>
          <w:p w14:paraId="6259E179">
            <w:pPr>
              <w:pageBreakBefore w:val="0"/>
              <w:kinsoku/>
              <w:overflowPunct/>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2.1.2</w:t>
            </w:r>
          </w:p>
        </w:tc>
        <w:tc>
          <w:tcPr>
            <w:tcW w:w="1095" w:type="dxa"/>
            <w:vMerge w:val="restart"/>
            <w:noWrap w:val="0"/>
            <w:vAlign w:val="center"/>
          </w:tcPr>
          <w:p w14:paraId="3FE4CFCC">
            <w:pPr>
              <w:pageBreakBefore w:val="0"/>
              <w:kinsoku/>
              <w:overflowPunct/>
              <w:bidi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eastAsia="zh-CN"/>
              </w:rPr>
              <w:t>性</w:t>
            </w:r>
          </w:p>
          <w:p w14:paraId="62F0ED8F">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w:t>
            </w:r>
          </w:p>
          <w:p w14:paraId="60897C31">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tc>
        <w:tc>
          <w:tcPr>
            <w:tcW w:w="2063" w:type="dxa"/>
            <w:noWrap w:val="0"/>
            <w:vAlign w:val="center"/>
          </w:tcPr>
          <w:p w14:paraId="50E82F34">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满足《中华人民共和国政府采购法》第二十二条规定</w:t>
            </w:r>
          </w:p>
        </w:tc>
        <w:tc>
          <w:tcPr>
            <w:tcW w:w="4879" w:type="dxa"/>
            <w:noWrap w:val="0"/>
            <w:vAlign w:val="center"/>
          </w:tcPr>
          <w:p w14:paraId="6BA7D06C">
            <w:pPr>
              <w:pageBreakBefore w:val="0"/>
              <w:kinsoku/>
              <w:overflowPunct/>
              <w:bidi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kern w:val="0"/>
                <w:sz w:val="24"/>
                <w:szCs w:val="24"/>
                <w:highlight w:val="none"/>
              </w:rPr>
              <w:t>满足《中华人民共和国政府采购法》第二十二条规定</w:t>
            </w:r>
            <w:r>
              <w:rPr>
                <w:rFonts w:hint="eastAsia" w:ascii="宋体" w:hAnsi="宋体" w:eastAsia="宋体" w:cs="宋体"/>
                <w:color w:val="auto"/>
                <w:kern w:val="0"/>
                <w:sz w:val="24"/>
                <w:szCs w:val="24"/>
                <w:highlight w:val="none"/>
                <w:lang w:val="en-US" w:eastAsia="zh-CN"/>
              </w:rPr>
              <w:t>(提供承诺函)</w:t>
            </w:r>
          </w:p>
        </w:tc>
      </w:tr>
      <w:tr w14:paraId="0239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20" w:type="dxa"/>
            <w:vMerge w:val="continue"/>
            <w:noWrap w:val="0"/>
            <w:vAlign w:val="center"/>
          </w:tcPr>
          <w:p w14:paraId="40DBB247">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1F77678F">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noWrap w:val="0"/>
            <w:vAlign w:val="center"/>
          </w:tcPr>
          <w:p w14:paraId="18206497">
            <w:pPr>
              <w:pageBreakBefore w:val="0"/>
              <w:kinsoku/>
              <w:overflowPunct/>
              <w:bidi w:val="0"/>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kern w:val="0"/>
                <w:sz w:val="24"/>
                <w:szCs w:val="24"/>
                <w:highlight w:val="none"/>
              </w:rPr>
              <w:t>本项目专门面向中小企业</w:t>
            </w:r>
            <w:r>
              <w:rPr>
                <w:rFonts w:hint="eastAsia" w:ascii="宋体" w:hAnsi="宋体" w:eastAsia="宋体" w:cs="宋体"/>
                <w:kern w:val="0"/>
                <w:sz w:val="24"/>
                <w:szCs w:val="24"/>
                <w:highlight w:val="none"/>
                <w:lang w:eastAsia="zh-CN"/>
              </w:rPr>
              <w:t>采购</w:t>
            </w:r>
          </w:p>
        </w:tc>
        <w:tc>
          <w:tcPr>
            <w:tcW w:w="4879" w:type="dxa"/>
            <w:noWrap w:val="0"/>
            <w:vAlign w:val="center"/>
          </w:tcPr>
          <w:p w14:paraId="4D217476">
            <w:pPr>
              <w:pageBreakBefore w:val="0"/>
              <w:kinsoku/>
              <w:overflowPunct/>
              <w:bidi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rPr>
              <w:t>本项目为专门面向中小微企业采购项目（监狱企业、残疾人福利性企业视同小微企业）,执行促进中小企业（监狱企业、残疾人福利性企业）发展等政府采购政策。</w:t>
            </w:r>
            <w:r>
              <w:rPr>
                <w:rFonts w:hint="eastAsia" w:ascii="宋体" w:hAnsi="宋体" w:eastAsia="宋体" w:cs="宋体"/>
                <w:b w:val="0"/>
                <w:bCs w:val="0"/>
                <w:color w:val="auto"/>
                <w:sz w:val="24"/>
                <w:szCs w:val="24"/>
                <w:highlight w:val="none"/>
                <w:lang w:val="en-US" w:eastAsia="zh-CN"/>
              </w:rPr>
              <w:t>提供《中小企业声明函》或《残疾人福利性单位声明函》或省级以上监狱管理局、戒毒管理局（含新疆生产建设兵团）出具的属于监狱企业的证明文件。</w:t>
            </w:r>
          </w:p>
        </w:tc>
      </w:tr>
      <w:tr w14:paraId="0FC4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20" w:type="dxa"/>
            <w:vMerge w:val="continue"/>
            <w:noWrap w:val="0"/>
            <w:vAlign w:val="center"/>
          </w:tcPr>
          <w:p w14:paraId="3203F68F">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39F1EA2F">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noWrap w:val="0"/>
            <w:vAlign w:val="center"/>
          </w:tcPr>
          <w:p w14:paraId="1B5F89D1">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4879" w:type="dxa"/>
            <w:noWrap w:val="0"/>
            <w:vAlign w:val="center"/>
          </w:tcPr>
          <w:p w14:paraId="6B7F2B9D">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须具备独立法人资格，持有合法有效的营业执照</w:t>
            </w:r>
            <w:r>
              <w:rPr>
                <w:rFonts w:hint="eastAsia" w:ascii="宋体" w:hAnsi="宋体" w:eastAsia="宋体" w:cs="宋体"/>
                <w:color w:val="auto"/>
                <w:sz w:val="24"/>
                <w:szCs w:val="24"/>
                <w:highlight w:val="none"/>
              </w:rPr>
              <w:t>；</w:t>
            </w:r>
          </w:p>
        </w:tc>
      </w:tr>
      <w:tr w14:paraId="7A9A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20" w:type="dxa"/>
            <w:vMerge w:val="continue"/>
            <w:noWrap w:val="0"/>
            <w:vAlign w:val="center"/>
          </w:tcPr>
          <w:p w14:paraId="26694D85">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1C13588D">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noWrap w:val="0"/>
            <w:vAlign w:val="center"/>
          </w:tcPr>
          <w:p w14:paraId="1A6D5238">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资质等级</w:t>
            </w:r>
          </w:p>
        </w:tc>
        <w:tc>
          <w:tcPr>
            <w:tcW w:w="4879" w:type="dxa"/>
            <w:noWrap w:val="0"/>
            <w:vAlign w:val="center"/>
          </w:tcPr>
          <w:p w14:paraId="21641CED">
            <w:pPr>
              <w:pageBreakBefore w:val="0"/>
              <w:kinsoku/>
              <w:overflowPunct/>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供应商须具有建筑工程施工总承包叁级（含叁级）及以上资质，具有有效的安全生产许可证，并在人员、设备、资金等方面具有相应的施工能力；</w:t>
            </w:r>
          </w:p>
        </w:tc>
      </w:tr>
      <w:tr w14:paraId="2EF06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0" w:type="dxa"/>
            <w:vMerge w:val="continue"/>
            <w:noWrap w:val="0"/>
            <w:vAlign w:val="center"/>
          </w:tcPr>
          <w:p w14:paraId="0E246365">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12AED141">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noWrap w:val="0"/>
            <w:vAlign w:val="center"/>
          </w:tcPr>
          <w:p w14:paraId="7D62789D">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c>
          <w:tcPr>
            <w:tcW w:w="4879" w:type="dxa"/>
            <w:noWrap w:val="0"/>
            <w:vAlign w:val="center"/>
          </w:tcPr>
          <w:p w14:paraId="1A79FEBA">
            <w:pPr>
              <w:pageBreakBefore w:val="0"/>
              <w:kinsoku/>
              <w:overflowPunct/>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拟派项目经理须具有建筑工程专业贰级（含贰级）及以上注册建造师资格、具备有效的安全生产考核合格证书，未在其它在建工程项目中担任项目经理，提供在本单位的社会养老保险缴费证明；</w:t>
            </w:r>
          </w:p>
        </w:tc>
      </w:tr>
      <w:tr w14:paraId="280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20" w:type="dxa"/>
            <w:vMerge w:val="continue"/>
            <w:noWrap w:val="0"/>
            <w:vAlign w:val="center"/>
          </w:tcPr>
          <w:p w14:paraId="08D5DC88">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5544E3DE">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noWrap w:val="0"/>
            <w:vAlign w:val="center"/>
          </w:tcPr>
          <w:p w14:paraId="75308142">
            <w:pPr>
              <w:pageBreakBefore w:val="0"/>
              <w:kinsoku/>
              <w:overflowPunct/>
              <w:bidi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无行贿犯罪记录</w:t>
            </w:r>
          </w:p>
        </w:tc>
        <w:tc>
          <w:tcPr>
            <w:tcW w:w="4879" w:type="dxa"/>
            <w:noWrap w:val="0"/>
            <w:vAlign w:val="center"/>
          </w:tcPr>
          <w:p w14:paraId="15FB059E">
            <w:pPr>
              <w:pageBreakBefore w:val="0"/>
              <w:kinsoku/>
              <w:overflowPunct/>
              <w:bidi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供应商须</w:t>
            </w:r>
            <w:r>
              <w:rPr>
                <w:rFonts w:hint="eastAsia" w:ascii="宋体" w:hAnsi="宋体" w:eastAsia="宋体" w:cs="宋体"/>
                <w:color w:val="auto"/>
                <w:sz w:val="24"/>
                <w:szCs w:val="24"/>
                <w:highlight w:val="none"/>
                <w:lang w:eastAsia="zh-CN"/>
              </w:rPr>
              <w:t>出具无行贿犯罪记录，在中国裁判文书网自行查询或自行承诺（查询/承诺对象为企业、法定代表人、项目经理）（查询日期必须在公告发布之日之后）；</w:t>
            </w:r>
          </w:p>
        </w:tc>
      </w:tr>
      <w:tr w14:paraId="1FF6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 w:type="dxa"/>
            <w:vMerge w:val="continue"/>
            <w:noWrap w:val="0"/>
            <w:vAlign w:val="center"/>
          </w:tcPr>
          <w:p w14:paraId="7335E8E3">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0F1FE13A">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noWrap w:val="0"/>
            <w:vAlign w:val="center"/>
          </w:tcPr>
          <w:p w14:paraId="53885405">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无商业贿赂和不正当竞争行为</w:t>
            </w:r>
          </w:p>
        </w:tc>
        <w:tc>
          <w:tcPr>
            <w:tcW w:w="4879" w:type="dxa"/>
            <w:noWrap w:val="0"/>
            <w:vAlign w:val="center"/>
          </w:tcPr>
          <w:p w14:paraId="3C12C487">
            <w:pPr>
              <w:pageBreakBefore w:val="0"/>
              <w:kinsoku/>
              <w:overflowPunct/>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供应商须出具本企业无商业贿赂和不正当竞争行为承诺书，格式自拟。</w:t>
            </w:r>
          </w:p>
        </w:tc>
      </w:tr>
      <w:tr w14:paraId="011C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0" w:hRule="atLeast"/>
          <w:jc w:val="center"/>
        </w:trPr>
        <w:tc>
          <w:tcPr>
            <w:tcW w:w="920" w:type="dxa"/>
            <w:vMerge w:val="continue"/>
            <w:noWrap w:val="0"/>
            <w:vAlign w:val="center"/>
          </w:tcPr>
          <w:p w14:paraId="4A70BFD5">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718ECC33">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noWrap w:val="0"/>
            <w:vAlign w:val="center"/>
          </w:tcPr>
          <w:p w14:paraId="50464A0B">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信用查询</w:t>
            </w:r>
          </w:p>
        </w:tc>
        <w:tc>
          <w:tcPr>
            <w:tcW w:w="4879" w:type="dxa"/>
            <w:noWrap w:val="0"/>
            <w:vAlign w:val="center"/>
          </w:tcPr>
          <w:p w14:paraId="3349F6CC">
            <w:pPr>
              <w:pageBreakBefore w:val="0"/>
              <w:kinsoku/>
              <w:overflowPunct/>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 “中国执行信息公开网”网站（http</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//zxgk.court.gov.cn/shixin）“信用中国”网站（www.creditchina.gov.cn）、中国政府采购网（www.ccgp.gov.cn）；提供网站的查询信息截图（查询时间自公告发布之日起）</w:t>
            </w:r>
          </w:p>
        </w:tc>
      </w:tr>
      <w:tr w14:paraId="5DAE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 w:type="dxa"/>
            <w:vMerge w:val="continue"/>
            <w:noWrap w:val="0"/>
            <w:vAlign w:val="center"/>
          </w:tcPr>
          <w:p w14:paraId="5E7B6CD6">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336F7EFC">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noWrap w:val="0"/>
            <w:vAlign w:val="center"/>
          </w:tcPr>
          <w:p w14:paraId="19EFEAD3">
            <w:pPr>
              <w:pageBreakBefore w:val="0"/>
              <w:widowControl/>
              <w:kinsoku/>
              <w:overflowPunct/>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kern w:val="0"/>
                <w:sz w:val="24"/>
                <w:szCs w:val="24"/>
              </w:rPr>
              <w:t>本项目不接受联合体投标</w:t>
            </w:r>
          </w:p>
        </w:tc>
        <w:tc>
          <w:tcPr>
            <w:tcW w:w="4879" w:type="dxa"/>
            <w:noWrap w:val="0"/>
            <w:vAlign w:val="center"/>
          </w:tcPr>
          <w:p w14:paraId="0E924129">
            <w:pPr>
              <w:pageBreakBefore w:val="0"/>
              <w:widowControl/>
              <w:kinsoku/>
              <w:overflowPunct/>
              <w:bidi w:val="0"/>
              <w:adjustRightInd w:val="0"/>
              <w:snapToGrid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本项目不接受联合体投标，提供非联合体承诺，格式自拟。</w:t>
            </w:r>
          </w:p>
        </w:tc>
      </w:tr>
      <w:tr w14:paraId="0906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20" w:type="dxa"/>
            <w:vMerge w:val="restart"/>
            <w:noWrap w:val="0"/>
            <w:vAlign w:val="center"/>
          </w:tcPr>
          <w:p w14:paraId="0FB16325">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2.1.3</w:t>
            </w:r>
          </w:p>
        </w:tc>
        <w:tc>
          <w:tcPr>
            <w:tcW w:w="1095" w:type="dxa"/>
            <w:vMerge w:val="restart"/>
            <w:noWrap w:val="0"/>
            <w:vAlign w:val="center"/>
          </w:tcPr>
          <w:p w14:paraId="769A10B5">
            <w:pPr>
              <w:pageBreakBefore w:val="0"/>
              <w:kinsoku/>
              <w:overflowPunct/>
              <w:bidi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实质响应性</w:t>
            </w:r>
          </w:p>
          <w:p w14:paraId="267864CB">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w:t>
            </w:r>
          </w:p>
          <w:p w14:paraId="2ACABD97">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tc>
        <w:tc>
          <w:tcPr>
            <w:tcW w:w="2063" w:type="dxa"/>
            <w:noWrap w:val="0"/>
            <w:vAlign w:val="center"/>
          </w:tcPr>
          <w:p w14:paraId="2DB7027D">
            <w:pPr>
              <w:pageBreakBefore w:val="0"/>
              <w:suppressAutoHyphens/>
              <w:kinsoku/>
              <w:overflowPunct/>
              <w:bidi w:val="0"/>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000000" w:themeColor="text1"/>
                <w:sz w:val="24"/>
                <w:szCs w:val="24"/>
                <w14:textFill>
                  <w14:solidFill>
                    <w14:schemeClr w14:val="tx1"/>
                  </w14:solidFill>
                </w14:textFill>
              </w:rPr>
              <w:t>计划工期</w:t>
            </w:r>
          </w:p>
        </w:tc>
        <w:tc>
          <w:tcPr>
            <w:tcW w:w="4879" w:type="dxa"/>
            <w:noWrap w:val="0"/>
            <w:vAlign w:val="center"/>
          </w:tcPr>
          <w:p w14:paraId="5489007B">
            <w:pPr>
              <w:pageBreakBefore w:val="0"/>
              <w:suppressAutoHyphens/>
              <w:kinsoku/>
              <w:overflowPunct/>
              <w:bidi w:val="0"/>
              <w:adjustRightInd w:val="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30日历天</w:t>
            </w:r>
          </w:p>
        </w:tc>
      </w:tr>
      <w:tr w14:paraId="70AD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20" w:type="dxa"/>
            <w:vMerge w:val="continue"/>
            <w:noWrap w:val="0"/>
            <w:vAlign w:val="center"/>
          </w:tcPr>
          <w:p w14:paraId="286EAD20">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1BFFD80E">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noWrap w:val="0"/>
            <w:vAlign w:val="center"/>
          </w:tcPr>
          <w:p w14:paraId="72352329">
            <w:pPr>
              <w:pageBreakBefore w:val="0"/>
              <w:suppressAutoHyphens/>
              <w:kinsoku/>
              <w:overflowPunct/>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z w:val="24"/>
                <w:szCs w:val="24"/>
              </w:rPr>
              <w:t>质量要求</w:t>
            </w:r>
          </w:p>
        </w:tc>
        <w:tc>
          <w:tcPr>
            <w:tcW w:w="4879" w:type="dxa"/>
            <w:noWrap w:val="0"/>
            <w:vAlign w:val="center"/>
          </w:tcPr>
          <w:p w14:paraId="2F3DF625">
            <w:pPr>
              <w:pageBreakBefore w:val="0"/>
              <w:suppressAutoHyphens/>
              <w:kinsoku/>
              <w:overflowPunct/>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sz w:val="24"/>
                <w:szCs w:val="24"/>
                <w:lang w:eastAsia="zh-CN"/>
              </w:rPr>
              <w:t>达到国家现行工程施工质量验收规范合格标准</w:t>
            </w:r>
          </w:p>
        </w:tc>
      </w:tr>
      <w:tr w14:paraId="7082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20" w:type="dxa"/>
            <w:vMerge w:val="continue"/>
            <w:noWrap w:val="0"/>
            <w:vAlign w:val="center"/>
          </w:tcPr>
          <w:p w14:paraId="6B5095A6">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2DD03EAD">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noWrap w:val="0"/>
            <w:vAlign w:val="center"/>
          </w:tcPr>
          <w:p w14:paraId="54A2D17D">
            <w:pPr>
              <w:pageBreakBefore w:val="0"/>
              <w:suppressAutoHyphens/>
              <w:kinsoku/>
              <w:overflowPunct/>
              <w:bidi w:val="0"/>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sz w:val="24"/>
                <w:szCs w:val="24"/>
                <w:lang w:eastAsia="zh-CN"/>
              </w:rPr>
              <w:t>保修期</w:t>
            </w:r>
          </w:p>
        </w:tc>
        <w:tc>
          <w:tcPr>
            <w:tcW w:w="4879" w:type="dxa"/>
            <w:noWrap w:val="0"/>
            <w:vAlign w:val="center"/>
          </w:tcPr>
          <w:p w14:paraId="5DB2D424">
            <w:pPr>
              <w:pageBreakBefore w:val="0"/>
              <w:suppressAutoHyphens/>
              <w:kinsoku/>
              <w:overflowPunct/>
              <w:bidi w:val="0"/>
              <w:adjustRightInd w:val="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按国家规定</w:t>
            </w:r>
          </w:p>
        </w:tc>
      </w:tr>
      <w:tr w14:paraId="3286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20" w:type="dxa"/>
            <w:vMerge w:val="continue"/>
            <w:noWrap w:val="0"/>
            <w:vAlign w:val="center"/>
          </w:tcPr>
          <w:p w14:paraId="1B4A8AEB">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337C2037">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noWrap w:val="0"/>
            <w:vAlign w:val="center"/>
          </w:tcPr>
          <w:p w14:paraId="3F470119">
            <w:pPr>
              <w:pageBreakBefore w:val="0"/>
              <w:suppressAutoHyphens/>
              <w:kinsoku/>
              <w:overflowPunct/>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z w:val="24"/>
                <w:szCs w:val="24"/>
              </w:rPr>
              <w:t>磋商有效期</w:t>
            </w:r>
          </w:p>
        </w:tc>
        <w:tc>
          <w:tcPr>
            <w:tcW w:w="4879" w:type="dxa"/>
            <w:noWrap w:val="0"/>
            <w:vAlign w:val="center"/>
          </w:tcPr>
          <w:p w14:paraId="50C3F3F8">
            <w:pPr>
              <w:pageBreakBefore w:val="0"/>
              <w:suppressAutoHyphens/>
              <w:kinsoku/>
              <w:overflowPunct/>
              <w:bidi w:val="0"/>
              <w:adjustRightInd w:val="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磋商响应文件递交截止日后60日历天</w:t>
            </w:r>
          </w:p>
        </w:tc>
      </w:tr>
      <w:tr w14:paraId="4F87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0" w:type="dxa"/>
            <w:vMerge w:val="continue"/>
            <w:noWrap w:val="0"/>
            <w:vAlign w:val="center"/>
          </w:tcPr>
          <w:p w14:paraId="21762367">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23C166BE">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noWrap w:val="0"/>
            <w:vAlign w:val="center"/>
          </w:tcPr>
          <w:p w14:paraId="581AB445">
            <w:pPr>
              <w:pageBreakBefore w:val="0"/>
              <w:suppressAutoHyphens/>
              <w:kinsoku/>
              <w:overflowPunct/>
              <w:bidi w:val="0"/>
              <w:adjustRightInd w:val="0"/>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000000"/>
                <w:sz w:val="24"/>
                <w:szCs w:val="24"/>
                <w:lang w:val="en-US" w:eastAsia="zh-CN"/>
              </w:rPr>
              <w:t>投标报价</w:t>
            </w:r>
          </w:p>
        </w:tc>
        <w:tc>
          <w:tcPr>
            <w:tcW w:w="4879" w:type="dxa"/>
            <w:noWrap w:val="0"/>
            <w:vAlign w:val="center"/>
          </w:tcPr>
          <w:p w14:paraId="1031B944">
            <w:pPr>
              <w:pageBreakBefore w:val="0"/>
              <w:suppressAutoHyphens/>
              <w:kinsoku/>
              <w:overflowPunct/>
              <w:bidi w:val="0"/>
              <w:adjustRightInd w:val="0"/>
              <w:snapToGrid w:val="0"/>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000000"/>
                <w:sz w:val="24"/>
                <w:szCs w:val="24"/>
                <w:lang w:val="en-US" w:eastAsia="zh-CN"/>
              </w:rPr>
              <w:t>不能超过招标控制价</w:t>
            </w:r>
          </w:p>
        </w:tc>
      </w:tr>
      <w:tr w14:paraId="3F14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15" w:type="dxa"/>
            <w:gridSpan w:val="2"/>
            <w:noWrap w:val="0"/>
            <w:vAlign w:val="center"/>
          </w:tcPr>
          <w:p w14:paraId="4F1B9C11">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2063" w:type="dxa"/>
            <w:noWrap w:val="0"/>
            <w:vAlign w:val="center"/>
          </w:tcPr>
          <w:p w14:paraId="0AE7C94B">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条款内容</w:t>
            </w:r>
          </w:p>
        </w:tc>
        <w:tc>
          <w:tcPr>
            <w:tcW w:w="4879" w:type="dxa"/>
            <w:noWrap w:val="0"/>
            <w:vAlign w:val="center"/>
          </w:tcPr>
          <w:p w14:paraId="117A4674">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7622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2015" w:type="dxa"/>
            <w:gridSpan w:val="2"/>
            <w:noWrap w:val="0"/>
            <w:vAlign w:val="center"/>
          </w:tcPr>
          <w:p w14:paraId="3B4FA975">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2063" w:type="dxa"/>
            <w:noWrap w:val="0"/>
            <w:vAlign w:val="center"/>
          </w:tcPr>
          <w:p w14:paraId="4C5402EA">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14:paraId="1744566C">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4879" w:type="dxa"/>
            <w:noWrap w:val="0"/>
            <w:vAlign w:val="center"/>
          </w:tcPr>
          <w:p w14:paraId="0020340A">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技术部分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50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p>
          <w:p w14:paraId="1227020A">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投标报价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30  </w:t>
            </w:r>
            <w:r>
              <w:rPr>
                <w:rFonts w:hint="eastAsia" w:ascii="宋体" w:hAnsi="宋体" w:eastAsia="宋体" w:cs="宋体"/>
                <w:color w:val="auto"/>
                <w:sz w:val="24"/>
                <w:szCs w:val="24"/>
                <w:highlight w:val="none"/>
              </w:rPr>
              <w:t>分</w:t>
            </w:r>
          </w:p>
          <w:p w14:paraId="172E6A72">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商务部分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20  </w:t>
            </w:r>
            <w:r>
              <w:rPr>
                <w:rFonts w:hint="eastAsia" w:ascii="宋体" w:hAnsi="宋体" w:eastAsia="宋体" w:cs="宋体"/>
                <w:color w:val="auto"/>
                <w:sz w:val="24"/>
                <w:szCs w:val="24"/>
                <w:highlight w:val="none"/>
              </w:rPr>
              <w:t>分</w:t>
            </w:r>
          </w:p>
        </w:tc>
      </w:tr>
      <w:tr w14:paraId="189E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015" w:type="dxa"/>
            <w:gridSpan w:val="2"/>
            <w:noWrap w:val="0"/>
            <w:vAlign w:val="center"/>
          </w:tcPr>
          <w:p w14:paraId="1FDECAEA">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2063" w:type="dxa"/>
            <w:noWrap w:val="0"/>
            <w:vAlign w:val="center"/>
          </w:tcPr>
          <w:p w14:paraId="73604D8C">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评分因素</w:t>
            </w:r>
          </w:p>
        </w:tc>
        <w:tc>
          <w:tcPr>
            <w:tcW w:w="4879" w:type="dxa"/>
            <w:noWrap w:val="0"/>
            <w:vAlign w:val="center"/>
          </w:tcPr>
          <w:p w14:paraId="3FAB0992">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r>
      <w:tr w14:paraId="2692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0" w:type="dxa"/>
            <w:vMerge w:val="restart"/>
            <w:noWrap w:val="0"/>
            <w:vAlign w:val="center"/>
          </w:tcPr>
          <w:p w14:paraId="1CFFAC71">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p w14:paraId="23E597E7">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95" w:type="dxa"/>
            <w:vMerge w:val="restart"/>
            <w:noWrap w:val="0"/>
            <w:vAlign w:val="center"/>
          </w:tcPr>
          <w:p w14:paraId="3BC7EE10">
            <w:pPr>
              <w:pageBreakBefore w:val="0"/>
              <w:kinsoku/>
              <w:overflowPunct/>
              <w:bidi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技术部分</w:t>
            </w:r>
          </w:p>
          <w:p w14:paraId="34B86027">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p w14:paraId="75BD3890">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（50分）</w:t>
            </w:r>
          </w:p>
        </w:tc>
        <w:tc>
          <w:tcPr>
            <w:tcW w:w="2063" w:type="dxa"/>
            <w:vMerge w:val="restart"/>
            <w:noWrap w:val="0"/>
            <w:vAlign w:val="center"/>
          </w:tcPr>
          <w:p w14:paraId="19596E1D">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内容完整性</w:t>
            </w:r>
          </w:p>
          <w:p w14:paraId="11D02455">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4879" w:type="dxa"/>
            <w:noWrap w:val="0"/>
            <w:vAlign w:val="center"/>
          </w:tcPr>
          <w:p w14:paraId="36207E67">
            <w:pPr>
              <w:pageBreakBefore w:val="0"/>
              <w:kinsoku/>
              <w:overflowPunct/>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技术部分</w:t>
            </w:r>
            <w:r>
              <w:rPr>
                <w:rFonts w:hint="eastAsia" w:ascii="宋体" w:hAnsi="宋体" w:eastAsia="宋体" w:cs="宋体"/>
                <w:color w:val="auto"/>
                <w:sz w:val="24"/>
                <w:szCs w:val="24"/>
                <w:highlight w:val="none"/>
              </w:rPr>
              <w:t>的主要内容具有完整性，符合竞争性磋商文件的要求，得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393B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0" w:type="dxa"/>
            <w:vMerge w:val="continue"/>
            <w:noWrap w:val="0"/>
            <w:vAlign w:val="center"/>
          </w:tcPr>
          <w:p w14:paraId="408AD41F">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5687100B">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vMerge w:val="continue"/>
            <w:noWrap w:val="0"/>
            <w:vAlign w:val="center"/>
          </w:tcPr>
          <w:p w14:paraId="50E72B8E">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4879" w:type="dxa"/>
            <w:noWrap w:val="0"/>
            <w:vAlign w:val="center"/>
          </w:tcPr>
          <w:p w14:paraId="69A99405">
            <w:pPr>
              <w:pageBreakBefore w:val="0"/>
              <w:kinsoku/>
              <w:overflowPunct/>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技术部分</w:t>
            </w:r>
            <w:r>
              <w:rPr>
                <w:rFonts w:hint="eastAsia" w:ascii="宋体" w:hAnsi="宋体" w:eastAsia="宋体" w:cs="宋体"/>
                <w:color w:val="auto"/>
                <w:sz w:val="24"/>
                <w:szCs w:val="24"/>
                <w:highlight w:val="none"/>
              </w:rPr>
              <w:t>不符合竞争性磋商文件要求，不得分。</w:t>
            </w:r>
          </w:p>
        </w:tc>
      </w:tr>
      <w:tr w14:paraId="7B0A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0" w:type="dxa"/>
            <w:vMerge w:val="continue"/>
            <w:noWrap w:val="0"/>
            <w:vAlign w:val="center"/>
          </w:tcPr>
          <w:p w14:paraId="66EF6998">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63D152F9">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vMerge w:val="restart"/>
            <w:noWrap w:val="0"/>
            <w:vAlign w:val="center"/>
          </w:tcPr>
          <w:p w14:paraId="27657420">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主要施工方案与技术措施</w:t>
            </w:r>
          </w:p>
          <w:p w14:paraId="2CE91A6C">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w:t>
            </w:r>
          </w:p>
          <w:p w14:paraId="4F57A90D">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4879" w:type="dxa"/>
            <w:noWrap w:val="0"/>
            <w:vAlign w:val="center"/>
          </w:tcPr>
          <w:p w14:paraId="394E336A">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施工方案（含工程特点、施工重点与难点及绿色施工）总体安排合理，运用先进、合理的施工工艺、施工机械；对施工难点有先进和合理的建议。5分</w:t>
            </w:r>
          </w:p>
        </w:tc>
      </w:tr>
      <w:tr w14:paraId="7C4B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0" w:type="dxa"/>
            <w:vMerge w:val="continue"/>
            <w:noWrap w:val="0"/>
            <w:vAlign w:val="center"/>
          </w:tcPr>
          <w:p w14:paraId="15A5BF96">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135D8FD1">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vMerge w:val="continue"/>
            <w:noWrap w:val="0"/>
            <w:vAlign w:val="center"/>
          </w:tcPr>
          <w:p w14:paraId="2C9491DC">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4879" w:type="dxa"/>
            <w:noWrap w:val="0"/>
            <w:vAlign w:val="center"/>
          </w:tcPr>
          <w:p w14:paraId="6FD1165D">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施工方案（含工程特点、施工重点与难点及绿色施工）总体安排合理，施工工艺、施工机械合理、可行；对施工难点有合理的建议。3分</w:t>
            </w:r>
          </w:p>
        </w:tc>
      </w:tr>
      <w:tr w14:paraId="342A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0" w:type="dxa"/>
            <w:vMerge w:val="continue"/>
            <w:noWrap w:val="0"/>
            <w:vAlign w:val="center"/>
          </w:tcPr>
          <w:p w14:paraId="79607E1A">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57226B5D">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vMerge w:val="restart"/>
            <w:noWrap w:val="0"/>
            <w:vAlign w:val="center"/>
          </w:tcPr>
          <w:p w14:paraId="1A07585D">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质量管理体系与措施</w:t>
            </w:r>
          </w:p>
          <w:p w14:paraId="41EFFD9E">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4879" w:type="dxa"/>
            <w:noWrap w:val="0"/>
            <w:vAlign w:val="center"/>
          </w:tcPr>
          <w:p w14:paraId="55C4C426">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组织机构形式合理，有完善的指挥系统、质量监控系统、联络协调系统，对项目提出先进、可行、具体的保证措施。</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652A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0" w:type="dxa"/>
            <w:vMerge w:val="continue"/>
            <w:noWrap w:val="0"/>
            <w:vAlign w:val="center"/>
          </w:tcPr>
          <w:p w14:paraId="16319F16">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3DC324CD">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vMerge w:val="continue"/>
            <w:noWrap w:val="0"/>
            <w:vAlign w:val="center"/>
          </w:tcPr>
          <w:p w14:paraId="413B8176">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4879" w:type="dxa"/>
            <w:noWrap w:val="0"/>
            <w:vAlign w:val="center"/>
          </w:tcPr>
          <w:p w14:paraId="6A777256">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组织机构形式基本合理，指挥系统、质量监控系统、联络协调系统，具体措施可行。质量保证措施经济、安全、基本可行。</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14:paraId="2BE0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0" w:type="dxa"/>
            <w:vMerge w:val="continue"/>
            <w:noWrap w:val="0"/>
            <w:vAlign w:val="center"/>
          </w:tcPr>
          <w:p w14:paraId="27764AFC">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49934183">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vMerge w:val="restart"/>
            <w:noWrap w:val="0"/>
            <w:vAlign w:val="center"/>
          </w:tcPr>
          <w:p w14:paraId="7B13385D">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安全管理体系与措施</w:t>
            </w:r>
          </w:p>
          <w:p w14:paraId="532BCA0D">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4879" w:type="dxa"/>
            <w:noWrap w:val="0"/>
            <w:vAlign w:val="center"/>
          </w:tcPr>
          <w:p w14:paraId="667F0A5C">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安全生产保障体系健全，安全管理制度完善，安全管理目标具体，全员安全责任制明确，现场安全管理组织机构。根据工程特点、施工工艺，现场重大危险源辨识全面，明确有相应的安全管理措施。安全技术方案措施科学合理、先进可行。</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3A48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0" w:type="dxa"/>
            <w:vMerge w:val="continue"/>
            <w:noWrap w:val="0"/>
            <w:vAlign w:val="center"/>
          </w:tcPr>
          <w:p w14:paraId="019595BB">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1933E711">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vMerge w:val="continue"/>
            <w:noWrap w:val="0"/>
            <w:vAlign w:val="center"/>
          </w:tcPr>
          <w:p w14:paraId="7004BD56">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4879" w:type="dxa"/>
            <w:noWrap w:val="0"/>
            <w:vAlign w:val="center"/>
          </w:tcPr>
          <w:p w14:paraId="2711C635">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施工安全生产保障体系、安全责任制和安全管理制度，现场安全管理机构。根据工程特点、施工工艺，正确识别现场重大危险源并有相应的安全防护管理措施。制定相关专项施工方案（或方案计划），安全技术方案、措施基本可行。</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14:paraId="46E1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0" w:type="dxa"/>
            <w:vMerge w:val="continue"/>
            <w:noWrap w:val="0"/>
            <w:vAlign w:val="center"/>
          </w:tcPr>
          <w:p w14:paraId="05796BFC">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61CA67FA">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vMerge w:val="restart"/>
            <w:noWrap w:val="0"/>
            <w:vAlign w:val="center"/>
          </w:tcPr>
          <w:p w14:paraId="69B74F29">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文明施工、环境保护管理体系及施工现场扬尘治理措施</w:t>
            </w:r>
          </w:p>
          <w:p w14:paraId="49695DCE">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4879" w:type="dxa"/>
            <w:noWrap w:val="0"/>
            <w:vAlign w:val="center"/>
          </w:tcPr>
          <w:p w14:paraId="1C3FAF52">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创安全文明标准化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3B29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0" w:type="dxa"/>
            <w:vMerge w:val="continue"/>
            <w:noWrap w:val="0"/>
            <w:vAlign w:val="center"/>
          </w:tcPr>
          <w:p w14:paraId="2245DF57">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6F3D483D">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vMerge w:val="continue"/>
            <w:noWrap w:val="0"/>
            <w:vAlign w:val="center"/>
          </w:tcPr>
          <w:p w14:paraId="2477CBB4">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4879" w:type="dxa"/>
            <w:noWrap w:val="0"/>
            <w:vAlign w:val="center"/>
          </w:tcPr>
          <w:p w14:paraId="0D37F17C">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安全文明标准化创建目标计划和创建措施，有安全文明措施费用投入使用计划，现场施工区、生活区、办公区等设置符合有关文明施工、健康卫生的规定。施工现场扬尘治理措施基本达到河南省《城市房屋建筑和市政基础设施工程及道路扬尘污染防治标准》（DBJ41/174）的规定，有防治方案。</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14:paraId="767C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0" w:type="dxa"/>
            <w:vMerge w:val="continue"/>
            <w:noWrap w:val="0"/>
            <w:vAlign w:val="center"/>
          </w:tcPr>
          <w:p w14:paraId="202F756E">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5102628E">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vMerge w:val="restart"/>
            <w:noWrap w:val="0"/>
            <w:vAlign w:val="center"/>
          </w:tcPr>
          <w:p w14:paraId="13F21C56">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工期保证措施</w:t>
            </w:r>
          </w:p>
          <w:p w14:paraId="58D18854">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4879" w:type="dxa"/>
            <w:noWrap w:val="0"/>
            <w:vAlign w:val="center"/>
          </w:tcPr>
          <w:p w14:paraId="66A9F739">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工期承诺满足竞争性磋商文件要求，工期保证措施合理且有针对性，有具体的违约责任承诺。</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1F0D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0" w:type="dxa"/>
            <w:vMerge w:val="continue"/>
            <w:noWrap w:val="0"/>
            <w:vAlign w:val="center"/>
          </w:tcPr>
          <w:p w14:paraId="4B5F0362">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3998C7C2">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vMerge w:val="continue"/>
            <w:noWrap w:val="0"/>
            <w:vAlign w:val="center"/>
          </w:tcPr>
          <w:p w14:paraId="56FFEDEF">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4879" w:type="dxa"/>
            <w:noWrap w:val="0"/>
            <w:vAlign w:val="center"/>
          </w:tcPr>
          <w:p w14:paraId="63303A17">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工期承诺满足竞争性磋商文件要求，工期保证措施基本合理，有具体的违约责任承诺。</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14:paraId="45CB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20" w:type="dxa"/>
            <w:vMerge w:val="continue"/>
            <w:noWrap w:val="0"/>
            <w:vAlign w:val="center"/>
          </w:tcPr>
          <w:p w14:paraId="42B59134">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77F23DD0">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vMerge w:val="restart"/>
            <w:noWrap w:val="0"/>
            <w:vAlign w:val="center"/>
          </w:tcPr>
          <w:p w14:paraId="217E4A7D">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拟投入资源配备计划</w:t>
            </w:r>
          </w:p>
          <w:p w14:paraId="48396317">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4879" w:type="dxa"/>
            <w:noWrap w:val="0"/>
            <w:vAlign w:val="top"/>
          </w:tcPr>
          <w:p w14:paraId="087D41F7">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1、机械：投入计划与进度计划呼应，采用先进机械设备且配置合理、先进，满足安全技术规范和施工进度需要；</w:t>
            </w:r>
          </w:p>
          <w:p w14:paraId="0CF87A6D">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2、劳动力：投入计划与进度计划呼应，较好满足施工需要，调配投入计划合理、准确；</w:t>
            </w:r>
          </w:p>
          <w:p w14:paraId="7EE1E5CA">
            <w:pPr>
              <w:pageBreakBefore w:val="0"/>
              <w:kinsoku/>
              <w:overflow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3、主要物资计划：主要物资投入计划与进度计划呼应，较好满足施工需要，调配投入计划合理、准确。</w:t>
            </w:r>
            <w:r>
              <w:rPr>
                <w:rFonts w:hint="eastAsia" w:ascii="宋体" w:hAnsi="宋体" w:eastAsia="宋体" w:cs="宋体"/>
                <w:color w:val="auto"/>
                <w:sz w:val="24"/>
                <w:szCs w:val="24"/>
                <w:highlight w:val="none"/>
                <w:lang w:val="en-US" w:eastAsia="zh-CN"/>
              </w:rPr>
              <w:t>5分</w:t>
            </w:r>
          </w:p>
        </w:tc>
      </w:tr>
      <w:tr w14:paraId="75B1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920" w:type="dxa"/>
            <w:vMerge w:val="continue"/>
            <w:noWrap w:val="0"/>
            <w:vAlign w:val="center"/>
          </w:tcPr>
          <w:p w14:paraId="1E476760">
            <w:pPr>
              <w:pageBreakBefore w:val="0"/>
              <w:kinsoku/>
              <w:overflowPunct/>
              <w:bidi w:val="0"/>
              <w:spacing w:line="360" w:lineRule="auto"/>
              <w:jc w:val="left"/>
            </w:pPr>
          </w:p>
        </w:tc>
        <w:tc>
          <w:tcPr>
            <w:tcW w:w="1095" w:type="dxa"/>
            <w:vMerge w:val="continue"/>
            <w:noWrap w:val="0"/>
            <w:vAlign w:val="center"/>
          </w:tcPr>
          <w:p w14:paraId="61208429">
            <w:pPr>
              <w:pageBreakBefore w:val="0"/>
              <w:kinsoku/>
              <w:overflowPunct/>
              <w:bidi w:val="0"/>
              <w:spacing w:line="360" w:lineRule="auto"/>
              <w:jc w:val="left"/>
            </w:pPr>
          </w:p>
        </w:tc>
        <w:tc>
          <w:tcPr>
            <w:tcW w:w="2063" w:type="dxa"/>
            <w:vMerge w:val="continue"/>
            <w:noWrap w:val="0"/>
            <w:vAlign w:val="center"/>
          </w:tcPr>
          <w:p w14:paraId="77D567B7">
            <w:pPr>
              <w:pageBreakBefore w:val="0"/>
              <w:kinsoku/>
              <w:overflowPunct/>
              <w:bidi w:val="0"/>
              <w:spacing w:line="360" w:lineRule="auto"/>
              <w:jc w:val="left"/>
            </w:pPr>
          </w:p>
        </w:tc>
        <w:tc>
          <w:tcPr>
            <w:tcW w:w="4879" w:type="dxa"/>
            <w:noWrap w:val="0"/>
            <w:vAlign w:val="top"/>
          </w:tcPr>
          <w:p w14:paraId="3EFA936D">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1、机械：投入计划与进度计划呼应，机械设备配置基本合理，满足安全技术规范和施工进度需要；</w:t>
            </w:r>
          </w:p>
          <w:p w14:paraId="052D5211">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2、劳动力：投入计划与进度计划呼应，基本满足施工需要，调配投入计划基本合理；</w:t>
            </w:r>
          </w:p>
          <w:p w14:paraId="6641191F">
            <w:pPr>
              <w:pageBreakBefore w:val="0"/>
              <w:kinsoku/>
              <w:overflowPunct/>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3、主要物资计划：主要物资投入计划与进度计划呼应，基本满足施工需要，调配投入计划基本合理。</w:t>
            </w:r>
            <w:r>
              <w:rPr>
                <w:rFonts w:hint="eastAsia" w:ascii="宋体" w:hAnsi="宋体" w:eastAsia="宋体" w:cs="宋体"/>
                <w:color w:val="auto"/>
                <w:sz w:val="24"/>
                <w:szCs w:val="24"/>
                <w:highlight w:val="none"/>
                <w:lang w:val="en-US" w:eastAsia="zh-CN"/>
              </w:rPr>
              <w:t>3分</w:t>
            </w:r>
          </w:p>
        </w:tc>
      </w:tr>
      <w:tr w14:paraId="0D0D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0" w:type="dxa"/>
            <w:vMerge w:val="continue"/>
            <w:noWrap w:val="0"/>
            <w:vAlign w:val="center"/>
          </w:tcPr>
          <w:p w14:paraId="26280F77">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1B55AB48">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vMerge w:val="restart"/>
            <w:noWrap w:val="0"/>
            <w:vAlign w:val="center"/>
          </w:tcPr>
          <w:p w14:paraId="18FF15B9">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施工进度表与网络计划图</w:t>
            </w:r>
          </w:p>
          <w:p w14:paraId="1D4D4894">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4879" w:type="dxa"/>
            <w:noWrap w:val="0"/>
            <w:vAlign w:val="center"/>
          </w:tcPr>
          <w:p w14:paraId="339BA9C9">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关键线路清晰、准确、完整、计划编制合理、可行、满足竞争性磋商文件对工期的要求。</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5F98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0" w:type="dxa"/>
            <w:vMerge w:val="continue"/>
            <w:noWrap w:val="0"/>
            <w:vAlign w:val="center"/>
          </w:tcPr>
          <w:p w14:paraId="0EBACCF1">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46962CA6">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vMerge w:val="continue"/>
            <w:noWrap w:val="0"/>
            <w:vAlign w:val="center"/>
          </w:tcPr>
          <w:p w14:paraId="49E16CD2">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4879" w:type="dxa"/>
            <w:noWrap w:val="0"/>
            <w:vAlign w:val="center"/>
          </w:tcPr>
          <w:p w14:paraId="6CFA0111">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关键线路基本准确，计划编制基本可行。</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14:paraId="0C3A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0" w:type="dxa"/>
            <w:vMerge w:val="continue"/>
            <w:noWrap w:val="0"/>
            <w:vAlign w:val="center"/>
          </w:tcPr>
          <w:p w14:paraId="36727D7A">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0D8EC9EA">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vMerge w:val="restart"/>
            <w:noWrap w:val="0"/>
            <w:vAlign w:val="center"/>
          </w:tcPr>
          <w:p w14:paraId="2941B931">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施工总平面图布置</w:t>
            </w:r>
          </w:p>
          <w:p w14:paraId="2D04B622">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4879" w:type="dxa"/>
            <w:noWrap w:val="0"/>
            <w:vAlign w:val="center"/>
          </w:tcPr>
          <w:p w14:paraId="4A5E3005">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总体布置有针对性、合理、能较好满足施工需要，符合安全、文明施工要求；材料堆放有序。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7FE8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0" w:type="dxa"/>
            <w:vMerge w:val="continue"/>
            <w:noWrap w:val="0"/>
            <w:vAlign w:val="center"/>
          </w:tcPr>
          <w:p w14:paraId="59182303">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08D2CE11">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vMerge w:val="continue"/>
            <w:noWrap w:val="0"/>
            <w:vAlign w:val="center"/>
          </w:tcPr>
          <w:p w14:paraId="3D264D08">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4879" w:type="dxa"/>
            <w:noWrap w:val="0"/>
            <w:vAlign w:val="center"/>
          </w:tcPr>
          <w:p w14:paraId="0800DD6E">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总体布置基本合理、基本满足施工需要。</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14:paraId="198B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0" w:type="dxa"/>
            <w:vMerge w:val="continue"/>
            <w:noWrap w:val="0"/>
            <w:vAlign w:val="center"/>
          </w:tcPr>
          <w:p w14:paraId="130D1820">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4B80A801">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vMerge w:val="restart"/>
            <w:noWrap w:val="0"/>
            <w:vAlign w:val="center"/>
          </w:tcPr>
          <w:p w14:paraId="73B19542">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采用新工艺、新技术、新设备、新材料、BIM等的程度</w:t>
            </w:r>
          </w:p>
          <w:p w14:paraId="7D6DE753">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4879" w:type="dxa"/>
            <w:noWrap w:val="0"/>
            <w:vAlign w:val="center"/>
          </w:tcPr>
          <w:p w14:paraId="24D07D3D">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采用新工艺、新技术、新设备、新材料、BIM等的程度满足设计要求，符合施工需要和相应</w:t>
            </w:r>
            <w:r>
              <w:rPr>
                <w:rFonts w:hint="eastAsia" w:ascii="宋体" w:hAnsi="宋体" w:eastAsia="宋体" w:cs="宋体"/>
                <w:color w:val="auto"/>
                <w:sz w:val="24"/>
                <w:szCs w:val="24"/>
                <w:highlight w:val="none"/>
                <w:lang w:eastAsia="zh-CN"/>
              </w:rPr>
              <w:t>技术部分</w:t>
            </w:r>
            <w:r>
              <w:rPr>
                <w:rFonts w:hint="eastAsia" w:ascii="宋体" w:hAnsi="宋体" w:eastAsia="宋体" w:cs="宋体"/>
                <w:color w:val="auto"/>
                <w:sz w:val="24"/>
                <w:szCs w:val="24"/>
                <w:highlight w:val="none"/>
              </w:rPr>
              <w:t>准等规定，经济适用。</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4A8E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0" w:type="dxa"/>
            <w:vMerge w:val="continue"/>
            <w:noWrap w:val="0"/>
            <w:vAlign w:val="center"/>
          </w:tcPr>
          <w:p w14:paraId="41D7E8D6">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01084B11">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vMerge w:val="continue"/>
            <w:noWrap w:val="0"/>
            <w:vAlign w:val="center"/>
          </w:tcPr>
          <w:p w14:paraId="63B85C66">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4879" w:type="dxa"/>
            <w:noWrap w:val="0"/>
            <w:vAlign w:val="center"/>
          </w:tcPr>
          <w:p w14:paraId="45035766">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采用新工艺、新技术、新设备、新材料、BIM等的程度满足设计要求， 基本符合施工要求和相应</w:t>
            </w:r>
            <w:r>
              <w:rPr>
                <w:rFonts w:hint="eastAsia" w:ascii="宋体" w:hAnsi="宋体" w:eastAsia="宋体" w:cs="宋体"/>
                <w:color w:val="auto"/>
                <w:sz w:val="24"/>
                <w:szCs w:val="24"/>
                <w:highlight w:val="none"/>
                <w:lang w:eastAsia="zh-CN"/>
              </w:rPr>
              <w:t>技术部分</w:t>
            </w:r>
            <w:r>
              <w:rPr>
                <w:rFonts w:hint="eastAsia" w:ascii="宋体" w:hAnsi="宋体" w:eastAsia="宋体" w:cs="宋体"/>
                <w:color w:val="auto"/>
                <w:sz w:val="24"/>
                <w:szCs w:val="24"/>
                <w:highlight w:val="none"/>
              </w:rPr>
              <w:t>准等规定。</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14:paraId="77BE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20" w:type="dxa"/>
            <w:vMerge w:val="continue"/>
            <w:noWrap w:val="0"/>
            <w:vAlign w:val="center"/>
          </w:tcPr>
          <w:p w14:paraId="57CFB0AD">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3EC0F3F9">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6942" w:type="dxa"/>
            <w:gridSpan w:val="2"/>
            <w:noWrap w:val="0"/>
            <w:vAlign w:val="center"/>
          </w:tcPr>
          <w:p w14:paraId="1E313DFF">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以上项目若有缺项的，该项为0分；不缺项的，不低于最低分。</w:t>
            </w:r>
          </w:p>
        </w:tc>
      </w:tr>
      <w:tr w14:paraId="2DB0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20" w:type="dxa"/>
            <w:noWrap w:val="0"/>
            <w:vAlign w:val="center"/>
          </w:tcPr>
          <w:p w14:paraId="0F1F1AE7">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p w14:paraId="2F92B56E">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95" w:type="dxa"/>
            <w:noWrap w:val="0"/>
            <w:vAlign w:val="center"/>
          </w:tcPr>
          <w:p w14:paraId="7CA37D52">
            <w:pPr>
              <w:pageBreakBefore w:val="0"/>
              <w:kinsoku/>
              <w:overflowPunct/>
              <w:bidi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投标报价</w:t>
            </w:r>
          </w:p>
          <w:p w14:paraId="1D91154E">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p w14:paraId="51DBBD9C">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2063" w:type="dxa"/>
            <w:noWrap w:val="0"/>
            <w:vAlign w:val="center"/>
          </w:tcPr>
          <w:p w14:paraId="2EA374D0">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w:t>
            </w:r>
          </w:p>
        </w:tc>
        <w:tc>
          <w:tcPr>
            <w:tcW w:w="4879" w:type="dxa"/>
            <w:noWrap w:val="0"/>
            <w:vAlign w:val="center"/>
          </w:tcPr>
          <w:p w14:paraId="32BB9DD6">
            <w:pPr>
              <w:pageBreakBefore w:val="0"/>
              <w:kinsoku/>
              <w:overflowPunct/>
              <w:bidi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磋商报价高于招标控制价为无效标；</w:t>
            </w:r>
          </w:p>
          <w:p w14:paraId="680DB045">
            <w:pPr>
              <w:pageBreakBefore w:val="0"/>
              <w:kinsoku/>
              <w:overflowPunct/>
              <w:bidi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采用低价优先法计算，即满足磋商文件要求且最后报价最低的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的价格为磋商基准价，其价格分为满分，其他</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的价格分按下列公式计算：</w:t>
            </w:r>
          </w:p>
          <w:p w14:paraId="26718E98">
            <w:pPr>
              <w:pageBreakBefore w:val="0"/>
              <w:kinsoku/>
              <w:overflowPunct/>
              <w:bidi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磋商报价得分=（磋商基准价/最后磋商报价）×30%×100</w:t>
            </w:r>
          </w:p>
          <w:p w14:paraId="305294DF">
            <w:pPr>
              <w:pageBreakBefore w:val="0"/>
              <w:widowControl/>
              <w:kinsoku/>
              <w:overflowPunct/>
              <w:autoSpaceDE w:val="0"/>
              <w:autoSpaceDN w:val="0"/>
              <w:bidi w:val="0"/>
              <w:adjustRightInd w:val="0"/>
              <w:spacing w:line="360" w:lineRule="auto"/>
              <w:jc w:val="left"/>
              <w:rPr>
                <w:rFonts w:hint="eastAsia" w:ascii="宋体" w:hAnsi="宋体" w:eastAsia="宋体" w:cs="宋体"/>
                <w:kern w:val="0"/>
                <w:sz w:val="24"/>
                <w:szCs w:val="21"/>
                <w:lang w:bidi="ar"/>
              </w:rPr>
            </w:pPr>
            <w:r>
              <w:rPr>
                <w:rFonts w:hint="eastAsia" w:ascii="宋体" w:hAnsi="宋体" w:eastAsia="宋体" w:cs="宋体"/>
                <w:kern w:val="0"/>
                <w:sz w:val="24"/>
                <w:szCs w:val="21"/>
                <w:lang w:bidi="ar"/>
              </w:rPr>
              <w:t>注：超出采购人最高投标限价的投标报价为无效报价；经磋商小组全体认定属于低价恶意竞标的，供应商应予以做出合理解释，若供应商未作出合理解释或供应商作出的解释未通过磋商小组全体认定，其投标作无效标处理。</w:t>
            </w:r>
          </w:p>
          <w:p w14:paraId="710C427C">
            <w:pPr>
              <w:pageBreakBefore w:val="0"/>
              <w:widowControl/>
              <w:kinsoku/>
              <w:overflowPunct/>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专门面向中小企业采购的项目或者采购包，不再执行价格评审优惠的扶持政策。</w:t>
            </w:r>
          </w:p>
        </w:tc>
      </w:tr>
      <w:tr w14:paraId="1144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920" w:type="dxa"/>
            <w:vMerge w:val="restart"/>
            <w:noWrap w:val="0"/>
            <w:vAlign w:val="center"/>
          </w:tcPr>
          <w:p w14:paraId="0092B538">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p w14:paraId="3151D2E0">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95" w:type="dxa"/>
            <w:vMerge w:val="restart"/>
            <w:noWrap w:val="0"/>
            <w:vAlign w:val="center"/>
          </w:tcPr>
          <w:p w14:paraId="4100BF84">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商务部分</w:t>
            </w:r>
            <w:r>
              <w:rPr>
                <w:rFonts w:hint="eastAsia" w:ascii="宋体" w:hAnsi="宋体" w:eastAsia="宋体" w:cs="宋体"/>
                <w:color w:val="auto"/>
                <w:sz w:val="24"/>
                <w:szCs w:val="24"/>
                <w:highlight w:val="none"/>
              </w:rPr>
              <w:t>评分标准</w:t>
            </w:r>
          </w:p>
          <w:p w14:paraId="64FD01B7">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（20分）</w:t>
            </w:r>
          </w:p>
        </w:tc>
        <w:tc>
          <w:tcPr>
            <w:tcW w:w="2063" w:type="dxa"/>
            <w:noWrap w:val="0"/>
            <w:vAlign w:val="center"/>
          </w:tcPr>
          <w:p w14:paraId="0EDBA15D">
            <w:pPr>
              <w:pageBreakBefore w:val="0"/>
              <w:kinsoku/>
              <w:overflowPunct/>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企业业绩</w:t>
            </w:r>
          </w:p>
          <w:p w14:paraId="5945308C">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4879" w:type="dxa"/>
            <w:noWrap w:val="0"/>
            <w:vAlign w:val="center"/>
          </w:tcPr>
          <w:p w14:paraId="0979FB02">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投标人自20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月1日以来完成过类似工程业绩的，每提供一项得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分（需提供中标通知书、施工合同）</w:t>
            </w:r>
          </w:p>
        </w:tc>
      </w:tr>
      <w:tr w14:paraId="35A2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920" w:type="dxa"/>
            <w:vMerge w:val="continue"/>
            <w:noWrap w:val="0"/>
            <w:vAlign w:val="center"/>
          </w:tcPr>
          <w:p w14:paraId="6590F9B1">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76816332">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noWrap w:val="0"/>
            <w:vAlign w:val="center"/>
          </w:tcPr>
          <w:p w14:paraId="3CAE1272">
            <w:pPr>
              <w:pageBreakBefore w:val="0"/>
              <w:widowControl/>
              <w:kinsoku/>
              <w:overflowPunct/>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项目经理业绩</w:t>
            </w:r>
          </w:p>
          <w:p w14:paraId="0347FA86">
            <w:pPr>
              <w:pageBreakBefore w:val="0"/>
              <w:widowControl/>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z w:val="24"/>
                <w:szCs w:val="24"/>
              </w:rPr>
              <w:t>（</w:t>
            </w:r>
            <w:r>
              <w:rPr>
                <w:rFonts w:hint="eastAsia" w:ascii="宋体" w:hAnsi="宋体" w:eastAsia="宋体" w:cs="宋体"/>
                <w:sz w:val="24"/>
                <w:szCs w:val="24"/>
                <w:lang w:val="en-US" w:eastAsia="zh-CN"/>
              </w:rPr>
              <w:t>4分</w:t>
            </w:r>
            <w:r>
              <w:rPr>
                <w:rFonts w:hint="eastAsia" w:ascii="宋体" w:hAnsi="宋体" w:eastAsia="宋体" w:cs="宋体"/>
                <w:sz w:val="24"/>
                <w:szCs w:val="24"/>
              </w:rPr>
              <w:t>）</w:t>
            </w:r>
          </w:p>
        </w:tc>
        <w:tc>
          <w:tcPr>
            <w:tcW w:w="4879" w:type="dxa"/>
            <w:noWrap w:val="0"/>
            <w:vAlign w:val="center"/>
          </w:tcPr>
          <w:p w14:paraId="3F634D52">
            <w:pPr>
              <w:pageBreakBefore w:val="0"/>
              <w:widowControl/>
              <w:kinsoku/>
              <w:overflowPunct/>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spacing w:val="6"/>
                <w:kern w:val="0"/>
                <w:sz w:val="24"/>
              </w:rPr>
              <w:t>供应商202</w:t>
            </w:r>
            <w:r>
              <w:rPr>
                <w:rFonts w:hint="eastAsia" w:ascii="宋体" w:hAnsi="宋体" w:eastAsia="宋体" w:cs="宋体"/>
                <w:spacing w:val="6"/>
                <w:kern w:val="0"/>
                <w:sz w:val="24"/>
                <w:lang w:val="en-US" w:eastAsia="zh-CN"/>
              </w:rPr>
              <w:t>2</w:t>
            </w:r>
            <w:r>
              <w:rPr>
                <w:rFonts w:hint="eastAsia" w:ascii="宋体" w:hAnsi="宋体" w:eastAsia="宋体" w:cs="宋体"/>
                <w:spacing w:val="6"/>
                <w:kern w:val="0"/>
                <w:sz w:val="24"/>
              </w:rPr>
              <w:t>年1月1日</w:t>
            </w:r>
            <w:r>
              <w:rPr>
                <w:rFonts w:hint="eastAsia" w:ascii="宋体" w:hAnsi="宋体" w:eastAsia="宋体" w:cs="宋体"/>
                <w:sz w:val="24"/>
                <w:szCs w:val="24"/>
              </w:rPr>
              <w:t>以来类似项目业绩，每提供一份得</w:t>
            </w:r>
            <w:r>
              <w:rPr>
                <w:rFonts w:hint="eastAsia" w:ascii="宋体" w:hAnsi="宋体" w:eastAsia="宋体" w:cs="宋体"/>
                <w:sz w:val="24"/>
                <w:szCs w:val="24"/>
                <w:lang w:val="en-US" w:eastAsia="zh-CN"/>
              </w:rPr>
              <w:t>2</w:t>
            </w:r>
            <w:r>
              <w:rPr>
                <w:rFonts w:hint="eastAsia" w:ascii="宋体" w:hAnsi="宋体" w:eastAsia="宋体" w:cs="宋体"/>
                <w:sz w:val="24"/>
                <w:szCs w:val="24"/>
              </w:rPr>
              <w:t>分，（需提供中标通知书</w:t>
            </w:r>
            <w:r>
              <w:rPr>
                <w:rFonts w:hint="eastAsia" w:ascii="宋体" w:hAnsi="宋体" w:eastAsia="宋体" w:cs="宋体"/>
                <w:sz w:val="24"/>
                <w:szCs w:val="24"/>
                <w:lang w:val="en-US" w:eastAsia="zh-CN"/>
              </w:rPr>
              <w:t>、</w:t>
            </w:r>
            <w:r>
              <w:rPr>
                <w:rFonts w:hint="eastAsia" w:ascii="宋体" w:hAnsi="宋体" w:eastAsia="宋体" w:cs="宋体"/>
                <w:sz w:val="24"/>
                <w:szCs w:val="24"/>
              </w:rPr>
              <w:t>施工合同）满分</w:t>
            </w:r>
            <w:r>
              <w:rPr>
                <w:rFonts w:hint="eastAsia" w:ascii="宋体" w:hAnsi="宋体" w:eastAsia="宋体" w:cs="宋体"/>
                <w:sz w:val="24"/>
                <w:szCs w:val="24"/>
                <w:lang w:val="en-US" w:eastAsia="zh-CN"/>
              </w:rPr>
              <w:t>4</w:t>
            </w:r>
            <w:r>
              <w:rPr>
                <w:rFonts w:hint="eastAsia" w:ascii="宋体" w:hAnsi="宋体" w:eastAsia="宋体" w:cs="宋体"/>
                <w:sz w:val="24"/>
                <w:szCs w:val="24"/>
              </w:rPr>
              <w:t>分，缺项不得分.（项目经理业绩与企业业绩不重复计分）</w:t>
            </w:r>
          </w:p>
        </w:tc>
      </w:tr>
      <w:tr w14:paraId="4638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920" w:type="dxa"/>
            <w:vMerge w:val="continue"/>
            <w:noWrap w:val="0"/>
            <w:vAlign w:val="center"/>
          </w:tcPr>
          <w:p w14:paraId="784E5A99">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48F28C50">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noWrap w:val="0"/>
            <w:vAlign w:val="center"/>
          </w:tcPr>
          <w:p w14:paraId="246C18FF">
            <w:pPr>
              <w:pageBreakBefore w:val="0"/>
              <w:widowControl/>
              <w:kinsoku/>
              <w:overflowPunct/>
              <w:bidi w:val="0"/>
              <w:spacing w:line="360" w:lineRule="auto"/>
              <w:jc w:val="center"/>
              <w:rPr>
                <w:rFonts w:hint="eastAsia" w:ascii="宋体" w:hAnsi="宋体" w:eastAsia="宋体" w:cs="宋体"/>
                <w:spacing w:val="6"/>
                <w:kern w:val="0"/>
                <w:sz w:val="24"/>
              </w:rPr>
            </w:pPr>
            <w:r>
              <w:rPr>
                <w:rFonts w:hint="eastAsia" w:ascii="宋体" w:hAnsi="宋体" w:eastAsia="宋体" w:cs="宋体"/>
                <w:spacing w:val="6"/>
                <w:kern w:val="0"/>
                <w:sz w:val="24"/>
              </w:rPr>
              <w:t>优惠承诺</w:t>
            </w:r>
          </w:p>
          <w:p w14:paraId="3B34DE03">
            <w:pPr>
              <w:pageBreakBefore w:val="0"/>
              <w:widowControl/>
              <w:kinsoku/>
              <w:overflowPunct/>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spacing w:val="6"/>
                <w:kern w:val="0"/>
                <w:sz w:val="24"/>
              </w:rPr>
              <w:t>（</w:t>
            </w:r>
            <w:r>
              <w:rPr>
                <w:rFonts w:hint="eastAsia" w:ascii="宋体" w:hAnsi="宋体" w:eastAsia="宋体" w:cs="宋体"/>
                <w:spacing w:val="6"/>
                <w:kern w:val="0"/>
                <w:sz w:val="24"/>
                <w:lang w:val="en-US" w:eastAsia="zh-CN"/>
              </w:rPr>
              <w:t>5</w:t>
            </w:r>
            <w:r>
              <w:rPr>
                <w:rFonts w:hint="eastAsia" w:ascii="宋体" w:hAnsi="宋体" w:eastAsia="宋体" w:cs="宋体"/>
                <w:spacing w:val="6"/>
                <w:kern w:val="0"/>
                <w:sz w:val="24"/>
              </w:rPr>
              <w:t>分）</w:t>
            </w:r>
          </w:p>
        </w:tc>
        <w:tc>
          <w:tcPr>
            <w:tcW w:w="4879" w:type="dxa"/>
            <w:noWrap w:val="0"/>
            <w:vAlign w:val="center"/>
          </w:tcPr>
          <w:p w14:paraId="467BEC01">
            <w:pPr>
              <w:pageBreakBefore w:val="0"/>
              <w:widowControl/>
              <w:kinsoku/>
              <w:overflowPunct/>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优惠承诺符合工程实际情况，确保依法依规，优惠合理，详实可行的得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2F277DB0">
            <w:pPr>
              <w:pageBreakBefore w:val="0"/>
              <w:widowControl/>
              <w:kinsoku/>
              <w:overflowPunct/>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优惠承诺符合工程实际情况，确保依法依规，优惠基本合理，基本详实可行的得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636B1A05">
            <w:pPr>
              <w:pageBreakBefore w:val="0"/>
              <w:widowControl/>
              <w:kinsoku/>
              <w:overflowPunct/>
              <w:bidi w:val="0"/>
              <w:spacing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优惠承诺一般的得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tc>
      </w:tr>
      <w:tr w14:paraId="2FFA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920" w:type="dxa"/>
            <w:vMerge w:val="continue"/>
            <w:noWrap w:val="0"/>
            <w:vAlign w:val="center"/>
          </w:tcPr>
          <w:p w14:paraId="47EA69E5">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0496B6FA">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063" w:type="dxa"/>
            <w:noWrap w:val="0"/>
            <w:vAlign w:val="center"/>
          </w:tcPr>
          <w:p w14:paraId="67518ACD">
            <w:pPr>
              <w:pageBreakBefore w:val="0"/>
              <w:widowControl/>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pacing w:val="6"/>
                <w:kern w:val="0"/>
                <w:sz w:val="24"/>
              </w:rPr>
              <w:t>履职尽责承诺（</w:t>
            </w:r>
            <w:r>
              <w:rPr>
                <w:rFonts w:hint="eastAsia" w:ascii="宋体" w:hAnsi="宋体" w:eastAsia="宋体" w:cs="宋体"/>
                <w:spacing w:val="6"/>
                <w:kern w:val="0"/>
                <w:sz w:val="24"/>
                <w:lang w:val="en-US" w:eastAsia="zh-CN"/>
              </w:rPr>
              <w:t>5</w:t>
            </w:r>
            <w:r>
              <w:rPr>
                <w:rFonts w:hint="eastAsia" w:ascii="宋体" w:hAnsi="宋体" w:eastAsia="宋体" w:cs="宋体"/>
                <w:spacing w:val="6"/>
                <w:kern w:val="0"/>
                <w:sz w:val="24"/>
              </w:rPr>
              <w:t>分）</w:t>
            </w:r>
          </w:p>
        </w:tc>
        <w:tc>
          <w:tcPr>
            <w:tcW w:w="4879" w:type="dxa"/>
            <w:noWrap w:val="0"/>
            <w:vAlign w:val="center"/>
          </w:tcPr>
          <w:p w14:paraId="45DA486A">
            <w:pPr>
              <w:pageBreakBefore w:val="0"/>
              <w:widowControl/>
              <w:kinsoku/>
              <w:overflowPunct/>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全面、详实、可行、合法有效的书面保证技术措施落实到位的承诺和落实不到位的处理承诺，其中包括各关键岗位人员（项目经理、技术负责人及相关技术人员等）的在岗、更换等履职尽责承诺，提供承包商履约保证得5分。</w:t>
            </w:r>
          </w:p>
          <w:p w14:paraId="32F6C88C">
            <w:pPr>
              <w:pageBreakBefore w:val="0"/>
              <w:widowControl/>
              <w:kinsoku/>
              <w:overflowPunct/>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可行、合法有效的书面保证技术措施落实到位的承诺和落实不到位的处理承诺，其中包括各关键岗位人员（项目经理、技术负责人及相关技术人员等）的在岗、更换等履职尽责承诺，提供承包商履约保证得3分。</w:t>
            </w:r>
          </w:p>
          <w:p w14:paraId="78BFF0D0">
            <w:pPr>
              <w:pageBreakBefore w:val="0"/>
              <w:widowControl/>
              <w:kinsoku/>
              <w:overflowPunct/>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3、履职尽责承诺一般的得1分。</w:t>
            </w:r>
          </w:p>
        </w:tc>
      </w:tr>
      <w:tr w14:paraId="62FC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20" w:type="dxa"/>
            <w:vMerge w:val="continue"/>
            <w:noWrap w:val="0"/>
            <w:vAlign w:val="center"/>
          </w:tcPr>
          <w:p w14:paraId="06FF6A48">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1095" w:type="dxa"/>
            <w:vMerge w:val="continue"/>
            <w:noWrap w:val="0"/>
            <w:vAlign w:val="center"/>
          </w:tcPr>
          <w:p w14:paraId="3696D07A">
            <w:pPr>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6942" w:type="dxa"/>
            <w:gridSpan w:val="2"/>
            <w:noWrap w:val="0"/>
            <w:vAlign w:val="center"/>
          </w:tcPr>
          <w:p w14:paraId="41662E36">
            <w:pPr>
              <w:pageBreakBefore w:val="0"/>
              <w:tabs>
                <w:tab w:val="left" w:pos="1661"/>
              </w:tabs>
              <w:kinsoku/>
              <w:overflowPunct/>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以上项目若有缺项的，该项为0分；不缺项的，不低于最低分。</w:t>
            </w:r>
          </w:p>
        </w:tc>
      </w:tr>
    </w:tbl>
    <w:p w14:paraId="290554D1">
      <w:pPr>
        <w:pageBreakBefore w:val="0"/>
        <w:kinsoku/>
        <w:overflowPunct/>
        <w:bidi w:val="0"/>
        <w:spacing w:line="360" w:lineRule="auto"/>
        <w:rPr>
          <w:rFonts w:hint="eastAsia" w:ascii="宋体" w:hAnsi="宋体" w:eastAsia="宋体" w:cs="宋体"/>
        </w:rPr>
      </w:pPr>
    </w:p>
    <w:p w14:paraId="79D92393">
      <w:pPr>
        <w:pageBreakBefore w:val="0"/>
        <w:kinsoku/>
        <w:wordWrap/>
        <w:overflowPunct/>
        <w:topLinePunct w:val="0"/>
        <w:autoSpaceDE/>
        <w:autoSpaceDN/>
        <w:bidi w:val="0"/>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1.评标方法</w:t>
      </w:r>
    </w:p>
    <w:p w14:paraId="14CE122C">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rPr>
        <w:t>法。磋商小组对满足磋商文件实质性要求的磋商响应文件，按照本章第2.2款规定的评分标准进行打分，并按得分由高到低顺序推荐成交候选人，并经磋商小组推荐排名第一的成交候选人为成交人，但磋商报价低于其成本的除外。评审得分相同的，按照最后报价由低到高的顺序确定，评审得分且最后报价相同的，按照技术指标优劣顺序确定成交候选人。</w:t>
      </w:r>
    </w:p>
    <w:p w14:paraId="68616375">
      <w:pPr>
        <w:keepNext w:val="0"/>
        <w:keepLines w:val="0"/>
        <w:pageBreakBefore w:val="0"/>
        <w:kinsoku/>
        <w:wordWrap/>
        <w:overflowPunct/>
        <w:topLinePunct w:val="0"/>
        <w:autoSpaceDE/>
        <w:autoSpaceDN/>
        <w:bidi w:val="0"/>
        <w:snapToGrid/>
        <w:spacing w:before="0" w:after="0" w:afterAutospacing="0" w:line="360" w:lineRule="auto"/>
        <w:ind w:firstLine="480" w:firstLineChars="200"/>
        <w:jc w:val="left"/>
        <w:textAlignment w:val="auto"/>
        <w:outlineLvl w:val="9"/>
        <w:rPr>
          <w:rFonts w:hint="eastAsia" w:ascii="宋体" w:hAnsi="宋体" w:eastAsia="宋体" w:cs="宋体"/>
          <w:color w:val="auto"/>
          <w:sz w:val="24"/>
          <w:szCs w:val="24"/>
          <w:highlight w:val="none"/>
        </w:rPr>
      </w:pPr>
      <w:bookmarkStart w:id="290" w:name="_Toc152045601"/>
      <w:bookmarkStart w:id="291" w:name="_Toc296602489"/>
      <w:bookmarkStart w:id="292" w:name="_Toc246996987"/>
      <w:bookmarkStart w:id="293" w:name="_Toc247085759"/>
      <w:bookmarkStart w:id="294" w:name="_Toc246996244"/>
      <w:bookmarkStart w:id="295" w:name="_Toc144974568"/>
      <w:bookmarkStart w:id="296" w:name="_Toc152042378"/>
      <w:bookmarkStart w:id="297" w:name="_Toc179632619"/>
      <w:r>
        <w:rPr>
          <w:rFonts w:hint="eastAsia" w:ascii="宋体" w:hAnsi="宋体" w:eastAsia="宋体" w:cs="宋体"/>
          <w:color w:val="auto"/>
          <w:sz w:val="24"/>
          <w:szCs w:val="24"/>
          <w:highlight w:val="none"/>
        </w:rPr>
        <w:t>2.评审标准</w:t>
      </w:r>
      <w:bookmarkEnd w:id="290"/>
      <w:bookmarkEnd w:id="291"/>
      <w:bookmarkEnd w:id="292"/>
      <w:bookmarkEnd w:id="293"/>
      <w:bookmarkEnd w:id="294"/>
      <w:bookmarkEnd w:id="295"/>
      <w:bookmarkEnd w:id="296"/>
      <w:bookmarkEnd w:id="297"/>
      <w:bookmarkStart w:id="298" w:name="_Toc296602490"/>
      <w:bookmarkStart w:id="299" w:name="_Toc246996245"/>
      <w:bookmarkStart w:id="300" w:name="_Toc247085760"/>
      <w:bookmarkStart w:id="301" w:name="_Toc246996988"/>
      <w:bookmarkStart w:id="302" w:name="_Toc179632620"/>
      <w:bookmarkStart w:id="303" w:name="_Toc152042379"/>
      <w:bookmarkStart w:id="304" w:name="_Toc152045602"/>
      <w:bookmarkStart w:id="305" w:name="_Toc144974569"/>
    </w:p>
    <w:p w14:paraId="75E1228A">
      <w:pPr>
        <w:keepNext w:val="0"/>
        <w:keepLines w:val="0"/>
        <w:pageBreakBefore w:val="0"/>
        <w:kinsoku/>
        <w:wordWrap/>
        <w:overflowPunct/>
        <w:topLinePunct w:val="0"/>
        <w:autoSpaceDE/>
        <w:autoSpaceDN/>
        <w:bidi w:val="0"/>
        <w:snapToGrid/>
        <w:spacing w:before="0" w:after="0" w:afterAutospacing="0"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2.1初步评审标准</w:t>
      </w:r>
      <w:bookmarkEnd w:id="298"/>
      <w:bookmarkEnd w:id="299"/>
      <w:bookmarkEnd w:id="300"/>
      <w:bookmarkEnd w:id="301"/>
      <w:bookmarkEnd w:id="302"/>
      <w:bookmarkEnd w:id="303"/>
      <w:bookmarkEnd w:id="304"/>
      <w:bookmarkEnd w:id="305"/>
    </w:p>
    <w:p w14:paraId="67502D86">
      <w:pPr>
        <w:keepNext w:val="0"/>
        <w:keepLines w:val="0"/>
        <w:pageBreakBefore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r>
        <w:rPr>
          <w:rFonts w:hint="eastAsia" w:ascii="宋体" w:hAnsi="宋体" w:eastAsia="宋体" w:cs="宋体"/>
          <w:color w:val="auto"/>
          <w:sz w:val="24"/>
          <w:szCs w:val="24"/>
          <w:highlight w:val="none"/>
          <w:lang w:eastAsia="zh-CN"/>
        </w:rPr>
        <w:t>符合性</w:t>
      </w:r>
      <w:r>
        <w:rPr>
          <w:rFonts w:hint="eastAsia" w:ascii="宋体" w:hAnsi="宋体" w:eastAsia="宋体" w:cs="宋体"/>
          <w:color w:val="auto"/>
          <w:sz w:val="24"/>
          <w:szCs w:val="24"/>
          <w:highlight w:val="none"/>
        </w:rPr>
        <w:t>评审标准：见</w:t>
      </w:r>
      <w:r>
        <w:rPr>
          <w:rFonts w:hint="eastAsia" w:ascii="宋体" w:hAnsi="宋体" w:eastAsia="宋体" w:cs="宋体"/>
          <w:color w:val="auto"/>
          <w:sz w:val="24"/>
          <w:szCs w:val="24"/>
          <w:highlight w:val="none"/>
          <w:lang w:eastAsia="zh-CN"/>
        </w:rPr>
        <w:t>磋商办法前附表</w:t>
      </w:r>
      <w:r>
        <w:rPr>
          <w:rFonts w:hint="eastAsia" w:ascii="宋体" w:hAnsi="宋体" w:eastAsia="宋体" w:cs="宋体"/>
          <w:color w:val="auto"/>
          <w:sz w:val="24"/>
          <w:szCs w:val="24"/>
          <w:highlight w:val="none"/>
        </w:rPr>
        <w:t>。</w:t>
      </w:r>
    </w:p>
    <w:p w14:paraId="737A73B4">
      <w:pPr>
        <w:keepNext w:val="0"/>
        <w:keepLines w:val="0"/>
        <w:pageBreakBefore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2.1.2资格</w:t>
      </w:r>
      <w:r>
        <w:rPr>
          <w:rFonts w:hint="eastAsia" w:ascii="宋体" w:hAnsi="宋体" w:eastAsia="宋体" w:cs="宋体"/>
          <w:color w:val="auto"/>
          <w:sz w:val="24"/>
          <w:szCs w:val="24"/>
          <w:highlight w:val="none"/>
          <w:lang w:eastAsia="zh-CN"/>
        </w:rPr>
        <w:t>性</w:t>
      </w:r>
      <w:r>
        <w:rPr>
          <w:rFonts w:hint="eastAsia" w:ascii="宋体" w:hAnsi="宋体" w:eastAsia="宋体" w:cs="宋体"/>
          <w:color w:val="auto"/>
          <w:sz w:val="24"/>
          <w:szCs w:val="24"/>
          <w:highlight w:val="none"/>
        </w:rPr>
        <w:t>评审标准：见</w:t>
      </w:r>
      <w:r>
        <w:rPr>
          <w:rFonts w:hint="eastAsia" w:ascii="宋体" w:hAnsi="宋体" w:eastAsia="宋体" w:cs="宋体"/>
          <w:color w:val="auto"/>
          <w:sz w:val="24"/>
          <w:szCs w:val="24"/>
          <w:highlight w:val="none"/>
          <w:lang w:eastAsia="zh-CN"/>
        </w:rPr>
        <w:t>磋商办法前附表</w:t>
      </w:r>
      <w:r>
        <w:rPr>
          <w:rFonts w:hint="eastAsia" w:ascii="宋体" w:hAnsi="宋体" w:eastAsia="宋体" w:cs="宋体"/>
          <w:color w:val="auto"/>
          <w:sz w:val="24"/>
          <w:szCs w:val="24"/>
          <w:highlight w:val="none"/>
        </w:rPr>
        <w:t>。</w:t>
      </w:r>
    </w:p>
    <w:p w14:paraId="3BAC2FD5">
      <w:pPr>
        <w:keepNext w:val="0"/>
        <w:keepLines w:val="0"/>
        <w:pageBreakBefore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r>
        <w:rPr>
          <w:rFonts w:hint="eastAsia" w:ascii="宋体" w:hAnsi="宋体" w:eastAsia="宋体" w:cs="宋体"/>
          <w:color w:val="auto"/>
          <w:sz w:val="24"/>
          <w:szCs w:val="24"/>
          <w:highlight w:val="none"/>
          <w:lang w:eastAsia="zh-CN"/>
        </w:rPr>
        <w:t>实质</w:t>
      </w:r>
      <w:r>
        <w:rPr>
          <w:rFonts w:hint="eastAsia" w:ascii="宋体" w:hAnsi="宋体" w:eastAsia="宋体" w:cs="宋体"/>
          <w:color w:val="auto"/>
          <w:sz w:val="24"/>
          <w:szCs w:val="24"/>
          <w:highlight w:val="none"/>
        </w:rPr>
        <w:t>响应性评审标准：见</w:t>
      </w:r>
      <w:r>
        <w:rPr>
          <w:rFonts w:hint="eastAsia" w:ascii="宋体" w:hAnsi="宋体" w:eastAsia="宋体" w:cs="宋体"/>
          <w:color w:val="auto"/>
          <w:sz w:val="24"/>
          <w:szCs w:val="24"/>
          <w:highlight w:val="none"/>
          <w:lang w:eastAsia="zh-CN"/>
        </w:rPr>
        <w:t>磋商办法前附表</w:t>
      </w:r>
      <w:r>
        <w:rPr>
          <w:rFonts w:hint="eastAsia" w:ascii="宋体" w:hAnsi="宋体" w:eastAsia="宋体" w:cs="宋体"/>
          <w:color w:val="auto"/>
          <w:sz w:val="24"/>
          <w:szCs w:val="24"/>
          <w:highlight w:val="none"/>
        </w:rPr>
        <w:t>。</w:t>
      </w:r>
    </w:p>
    <w:p w14:paraId="084FAB66">
      <w:pPr>
        <w:keepNext w:val="0"/>
        <w:keepLines w:val="0"/>
        <w:pageBreakBefore w:val="0"/>
        <w:kinsoku/>
        <w:wordWrap/>
        <w:overflowPunct/>
        <w:topLinePunct w:val="0"/>
        <w:autoSpaceDE/>
        <w:autoSpaceDN/>
        <w:bidi w:val="0"/>
        <w:snapToGrid/>
        <w:spacing w:before="0" w:after="0" w:afterAutospacing="0" w:line="360" w:lineRule="auto"/>
        <w:ind w:firstLine="480" w:firstLineChars="200"/>
        <w:jc w:val="left"/>
        <w:textAlignment w:val="auto"/>
        <w:outlineLvl w:val="9"/>
        <w:rPr>
          <w:rFonts w:hint="eastAsia" w:ascii="宋体" w:hAnsi="宋体" w:eastAsia="宋体" w:cs="宋体"/>
          <w:color w:val="auto"/>
          <w:sz w:val="24"/>
          <w:szCs w:val="24"/>
          <w:highlight w:val="none"/>
        </w:rPr>
      </w:pPr>
      <w:bookmarkStart w:id="306" w:name="_Toc247085761"/>
      <w:bookmarkStart w:id="307" w:name="_Toc296602491"/>
      <w:bookmarkStart w:id="308" w:name="_Toc179632621"/>
      <w:bookmarkStart w:id="309" w:name="_Toc144974570"/>
      <w:bookmarkStart w:id="310" w:name="_Toc246996989"/>
      <w:bookmarkStart w:id="311" w:name="_Toc152045603"/>
      <w:bookmarkStart w:id="312" w:name="_Toc152042380"/>
      <w:bookmarkStart w:id="313" w:name="_Toc246996246"/>
      <w:r>
        <w:rPr>
          <w:rFonts w:hint="eastAsia" w:ascii="宋体" w:hAnsi="宋体" w:eastAsia="宋体" w:cs="宋体"/>
          <w:color w:val="auto"/>
          <w:sz w:val="24"/>
          <w:szCs w:val="24"/>
          <w:highlight w:val="none"/>
        </w:rPr>
        <w:t>2.2分值构成与评分标准</w:t>
      </w:r>
      <w:bookmarkEnd w:id="306"/>
      <w:bookmarkEnd w:id="307"/>
      <w:bookmarkEnd w:id="308"/>
      <w:bookmarkEnd w:id="309"/>
      <w:bookmarkEnd w:id="310"/>
      <w:bookmarkEnd w:id="311"/>
      <w:bookmarkEnd w:id="312"/>
      <w:bookmarkEnd w:id="313"/>
    </w:p>
    <w:p w14:paraId="322AB32C">
      <w:pPr>
        <w:keepNext w:val="0"/>
        <w:keepLines w:val="0"/>
        <w:pageBreakBefore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2.2.1分值构成</w:t>
      </w:r>
    </w:p>
    <w:p w14:paraId="630FCFE4">
      <w:pPr>
        <w:keepNext w:val="0"/>
        <w:keepLines w:val="0"/>
        <w:pageBreakBefore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技术部分</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磋商办法前附表</w:t>
      </w:r>
      <w:r>
        <w:rPr>
          <w:rFonts w:hint="eastAsia" w:ascii="宋体" w:hAnsi="宋体" w:eastAsia="宋体" w:cs="宋体"/>
          <w:color w:val="auto"/>
          <w:sz w:val="24"/>
          <w:szCs w:val="24"/>
          <w:highlight w:val="none"/>
        </w:rPr>
        <w:t>；</w:t>
      </w:r>
    </w:p>
    <w:p w14:paraId="2EECC3BF">
      <w:pPr>
        <w:keepNext w:val="0"/>
        <w:keepLines w:val="0"/>
        <w:pageBreakBefore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投标报价</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磋商办法前附表</w:t>
      </w:r>
      <w:r>
        <w:rPr>
          <w:rFonts w:hint="eastAsia" w:ascii="宋体" w:hAnsi="宋体" w:eastAsia="宋体" w:cs="宋体"/>
          <w:color w:val="auto"/>
          <w:sz w:val="24"/>
          <w:szCs w:val="24"/>
          <w:highlight w:val="none"/>
        </w:rPr>
        <w:t>；</w:t>
      </w:r>
    </w:p>
    <w:p w14:paraId="5AE628D1">
      <w:pPr>
        <w:keepNext w:val="0"/>
        <w:keepLines w:val="0"/>
        <w:pageBreakBefore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商务部分</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磋商办法前附表</w:t>
      </w:r>
      <w:r>
        <w:rPr>
          <w:rFonts w:hint="eastAsia" w:ascii="宋体" w:hAnsi="宋体" w:eastAsia="宋体" w:cs="宋体"/>
          <w:color w:val="auto"/>
          <w:sz w:val="24"/>
          <w:szCs w:val="24"/>
          <w:highlight w:val="none"/>
        </w:rPr>
        <w:t>。</w:t>
      </w:r>
    </w:p>
    <w:p w14:paraId="0906A058">
      <w:pPr>
        <w:keepNext w:val="0"/>
        <w:keepLines w:val="0"/>
        <w:pageBreakBefore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评分标准</w:t>
      </w:r>
    </w:p>
    <w:p w14:paraId="000FE4A7">
      <w:pPr>
        <w:keepNext w:val="0"/>
        <w:keepLines w:val="0"/>
        <w:pageBreakBefore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技术部分</w:t>
      </w:r>
      <w:r>
        <w:rPr>
          <w:rFonts w:hint="eastAsia" w:ascii="宋体" w:hAnsi="宋体" w:eastAsia="宋体" w:cs="宋体"/>
          <w:color w:val="auto"/>
          <w:sz w:val="24"/>
          <w:szCs w:val="24"/>
          <w:highlight w:val="none"/>
        </w:rPr>
        <w:t>评分标准：见</w:t>
      </w:r>
      <w:r>
        <w:rPr>
          <w:rFonts w:hint="eastAsia" w:ascii="宋体" w:hAnsi="宋体" w:eastAsia="宋体" w:cs="宋体"/>
          <w:color w:val="auto"/>
          <w:sz w:val="24"/>
          <w:szCs w:val="24"/>
          <w:highlight w:val="none"/>
          <w:lang w:eastAsia="zh-CN"/>
        </w:rPr>
        <w:t>磋商办法前附表</w:t>
      </w:r>
      <w:r>
        <w:rPr>
          <w:rFonts w:hint="eastAsia" w:ascii="宋体" w:hAnsi="宋体" w:eastAsia="宋体" w:cs="宋体"/>
          <w:color w:val="auto"/>
          <w:sz w:val="24"/>
          <w:szCs w:val="24"/>
          <w:highlight w:val="none"/>
        </w:rPr>
        <w:t>；</w:t>
      </w:r>
    </w:p>
    <w:p w14:paraId="0FE22D9D">
      <w:pPr>
        <w:keepNext w:val="0"/>
        <w:keepLines w:val="0"/>
        <w:pageBreakBefore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投标报价</w:t>
      </w:r>
      <w:r>
        <w:rPr>
          <w:rFonts w:hint="eastAsia" w:ascii="宋体" w:hAnsi="宋体" w:eastAsia="宋体" w:cs="宋体"/>
          <w:color w:val="auto"/>
          <w:sz w:val="24"/>
          <w:szCs w:val="24"/>
          <w:highlight w:val="none"/>
        </w:rPr>
        <w:t>评分标准：见</w:t>
      </w:r>
      <w:r>
        <w:rPr>
          <w:rFonts w:hint="eastAsia" w:ascii="宋体" w:hAnsi="宋体" w:eastAsia="宋体" w:cs="宋体"/>
          <w:color w:val="auto"/>
          <w:sz w:val="24"/>
          <w:szCs w:val="24"/>
          <w:highlight w:val="none"/>
          <w:lang w:eastAsia="zh-CN"/>
        </w:rPr>
        <w:t>磋商办法前附表</w:t>
      </w:r>
      <w:r>
        <w:rPr>
          <w:rFonts w:hint="eastAsia" w:ascii="宋体" w:hAnsi="宋体" w:eastAsia="宋体" w:cs="宋体"/>
          <w:color w:val="auto"/>
          <w:sz w:val="24"/>
          <w:szCs w:val="24"/>
          <w:highlight w:val="none"/>
        </w:rPr>
        <w:t>；</w:t>
      </w:r>
    </w:p>
    <w:p w14:paraId="0045E3F1">
      <w:pPr>
        <w:keepNext w:val="0"/>
        <w:keepLines w:val="0"/>
        <w:pageBreakBefore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商务部分</w:t>
      </w:r>
      <w:r>
        <w:rPr>
          <w:rFonts w:hint="eastAsia" w:ascii="宋体" w:hAnsi="宋体" w:eastAsia="宋体" w:cs="宋体"/>
          <w:color w:val="auto"/>
          <w:sz w:val="24"/>
          <w:szCs w:val="24"/>
          <w:highlight w:val="none"/>
        </w:rPr>
        <w:t>评分标准：见</w:t>
      </w:r>
      <w:r>
        <w:rPr>
          <w:rFonts w:hint="eastAsia" w:ascii="宋体" w:hAnsi="宋体" w:eastAsia="宋体" w:cs="宋体"/>
          <w:color w:val="auto"/>
          <w:sz w:val="24"/>
          <w:szCs w:val="24"/>
          <w:highlight w:val="none"/>
          <w:lang w:eastAsia="zh-CN"/>
        </w:rPr>
        <w:t>磋商办法前附表</w:t>
      </w:r>
      <w:r>
        <w:rPr>
          <w:rFonts w:hint="eastAsia" w:ascii="宋体" w:hAnsi="宋体" w:eastAsia="宋体" w:cs="宋体"/>
          <w:color w:val="auto"/>
          <w:sz w:val="24"/>
          <w:szCs w:val="24"/>
          <w:highlight w:val="none"/>
        </w:rPr>
        <w:t>。</w:t>
      </w:r>
      <w:bookmarkStart w:id="314" w:name="_Toc296602492"/>
      <w:bookmarkStart w:id="315" w:name="_Toc247085762"/>
      <w:bookmarkStart w:id="316" w:name="_Toc144974571"/>
      <w:bookmarkStart w:id="317" w:name="_Toc246996247"/>
      <w:bookmarkStart w:id="318" w:name="_Toc152045604"/>
      <w:bookmarkStart w:id="319" w:name="_Toc246996990"/>
      <w:bookmarkStart w:id="320" w:name="_Toc179632622"/>
      <w:bookmarkStart w:id="321" w:name="_Toc152042381"/>
    </w:p>
    <w:p w14:paraId="673D7CDA">
      <w:pPr>
        <w:keepNext w:val="0"/>
        <w:keepLines w:val="0"/>
        <w:pageBreakBefore w:val="0"/>
        <w:kinsoku/>
        <w:wordWrap/>
        <w:overflowPunct/>
        <w:topLinePunct w:val="0"/>
        <w:autoSpaceDE/>
        <w:autoSpaceDN/>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3.评标程序</w:t>
      </w:r>
      <w:bookmarkEnd w:id="314"/>
      <w:bookmarkEnd w:id="315"/>
      <w:bookmarkEnd w:id="316"/>
      <w:bookmarkEnd w:id="317"/>
      <w:bookmarkEnd w:id="318"/>
      <w:bookmarkEnd w:id="319"/>
      <w:bookmarkEnd w:id="320"/>
      <w:bookmarkEnd w:id="321"/>
    </w:p>
    <w:p w14:paraId="36A8AF58">
      <w:pPr>
        <w:keepNext w:val="0"/>
        <w:keepLines w:val="0"/>
        <w:pageBreakBefore w:val="0"/>
        <w:kinsoku/>
        <w:wordWrap/>
        <w:overflowPunct/>
        <w:topLinePunct w:val="0"/>
        <w:autoSpaceDE/>
        <w:autoSpaceDN/>
        <w:bidi w:val="0"/>
        <w:snapToGrid/>
        <w:spacing w:before="0" w:after="0" w:afterAutospacing="0" w:line="360" w:lineRule="auto"/>
        <w:ind w:firstLine="480" w:firstLineChars="200"/>
        <w:jc w:val="left"/>
        <w:textAlignment w:val="auto"/>
        <w:outlineLvl w:val="9"/>
        <w:rPr>
          <w:rFonts w:hint="eastAsia" w:ascii="宋体" w:hAnsi="宋体" w:eastAsia="宋体" w:cs="宋体"/>
          <w:color w:val="auto"/>
          <w:sz w:val="24"/>
          <w:szCs w:val="24"/>
          <w:highlight w:val="none"/>
        </w:rPr>
      </w:pPr>
      <w:bookmarkStart w:id="322" w:name="_Toc179632623"/>
      <w:bookmarkStart w:id="323" w:name="_Toc152045605"/>
      <w:bookmarkStart w:id="324" w:name="_Toc144974572"/>
      <w:bookmarkStart w:id="325" w:name="_Toc246996248"/>
      <w:bookmarkStart w:id="326" w:name="_Toc246996991"/>
      <w:bookmarkStart w:id="327" w:name="_Toc152042382"/>
      <w:bookmarkStart w:id="328" w:name="_Toc247085763"/>
      <w:bookmarkStart w:id="329" w:name="_Toc296602493"/>
      <w:r>
        <w:rPr>
          <w:rFonts w:hint="eastAsia" w:ascii="宋体" w:hAnsi="宋体" w:eastAsia="宋体" w:cs="宋体"/>
          <w:color w:val="auto"/>
          <w:sz w:val="24"/>
          <w:szCs w:val="24"/>
          <w:highlight w:val="none"/>
        </w:rPr>
        <w:t>3.1初步评审</w:t>
      </w:r>
      <w:bookmarkEnd w:id="322"/>
      <w:bookmarkEnd w:id="323"/>
      <w:bookmarkEnd w:id="324"/>
      <w:bookmarkEnd w:id="325"/>
      <w:bookmarkEnd w:id="326"/>
      <w:bookmarkEnd w:id="327"/>
      <w:bookmarkEnd w:id="328"/>
      <w:bookmarkEnd w:id="329"/>
    </w:p>
    <w:p w14:paraId="7ED49D8B">
      <w:pPr>
        <w:keepNext w:val="0"/>
        <w:keepLines w:val="0"/>
        <w:pageBreakBefore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3.1.1磋商小组依据本章第2.1款规定的标准对磋商响应文件进行初步评审。有一项不符合评审标准的，磋商小组应当否决其投标。</w:t>
      </w:r>
    </w:p>
    <w:p w14:paraId="274F6B49">
      <w:pPr>
        <w:keepNext w:val="0"/>
        <w:keepLines w:val="0"/>
        <w:pageBreakBefore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3.1.2投标人有以下情形之一的，磋商小组应当否决其投标：</w:t>
      </w:r>
    </w:p>
    <w:p w14:paraId="66FBFC97">
      <w:pPr>
        <w:keepNext w:val="0"/>
        <w:keepLines w:val="0"/>
        <w:pageBreakBefore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62137ED0">
      <w:pPr>
        <w:keepNext w:val="0"/>
        <w:keepLines w:val="0"/>
        <w:pageBreakBefore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）不按磋商小组要求澄清、说明或补正的。</w:t>
      </w:r>
    </w:p>
    <w:p w14:paraId="126D9FD7">
      <w:pPr>
        <w:keepNext w:val="0"/>
        <w:keepLines w:val="0"/>
        <w:pageBreakBefore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3.1.3投标报价有算术错误的，磋商小组按以下原则对投标报价进行修正，修正的价格经投标人书面确认后具有约束力。投标人不接受修正价格的，磋商小组应当否决其投标。</w:t>
      </w:r>
    </w:p>
    <w:p w14:paraId="75D53F6D">
      <w:pPr>
        <w:keepNext w:val="0"/>
        <w:keepLines w:val="0"/>
        <w:pageBreakBefore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（1）磋商响应文件中的大写金额与小写金额不一致的，以大写金额为准；</w:t>
      </w:r>
    </w:p>
    <w:p w14:paraId="7AE945E6">
      <w:pPr>
        <w:keepNext w:val="0"/>
        <w:keepLines w:val="0"/>
        <w:pageBreakBefore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（2）总价金额与依据单价计算出的结果不一致的，以单价金额为准修正总价，但单价金额小数点有明显错误的除外。</w:t>
      </w:r>
    </w:p>
    <w:p w14:paraId="141A065C">
      <w:pPr>
        <w:keepNext w:val="0"/>
        <w:keepLines w:val="0"/>
        <w:pageBreakBefore w:val="0"/>
        <w:kinsoku/>
        <w:wordWrap/>
        <w:overflowPunct/>
        <w:topLinePunct w:val="0"/>
        <w:autoSpaceDE/>
        <w:autoSpaceDN/>
        <w:bidi w:val="0"/>
        <w:snapToGrid/>
        <w:spacing w:before="0" w:after="0" w:afterAutospacing="0" w:line="360" w:lineRule="auto"/>
        <w:ind w:firstLine="480" w:firstLineChars="200"/>
        <w:jc w:val="left"/>
        <w:textAlignment w:val="auto"/>
        <w:outlineLvl w:val="9"/>
        <w:rPr>
          <w:rFonts w:hint="eastAsia" w:ascii="宋体" w:hAnsi="宋体" w:eastAsia="宋体" w:cs="宋体"/>
          <w:color w:val="auto"/>
          <w:sz w:val="24"/>
          <w:szCs w:val="24"/>
          <w:highlight w:val="none"/>
        </w:rPr>
      </w:pPr>
      <w:bookmarkStart w:id="330" w:name="_Toc247085764"/>
      <w:bookmarkStart w:id="331" w:name="_Toc144974573"/>
      <w:bookmarkStart w:id="332" w:name="_Toc296602494"/>
      <w:bookmarkStart w:id="333" w:name="_Toc246996249"/>
      <w:bookmarkStart w:id="334" w:name="_Toc152042384"/>
      <w:bookmarkStart w:id="335" w:name="_Toc179632624"/>
      <w:bookmarkStart w:id="336" w:name="_Toc246996992"/>
      <w:bookmarkStart w:id="337" w:name="_Toc152045606"/>
      <w:r>
        <w:rPr>
          <w:rFonts w:hint="eastAsia" w:ascii="宋体" w:hAnsi="宋体" w:eastAsia="宋体" w:cs="宋体"/>
          <w:color w:val="auto"/>
          <w:sz w:val="24"/>
          <w:szCs w:val="24"/>
          <w:highlight w:val="none"/>
        </w:rPr>
        <w:t>3.2详细评审</w:t>
      </w:r>
      <w:bookmarkEnd w:id="330"/>
      <w:bookmarkEnd w:id="331"/>
      <w:bookmarkEnd w:id="332"/>
      <w:bookmarkEnd w:id="333"/>
      <w:bookmarkEnd w:id="334"/>
      <w:bookmarkEnd w:id="335"/>
      <w:bookmarkEnd w:id="336"/>
      <w:bookmarkEnd w:id="337"/>
    </w:p>
    <w:p w14:paraId="68D53DB3">
      <w:pPr>
        <w:keepNext w:val="0"/>
        <w:keepLines w:val="0"/>
        <w:pageBreakBefore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3.2.1磋商小组按本章第2.2款规定的量化因素和分值进行打分，并计算出综合评估得分。</w:t>
      </w:r>
    </w:p>
    <w:p w14:paraId="04CBCD27">
      <w:pPr>
        <w:keepNext w:val="0"/>
        <w:keepLines w:val="0"/>
        <w:pageBreakBefore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（1）按本章第2.2.2（1）目规定的评审因素和分值对</w:t>
      </w:r>
      <w:r>
        <w:rPr>
          <w:rFonts w:hint="eastAsia" w:ascii="宋体" w:hAnsi="宋体" w:eastAsia="宋体" w:cs="宋体"/>
          <w:color w:val="auto"/>
          <w:sz w:val="24"/>
          <w:szCs w:val="24"/>
          <w:highlight w:val="none"/>
          <w:lang w:eastAsia="zh-CN"/>
        </w:rPr>
        <w:t>技术部分</w:t>
      </w:r>
      <w:r>
        <w:rPr>
          <w:rFonts w:hint="eastAsia" w:ascii="宋体" w:hAnsi="宋体" w:eastAsia="宋体" w:cs="宋体"/>
          <w:color w:val="auto"/>
          <w:sz w:val="24"/>
          <w:szCs w:val="24"/>
          <w:highlight w:val="none"/>
        </w:rPr>
        <w:t>计算出得分；</w:t>
      </w:r>
    </w:p>
    <w:p w14:paraId="472981A5">
      <w:pPr>
        <w:keepNext w:val="0"/>
        <w:keepLines w:val="0"/>
        <w:pageBreakBefore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（2）按本章第2.2.2（2）目规定的评审因素和分值对</w:t>
      </w:r>
      <w:r>
        <w:rPr>
          <w:rFonts w:hint="eastAsia" w:ascii="宋体" w:hAnsi="宋体" w:eastAsia="宋体" w:cs="宋体"/>
          <w:color w:val="auto"/>
          <w:sz w:val="24"/>
          <w:szCs w:val="24"/>
          <w:highlight w:val="none"/>
          <w:lang w:eastAsia="zh-CN"/>
        </w:rPr>
        <w:t>投标报价</w:t>
      </w:r>
      <w:r>
        <w:rPr>
          <w:rFonts w:hint="eastAsia" w:ascii="宋体" w:hAnsi="宋体" w:eastAsia="宋体" w:cs="宋体"/>
          <w:color w:val="auto"/>
          <w:sz w:val="24"/>
          <w:szCs w:val="24"/>
          <w:highlight w:val="none"/>
        </w:rPr>
        <w:t>计算出得分；</w:t>
      </w:r>
    </w:p>
    <w:p w14:paraId="29157AD1">
      <w:pPr>
        <w:keepNext w:val="0"/>
        <w:keepLines w:val="0"/>
        <w:pageBreakBefore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（3）按本章第2.2.2（3）目规定的评审因素和分值对</w:t>
      </w:r>
      <w:r>
        <w:rPr>
          <w:rFonts w:hint="eastAsia" w:ascii="宋体" w:hAnsi="宋体" w:eastAsia="宋体" w:cs="宋体"/>
          <w:color w:val="auto"/>
          <w:sz w:val="24"/>
          <w:szCs w:val="24"/>
          <w:highlight w:val="none"/>
          <w:lang w:eastAsia="zh-CN"/>
        </w:rPr>
        <w:t>商务部分</w:t>
      </w:r>
      <w:r>
        <w:rPr>
          <w:rFonts w:hint="eastAsia" w:ascii="宋体" w:hAnsi="宋体" w:eastAsia="宋体" w:cs="宋体"/>
          <w:color w:val="auto"/>
          <w:sz w:val="24"/>
          <w:szCs w:val="24"/>
          <w:highlight w:val="none"/>
        </w:rPr>
        <w:t>计算出得分；</w:t>
      </w:r>
    </w:p>
    <w:p w14:paraId="79C4BDDF">
      <w:pPr>
        <w:keepNext w:val="0"/>
        <w:keepLines w:val="0"/>
        <w:pageBreakBefore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3.2.2评分分值计算过程中保留小数点后三位，最后投标人得分汇总时保留小数点后两位，小数点后第三位“四舍五入”。</w:t>
      </w:r>
    </w:p>
    <w:p w14:paraId="6F8C9FBA">
      <w:pPr>
        <w:keepNext w:val="0"/>
        <w:keepLines w:val="0"/>
        <w:pageBreakBefore w:val="0"/>
        <w:tabs>
          <w:tab w:val="center" w:pos="4677"/>
        </w:tabs>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3.2.3投标人得分=</w:t>
      </w:r>
      <w:r>
        <w:rPr>
          <w:rFonts w:hint="eastAsia" w:ascii="宋体" w:hAnsi="宋体" w:eastAsia="宋体" w:cs="宋体"/>
          <w:color w:val="auto"/>
          <w:sz w:val="24"/>
          <w:szCs w:val="24"/>
          <w:highlight w:val="none"/>
          <w:lang w:eastAsia="zh-CN"/>
        </w:rPr>
        <w:t>技术部分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投标报价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商务部分</w:t>
      </w:r>
      <w:r>
        <w:rPr>
          <w:rFonts w:hint="eastAsia" w:ascii="宋体" w:hAnsi="宋体" w:eastAsia="宋体" w:cs="宋体"/>
          <w:color w:val="auto"/>
          <w:sz w:val="24"/>
          <w:szCs w:val="24"/>
          <w:highlight w:val="none"/>
        </w:rPr>
        <w:t>。</w:t>
      </w:r>
    </w:p>
    <w:p w14:paraId="205393EF">
      <w:pPr>
        <w:keepNext w:val="0"/>
        <w:keepLines w:val="0"/>
        <w:pageBreakBefore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3.2.4在磋商小组完成对</w:t>
      </w:r>
      <w:r>
        <w:rPr>
          <w:rFonts w:hint="eastAsia" w:ascii="宋体" w:hAnsi="宋体" w:eastAsia="宋体" w:cs="宋体"/>
          <w:color w:val="auto"/>
          <w:sz w:val="24"/>
          <w:szCs w:val="24"/>
          <w:highlight w:val="none"/>
          <w:lang w:eastAsia="zh-CN"/>
        </w:rPr>
        <w:t>技术部分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投标报价</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商务部分</w:t>
      </w:r>
      <w:r>
        <w:rPr>
          <w:rFonts w:hint="eastAsia" w:ascii="宋体" w:hAnsi="宋体" w:eastAsia="宋体" w:cs="宋体"/>
          <w:color w:val="auto"/>
          <w:sz w:val="24"/>
          <w:szCs w:val="24"/>
          <w:highlight w:val="none"/>
        </w:rPr>
        <w:t>的汇总后取平均值，作为该投标人的最终得分。</w:t>
      </w:r>
    </w:p>
    <w:p w14:paraId="06FB2BEB">
      <w:pPr>
        <w:keepNext w:val="0"/>
        <w:keepLines w:val="0"/>
        <w:pageBreakBefore w:val="0"/>
        <w:tabs>
          <w:tab w:val="center" w:pos="4677"/>
        </w:tabs>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磋商小组发现投标人的报价明显低于其他投标报价，使得其投标报价可能低于其个别成本的，应当要求该投标人做出书面说明并提供相应的证明材料。投标人不能合理说明或者不能提供相应证明材料的，磋商小组应当认定该投标人以低于成本报价竞标，否决其投标。</w:t>
      </w:r>
    </w:p>
    <w:p w14:paraId="46C7FCFF">
      <w:pPr>
        <w:keepNext w:val="0"/>
        <w:keepLines w:val="0"/>
        <w:pageBreakBefore w:val="0"/>
        <w:kinsoku/>
        <w:wordWrap/>
        <w:overflowPunct/>
        <w:topLinePunct w:val="0"/>
        <w:autoSpaceDE/>
        <w:autoSpaceDN/>
        <w:bidi w:val="0"/>
        <w:snapToGrid/>
        <w:spacing w:before="0" w:after="0" w:afterAutospacing="0" w:line="360" w:lineRule="auto"/>
        <w:ind w:firstLine="480" w:firstLineChars="200"/>
        <w:jc w:val="left"/>
        <w:textAlignment w:val="auto"/>
        <w:outlineLvl w:val="9"/>
        <w:rPr>
          <w:rFonts w:hint="eastAsia" w:ascii="宋体" w:hAnsi="宋体" w:eastAsia="宋体" w:cs="宋体"/>
          <w:color w:val="auto"/>
          <w:sz w:val="24"/>
          <w:szCs w:val="24"/>
          <w:highlight w:val="none"/>
        </w:rPr>
      </w:pPr>
      <w:bookmarkStart w:id="338" w:name="_Toc144974575"/>
      <w:bookmarkStart w:id="339" w:name="_Toc152042385"/>
      <w:bookmarkStart w:id="340" w:name="_Toc247085765"/>
      <w:bookmarkStart w:id="341" w:name="_Toc296602495"/>
      <w:bookmarkStart w:id="342" w:name="_Toc246996993"/>
      <w:bookmarkStart w:id="343" w:name="_Toc152045607"/>
      <w:bookmarkStart w:id="344" w:name="_Toc179632625"/>
      <w:bookmarkStart w:id="345" w:name="_Toc246996250"/>
      <w:r>
        <w:rPr>
          <w:rFonts w:hint="eastAsia" w:ascii="宋体" w:hAnsi="宋体" w:eastAsia="宋体" w:cs="宋体"/>
          <w:color w:val="auto"/>
          <w:sz w:val="24"/>
          <w:szCs w:val="24"/>
          <w:highlight w:val="none"/>
        </w:rPr>
        <w:t>3.3磋商响应文件的澄清</w:t>
      </w:r>
      <w:bookmarkEnd w:id="338"/>
      <w:r>
        <w:rPr>
          <w:rFonts w:hint="eastAsia" w:ascii="宋体" w:hAnsi="宋体" w:eastAsia="宋体" w:cs="宋体"/>
          <w:color w:val="auto"/>
          <w:sz w:val="24"/>
          <w:szCs w:val="24"/>
          <w:highlight w:val="none"/>
        </w:rPr>
        <w:t>和补正</w:t>
      </w:r>
      <w:bookmarkEnd w:id="339"/>
      <w:bookmarkEnd w:id="340"/>
      <w:bookmarkEnd w:id="341"/>
      <w:bookmarkEnd w:id="342"/>
      <w:bookmarkEnd w:id="343"/>
      <w:bookmarkEnd w:id="344"/>
      <w:bookmarkEnd w:id="345"/>
    </w:p>
    <w:p w14:paraId="2ECE6153">
      <w:pPr>
        <w:keepNext w:val="0"/>
        <w:keepLines w:val="0"/>
        <w:pageBreakBefore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3.3.1在评标过程中，磋商小组可以书面形式要求投标人对所提交磋商响应文件中不明确的内容进行书面澄清或说明，或者对细微偏差进行补正。磋商小组不接受投标人主动提出的澄清、说明或补正。</w:t>
      </w:r>
    </w:p>
    <w:p w14:paraId="5C1F70EC">
      <w:pPr>
        <w:keepNext w:val="0"/>
        <w:keepLines w:val="0"/>
        <w:pageBreakBefore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3.3.2澄清、说明和补正不得改变磋商响应文件的实质性内容。投标人的书面澄清、说明和补正属于磋商响应文件的组成部分。</w:t>
      </w:r>
    </w:p>
    <w:p w14:paraId="79BC325A">
      <w:pPr>
        <w:keepNext w:val="0"/>
        <w:keepLines w:val="0"/>
        <w:pageBreakBefore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3.3.3磋商小组对投标人提交的澄清、说明或补正有疑问的，可以要求投标人进一步澄清、说明或补正，直至满足磋商小组的要求。</w:t>
      </w:r>
    </w:p>
    <w:p w14:paraId="3D3609D0">
      <w:pPr>
        <w:keepNext w:val="0"/>
        <w:keepLines w:val="0"/>
        <w:pageBreakBefore w:val="0"/>
        <w:kinsoku/>
        <w:wordWrap/>
        <w:overflowPunct/>
        <w:topLinePunct w:val="0"/>
        <w:autoSpaceDE/>
        <w:autoSpaceDN/>
        <w:bidi w:val="0"/>
        <w:snapToGrid/>
        <w:spacing w:before="0" w:after="0" w:afterAutospacing="0"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bookmarkStart w:id="346" w:name="_Toc247085766"/>
      <w:bookmarkStart w:id="347" w:name="_Toc246996994"/>
      <w:bookmarkStart w:id="348" w:name="_Toc179632626"/>
      <w:bookmarkStart w:id="349" w:name="_Toc152045608"/>
      <w:bookmarkStart w:id="350" w:name="_Toc152042386"/>
      <w:bookmarkStart w:id="351" w:name="_Toc144974576"/>
      <w:bookmarkStart w:id="352" w:name="_Toc246996251"/>
      <w:bookmarkStart w:id="353" w:name="_Toc296602496"/>
      <w:r>
        <w:rPr>
          <w:rFonts w:hint="eastAsia" w:ascii="宋体" w:hAnsi="宋体" w:eastAsia="宋体" w:cs="宋体"/>
          <w:color w:val="auto"/>
          <w:sz w:val="24"/>
          <w:szCs w:val="24"/>
          <w:highlight w:val="none"/>
        </w:rPr>
        <w:t>3.4评标结</w:t>
      </w:r>
      <w:r>
        <w:rPr>
          <w:rFonts w:hint="eastAsia" w:ascii="宋体" w:hAnsi="宋体" w:eastAsia="宋体" w:cs="宋体"/>
          <w:color w:val="auto"/>
          <w:sz w:val="24"/>
          <w:szCs w:val="24"/>
          <w:highlight w:val="none"/>
          <w:lang w:val="en-US" w:eastAsia="zh-CN"/>
        </w:rPr>
        <w:t>果</w:t>
      </w:r>
      <w:bookmarkEnd w:id="346"/>
      <w:bookmarkEnd w:id="347"/>
      <w:bookmarkEnd w:id="348"/>
      <w:bookmarkEnd w:id="349"/>
      <w:bookmarkEnd w:id="350"/>
      <w:bookmarkEnd w:id="351"/>
      <w:bookmarkEnd w:id="352"/>
      <w:bookmarkEnd w:id="353"/>
    </w:p>
    <w:p w14:paraId="48DFEBB0">
      <w:pPr>
        <w:keepNext w:val="0"/>
        <w:keepLines w:val="0"/>
        <w:pageBreakBefore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3.4.1磋商小组按照得分由高到低的顺序推荐成交候选人</w:t>
      </w:r>
      <w:r>
        <w:rPr>
          <w:rFonts w:hint="eastAsia" w:ascii="宋体" w:hAnsi="宋体" w:eastAsia="宋体" w:cs="宋体"/>
          <w:color w:val="auto"/>
          <w:sz w:val="24"/>
          <w:szCs w:val="24"/>
          <w:highlight w:val="none"/>
          <w:lang w:val="en-US" w:eastAsia="zh-CN"/>
        </w:rPr>
        <w:t>3名</w:t>
      </w:r>
      <w:r>
        <w:rPr>
          <w:rFonts w:hint="eastAsia" w:ascii="宋体" w:hAnsi="宋体" w:eastAsia="宋体" w:cs="宋体"/>
          <w:color w:val="auto"/>
          <w:sz w:val="24"/>
          <w:szCs w:val="24"/>
          <w:highlight w:val="none"/>
        </w:rPr>
        <w:t>。</w:t>
      </w:r>
    </w:p>
    <w:p w14:paraId="14F66B9A">
      <w:pPr>
        <w:keepNext w:val="0"/>
        <w:keepLines w:val="0"/>
        <w:pageBreakBefore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3.4.2磋商小组完成评标后，应当向招标人提交书面评标报告。</w:t>
      </w:r>
    </w:p>
    <w:p w14:paraId="03EBB98C">
      <w:pPr>
        <w:keepNext w:val="0"/>
        <w:keepLines w:val="0"/>
        <w:pageBreakBefore w:val="0"/>
        <w:kinsoku/>
        <w:wordWrap/>
        <w:overflowPunct/>
        <w:topLinePunct w:val="0"/>
        <w:autoSpaceDE/>
        <w:autoSpaceDN/>
        <w:bidi w:val="0"/>
        <w:snapToGrid/>
        <w:spacing w:line="360" w:lineRule="auto"/>
        <w:textAlignment w:val="auto"/>
        <w:outlineLvl w:val="9"/>
        <w:rPr>
          <w:rFonts w:hint="eastAsia" w:ascii="宋体" w:hAnsi="宋体" w:eastAsia="宋体" w:cs="宋体"/>
          <w:bCs/>
          <w:sz w:val="24"/>
        </w:rPr>
      </w:pPr>
      <w:r>
        <w:rPr>
          <w:rFonts w:hint="eastAsia" w:ascii="宋体" w:hAnsi="宋体" w:eastAsia="宋体" w:cs="宋体"/>
          <w:bCs/>
          <w:sz w:val="24"/>
        </w:rPr>
        <w:br w:type="page"/>
      </w:r>
    </w:p>
    <w:p w14:paraId="2E334C9D">
      <w:pPr>
        <w:pageBreakBefore w:val="0"/>
        <w:kinsoku/>
        <w:overflowPunct/>
        <w:bidi w:val="0"/>
        <w:spacing w:line="360" w:lineRule="auto"/>
        <w:jc w:val="center"/>
        <w:outlineLvl w:val="0"/>
        <w:rPr>
          <w:rFonts w:hint="eastAsia" w:ascii="宋体" w:hAnsi="宋体" w:eastAsia="宋体" w:cs="宋体"/>
          <w:b/>
          <w:sz w:val="24"/>
          <w:szCs w:val="24"/>
        </w:rPr>
      </w:pPr>
      <w:bookmarkStart w:id="354" w:name="_Toc12328"/>
      <w:bookmarkStart w:id="355" w:name="_Toc6248"/>
      <w:r>
        <w:rPr>
          <w:rFonts w:hint="eastAsia" w:ascii="宋体" w:hAnsi="宋体" w:eastAsia="宋体" w:cs="宋体"/>
          <w:b/>
          <w:sz w:val="24"/>
          <w:szCs w:val="24"/>
        </w:rPr>
        <w:t>第五章  合同条款及格式</w:t>
      </w:r>
      <w:bookmarkEnd w:id="354"/>
      <w:bookmarkEnd w:id="355"/>
    </w:p>
    <w:p w14:paraId="1545B05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color w:val="000000"/>
          <w:sz w:val="28"/>
          <w:szCs w:val="28"/>
        </w:rPr>
      </w:pPr>
      <w:bookmarkStart w:id="356" w:name="_Toc382132891"/>
      <w:bookmarkStart w:id="357" w:name="_Toc374977598"/>
      <w:bookmarkStart w:id="358" w:name="_Toc28703"/>
      <w:bookmarkStart w:id="359" w:name="_Toc382220026"/>
      <w:bookmarkStart w:id="360" w:name="_Toc4324"/>
      <w:r>
        <w:rPr>
          <w:rFonts w:hint="eastAsia" w:ascii="宋体" w:hAnsi="宋体" w:eastAsia="宋体" w:cs="宋体"/>
          <w:b/>
          <w:bCs/>
          <w:sz w:val="28"/>
          <w:szCs w:val="28"/>
        </w:rPr>
        <w:t>第一部分  合同协议书</w:t>
      </w:r>
      <w:bookmarkEnd w:id="356"/>
      <w:bookmarkEnd w:id="357"/>
      <w:bookmarkEnd w:id="358"/>
      <w:bookmarkEnd w:id="359"/>
      <w:bookmarkEnd w:id="360"/>
    </w:p>
    <w:p w14:paraId="2AD0F2C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000000"/>
          <w:sz w:val="24"/>
          <w:szCs w:val="24"/>
          <w:u w:val="single"/>
        </w:rPr>
      </w:pPr>
      <w:r>
        <w:rPr>
          <w:rFonts w:hint="eastAsia" w:ascii="宋体" w:hAnsi="宋体" w:eastAsia="宋体" w:cs="宋体"/>
          <w:b/>
          <w:bCs/>
          <w:color w:val="000000"/>
          <w:sz w:val="24"/>
          <w:szCs w:val="24"/>
        </w:rPr>
        <w:t>发包人（全称）：</w:t>
      </w:r>
      <w:r>
        <w:rPr>
          <w:rFonts w:hint="eastAsia" w:ascii="宋体" w:hAnsi="宋体" w:eastAsia="宋体" w:cs="宋体"/>
          <w:b/>
          <w:sz w:val="24"/>
          <w:szCs w:val="24"/>
          <w:u w:val="single"/>
        </w:rPr>
        <w:t xml:space="preserve">               </w:t>
      </w:r>
    </w:p>
    <w:p w14:paraId="7D75EFB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000000"/>
          <w:sz w:val="24"/>
          <w:szCs w:val="24"/>
          <w:u w:val="single"/>
        </w:rPr>
      </w:pPr>
      <w:r>
        <w:rPr>
          <w:rFonts w:hint="eastAsia" w:ascii="宋体" w:hAnsi="宋体" w:eastAsia="宋体" w:cs="宋体"/>
          <w:b/>
          <w:bCs/>
          <w:color w:val="000000"/>
          <w:sz w:val="24"/>
          <w:szCs w:val="24"/>
        </w:rPr>
        <w:t>承包人（全称）：</w:t>
      </w:r>
      <w:r>
        <w:rPr>
          <w:rFonts w:hint="eastAsia" w:ascii="宋体" w:hAnsi="宋体" w:eastAsia="宋体" w:cs="宋体"/>
          <w:b/>
          <w:bCs/>
          <w:color w:val="000000"/>
          <w:sz w:val="24"/>
          <w:szCs w:val="24"/>
          <w:u w:val="single"/>
        </w:rPr>
        <w:t xml:space="preserve">                </w:t>
      </w:r>
    </w:p>
    <w:p w14:paraId="588A0F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根据《中华人民共和国民法典》、《中华人民共和国建筑法》及有关法律规定，遵循平等、自愿、公平和诚实信用的原则，双方就</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施工及有关事项协商一致，共同达成如下协议：</w:t>
      </w:r>
    </w:p>
    <w:p w14:paraId="7C3D06E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000000"/>
          <w:sz w:val="24"/>
          <w:szCs w:val="24"/>
        </w:rPr>
      </w:pPr>
      <w:bookmarkStart w:id="361" w:name="_Toc351203481"/>
      <w:r>
        <w:rPr>
          <w:rFonts w:hint="eastAsia" w:ascii="宋体" w:hAnsi="宋体" w:eastAsia="宋体" w:cs="宋体"/>
          <w:b/>
          <w:bCs/>
          <w:color w:val="000000"/>
          <w:sz w:val="24"/>
          <w:szCs w:val="24"/>
        </w:rPr>
        <w:t>一、工程概况</w:t>
      </w:r>
      <w:bookmarkEnd w:id="361"/>
    </w:p>
    <w:p w14:paraId="6E1361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u w:val="single"/>
        </w:rPr>
      </w:pPr>
      <w:r>
        <w:rPr>
          <w:rFonts w:hint="eastAsia" w:ascii="宋体" w:hAnsi="宋体" w:eastAsia="宋体" w:cs="宋体"/>
          <w:color w:val="000000"/>
          <w:sz w:val="24"/>
          <w:szCs w:val="24"/>
        </w:rPr>
        <w:t>1.工程名称：</w:t>
      </w:r>
      <w:r>
        <w:rPr>
          <w:rFonts w:hint="eastAsia" w:ascii="宋体" w:hAnsi="宋体" w:eastAsia="宋体" w:cs="宋体"/>
          <w:sz w:val="24"/>
          <w:szCs w:val="24"/>
          <w:u w:val="single"/>
        </w:rPr>
        <w:t xml:space="preserve">                      </w:t>
      </w:r>
    </w:p>
    <w:p w14:paraId="3C862C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2.工程地点：</w:t>
      </w:r>
      <w:r>
        <w:rPr>
          <w:rFonts w:hint="eastAsia" w:ascii="宋体" w:hAnsi="宋体" w:eastAsia="宋体" w:cs="宋体"/>
          <w:sz w:val="24"/>
          <w:szCs w:val="24"/>
          <w:u w:val="single"/>
        </w:rPr>
        <w:t xml:space="preserve">                      </w:t>
      </w:r>
    </w:p>
    <w:p w14:paraId="0CC252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3.工程立项批准文号：</w:t>
      </w:r>
    </w:p>
    <w:p w14:paraId="31B649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4.资金来源：财政资金 </w:t>
      </w:r>
    </w:p>
    <w:p w14:paraId="6C944F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5.工程内容：详见磋商文件、工程量清单全部内容等；</w:t>
      </w:r>
    </w:p>
    <w:p w14:paraId="7D337A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群体工程应附《承包人承揽工程项目一览表》（附件1）。</w:t>
      </w:r>
    </w:p>
    <w:p w14:paraId="027437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6.工程承包范围：具体以工程量清单为准。</w:t>
      </w:r>
    </w:p>
    <w:p w14:paraId="512A322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000000"/>
          <w:sz w:val="24"/>
          <w:szCs w:val="24"/>
        </w:rPr>
      </w:pPr>
      <w:bookmarkStart w:id="362" w:name="_Toc351203482"/>
      <w:r>
        <w:rPr>
          <w:rFonts w:hint="eastAsia" w:ascii="宋体" w:hAnsi="宋体" w:eastAsia="宋体" w:cs="宋体"/>
          <w:b/>
          <w:bCs/>
          <w:color w:val="000000"/>
          <w:sz w:val="24"/>
          <w:szCs w:val="24"/>
        </w:rPr>
        <w:t>二、合同工期</w:t>
      </w:r>
      <w:bookmarkEnd w:id="362"/>
    </w:p>
    <w:p w14:paraId="5886EC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计划开工日期：</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日。</w:t>
      </w:r>
    </w:p>
    <w:p w14:paraId="35C111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计划竣工日期：</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日。</w:t>
      </w:r>
    </w:p>
    <w:p w14:paraId="398EF0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工期总日历天数：</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日历天 ，工期总日历天数与根据前述计划开竣工日期计算的工期天数不一致的，以工期总日历天数为准。</w:t>
      </w:r>
    </w:p>
    <w:p w14:paraId="303A74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000000"/>
          <w:sz w:val="24"/>
          <w:szCs w:val="24"/>
        </w:rPr>
      </w:pPr>
      <w:bookmarkStart w:id="363" w:name="_Toc351203483"/>
      <w:r>
        <w:rPr>
          <w:rFonts w:hint="eastAsia" w:ascii="宋体" w:hAnsi="宋体" w:eastAsia="宋体" w:cs="宋体"/>
          <w:b/>
          <w:bCs/>
          <w:color w:val="000000"/>
          <w:sz w:val="24"/>
          <w:szCs w:val="24"/>
        </w:rPr>
        <w:t>三、质量标准</w:t>
      </w:r>
      <w:bookmarkEnd w:id="363"/>
    </w:p>
    <w:p w14:paraId="1F2310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符合国家或行业规定的合格标准</w:t>
      </w:r>
    </w:p>
    <w:p w14:paraId="5F80F27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color w:val="000000"/>
          <w:sz w:val="24"/>
          <w:szCs w:val="24"/>
        </w:rPr>
      </w:pPr>
      <w:r>
        <w:rPr>
          <w:rFonts w:hint="eastAsia" w:ascii="宋体" w:hAnsi="宋体" w:eastAsia="宋体" w:cs="宋体"/>
          <w:b/>
          <w:bCs/>
          <w:color w:val="000000"/>
          <w:sz w:val="24"/>
          <w:szCs w:val="24"/>
        </w:rPr>
        <w:t>四、签约合同价与合同价格形式</w:t>
      </w:r>
      <w:r>
        <w:rPr>
          <w:rFonts w:hint="eastAsia" w:ascii="宋体" w:hAnsi="宋体" w:eastAsia="宋体" w:cs="宋体"/>
          <w:color w:val="000000"/>
          <w:sz w:val="24"/>
          <w:szCs w:val="24"/>
        </w:rPr>
        <w:tab/>
      </w:r>
    </w:p>
    <w:p w14:paraId="3BCAA4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1.签约合同价为：</w:t>
      </w:r>
    </w:p>
    <w:p w14:paraId="7027E9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）(小写：</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元)；</w:t>
      </w:r>
    </w:p>
    <w:p w14:paraId="73AF2F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其中：</w:t>
      </w:r>
    </w:p>
    <w:p w14:paraId="6DBB9E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（1）安全文明施工费：</w:t>
      </w:r>
    </w:p>
    <w:p w14:paraId="527100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）(小写：</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元)；</w:t>
      </w:r>
    </w:p>
    <w:p w14:paraId="574D68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（2）材料和工程设备暂估价金额：</w:t>
      </w:r>
    </w:p>
    <w:p w14:paraId="1096EE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）(小写：</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元)；</w:t>
      </w:r>
    </w:p>
    <w:p w14:paraId="1B1156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（3）专业工程暂估价金额：</w:t>
      </w:r>
    </w:p>
    <w:p w14:paraId="7B470D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）(小写：</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元)；</w:t>
      </w:r>
    </w:p>
    <w:p w14:paraId="65DA5A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（4）暂列金额：</w:t>
      </w:r>
    </w:p>
    <w:p w14:paraId="614561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）(小写：</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元)。</w:t>
      </w:r>
    </w:p>
    <w:p w14:paraId="690BF0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2.合同价格形式：</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固定单价合同  </w:t>
      </w:r>
      <w:r>
        <w:rPr>
          <w:rFonts w:hint="eastAsia" w:ascii="宋体" w:hAnsi="宋体" w:eastAsia="宋体" w:cs="宋体"/>
          <w:color w:val="000000"/>
          <w:sz w:val="24"/>
          <w:szCs w:val="24"/>
        </w:rPr>
        <w:t>。</w:t>
      </w:r>
    </w:p>
    <w:p w14:paraId="6D67512B">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五、项目经理</w:t>
      </w:r>
    </w:p>
    <w:p w14:paraId="2CDB56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承包人项目经理：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z w:val="24"/>
          <w:szCs w:val="24"/>
        </w:rPr>
        <w:t>。</w:t>
      </w:r>
    </w:p>
    <w:p w14:paraId="0F6CDF77">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六、合同文件构成</w:t>
      </w:r>
    </w:p>
    <w:p w14:paraId="237503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本协议书与下列文件一起构成合同文件：</w:t>
      </w:r>
    </w:p>
    <w:p w14:paraId="19D3C0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（1）成交通知书（如果有）；</w:t>
      </w:r>
    </w:p>
    <w:p w14:paraId="675908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（2）响应函及其附录（如果有）； </w:t>
      </w:r>
    </w:p>
    <w:p w14:paraId="09B7EE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（3）专用合同条款及其附件；</w:t>
      </w:r>
    </w:p>
    <w:p w14:paraId="14DDDE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（4）通用合同条款；</w:t>
      </w:r>
    </w:p>
    <w:p w14:paraId="4A16A7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lang w:eastAsia="zh-CN"/>
        </w:rPr>
        <w:t>技术部分</w:t>
      </w:r>
      <w:r>
        <w:rPr>
          <w:rFonts w:hint="eastAsia" w:ascii="宋体" w:hAnsi="宋体" w:eastAsia="宋体" w:cs="宋体"/>
          <w:color w:val="000000"/>
          <w:sz w:val="24"/>
          <w:szCs w:val="24"/>
        </w:rPr>
        <w:t>准和要求；</w:t>
      </w:r>
    </w:p>
    <w:p w14:paraId="391DA3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（6）已标价工程量清单或预算书；</w:t>
      </w:r>
    </w:p>
    <w:p w14:paraId="33906E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（7）其他合同文件。</w:t>
      </w:r>
    </w:p>
    <w:p w14:paraId="7820DD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在合同订立及履行过程中形成的与合同有关的文件均构成合同文件组成部分。</w:t>
      </w:r>
    </w:p>
    <w:p w14:paraId="187317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上述各项合同文件包括合同当事人就该项合同文件所作出的补充和修改，属于同一类内容的文件，应以最新签署的为准。专用合同条款及其附件须经合同当事人签字或盖章。</w:t>
      </w:r>
    </w:p>
    <w:p w14:paraId="088DBF20">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七、承诺</w:t>
      </w:r>
    </w:p>
    <w:p w14:paraId="0BF7A0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1.发包人承诺按照法律规定履行项目审批手续、筹集工程建设资金并按照合同约定的期限和方式支付合同价款。</w:t>
      </w:r>
    </w:p>
    <w:p w14:paraId="7A015B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2.承包人承诺按照法律规定及合同约定组织完成工程施工，确保工程质量和安全，不进行转包及违法分包，并在缺陷责任期及保修期内承担相应的工程维修责任。</w:t>
      </w:r>
    </w:p>
    <w:p w14:paraId="39C50C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3.发包人和承包人通过招投标形式签订合同的，双方理解并承诺不再就同一工程另行签订与合同实质性内容相背离的协议。</w:t>
      </w:r>
    </w:p>
    <w:p w14:paraId="00ACEE7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color w:val="000000"/>
          <w:sz w:val="24"/>
          <w:szCs w:val="24"/>
        </w:rPr>
      </w:pPr>
      <w:r>
        <w:rPr>
          <w:rFonts w:hint="eastAsia" w:ascii="宋体" w:hAnsi="宋体" w:eastAsia="宋体" w:cs="宋体"/>
          <w:b/>
          <w:color w:val="000000"/>
          <w:sz w:val="24"/>
          <w:szCs w:val="24"/>
        </w:rPr>
        <w:t>八、词语含义</w:t>
      </w:r>
    </w:p>
    <w:p w14:paraId="2F89CE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本协议书中词语含义与第二部分通用合同条款中赋予的含义相同。</w:t>
      </w:r>
    </w:p>
    <w:p w14:paraId="61B7B69A">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九、签订时间</w:t>
      </w:r>
    </w:p>
    <w:p w14:paraId="77E36A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本合同于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日签订。</w:t>
      </w:r>
    </w:p>
    <w:p w14:paraId="3CA70AD2">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十、签订地点</w:t>
      </w:r>
    </w:p>
    <w:p w14:paraId="3A4C1C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本合同在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签订。</w:t>
      </w:r>
    </w:p>
    <w:p w14:paraId="0A398860">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十一、补充协议</w:t>
      </w:r>
    </w:p>
    <w:p w14:paraId="482611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color w:val="000000"/>
          <w:sz w:val="24"/>
          <w:szCs w:val="24"/>
        </w:rPr>
      </w:pPr>
      <w:r>
        <w:rPr>
          <w:rFonts w:hint="eastAsia" w:ascii="宋体" w:hAnsi="宋体" w:eastAsia="宋体" w:cs="宋体"/>
          <w:color w:val="000000"/>
          <w:sz w:val="24"/>
          <w:szCs w:val="24"/>
        </w:rPr>
        <w:t>合同未尽事宜，合同当事人另行签订补充协议，补充协议是合同的组成部分。</w:t>
      </w:r>
    </w:p>
    <w:p w14:paraId="25969CE8">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十二、合同生效</w:t>
      </w:r>
    </w:p>
    <w:p w14:paraId="7A139F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本合同自</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生效。</w:t>
      </w:r>
    </w:p>
    <w:p w14:paraId="31616123">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十三、合同份数</w:t>
      </w:r>
    </w:p>
    <w:p w14:paraId="1B6C29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本合同一式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份，均具有同等法律效力，发包人执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份，承包人执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份。</w:t>
      </w:r>
    </w:p>
    <w:p w14:paraId="44EEF95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sz w:val="24"/>
          <w:szCs w:val="24"/>
        </w:rPr>
      </w:pPr>
    </w:p>
    <w:p w14:paraId="10AC83A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包</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人：(单位公章)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承</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包</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人：(单位公章)</w:t>
      </w:r>
    </w:p>
    <w:p w14:paraId="518FA66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法定代表人或其委托代理人：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法定代表人或其委托代理人：</w:t>
      </w:r>
    </w:p>
    <w:p w14:paraId="6F81467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（签字）                                 （签字）</w:t>
      </w:r>
    </w:p>
    <w:p w14:paraId="53E60B6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地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址：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地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址：</w:t>
      </w:r>
    </w:p>
    <w:p w14:paraId="1A23B32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邮政编码：</w:t>
      </w:r>
    </w:p>
    <w:p w14:paraId="5125BB6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电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话：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电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话：</w:t>
      </w:r>
    </w:p>
    <w:p w14:paraId="4FB3803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开户银行：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开户银行：</w:t>
      </w:r>
    </w:p>
    <w:p w14:paraId="5E5F43D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账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号：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账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号：</w:t>
      </w:r>
    </w:p>
    <w:p w14:paraId="57D6737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日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期：                                 日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期：</w:t>
      </w:r>
    </w:p>
    <w:p w14:paraId="7076854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sz w:val="24"/>
          <w:szCs w:val="24"/>
        </w:rPr>
      </w:pPr>
      <w:r>
        <w:rPr>
          <w:rFonts w:hint="eastAsia" w:ascii="宋体" w:hAnsi="宋体" w:eastAsia="宋体" w:cs="宋体"/>
          <w:b/>
          <w:color w:val="000000"/>
          <w:sz w:val="24"/>
          <w:szCs w:val="24"/>
        </w:rPr>
        <w:br w:type="page"/>
      </w:r>
      <w:r>
        <w:rPr>
          <w:rFonts w:hint="eastAsia" w:ascii="宋体" w:hAnsi="宋体" w:eastAsia="宋体" w:cs="宋体"/>
          <w:b/>
          <w:bCs/>
          <w:sz w:val="28"/>
          <w:szCs w:val="28"/>
        </w:rPr>
        <w:t>第二部分  通用条款</w:t>
      </w:r>
    </w:p>
    <w:p w14:paraId="10F36DFF">
      <w:pPr>
        <w:keepNext w:val="0"/>
        <w:keepLines w:val="0"/>
        <w:pageBreakBefore w:val="0"/>
        <w:widowControl w:val="0"/>
        <w:kinsoku/>
        <w:wordWrap/>
        <w:overflowPunct/>
        <w:topLinePunct w:val="0"/>
        <w:autoSpaceDE/>
        <w:autoSpaceDN/>
        <w:bidi w:val="0"/>
        <w:adjustRightInd/>
        <w:snapToGrid/>
        <w:spacing w:before="312" w:beforeLines="10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本合同通用条款全部采用中华人民共和国住房和城乡建设部、国家工商行政管理局制定的《建设工程施工合同（示范文本）》（GF-2017-0201）第二部分《通用条款》。</w:t>
      </w:r>
    </w:p>
    <w:p w14:paraId="378728A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000000"/>
          <w:sz w:val="24"/>
          <w:szCs w:val="24"/>
        </w:rPr>
      </w:pPr>
      <w:r>
        <w:rPr>
          <w:rFonts w:hint="eastAsia" w:ascii="宋体" w:hAnsi="宋体" w:eastAsia="宋体" w:cs="宋体"/>
          <w:color w:val="000000"/>
          <w:sz w:val="24"/>
          <w:szCs w:val="24"/>
        </w:rPr>
        <w:br w:type="page"/>
      </w:r>
      <w:r>
        <w:rPr>
          <w:rFonts w:hint="eastAsia" w:ascii="宋体" w:hAnsi="宋体" w:eastAsia="宋体" w:cs="宋体"/>
          <w:b/>
          <w:color w:val="000000"/>
          <w:sz w:val="24"/>
          <w:szCs w:val="24"/>
        </w:rPr>
        <w:t>第三部分  专用合同条款</w:t>
      </w:r>
    </w:p>
    <w:p w14:paraId="526C042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具体条款以签订合同专用条款为准</w:t>
      </w:r>
    </w:p>
    <w:p w14:paraId="40E9D48C">
      <w:pPr>
        <w:keepNext w:val="0"/>
        <w:keepLines w:val="0"/>
        <w:pageBreakBefore w:val="0"/>
        <w:widowControl/>
        <w:kinsoku/>
        <w:wordWrap/>
        <w:overflowPunct/>
        <w:topLinePunct w:val="0"/>
        <w:autoSpaceDE/>
        <w:autoSpaceDN/>
        <w:bidi w:val="0"/>
        <w:adjustRightInd w:val="0"/>
        <w:snapToGrid w:val="0"/>
        <w:spacing w:after="200" w:line="360" w:lineRule="auto"/>
        <w:jc w:val="center"/>
        <w:textAlignment w:val="auto"/>
        <w:outlineLvl w:val="0"/>
        <w:rPr>
          <w:rFonts w:hint="eastAsia" w:ascii="宋体" w:hAnsi="宋体" w:eastAsia="宋体" w:cs="宋体"/>
          <w:bCs/>
          <w:color w:val="000000"/>
          <w:kern w:val="0"/>
          <w:sz w:val="24"/>
          <w:szCs w:val="24"/>
        </w:rPr>
      </w:pPr>
      <w:r>
        <w:rPr>
          <w:rFonts w:hint="eastAsia" w:ascii="宋体" w:hAnsi="宋体" w:eastAsia="宋体" w:cs="宋体"/>
          <w:b/>
          <w:bCs/>
          <w:color w:val="000000"/>
          <w:kern w:val="0"/>
          <w:sz w:val="32"/>
          <w:szCs w:val="32"/>
        </w:rPr>
        <w:br w:type="page"/>
      </w:r>
      <w:bookmarkStart w:id="364" w:name="_Toc9421"/>
      <w:bookmarkStart w:id="365" w:name="_Toc8491"/>
      <w:r>
        <w:rPr>
          <w:rFonts w:hint="eastAsia" w:ascii="宋体" w:hAnsi="宋体" w:eastAsia="宋体" w:cs="宋体"/>
          <w:b/>
          <w:sz w:val="24"/>
          <w:szCs w:val="24"/>
        </w:rPr>
        <w:t>第六章  磋商响应文件格式</w:t>
      </w:r>
      <w:bookmarkEnd w:id="364"/>
      <w:bookmarkEnd w:id="365"/>
    </w:p>
    <w:p w14:paraId="21D54737">
      <w:pPr>
        <w:pStyle w:val="9"/>
        <w:pageBreakBefore w:val="0"/>
        <w:kinsoku/>
        <w:overflowPunct/>
        <w:bidi w:val="0"/>
        <w:spacing w:line="360" w:lineRule="auto"/>
        <w:ind w:left="63" w:right="63" w:firstLine="211"/>
        <w:rPr>
          <w:rFonts w:hint="eastAsia" w:ascii="宋体" w:hAnsi="宋体" w:eastAsia="宋体" w:cs="宋体"/>
        </w:rPr>
      </w:pPr>
    </w:p>
    <w:p w14:paraId="49011D65">
      <w:pPr>
        <w:pageBreakBefore w:val="0"/>
        <w:widowControl/>
        <w:kinsoku/>
        <w:overflowPunct/>
        <w:bidi w:val="0"/>
        <w:spacing w:after="200" w:line="360" w:lineRule="auto"/>
        <w:jc w:val="center"/>
        <w:rPr>
          <w:rFonts w:hint="eastAsia" w:ascii="宋体" w:hAnsi="宋体" w:eastAsia="宋体" w:cs="宋体"/>
          <w:bCs/>
          <w:color w:val="000000"/>
          <w:kern w:val="0"/>
          <w:sz w:val="44"/>
          <w:szCs w:val="44"/>
        </w:rPr>
      </w:pPr>
      <w:r>
        <w:rPr>
          <w:rFonts w:hint="eastAsia" w:ascii="宋体" w:hAnsi="宋体" w:eastAsia="宋体" w:cs="宋体"/>
          <w:bCs/>
          <w:color w:val="000000"/>
          <w:kern w:val="0"/>
          <w:sz w:val="44"/>
          <w:szCs w:val="44"/>
          <w:u w:val="single"/>
        </w:rPr>
        <w:t xml:space="preserve">                       </w:t>
      </w:r>
      <w:r>
        <w:rPr>
          <w:rFonts w:hint="eastAsia" w:ascii="宋体" w:hAnsi="宋体" w:eastAsia="宋体" w:cs="宋体"/>
          <w:bCs/>
          <w:color w:val="000000"/>
          <w:kern w:val="0"/>
          <w:sz w:val="44"/>
          <w:szCs w:val="44"/>
        </w:rPr>
        <w:t>（项目名称）</w:t>
      </w:r>
    </w:p>
    <w:p w14:paraId="70AAC307">
      <w:pPr>
        <w:pageBreakBefore w:val="0"/>
        <w:widowControl/>
        <w:kinsoku/>
        <w:overflowPunct/>
        <w:bidi w:val="0"/>
        <w:adjustRightInd w:val="0"/>
        <w:snapToGrid w:val="0"/>
        <w:spacing w:after="200" w:line="360" w:lineRule="auto"/>
        <w:jc w:val="center"/>
        <w:rPr>
          <w:rFonts w:hint="eastAsia" w:ascii="宋体" w:hAnsi="宋体" w:eastAsia="宋体" w:cs="宋体"/>
          <w:bCs/>
          <w:color w:val="000000"/>
          <w:kern w:val="0"/>
          <w:sz w:val="32"/>
          <w:szCs w:val="32"/>
        </w:rPr>
      </w:pPr>
    </w:p>
    <w:p w14:paraId="1C30C144">
      <w:pPr>
        <w:pageBreakBefore w:val="0"/>
        <w:widowControl/>
        <w:kinsoku/>
        <w:overflowPunct/>
        <w:bidi w:val="0"/>
        <w:adjustRightInd w:val="0"/>
        <w:snapToGrid w:val="0"/>
        <w:spacing w:after="200" w:line="360" w:lineRule="auto"/>
        <w:jc w:val="center"/>
        <w:rPr>
          <w:rFonts w:hint="eastAsia" w:ascii="宋体" w:hAnsi="宋体" w:eastAsia="宋体" w:cs="宋体"/>
          <w:bCs/>
          <w:color w:val="000000"/>
          <w:kern w:val="0"/>
          <w:sz w:val="32"/>
          <w:szCs w:val="32"/>
        </w:rPr>
      </w:pPr>
    </w:p>
    <w:p w14:paraId="1B93A21E">
      <w:pPr>
        <w:pageBreakBefore w:val="0"/>
        <w:kinsoku/>
        <w:overflowPunct/>
        <w:bidi w:val="0"/>
        <w:spacing w:line="360" w:lineRule="auto"/>
        <w:rPr>
          <w:rFonts w:hint="eastAsia" w:ascii="宋体" w:hAnsi="宋体" w:eastAsia="宋体" w:cs="宋体"/>
          <w:bCs/>
          <w:color w:val="000000"/>
          <w:sz w:val="32"/>
          <w:szCs w:val="32"/>
        </w:rPr>
      </w:pPr>
    </w:p>
    <w:p w14:paraId="67C80F9D">
      <w:pPr>
        <w:pageBreakBefore w:val="0"/>
        <w:kinsoku/>
        <w:overflowPunct/>
        <w:bidi w:val="0"/>
        <w:spacing w:line="360" w:lineRule="auto"/>
        <w:rPr>
          <w:rFonts w:hint="eastAsia" w:ascii="宋体" w:hAnsi="宋体" w:eastAsia="宋体" w:cs="宋体"/>
        </w:rPr>
      </w:pPr>
    </w:p>
    <w:p w14:paraId="68A38E40">
      <w:pPr>
        <w:pageBreakBefore w:val="0"/>
        <w:widowControl/>
        <w:kinsoku/>
        <w:overflowPunct/>
        <w:bidi w:val="0"/>
        <w:adjustRightInd w:val="0"/>
        <w:snapToGrid w:val="0"/>
        <w:spacing w:after="200" w:line="360" w:lineRule="auto"/>
        <w:jc w:val="center"/>
        <w:rPr>
          <w:rFonts w:hint="eastAsia" w:ascii="宋体" w:hAnsi="宋体" w:eastAsia="宋体" w:cs="宋体"/>
          <w:bCs/>
          <w:color w:val="000000"/>
          <w:kern w:val="0"/>
          <w:sz w:val="72"/>
          <w:szCs w:val="72"/>
        </w:rPr>
      </w:pPr>
      <w:r>
        <w:rPr>
          <w:rFonts w:hint="eastAsia" w:ascii="宋体" w:hAnsi="宋体" w:eastAsia="宋体" w:cs="宋体"/>
          <w:bCs/>
          <w:color w:val="000000"/>
          <w:kern w:val="0"/>
          <w:sz w:val="72"/>
          <w:szCs w:val="72"/>
        </w:rPr>
        <w:t>竞争性磋商响应文件</w:t>
      </w:r>
    </w:p>
    <w:p w14:paraId="7FC86453">
      <w:pPr>
        <w:pageBreakBefore w:val="0"/>
        <w:widowControl/>
        <w:kinsoku/>
        <w:overflowPunct/>
        <w:bidi w:val="0"/>
        <w:adjustRightInd w:val="0"/>
        <w:snapToGrid w:val="0"/>
        <w:spacing w:after="200" w:line="360" w:lineRule="auto"/>
        <w:jc w:val="center"/>
        <w:rPr>
          <w:rFonts w:hint="eastAsia" w:ascii="宋体" w:hAnsi="宋体" w:eastAsia="宋体" w:cs="宋体"/>
          <w:bCs/>
          <w:color w:val="000000"/>
          <w:kern w:val="0"/>
          <w:sz w:val="32"/>
          <w:szCs w:val="32"/>
        </w:rPr>
      </w:pPr>
      <w:r>
        <w:rPr>
          <w:rFonts w:hint="eastAsia" w:ascii="宋体" w:hAnsi="宋体" w:eastAsia="宋体" w:cs="宋体"/>
          <w:bCs/>
          <w:color w:val="000000"/>
          <w:kern w:val="0"/>
          <w:sz w:val="32"/>
          <w:szCs w:val="32"/>
        </w:rPr>
        <w:t>项目编号：</w:t>
      </w:r>
    </w:p>
    <w:p w14:paraId="2F02C665">
      <w:pPr>
        <w:pageBreakBefore w:val="0"/>
        <w:widowControl/>
        <w:kinsoku/>
        <w:overflowPunct/>
        <w:bidi w:val="0"/>
        <w:adjustRightInd w:val="0"/>
        <w:snapToGrid w:val="0"/>
        <w:spacing w:after="200" w:line="360" w:lineRule="auto"/>
        <w:jc w:val="left"/>
        <w:rPr>
          <w:rFonts w:hint="eastAsia" w:ascii="宋体" w:hAnsi="宋体" w:eastAsia="宋体" w:cs="宋体"/>
          <w:bCs/>
          <w:color w:val="000000"/>
          <w:kern w:val="0"/>
          <w:sz w:val="32"/>
          <w:szCs w:val="32"/>
        </w:rPr>
      </w:pPr>
    </w:p>
    <w:p w14:paraId="0A45D4E7">
      <w:pPr>
        <w:pageBreakBefore w:val="0"/>
        <w:widowControl/>
        <w:kinsoku/>
        <w:overflowPunct/>
        <w:bidi w:val="0"/>
        <w:adjustRightInd w:val="0"/>
        <w:snapToGrid w:val="0"/>
        <w:spacing w:after="200" w:line="360" w:lineRule="auto"/>
        <w:jc w:val="left"/>
        <w:rPr>
          <w:rFonts w:hint="eastAsia" w:ascii="宋体" w:hAnsi="宋体" w:eastAsia="宋体" w:cs="宋体"/>
          <w:bCs/>
          <w:color w:val="000000"/>
          <w:kern w:val="0"/>
          <w:sz w:val="32"/>
          <w:szCs w:val="32"/>
        </w:rPr>
      </w:pPr>
    </w:p>
    <w:p w14:paraId="2E5E83EB">
      <w:pPr>
        <w:pageBreakBefore w:val="0"/>
        <w:kinsoku/>
        <w:overflowPunct/>
        <w:bidi w:val="0"/>
        <w:spacing w:line="360" w:lineRule="auto"/>
        <w:ind w:firstLine="1680" w:firstLineChars="525"/>
        <w:rPr>
          <w:rFonts w:hint="eastAsia" w:ascii="宋体" w:hAnsi="宋体" w:eastAsia="宋体" w:cs="宋体"/>
          <w:sz w:val="32"/>
          <w:szCs w:val="32"/>
          <w:u w:val="single"/>
        </w:rPr>
      </w:pPr>
      <w:r>
        <w:rPr>
          <w:rFonts w:hint="eastAsia" w:ascii="宋体" w:hAnsi="宋体" w:eastAsia="宋体" w:cs="宋体"/>
          <w:sz w:val="32"/>
          <w:szCs w:val="32"/>
        </w:rPr>
        <w:t>供应商名称：</w:t>
      </w:r>
      <w:r>
        <w:rPr>
          <w:rFonts w:hint="eastAsia" w:ascii="宋体" w:hAnsi="宋体" w:eastAsia="宋体" w:cs="宋体"/>
          <w:sz w:val="32"/>
          <w:szCs w:val="32"/>
          <w:u w:val="single"/>
        </w:rPr>
        <w:t xml:space="preserve">             </w:t>
      </w:r>
      <w:r>
        <w:rPr>
          <w:rFonts w:hint="eastAsia" w:ascii="宋体" w:hAnsi="宋体" w:eastAsia="宋体" w:cs="宋体"/>
          <w:sz w:val="32"/>
          <w:szCs w:val="32"/>
        </w:rPr>
        <w:t>（盖单位章）</w:t>
      </w:r>
    </w:p>
    <w:p w14:paraId="7045CCE7">
      <w:pPr>
        <w:pageBreakBefore w:val="0"/>
        <w:kinsoku/>
        <w:overflowPunct/>
        <w:bidi w:val="0"/>
        <w:spacing w:line="360" w:lineRule="auto"/>
        <w:ind w:firstLine="1680" w:firstLineChars="525"/>
        <w:rPr>
          <w:rFonts w:hint="eastAsia" w:ascii="宋体" w:hAnsi="宋体" w:eastAsia="宋体" w:cs="宋体"/>
          <w:sz w:val="32"/>
          <w:szCs w:val="32"/>
          <w:u w:val="single"/>
        </w:rPr>
      </w:pPr>
      <w:r>
        <w:rPr>
          <w:rFonts w:hint="eastAsia" w:ascii="宋体" w:hAnsi="宋体" w:eastAsia="宋体" w:cs="宋体"/>
          <w:sz w:val="32"/>
          <w:szCs w:val="32"/>
        </w:rPr>
        <w:t>法定代表人：</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（电子签章）</w:t>
      </w:r>
    </w:p>
    <w:p w14:paraId="7E3E508F">
      <w:pPr>
        <w:pageBreakBefore w:val="0"/>
        <w:kinsoku/>
        <w:overflowPunct/>
        <w:bidi w:val="0"/>
        <w:spacing w:line="360" w:lineRule="auto"/>
        <w:jc w:val="center"/>
        <w:rPr>
          <w:rFonts w:hint="eastAsia" w:ascii="宋体" w:hAnsi="宋体" w:eastAsia="宋体" w:cs="宋体"/>
          <w:sz w:val="32"/>
          <w:szCs w:val="32"/>
        </w:rPr>
      </w:pPr>
      <w:r>
        <w:rPr>
          <w:rFonts w:hint="eastAsia" w:ascii="宋体" w:hAnsi="宋体" w:eastAsia="宋体" w:cs="宋体"/>
          <w:sz w:val="32"/>
          <w:szCs w:val="32"/>
        </w:rPr>
        <w:t>年     月     日</w:t>
      </w:r>
    </w:p>
    <w:p w14:paraId="3070A500">
      <w:pPr>
        <w:pageBreakBefore w:val="0"/>
        <w:kinsoku/>
        <w:overflowPunct/>
        <w:bidi w:val="0"/>
        <w:spacing w:line="360" w:lineRule="auto"/>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br w:type="page"/>
      </w:r>
    </w:p>
    <w:p w14:paraId="16783D3B">
      <w:pPr>
        <w:pageBreakBefore w:val="0"/>
        <w:widowControl/>
        <w:kinsoku/>
        <w:overflowPunct/>
        <w:bidi w:val="0"/>
        <w:adjustRightInd w:val="0"/>
        <w:snapToGrid w:val="0"/>
        <w:spacing w:after="200" w:line="360" w:lineRule="auto"/>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目  录</w:t>
      </w:r>
    </w:p>
    <w:p w14:paraId="27F23D03">
      <w:pPr>
        <w:pageBreakBefore w:val="0"/>
        <w:widowControl/>
        <w:kinsoku/>
        <w:overflowPunct/>
        <w:bidi w:val="0"/>
        <w:adjustRightInd w:val="0"/>
        <w:snapToGrid w:val="0"/>
        <w:spacing w:after="200"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32"/>
          <w:szCs w:val="32"/>
        </w:rPr>
        <w:t>（自拟）</w:t>
      </w:r>
    </w:p>
    <w:p w14:paraId="79786DE2">
      <w:pPr>
        <w:keepNext w:val="0"/>
        <w:keepLines w:val="0"/>
        <w:pageBreakBefore w:val="0"/>
        <w:widowControl/>
        <w:kinsoku/>
        <w:wordWrap/>
        <w:overflowPunct/>
        <w:topLinePunct w:val="0"/>
        <w:autoSpaceDE/>
        <w:autoSpaceDN/>
        <w:bidi w:val="0"/>
        <w:adjustRightInd w:val="0"/>
        <w:snapToGrid w:val="0"/>
        <w:spacing w:after="200" w:line="360" w:lineRule="auto"/>
        <w:jc w:val="center"/>
        <w:textAlignment w:val="auto"/>
        <w:outlineLvl w:val="1"/>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8"/>
          <w:szCs w:val="28"/>
        </w:rPr>
        <w:br w:type="page"/>
      </w:r>
      <w:bookmarkStart w:id="366" w:name="_Toc24785"/>
      <w:r>
        <w:rPr>
          <w:rFonts w:hint="eastAsia" w:ascii="宋体" w:hAnsi="宋体" w:eastAsia="宋体" w:cs="宋体"/>
          <w:b/>
          <w:sz w:val="24"/>
          <w:szCs w:val="24"/>
        </w:rPr>
        <w:t>一、磋商函及磋商函附表</w:t>
      </w:r>
      <w:bookmarkEnd w:id="366"/>
    </w:p>
    <w:p w14:paraId="1F1D841F">
      <w:pPr>
        <w:keepNext w:val="0"/>
        <w:keepLines w:val="0"/>
        <w:pageBreakBefore w:val="0"/>
        <w:widowControl/>
        <w:kinsoku/>
        <w:wordWrap/>
        <w:overflowPunct/>
        <w:topLinePunct w:val="0"/>
        <w:autoSpaceDE/>
        <w:autoSpaceDN/>
        <w:bidi w:val="0"/>
        <w:adjustRightInd w:val="0"/>
        <w:snapToGrid w:val="0"/>
        <w:spacing w:after="200" w:line="360" w:lineRule="auto"/>
        <w:jc w:val="center"/>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（一）磋商函</w:t>
      </w:r>
    </w:p>
    <w:p w14:paraId="267FEA89">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kern w:val="2"/>
          <w:sz w:val="24"/>
          <w:szCs w:val="22"/>
          <w:highlight w:val="none"/>
          <w:u w:val="single"/>
          <w:lang w:val="en-US" w:eastAsia="zh-CN" w:bidi="ar"/>
        </w:rPr>
        <w:t xml:space="preserve">                  </w:t>
      </w:r>
      <w:r>
        <w:rPr>
          <w:rFonts w:hint="eastAsia" w:ascii="宋体" w:hAnsi="宋体" w:eastAsia="宋体" w:cs="宋体"/>
          <w:sz w:val="24"/>
          <w:u w:val="single"/>
        </w:rPr>
        <w:t>（采购人）</w:t>
      </w:r>
    </w:p>
    <w:p w14:paraId="3EA0D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u w:val="single"/>
        </w:rPr>
      </w:pPr>
      <w:r>
        <w:rPr>
          <w:rFonts w:hint="eastAsia" w:ascii="宋体" w:hAnsi="宋体" w:eastAsia="宋体" w:cs="宋体"/>
          <w:sz w:val="24"/>
        </w:rPr>
        <w:t>1．根据已收到的</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（项目名称）</w:t>
      </w:r>
      <w:r>
        <w:rPr>
          <w:rFonts w:hint="eastAsia" w:ascii="宋体" w:hAnsi="宋体" w:eastAsia="宋体" w:cs="宋体"/>
          <w:sz w:val="24"/>
        </w:rPr>
        <w:t>的竞争性磋商文件，遵照《中华人民共和国政府采购法》等有关规定，经考察和认真研究本项目竞争性磋商文件及其它有关文件后，我方愿意遵守竞争性磋商文件中的各项规定，严格按照“</w:t>
      </w:r>
      <w:r>
        <w:rPr>
          <w:rFonts w:hint="eastAsia" w:ascii="宋体" w:hAnsi="宋体" w:eastAsia="宋体" w:cs="宋体"/>
          <w:sz w:val="24"/>
          <w:lang w:eastAsia="zh-CN"/>
        </w:rPr>
        <w:t>技术部分</w:t>
      </w:r>
      <w:r>
        <w:rPr>
          <w:rFonts w:hint="eastAsia" w:ascii="宋体" w:hAnsi="宋体" w:eastAsia="宋体" w:cs="宋体"/>
          <w:sz w:val="24"/>
          <w:lang w:val="en-US" w:eastAsia="zh-CN"/>
        </w:rPr>
        <w:t>标</w:t>
      </w:r>
      <w:r>
        <w:rPr>
          <w:rFonts w:hint="eastAsia" w:ascii="宋体" w:hAnsi="宋体" w:eastAsia="宋体" w:cs="宋体"/>
          <w:sz w:val="24"/>
        </w:rPr>
        <w:t>准和要求”进行施工，完成合同全部工程，报价为：</w:t>
      </w:r>
      <w:r>
        <w:rPr>
          <w:rFonts w:hint="eastAsia" w:ascii="宋体" w:hAnsi="宋体" w:eastAsia="宋体" w:cs="宋体"/>
          <w:kern w:val="2"/>
          <w:sz w:val="24"/>
          <w:szCs w:val="24"/>
          <w:highlight w:val="none"/>
          <w:lang w:val="en-US" w:eastAsia="zh-CN" w:bidi="ar"/>
        </w:rPr>
        <w:t>人民币（大写）</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（小写：</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元）</w:t>
      </w:r>
      <w:r>
        <w:rPr>
          <w:rFonts w:hint="eastAsia" w:ascii="宋体" w:hAnsi="宋体" w:eastAsia="宋体" w:cs="宋体"/>
          <w:sz w:val="24"/>
        </w:rPr>
        <w:t>；工期：</w:t>
      </w:r>
      <w:r>
        <w:rPr>
          <w:rFonts w:hint="eastAsia" w:ascii="宋体" w:hAnsi="宋体" w:eastAsia="宋体" w:cs="宋体"/>
          <w:sz w:val="24"/>
          <w:u w:val="single"/>
        </w:rPr>
        <w:t xml:space="preserve">       </w:t>
      </w:r>
      <w:r>
        <w:rPr>
          <w:rFonts w:hint="eastAsia" w:ascii="宋体" w:hAnsi="宋体" w:eastAsia="宋体" w:cs="宋体"/>
          <w:sz w:val="24"/>
        </w:rPr>
        <w:t>日历天，质量要求：</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保修期：</w:t>
      </w:r>
      <w:r>
        <w:rPr>
          <w:rFonts w:hint="eastAsia" w:ascii="宋体" w:hAnsi="宋体" w:eastAsia="宋体" w:cs="宋体"/>
          <w:sz w:val="24"/>
          <w:u w:val="single"/>
          <w:lang w:val="en-US" w:eastAsia="zh-CN"/>
        </w:rPr>
        <w:t xml:space="preserve">          </w:t>
      </w:r>
      <w:r>
        <w:rPr>
          <w:rFonts w:hint="eastAsia" w:ascii="宋体" w:hAnsi="宋体" w:eastAsia="宋体" w:cs="宋体"/>
          <w:sz w:val="24"/>
        </w:rPr>
        <w:t>并承担其任何质量缺陷等问题所造成的全部损失。</w:t>
      </w:r>
    </w:p>
    <w:p w14:paraId="190F50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2．我方已详细检查全部竞争性磋商文件包括澄清文件、补充通知（如有的话）及有关附件，并完全理解我方必须放弃提出含糊不清或误解的权力。</w:t>
      </w:r>
    </w:p>
    <w:p w14:paraId="0B8D1B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3．我方在此承诺，我方若能成交，保证在我方投报工期内，全面履行竞争性磋商文件中规定的职责和义务。</w:t>
      </w:r>
    </w:p>
    <w:p w14:paraId="32DA58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4．如果我方中标，我方保证按合同条款中规定的内容执行；我方保证质量</w:t>
      </w:r>
      <w:r>
        <w:rPr>
          <w:rFonts w:hint="eastAsia" w:ascii="宋体" w:hAnsi="宋体" w:eastAsia="宋体" w:cs="宋体"/>
          <w:sz w:val="24"/>
          <w:lang w:eastAsia="zh-CN"/>
        </w:rPr>
        <w:t>达到国家现行工程施工质量验收规范合格标准</w:t>
      </w:r>
      <w:r>
        <w:rPr>
          <w:rFonts w:hint="eastAsia" w:ascii="宋体" w:hAnsi="宋体" w:eastAsia="宋体" w:cs="宋体"/>
          <w:sz w:val="24"/>
        </w:rPr>
        <w:t>，并按竞争性磋商文件和有关规定提交一切资料。</w:t>
      </w:r>
    </w:p>
    <w:p w14:paraId="050EED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5．我方同意从磋商响应文件递交截止日后60日历天的磋商有效期内，我方将严格遵守磋商响应文件的承诺，本磋商响应文件对我方具有约束力，并可随时被接受中标。</w:t>
      </w:r>
    </w:p>
    <w:p w14:paraId="62240F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6．除磋商响应文件所提交的资料外，我方同意随时接受贵方的检查、询问，并根据评标需要补充贵方要求提交的资料。</w:t>
      </w:r>
    </w:p>
    <w:p w14:paraId="4A332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7．如果我方成交后，我方没有任何正当理由而拒签合同，同时我方愿意补偿该项工作因我方延误所造成的经济损失。</w:t>
      </w:r>
    </w:p>
    <w:p w14:paraId="5458BC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8．我方愿接受合同条款中规定的合同价款计算和调整方式。</w:t>
      </w:r>
    </w:p>
    <w:p w14:paraId="1B1BF8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9．除非另外达成协议并生效，贵方的成交通知书和本磋商响应文件将成为约束我方的合同文件组成部分。</w:t>
      </w:r>
    </w:p>
    <w:p w14:paraId="6A2E54D1">
      <w:pPr>
        <w:keepNext w:val="0"/>
        <w:keepLines w:val="0"/>
        <w:pageBreakBefore w:val="0"/>
        <w:kinsoku/>
        <w:overflowPunct/>
        <w:topLinePunct w:val="0"/>
        <w:autoSpaceDE/>
        <w:autoSpaceDN/>
        <w:bidi w:val="0"/>
        <w:spacing w:line="360" w:lineRule="auto"/>
        <w:ind w:firstLine="420" w:firstLineChars="175"/>
        <w:jc w:val="right"/>
        <w:textAlignment w:val="auto"/>
        <w:rPr>
          <w:rFonts w:hint="eastAsia" w:ascii="宋体" w:hAnsi="宋体" w:eastAsia="宋体" w:cs="宋体"/>
          <w:sz w:val="24"/>
        </w:rPr>
      </w:pPr>
    </w:p>
    <w:p w14:paraId="0A919F30">
      <w:pPr>
        <w:keepNext w:val="0"/>
        <w:keepLines w:val="0"/>
        <w:pageBreakBefore w:val="0"/>
        <w:kinsoku/>
        <w:wordWrap w:val="0"/>
        <w:overflowPunct/>
        <w:topLinePunct w:val="0"/>
        <w:autoSpaceDE/>
        <w:autoSpaceDN/>
        <w:bidi w:val="0"/>
        <w:spacing w:line="360" w:lineRule="auto"/>
        <w:ind w:firstLine="420" w:firstLineChars="175"/>
        <w:jc w:val="both"/>
        <w:textAlignment w:val="auto"/>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（盖单位章）</w:t>
      </w:r>
    </w:p>
    <w:p w14:paraId="1B22D84F">
      <w:pPr>
        <w:keepNext w:val="0"/>
        <w:keepLines w:val="0"/>
        <w:pageBreakBefore w:val="0"/>
        <w:kinsoku/>
        <w:wordWrap w:val="0"/>
        <w:overflowPunct/>
        <w:topLinePunct w:val="0"/>
        <w:autoSpaceDE/>
        <w:autoSpaceDN/>
        <w:bidi w:val="0"/>
        <w:spacing w:line="360" w:lineRule="auto"/>
        <w:ind w:firstLine="420" w:firstLineChars="175"/>
        <w:jc w:val="both"/>
        <w:textAlignment w:val="auto"/>
        <w:rPr>
          <w:rFonts w:hint="eastAsia" w:ascii="宋体" w:hAnsi="宋体" w:eastAsia="宋体" w:cs="宋体"/>
          <w:sz w:val="24"/>
          <w:u w:val="single"/>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（电子签章）</w:t>
      </w:r>
    </w:p>
    <w:p w14:paraId="42213A2D">
      <w:pPr>
        <w:keepNext w:val="0"/>
        <w:keepLines w:val="0"/>
        <w:pageBreakBefore w:val="0"/>
        <w:widowControl/>
        <w:kinsoku/>
        <w:wordWrap w:val="0"/>
        <w:overflowPunct/>
        <w:topLinePunct w:val="0"/>
        <w:autoSpaceDE/>
        <w:autoSpaceDN/>
        <w:bidi w:val="0"/>
        <w:adjustRightInd w:val="0"/>
        <w:snapToGrid w:val="0"/>
        <w:spacing w:line="360" w:lineRule="auto"/>
        <w:ind w:firstLine="420" w:firstLineChars="175"/>
        <w:jc w:val="both"/>
        <w:textAlignment w:val="auto"/>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日</w:t>
      </w:r>
    </w:p>
    <w:p w14:paraId="2A18274E">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rPr>
      </w:pPr>
    </w:p>
    <w:p w14:paraId="146DC9FD">
      <w:pPr>
        <w:keepNext w:val="0"/>
        <w:keepLines w:val="0"/>
        <w:pageBreakBefore w:val="0"/>
        <w:widowControl/>
        <w:kinsoku/>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注：对本磋商函的任何修改将被视为非实质性响应磋商，从而导致该磋商被拒绝。</w:t>
      </w:r>
    </w:p>
    <w:p w14:paraId="325B9DE2">
      <w:pPr>
        <w:keepNext w:val="0"/>
        <w:keepLines w:val="0"/>
        <w:pageBreakBefore w:val="0"/>
        <w:widowControl/>
        <w:kinsoku/>
        <w:wordWrap/>
        <w:overflowPunct/>
        <w:topLinePunct w:val="0"/>
        <w:autoSpaceDE/>
        <w:autoSpaceDN/>
        <w:bidi w:val="0"/>
        <w:adjustRightInd/>
        <w:snapToGrid/>
        <w:spacing w:after="200" w:line="360" w:lineRule="auto"/>
        <w:jc w:val="center"/>
        <w:textAlignment w:val="auto"/>
        <w:outlineLvl w:val="2"/>
        <w:rPr>
          <w:rFonts w:hint="eastAsia" w:ascii="宋体" w:hAnsi="宋体" w:eastAsia="宋体" w:cs="宋体"/>
          <w:b/>
          <w:bCs/>
          <w:color w:val="000000"/>
          <w:kern w:val="0"/>
          <w:sz w:val="24"/>
          <w:szCs w:val="24"/>
          <w:lang w:bidi="en-US"/>
        </w:rPr>
      </w:pPr>
      <w:r>
        <w:rPr>
          <w:rFonts w:hint="eastAsia" w:ascii="宋体" w:hAnsi="宋体" w:eastAsia="宋体" w:cs="宋体"/>
          <w:b/>
          <w:bCs/>
          <w:color w:val="000000"/>
          <w:kern w:val="0"/>
          <w:sz w:val="28"/>
          <w:szCs w:val="28"/>
        </w:rPr>
        <w:br w:type="page"/>
      </w:r>
      <w:bookmarkStart w:id="367" w:name="_Toc246997101"/>
      <w:bookmarkStart w:id="368" w:name="_Toc27200"/>
      <w:bookmarkStart w:id="369" w:name="_Toc179632810"/>
      <w:bookmarkStart w:id="370" w:name="_Toc246996358"/>
      <w:bookmarkStart w:id="371" w:name="_Toc152042579"/>
      <w:bookmarkStart w:id="372" w:name="_Toc394651923"/>
      <w:bookmarkStart w:id="373" w:name="_Toc152045790"/>
      <w:bookmarkStart w:id="374" w:name="_Toc247085876"/>
      <w:bookmarkStart w:id="375" w:name="_Toc144974859"/>
      <w:r>
        <w:rPr>
          <w:rFonts w:hint="eastAsia" w:ascii="宋体" w:hAnsi="宋体" w:eastAsia="宋体" w:cs="宋体"/>
          <w:b/>
          <w:bCs/>
          <w:color w:val="000000"/>
          <w:kern w:val="0"/>
          <w:sz w:val="24"/>
          <w:szCs w:val="24"/>
          <w:lang w:bidi="en-US"/>
        </w:rPr>
        <w:t>（二）</w:t>
      </w:r>
      <w:bookmarkEnd w:id="367"/>
      <w:bookmarkEnd w:id="368"/>
      <w:bookmarkEnd w:id="369"/>
      <w:bookmarkEnd w:id="370"/>
      <w:bookmarkEnd w:id="371"/>
      <w:bookmarkEnd w:id="372"/>
      <w:bookmarkEnd w:id="373"/>
      <w:bookmarkEnd w:id="374"/>
      <w:bookmarkEnd w:id="375"/>
      <w:r>
        <w:rPr>
          <w:rFonts w:hint="eastAsia" w:ascii="宋体" w:hAnsi="宋体" w:eastAsia="宋体" w:cs="宋体"/>
          <w:b/>
          <w:bCs/>
          <w:color w:val="000000"/>
          <w:kern w:val="0"/>
          <w:sz w:val="24"/>
          <w:szCs w:val="24"/>
          <w:lang w:bidi="en-US"/>
        </w:rPr>
        <w:t>磋商函附表</w:t>
      </w:r>
    </w:p>
    <w:tbl>
      <w:tblPr>
        <w:tblStyle w:val="17"/>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1700"/>
        <w:gridCol w:w="899"/>
        <w:gridCol w:w="1184"/>
        <w:gridCol w:w="1224"/>
        <w:gridCol w:w="2047"/>
      </w:tblGrid>
      <w:tr w14:paraId="2355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54" w:type="pct"/>
            <w:vAlign w:val="center"/>
          </w:tcPr>
          <w:p w14:paraId="7FAABC4C">
            <w:pPr>
              <w:pageBreakBefore w:val="0"/>
              <w:suppressAutoHyphens/>
              <w:kinsoku/>
              <w:overflowPunct/>
              <w:bidi w:val="0"/>
              <w:adjustRightInd w:val="0"/>
              <w:snapToGrid w:val="0"/>
              <w:spacing w:line="360" w:lineRule="auto"/>
              <w:jc w:val="center"/>
              <w:rPr>
                <w:rFonts w:hint="eastAsia" w:ascii="宋体" w:hAnsi="宋体" w:eastAsia="宋体" w:cs="宋体"/>
                <w:color w:val="000000"/>
                <w:kern w:val="1"/>
                <w:sz w:val="24"/>
                <w:szCs w:val="24"/>
              </w:rPr>
            </w:pPr>
            <w:r>
              <w:rPr>
                <w:rFonts w:hint="eastAsia" w:ascii="宋体" w:hAnsi="宋体" w:eastAsia="宋体" w:cs="宋体"/>
                <w:color w:val="000000"/>
                <w:kern w:val="1"/>
                <w:sz w:val="24"/>
                <w:szCs w:val="24"/>
              </w:rPr>
              <w:t>项目名称</w:t>
            </w:r>
          </w:p>
        </w:tc>
        <w:tc>
          <w:tcPr>
            <w:tcW w:w="4145" w:type="pct"/>
            <w:gridSpan w:val="5"/>
            <w:vAlign w:val="center"/>
          </w:tcPr>
          <w:p w14:paraId="2FB757A3">
            <w:pPr>
              <w:pageBreakBefore w:val="0"/>
              <w:widowControl/>
              <w:kinsoku/>
              <w:overflowPunct/>
              <w:bidi w:val="0"/>
              <w:spacing w:after="200" w:line="360" w:lineRule="auto"/>
              <w:jc w:val="center"/>
              <w:rPr>
                <w:rFonts w:hint="eastAsia" w:ascii="宋体" w:hAnsi="宋体" w:eastAsia="宋体" w:cs="宋体"/>
                <w:b/>
                <w:color w:val="000000"/>
                <w:kern w:val="1"/>
                <w:sz w:val="24"/>
                <w:szCs w:val="24"/>
              </w:rPr>
            </w:pPr>
          </w:p>
        </w:tc>
      </w:tr>
      <w:tr w14:paraId="363F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54" w:type="pct"/>
            <w:vAlign w:val="center"/>
          </w:tcPr>
          <w:p w14:paraId="7CE7F013">
            <w:pPr>
              <w:pageBreakBefore w:val="0"/>
              <w:suppressAutoHyphens/>
              <w:kinsoku/>
              <w:overflowPunct/>
              <w:bidi w:val="0"/>
              <w:adjustRightInd w:val="0"/>
              <w:snapToGrid w:val="0"/>
              <w:spacing w:line="360" w:lineRule="auto"/>
              <w:jc w:val="center"/>
              <w:rPr>
                <w:rFonts w:hint="eastAsia" w:ascii="宋体" w:hAnsi="宋体" w:eastAsia="宋体" w:cs="宋体"/>
                <w:color w:val="000000"/>
                <w:kern w:val="1"/>
                <w:sz w:val="24"/>
                <w:szCs w:val="24"/>
              </w:rPr>
            </w:pPr>
            <w:r>
              <w:rPr>
                <w:rFonts w:hint="eastAsia" w:ascii="宋体" w:hAnsi="宋体" w:eastAsia="宋体" w:cs="宋体"/>
                <w:color w:val="000000"/>
                <w:kern w:val="1"/>
                <w:sz w:val="24"/>
                <w:szCs w:val="24"/>
              </w:rPr>
              <w:t>供应商名称</w:t>
            </w:r>
          </w:p>
        </w:tc>
        <w:tc>
          <w:tcPr>
            <w:tcW w:w="4145" w:type="pct"/>
            <w:gridSpan w:val="5"/>
            <w:vAlign w:val="center"/>
          </w:tcPr>
          <w:p w14:paraId="3AE30F19">
            <w:pPr>
              <w:pageBreakBefore w:val="0"/>
              <w:widowControl/>
              <w:kinsoku/>
              <w:overflowPunct/>
              <w:bidi w:val="0"/>
              <w:spacing w:after="200" w:line="360" w:lineRule="auto"/>
              <w:jc w:val="center"/>
              <w:rPr>
                <w:rFonts w:hint="eastAsia" w:ascii="宋体" w:hAnsi="宋体" w:eastAsia="宋体" w:cs="宋体"/>
                <w:b/>
                <w:color w:val="000000"/>
                <w:kern w:val="1"/>
                <w:sz w:val="24"/>
                <w:szCs w:val="24"/>
              </w:rPr>
            </w:pPr>
          </w:p>
        </w:tc>
      </w:tr>
      <w:tr w14:paraId="7365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54" w:type="pct"/>
            <w:vAlign w:val="center"/>
          </w:tcPr>
          <w:p w14:paraId="2817A9A1">
            <w:pPr>
              <w:pageBreakBefore w:val="0"/>
              <w:suppressAutoHyphens/>
              <w:kinsoku/>
              <w:overflowPunct/>
              <w:bidi w:val="0"/>
              <w:adjustRightInd w:val="0"/>
              <w:snapToGrid w:val="0"/>
              <w:spacing w:line="360" w:lineRule="auto"/>
              <w:jc w:val="center"/>
              <w:rPr>
                <w:rFonts w:hint="eastAsia" w:ascii="宋体" w:hAnsi="宋体" w:eastAsia="宋体" w:cs="宋体"/>
                <w:color w:val="000000"/>
                <w:kern w:val="1"/>
                <w:sz w:val="24"/>
                <w:szCs w:val="24"/>
              </w:rPr>
            </w:pPr>
            <w:r>
              <w:rPr>
                <w:rFonts w:hint="eastAsia" w:ascii="宋体" w:hAnsi="宋体" w:eastAsia="宋体" w:cs="宋体"/>
                <w:color w:val="000000"/>
                <w:kern w:val="1"/>
                <w:sz w:val="24"/>
                <w:szCs w:val="24"/>
              </w:rPr>
              <w:t>项目经理</w:t>
            </w:r>
          </w:p>
        </w:tc>
        <w:tc>
          <w:tcPr>
            <w:tcW w:w="999" w:type="pct"/>
            <w:vAlign w:val="center"/>
          </w:tcPr>
          <w:p w14:paraId="380EB491">
            <w:pPr>
              <w:pageBreakBefore w:val="0"/>
              <w:suppressAutoHyphens/>
              <w:kinsoku/>
              <w:overflowPunct/>
              <w:bidi w:val="0"/>
              <w:adjustRightInd w:val="0"/>
              <w:snapToGrid w:val="0"/>
              <w:spacing w:line="360" w:lineRule="auto"/>
              <w:jc w:val="center"/>
              <w:rPr>
                <w:rFonts w:hint="eastAsia" w:ascii="宋体" w:hAnsi="宋体" w:eastAsia="宋体" w:cs="宋体"/>
                <w:color w:val="000000"/>
                <w:kern w:val="1"/>
                <w:sz w:val="24"/>
                <w:szCs w:val="24"/>
              </w:rPr>
            </w:pPr>
          </w:p>
        </w:tc>
        <w:tc>
          <w:tcPr>
            <w:tcW w:w="528" w:type="pct"/>
            <w:vAlign w:val="center"/>
          </w:tcPr>
          <w:p w14:paraId="245605BD">
            <w:pPr>
              <w:pageBreakBefore w:val="0"/>
              <w:suppressAutoHyphens/>
              <w:kinsoku/>
              <w:overflowPunct/>
              <w:bidi w:val="0"/>
              <w:adjustRightInd w:val="0"/>
              <w:snapToGrid w:val="0"/>
              <w:spacing w:line="360" w:lineRule="auto"/>
              <w:jc w:val="center"/>
              <w:rPr>
                <w:rFonts w:hint="eastAsia" w:ascii="宋体" w:hAnsi="宋体" w:eastAsia="宋体" w:cs="宋体"/>
                <w:color w:val="000000"/>
                <w:kern w:val="1"/>
                <w:sz w:val="24"/>
                <w:szCs w:val="24"/>
              </w:rPr>
            </w:pPr>
            <w:r>
              <w:rPr>
                <w:rFonts w:hint="eastAsia" w:ascii="宋体" w:hAnsi="宋体" w:eastAsia="宋体" w:cs="宋体"/>
                <w:color w:val="000000"/>
                <w:kern w:val="1"/>
                <w:sz w:val="24"/>
                <w:szCs w:val="24"/>
              </w:rPr>
              <w:t>级别</w:t>
            </w:r>
          </w:p>
        </w:tc>
        <w:tc>
          <w:tcPr>
            <w:tcW w:w="695" w:type="pct"/>
            <w:vAlign w:val="center"/>
          </w:tcPr>
          <w:p w14:paraId="501E0453">
            <w:pPr>
              <w:pageBreakBefore w:val="0"/>
              <w:suppressAutoHyphens/>
              <w:kinsoku/>
              <w:overflowPunct/>
              <w:bidi w:val="0"/>
              <w:adjustRightInd w:val="0"/>
              <w:snapToGrid w:val="0"/>
              <w:spacing w:line="360" w:lineRule="auto"/>
              <w:jc w:val="center"/>
              <w:rPr>
                <w:rFonts w:hint="eastAsia" w:ascii="宋体" w:hAnsi="宋体" w:eastAsia="宋体" w:cs="宋体"/>
                <w:color w:val="000000"/>
                <w:kern w:val="1"/>
                <w:sz w:val="24"/>
                <w:szCs w:val="24"/>
              </w:rPr>
            </w:pPr>
          </w:p>
        </w:tc>
        <w:tc>
          <w:tcPr>
            <w:tcW w:w="719" w:type="pct"/>
            <w:vAlign w:val="center"/>
          </w:tcPr>
          <w:p w14:paraId="3B2912FD">
            <w:pPr>
              <w:pageBreakBefore w:val="0"/>
              <w:suppressAutoHyphens/>
              <w:kinsoku/>
              <w:overflowPunct/>
              <w:bidi w:val="0"/>
              <w:adjustRightInd w:val="0"/>
              <w:snapToGrid w:val="0"/>
              <w:spacing w:line="360" w:lineRule="auto"/>
              <w:jc w:val="center"/>
              <w:rPr>
                <w:rFonts w:hint="eastAsia" w:ascii="宋体" w:hAnsi="宋体" w:eastAsia="宋体" w:cs="宋体"/>
                <w:color w:val="000000"/>
                <w:kern w:val="1"/>
                <w:sz w:val="24"/>
                <w:szCs w:val="24"/>
              </w:rPr>
            </w:pPr>
            <w:r>
              <w:rPr>
                <w:rFonts w:hint="eastAsia" w:ascii="宋体" w:hAnsi="宋体" w:eastAsia="宋体" w:cs="宋体"/>
                <w:color w:val="000000"/>
                <w:kern w:val="1"/>
                <w:sz w:val="24"/>
                <w:szCs w:val="24"/>
              </w:rPr>
              <w:t>证书编号</w:t>
            </w:r>
          </w:p>
        </w:tc>
        <w:tc>
          <w:tcPr>
            <w:tcW w:w="1202" w:type="pct"/>
            <w:vAlign w:val="center"/>
          </w:tcPr>
          <w:p w14:paraId="1AB8BAA1">
            <w:pPr>
              <w:pageBreakBefore w:val="0"/>
              <w:widowControl/>
              <w:kinsoku/>
              <w:overflowPunct/>
              <w:bidi w:val="0"/>
              <w:spacing w:after="200" w:line="360" w:lineRule="auto"/>
              <w:jc w:val="center"/>
              <w:rPr>
                <w:rFonts w:hint="eastAsia" w:ascii="宋体" w:hAnsi="宋体" w:eastAsia="宋体" w:cs="宋体"/>
                <w:b/>
                <w:color w:val="000000"/>
                <w:kern w:val="1"/>
                <w:sz w:val="24"/>
                <w:szCs w:val="24"/>
              </w:rPr>
            </w:pPr>
          </w:p>
        </w:tc>
      </w:tr>
      <w:tr w14:paraId="1041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54" w:type="pct"/>
            <w:vAlign w:val="center"/>
          </w:tcPr>
          <w:p w14:paraId="36038905">
            <w:pPr>
              <w:pageBreakBefore w:val="0"/>
              <w:suppressAutoHyphens/>
              <w:kinsoku/>
              <w:overflowPunct/>
              <w:bidi w:val="0"/>
              <w:adjustRightInd w:val="0"/>
              <w:snapToGrid w:val="0"/>
              <w:spacing w:line="360" w:lineRule="auto"/>
              <w:jc w:val="center"/>
              <w:rPr>
                <w:rFonts w:hint="eastAsia" w:ascii="宋体" w:hAnsi="宋体" w:eastAsia="宋体" w:cs="宋体"/>
                <w:color w:val="000000"/>
                <w:kern w:val="1"/>
                <w:sz w:val="24"/>
                <w:szCs w:val="24"/>
              </w:rPr>
            </w:pPr>
            <w:r>
              <w:rPr>
                <w:rFonts w:hint="eastAsia" w:ascii="宋体" w:hAnsi="宋体" w:eastAsia="宋体" w:cs="宋体"/>
                <w:color w:val="000000"/>
                <w:kern w:val="1"/>
                <w:sz w:val="24"/>
                <w:szCs w:val="24"/>
              </w:rPr>
              <w:t>项目联系人</w:t>
            </w:r>
          </w:p>
        </w:tc>
        <w:tc>
          <w:tcPr>
            <w:tcW w:w="2223" w:type="pct"/>
            <w:gridSpan w:val="3"/>
            <w:vAlign w:val="center"/>
          </w:tcPr>
          <w:p w14:paraId="78EBA478">
            <w:pPr>
              <w:pageBreakBefore w:val="0"/>
              <w:widowControl/>
              <w:kinsoku/>
              <w:overflowPunct/>
              <w:bidi w:val="0"/>
              <w:spacing w:after="200" w:line="360" w:lineRule="auto"/>
              <w:jc w:val="center"/>
              <w:rPr>
                <w:rFonts w:hint="eastAsia" w:ascii="宋体" w:hAnsi="宋体" w:eastAsia="宋体" w:cs="宋体"/>
                <w:b/>
                <w:color w:val="000000"/>
                <w:kern w:val="1"/>
                <w:sz w:val="24"/>
                <w:szCs w:val="24"/>
              </w:rPr>
            </w:pPr>
          </w:p>
        </w:tc>
        <w:tc>
          <w:tcPr>
            <w:tcW w:w="719" w:type="pct"/>
            <w:vAlign w:val="center"/>
          </w:tcPr>
          <w:p w14:paraId="4FBC5085">
            <w:pPr>
              <w:pageBreakBefore w:val="0"/>
              <w:suppressAutoHyphens/>
              <w:kinsoku/>
              <w:overflowPunct/>
              <w:bidi w:val="0"/>
              <w:adjustRightInd w:val="0"/>
              <w:snapToGrid w:val="0"/>
              <w:spacing w:line="360" w:lineRule="auto"/>
              <w:jc w:val="center"/>
              <w:rPr>
                <w:rFonts w:hint="eastAsia" w:ascii="宋体" w:hAnsi="宋体" w:eastAsia="宋体" w:cs="宋体"/>
                <w:color w:val="000000"/>
                <w:kern w:val="1"/>
                <w:sz w:val="24"/>
                <w:szCs w:val="24"/>
              </w:rPr>
            </w:pPr>
            <w:r>
              <w:rPr>
                <w:rFonts w:hint="eastAsia" w:ascii="宋体" w:hAnsi="宋体" w:eastAsia="宋体" w:cs="宋体"/>
                <w:color w:val="000000"/>
                <w:kern w:val="1"/>
                <w:sz w:val="24"/>
                <w:szCs w:val="24"/>
              </w:rPr>
              <w:t>联系电话</w:t>
            </w:r>
          </w:p>
        </w:tc>
        <w:tc>
          <w:tcPr>
            <w:tcW w:w="1202" w:type="pct"/>
            <w:vAlign w:val="center"/>
          </w:tcPr>
          <w:p w14:paraId="2AF4C543">
            <w:pPr>
              <w:pageBreakBefore w:val="0"/>
              <w:widowControl/>
              <w:kinsoku/>
              <w:overflowPunct/>
              <w:bidi w:val="0"/>
              <w:spacing w:after="200" w:line="360" w:lineRule="auto"/>
              <w:jc w:val="center"/>
              <w:rPr>
                <w:rFonts w:hint="eastAsia" w:ascii="宋体" w:hAnsi="宋体" w:eastAsia="宋体" w:cs="宋体"/>
                <w:b/>
                <w:color w:val="000000"/>
                <w:kern w:val="1"/>
                <w:sz w:val="24"/>
                <w:szCs w:val="24"/>
              </w:rPr>
            </w:pPr>
          </w:p>
        </w:tc>
      </w:tr>
      <w:tr w14:paraId="7054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54" w:type="pct"/>
            <w:vAlign w:val="center"/>
          </w:tcPr>
          <w:p w14:paraId="2FDB4FE3">
            <w:pPr>
              <w:pageBreakBefore w:val="0"/>
              <w:suppressAutoHyphens/>
              <w:kinsoku/>
              <w:overflowPunct/>
              <w:bidi w:val="0"/>
              <w:adjustRightInd w:val="0"/>
              <w:snapToGrid w:val="0"/>
              <w:spacing w:line="360" w:lineRule="auto"/>
              <w:jc w:val="center"/>
              <w:rPr>
                <w:rFonts w:hint="eastAsia" w:ascii="宋体" w:hAnsi="宋体" w:eastAsia="宋体" w:cs="宋体"/>
                <w:color w:val="000000"/>
                <w:kern w:val="1"/>
                <w:sz w:val="24"/>
                <w:szCs w:val="24"/>
              </w:rPr>
            </w:pPr>
            <w:r>
              <w:rPr>
                <w:rFonts w:hint="eastAsia" w:ascii="宋体" w:hAnsi="宋体" w:eastAsia="宋体" w:cs="宋体"/>
                <w:color w:val="000000"/>
                <w:kern w:val="1"/>
                <w:sz w:val="24"/>
                <w:szCs w:val="24"/>
              </w:rPr>
              <w:t>磋商总报价</w:t>
            </w:r>
          </w:p>
        </w:tc>
        <w:tc>
          <w:tcPr>
            <w:tcW w:w="4145" w:type="pct"/>
            <w:gridSpan w:val="5"/>
            <w:vAlign w:val="center"/>
          </w:tcPr>
          <w:p w14:paraId="19EE46EC">
            <w:pPr>
              <w:pageBreakBefore w:val="0"/>
              <w:suppressAutoHyphens/>
              <w:kinsoku/>
              <w:overflowPunct/>
              <w:bidi w:val="0"/>
              <w:spacing w:line="360" w:lineRule="auto"/>
              <w:jc w:val="left"/>
              <w:rPr>
                <w:rFonts w:hint="eastAsia" w:ascii="宋体" w:hAnsi="宋体" w:eastAsia="宋体" w:cs="宋体"/>
                <w:color w:val="000000"/>
                <w:kern w:val="1"/>
                <w:sz w:val="24"/>
                <w:szCs w:val="24"/>
              </w:rPr>
            </w:pPr>
            <w:r>
              <w:rPr>
                <w:rFonts w:hint="eastAsia" w:ascii="宋体" w:hAnsi="宋体" w:eastAsia="宋体" w:cs="Times New Roman"/>
                <w:color w:val="auto"/>
                <w:sz w:val="24"/>
                <w:szCs w:val="24"/>
                <w:highlight w:val="none"/>
              </w:rPr>
              <w:t xml:space="preserve">大写：    ；小写：  </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元</w:t>
            </w:r>
          </w:p>
        </w:tc>
      </w:tr>
      <w:tr w14:paraId="36DA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54" w:type="pct"/>
            <w:vAlign w:val="center"/>
          </w:tcPr>
          <w:p w14:paraId="11B9DF7D">
            <w:pPr>
              <w:pageBreakBefore w:val="0"/>
              <w:suppressAutoHyphens/>
              <w:kinsoku/>
              <w:overflowPunct/>
              <w:bidi w:val="0"/>
              <w:adjustRightInd w:val="0"/>
              <w:snapToGrid w:val="0"/>
              <w:spacing w:line="360" w:lineRule="auto"/>
              <w:jc w:val="center"/>
              <w:rPr>
                <w:rFonts w:hint="eastAsia" w:ascii="宋体" w:hAnsi="宋体" w:eastAsia="宋体" w:cs="宋体"/>
                <w:color w:val="000000"/>
                <w:kern w:val="1"/>
                <w:sz w:val="24"/>
                <w:szCs w:val="24"/>
              </w:rPr>
            </w:pPr>
            <w:r>
              <w:rPr>
                <w:rFonts w:hint="eastAsia" w:ascii="宋体" w:hAnsi="宋体" w:eastAsia="宋体" w:cs="宋体"/>
                <w:color w:val="000000"/>
                <w:kern w:val="1"/>
                <w:sz w:val="24"/>
                <w:szCs w:val="24"/>
              </w:rPr>
              <w:t>计划工期</w:t>
            </w:r>
          </w:p>
        </w:tc>
        <w:tc>
          <w:tcPr>
            <w:tcW w:w="4145" w:type="pct"/>
            <w:gridSpan w:val="5"/>
            <w:vAlign w:val="center"/>
          </w:tcPr>
          <w:p w14:paraId="4DED0EA9">
            <w:pPr>
              <w:pageBreakBefore w:val="0"/>
              <w:suppressAutoHyphens/>
              <w:kinsoku/>
              <w:overflowPunct/>
              <w:bidi w:val="0"/>
              <w:spacing w:line="360" w:lineRule="auto"/>
              <w:rPr>
                <w:rFonts w:hint="eastAsia" w:ascii="宋体" w:hAnsi="宋体" w:eastAsia="宋体" w:cs="宋体"/>
                <w:color w:val="000000"/>
                <w:kern w:val="1"/>
                <w:sz w:val="24"/>
                <w:szCs w:val="24"/>
              </w:rPr>
            </w:pPr>
          </w:p>
        </w:tc>
      </w:tr>
      <w:tr w14:paraId="3A5D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54" w:type="pct"/>
            <w:vAlign w:val="center"/>
          </w:tcPr>
          <w:p w14:paraId="58B878DC">
            <w:pPr>
              <w:pageBreakBefore w:val="0"/>
              <w:suppressAutoHyphens/>
              <w:kinsoku/>
              <w:overflowPunct/>
              <w:bidi w:val="0"/>
              <w:adjustRightInd w:val="0"/>
              <w:snapToGrid w:val="0"/>
              <w:spacing w:line="360" w:lineRule="auto"/>
              <w:jc w:val="center"/>
              <w:rPr>
                <w:rFonts w:hint="eastAsia" w:ascii="宋体" w:hAnsi="宋体" w:eastAsia="宋体" w:cs="宋体"/>
                <w:color w:val="000000"/>
                <w:kern w:val="1"/>
                <w:sz w:val="24"/>
                <w:szCs w:val="24"/>
              </w:rPr>
            </w:pPr>
            <w:r>
              <w:rPr>
                <w:rFonts w:hint="eastAsia" w:ascii="宋体" w:hAnsi="宋体" w:eastAsia="宋体" w:cs="宋体"/>
                <w:color w:val="000000"/>
                <w:kern w:val="1"/>
                <w:sz w:val="24"/>
                <w:szCs w:val="24"/>
              </w:rPr>
              <w:t>质量要求</w:t>
            </w:r>
          </w:p>
        </w:tc>
        <w:tc>
          <w:tcPr>
            <w:tcW w:w="4145" w:type="pct"/>
            <w:gridSpan w:val="5"/>
            <w:vAlign w:val="center"/>
          </w:tcPr>
          <w:p w14:paraId="3C011834">
            <w:pPr>
              <w:pageBreakBefore w:val="0"/>
              <w:widowControl/>
              <w:kinsoku/>
              <w:overflowPunct/>
              <w:bidi w:val="0"/>
              <w:spacing w:after="200" w:line="360" w:lineRule="auto"/>
              <w:jc w:val="left"/>
              <w:rPr>
                <w:rFonts w:hint="eastAsia" w:ascii="宋体" w:hAnsi="宋体" w:eastAsia="宋体" w:cs="宋体"/>
                <w:b/>
                <w:color w:val="000000"/>
                <w:kern w:val="1"/>
                <w:sz w:val="24"/>
                <w:szCs w:val="24"/>
              </w:rPr>
            </w:pPr>
          </w:p>
        </w:tc>
      </w:tr>
      <w:tr w14:paraId="3442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54" w:type="pct"/>
            <w:vAlign w:val="center"/>
          </w:tcPr>
          <w:p w14:paraId="41DD1790">
            <w:pPr>
              <w:pageBreakBefore w:val="0"/>
              <w:suppressAutoHyphens/>
              <w:kinsoku/>
              <w:overflowPunct/>
              <w:bidi w:val="0"/>
              <w:adjustRightInd w:val="0"/>
              <w:snapToGrid w:val="0"/>
              <w:spacing w:line="360" w:lineRule="auto"/>
              <w:jc w:val="center"/>
              <w:rPr>
                <w:rFonts w:hint="eastAsia" w:ascii="宋体" w:hAnsi="宋体" w:eastAsia="宋体" w:cs="宋体"/>
                <w:color w:val="000000"/>
                <w:kern w:val="1"/>
                <w:sz w:val="24"/>
                <w:szCs w:val="24"/>
                <w:lang w:eastAsia="zh-CN"/>
              </w:rPr>
            </w:pPr>
            <w:r>
              <w:rPr>
                <w:rFonts w:hint="eastAsia" w:ascii="宋体" w:hAnsi="宋体" w:eastAsia="宋体" w:cs="宋体"/>
                <w:color w:val="000000"/>
                <w:kern w:val="1"/>
                <w:sz w:val="24"/>
                <w:szCs w:val="24"/>
                <w:lang w:eastAsia="zh-CN"/>
              </w:rPr>
              <w:t>保修期</w:t>
            </w:r>
          </w:p>
        </w:tc>
        <w:tc>
          <w:tcPr>
            <w:tcW w:w="4145" w:type="pct"/>
            <w:gridSpan w:val="5"/>
            <w:vAlign w:val="center"/>
          </w:tcPr>
          <w:p w14:paraId="52BE0B1B">
            <w:pPr>
              <w:pageBreakBefore w:val="0"/>
              <w:widowControl/>
              <w:kinsoku/>
              <w:overflowPunct/>
              <w:bidi w:val="0"/>
              <w:spacing w:after="200" w:line="360" w:lineRule="auto"/>
              <w:rPr>
                <w:rFonts w:hint="eastAsia" w:ascii="宋体" w:hAnsi="宋体" w:eastAsia="宋体" w:cs="宋体"/>
                <w:b/>
                <w:color w:val="000000"/>
                <w:kern w:val="1"/>
                <w:sz w:val="24"/>
                <w:szCs w:val="24"/>
              </w:rPr>
            </w:pPr>
          </w:p>
        </w:tc>
      </w:tr>
      <w:tr w14:paraId="28D7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54" w:type="pct"/>
            <w:vAlign w:val="center"/>
          </w:tcPr>
          <w:p w14:paraId="1F7175F7">
            <w:pPr>
              <w:pageBreakBefore w:val="0"/>
              <w:suppressAutoHyphens/>
              <w:kinsoku/>
              <w:overflowPunct/>
              <w:bidi w:val="0"/>
              <w:adjustRightInd w:val="0"/>
              <w:snapToGrid w:val="0"/>
              <w:spacing w:line="360" w:lineRule="auto"/>
              <w:jc w:val="center"/>
              <w:rPr>
                <w:rFonts w:hint="eastAsia" w:ascii="宋体" w:hAnsi="宋体" w:eastAsia="宋体" w:cs="宋体"/>
                <w:color w:val="000000"/>
                <w:kern w:val="1"/>
                <w:sz w:val="24"/>
                <w:szCs w:val="24"/>
              </w:rPr>
            </w:pPr>
            <w:r>
              <w:rPr>
                <w:rFonts w:hint="eastAsia" w:ascii="宋体" w:hAnsi="宋体" w:eastAsia="宋体" w:cs="宋体"/>
                <w:color w:val="000000"/>
                <w:kern w:val="1"/>
                <w:sz w:val="24"/>
                <w:szCs w:val="24"/>
              </w:rPr>
              <w:t>磋商有效期</w:t>
            </w:r>
          </w:p>
        </w:tc>
        <w:tc>
          <w:tcPr>
            <w:tcW w:w="4145" w:type="pct"/>
            <w:gridSpan w:val="5"/>
            <w:vAlign w:val="center"/>
          </w:tcPr>
          <w:p w14:paraId="23A27D22">
            <w:pPr>
              <w:pageBreakBefore w:val="0"/>
              <w:widowControl/>
              <w:kinsoku/>
              <w:overflowPunct/>
              <w:bidi w:val="0"/>
              <w:spacing w:after="200" w:line="360" w:lineRule="auto"/>
              <w:jc w:val="left"/>
              <w:rPr>
                <w:rFonts w:hint="eastAsia" w:ascii="宋体" w:hAnsi="宋体" w:eastAsia="宋体" w:cs="宋体"/>
                <w:b/>
                <w:color w:val="000000"/>
                <w:kern w:val="1"/>
                <w:sz w:val="24"/>
                <w:szCs w:val="24"/>
              </w:rPr>
            </w:pPr>
          </w:p>
        </w:tc>
      </w:tr>
      <w:tr w14:paraId="50D4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854" w:type="pct"/>
            <w:vAlign w:val="center"/>
          </w:tcPr>
          <w:p w14:paraId="2331E72F">
            <w:pPr>
              <w:pageBreakBefore w:val="0"/>
              <w:kinsoku/>
              <w:overflowPunct/>
              <w:bidi w:val="0"/>
              <w:spacing w:line="360" w:lineRule="auto"/>
              <w:jc w:val="center"/>
              <w:rPr>
                <w:rFonts w:hint="eastAsia" w:ascii="宋体" w:hAnsi="宋体" w:eastAsia="宋体" w:cs="宋体"/>
                <w:color w:val="000000"/>
                <w:kern w:val="1"/>
                <w:sz w:val="24"/>
                <w:szCs w:val="24"/>
              </w:rPr>
            </w:pPr>
            <w:r>
              <w:rPr>
                <w:rFonts w:hint="eastAsia" w:ascii="宋体" w:hAnsi="宋体" w:eastAsia="宋体" w:cs="宋体"/>
                <w:color w:val="000000"/>
                <w:kern w:val="1"/>
                <w:sz w:val="24"/>
                <w:szCs w:val="24"/>
              </w:rPr>
              <w:t>需要说明的问题</w:t>
            </w:r>
          </w:p>
        </w:tc>
        <w:tc>
          <w:tcPr>
            <w:tcW w:w="4145" w:type="pct"/>
            <w:gridSpan w:val="5"/>
            <w:vAlign w:val="center"/>
          </w:tcPr>
          <w:p w14:paraId="664214CD">
            <w:pPr>
              <w:pageBreakBefore w:val="0"/>
              <w:kinsoku/>
              <w:overflowPunct/>
              <w:bidi w:val="0"/>
              <w:spacing w:line="360" w:lineRule="auto"/>
              <w:rPr>
                <w:rFonts w:hint="eastAsia" w:ascii="宋体" w:hAnsi="宋体" w:eastAsia="宋体" w:cs="宋体"/>
                <w:b/>
                <w:color w:val="000000"/>
                <w:kern w:val="1"/>
                <w:sz w:val="24"/>
                <w:szCs w:val="24"/>
              </w:rPr>
            </w:pPr>
          </w:p>
        </w:tc>
      </w:tr>
    </w:tbl>
    <w:p w14:paraId="1B7464D3">
      <w:pPr>
        <w:pageBreakBefore w:val="0"/>
        <w:widowControl/>
        <w:kinsoku/>
        <w:overflowPunct/>
        <w:bidi w:val="0"/>
        <w:spacing w:after="200" w:line="360" w:lineRule="auto"/>
        <w:jc w:val="left"/>
        <w:rPr>
          <w:rFonts w:hint="eastAsia" w:ascii="宋体" w:hAnsi="宋体" w:eastAsia="宋体" w:cs="宋体"/>
          <w:color w:val="000000"/>
          <w:kern w:val="0"/>
          <w:sz w:val="28"/>
          <w:szCs w:val="28"/>
          <w:lang w:bidi="en-US"/>
        </w:rPr>
      </w:pPr>
    </w:p>
    <w:p w14:paraId="21581574">
      <w:pPr>
        <w:keepNext w:val="0"/>
        <w:keepLines w:val="0"/>
        <w:pageBreakBefore w:val="0"/>
        <w:kinsoku/>
        <w:wordWrap w:val="0"/>
        <w:overflowPunct/>
        <w:topLinePunct w:val="0"/>
        <w:autoSpaceDE/>
        <w:autoSpaceDN/>
        <w:bidi w:val="0"/>
        <w:spacing w:line="360" w:lineRule="auto"/>
        <w:ind w:firstLine="420" w:firstLineChars="175"/>
        <w:jc w:val="both"/>
        <w:textAlignment w:val="auto"/>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（盖单位章）</w:t>
      </w:r>
    </w:p>
    <w:p w14:paraId="03C3EE04">
      <w:pPr>
        <w:keepNext w:val="0"/>
        <w:keepLines w:val="0"/>
        <w:pageBreakBefore w:val="0"/>
        <w:kinsoku/>
        <w:wordWrap w:val="0"/>
        <w:overflowPunct/>
        <w:topLinePunct w:val="0"/>
        <w:autoSpaceDE/>
        <w:autoSpaceDN/>
        <w:bidi w:val="0"/>
        <w:spacing w:line="360" w:lineRule="auto"/>
        <w:ind w:firstLine="420" w:firstLineChars="175"/>
        <w:jc w:val="both"/>
        <w:textAlignment w:val="auto"/>
        <w:rPr>
          <w:rFonts w:hint="eastAsia" w:ascii="宋体" w:hAnsi="宋体" w:eastAsia="宋体" w:cs="宋体"/>
          <w:sz w:val="24"/>
          <w:u w:val="single"/>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（电子签章）</w:t>
      </w:r>
    </w:p>
    <w:p w14:paraId="21859DCC">
      <w:pPr>
        <w:keepNext w:val="0"/>
        <w:keepLines w:val="0"/>
        <w:pageBreakBefore w:val="0"/>
        <w:widowControl/>
        <w:kinsoku/>
        <w:wordWrap w:val="0"/>
        <w:overflowPunct/>
        <w:topLinePunct w:val="0"/>
        <w:autoSpaceDE/>
        <w:autoSpaceDN/>
        <w:bidi w:val="0"/>
        <w:adjustRightInd w:val="0"/>
        <w:snapToGrid w:val="0"/>
        <w:spacing w:line="360" w:lineRule="auto"/>
        <w:ind w:firstLine="420" w:firstLineChars="175"/>
        <w:jc w:val="both"/>
        <w:textAlignment w:val="auto"/>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日</w:t>
      </w:r>
    </w:p>
    <w:p w14:paraId="3E013261">
      <w:pPr>
        <w:pageBreakBefore w:val="0"/>
        <w:kinsoku/>
        <w:overflowPunct/>
        <w:bidi w:val="0"/>
        <w:spacing w:line="360" w:lineRule="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p>
    <w:p w14:paraId="0CC4712E">
      <w:pPr>
        <w:keepNext w:val="0"/>
        <w:keepLines w:val="0"/>
        <w:pageBreakBefore w:val="0"/>
        <w:widowControl/>
        <w:kinsoku/>
        <w:wordWrap/>
        <w:overflowPunct/>
        <w:topLinePunct w:val="0"/>
        <w:autoSpaceDE/>
        <w:autoSpaceDN/>
        <w:bidi w:val="0"/>
        <w:adjustRightInd w:val="0"/>
        <w:snapToGrid w:val="0"/>
        <w:spacing w:after="200" w:line="360" w:lineRule="auto"/>
        <w:jc w:val="center"/>
        <w:textAlignment w:val="auto"/>
        <w:outlineLvl w:val="1"/>
        <w:rPr>
          <w:rFonts w:hint="eastAsia" w:ascii="宋体" w:hAnsi="宋体" w:eastAsia="宋体" w:cs="宋体"/>
          <w:b/>
          <w:sz w:val="24"/>
          <w:szCs w:val="24"/>
        </w:rPr>
      </w:pPr>
      <w:bookmarkStart w:id="376" w:name="_Toc476231086"/>
      <w:bookmarkStart w:id="377" w:name="_Toc470786259"/>
      <w:bookmarkStart w:id="378" w:name="_Toc30552"/>
      <w:r>
        <w:rPr>
          <w:rFonts w:hint="eastAsia" w:ascii="宋体" w:hAnsi="宋体" w:eastAsia="宋体" w:cs="宋体"/>
          <w:b/>
          <w:sz w:val="24"/>
          <w:szCs w:val="24"/>
        </w:rPr>
        <w:t>二、</w:t>
      </w:r>
      <w:bookmarkEnd w:id="376"/>
      <w:bookmarkEnd w:id="377"/>
      <w:r>
        <w:rPr>
          <w:rFonts w:hint="eastAsia" w:ascii="宋体" w:hAnsi="宋体" w:eastAsia="宋体" w:cs="宋体"/>
          <w:b/>
          <w:sz w:val="24"/>
          <w:szCs w:val="24"/>
        </w:rPr>
        <w:t>法定代表人身份证明及授权委托书</w:t>
      </w:r>
      <w:bookmarkEnd w:id="378"/>
    </w:p>
    <w:p w14:paraId="7714D158">
      <w:pPr>
        <w:keepNext w:val="0"/>
        <w:keepLines w:val="0"/>
        <w:pageBreakBefore w:val="0"/>
        <w:widowControl/>
        <w:kinsoku/>
        <w:wordWrap/>
        <w:overflowPunct/>
        <w:topLinePunct w:val="0"/>
        <w:autoSpaceDE/>
        <w:autoSpaceDN/>
        <w:bidi w:val="0"/>
        <w:adjustRightInd/>
        <w:snapToGrid/>
        <w:spacing w:after="200" w:line="360" w:lineRule="auto"/>
        <w:jc w:val="center"/>
        <w:textAlignment w:val="auto"/>
        <w:outlineLvl w:val="2"/>
        <w:rPr>
          <w:rFonts w:hint="eastAsia" w:ascii="宋体" w:hAnsi="宋体" w:eastAsia="宋体" w:cs="宋体"/>
          <w:b/>
          <w:bCs/>
          <w:color w:val="000000"/>
          <w:kern w:val="0"/>
          <w:sz w:val="24"/>
          <w:szCs w:val="24"/>
          <w:lang w:bidi="en-US"/>
        </w:rPr>
      </w:pPr>
      <w:bookmarkStart w:id="379" w:name="_Toc5955"/>
      <w:bookmarkStart w:id="380" w:name="_Toc28381"/>
      <w:bookmarkStart w:id="381" w:name="_Toc32393"/>
      <w:bookmarkStart w:id="382" w:name="_Toc28907"/>
      <w:bookmarkStart w:id="383" w:name="_Toc5843"/>
      <w:r>
        <w:rPr>
          <w:rFonts w:hint="eastAsia" w:ascii="宋体" w:hAnsi="宋体" w:eastAsia="宋体" w:cs="宋体"/>
          <w:b/>
          <w:bCs/>
          <w:color w:val="000000"/>
          <w:kern w:val="0"/>
          <w:sz w:val="24"/>
          <w:szCs w:val="24"/>
          <w:lang w:bidi="en-US"/>
        </w:rPr>
        <w:t>（一）法定代表人身份证明</w:t>
      </w:r>
      <w:bookmarkEnd w:id="379"/>
      <w:bookmarkEnd w:id="380"/>
      <w:bookmarkEnd w:id="381"/>
      <w:bookmarkEnd w:id="382"/>
      <w:bookmarkEnd w:id="383"/>
    </w:p>
    <w:p w14:paraId="5A930711">
      <w:pPr>
        <w:keepNext w:val="0"/>
        <w:keepLines w:val="0"/>
        <w:pageBreakBefore w:val="0"/>
        <w:widowControl/>
        <w:kinsoku/>
        <w:wordWrap/>
        <w:overflowPunct/>
        <w:topLinePunct w:val="0"/>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供应商名称：</w:t>
      </w:r>
      <w:r>
        <w:rPr>
          <w:rFonts w:hint="eastAsia" w:ascii="宋体" w:hAnsi="宋体" w:eastAsia="宋体" w:cs="宋体"/>
          <w:color w:val="000000"/>
          <w:kern w:val="0"/>
          <w:sz w:val="24"/>
          <w:szCs w:val="24"/>
          <w:u w:val="single"/>
        </w:rPr>
        <w:t xml:space="preserve">                             </w:t>
      </w:r>
    </w:p>
    <w:p w14:paraId="0D2F3F4D">
      <w:pPr>
        <w:keepNext w:val="0"/>
        <w:keepLines w:val="0"/>
        <w:pageBreakBefore w:val="0"/>
        <w:widowControl/>
        <w:kinsoku/>
        <w:wordWrap/>
        <w:overflowPunct/>
        <w:topLinePunct w:val="0"/>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单位性质：</w:t>
      </w:r>
      <w:r>
        <w:rPr>
          <w:rFonts w:hint="eastAsia" w:ascii="宋体" w:hAnsi="宋体" w:eastAsia="宋体" w:cs="宋体"/>
          <w:color w:val="000000"/>
          <w:kern w:val="0"/>
          <w:sz w:val="24"/>
          <w:szCs w:val="24"/>
          <w:u w:val="single"/>
        </w:rPr>
        <w:t xml:space="preserve">                               </w:t>
      </w:r>
    </w:p>
    <w:p w14:paraId="7509F47F">
      <w:pPr>
        <w:keepNext w:val="0"/>
        <w:keepLines w:val="0"/>
        <w:pageBreakBefore w:val="0"/>
        <w:widowControl/>
        <w:kinsoku/>
        <w:wordWrap/>
        <w:overflowPunct/>
        <w:topLinePunct w:val="0"/>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地址：</w:t>
      </w:r>
      <w:r>
        <w:rPr>
          <w:rFonts w:hint="eastAsia" w:ascii="宋体" w:hAnsi="宋体" w:eastAsia="宋体" w:cs="宋体"/>
          <w:color w:val="000000"/>
          <w:kern w:val="0"/>
          <w:sz w:val="24"/>
          <w:szCs w:val="24"/>
          <w:u w:val="single"/>
        </w:rPr>
        <w:t xml:space="preserve">                                   </w:t>
      </w:r>
    </w:p>
    <w:p w14:paraId="77414DEB">
      <w:pPr>
        <w:keepNext w:val="0"/>
        <w:keepLines w:val="0"/>
        <w:pageBreakBefore w:val="0"/>
        <w:widowControl/>
        <w:kinsoku/>
        <w:wordWrap/>
        <w:overflowPunct/>
        <w:topLinePunct w:val="0"/>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成立时间：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w:t>
      </w:r>
    </w:p>
    <w:p w14:paraId="25443544">
      <w:pPr>
        <w:keepNext w:val="0"/>
        <w:keepLines w:val="0"/>
        <w:pageBreakBefore w:val="0"/>
        <w:widowControl/>
        <w:kinsoku/>
        <w:wordWrap/>
        <w:overflowPunct/>
        <w:topLinePunct w:val="0"/>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经营期限：</w:t>
      </w:r>
      <w:r>
        <w:rPr>
          <w:rFonts w:hint="eastAsia" w:ascii="宋体" w:hAnsi="宋体" w:eastAsia="宋体" w:cs="宋体"/>
          <w:color w:val="000000"/>
          <w:kern w:val="0"/>
          <w:sz w:val="24"/>
          <w:szCs w:val="24"/>
          <w:u w:val="single"/>
        </w:rPr>
        <w:t xml:space="preserve">                               </w:t>
      </w:r>
    </w:p>
    <w:p w14:paraId="19217937">
      <w:pPr>
        <w:keepNext w:val="0"/>
        <w:keepLines w:val="0"/>
        <w:pageBreakBefore w:val="0"/>
        <w:widowControl/>
        <w:kinsoku/>
        <w:wordWrap/>
        <w:overflowPunct/>
        <w:topLinePunct w:val="0"/>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姓名：</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xml:space="preserve"> 性别：</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年龄：</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职务：</w:t>
      </w:r>
      <w:r>
        <w:rPr>
          <w:rFonts w:hint="eastAsia" w:ascii="宋体" w:hAnsi="宋体" w:eastAsia="宋体" w:cs="宋体"/>
          <w:color w:val="000000"/>
          <w:kern w:val="0"/>
          <w:sz w:val="24"/>
          <w:szCs w:val="24"/>
          <w:u w:val="single"/>
        </w:rPr>
        <w:t xml:space="preserve">          </w:t>
      </w:r>
    </w:p>
    <w:p w14:paraId="4D90BD14">
      <w:pPr>
        <w:keepNext w:val="0"/>
        <w:keepLines w:val="0"/>
        <w:pageBreakBefore w:val="0"/>
        <w:widowControl/>
        <w:kinsoku/>
        <w:wordWrap/>
        <w:overflowPunct/>
        <w:topLinePunct w:val="0"/>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xml:space="preserve"> （供应商名称）的法定代表人。</w:t>
      </w:r>
    </w:p>
    <w:p w14:paraId="22DCB974">
      <w:pPr>
        <w:keepNext w:val="0"/>
        <w:keepLines w:val="0"/>
        <w:pageBreakBefore w:val="0"/>
        <w:widowControl/>
        <w:kinsoku/>
        <w:wordWrap/>
        <w:overflowPunct/>
        <w:topLinePunct w:val="0"/>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特此证明。</w:t>
      </w:r>
    </w:p>
    <w:p w14:paraId="25BB667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rPr>
      </w:pPr>
    </w:p>
    <w:p w14:paraId="66711D3C">
      <w:pPr>
        <w:keepNext w:val="0"/>
        <w:keepLines w:val="0"/>
        <w:pageBreakBefore w:val="0"/>
        <w:widowControl/>
        <w:kinsoku/>
        <w:wordWrap/>
        <w:overflowPunct/>
        <w:topLinePunct w:val="0"/>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附：法定代表人身份证复印件。 </w:t>
      </w:r>
    </w:p>
    <w:p w14:paraId="1141B51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szCs w:val="24"/>
        </w:rPr>
      </w:pPr>
    </w:p>
    <w:p w14:paraId="4B22F88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rPr>
      </w:pPr>
    </w:p>
    <w:p w14:paraId="549B1650">
      <w:pPr>
        <w:keepNext w:val="0"/>
        <w:keepLines w:val="0"/>
        <w:pageBreakBefore w:val="0"/>
        <w:widowControl/>
        <w:kinsoku/>
        <w:wordWrap/>
        <w:overflowPunct/>
        <w:topLinePunct w:val="0"/>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供应商名称：</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(盖单位章)</w:t>
      </w:r>
    </w:p>
    <w:p w14:paraId="78594938">
      <w:pPr>
        <w:keepNext w:val="0"/>
        <w:keepLines w:val="0"/>
        <w:pageBreakBefore w:val="0"/>
        <w:widowControl/>
        <w:kinsoku/>
        <w:wordWrap/>
        <w:overflowPunct/>
        <w:topLinePunct w:val="0"/>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4"/>
          <w:szCs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689F3769">
      <w:pPr>
        <w:pageBreakBefore w:val="0"/>
        <w:widowControl/>
        <w:kinsoku/>
        <w:overflowPunct/>
        <w:bidi w:val="0"/>
        <w:adjustRightInd w:val="0"/>
        <w:snapToGrid w:val="0"/>
        <w:spacing w:after="200" w:line="360" w:lineRule="auto"/>
        <w:ind w:left="4740" w:leftChars="2257"/>
        <w:jc w:val="left"/>
        <w:rPr>
          <w:rFonts w:hint="eastAsia" w:ascii="宋体" w:hAnsi="宋体" w:eastAsia="宋体" w:cs="宋体"/>
          <w:color w:val="000000"/>
          <w:kern w:val="0"/>
          <w:sz w:val="28"/>
          <w:szCs w:val="28"/>
        </w:rPr>
      </w:pPr>
    </w:p>
    <w:p w14:paraId="2AE9E401">
      <w:pPr>
        <w:keepNext w:val="0"/>
        <w:keepLines w:val="0"/>
        <w:pageBreakBefore w:val="0"/>
        <w:widowControl/>
        <w:kinsoku/>
        <w:wordWrap/>
        <w:overflowPunct/>
        <w:topLinePunct w:val="0"/>
        <w:autoSpaceDE/>
        <w:autoSpaceDN/>
        <w:bidi w:val="0"/>
        <w:adjustRightInd/>
        <w:snapToGrid/>
        <w:spacing w:after="200" w:line="360" w:lineRule="auto"/>
        <w:jc w:val="center"/>
        <w:textAlignment w:val="auto"/>
        <w:outlineLvl w:val="2"/>
        <w:rPr>
          <w:rFonts w:hint="eastAsia" w:ascii="宋体" w:hAnsi="宋体" w:eastAsia="宋体" w:cs="宋体"/>
          <w:b/>
          <w:color w:val="000000"/>
          <w:kern w:val="0"/>
          <w:sz w:val="24"/>
          <w:szCs w:val="24"/>
        </w:rPr>
      </w:pPr>
      <w:bookmarkStart w:id="384" w:name="_Toc12633"/>
      <w:bookmarkStart w:id="385" w:name="_Toc22161"/>
      <w:bookmarkStart w:id="386" w:name="_Toc29611"/>
      <w:r>
        <w:rPr>
          <w:rFonts w:hint="eastAsia" w:ascii="宋体" w:hAnsi="宋体" w:eastAsia="宋体" w:cs="宋体"/>
          <w:b/>
          <w:color w:val="000000"/>
          <w:kern w:val="0"/>
          <w:sz w:val="28"/>
          <w:szCs w:val="28"/>
        </w:rPr>
        <w:br w:type="page"/>
      </w:r>
      <w:r>
        <w:rPr>
          <w:rFonts w:hint="eastAsia" w:ascii="宋体" w:hAnsi="宋体" w:eastAsia="宋体" w:cs="宋体"/>
          <w:b/>
          <w:color w:val="000000"/>
          <w:kern w:val="0"/>
          <w:sz w:val="24"/>
          <w:szCs w:val="24"/>
        </w:rPr>
        <w:t>（二）授权委托书</w:t>
      </w:r>
      <w:bookmarkEnd w:id="384"/>
      <w:bookmarkEnd w:id="385"/>
      <w:bookmarkEnd w:id="386"/>
    </w:p>
    <w:p w14:paraId="18997F01">
      <w:pPr>
        <w:keepNext w:val="0"/>
        <w:keepLines w:val="0"/>
        <w:pageBreakBefore w:val="0"/>
        <w:widowControl/>
        <w:kinsoku/>
        <w:wordWrap/>
        <w:overflowPunct/>
        <w:topLine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（姓名）系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（供应商名称）的法定代表人，现委托</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（姓名）为我方代理人。代理人根据授权，以我方名义签署、澄清、说明、补正、递交、撤回、修改</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（项目名称）磋商响应文件、签订合同和处理有关事宜，其法律后果由我方承担。</w:t>
      </w:r>
    </w:p>
    <w:p w14:paraId="0D379BCF">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委托期限：</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765A6BD7">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代理人无转委托权。</w:t>
      </w:r>
    </w:p>
    <w:p w14:paraId="749A41C8">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附：法定代表人及委托代理人身份证正反面扫描件。</w:t>
      </w:r>
    </w:p>
    <w:p w14:paraId="45212F9D">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kern w:val="0"/>
          <w:sz w:val="24"/>
          <w:szCs w:val="24"/>
        </w:rPr>
      </w:pPr>
    </w:p>
    <w:p w14:paraId="613E64FD">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供应商名称：</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（盖单位章）</w:t>
      </w:r>
    </w:p>
    <w:p w14:paraId="7E7FFDD2">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（电子签章）</w:t>
      </w:r>
    </w:p>
    <w:p w14:paraId="7F561090">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身份证号码：</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sz w:val="24"/>
          <w:szCs w:val="24"/>
          <w:u w:val="single"/>
        </w:rPr>
        <w:t xml:space="preserve">         </w:t>
      </w:r>
    </w:p>
    <w:p w14:paraId="6496FD2F">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委托代理人：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（法人电子签章）</w:t>
      </w:r>
    </w:p>
    <w:p w14:paraId="66BC8B6E">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身份证号码：</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sz w:val="24"/>
          <w:szCs w:val="24"/>
          <w:u w:val="single"/>
        </w:rPr>
        <w:t xml:space="preserve">         </w:t>
      </w:r>
    </w:p>
    <w:p w14:paraId="74EDD4FC">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u w:val="none"/>
          <w:lang w:val="en-US" w:eastAsia="zh-CN"/>
        </w:rPr>
        <w:t>联系电话：</w:t>
      </w:r>
      <w:r>
        <w:rPr>
          <w:rFonts w:hint="eastAsia" w:ascii="宋体" w:hAnsi="宋体" w:eastAsia="宋体" w:cs="宋体"/>
          <w:color w:val="000000"/>
          <w:sz w:val="24"/>
          <w:szCs w:val="24"/>
          <w:u w:val="single"/>
          <w:lang w:val="en-US" w:eastAsia="zh-CN"/>
        </w:rPr>
        <w:t xml:space="preserve">                            </w:t>
      </w:r>
    </w:p>
    <w:p w14:paraId="6CA83DFC">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w:t>
      </w:r>
    </w:p>
    <w:p w14:paraId="199C08C8">
      <w:pPr>
        <w:keepNext w:val="0"/>
        <w:keepLines w:val="0"/>
        <w:pageBreakBefore w:val="0"/>
        <w:kinsoku/>
        <w:wordWrap/>
        <w:overflowPunct/>
        <w:autoSpaceDE/>
        <w:autoSpaceDN/>
        <w:bidi w:val="0"/>
        <w:spacing w:line="360" w:lineRule="auto"/>
        <w:ind w:firstLine="560" w:firstLineChars="200"/>
        <w:textAlignment w:val="auto"/>
        <w:rPr>
          <w:rFonts w:hint="eastAsia" w:ascii="宋体" w:hAnsi="宋体" w:eastAsia="宋体" w:cs="宋体"/>
          <w:color w:val="000000"/>
          <w:kern w:val="0"/>
          <w:sz w:val="28"/>
          <w:szCs w:val="28"/>
        </w:rPr>
      </w:pPr>
    </w:p>
    <w:p w14:paraId="14ADA976">
      <w:pPr>
        <w:keepNext w:val="0"/>
        <w:keepLines w:val="0"/>
        <w:pageBreakBefore w:val="0"/>
        <w:widowControl/>
        <w:kinsoku/>
        <w:wordWrap/>
        <w:overflowPunct/>
        <w:autoSpaceDE/>
        <w:autoSpaceDN/>
        <w:bidi w:val="0"/>
        <w:adjustRightInd w:val="0"/>
        <w:snapToGrid w:val="0"/>
        <w:spacing w:after="200" w:line="360" w:lineRule="auto"/>
        <w:ind w:firstLine="482"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b/>
          <w:bCs/>
          <w:color w:val="000000"/>
          <w:kern w:val="0"/>
          <w:sz w:val="24"/>
        </w:rPr>
        <w:t>注：因磋商响应文件中授权委托书授权代理人无法手写签字，可以以印刷体代替（印刷体为电脑打出的字体）。</w:t>
      </w:r>
    </w:p>
    <w:p w14:paraId="5E9475F7">
      <w:pPr>
        <w:keepNext w:val="0"/>
        <w:keepLines w:val="0"/>
        <w:pageBreakBefore w:val="0"/>
        <w:widowControl/>
        <w:kinsoku/>
        <w:wordWrap/>
        <w:overflowPunct/>
        <w:topLinePunct w:val="0"/>
        <w:autoSpaceDE/>
        <w:autoSpaceDN/>
        <w:bidi w:val="0"/>
        <w:adjustRightInd w:val="0"/>
        <w:snapToGrid w:val="0"/>
        <w:spacing w:after="200" w:line="360" w:lineRule="auto"/>
        <w:jc w:val="center"/>
        <w:textAlignment w:val="auto"/>
        <w:outlineLvl w:val="1"/>
        <w:rPr>
          <w:rFonts w:hint="eastAsia" w:ascii="宋体" w:hAnsi="宋体" w:eastAsia="宋体" w:cs="宋体"/>
          <w:color w:val="000000"/>
          <w:sz w:val="24"/>
          <w:szCs w:val="24"/>
          <w:u w:val="none"/>
          <w:lang w:val="en-US" w:eastAsia="zh-CN"/>
        </w:rPr>
      </w:pPr>
      <w:r>
        <w:rPr>
          <w:rFonts w:hint="eastAsia" w:ascii="宋体" w:hAnsi="宋体" w:eastAsia="宋体" w:cs="宋体"/>
          <w:color w:val="000000"/>
          <w:kern w:val="0"/>
          <w:sz w:val="28"/>
          <w:szCs w:val="28"/>
        </w:rPr>
        <w:br w:type="page"/>
      </w:r>
      <w:bookmarkStart w:id="387" w:name="_Toc26393"/>
      <w:r>
        <w:rPr>
          <w:rFonts w:hint="eastAsia" w:ascii="宋体" w:hAnsi="宋体" w:eastAsia="宋体" w:cs="宋体"/>
          <w:b/>
          <w:sz w:val="24"/>
          <w:szCs w:val="24"/>
          <w:lang w:val="en-US" w:eastAsia="zh-CN"/>
        </w:rPr>
        <w:t>三、磋商承诺函</w:t>
      </w:r>
      <w:bookmarkEnd w:id="387"/>
    </w:p>
    <w:p w14:paraId="40895262">
      <w:pPr>
        <w:keepNext w:val="0"/>
        <w:keepLines w:val="0"/>
        <w:pageBreakBefore w:val="0"/>
        <w:widowControl/>
        <w:kinsoku/>
        <w:wordWrap/>
        <w:overflowPunct/>
        <w:autoSpaceDE/>
        <w:autoSpaceDN/>
        <w:bidi w:val="0"/>
        <w:adjustRightInd w:val="0"/>
        <w:snapToGrid w:val="0"/>
        <w:spacing w:after="200" w:line="360" w:lineRule="auto"/>
        <w:jc w:val="lef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致（采购人）：</w:t>
      </w:r>
      <w:r>
        <w:rPr>
          <w:rFonts w:hint="eastAsia" w:ascii="宋体" w:hAnsi="宋体" w:eastAsia="宋体" w:cs="宋体"/>
          <w:color w:val="000000"/>
          <w:sz w:val="24"/>
          <w:szCs w:val="24"/>
          <w:u w:val="single"/>
          <w:lang w:val="en-US" w:eastAsia="zh-CN"/>
        </w:rPr>
        <w:t xml:space="preserve">                        </w:t>
      </w:r>
    </w:p>
    <w:p w14:paraId="34B85A68">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我公司作为本次采购项目的供应商，根据磋商文件要求，现郑重承诺如下：</w:t>
      </w:r>
    </w:p>
    <w:p w14:paraId="0C6333FE">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一、具备《中华人民共和国政府采购法》第二十二条第一款和本项目规定的条件：</w:t>
      </w:r>
    </w:p>
    <w:p w14:paraId="6F556D4E">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（一）具有独立承担民事责任的能力；</w:t>
      </w:r>
    </w:p>
    <w:p w14:paraId="09B24CF8">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（二）具有良好的商业信誉和健全的财务会计制度；</w:t>
      </w:r>
    </w:p>
    <w:p w14:paraId="4C3F1999">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（三）具有履行合同所必需的设备和专业技术能力；</w:t>
      </w:r>
    </w:p>
    <w:p w14:paraId="47F242AB">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（四）有依法缴纳税收和社会保障资金的良好记录；</w:t>
      </w:r>
    </w:p>
    <w:p w14:paraId="08B4B63C">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（五）参加政府采购活动前三年内，在经营活动中没有重大违法记录；</w:t>
      </w:r>
    </w:p>
    <w:p w14:paraId="66DD00E5">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（六）法律、行政法规规定的其他条件；</w:t>
      </w:r>
    </w:p>
    <w:p w14:paraId="6E58381D">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（七）根据采购项目提出的特殊条件。</w:t>
      </w:r>
    </w:p>
    <w:p w14:paraId="21C6D8B3">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14:paraId="22D9D63B">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三、参加本次磋商采购活动，不存在与单位负责人为同一人或者存在直接控股、管理关系的其他供应商参与同一合同项下的政府采购活动的行为。</w:t>
      </w:r>
    </w:p>
    <w:p w14:paraId="17FCC1C9">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四、参加本次磋商采购活动，不存在为采购项目提供整体设计、规范编制或者项目管理、监理、检测等服务的行为。</w:t>
      </w:r>
    </w:p>
    <w:p w14:paraId="70EEF7AD">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五、参加本次磋商采购活动，不存在和其他供应商在同一合同项下的采购项目中，同时委托同一个自然人、同一家庭的人员、同一单位的人员作为代理人的行为。</w:t>
      </w:r>
    </w:p>
    <w:p w14:paraId="22D45B97">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六、供应商参加本次政府采购活动要求在近三年内供应商和其法定代表人没有行贿犯罪行为。</w:t>
      </w:r>
    </w:p>
    <w:p w14:paraId="2EC7ABE2">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七、参加本次磋商采购活动，不存在联合体投标。</w:t>
      </w:r>
    </w:p>
    <w:p w14:paraId="7F6EA2C3">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八、磋商响应文件中提供的能够给予我公司带来优惠、好处的任何材料资料和技术、服务、商务等响应承诺情况都是真实的、有效的、合法的。</w:t>
      </w:r>
    </w:p>
    <w:p w14:paraId="6EDF82C9">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九、供应商认为需要承诺的其他事项：</w:t>
      </w:r>
    </w:p>
    <w:p w14:paraId="066F85ED">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1、</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；2、</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；3、</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w:t>
      </w:r>
    </w:p>
    <w:p w14:paraId="6B0079C5">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十、存在以下行为之一的愿意接受相关部门的处理：</w:t>
      </w:r>
    </w:p>
    <w:p w14:paraId="52E57CB2">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（一）磋商有效期内撤销磋商响应文件的；</w:t>
      </w:r>
    </w:p>
    <w:p w14:paraId="7E5B4CB7">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（二）在采购人确定中标人以前放弃中标候选资格的；</w:t>
      </w:r>
    </w:p>
    <w:p w14:paraId="21CFD23B">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（三）由于中标人的原因未能按照磋商文件的规定与采购人签订合同；</w:t>
      </w:r>
    </w:p>
    <w:p w14:paraId="516763A4">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（四）在磋商响应文件中提供虚假材料谋取中标；</w:t>
      </w:r>
    </w:p>
    <w:p w14:paraId="1708F987">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（五）与采购人、其他供应商或者采购代理机构恶意串通的；</w:t>
      </w:r>
    </w:p>
    <w:p w14:paraId="085D6B36">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（六）磋商有效期内，供应商在政府采购活动中有违法、违规、违纪行为。</w:t>
      </w:r>
    </w:p>
    <w:p w14:paraId="6769DA8A">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由此产生的一切法律后果和责任由我公司承担。我公司声明放弃对此提出任何异议和追索的权利。</w:t>
      </w:r>
    </w:p>
    <w:p w14:paraId="2CB31AE4">
      <w:pPr>
        <w:keepNext w:val="0"/>
        <w:keepLines w:val="0"/>
        <w:pageBreakBefore w:val="0"/>
        <w:widowControl/>
        <w:kinsoku/>
        <w:wordWrap/>
        <w:overflowPunct/>
        <w:autoSpaceDE/>
        <w:autoSpaceDN/>
        <w:bidi w:val="0"/>
        <w:adjustRightInd w:val="0"/>
        <w:snapToGrid w:val="0"/>
        <w:spacing w:after="200" w:line="360" w:lineRule="auto"/>
        <w:ind w:firstLine="480" w:firstLineChars="200"/>
        <w:jc w:val="lef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本公司对上述承诺的内容事项真实性负责。如经查实上述承诺的内容事项存在虚假，我公司愿意接受以提供虚假材料谋取中标追究法律责任。</w:t>
      </w:r>
    </w:p>
    <w:p w14:paraId="5784D66D">
      <w:pPr>
        <w:keepNext w:val="0"/>
        <w:keepLines w:val="0"/>
        <w:pageBreakBefore w:val="0"/>
        <w:kinsoku/>
        <w:wordWrap w:val="0"/>
        <w:overflowPunct/>
        <w:topLinePunct w:val="0"/>
        <w:autoSpaceDE/>
        <w:autoSpaceDN/>
        <w:bidi w:val="0"/>
        <w:spacing w:line="360" w:lineRule="auto"/>
        <w:ind w:firstLine="420" w:firstLineChars="175"/>
        <w:jc w:val="both"/>
        <w:textAlignment w:val="auto"/>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（盖单位章）</w:t>
      </w:r>
    </w:p>
    <w:p w14:paraId="2D91A075">
      <w:pPr>
        <w:keepNext w:val="0"/>
        <w:keepLines w:val="0"/>
        <w:pageBreakBefore w:val="0"/>
        <w:kinsoku/>
        <w:wordWrap w:val="0"/>
        <w:overflowPunct/>
        <w:topLinePunct w:val="0"/>
        <w:autoSpaceDE/>
        <w:autoSpaceDN/>
        <w:bidi w:val="0"/>
        <w:spacing w:line="360" w:lineRule="auto"/>
        <w:ind w:firstLine="420" w:firstLineChars="175"/>
        <w:jc w:val="both"/>
        <w:textAlignment w:val="auto"/>
        <w:rPr>
          <w:rFonts w:hint="eastAsia" w:ascii="宋体" w:hAnsi="宋体" w:eastAsia="宋体" w:cs="宋体"/>
          <w:sz w:val="24"/>
          <w:u w:val="single"/>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（电子签章）</w:t>
      </w:r>
    </w:p>
    <w:p w14:paraId="7A894F73">
      <w:pPr>
        <w:keepNext w:val="0"/>
        <w:keepLines w:val="0"/>
        <w:pageBreakBefore w:val="0"/>
        <w:widowControl/>
        <w:kinsoku/>
        <w:wordWrap w:val="0"/>
        <w:overflowPunct/>
        <w:topLinePunct w:val="0"/>
        <w:autoSpaceDE/>
        <w:autoSpaceDN/>
        <w:bidi w:val="0"/>
        <w:adjustRightInd w:val="0"/>
        <w:snapToGrid w:val="0"/>
        <w:spacing w:line="360" w:lineRule="auto"/>
        <w:ind w:firstLine="420" w:firstLineChars="175"/>
        <w:jc w:val="both"/>
        <w:textAlignment w:val="auto"/>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日</w:t>
      </w:r>
    </w:p>
    <w:p w14:paraId="796EC3F6">
      <w:pPr>
        <w:pageBreakBefore w:val="0"/>
        <w:kinsoku/>
        <w:overflowPunct/>
        <w:bidi w:val="0"/>
        <w:spacing w:line="360" w:lineRule="auto"/>
        <w:rPr>
          <w:rFonts w:hint="eastAsia" w:ascii="宋体" w:hAnsi="宋体" w:eastAsia="宋体" w:cs="宋体"/>
          <w:b/>
          <w:sz w:val="24"/>
          <w:szCs w:val="24"/>
        </w:rPr>
      </w:pPr>
      <w:bookmarkStart w:id="388" w:name="_Toc22452"/>
      <w:r>
        <w:rPr>
          <w:rFonts w:hint="eastAsia" w:ascii="宋体" w:hAnsi="宋体" w:eastAsia="宋体" w:cs="宋体"/>
          <w:b/>
          <w:sz w:val="24"/>
          <w:szCs w:val="24"/>
        </w:rPr>
        <w:br w:type="page"/>
      </w:r>
    </w:p>
    <w:p w14:paraId="56F1941F">
      <w:pPr>
        <w:keepNext w:val="0"/>
        <w:keepLines w:val="0"/>
        <w:pageBreakBefore w:val="0"/>
        <w:widowControl/>
        <w:kinsoku/>
        <w:wordWrap/>
        <w:overflowPunct/>
        <w:topLinePunct w:val="0"/>
        <w:autoSpaceDE/>
        <w:autoSpaceDN/>
        <w:bidi w:val="0"/>
        <w:adjustRightInd w:val="0"/>
        <w:snapToGrid w:val="0"/>
        <w:spacing w:after="200" w:line="360" w:lineRule="auto"/>
        <w:jc w:val="center"/>
        <w:textAlignment w:val="auto"/>
        <w:outlineLvl w:val="1"/>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四、已标价工程量清单</w:t>
      </w:r>
      <w:bookmarkEnd w:id="388"/>
    </w:p>
    <w:p w14:paraId="17352410">
      <w:pPr>
        <w:pageBreakBefore w:val="0"/>
        <w:widowControl/>
        <w:kinsoku/>
        <w:overflowPunct/>
        <w:bidi w:val="0"/>
        <w:spacing w:after="200" w:line="360" w:lineRule="auto"/>
        <w:jc w:val="center"/>
        <w:rPr>
          <w:rFonts w:hint="eastAsia" w:ascii="宋体" w:hAnsi="宋体" w:eastAsia="宋体" w:cs="宋体"/>
          <w:bCs/>
          <w:color w:val="000000"/>
          <w:kern w:val="0"/>
          <w:sz w:val="30"/>
          <w:szCs w:val="30"/>
        </w:rPr>
      </w:pPr>
      <w:r>
        <w:rPr>
          <w:rFonts w:hint="eastAsia" w:ascii="宋体" w:hAnsi="宋体" w:eastAsia="宋体" w:cs="宋体"/>
          <w:bCs/>
          <w:color w:val="000000"/>
          <w:kern w:val="0"/>
          <w:sz w:val="30"/>
          <w:szCs w:val="30"/>
        </w:rPr>
        <w:br w:type="page"/>
      </w:r>
      <w:bookmarkStart w:id="389" w:name="_Toc22768"/>
    </w:p>
    <w:p w14:paraId="30C7C763">
      <w:pPr>
        <w:keepNext w:val="0"/>
        <w:keepLines w:val="0"/>
        <w:pageBreakBefore w:val="0"/>
        <w:widowControl/>
        <w:kinsoku/>
        <w:wordWrap/>
        <w:overflowPunct/>
        <w:topLinePunct w:val="0"/>
        <w:autoSpaceDE/>
        <w:autoSpaceDN/>
        <w:bidi w:val="0"/>
        <w:adjustRightInd w:val="0"/>
        <w:snapToGrid w:val="0"/>
        <w:spacing w:after="200" w:line="360" w:lineRule="auto"/>
        <w:jc w:val="center"/>
        <w:textAlignment w:val="auto"/>
        <w:outlineLvl w:val="1"/>
        <w:rPr>
          <w:rFonts w:hint="eastAsia" w:ascii="宋体" w:hAnsi="宋体" w:eastAsia="宋体" w:cs="宋体"/>
          <w:b/>
          <w:sz w:val="24"/>
          <w:szCs w:val="24"/>
          <w:lang w:val="en-US" w:eastAsia="zh-CN"/>
        </w:rPr>
      </w:pPr>
      <w:bookmarkStart w:id="390" w:name="_Toc11244"/>
      <w:r>
        <w:rPr>
          <w:rFonts w:hint="eastAsia" w:ascii="宋体" w:hAnsi="宋体" w:eastAsia="宋体" w:cs="宋体"/>
          <w:b/>
          <w:sz w:val="24"/>
          <w:szCs w:val="24"/>
          <w:lang w:val="en-US" w:eastAsia="zh-CN"/>
        </w:rPr>
        <w:t>五、</w:t>
      </w:r>
      <w:bookmarkEnd w:id="390"/>
      <w:r>
        <w:rPr>
          <w:rFonts w:hint="eastAsia" w:ascii="宋体" w:hAnsi="宋体" w:eastAsia="宋体" w:cs="宋体"/>
          <w:b/>
          <w:sz w:val="24"/>
          <w:szCs w:val="24"/>
          <w:lang w:val="en-US" w:eastAsia="zh-CN"/>
        </w:rPr>
        <w:t>施工组织设计</w:t>
      </w:r>
    </w:p>
    <w:p w14:paraId="115C7094">
      <w:pPr>
        <w:pageBreakBefore w:val="0"/>
        <w:kinsoku/>
        <w:overflowPunct/>
        <w:bidi w:val="0"/>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14:paraId="5CEAD013">
      <w:pPr>
        <w:keepNext w:val="0"/>
        <w:keepLines w:val="0"/>
        <w:pageBreakBefore w:val="0"/>
        <w:widowControl/>
        <w:kinsoku/>
        <w:wordWrap/>
        <w:overflowPunct/>
        <w:topLinePunct w:val="0"/>
        <w:autoSpaceDE/>
        <w:autoSpaceDN/>
        <w:bidi w:val="0"/>
        <w:adjustRightInd w:val="0"/>
        <w:snapToGrid w:val="0"/>
        <w:spacing w:after="200" w:line="360" w:lineRule="auto"/>
        <w:jc w:val="center"/>
        <w:textAlignment w:val="auto"/>
        <w:outlineLvl w:val="1"/>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六、项目管理机构</w:t>
      </w:r>
      <w:bookmarkEnd w:id="389"/>
    </w:p>
    <w:p w14:paraId="28562CCC">
      <w:pPr>
        <w:pStyle w:val="44"/>
        <w:pageBreakBefore w:val="0"/>
        <w:widowControl/>
        <w:numPr>
          <w:ilvl w:val="2"/>
          <w:numId w:val="0"/>
        </w:numPr>
        <w:kinsoku/>
        <w:wordWrap/>
        <w:overflowPunct/>
        <w:bidi w:val="0"/>
        <w:spacing w:line="360" w:lineRule="auto"/>
        <w:ind w:left="-420" w:leftChars="0" w:right="0" w:rightChars="0"/>
        <w:jc w:val="center"/>
        <w:rPr>
          <w:rFonts w:hint="eastAsia" w:ascii="宋体" w:hAnsi="宋体" w:eastAsia="宋体" w:cs="宋体"/>
          <w:b/>
          <w:bCs/>
          <w:highlight w:val="none"/>
          <w:lang w:val="en-US" w:eastAsia="zh-CN"/>
        </w:rPr>
      </w:pPr>
      <w:bookmarkStart w:id="391" w:name="_Toc144974872"/>
      <w:bookmarkStart w:id="392" w:name="_Toc27221"/>
      <w:r>
        <w:rPr>
          <w:rFonts w:hint="eastAsia" w:ascii="宋体" w:hAnsi="宋体" w:eastAsia="宋体" w:cs="宋体"/>
          <w:b/>
          <w:bCs/>
          <w:highlight w:val="none"/>
          <w:lang w:val="en-US" w:eastAsia="zh-CN"/>
        </w:rPr>
        <w:t>（一）项目管理机构组成表</w:t>
      </w:r>
      <w:bookmarkEnd w:id="391"/>
    </w:p>
    <w:tbl>
      <w:tblPr>
        <w:tblStyle w:val="17"/>
        <w:tblW w:w="7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911"/>
        <w:gridCol w:w="911"/>
        <w:gridCol w:w="1541"/>
        <w:gridCol w:w="911"/>
        <w:gridCol w:w="911"/>
        <w:gridCol w:w="912"/>
        <w:gridCol w:w="911"/>
      </w:tblGrid>
      <w:tr w14:paraId="2195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5" w:hRule="atLeast"/>
          <w:jc w:val="center"/>
        </w:trPr>
        <w:tc>
          <w:tcPr>
            <w:tcW w:w="911" w:type="dxa"/>
            <w:vMerge w:val="restart"/>
            <w:tcBorders>
              <w:top w:val="single" w:color="auto" w:sz="4" w:space="0"/>
              <w:left w:val="single" w:color="auto" w:sz="4" w:space="0"/>
              <w:bottom w:val="single" w:color="auto" w:sz="4" w:space="0"/>
              <w:right w:val="single" w:color="auto" w:sz="4" w:space="0"/>
            </w:tcBorders>
            <w:noWrap w:val="0"/>
            <w:vAlign w:val="center"/>
          </w:tcPr>
          <w:p w14:paraId="0FC8B0F5">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r>
              <w:rPr>
                <w:rFonts w:hint="eastAsia" w:ascii="宋体" w:hAnsi="宋体" w:eastAsia="宋体" w:cs="宋体"/>
                <w:kern w:val="2"/>
                <w:sz w:val="24"/>
                <w:szCs w:val="24"/>
                <w:highlight w:val="none"/>
                <w:vertAlign w:val="baseline"/>
                <w:lang w:val="en-US" w:eastAsia="zh-CN" w:bidi="ar"/>
              </w:rPr>
              <w:t>职务</w:t>
            </w:r>
          </w:p>
        </w:tc>
        <w:tc>
          <w:tcPr>
            <w:tcW w:w="911" w:type="dxa"/>
            <w:vMerge w:val="restart"/>
            <w:tcBorders>
              <w:top w:val="single" w:color="auto" w:sz="4" w:space="0"/>
              <w:left w:val="nil"/>
              <w:bottom w:val="single" w:color="auto" w:sz="4" w:space="0"/>
              <w:right w:val="single" w:color="auto" w:sz="4" w:space="0"/>
            </w:tcBorders>
            <w:noWrap w:val="0"/>
            <w:vAlign w:val="center"/>
          </w:tcPr>
          <w:p w14:paraId="4A3A20ED">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r>
              <w:rPr>
                <w:rFonts w:hint="eastAsia" w:ascii="宋体" w:hAnsi="宋体" w:eastAsia="宋体" w:cs="宋体"/>
                <w:kern w:val="2"/>
                <w:sz w:val="24"/>
                <w:szCs w:val="24"/>
                <w:highlight w:val="none"/>
                <w:vertAlign w:val="baseline"/>
                <w:lang w:val="en-US" w:eastAsia="zh-CN" w:bidi="ar"/>
              </w:rPr>
              <w:t>姓名</w:t>
            </w:r>
          </w:p>
        </w:tc>
        <w:tc>
          <w:tcPr>
            <w:tcW w:w="911" w:type="dxa"/>
            <w:vMerge w:val="restart"/>
            <w:tcBorders>
              <w:top w:val="single" w:color="auto" w:sz="4" w:space="0"/>
              <w:left w:val="nil"/>
              <w:bottom w:val="single" w:color="auto" w:sz="4" w:space="0"/>
              <w:right w:val="single" w:color="auto" w:sz="4" w:space="0"/>
            </w:tcBorders>
            <w:noWrap w:val="0"/>
            <w:vAlign w:val="center"/>
          </w:tcPr>
          <w:p w14:paraId="1470CF41">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r>
              <w:rPr>
                <w:rFonts w:hint="eastAsia" w:ascii="宋体" w:hAnsi="宋体" w:eastAsia="宋体" w:cs="宋体"/>
                <w:kern w:val="2"/>
                <w:sz w:val="24"/>
                <w:szCs w:val="24"/>
                <w:highlight w:val="none"/>
                <w:vertAlign w:val="baseline"/>
                <w:lang w:val="en-US" w:eastAsia="zh-CN" w:bidi="ar"/>
              </w:rPr>
              <w:t>职称</w:t>
            </w:r>
          </w:p>
        </w:tc>
        <w:tc>
          <w:tcPr>
            <w:tcW w:w="4275" w:type="dxa"/>
            <w:gridSpan w:val="4"/>
            <w:tcBorders>
              <w:top w:val="single" w:color="auto" w:sz="4" w:space="0"/>
              <w:left w:val="nil"/>
              <w:bottom w:val="single" w:color="auto" w:sz="4" w:space="0"/>
              <w:right w:val="single" w:color="auto" w:sz="4" w:space="0"/>
            </w:tcBorders>
            <w:noWrap w:val="0"/>
            <w:vAlign w:val="center"/>
          </w:tcPr>
          <w:p w14:paraId="40E6C0FD">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kern w:val="2"/>
                <w:sz w:val="24"/>
                <w:szCs w:val="24"/>
                <w:highlight w:val="none"/>
                <w:vertAlign w:val="baseline"/>
                <w:lang w:val="en-US" w:eastAsia="zh-CN" w:bidi="ar"/>
              </w:rPr>
            </w:pPr>
            <w:r>
              <w:rPr>
                <w:rFonts w:hint="eastAsia" w:ascii="宋体" w:hAnsi="宋体" w:eastAsia="宋体" w:cs="宋体"/>
                <w:kern w:val="2"/>
                <w:sz w:val="24"/>
                <w:szCs w:val="24"/>
                <w:highlight w:val="none"/>
                <w:vertAlign w:val="baseline"/>
                <w:lang w:val="en-US" w:eastAsia="zh-CN" w:bidi="ar"/>
              </w:rPr>
              <w:t>执业或职业资格证明</w:t>
            </w:r>
          </w:p>
        </w:tc>
        <w:tc>
          <w:tcPr>
            <w:tcW w:w="911" w:type="dxa"/>
            <w:tcBorders>
              <w:top w:val="single" w:color="auto" w:sz="4" w:space="0"/>
              <w:left w:val="nil"/>
              <w:bottom w:val="single" w:color="auto" w:sz="4" w:space="0"/>
              <w:right w:val="single" w:color="auto" w:sz="4" w:space="0"/>
            </w:tcBorders>
            <w:noWrap w:val="0"/>
            <w:vAlign w:val="center"/>
          </w:tcPr>
          <w:p w14:paraId="55F3B736">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r>
              <w:rPr>
                <w:rFonts w:hint="eastAsia" w:ascii="宋体" w:hAnsi="宋体" w:eastAsia="宋体" w:cs="宋体"/>
                <w:kern w:val="2"/>
                <w:sz w:val="24"/>
                <w:szCs w:val="24"/>
                <w:highlight w:val="none"/>
                <w:vertAlign w:val="baseline"/>
                <w:lang w:val="en-US" w:eastAsia="zh-CN" w:bidi="ar"/>
              </w:rPr>
              <w:t>备注</w:t>
            </w:r>
          </w:p>
        </w:tc>
      </w:tr>
      <w:tr w14:paraId="7955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11" w:type="dxa"/>
            <w:vMerge w:val="continue"/>
            <w:tcBorders>
              <w:top w:val="single" w:color="auto" w:sz="4" w:space="0"/>
              <w:left w:val="single" w:color="auto" w:sz="4" w:space="0"/>
              <w:bottom w:val="single" w:color="auto" w:sz="4" w:space="0"/>
              <w:right w:val="single" w:color="auto" w:sz="4" w:space="0"/>
            </w:tcBorders>
            <w:noWrap w:val="0"/>
            <w:vAlign w:val="center"/>
          </w:tcPr>
          <w:p w14:paraId="15488609">
            <w:pPr>
              <w:keepNext w:val="0"/>
              <w:keepLines w:val="0"/>
              <w:pageBreakBefore w:val="0"/>
              <w:suppressLineNumbers w:val="0"/>
              <w:kinsoku/>
              <w:wordWrap/>
              <w:overflowPunct/>
              <w:bidi w:val="0"/>
              <w:spacing w:before="0" w:beforeAutospacing="0" w:after="0" w:afterAutospacing="0" w:line="360" w:lineRule="auto"/>
              <w:ind w:left="0" w:right="0"/>
              <w:rPr>
                <w:rFonts w:hint="default" w:ascii="Times New Roman" w:hAnsi="Times New Roman" w:cs="Times New Roman"/>
                <w:sz w:val="20"/>
                <w:szCs w:val="20"/>
                <w:highlight w:val="none"/>
              </w:rPr>
            </w:pPr>
          </w:p>
        </w:tc>
        <w:tc>
          <w:tcPr>
            <w:tcW w:w="911" w:type="dxa"/>
            <w:vMerge w:val="continue"/>
            <w:tcBorders>
              <w:top w:val="single" w:color="auto" w:sz="4" w:space="0"/>
              <w:left w:val="nil"/>
              <w:bottom w:val="single" w:color="auto" w:sz="4" w:space="0"/>
              <w:right w:val="single" w:color="auto" w:sz="4" w:space="0"/>
            </w:tcBorders>
            <w:noWrap w:val="0"/>
            <w:vAlign w:val="center"/>
          </w:tcPr>
          <w:p w14:paraId="1CDFDB78">
            <w:pPr>
              <w:keepNext w:val="0"/>
              <w:keepLines w:val="0"/>
              <w:pageBreakBefore w:val="0"/>
              <w:suppressLineNumbers w:val="0"/>
              <w:kinsoku/>
              <w:wordWrap/>
              <w:overflowPunct/>
              <w:bidi w:val="0"/>
              <w:spacing w:before="0" w:beforeAutospacing="0" w:after="0" w:afterAutospacing="0" w:line="360" w:lineRule="auto"/>
              <w:ind w:left="0" w:right="0"/>
              <w:rPr>
                <w:rFonts w:hint="default" w:ascii="Times New Roman" w:hAnsi="Times New Roman" w:cs="Times New Roman"/>
                <w:sz w:val="20"/>
                <w:szCs w:val="20"/>
                <w:highlight w:val="none"/>
              </w:rPr>
            </w:pPr>
          </w:p>
        </w:tc>
        <w:tc>
          <w:tcPr>
            <w:tcW w:w="911" w:type="dxa"/>
            <w:vMerge w:val="continue"/>
            <w:tcBorders>
              <w:top w:val="single" w:color="auto" w:sz="4" w:space="0"/>
              <w:left w:val="nil"/>
              <w:bottom w:val="single" w:color="auto" w:sz="4" w:space="0"/>
              <w:right w:val="single" w:color="auto" w:sz="4" w:space="0"/>
            </w:tcBorders>
            <w:noWrap w:val="0"/>
            <w:vAlign w:val="center"/>
          </w:tcPr>
          <w:p w14:paraId="61A4D984">
            <w:pPr>
              <w:keepNext w:val="0"/>
              <w:keepLines w:val="0"/>
              <w:pageBreakBefore w:val="0"/>
              <w:suppressLineNumbers w:val="0"/>
              <w:kinsoku/>
              <w:wordWrap/>
              <w:overflowPunct/>
              <w:bidi w:val="0"/>
              <w:spacing w:before="0" w:beforeAutospacing="0" w:after="0" w:afterAutospacing="0" w:line="360" w:lineRule="auto"/>
              <w:ind w:left="0" w:right="0"/>
              <w:rPr>
                <w:rFonts w:hint="default" w:ascii="Times New Roman" w:hAnsi="Times New Roman" w:cs="Times New Roman"/>
                <w:sz w:val="20"/>
                <w:szCs w:val="20"/>
                <w:highlight w:val="none"/>
              </w:rPr>
            </w:pPr>
          </w:p>
        </w:tc>
        <w:tc>
          <w:tcPr>
            <w:tcW w:w="1541" w:type="dxa"/>
            <w:tcBorders>
              <w:top w:val="single" w:color="auto" w:sz="4" w:space="0"/>
              <w:left w:val="nil"/>
              <w:bottom w:val="single" w:color="auto" w:sz="4" w:space="0"/>
              <w:right w:val="single" w:color="auto" w:sz="4" w:space="0"/>
            </w:tcBorders>
            <w:noWrap w:val="0"/>
            <w:vAlign w:val="center"/>
          </w:tcPr>
          <w:p w14:paraId="5108534C">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r>
              <w:rPr>
                <w:rFonts w:hint="eastAsia" w:ascii="宋体" w:hAnsi="宋体" w:eastAsia="宋体" w:cs="宋体"/>
                <w:kern w:val="2"/>
                <w:sz w:val="24"/>
                <w:szCs w:val="24"/>
                <w:highlight w:val="none"/>
                <w:vertAlign w:val="baseline"/>
                <w:lang w:val="en-US" w:eastAsia="zh-CN" w:bidi="ar"/>
              </w:rPr>
              <w:t>证书名称</w:t>
            </w:r>
          </w:p>
        </w:tc>
        <w:tc>
          <w:tcPr>
            <w:tcW w:w="911" w:type="dxa"/>
            <w:tcBorders>
              <w:top w:val="single" w:color="auto" w:sz="4" w:space="0"/>
              <w:left w:val="nil"/>
              <w:bottom w:val="single" w:color="auto" w:sz="4" w:space="0"/>
              <w:right w:val="single" w:color="auto" w:sz="4" w:space="0"/>
            </w:tcBorders>
            <w:noWrap w:val="0"/>
            <w:vAlign w:val="center"/>
          </w:tcPr>
          <w:p w14:paraId="667A4F0B">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r>
              <w:rPr>
                <w:rFonts w:hint="eastAsia" w:ascii="宋体" w:hAnsi="宋体" w:eastAsia="宋体" w:cs="宋体"/>
                <w:kern w:val="2"/>
                <w:sz w:val="24"/>
                <w:szCs w:val="24"/>
                <w:highlight w:val="none"/>
                <w:vertAlign w:val="baseline"/>
                <w:lang w:val="en-US" w:eastAsia="zh-CN" w:bidi="ar"/>
              </w:rPr>
              <w:t>级别</w:t>
            </w:r>
          </w:p>
        </w:tc>
        <w:tc>
          <w:tcPr>
            <w:tcW w:w="911" w:type="dxa"/>
            <w:tcBorders>
              <w:top w:val="single" w:color="auto" w:sz="4" w:space="0"/>
              <w:left w:val="nil"/>
              <w:bottom w:val="single" w:color="auto" w:sz="4" w:space="0"/>
              <w:right w:val="single" w:color="auto" w:sz="4" w:space="0"/>
            </w:tcBorders>
            <w:noWrap w:val="0"/>
            <w:vAlign w:val="center"/>
          </w:tcPr>
          <w:p w14:paraId="34DAF019">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r>
              <w:rPr>
                <w:rFonts w:hint="eastAsia" w:ascii="宋体" w:hAnsi="宋体" w:eastAsia="宋体" w:cs="宋体"/>
                <w:kern w:val="2"/>
                <w:sz w:val="24"/>
                <w:szCs w:val="24"/>
                <w:highlight w:val="none"/>
                <w:vertAlign w:val="baseline"/>
                <w:lang w:val="en-US" w:eastAsia="zh-CN" w:bidi="ar"/>
              </w:rPr>
              <w:t>证号</w:t>
            </w:r>
          </w:p>
        </w:tc>
        <w:tc>
          <w:tcPr>
            <w:tcW w:w="912" w:type="dxa"/>
            <w:tcBorders>
              <w:top w:val="single" w:color="auto" w:sz="4" w:space="0"/>
              <w:left w:val="nil"/>
              <w:bottom w:val="single" w:color="auto" w:sz="4" w:space="0"/>
              <w:right w:val="single" w:color="auto" w:sz="4" w:space="0"/>
            </w:tcBorders>
            <w:noWrap w:val="0"/>
            <w:vAlign w:val="center"/>
          </w:tcPr>
          <w:p w14:paraId="01A07D2C">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r>
              <w:rPr>
                <w:rFonts w:hint="eastAsia" w:ascii="宋体" w:hAnsi="宋体" w:eastAsia="宋体" w:cs="宋体"/>
                <w:kern w:val="2"/>
                <w:sz w:val="24"/>
                <w:szCs w:val="24"/>
                <w:highlight w:val="none"/>
                <w:vertAlign w:val="baseline"/>
                <w:lang w:val="en-US" w:eastAsia="zh-CN" w:bidi="ar"/>
              </w:rPr>
              <w:t>专业</w:t>
            </w:r>
          </w:p>
        </w:tc>
        <w:tc>
          <w:tcPr>
            <w:tcW w:w="911" w:type="dxa"/>
            <w:tcBorders>
              <w:top w:val="single" w:color="auto" w:sz="4" w:space="0"/>
              <w:left w:val="nil"/>
              <w:bottom w:val="single" w:color="auto" w:sz="4" w:space="0"/>
              <w:right w:val="single" w:color="auto" w:sz="4" w:space="0"/>
            </w:tcBorders>
            <w:noWrap w:val="0"/>
            <w:vAlign w:val="center"/>
          </w:tcPr>
          <w:p w14:paraId="098E5792">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r>
      <w:tr w14:paraId="5817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11" w:type="dxa"/>
            <w:tcBorders>
              <w:top w:val="single" w:color="auto" w:sz="4" w:space="0"/>
              <w:left w:val="single" w:color="auto" w:sz="4" w:space="0"/>
              <w:bottom w:val="single" w:color="auto" w:sz="4" w:space="0"/>
              <w:right w:val="single" w:color="auto" w:sz="4" w:space="0"/>
            </w:tcBorders>
            <w:noWrap w:val="0"/>
            <w:vAlign w:val="center"/>
          </w:tcPr>
          <w:p w14:paraId="69C78AF3">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center"/>
          </w:tcPr>
          <w:p w14:paraId="1D3C66FA">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center"/>
          </w:tcPr>
          <w:p w14:paraId="6C30EC7A">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1541" w:type="dxa"/>
            <w:tcBorders>
              <w:top w:val="single" w:color="auto" w:sz="4" w:space="0"/>
              <w:left w:val="nil"/>
              <w:bottom w:val="single" w:color="auto" w:sz="4" w:space="0"/>
              <w:right w:val="single" w:color="auto" w:sz="4" w:space="0"/>
            </w:tcBorders>
            <w:noWrap w:val="0"/>
            <w:vAlign w:val="center"/>
          </w:tcPr>
          <w:p w14:paraId="7F915874">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center"/>
          </w:tcPr>
          <w:p w14:paraId="6081ADD9">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center"/>
          </w:tcPr>
          <w:p w14:paraId="0F884039">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2" w:type="dxa"/>
            <w:tcBorders>
              <w:top w:val="single" w:color="auto" w:sz="4" w:space="0"/>
              <w:left w:val="nil"/>
              <w:bottom w:val="single" w:color="auto" w:sz="4" w:space="0"/>
              <w:right w:val="single" w:color="auto" w:sz="4" w:space="0"/>
            </w:tcBorders>
            <w:noWrap w:val="0"/>
            <w:vAlign w:val="center"/>
          </w:tcPr>
          <w:p w14:paraId="4D796841">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center"/>
          </w:tcPr>
          <w:p w14:paraId="44680086">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r>
      <w:tr w14:paraId="1CB7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11" w:type="dxa"/>
            <w:tcBorders>
              <w:top w:val="single" w:color="auto" w:sz="4" w:space="0"/>
              <w:left w:val="single" w:color="auto" w:sz="4" w:space="0"/>
              <w:bottom w:val="single" w:color="auto" w:sz="4" w:space="0"/>
              <w:right w:val="single" w:color="auto" w:sz="4" w:space="0"/>
            </w:tcBorders>
            <w:noWrap w:val="0"/>
            <w:vAlign w:val="top"/>
          </w:tcPr>
          <w:p w14:paraId="54E93E5E">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0A5F7176">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2C49DDC2">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1541" w:type="dxa"/>
            <w:tcBorders>
              <w:top w:val="single" w:color="auto" w:sz="4" w:space="0"/>
              <w:left w:val="nil"/>
              <w:bottom w:val="single" w:color="auto" w:sz="4" w:space="0"/>
              <w:right w:val="single" w:color="auto" w:sz="4" w:space="0"/>
            </w:tcBorders>
            <w:noWrap w:val="0"/>
            <w:vAlign w:val="top"/>
          </w:tcPr>
          <w:p w14:paraId="2B77F783">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4B6DF261">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2E8D88CD">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2" w:type="dxa"/>
            <w:tcBorders>
              <w:top w:val="single" w:color="auto" w:sz="4" w:space="0"/>
              <w:left w:val="nil"/>
              <w:bottom w:val="single" w:color="auto" w:sz="4" w:space="0"/>
              <w:right w:val="single" w:color="auto" w:sz="4" w:space="0"/>
            </w:tcBorders>
            <w:noWrap w:val="0"/>
            <w:vAlign w:val="top"/>
          </w:tcPr>
          <w:p w14:paraId="44315EC2">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76C58D9C">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r>
      <w:tr w14:paraId="0746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11" w:type="dxa"/>
            <w:tcBorders>
              <w:top w:val="single" w:color="auto" w:sz="4" w:space="0"/>
              <w:left w:val="single" w:color="auto" w:sz="4" w:space="0"/>
              <w:bottom w:val="single" w:color="auto" w:sz="4" w:space="0"/>
              <w:right w:val="single" w:color="auto" w:sz="4" w:space="0"/>
            </w:tcBorders>
            <w:noWrap w:val="0"/>
            <w:vAlign w:val="top"/>
          </w:tcPr>
          <w:p w14:paraId="551400A6">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3842CDB7">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2DC08467">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1541" w:type="dxa"/>
            <w:tcBorders>
              <w:top w:val="single" w:color="auto" w:sz="4" w:space="0"/>
              <w:left w:val="nil"/>
              <w:bottom w:val="single" w:color="auto" w:sz="4" w:space="0"/>
              <w:right w:val="single" w:color="auto" w:sz="4" w:space="0"/>
            </w:tcBorders>
            <w:noWrap w:val="0"/>
            <w:vAlign w:val="top"/>
          </w:tcPr>
          <w:p w14:paraId="06495591">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75D2D035">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1424243E">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2" w:type="dxa"/>
            <w:tcBorders>
              <w:top w:val="single" w:color="auto" w:sz="4" w:space="0"/>
              <w:left w:val="nil"/>
              <w:bottom w:val="single" w:color="auto" w:sz="4" w:space="0"/>
              <w:right w:val="single" w:color="auto" w:sz="4" w:space="0"/>
            </w:tcBorders>
            <w:noWrap w:val="0"/>
            <w:vAlign w:val="top"/>
          </w:tcPr>
          <w:p w14:paraId="2D3376A3">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19FA5724">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r>
      <w:tr w14:paraId="0AFF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11" w:type="dxa"/>
            <w:tcBorders>
              <w:top w:val="single" w:color="auto" w:sz="4" w:space="0"/>
              <w:left w:val="single" w:color="auto" w:sz="4" w:space="0"/>
              <w:bottom w:val="single" w:color="auto" w:sz="4" w:space="0"/>
              <w:right w:val="single" w:color="auto" w:sz="4" w:space="0"/>
            </w:tcBorders>
            <w:noWrap w:val="0"/>
            <w:vAlign w:val="top"/>
          </w:tcPr>
          <w:p w14:paraId="2D8ACD87">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3DB87F8C">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53E238E0">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1541" w:type="dxa"/>
            <w:tcBorders>
              <w:top w:val="single" w:color="auto" w:sz="4" w:space="0"/>
              <w:left w:val="nil"/>
              <w:bottom w:val="single" w:color="auto" w:sz="4" w:space="0"/>
              <w:right w:val="single" w:color="auto" w:sz="4" w:space="0"/>
            </w:tcBorders>
            <w:noWrap w:val="0"/>
            <w:vAlign w:val="top"/>
          </w:tcPr>
          <w:p w14:paraId="4EB436C6">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132ACB65">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174C944A">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2" w:type="dxa"/>
            <w:tcBorders>
              <w:top w:val="single" w:color="auto" w:sz="4" w:space="0"/>
              <w:left w:val="nil"/>
              <w:bottom w:val="single" w:color="auto" w:sz="4" w:space="0"/>
              <w:right w:val="single" w:color="auto" w:sz="4" w:space="0"/>
            </w:tcBorders>
            <w:noWrap w:val="0"/>
            <w:vAlign w:val="top"/>
          </w:tcPr>
          <w:p w14:paraId="0CD7DCC2">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11C0383A">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r>
      <w:tr w14:paraId="20EF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11" w:type="dxa"/>
            <w:tcBorders>
              <w:top w:val="single" w:color="auto" w:sz="4" w:space="0"/>
              <w:left w:val="single" w:color="auto" w:sz="4" w:space="0"/>
              <w:bottom w:val="single" w:color="auto" w:sz="4" w:space="0"/>
              <w:right w:val="single" w:color="auto" w:sz="4" w:space="0"/>
            </w:tcBorders>
            <w:noWrap w:val="0"/>
            <w:vAlign w:val="top"/>
          </w:tcPr>
          <w:p w14:paraId="009A7ABA">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7328963F">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77B9CDA0">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1541" w:type="dxa"/>
            <w:tcBorders>
              <w:top w:val="single" w:color="auto" w:sz="4" w:space="0"/>
              <w:left w:val="nil"/>
              <w:bottom w:val="single" w:color="auto" w:sz="4" w:space="0"/>
              <w:right w:val="single" w:color="auto" w:sz="4" w:space="0"/>
            </w:tcBorders>
            <w:noWrap w:val="0"/>
            <w:vAlign w:val="top"/>
          </w:tcPr>
          <w:p w14:paraId="67A00FC6">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77A8976C">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6B90F4C9">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2" w:type="dxa"/>
            <w:tcBorders>
              <w:top w:val="single" w:color="auto" w:sz="4" w:space="0"/>
              <w:left w:val="nil"/>
              <w:bottom w:val="single" w:color="auto" w:sz="4" w:space="0"/>
              <w:right w:val="single" w:color="auto" w:sz="4" w:space="0"/>
            </w:tcBorders>
            <w:noWrap w:val="0"/>
            <w:vAlign w:val="top"/>
          </w:tcPr>
          <w:p w14:paraId="3C0ACB6D">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4775ABA1">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r>
      <w:tr w14:paraId="7B1B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11" w:type="dxa"/>
            <w:tcBorders>
              <w:top w:val="single" w:color="auto" w:sz="4" w:space="0"/>
              <w:left w:val="single" w:color="auto" w:sz="4" w:space="0"/>
              <w:bottom w:val="single" w:color="auto" w:sz="4" w:space="0"/>
              <w:right w:val="single" w:color="auto" w:sz="4" w:space="0"/>
            </w:tcBorders>
            <w:noWrap w:val="0"/>
            <w:vAlign w:val="top"/>
          </w:tcPr>
          <w:p w14:paraId="180569F4">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3E3A8AEE">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26072802">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1541" w:type="dxa"/>
            <w:tcBorders>
              <w:top w:val="single" w:color="auto" w:sz="4" w:space="0"/>
              <w:left w:val="nil"/>
              <w:bottom w:val="single" w:color="auto" w:sz="4" w:space="0"/>
              <w:right w:val="single" w:color="auto" w:sz="4" w:space="0"/>
            </w:tcBorders>
            <w:noWrap w:val="0"/>
            <w:vAlign w:val="top"/>
          </w:tcPr>
          <w:p w14:paraId="15F8D22F">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5A437EA2">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721FEB56">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2" w:type="dxa"/>
            <w:tcBorders>
              <w:top w:val="single" w:color="auto" w:sz="4" w:space="0"/>
              <w:left w:val="nil"/>
              <w:bottom w:val="single" w:color="auto" w:sz="4" w:space="0"/>
              <w:right w:val="single" w:color="auto" w:sz="4" w:space="0"/>
            </w:tcBorders>
            <w:noWrap w:val="0"/>
            <w:vAlign w:val="top"/>
          </w:tcPr>
          <w:p w14:paraId="59821308">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0E6EAA1E">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r>
      <w:tr w14:paraId="39BA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11" w:type="dxa"/>
            <w:tcBorders>
              <w:top w:val="single" w:color="auto" w:sz="4" w:space="0"/>
              <w:left w:val="single" w:color="auto" w:sz="4" w:space="0"/>
              <w:bottom w:val="single" w:color="auto" w:sz="4" w:space="0"/>
              <w:right w:val="single" w:color="auto" w:sz="4" w:space="0"/>
            </w:tcBorders>
            <w:noWrap w:val="0"/>
            <w:vAlign w:val="top"/>
          </w:tcPr>
          <w:p w14:paraId="69466643">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37676F84">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3DF05123">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1541" w:type="dxa"/>
            <w:tcBorders>
              <w:top w:val="single" w:color="auto" w:sz="4" w:space="0"/>
              <w:left w:val="nil"/>
              <w:bottom w:val="single" w:color="auto" w:sz="4" w:space="0"/>
              <w:right w:val="single" w:color="auto" w:sz="4" w:space="0"/>
            </w:tcBorders>
            <w:noWrap w:val="0"/>
            <w:vAlign w:val="top"/>
          </w:tcPr>
          <w:p w14:paraId="45E9561C">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7BB4F252">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394D662D">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2" w:type="dxa"/>
            <w:tcBorders>
              <w:top w:val="single" w:color="auto" w:sz="4" w:space="0"/>
              <w:left w:val="nil"/>
              <w:bottom w:val="single" w:color="auto" w:sz="4" w:space="0"/>
              <w:right w:val="single" w:color="auto" w:sz="4" w:space="0"/>
            </w:tcBorders>
            <w:noWrap w:val="0"/>
            <w:vAlign w:val="top"/>
          </w:tcPr>
          <w:p w14:paraId="30AEC691">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5F0B8675">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r>
      <w:tr w14:paraId="0B89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11" w:type="dxa"/>
            <w:tcBorders>
              <w:top w:val="single" w:color="auto" w:sz="4" w:space="0"/>
              <w:left w:val="single" w:color="auto" w:sz="4" w:space="0"/>
              <w:bottom w:val="single" w:color="auto" w:sz="4" w:space="0"/>
              <w:right w:val="single" w:color="auto" w:sz="4" w:space="0"/>
            </w:tcBorders>
            <w:noWrap w:val="0"/>
            <w:vAlign w:val="top"/>
          </w:tcPr>
          <w:p w14:paraId="4535A892">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62435912">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3CE6BEB7">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1541" w:type="dxa"/>
            <w:tcBorders>
              <w:top w:val="single" w:color="auto" w:sz="4" w:space="0"/>
              <w:left w:val="nil"/>
              <w:bottom w:val="single" w:color="auto" w:sz="4" w:space="0"/>
              <w:right w:val="single" w:color="auto" w:sz="4" w:space="0"/>
            </w:tcBorders>
            <w:noWrap w:val="0"/>
            <w:vAlign w:val="top"/>
          </w:tcPr>
          <w:p w14:paraId="2C962C93">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08213EFE">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7805706C">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2" w:type="dxa"/>
            <w:tcBorders>
              <w:top w:val="single" w:color="auto" w:sz="4" w:space="0"/>
              <w:left w:val="nil"/>
              <w:bottom w:val="single" w:color="auto" w:sz="4" w:space="0"/>
              <w:right w:val="single" w:color="auto" w:sz="4" w:space="0"/>
            </w:tcBorders>
            <w:noWrap w:val="0"/>
            <w:vAlign w:val="top"/>
          </w:tcPr>
          <w:p w14:paraId="574158E6">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5EF16A64">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r>
      <w:tr w14:paraId="18B5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11" w:type="dxa"/>
            <w:tcBorders>
              <w:top w:val="single" w:color="auto" w:sz="4" w:space="0"/>
              <w:left w:val="single" w:color="auto" w:sz="4" w:space="0"/>
              <w:bottom w:val="single" w:color="auto" w:sz="4" w:space="0"/>
              <w:right w:val="single" w:color="auto" w:sz="4" w:space="0"/>
            </w:tcBorders>
            <w:noWrap w:val="0"/>
            <w:vAlign w:val="top"/>
          </w:tcPr>
          <w:p w14:paraId="027370EB">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49A2964F">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0AC49B7C">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1541" w:type="dxa"/>
            <w:tcBorders>
              <w:top w:val="single" w:color="auto" w:sz="4" w:space="0"/>
              <w:left w:val="nil"/>
              <w:bottom w:val="single" w:color="auto" w:sz="4" w:space="0"/>
              <w:right w:val="single" w:color="auto" w:sz="4" w:space="0"/>
            </w:tcBorders>
            <w:noWrap w:val="0"/>
            <w:vAlign w:val="top"/>
          </w:tcPr>
          <w:p w14:paraId="5040A156">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2C1F5E3E">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4339B624">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2" w:type="dxa"/>
            <w:tcBorders>
              <w:top w:val="single" w:color="auto" w:sz="4" w:space="0"/>
              <w:left w:val="nil"/>
              <w:bottom w:val="single" w:color="auto" w:sz="4" w:space="0"/>
              <w:right w:val="single" w:color="auto" w:sz="4" w:space="0"/>
            </w:tcBorders>
            <w:noWrap w:val="0"/>
            <w:vAlign w:val="top"/>
          </w:tcPr>
          <w:p w14:paraId="252F8A48">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02377317">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r>
      <w:tr w14:paraId="59AC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11" w:type="dxa"/>
            <w:tcBorders>
              <w:top w:val="single" w:color="auto" w:sz="4" w:space="0"/>
              <w:left w:val="single" w:color="auto" w:sz="4" w:space="0"/>
              <w:bottom w:val="single" w:color="auto" w:sz="4" w:space="0"/>
              <w:right w:val="single" w:color="auto" w:sz="4" w:space="0"/>
            </w:tcBorders>
            <w:noWrap w:val="0"/>
            <w:vAlign w:val="top"/>
          </w:tcPr>
          <w:p w14:paraId="24E9384F">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257FF784">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68C7BA94">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1541" w:type="dxa"/>
            <w:tcBorders>
              <w:top w:val="single" w:color="auto" w:sz="4" w:space="0"/>
              <w:left w:val="nil"/>
              <w:bottom w:val="single" w:color="auto" w:sz="4" w:space="0"/>
              <w:right w:val="single" w:color="auto" w:sz="4" w:space="0"/>
            </w:tcBorders>
            <w:noWrap w:val="0"/>
            <w:vAlign w:val="top"/>
          </w:tcPr>
          <w:p w14:paraId="6BE9EA04">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29D87C70">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09EAB0FC">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2" w:type="dxa"/>
            <w:tcBorders>
              <w:top w:val="single" w:color="auto" w:sz="4" w:space="0"/>
              <w:left w:val="nil"/>
              <w:bottom w:val="single" w:color="auto" w:sz="4" w:space="0"/>
              <w:right w:val="single" w:color="auto" w:sz="4" w:space="0"/>
            </w:tcBorders>
            <w:noWrap w:val="0"/>
            <w:vAlign w:val="top"/>
          </w:tcPr>
          <w:p w14:paraId="4249BEC9">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c>
          <w:tcPr>
            <w:tcW w:w="911" w:type="dxa"/>
            <w:tcBorders>
              <w:top w:val="single" w:color="auto" w:sz="4" w:space="0"/>
              <w:left w:val="nil"/>
              <w:bottom w:val="single" w:color="auto" w:sz="4" w:space="0"/>
              <w:right w:val="single" w:color="auto" w:sz="4" w:space="0"/>
            </w:tcBorders>
            <w:noWrap w:val="0"/>
            <w:vAlign w:val="top"/>
          </w:tcPr>
          <w:p w14:paraId="115B9155">
            <w:pPr>
              <w:keepNext w:val="0"/>
              <w:keepLines w:val="0"/>
              <w:pageBreakBefore w:val="0"/>
              <w:widowControl w:val="0"/>
              <w:suppressLineNumbers w:val="0"/>
              <w:kinsoku/>
              <w:wordWrap/>
              <w:overflowPunct/>
              <w:bidi w:val="0"/>
              <w:adjustRightInd w:val="0"/>
              <w:spacing w:before="0" w:beforeAutospacing="0" w:after="0" w:afterAutospacing="0" w:line="360" w:lineRule="auto"/>
              <w:ind w:left="0" w:right="0"/>
              <w:jc w:val="center"/>
              <w:textAlignment w:val="baseline"/>
              <w:rPr>
                <w:rFonts w:hint="eastAsia" w:ascii="宋体" w:hAnsi="宋体" w:eastAsia="宋体" w:cs="宋体"/>
                <w:sz w:val="24"/>
                <w:szCs w:val="24"/>
                <w:highlight w:val="none"/>
                <w:vertAlign w:val="baseline"/>
                <w:lang w:val="en-US"/>
              </w:rPr>
            </w:pPr>
          </w:p>
        </w:tc>
      </w:tr>
    </w:tbl>
    <w:p w14:paraId="44810BDA">
      <w:pPr>
        <w:keepNext w:val="0"/>
        <w:keepLines w:val="0"/>
        <w:pageBreakBefore w:val="0"/>
        <w:widowControl w:val="0"/>
        <w:suppressLineNumbers w:val="0"/>
        <w:kinsoku/>
        <w:wordWrap/>
        <w:overflowPunct/>
        <w:topLinePunct/>
        <w:bidi w:val="0"/>
        <w:spacing w:before="0" w:beforeAutospacing="0" w:after="0" w:afterAutospacing="0" w:line="360" w:lineRule="auto"/>
        <w:ind w:left="0" w:right="0"/>
        <w:jc w:val="both"/>
        <w:rPr>
          <w:rFonts w:hint="eastAsia" w:ascii="宋体" w:hAnsi="宋体" w:eastAsia="宋体" w:cs="宋体"/>
          <w:kern w:val="2"/>
          <w:sz w:val="21"/>
          <w:szCs w:val="22"/>
          <w:highlight w:val="none"/>
          <w:lang w:val="en-US" w:eastAsia="zh-CN" w:bidi="ar"/>
        </w:rPr>
      </w:pPr>
      <w:r>
        <w:rPr>
          <w:rFonts w:hint="eastAsia" w:ascii="宋体" w:hAnsi="宋体" w:eastAsia="宋体" w:cs="宋体"/>
          <w:kern w:val="2"/>
          <w:sz w:val="21"/>
          <w:szCs w:val="22"/>
          <w:highlight w:val="none"/>
          <w:lang w:val="en-US" w:eastAsia="zh-CN" w:bidi="ar"/>
        </w:rPr>
        <w:t xml:space="preserve"> </w:t>
      </w:r>
    </w:p>
    <w:p w14:paraId="5F1C3426">
      <w:pPr>
        <w:pageBreakBefore w:val="0"/>
        <w:kinsoku/>
        <w:overflowPunct/>
        <w:bidi w:val="0"/>
        <w:spacing w:line="360" w:lineRule="auto"/>
        <w:rPr>
          <w:rFonts w:hint="eastAsia" w:ascii="宋体" w:hAnsi="宋体" w:eastAsia="宋体" w:cs="宋体"/>
          <w:kern w:val="2"/>
          <w:sz w:val="21"/>
          <w:szCs w:val="22"/>
          <w:highlight w:val="none"/>
          <w:lang w:val="en-US" w:eastAsia="zh-CN" w:bidi="ar"/>
        </w:rPr>
      </w:pPr>
      <w:r>
        <w:rPr>
          <w:rFonts w:hint="eastAsia" w:ascii="宋体" w:hAnsi="宋体" w:eastAsia="宋体" w:cs="宋体"/>
          <w:kern w:val="2"/>
          <w:sz w:val="21"/>
          <w:szCs w:val="22"/>
          <w:highlight w:val="none"/>
          <w:lang w:val="en-US" w:eastAsia="zh-CN" w:bidi="ar"/>
        </w:rPr>
        <w:br w:type="page"/>
      </w:r>
    </w:p>
    <w:p w14:paraId="37A2245E">
      <w:pPr>
        <w:pStyle w:val="44"/>
        <w:pageBreakBefore w:val="0"/>
        <w:widowControl/>
        <w:numPr>
          <w:ilvl w:val="2"/>
          <w:numId w:val="0"/>
        </w:numPr>
        <w:kinsoku/>
        <w:wordWrap/>
        <w:overflowPunct/>
        <w:bidi w:val="0"/>
        <w:spacing w:line="360" w:lineRule="auto"/>
        <w:ind w:left="-420" w:leftChars="0" w:right="0" w:rightChars="0"/>
        <w:jc w:val="center"/>
        <w:rPr>
          <w:rFonts w:hint="eastAsia" w:ascii="宋体" w:hAnsi="宋体" w:eastAsia="宋体" w:cs="宋体"/>
          <w:b/>
          <w:bCs/>
          <w:highlight w:val="none"/>
          <w:lang w:val="en-US"/>
        </w:rPr>
      </w:pPr>
      <w:r>
        <w:rPr>
          <w:rFonts w:hint="eastAsia" w:ascii="宋体" w:hAnsi="宋体" w:eastAsia="宋体" w:cs="宋体"/>
          <w:b/>
          <w:bCs/>
          <w:highlight w:val="none"/>
          <w:lang w:eastAsia="zh-CN"/>
        </w:rPr>
        <w:t>（二）主要人员简历表</w:t>
      </w:r>
    </w:p>
    <w:p w14:paraId="447AC1E2">
      <w:pPr>
        <w:keepNext w:val="0"/>
        <w:keepLines w:val="0"/>
        <w:pageBreakBefore w:val="0"/>
        <w:widowControl w:val="0"/>
        <w:suppressLineNumbers w:val="0"/>
        <w:kinsoku/>
        <w:wordWrap/>
        <w:overflowPunct/>
        <w:bidi w:val="0"/>
        <w:spacing w:before="0" w:beforeAutospacing="0" w:after="0" w:afterAutospacing="0" w:line="360" w:lineRule="auto"/>
        <w:ind w:left="0" w:right="0" w:firstLine="360" w:firstLineChars="150"/>
        <w:jc w:val="both"/>
        <w:rPr>
          <w:rFonts w:hint="eastAsia" w:ascii="宋体" w:hAnsi="宋体" w:eastAsia="宋体" w:cs="宋体"/>
          <w:sz w:val="24"/>
          <w:szCs w:val="24"/>
          <w:highlight w:val="none"/>
          <w:lang w:val="en-US"/>
        </w:rPr>
      </w:pPr>
      <w:bookmarkStart w:id="393" w:name="_Toc152042596"/>
      <w:bookmarkEnd w:id="393"/>
      <w:bookmarkStart w:id="394" w:name="_Toc144974875"/>
      <w:bookmarkEnd w:id="394"/>
      <w:bookmarkStart w:id="395" w:name="_Toc152045807"/>
      <w:bookmarkEnd w:id="395"/>
      <w:r>
        <w:rPr>
          <w:rFonts w:hint="eastAsia" w:ascii="宋体" w:hAnsi="宋体" w:eastAsia="宋体" w:cs="宋体"/>
          <w:kern w:val="2"/>
          <w:sz w:val="24"/>
          <w:szCs w:val="24"/>
          <w:highlight w:val="none"/>
          <w:lang w:val="en-US" w:eastAsia="zh-CN" w:bidi="ar"/>
        </w:rPr>
        <w:t>“主要人员简历表”中的项目经理应附身份证、注册建造师证书、安全生产考核合格证书（B证）、职称证、学历证（如有）等扫描件及无在建工程承诺书，技术负责人应附身份证、职称证等扫描件；其他主要人员应附职称证（执业证或上岗证书）、身份证等扫描件。</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5"/>
        <w:gridCol w:w="1275"/>
        <w:gridCol w:w="1989"/>
        <w:gridCol w:w="1982"/>
      </w:tblGrid>
      <w:tr w14:paraId="7E73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noWrap w:val="0"/>
            <w:vAlign w:val="center"/>
          </w:tcPr>
          <w:p w14:paraId="5F7B6B1A">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姓  名</w:t>
            </w:r>
          </w:p>
        </w:tc>
        <w:tc>
          <w:tcPr>
            <w:tcW w:w="1035" w:type="dxa"/>
            <w:tcBorders>
              <w:top w:val="single" w:color="auto" w:sz="4" w:space="0"/>
              <w:left w:val="nil"/>
              <w:bottom w:val="single" w:color="auto" w:sz="4" w:space="0"/>
              <w:right w:val="single" w:color="auto" w:sz="4" w:space="0"/>
            </w:tcBorders>
            <w:noWrap w:val="0"/>
            <w:vAlign w:val="center"/>
          </w:tcPr>
          <w:p w14:paraId="03CD0899">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135" w:type="dxa"/>
            <w:tcBorders>
              <w:top w:val="single" w:color="auto" w:sz="4" w:space="0"/>
              <w:left w:val="nil"/>
              <w:bottom w:val="single" w:color="auto" w:sz="4" w:space="0"/>
              <w:right w:val="single" w:color="auto" w:sz="4" w:space="0"/>
            </w:tcBorders>
            <w:noWrap w:val="0"/>
            <w:vAlign w:val="center"/>
          </w:tcPr>
          <w:p w14:paraId="05E3B3BA">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年  龄</w:t>
            </w:r>
          </w:p>
        </w:tc>
        <w:tc>
          <w:tcPr>
            <w:tcW w:w="1275" w:type="dxa"/>
            <w:tcBorders>
              <w:top w:val="single" w:color="auto" w:sz="4" w:space="0"/>
              <w:left w:val="nil"/>
              <w:bottom w:val="single" w:color="auto" w:sz="4" w:space="0"/>
              <w:right w:val="single" w:color="auto" w:sz="4" w:space="0"/>
            </w:tcBorders>
            <w:noWrap w:val="0"/>
            <w:vAlign w:val="center"/>
          </w:tcPr>
          <w:p w14:paraId="7C8CE490">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989" w:type="dxa"/>
            <w:tcBorders>
              <w:top w:val="single" w:color="auto" w:sz="4" w:space="0"/>
              <w:left w:val="nil"/>
              <w:bottom w:val="single" w:color="auto" w:sz="4" w:space="0"/>
              <w:right w:val="single" w:color="auto" w:sz="4" w:space="0"/>
            </w:tcBorders>
            <w:noWrap w:val="0"/>
            <w:vAlign w:val="center"/>
          </w:tcPr>
          <w:p w14:paraId="23BFE171">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学历</w:t>
            </w:r>
          </w:p>
        </w:tc>
        <w:tc>
          <w:tcPr>
            <w:tcW w:w="1982" w:type="dxa"/>
            <w:tcBorders>
              <w:top w:val="single" w:color="auto" w:sz="4" w:space="0"/>
              <w:left w:val="nil"/>
              <w:bottom w:val="single" w:color="auto" w:sz="4" w:space="0"/>
              <w:right w:val="single" w:color="auto" w:sz="4" w:space="0"/>
            </w:tcBorders>
            <w:noWrap w:val="0"/>
            <w:vAlign w:val="center"/>
          </w:tcPr>
          <w:p w14:paraId="4E356E0F">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r>
      <w:tr w14:paraId="1535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noWrap w:val="0"/>
            <w:vAlign w:val="center"/>
          </w:tcPr>
          <w:p w14:paraId="16501775">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职  称</w:t>
            </w:r>
          </w:p>
        </w:tc>
        <w:tc>
          <w:tcPr>
            <w:tcW w:w="1035" w:type="dxa"/>
            <w:tcBorders>
              <w:top w:val="single" w:color="auto" w:sz="4" w:space="0"/>
              <w:left w:val="nil"/>
              <w:bottom w:val="single" w:color="auto" w:sz="4" w:space="0"/>
              <w:right w:val="single" w:color="auto" w:sz="4" w:space="0"/>
            </w:tcBorders>
            <w:noWrap w:val="0"/>
            <w:vAlign w:val="center"/>
          </w:tcPr>
          <w:p w14:paraId="5CEA5D2F">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135" w:type="dxa"/>
            <w:tcBorders>
              <w:top w:val="single" w:color="auto" w:sz="4" w:space="0"/>
              <w:left w:val="nil"/>
              <w:bottom w:val="single" w:color="auto" w:sz="4" w:space="0"/>
              <w:right w:val="single" w:color="auto" w:sz="4" w:space="0"/>
            </w:tcBorders>
            <w:noWrap w:val="0"/>
            <w:vAlign w:val="center"/>
          </w:tcPr>
          <w:p w14:paraId="4EFE0B25">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职  务</w:t>
            </w:r>
          </w:p>
        </w:tc>
        <w:tc>
          <w:tcPr>
            <w:tcW w:w="1275" w:type="dxa"/>
            <w:tcBorders>
              <w:top w:val="single" w:color="auto" w:sz="4" w:space="0"/>
              <w:left w:val="nil"/>
              <w:bottom w:val="single" w:color="auto" w:sz="4" w:space="0"/>
              <w:right w:val="single" w:color="auto" w:sz="4" w:space="0"/>
            </w:tcBorders>
            <w:noWrap w:val="0"/>
            <w:vAlign w:val="center"/>
          </w:tcPr>
          <w:p w14:paraId="6D1A2E4C">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989" w:type="dxa"/>
            <w:tcBorders>
              <w:top w:val="single" w:color="auto" w:sz="4" w:space="0"/>
              <w:left w:val="nil"/>
              <w:bottom w:val="single" w:color="auto" w:sz="4" w:space="0"/>
              <w:right w:val="single" w:color="auto" w:sz="4" w:space="0"/>
            </w:tcBorders>
            <w:noWrap w:val="0"/>
            <w:vAlign w:val="center"/>
          </w:tcPr>
          <w:p w14:paraId="460EE225">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拟在本工程任职</w:t>
            </w:r>
          </w:p>
        </w:tc>
        <w:tc>
          <w:tcPr>
            <w:tcW w:w="1982" w:type="dxa"/>
            <w:tcBorders>
              <w:top w:val="single" w:color="auto" w:sz="4" w:space="0"/>
              <w:left w:val="nil"/>
              <w:bottom w:val="single" w:color="auto" w:sz="4" w:space="0"/>
              <w:right w:val="single" w:color="auto" w:sz="4" w:space="0"/>
            </w:tcBorders>
            <w:noWrap w:val="0"/>
            <w:vAlign w:val="center"/>
          </w:tcPr>
          <w:p w14:paraId="570A6042">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r>
      <w:tr w14:paraId="5BA8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noWrap w:val="0"/>
            <w:vAlign w:val="center"/>
          </w:tcPr>
          <w:p w14:paraId="47FDEF80">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毕业学校</w:t>
            </w:r>
          </w:p>
        </w:tc>
        <w:tc>
          <w:tcPr>
            <w:tcW w:w="7416" w:type="dxa"/>
            <w:gridSpan w:val="5"/>
            <w:tcBorders>
              <w:top w:val="single" w:color="auto" w:sz="4" w:space="0"/>
              <w:left w:val="nil"/>
              <w:bottom w:val="single" w:color="auto" w:sz="4" w:space="0"/>
              <w:right w:val="single" w:color="auto" w:sz="4" w:space="0"/>
            </w:tcBorders>
            <w:noWrap w:val="0"/>
            <w:vAlign w:val="center"/>
          </w:tcPr>
          <w:p w14:paraId="1F8C9FD3">
            <w:pPr>
              <w:keepNext w:val="0"/>
              <w:keepLines w:val="0"/>
              <w:pageBreakBefore w:val="0"/>
              <w:widowControl w:val="0"/>
              <w:suppressLineNumbers w:val="0"/>
              <w:kinsoku/>
              <w:wordWrap/>
              <w:overflowPunct/>
              <w:bidi w:val="0"/>
              <w:spacing w:before="0" w:beforeAutospacing="0" w:after="0" w:afterAutospacing="0" w:line="360" w:lineRule="auto"/>
              <w:ind w:left="0" w:right="0" w:firstLine="1440" w:firstLineChars="6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年毕业于                  学校            专业</w:t>
            </w:r>
          </w:p>
        </w:tc>
      </w:tr>
      <w:tr w14:paraId="0128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8" w:type="dxa"/>
            <w:gridSpan w:val="6"/>
            <w:tcBorders>
              <w:top w:val="single" w:color="auto" w:sz="4" w:space="0"/>
              <w:left w:val="single" w:color="auto" w:sz="4" w:space="0"/>
              <w:bottom w:val="single" w:color="auto" w:sz="4" w:space="0"/>
              <w:right w:val="single" w:color="auto" w:sz="4" w:space="0"/>
            </w:tcBorders>
            <w:noWrap w:val="0"/>
            <w:vAlign w:val="center"/>
          </w:tcPr>
          <w:p w14:paraId="4DDE9936">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主要工作经历</w:t>
            </w:r>
          </w:p>
        </w:tc>
      </w:tr>
      <w:tr w14:paraId="608A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noWrap w:val="0"/>
            <w:vAlign w:val="center"/>
          </w:tcPr>
          <w:p w14:paraId="1C1C19F3">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时  间</w:t>
            </w:r>
          </w:p>
        </w:tc>
        <w:tc>
          <w:tcPr>
            <w:tcW w:w="3445" w:type="dxa"/>
            <w:gridSpan w:val="3"/>
            <w:tcBorders>
              <w:top w:val="single" w:color="auto" w:sz="4" w:space="0"/>
              <w:left w:val="nil"/>
              <w:bottom w:val="single" w:color="auto" w:sz="4" w:space="0"/>
              <w:right w:val="single" w:color="auto" w:sz="4" w:space="0"/>
            </w:tcBorders>
            <w:noWrap w:val="0"/>
            <w:vAlign w:val="center"/>
          </w:tcPr>
          <w:p w14:paraId="0D0BF150">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参加过的类似项目名称</w:t>
            </w:r>
          </w:p>
        </w:tc>
        <w:tc>
          <w:tcPr>
            <w:tcW w:w="1989" w:type="dxa"/>
            <w:tcBorders>
              <w:top w:val="single" w:color="auto" w:sz="4" w:space="0"/>
              <w:left w:val="nil"/>
              <w:bottom w:val="single" w:color="auto" w:sz="4" w:space="0"/>
              <w:right w:val="single" w:color="auto" w:sz="4" w:space="0"/>
            </w:tcBorders>
            <w:noWrap w:val="0"/>
            <w:vAlign w:val="center"/>
          </w:tcPr>
          <w:p w14:paraId="49B0C0C9">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担任职务</w:t>
            </w:r>
          </w:p>
        </w:tc>
        <w:tc>
          <w:tcPr>
            <w:tcW w:w="1982" w:type="dxa"/>
            <w:tcBorders>
              <w:top w:val="single" w:color="auto" w:sz="4" w:space="0"/>
              <w:left w:val="nil"/>
              <w:bottom w:val="single" w:color="auto" w:sz="4" w:space="0"/>
              <w:right w:val="single" w:color="auto" w:sz="4" w:space="0"/>
            </w:tcBorders>
            <w:noWrap w:val="0"/>
            <w:vAlign w:val="center"/>
          </w:tcPr>
          <w:p w14:paraId="2351E1D3">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发包人及联系电话</w:t>
            </w:r>
          </w:p>
        </w:tc>
      </w:tr>
      <w:tr w14:paraId="7BB6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tcBorders>
              <w:top w:val="single" w:color="auto" w:sz="4" w:space="0"/>
              <w:left w:val="single" w:color="auto" w:sz="4" w:space="0"/>
              <w:bottom w:val="single" w:color="auto" w:sz="4" w:space="0"/>
              <w:right w:val="single" w:color="auto" w:sz="4" w:space="0"/>
            </w:tcBorders>
            <w:noWrap w:val="0"/>
            <w:vAlign w:val="center"/>
          </w:tcPr>
          <w:p w14:paraId="10BC5EBB">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035" w:type="dxa"/>
            <w:tcBorders>
              <w:top w:val="single" w:color="auto" w:sz="4" w:space="0"/>
              <w:left w:val="nil"/>
              <w:bottom w:val="single" w:color="auto" w:sz="4" w:space="0"/>
              <w:right w:val="single" w:color="auto" w:sz="4" w:space="0"/>
            </w:tcBorders>
            <w:noWrap w:val="0"/>
            <w:vAlign w:val="center"/>
          </w:tcPr>
          <w:p w14:paraId="5E35A212">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135" w:type="dxa"/>
            <w:tcBorders>
              <w:top w:val="single" w:color="auto" w:sz="4" w:space="0"/>
              <w:left w:val="nil"/>
              <w:bottom w:val="single" w:color="auto" w:sz="4" w:space="0"/>
              <w:right w:val="single" w:color="auto" w:sz="4" w:space="0"/>
            </w:tcBorders>
            <w:noWrap w:val="0"/>
            <w:vAlign w:val="center"/>
          </w:tcPr>
          <w:p w14:paraId="66F0DA73">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275" w:type="dxa"/>
            <w:tcBorders>
              <w:top w:val="single" w:color="auto" w:sz="4" w:space="0"/>
              <w:left w:val="nil"/>
              <w:bottom w:val="single" w:color="auto" w:sz="4" w:space="0"/>
              <w:right w:val="single" w:color="auto" w:sz="4" w:space="0"/>
            </w:tcBorders>
            <w:noWrap w:val="0"/>
            <w:vAlign w:val="center"/>
          </w:tcPr>
          <w:p w14:paraId="749ECCE7">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989" w:type="dxa"/>
            <w:tcBorders>
              <w:top w:val="single" w:color="auto" w:sz="4" w:space="0"/>
              <w:left w:val="nil"/>
              <w:bottom w:val="single" w:color="auto" w:sz="4" w:space="0"/>
              <w:right w:val="single" w:color="auto" w:sz="4" w:space="0"/>
            </w:tcBorders>
            <w:noWrap w:val="0"/>
            <w:vAlign w:val="center"/>
          </w:tcPr>
          <w:p w14:paraId="4FA011A8">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982" w:type="dxa"/>
            <w:tcBorders>
              <w:top w:val="single" w:color="auto" w:sz="4" w:space="0"/>
              <w:left w:val="nil"/>
              <w:bottom w:val="single" w:color="auto" w:sz="4" w:space="0"/>
              <w:right w:val="single" w:color="auto" w:sz="4" w:space="0"/>
            </w:tcBorders>
            <w:noWrap w:val="0"/>
            <w:vAlign w:val="center"/>
          </w:tcPr>
          <w:p w14:paraId="170868C6">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r>
      <w:tr w14:paraId="32C9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tcBorders>
              <w:top w:val="single" w:color="auto" w:sz="4" w:space="0"/>
              <w:left w:val="single" w:color="auto" w:sz="4" w:space="0"/>
              <w:bottom w:val="single" w:color="auto" w:sz="4" w:space="0"/>
              <w:right w:val="single" w:color="auto" w:sz="4" w:space="0"/>
            </w:tcBorders>
            <w:noWrap w:val="0"/>
            <w:vAlign w:val="center"/>
          </w:tcPr>
          <w:p w14:paraId="213D12DA">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035" w:type="dxa"/>
            <w:tcBorders>
              <w:top w:val="single" w:color="auto" w:sz="4" w:space="0"/>
              <w:left w:val="nil"/>
              <w:bottom w:val="single" w:color="auto" w:sz="4" w:space="0"/>
              <w:right w:val="single" w:color="auto" w:sz="4" w:space="0"/>
            </w:tcBorders>
            <w:noWrap w:val="0"/>
            <w:vAlign w:val="center"/>
          </w:tcPr>
          <w:p w14:paraId="4A675296">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135" w:type="dxa"/>
            <w:tcBorders>
              <w:top w:val="single" w:color="auto" w:sz="4" w:space="0"/>
              <w:left w:val="nil"/>
              <w:bottom w:val="single" w:color="auto" w:sz="4" w:space="0"/>
              <w:right w:val="single" w:color="auto" w:sz="4" w:space="0"/>
            </w:tcBorders>
            <w:noWrap w:val="0"/>
            <w:vAlign w:val="center"/>
          </w:tcPr>
          <w:p w14:paraId="333EEF1C">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275" w:type="dxa"/>
            <w:tcBorders>
              <w:top w:val="single" w:color="auto" w:sz="4" w:space="0"/>
              <w:left w:val="nil"/>
              <w:bottom w:val="single" w:color="auto" w:sz="4" w:space="0"/>
              <w:right w:val="single" w:color="auto" w:sz="4" w:space="0"/>
            </w:tcBorders>
            <w:noWrap w:val="0"/>
            <w:vAlign w:val="center"/>
          </w:tcPr>
          <w:p w14:paraId="2F084E22">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989" w:type="dxa"/>
            <w:tcBorders>
              <w:top w:val="single" w:color="auto" w:sz="4" w:space="0"/>
              <w:left w:val="nil"/>
              <w:bottom w:val="single" w:color="auto" w:sz="4" w:space="0"/>
              <w:right w:val="single" w:color="auto" w:sz="4" w:space="0"/>
            </w:tcBorders>
            <w:noWrap w:val="0"/>
            <w:vAlign w:val="center"/>
          </w:tcPr>
          <w:p w14:paraId="3A72F96B">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982" w:type="dxa"/>
            <w:tcBorders>
              <w:top w:val="single" w:color="auto" w:sz="4" w:space="0"/>
              <w:left w:val="nil"/>
              <w:bottom w:val="single" w:color="auto" w:sz="4" w:space="0"/>
              <w:right w:val="single" w:color="auto" w:sz="4" w:space="0"/>
            </w:tcBorders>
            <w:noWrap w:val="0"/>
            <w:vAlign w:val="center"/>
          </w:tcPr>
          <w:p w14:paraId="284B2F48">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r>
      <w:tr w14:paraId="5E1B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tcBorders>
              <w:top w:val="single" w:color="auto" w:sz="4" w:space="0"/>
              <w:left w:val="single" w:color="auto" w:sz="4" w:space="0"/>
              <w:bottom w:val="single" w:color="auto" w:sz="4" w:space="0"/>
              <w:right w:val="single" w:color="auto" w:sz="4" w:space="0"/>
            </w:tcBorders>
            <w:noWrap w:val="0"/>
            <w:vAlign w:val="center"/>
          </w:tcPr>
          <w:p w14:paraId="01CDB8FA">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035" w:type="dxa"/>
            <w:tcBorders>
              <w:top w:val="single" w:color="auto" w:sz="4" w:space="0"/>
              <w:left w:val="nil"/>
              <w:bottom w:val="single" w:color="auto" w:sz="4" w:space="0"/>
              <w:right w:val="single" w:color="auto" w:sz="4" w:space="0"/>
            </w:tcBorders>
            <w:noWrap w:val="0"/>
            <w:vAlign w:val="center"/>
          </w:tcPr>
          <w:p w14:paraId="595847B8">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135" w:type="dxa"/>
            <w:tcBorders>
              <w:top w:val="single" w:color="auto" w:sz="4" w:space="0"/>
              <w:left w:val="nil"/>
              <w:bottom w:val="single" w:color="auto" w:sz="4" w:space="0"/>
              <w:right w:val="single" w:color="auto" w:sz="4" w:space="0"/>
            </w:tcBorders>
            <w:noWrap w:val="0"/>
            <w:vAlign w:val="center"/>
          </w:tcPr>
          <w:p w14:paraId="281277C1">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275" w:type="dxa"/>
            <w:tcBorders>
              <w:top w:val="single" w:color="auto" w:sz="4" w:space="0"/>
              <w:left w:val="nil"/>
              <w:bottom w:val="single" w:color="auto" w:sz="4" w:space="0"/>
              <w:right w:val="single" w:color="auto" w:sz="4" w:space="0"/>
            </w:tcBorders>
            <w:noWrap w:val="0"/>
            <w:vAlign w:val="center"/>
          </w:tcPr>
          <w:p w14:paraId="64E6FAF9">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989" w:type="dxa"/>
            <w:tcBorders>
              <w:top w:val="single" w:color="auto" w:sz="4" w:space="0"/>
              <w:left w:val="nil"/>
              <w:bottom w:val="single" w:color="auto" w:sz="4" w:space="0"/>
              <w:right w:val="single" w:color="auto" w:sz="4" w:space="0"/>
            </w:tcBorders>
            <w:noWrap w:val="0"/>
            <w:vAlign w:val="center"/>
          </w:tcPr>
          <w:p w14:paraId="61BDBA71">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982" w:type="dxa"/>
            <w:tcBorders>
              <w:top w:val="single" w:color="auto" w:sz="4" w:space="0"/>
              <w:left w:val="nil"/>
              <w:bottom w:val="single" w:color="auto" w:sz="4" w:space="0"/>
              <w:right w:val="single" w:color="auto" w:sz="4" w:space="0"/>
            </w:tcBorders>
            <w:noWrap w:val="0"/>
            <w:vAlign w:val="center"/>
          </w:tcPr>
          <w:p w14:paraId="41F96CCB">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r>
      <w:tr w14:paraId="2073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tcBorders>
              <w:top w:val="single" w:color="auto" w:sz="4" w:space="0"/>
              <w:left w:val="single" w:color="auto" w:sz="4" w:space="0"/>
              <w:bottom w:val="single" w:color="auto" w:sz="4" w:space="0"/>
              <w:right w:val="single" w:color="auto" w:sz="4" w:space="0"/>
            </w:tcBorders>
            <w:noWrap w:val="0"/>
            <w:vAlign w:val="center"/>
          </w:tcPr>
          <w:p w14:paraId="141C9A7F">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035" w:type="dxa"/>
            <w:tcBorders>
              <w:top w:val="single" w:color="auto" w:sz="4" w:space="0"/>
              <w:left w:val="nil"/>
              <w:bottom w:val="single" w:color="auto" w:sz="4" w:space="0"/>
              <w:right w:val="single" w:color="auto" w:sz="4" w:space="0"/>
            </w:tcBorders>
            <w:noWrap w:val="0"/>
            <w:vAlign w:val="center"/>
          </w:tcPr>
          <w:p w14:paraId="1646DD83">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135" w:type="dxa"/>
            <w:tcBorders>
              <w:top w:val="single" w:color="auto" w:sz="4" w:space="0"/>
              <w:left w:val="nil"/>
              <w:bottom w:val="single" w:color="auto" w:sz="4" w:space="0"/>
              <w:right w:val="single" w:color="auto" w:sz="4" w:space="0"/>
            </w:tcBorders>
            <w:noWrap w:val="0"/>
            <w:vAlign w:val="center"/>
          </w:tcPr>
          <w:p w14:paraId="59B15DB3">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275" w:type="dxa"/>
            <w:tcBorders>
              <w:top w:val="single" w:color="auto" w:sz="4" w:space="0"/>
              <w:left w:val="nil"/>
              <w:bottom w:val="single" w:color="auto" w:sz="4" w:space="0"/>
              <w:right w:val="single" w:color="auto" w:sz="4" w:space="0"/>
            </w:tcBorders>
            <w:noWrap w:val="0"/>
            <w:vAlign w:val="center"/>
          </w:tcPr>
          <w:p w14:paraId="04686B31">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989" w:type="dxa"/>
            <w:tcBorders>
              <w:top w:val="single" w:color="auto" w:sz="4" w:space="0"/>
              <w:left w:val="nil"/>
              <w:bottom w:val="single" w:color="auto" w:sz="4" w:space="0"/>
              <w:right w:val="single" w:color="auto" w:sz="4" w:space="0"/>
            </w:tcBorders>
            <w:noWrap w:val="0"/>
            <w:vAlign w:val="center"/>
          </w:tcPr>
          <w:p w14:paraId="70FAA03E">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982" w:type="dxa"/>
            <w:tcBorders>
              <w:top w:val="single" w:color="auto" w:sz="4" w:space="0"/>
              <w:left w:val="nil"/>
              <w:bottom w:val="single" w:color="auto" w:sz="4" w:space="0"/>
              <w:right w:val="single" w:color="auto" w:sz="4" w:space="0"/>
            </w:tcBorders>
            <w:noWrap w:val="0"/>
            <w:vAlign w:val="center"/>
          </w:tcPr>
          <w:p w14:paraId="47385000">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r>
      <w:tr w14:paraId="5BE1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tcBorders>
              <w:top w:val="single" w:color="auto" w:sz="4" w:space="0"/>
              <w:left w:val="single" w:color="auto" w:sz="4" w:space="0"/>
              <w:bottom w:val="single" w:color="auto" w:sz="4" w:space="0"/>
              <w:right w:val="single" w:color="auto" w:sz="4" w:space="0"/>
            </w:tcBorders>
            <w:noWrap w:val="0"/>
            <w:vAlign w:val="center"/>
          </w:tcPr>
          <w:p w14:paraId="6A8EDA2B">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035" w:type="dxa"/>
            <w:tcBorders>
              <w:top w:val="single" w:color="auto" w:sz="4" w:space="0"/>
              <w:left w:val="nil"/>
              <w:bottom w:val="single" w:color="auto" w:sz="4" w:space="0"/>
              <w:right w:val="single" w:color="auto" w:sz="4" w:space="0"/>
            </w:tcBorders>
            <w:noWrap w:val="0"/>
            <w:vAlign w:val="center"/>
          </w:tcPr>
          <w:p w14:paraId="5DE61427">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135" w:type="dxa"/>
            <w:tcBorders>
              <w:top w:val="single" w:color="auto" w:sz="4" w:space="0"/>
              <w:left w:val="nil"/>
              <w:bottom w:val="single" w:color="auto" w:sz="4" w:space="0"/>
              <w:right w:val="single" w:color="auto" w:sz="4" w:space="0"/>
            </w:tcBorders>
            <w:noWrap w:val="0"/>
            <w:vAlign w:val="center"/>
          </w:tcPr>
          <w:p w14:paraId="4B440C7A">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275" w:type="dxa"/>
            <w:tcBorders>
              <w:top w:val="single" w:color="auto" w:sz="4" w:space="0"/>
              <w:left w:val="nil"/>
              <w:bottom w:val="single" w:color="auto" w:sz="4" w:space="0"/>
              <w:right w:val="single" w:color="auto" w:sz="4" w:space="0"/>
            </w:tcBorders>
            <w:noWrap w:val="0"/>
            <w:vAlign w:val="center"/>
          </w:tcPr>
          <w:p w14:paraId="1ABEA638">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989" w:type="dxa"/>
            <w:tcBorders>
              <w:top w:val="single" w:color="auto" w:sz="4" w:space="0"/>
              <w:left w:val="nil"/>
              <w:bottom w:val="single" w:color="auto" w:sz="4" w:space="0"/>
              <w:right w:val="single" w:color="auto" w:sz="4" w:space="0"/>
            </w:tcBorders>
            <w:noWrap w:val="0"/>
            <w:vAlign w:val="center"/>
          </w:tcPr>
          <w:p w14:paraId="4B8C7AA1">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982" w:type="dxa"/>
            <w:tcBorders>
              <w:top w:val="single" w:color="auto" w:sz="4" w:space="0"/>
              <w:left w:val="nil"/>
              <w:bottom w:val="single" w:color="auto" w:sz="4" w:space="0"/>
              <w:right w:val="single" w:color="auto" w:sz="4" w:space="0"/>
            </w:tcBorders>
            <w:noWrap w:val="0"/>
            <w:vAlign w:val="center"/>
          </w:tcPr>
          <w:p w14:paraId="197FF55A">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r>
      <w:tr w14:paraId="1E93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tcBorders>
              <w:top w:val="single" w:color="auto" w:sz="4" w:space="0"/>
              <w:left w:val="single" w:color="auto" w:sz="4" w:space="0"/>
              <w:bottom w:val="single" w:color="auto" w:sz="4" w:space="0"/>
              <w:right w:val="single" w:color="auto" w:sz="4" w:space="0"/>
            </w:tcBorders>
            <w:noWrap w:val="0"/>
            <w:vAlign w:val="center"/>
          </w:tcPr>
          <w:p w14:paraId="3901D695">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035" w:type="dxa"/>
            <w:tcBorders>
              <w:top w:val="single" w:color="auto" w:sz="4" w:space="0"/>
              <w:left w:val="nil"/>
              <w:bottom w:val="single" w:color="auto" w:sz="4" w:space="0"/>
              <w:right w:val="single" w:color="auto" w:sz="4" w:space="0"/>
            </w:tcBorders>
            <w:noWrap w:val="0"/>
            <w:vAlign w:val="center"/>
          </w:tcPr>
          <w:p w14:paraId="3429F8A4">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135" w:type="dxa"/>
            <w:tcBorders>
              <w:top w:val="single" w:color="auto" w:sz="4" w:space="0"/>
              <w:left w:val="nil"/>
              <w:bottom w:val="single" w:color="auto" w:sz="4" w:space="0"/>
              <w:right w:val="single" w:color="auto" w:sz="4" w:space="0"/>
            </w:tcBorders>
            <w:noWrap w:val="0"/>
            <w:vAlign w:val="center"/>
          </w:tcPr>
          <w:p w14:paraId="6591BF09">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275" w:type="dxa"/>
            <w:tcBorders>
              <w:top w:val="single" w:color="auto" w:sz="4" w:space="0"/>
              <w:left w:val="nil"/>
              <w:bottom w:val="single" w:color="auto" w:sz="4" w:space="0"/>
              <w:right w:val="single" w:color="auto" w:sz="4" w:space="0"/>
            </w:tcBorders>
            <w:noWrap w:val="0"/>
            <w:vAlign w:val="center"/>
          </w:tcPr>
          <w:p w14:paraId="481B1967">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989" w:type="dxa"/>
            <w:tcBorders>
              <w:top w:val="single" w:color="auto" w:sz="4" w:space="0"/>
              <w:left w:val="nil"/>
              <w:bottom w:val="single" w:color="auto" w:sz="4" w:space="0"/>
              <w:right w:val="single" w:color="auto" w:sz="4" w:space="0"/>
            </w:tcBorders>
            <w:noWrap w:val="0"/>
            <w:vAlign w:val="center"/>
          </w:tcPr>
          <w:p w14:paraId="26ADFEF8">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982" w:type="dxa"/>
            <w:tcBorders>
              <w:top w:val="single" w:color="auto" w:sz="4" w:space="0"/>
              <w:left w:val="nil"/>
              <w:bottom w:val="single" w:color="auto" w:sz="4" w:space="0"/>
              <w:right w:val="single" w:color="auto" w:sz="4" w:space="0"/>
            </w:tcBorders>
            <w:noWrap w:val="0"/>
            <w:vAlign w:val="center"/>
          </w:tcPr>
          <w:p w14:paraId="7C6CB01B">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r>
      <w:tr w14:paraId="3AAB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tcBorders>
              <w:top w:val="single" w:color="auto" w:sz="4" w:space="0"/>
              <w:left w:val="single" w:color="auto" w:sz="4" w:space="0"/>
              <w:bottom w:val="single" w:color="auto" w:sz="4" w:space="0"/>
              <w:right w:val="single" w:color="auto" w:sz="4" w:space="0"/>
            </w:tcBorders>
            <w:noWrap w:val="0"/>
            <w:vAlign w:val="center"/>
          </w:tcPr>
          <w:p w14:paraId="28EC19E5">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035" w:type="dxa"/>
            <w:tcBorders>
              <w:top w:val="single" w:color="auto" w:sz="4" w:space="0"/>
              <w:left w:val="nil"/>
              <w:bottom w:val="single" w:color="auto" w:sz="4" w:space="0"/>
              <w:right w:val="single" w:color="auto" w:sz="4" w:space="0"/>
            </w:tcBorders>
            <w:noWrap w:val="0"/>
            <w:vAlign w:val="center"/>
          </w:tcPr>
          <w:p w14:paraId="18766477">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135" w:type="dxa"/>
            <w:tcBorders>
              <w:top w:val="single" w:color="auto" w:sz="4" w:space="0"/>
              <w:left w:val="nil"/>
              <w:bottom w:val="single" w:color="auto" w:sz="4" w:space="0"/>
              <w:right w:val="single" w:color="auto" w:sz="4" w:space="0"/>
            </w:tcBorders>
            <w:noWrap w:val="0"/>
            <w:vAlign w:val="center"/>
          </w:tcPr>
          <w:p w14:paraId="4A4853C1">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275" w:type="dxa"/>
            <w:tcBorders>
              <w:top w:val="single" w:color="auto" w:sz="4" w:space="0"/>
              <w:left w:val="nil"/>
              <w:bottom w:val="single" w:color="auto" w:sz="4" w:space="0"/>
              <w:right w:val="single" w:color="auto" w:sz="4" w:space="0"/>
            </w:tcBorders>
            <w:noWrap w:val="0"/>
            <w:vAlign w:val="center"/>
          </w:tcPr>
          <w:p w14:paraId="3BFF8CDE">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989" w:type="dxa"/>
            <w:tcBorders>
              <w:top w:val="single" w:color="auto" w:sz="4" w:space="0"/>
              <w:left w:val="nil"/>
              <w:bottom w:val="single" w:color="auto" w:sz="4" w:space="0"/>
              <w:right w:val="single" w:color="auto" w:sz="4" w:space="0"/>
            </w:tcBorders>
            <w:noWrap w:val="0"/>
            <w:vAlign w:val="center"/>
          </w:tcPr>
          <w:p w14:paraId="2E3B549A">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982" w:type="dxa"/>
            <w:tcBorders>
              <w:top w:val="single" w:color="auto" w:sz="4" w:space="0"/>
              <w:left w:val="nil"/>
              <w:bottom w:val="single" w:color="auto" w:sz="4" w:space="0"/>
              <w:right w:val="single" w:color="auto" w:sz="4" w:space="0"/>
            </w:tcBorders>
            <w:noWrap w:val="0"/>
            <w:vAlign w:val="center"/>
          </w:tcPr>
          <w:p w14:paraId="00E5D721">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r>
      <w:tr w14:paraId="170B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tcBorders>
              <w:top w:val="single" w:color="auto" w:sz="4" w:space="0"/>
              <w:left w:val="single" w:color="auto" w:sz="4" w:space="0"/>
              <w:bottom w:val="single" w:color="auto" w:sz="4" w:space="0"/>
              <w:right w:val="single" w:color="auto" w:sz="4" w:space="0"/>
            </w:tcBorders>
            <w:noWrap w:val="0"/>
            <w:vAlign w:val="center"/>
          </w:tcPr>
          <w:p w14:paraId="0565BAA9">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035" w:type="dxa"/>
            <w:tcBorders>
              <w:top w:val="single" w:color="auto" w:sz="4" w:space="0"/>
              <w:left w:val="nil"/>
              <w:bottom w:val="single" w:color="auto" w:sz="4" w:space="0"/>
              <w:right w:val="single" w:color="auto" w:sz="4" w:space="0"/>
            </w:tcBorders>
            <w:noWrap w:val="0"/>
            <w:vAlign w:val="center"/>
          </w:tcPr>
          <w:p w14:paraId="0C8707AD">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135" w:type="dxa"/>
            <w:tcBorders>
              <w:top w:val="single" w:color="auto" w:sz="4" w:space="0"/>
              <w:left w:val="nil"/>
              <w:bottom w:val="single" w:color="auto" w:sz="4" w:space="0"/>
              <w:right w:val="single" w:color="auto" w:sz="4" w:space="0"/>
            </w:tcBorders>
            <w:noWrap w:val="0"/>
            <w:vAlign w:val="center"/>
          </w:tcPr>
          <w:p w14:paraId="49E2AAB9">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275" w:type="dxa"/>
            <w:tcBorders>
              <w:top w:val="single" w:color="auto" w:sz="4" w:space="0"/>
              <w:left w:val="nil"/>
              <w:bottom w:val="single" w:color="auto" w:sz="4" w:space="0"/>
              <w:right w:val="single" w:color="auto" w:sz="4" w:space="0"/>
            </w:tcBorders>
            <w:noWrap w:val="0"/>
            <w:vAlign w:val="center"/>
          </w:tcPr>
          <w:p w14:paraId="41EF06DE">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989" w:type="dxa"/>
            <w:tcBorders>
              <w:top w:val="single" w:color="auto" w:sz="4" w:space="0"/>
              <w:left w:val="nil"/>
              <w:bottom w:val="single" w:color="auto" w:sz="4" w:space="0"/>
              <w:right w:val="single" w:color="auto" w:sz="4" w:space="0"/>
            </w:tcBorders>
            <w:noWrap w:val="0"/>
            <w:vAlign w:val="center"/>
          </w:tcPr>
          <w:p w14:paraId="7121B0FD">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c>
          <w:tcPr>
            <w:tcW w:w="1982" w:type="dxa"/>
            <w:tcBorders>
              <w:top w:val="single" w:color="auto" w:sz="4" w:space="0"/>
              <w:left w:val="nil"/>
              <w:bottom w:val="single" w:color="auto" w:sz="4" w:space="0"/>
              <w:right w:val="single" w:color="auto" w:sz="4" w:space="0"/>
            </w:tcBorders>
            <w:noWrap w:val="0"/>
            <w:vAlign w:val="center"/>
          </w:tcPr>
          <w:p w14:paraId="536CCE70">
            <w:pPr>
              <w:keepNext w:val="0"/>
              <w:keepLines w:val="0"/>
              <w:pageBreakBefore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p>
        </w:tc>
      </w:tr>
    </w:tbl>
    <w:p w14:paraId="50C8850D">
      <w:pPr>
        <w:pageBreakBefore w:val="0"/>
        <w:kinsoku/>
        <w:overflowPunct/>
        <w:bidi w:val="0"/>
        <w:spacing w:line="360" w:lineRule="auto"/>
        <w:rPr>
          <w:rFonts w:hint="eastAsia" w:ascii="宋体" w:hAnsi="宋体" w:eastAsia="宋体" w:cs="宋体"/>
          <w:highlight w:val="none"/>
          <w:lang w:val="en-US"/>
        </w:rPr>
      </w:pPr>
      <w:r>
        <w:rPr>
          <w:rFonts w:hint="eastAsia" w:ascii="宋体" w:hAnsi="宋体" w:eastAsia="宋体" w:cs="宋体"/>
          <w:highlight w:val="none"/>
          <w:lang w:val="en-US"/>
        </w:rPr>
        <w:br w:type="page"/>
      </w:r>
    </w:p>
    <w:p w14:paraId="31B96B5E">
      <w:pPr>
        <w:keepNext w:val="0"/>
        <w:keepLines w:val="0"/>
        <w:pageBreakBefore w:val="0"/>
        <w:widowControl/>
        <w:kinsoku/>
        <w:wordWrap/>
        <w:overflowPunct/>
        <w:topLinePunct w:val="0"/>
        <w:autoSpaceDE/>
        <w:autoSpaceDN/>
        <w:bidi w:val="0"/>
        <w:adjustRightInd w:val="0"/>
        <w:snapToGrid w:val="0"/>
        <w:spacing w:after="200" w:line="360" w:lineRule="auto"/>
        <w:jc w:val="center"/>
        <w:textAlignment w:val="auto"/>
        <w:outlineLvl w:val="1"/>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七、资格审查资料</w:t>
      </w:r>
      <w:bookmarkEnd w:id="392"/>
    </w:p>
    <w:tbl>
      <w:tblPr>
        <w:tblStyle w:val="17"/>
        <w:tblW w:w="4999"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77"/>
        <w:gridCol w:w="870"/>
        <w:gridCol w:w="923"/>
        <w:gridCol w:w="813"/>
        <w:gridCol w:w="409"/>
        <w:gridCol w:w="303"/>
        <w:gridCol w:w="1046"/>
        <w:gridCol w:w="474"/>
        <w:gridCol w:w="833"/>
        <w:gridCol w:w="966"/>
      </w:tblGrid>
      <w:tr w14:paraId="3DF31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08" w:type="pct"/>
            <w:vAlign w:val="center"/>
          </w:tcPr>
          <w:p w14:paraId="6208407C">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供应商名称</w:t>
            </w:r>
          </w:p>
        </w:tc>
        <w:tc>
          <w:tcPr>
            <w:tcW w:w="3991" w:type="pct"/>
            <w:gridSpan w:val="9"/>
            <w:vAlign w:val="center"/>
          </w:tcPr>
          <w:p w14:paraId="2E265837">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r>
      <w:tr w14:paraId="5FD1E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4B89A1B1">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注册地址</w:t>
            </w:r>
          </w:p>
        </w:tc>
        <w:tc>
          <w:tcPr>
            <w:tcW w:w="1995" w:type="pct"/>
            <w:gridSpan w:val="5"/>
            <w:vAlign w:val="center"/>
          </w:tcPr>
          <w:p w14:paraId="26D71532">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c>
          <w:tcPr>
            <w:tcW w:w="629" w:type="pct"/>
            <w:vAlign w:val="center"/>
          </w:tcPr>
          <w:p w14:paraId="519B88CA">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邮政编码</w:t>
            </w:r>
          </w:p>
        </w:tc>
        <w:tc>
          <w:tcPr>
            <w:tcW w:w="1367" w:type="pct"/>
            <w:gridSpan w:val="3"/>
            <w:vAlign w:val="center"/>
          </w:tcPr>
          <w:p w14:paraId="3BAC8E1D">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r>
      <w:tr w14:paraId="4F739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08" w:type="pct"/>
            <w:vMerge w:val="restart"/>
            <w:vAlign w:val="center"/>
          </w:tcPr>
          <w:p w14:paraId="3B209F76">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联系方式</w:t>
            </w:r>
          </w:p>
        </w:tc>
        <w:tc>
          <w:tcPr>
            <w:tcW w:w="523" w:type="pct"/>
            <w:vAlign w:val="center"/>
          </w:tcPr>
          <w:p w14:paraId="55FE3C0C">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联系人</w:t>
            </w:r>
          </w:p>
        </w:tc>
        <w:tc>
          <w:tcPr>
            <w:tcW w:w="1471" w:type="pct"/>
            <w:gridSpan w:val="4"/>
            <w:vAlign w:val="center"/>
          </w:tcPr>
          <w:p w14:paraId="32C91141">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c>
          <w:tcPr>
            <w:tcW w:w="629" w:type="pct"/>
            <w:vAlign w:val="center"/>
          </w:tcPr>
          <w:p w14:paraId="7E66835A">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电 话</w:t>
            </w:r>
          </w:p>
        </w:tc>
        <w:tc>
          <w:tcPr>
            <w:tcW w:w="1367" w:type="pct"/>
            <w:gridSpan w:val="3"/>
            <w:vAlign w:val="center"/>
          </w:tcPr>
          <w:p w14:paraId="07A976B6">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r>
      <w:tr w14:paraId="457CA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008" w:type="pct"/>
            <w:vMerge w:val="continue"/>
            <w:tcBorders>
              <w:top w:val="nil"/>
            </w:tcBorders>
            <w:vAlign w:val="center"/>
          </w:tcPr>
          <w:p w14:paraId="7FCB20C4">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c>
          <w:tcPr>
            <w:tcW w:w="523" w:type="pct"/>
            <w:vAlign w:val="center"/>
          </w:tcPr>
          <w:p w14:paraId="1D15E8DC">
            <w:pPr>
              <w:pageBreakBefore w:val="0"/>
              <w:tabs>
                <w:tab w:val="left" w:pos="427"/>
              </w:tabs>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传</w:t>
            </w:r>
            <w:r>
              <w:rPr>
                <w:rFonts w:hint="eastAsia" w:ascii="宋体" w:hAnsi="宋体" w:eastAsia="宋体" w:cs="宋体"/>
                <w:kern w:val="0"/>
                <w:sz w:val="24"/>
                <w:szCs w:val="24"/>
                <w:lang w:val="zh-CN" w:bidi="zh-CN"/>
              </w:rPr>
              <w:tab/>
            </w:r>
            <w:r>
              <w:rPr>
                <w:rFonts w:hint="eastAsia" w:ascii="宋体" w:hAnsi="宋体" w:eastAsia="宋体" w:cs="宋体"/>
                <w:kern w:val="0"/>
                <w:sz w:val="24"/>
                <w:szCs w:val="24"/>
                <w:lang w:val="zh-CN" w:bidi="zh-CN"/>
              </w:rPr>
              <w:t>真</w:t>
            </w:r>
          </w:p>
        </w:tc>
        <w:tc>
          <w:tcPr>
            <w:tcW w:w="1471" w:type="pct"/>
            <w:gridSpan w:val="4"/>
            <w:vAlign w:val="center"/>
          </w:tcPr>
          <w:p w14:paraId="614641EF">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c>
          <w:tcPr>
            <w:tcW w:w="629" w:type="pct"/>
            <w:vAlign w:val="center"/>
          </w:tcPr>
          <w:p w14:paraId="56DEAF4A">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网 址</w:t>
            </w:r>
          </w:p>
        </w:tc>
        <w:tc>
          <w:tcPr>
            <w:tcW w:w="1367" w:type="pct"/>
            <w:gridSpan w:val="3"/>
            <w:vAlign w:val="center"/>
          </w:tcPr>
          <w:p w14:paraId="32C7C7FC">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r>
      <w:tr w14:paraId="54F99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008" w:type="pct"/>
            <w:vAlign w:val="center"/>
          </w:tcPr>
          <w:p w14:paraId="37DBF1F8">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组织结构</w:t>
            </w:r>
          </w:p>
        </w:tc>
        <w:tc>
          <w:tcPr>
            <w:tcW w:w="3991" w:type="pct"/>
            <w:gridSpan w:val="9"/>
            <w:vAlign w:val="center"/>
          </w:tcPr>
          <w:p w14:paraId="6BAAB259">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r>
      <w:tr w14:paraId="17919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008" w:type="pct"/>
            <w:vAlign w:val="center"/>
          </w:tcPr>
          <w:p w14:paraId="5CD12E93">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法定代表人</w:t>
            </w:r>
          </w:p>
        </w:tc>
        <w:tc>
          <w:tcPr>
            <w:tcW w:w="523" w:type="pct"/>
            <w:vAlign w:val="center"/>
          </w:tcPr>
          <w:p w14:paraId="074C3EEA">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姓名</w:t>
            </w:r>
          </w:p>
        </w:tc>
        <w:tc>
          <w:tcPr>
            <w:tcW w:w="554" w:type="pct"/>
            <w:vAlign w:val="center"/>
          </w:tcPr>
          <w:p w14:paraId="3C418C3B">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c>
          <w:tcPr>
            <w:tcW w:w="735" w:type="pct"/>
            <w:gridSpan w:val="2"/>
            <w:vAlign w:val="center"/>
          </w:tcPr>
          <w:p w14:paraId="0731F780">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技术职称</w:t>
            </w:r>
          </w:p>
        </w:tc>
        <w:tc>
          <w:tcPr>
            <w:tcW w:w="1096" w:type="pct"/>
            <w:gridSpan w:val="3"/>
            <w:vAlign w:val="center"/>
          </w:tcPr>
          <w:p w14:paraId="346D08BB">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c>
          <w:tcPr>
            <w:tcW w:w="501" w:type="pct"/>
            <w:vAlign w:val="center"/>
          </w:tcPr>
          <w:p w14:paraId="4C42E9CE">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电话</w:t>
            </w:r>
          </w:p>
        </w:tc>
        <w:tc>
          <w:tcPr>
            <w:tcW w:w="579" w:type="pct"/>
            <w:vAlign w:val="center"/>
          </w:tcPr>
          <w:p w14:paraId="48A1FF29">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r>
      <w:tr w14:paraId="15BB0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08" w:type="pct"/>
            <w:vAlign w:val="center"/>
          </w:tcPr>
          <w:p w14:paraId="3246AA2C">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技术负责人</w:t>
            </w:r>
          </w:p>
        </w:tc>
        <w:tc>
          <w:tcPr>
            <w:tcW w:w="523" w:type="pct"/>
            <w:vAlign w:val="center"/>
          </w:tcPr>
          <w:p w14:paraId="630063C6">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姓名</w:t>
            </w:r>
          </w:p>
        </w:tc>
        <w:tc>
          <w:tcPr>
            <w:tcW w:w="554" w:type="pct"/>
            <w:vAlign w:val="center"/>
          </w:tcPr>
          <w:p w14:paraId="5D1F10F0">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c>
          <w:tcPr>
            <w:tcW w:w="735" w:type="pct"/>
            <w:gridSpan w:val="2"/>
            <w:vAlign w:val="center"/>
          </w:tcPr>
          <w:p w14:paraId="725DE917">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技术职称</w:t>
            </w:r>
          </w:p>
        </w:tc>
        <w:tc>
          <w:tcPr>
            <w:tcW w:w="1096" w:type="pct"/>
            <w:gridSpan w:val="3"/>
            <w:vAlign w:val="center"/>
          </w:tcPr>
          <w:p w14:paraId="27A479AA">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c>
          <w:tcPr>
            <w:tcW w:w="501" w:type="pct"/>
            <w:vAlign w:val="center"/>
          </w:tcPr>
          <w:p w14:paraId="141CE965">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电话</w:t>
            </w:r>
          </w:p>
        </w:tc>
        <w:tc>
          <w:tcPr>
            <w:tcW w:w="579" w:type="pct"/>
            <w:vAlign w:val="center"/>
          </w:tcPr>
          <w:p w14:paraId="2A74FED1">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r>
      <w:tr w14:paraId="7058F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08" w:type="pct"/>
            <w:vAlign w:val="center"/>
          </w:tcPr>
          <w:p w14:paraId="096425FC">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成立时间</w:t>
            </w:r>
          </w:p>
        </w:tc>
        <w:tc>
          <w:tcPr>
            <w:tcW w:w="1078" w:type="pct"/>
            <w:gridSpan w:val="2"/>
            <w:vAlign w:val="center"/>
          </w:tcPr>
          <w:p w14:paraId="4CB8B3AB">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c>
          <w:tcPr>
            <w:tcW w:w="2913" w:type="pct"/>
            <w:gridSpan w:val="7"/>
            <w:vAlign w:val="center"/>
          </w:tcPr>
          <w:p w14:paraId="01171F7C">
            <w:pPr>
              <w:pageBreakBefore w:val="0"/>
              <w:kinsoku/>
              <w:overflowPunct/>
              <w:autoSpaceDE w:val="0"/>
              <w:autoSpaceDN w:val="0"/>
              <w:bidi w:val="0"/>
              <w:adjustRightInd w:val="0"/>
              <w:snapToGrid w:val="0"/>
              <w:spacing w:line="360" w:lineRule="auto"/>
              <w:jc w:val="both"/>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员工总人数：</w:t>
            </w:r>
          </w:p>
        </w:tc>
      </w:tr>
      <w:tr w14:paraId="4723B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008" w:type="pct"/>
            <w:vAlign w:val="center"/>
          </w:tcPr>
          <w:p w14:paraId="0CFA1410">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企业资质等级</w:t>
            </w:r>
          </w:p>
        </w:tc>
        <w:tc>
          <w:tcPr>
            <w:tcW w:w="1078" w:type="pct"/>
            <w:gridSpan w:val="2"/>
            <w:vAlign w:val="center"/>
          </w:tcPr>
          <w:p w14:paraId="527B1C76">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c>
          <w:tcPr>
            <w:tcW w:w="489" w:type="pct"/>
            <w:vMerge w:val="restart"/>
            <w:vAlign w:val="center"/>
          </w:tcPr>
          <w:p w14:paraId="75EC8AA3">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其中</w:t>
            </w:r>
          </w:p>
        </w:tc>
        <w:tc>
          <w:tcPr>
            <w:tcW w:w="1342" w:type="pct"/>
            <w:gridSpan w:val="4"/>
            <w:vAlign w:val="center"/>
          </w:tcPr>
          <w:p w14:paraId="2F82992F">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项目经理</w:t>
            </w:r>
          </w:p>
        </w:tc>
        <w:tc>
          <w:tcPr>
            <w:tcW w:w="1081" w:type="pct"/>
            <w:gridSpan w:val="2"/>
            <w:vAlign w:val="center"/>
          </w:tcPr>
          <w:p w14:paraId="70EDE520">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r>
      <w:tr w14:paraId="3CAD4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7CCBB554">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营业执照号</w:t>
            </w:r>
          </w:p>
        </w:tc>
        <w:tc>
          <w:tcPr>
            <w:tcW w:w="1078" w:type="pct"/>
            <w:gridSpan w:val="2"/>
            <w:vAlign w:val="center"/>
          </w:tcPr>
          <w:p w14:paraId="5F5C7FFE">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c>
          <w:tcPr>
            <w:tcW w:w="489" w:type="pct"/>
            <w:vMerge w:val="continue"/>
            <w:tcBorders>
              <w:top w:val="nil"/>
            </w:tcBorders>
            <w:vAlign w:val="center"/>
          </w:tcPr>
          <w:p w14:paraId="34DDF52B">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c>
          <w:tcPr>
            <w:tcW w:w="1342" w:type="pct"/>
            <w:gridSpan w:val="4"/>
            <w:vAlign w:val="center"/>
          </w:tcPr>
          <w:p w14:paraId="0576587F">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高级职称人员</w:t>
            </w:r>
          </w:p>
        </w:tc>
        <w:tc>
          <w:tcPr>
            <w:tcW w:w="1081" w:type="pct"/>
            <w:gridSpan w:val="2"/>
            <w:vAlign w:val="center"/>
          </w:tcPr>
          <w:p w14:paraId="6C2222F8">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r>
      <w:tr w14:paraId="3C7CF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008" w:type="pct"/>
            <w:vAlign w:val="center"/>
          </w:tcPr>
          <w:p w14:paraId="5C74D3B0">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注册资金</w:t>
            </w:r>
          </w:p>
        </w:tc>
        <w:tc>
          <w:tcPr>
            <w:tcW w:w="1078" w:type="pct"/>
            <w:gridSpan w:val="2"/>
            <w:vAlign w:val="center"/>
          </w:tcPr>
          <w:p w14:paraId="5A7EBB5C">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c>
          <w:tcPr>
            <w:tcW w:w="489" w:type="pct"/>
            <w:vMerge w:val="continue"/>
            <w:tcBorders>
              <w:top w:val="nil"/>
            </w:tcBorders>
            <w:vAlign w:val="center"/>
          </w:tcPr>
          <w:p w14:paraId="76EB0830">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c>
          <w:tcPr>
            <w:tcW w:w="1342" w:type="pct"/>
            <w:gridSpan w:val="4"/>
            <w:vAlign w:val="center"/>
          </w:tcPr>
          <w:p w14:paraId="432D35E5">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中级职称人员</w:t>
            </w:r>
          </w:p>
        </w:tc>
        <w:tc>
          <w:tcPr>
            <w:tcW w:w="1081" w:type="pct"/>
            <w:gridSpan w:val="2"/>
            <w:vAlign w:val="center"/>
          </w:tcPr>
          <w:p w14:paraId="373B1189">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r>
      <w:tr w14:paraId="34FAC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008" w:type="pct"/>
            <w:vAlign w:val="center"/>
          </w:tcPr>
          <w:p w14:paraId="0E5F5637">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开户银行</w:t>
            </w:r>
          </w:p>
        </w:tc>
        <w:tc>
          <w:tcPr>
            <w:tcW w:w="1078" w:type="pct"/>
            <w:gridSpan w:val="2"/>
            <w:vAlign w:val="center"/>
          </w:tcPr>
          <w:p w14:paraId="5A8600F0">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c>
          <w:tcPr>
            <w:tcW w:w="489" w:type="pct"/>
            <w:vMerge w:val="continue"/>
            <w:tcBorders>
              <w:top w:val="nil"/>
            </w:tcBorders>
            <w:vAlign w:val="center"/>
          </w:tcPr>
          <w:p w14:paraId="096BCE2B">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c>
          <w:tcPr>
            <w:tcW w:w="1342" w:type="pct"/>
            <w:gridSpan w:val="4"/>
            <w:vAlign w:val="center"/>
          </w:tcPr>
          <w:p w14:paraId="6F9A5869">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初级职称人员</w:t>
            </w:r>
          </w:p>
        </w:tc>
        <w:tc>
          <w:tcPr>
            <w:tcW w:w="1081" w:type="pct"/>
            <w:gridSpan w:val="2"/>
            <w:vAlign w:val="center"/>
          </w:tcPr>
          <w:p w14:paraId="0F567107">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r>
      <w:tr w14:paraId="5B630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08" w:type="pct"/>
            <w:vAlign w:val="center"/>
          </w:tcPr>
          <w:p w14:paraId="006A299A">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账号</w:t>
            </w:r>
          </w:p>
        </w:tc>
        <w:tc>
          <w:tcPr>
            <w:tcW w:w="1078" w:type="pct"/>
            <w:gridSpan w:val="2"/>
            <w:vAlign w:val="center"/>
          </w:tcPr>
          <w:p w14:paraId="529EB20D">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c>
          <w:tcPr>
            <w:tcW w:w="489" w:type="pct"/>
            <w:vMerge w:val="continue"/>
            <w:tcBorders>
              <w:top w:val="nil"/>
            </w:tcBorders>
            <w:vAlign w:val="center"/>
          </w:tcPr>
          <w:p w14:paraId="7958EFB7">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c>
          <w:tcPr>
            <w:tcW w:w="1342" w:type="pct"/>
            <w:gridSpan w:val="4"/>
            <w:vAlign w:val="center"/>
          </w:tcPr>
          <w:p w14:paraId="52838FD4">
            <w:pPr>
              <w:pageBreakBefore w:val="0"/>
              <w:tabs>
                <w:tab w:val="left" w:pos="528"/>
              </w:tabs>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技</w:t>
            </w:r>
            <w:r>
              <w:rPr>
                <w:rFonts w:hint="eastAsia" w:ascii="宋体" w:hAnsi="宋体" w:eastAsia="宋体" w:cs="宋体"/>
                <w:kern w:val="0"/>
                <w:sz w:val="24"/>
                <w:szCs w:val="24"/>
                <w:lang w:val="zh-CN" w:bidi="zh-CN"/>
              </w:rPr>
              <w:tab/>
            </w:r>
            <w:r>
              <w:rPr>
                <w:rFonts w:hint="eastAsia" w:ascii="宋体" w:hAnsi="宋体" w:eastAsia="宋体" w:cs="宋体"/>
                <w:kern w:val="0"/>
                <w:sz w:val="24"/>
                <w:szCs w:val="24"/>
                <w:lang w:val="zh-CN" w:bidi="zh-CN"/>
              </w:rPr>
              <w:t>工</w:t>
            </w:r>
          </w:p>
        </w:tc>
        <w:tc>
          <w:tcPr>
            <w:tcW w:w="1081" w:type="pct"/>
            <w:gridSpan w:val="2"/>
            <w:vAlign w:val="center"/>
          </w:tcPr>
          <w:p w14:paraId="039FD8C9">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r>
      <w:tr w14:paraId="4BD19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1008" w:type="pct"/>
            <w:vAlign w:val="center"/>
          </w:tcPr>
          <w:p w14:paraId="652C7E7B">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经营范围</w:t>
            </w:r>
          </w:p>
        </w:tc>
        <w:tc>
          <w:tcPr>
            <w:tcW w:w="3991" w:type="pct"/>
            <w:gridSpan w:val="9"/>
            <w:vAlign w:val="center"/>
          </w:tcPr>
          <w:p w14:paraId="5026781B">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r>
      <w:tr w14:paraId="12C5D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08" w:type="pct"/>
            <w:vAlign w:val="center"/>
          </w:tcPr>
          <w:p w14:paraId="7B48EFFA">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备注</w:t>
            </w:r>
          </w:p>
        </w:tc>
        <w:tc>
          <w:tcPr>
            <w:tcW w:w="3991" w:type="pct"/>
            <w:gridSpan w:val="9"/>
            <w:vAlign w:val="center"/>
          </w:tcPr>
          <w:p w14:paraId="737B5399">
            <w:pPr>
              <w:pageBreakBefore w:val="0"/>
              <w:kinsoku/>
              <w:overflowPunct/>
              <w:autoSpaceDE w:val="0"/>
              <w:autoSpaceDN w:val="0"/>
              <w:bidi w:val="0"/>
              <w:adjustRightInd w:val="0"/>
              <w:snapToGrid w:val="0"/>
              <w:spacing w:line="360" w:lineRule="auto"/>
              <w:jc w:val="center"/>
              <w:rPr>
                <w:rFonts w:hint="eastAsia" w:ascii="宋体" w:hAnsi="宋体" w:eastAsia="宋体" w:cs="宋体"/>
                <w:kern w:val="0"/>
                <w:sz w:val="24"/>
                <w:szCs w:val="24"/>
                <w:lang w:val="zh-CN" w:bidi="zh-CN"/>
              </w:rPr>
            </w:pPr>
          </w:p>
        </w:tc>
      </w:tr>
    </w:tbl>
    <w:p w14:paraId="3C1D045D">
      <w:pPr>
        <w:pageBreakBefore w:val="0"/>
        <w:kinsoku/>
        <w:overflowPunct/>
        <w:bidi w:val="0"/>
        <w:spacing w:line="360" w:lineRule="auto"/>
        <w:rPr>
          <w:rFonts w:hint="eastAsia" w:ascii="宋体" w:hAnsi="宋体" w:eastAsia="宋体" w:cs="宋体"/>
          <w:sz w:val="24"/>
          <w:szCs w:val="24"/>
        </w:rPr>
      </w:pPr>
      <w:r>
        <w:rPr>
          <w:rFonts w:hint="eastAsia" w:ascii="宋体" w:hAnsi="宋体" w:eastAsia="宋体" w:cs="宋体"/>
          <w:b/>
          <w:kern w:val="0"/>
          <w:sz w:val="24"/>
          <w:szCs w:val="24"/>
          <w:lang w:val="zh-CN" w:bidi="zh-CN"/>
        </w:rPr>
        <w:t>后附供应商资格要求中：营业执照、</w:t>
      </w:r>
      <w:r>
        <w:rPr>
          <w:rFonts w:hint="eastAsia" w:ascii="宋体" w:hAnsi="宋体" w:eastAsia="宋体" w:cs="宋体"/>
          <w:b/>
          <w:kern w:val="0"/>
          <w:sz w:val="24"/>
          <w:szCs w:val="24"/>
          <w:lang w:val="en-US" w:bidi="zh-CN"/>
        </w:rPr>
        <w:t>资质证书</w:t>
      </w:r>
      <w:r>
        <w:rPr>
          <w:rFonts w:hint="eastAsia" w:ascii="宋体" w:hAnsi="宋体" w:eastAsia="宋体" w:cs="宋体"/>
          <w:b/>
          <w:kern w:val="0"/>
          <w:sz w:val="24"/>
          <w:szCs w:val="24"/>
          <w:lang w:val="zh-CN" w:bidi="zh-CN"/>
        </w:rPr>
        <w:t>等相关证件的扫描件</w:t>
      </w:r>
    </w:p>
    <w:p w14:paraId="33D77188">
      <w:pPr>
        <w:pageBreakBefore w:val="0"/>
        <w:kinsoku/>
        <w:overflowPunct/>
        <w:bidi w:val="0"/>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14:paraId="56BF7AB0">
      <w:pPr>
        <w:pageBreakBefore w:val="0"/>
        <w:kinsoku/>
        <w:overflowPunct/>
        <w:bidi w:val="0"/>
        <w:spacing w:line="360" w:lineRule="auto"/>
        <w:jc w:val="center"/>
        <w:outlineLvl w:val="1"/>
        <w:rPr>
          <w:rFonts w:hint="eastAsia" w:ascii="宋体" w:hAnsi="宋体" w:eastAsia="宋体" w:cs="宋体"/>
          <w:b/>
          <w:sz w:val="24"/>
          <w:szCs w:val="24"/>
        </w:rPr>
      </w:pPr>
      <w:bookmarkStart w:id="396" w:name="_Toc28656"/>
      <w:r>
        <w:rPr>
          <w:rFonts w:hint="eastAsia" w:ascii="宋体" w:hAnsi="宋体" w:eastAsia="宋体" w:cs="宋体"/>
          <w:b/>
          <w:sz w:val="24"/>
          <w:szCs w:val="24"/>
        </w:rPr>
        <w:t>八、</w:t>
      </w:r>
      <w:bookmarkEnd w:id="396"/>
      <w:r>
        <w:rPr>
          <w:rFonts w:hint="eastAsia" w:ascii="宋体" w:hAnsi="宋体" w:eastAsia="宋体" w:cs="宋体"/>
          <w:b/>
          <w:sz w:val="24"/>
          <w:szCs w:val="24"/>
          <w:lang w:eastAsia="zh-CN"/>
        </w:rPr>
        <w:t>供应商</w:t>
      </w:r>
      <w:r>
        <w:rPr>
          <w:rFonts w:hint="eastAsia" w:ascii="宋体" w:hAnsi="宋体" w:eastAsia="宋体" w:cs="宋体"/>
          <w:b/>
          <w:sz w:val="24"/>
          <w:szCs w:val="24"/>
        </w:rPr>
        <w:t>认为有利于</w:t>
      </w:r>
      <w:r>
        <w:rPr>
          <w:rFonts w:hint="eastAsia" w:ascii="宋体" w:hAnsi="宋体" w:eastAsia="宋体" w:cs="宋体"/>
          <w:b/>
          <w:sz w:val="24"/>
          <w:szCs w:val="24"/>
          <w:lang w:eastAsia="zh-CN"/>
        </w:rPr>
        <w:t>磋商</w:t>
      </w:r>
      <w:r>
        <w:rPr>
          <w:rFonts w:hint="eastAsia" w:ascii="宋体" w:hAnsi="宋体" w:eastAsia="宋体" w:cs="宋体"/>
          <w:b/>
          <w:sz w:val="24"/>
          <w:szCs w:val="24"/>
        </w:rPr>
        <w:t>的其他证明资料</w:t>
      </w:r>
    </w:p>
    <w:p w14:paraId="2F192720">
      <w:pPr>
        <w:pageBreakBefore w:val="0"/>
        <w:widowControl/>
        <w:kinsoku/>
        <w:overflowPunct/>
        <w:bidi w:val="0"/>
        <w:adjustRightInd w:val="0"/>
        <w:snapToGrid w:val="0"/>
        <w:spacing w:after="200" w:line="360" w:lineRule="auto"/>
        <w:ind w:firstLine="480" w:firstLineChars="200"/>
        <w:jc w:val="left"/>
        <w:rPr>
          <w:rFonts w:hint="eastAsia" w:ascii="宋体" w:hAnsi="宋体" w:eastAsia="宋体" w:cs="宋体"/>
          <w:color w:val="000000"/>
          <w:kern w:val="0"/>
          <w:sz w:val="24"/>
          <w:szCs w:val="24"/>
        </w:rPr>
      </w:pPr>
    </w:p>
    <w:p w14:paraId="1502AA01">
      <w:pPr>
        <w:pageBreakBefore w:val="0"/>
        <w:kinsoku/>
        <w:overflowPunct/>
        <w:bidi w:val="0"/>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br w:type="page"/>
      </w:r>
      <w:r>
        <w:rPr>
          <w:rFonts w:hint="eastAsia" w:ascii="宋体" w:hAnsi="宋体" w:eastAsia="宋体" w:cs="宋体"/>
          <w:color w:val="000000"/>
          <w:kern w:val="0"/>
          <w:sz w:val="24"/>
          <w:szCs w:val="24"/>
        </w:rPr>
        <w:t>附件1：</w:t>
      </w:r>
    </w:p>
    <w:p w14:paraId="0B83850E">
      <w:pPr>
        <w:pageBreakBefore w:val="0"/>
        <w:kinsoku/>
        <w:overflowPunct/>
        <w:bidi w:val="0"/>
        <w:spacing w:line="360" w:lineRule="auto"/>
        <w:jc w:val="center"/>
        <w:rPr>
          <w:rFonts w:hint="eastAsia" w:ascii="宋体" w:hAnsi="宋体" w:eastAsia="宋体" w:cs="宋体"/>
          <w:b/>
          <w:bCs w:val="0"/>
          <w:kern w:val="0"/>
          <w:sz w:val="24"/>
          <w:szCs w:val="24"/>
        </w:rPr>
      </w:pPr>
      <w:r>
        <w:rPr>
          <w:rFonts w:hint="eastAsia" w:ascii="宋体" w:hAnsi="宋体" w:eastAsia="宋体" w:cs="宋体"/>
          <w:b/>
          <w:bCs w:val="0"/>
          <w:kern w:val="0"/>
          <w:sz w:val="24"/>
          <w:szCs w:val="24"/>
        </w:rPr>
        <w:t>中小企业声明函（工程）</w:t>
      </w:r>
    </w:p>
    <w:p w14:paraId="4A60E3BB">
      <w:pPr>
        <w:pageBreakBefore w:val="0"/>
        <w:kinsoku/>
        <w:overflowPunct/>
        <w:bidi w:val="0"/>
        <w:spacing w:before="312" w:beforeLines="100" w:line="360" w:lineRule="auto"/>
        <w:ind w:firstLine="638" w:firstLineChars="266"/>
        <w:jc w:val="left"/>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采购活动，工程的施工单位全部为符合政策要求的中小企业。相关企业的具体情况如下：</w:t>
      </w:r>
    </w:p>
    <w:p w14:paraId="55796DBB">
      <w:pPr>
        <w:pageBreakBefore w:val="0"/>
        <w:kinsoku/>
        <w:overflowPunct/>
        <w:bidi w:val="0"/>
        <w:spacing w:line="360" w:lineRule="auto"/>
        <w:ind w:firstLine="638" w:firstLineChars="266"/>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（中型企业/小型企业/微型企业）；</w:t>
      </w:r>
    </w:p>
    <w:p w14:paraId="1637E6D2">
      <w:pPr>
        <w:pageBreakBefore w:val="0"/>
        <w:kinsoku/>
        <w:overflowPunct/>
        <w:bidi w:val="0"/>
        <w:spacing w:line="360" w:lineRule="auto"/>
        <w:ind w:firstLine="638" w:firstLineChars="266"/>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（中型企业/小型企业/微型企业）；</w:t>
      </w:r>
    </w:p>
    <w:p w14:paraId="3CDF03E1">
      <w:pPr>
        <w:pageBreakBefore w:val="0"/>
        <w:kinsoku/>
        <w:overflowPunct/>
        <w:bidi w:val="0"/>
        <w:spacing w:line="360" w:lineRule="auto"/>
        <w:ind w:firstLine="638" w:firstLineChars="266"/>
        <w:jc w:val="left"/>
        <w:rPr>
          <w:rFonts w:hint="eastAsia" w:ascii="宋体" w:hAnsi="宋体" w:eastAsia="宋体" w:cs="宋体"/>
          <w:sz w:val="24"/>
          <w:szCs w:val="24"/>
        </w:rPr>
      </w:pPr>
      <w:r>
        <w:rPr>
          <w:rFonts w:hint="eastAsia" w:ascii="宋体" w:hAnsi="宋体" w:eastAsia="宋体" w:cs="宋体"/>
          <w:sz w:val="24"/>
          <w:szCs w:val="24"/>
        </w:rPr>
        <w:t>……</w:t>
      </w:r>
    </w:p>
    <w:p w14:paraId="2BFF50F9">
      <w:pPr>
        <w:pageBreakBefore w:val="0"/>
        <w:kinsoku/>
        <w:overflowPunct/>
        <w:bidi w:val="0"/>
        <w:spacing w:line="360" w:lineRule="auto"/>
        <w:ind w:firstLine="638" w:firstLineChars="266"/>
        <w:jc w:val="left"/>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55987B86">
      <w:pPr>
        <w:pageBreakBefore w:val="0"/>
        <w:kinsoku/>
        <w:overflowPunct/>
        <w:bidi w:val="0"/>
        <w:spacing w:line="360" w:lineRule="auto"/>
        <w:ind w:firstLine="638" w:firstLineChars="266"/>
        <w:jc w:val="left"/>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7F3B9BA5">
      <w:pPr>
        <w:pageBreakBefore w:val="0"/>
        <w:kinsoku/>
        <w:overflowPunct/>
        <w:bidi w:val="0"/>
        <w:spacing w:line="360" w:lineRule="auto"/>
        <w:ind w:firstLine="638" w:firstLineChars="266"/>
        <w:jc w:val="left"/>
        <w:rPr>
          <w:rFonts w:hint="eastAsia" w:ascii="宋体" w:hAnsi="宋体" w:eastAsia="宋体" w:cs="宋体"/>
          <w:sz w:val="24"/>
          <w:szCs w:val="24"/>
        </w:rPr>
      </w:pPr>
    </w:p>
    <w:p w14:paraId="1B545B42">
      <w:pPr>
        <w:pageBreakBefore w:val="0"/>
        <w:kinsoku/>
        <w:overflowPunct/>
        <w:bidi w:val="0"/>
        <w:spacing w:line="360" w:lineRule="auto"/>
        <w:ind w:firstLine="638" w:firstLineChars="266"/>
        <w:jc w:val="left"/>
        <w:rPr>
          <w:rFonts w:hint="eastAsia" w:ascii="宋体" w:hAnsi="宋体" w:eastAsia="宋体" w:cs="宋体"/>
          <w:sz w:val="24"/>
          <w:szCs w:val="24"/>
        </w:rPr>
      </w:pPr>
      <w:r>
        <w:rPr>
          <w:rFonts w:hint="eastAsia" w:ascii="宋体" w:hAnsi="宋体" w:eastAsia="宋体" w:cs="宋体"/>
          <w:sz w:val="24"/>
          <w:szCs w:val="24"/>
        </w:rPr>
        <w:t>企业名称（盖公章）：</w:t>
      </w:r>
    </w:p>
    <w:p w14:paraId="44D9D61B">
      <w:pPr>
        <w:pageBreakBefore w:val="0"/>
        <w:kinsoku/>
        <w:overflowPunct/>
        <w:bidi w:val="0"/>
        <w:spacing w:line="360" w:lineRule="auto"/>
        <w:ind w:firstLine="638" w:firstLineChars="266"/>
        <w:jc w:val="left"/>
        <w:rPr>
          <w:rFonts w:hint="eastAsia" w:ascii="宋体" w:hAnsi="宋体" w:eastAsia="宋体" w:cs="宋体"/>
          <w:sz w:val="24"/>
          <w:szCs w:val="24"/>
        </w:rPr>
      </w:pPr>
      <w:r>
        <w:rPr>
          <w:rFonts w:hint="eastAsia" w:ascii="宋体" w:hAnsi="宋体" w:eastAsia="宋体" w:cs="宋体"/>
          <w:sz w:val="24"/>
          <w:szCs w:val="24"/>
        </w:rPr>
        <w:t>日期：</w:t>
      </w:r>
    </w:p>
    <w:p w14:paraId="206FC95F">
      <w:pPr>
        <w:pStyle w:val="9"/>
        <w:pageBreakBefore w:val="0"/>
        <w:kinsoku/>
        <w:overflowPunct/>
        <w:bidi w:val="0"/>
        <w:spacing w:line="360" w:lineRule="auto"/>
        <w:ind w:left="63" w:right="63" w:firstLine="241"/>
        <w:rPr>
          <w:rFonts w:hint="eastAsia" w:ascii="宋体" w:hAnsi="宋体" w:eastAsia="宋体" w:cs="宋体"/>
          <w:sz w:val="24"/>
          <w:szCs w:val="24"/>
        </w:rPr>
      </w:pPr>
    </w:p>
    <w:p w14:paraId="3AB14D04">
      <w:pPr>
        <w:pageBreakBefore w:val="0"/>
        <w:kinsoku/>
        <w:overflowPunct/>
        <w:bidi w:val="0"/>
        <w:spacing w:line="360" w:lineRule="auto"/>
        <w:ind w:left="420"/>
        <w:rPr>
          <w:rFonts w:hint="eastAsia" w:ascii="宋体" w:hAnsi="宋体" w:eastAsia="宋体" w:cs="宋体"/>
          <w:sz w:val="24"/>
          <w:szCs w:val="24"/>
        </w:rPr>
      </w:pPr>
    </w:p>
    <w:p w14:paraId="4B8136FC">
      <w:pPr>
        <w:pageBreakBefore w:val="0"/>
        <w:kinsoku/>
        <w:overflowPunct/>
        <w:bidi w:val="0"/>
        <w:spacing w:line="360" w:lineRule="auto"/>
        <w:ind w:firstLine="641" w:firstLineChars="266"/>
        <w:jc w:val="left"/>
        <w:rPr>
          <w:rFonts w:hint="eastAsia" w:ascii="宋体" w:hAnsi="宋体" w:eastAsia="宋体" w:cs="宋体"/>
          <w:b/>
          <w:bCs/>
          <w:sz w:val="24"/>
          <w:szCs w:val="24"/>
        </w:rPr>
      </w:pPr>
      <w:r>
        <w:rPr>
          <w:rFonts w:hint="eastAsia" w:ascii="宋体" w:hAnsi="宋体" w:eastAsia="宋体" w:cs="宋体"/>
          <w:b/>
          <w:bCs/>
          <w:sz w:val="24"/>
          <w:szCs w:val="24"/>
        </w:rPr>
        <w:t>注：1、从业人员、营业收入、资产总额填报上一年度数据，无上一年度数据的新成立企业可不填报。</w:t>
      </w:r>
    </w:p>
    <w:p w14:paraId="43AF92A0">
      <w:pPr>
        <w:pageBreakBefore w:val="0"/>
        <w:kinsoku/>
        <w:overflowPunct/>
        <w:bidi w:val="0"/>
        <w:spacing w:line="360" w:lineRule="auto"/>
        <w:ind w:firstLine="361" w:firstLineChars="150"/>
        <w:jc w:val="left"/>
        <w:rPr>
          <w:rFonts w:hint="eastAsia" w:ascii="宋体" w:hAnsi="宋体" w:eastAsia="宋体" w:cs="宋体"/>
          <w:sz w:val="24"/>
          <w:szCs w:val="20"/>
        </w:rPr>
      </w:pPr>
      <w:r>
        <w:rPr>
          <w:rFonts w:hint="eastAsia" w:ascii="宋体" w:hAnsi="宋体" w:eastAsia="宋体" w:cs="宋体"/>
          <w:b/>
          <w:bCs/>
          <w:sz w:val="24"/>
          <w:szCs w:val="20"/>
        </w:rPr>
        <w:t>2、中小企业划分标准见工业和信息化部国家统计局国家发展和改革委员财政部《关于印发中小企业划型标准规定的通知》（工信部联企业【2011】300号）。</w:t>
      </w:r>
    </w:p>
    <w:p w14:paraId="2B978664">
      <w:pPr>
        <w:pageBreakBefore w:val="0"/>
        <w:kinsoku/>
        <w:overflowPunct/>
        <w:bidi w:val="0"/>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14:paraId="34711059">
      <w:pPr>
        <w:pageBreakBefore w:val="0"/>
        <w:kinsoku/>
        <w:overflowPunct/>
        <w:bidi w:val="0"/>
        <w:spacing w:line="360" w:lineRule="auto"/>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附件</w:t>
      </w:r>
      <w:r>
        <w:rPr>
          <w:rFonts w:hint="eastAsia" w:ascii="宋体" w:hAnsi="宋体" w:eastAsia="宋体" w:cs="宋体"/>
          <w:color w:val="000000"/>
          <w:kern w:val="0"/>
          <w:sz w:val="24"/>
          <w:szCs w:val="24"/>
          <w:lang w:val="en-US" w:eastAsia="zh-CN"/>
        </w:rPr>
        <w:t>2：</w:t>
      </w:r>
    </w:p>
    <w:p w14:paraId="6117B12D">
      <w:pPr>
        <w:pageBreakBefore w:val="0"/>
        <w:kinsoku/>
        <w:overflowPunct/>
        <w:bidi w:val="0"/>
        <w:spacing w:line="360" w:lineRule="auto"/>
        <w:jc w:val="center"/>
        <w:rPr>
          <w:rFonts w:hint="eastAsia" w:ascii="宋体" w:hAnsi="宋体" w:eastAsia="宋体" w:cs="宋体"/>
          <w:b/>
          <w:bCs w:val="0"/>
          <w:kern w:val="0"/>
          <w:sz w:val="24"/>
          <w:szCs w:val="24"/>
        </w:rPr>
      </w:pPr>
      <w:r>
        <w:rPr>
          <w:rFonts w:hint="eastAsia" w:ascii="宋体" w:hAnsi="宋体" w:eastAsia="宋体" w:cs="宋体"/>
          <w:b/>
          <w:bCs w:val="0"/>
          <w:kern w:val="0"/>
          <w:sz w:val="24"/>
          <w:szCs w:val="24"/>
        </w:rPr>
        <w:t>残疾人福利性单位声明函</w:t>
      </w:r>
    </w:p>
    <w:p w14:paraId="77C61407">
      <w:pPr>
        <w:pageBreakBefore w:val="0"/>
        <w:widowControl/>
        <w:kinsoku/>
        <w:overflowPunct/>
        <w:bidi w:val="0"/>
        <w:adjustRightInd w:val="0"/>
        <w:snapToGrid w:val="0"/>
        <w:spacing w:line="360" w:lineRule="auto"/>
        <w:jc w:val="center"/>
        <w:rPr>
          <w:rFonts w:ascii="宋体" w:hAnsi="宋体" w:eastAsia="宋体" w:cs="宋体"/>
          <w:b/>
          <w:bCs/>
          <w:iCs/>
          <w:kern w:val="0"/>
          <w:sz w:val="24"/>
          <w:szCs w:val="24"/>
        </w:rPr>
      </w:pPr>
      <w:r>
        <w:rPr>
          <w:rFonts w:hint="eastAsia" w:ascii="宋体" w:hAnsi="宋体" w:eastAsia="宋体" w:cs="宋体"/>
          <w:b/>
          <w:bCs/>
          <w:iCs/>
          <w:kern w:val="0"/>
          <w:sz w:val="24"/>
          <w:szCs w:val="24"/>
        </w:rPr>
        <w:t>（属于残疾人福利性单位的填写，不属于的无需填写此项内容）</w:t>
      </w:r>
    </w:p>
    <w:p w14:paraId="406D8F5D">
      <w:pPr>
        <w:pageBreakBefore w:val="0"/>
        <w:widowControl/>
        <w:kinsoku/>
        <w:overflowPunct/>
        <w:bidi w:val="0"/>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10CB49AB">
      <w:pPr>
        <w:pageBreakBefore w:val="0"/>
        <w:widowControl/>
        <w:kinsoku/>
        <w:overflowPunct/>
        <w:bidi w:val="0"/>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本单位对上述声明的真实性负责。如有虚假，将依法承担相应责任。</w:t>
      </w:r>
    </w:p>
    <w:p w14:paraId="38417BAA">
      <w:pPr>
        <w:pageBreakBefore w:val="0"/>
        <w:widowControl/>
        <w:kinsoku/>
        <w:overflowPunct/>
        <w:bidi w:val="0"/>
        <w:adjustRightInd w:val="0"/>
        <w:snapToGrid w:val="0"/>
        <w:spacing w:line="360" w:lineRule="auto"/>
        <w:ind w:firstLine="480" w:firstLineChars="200"/>
        <w:jc w:val="left"/>
        <w:rPr>
          <w:rFonts w:ascii="宋体" w:hAnsi="宋体" w:eastAsia="宋体" w:cs="宋体"/>
          <w:kern w:val="0"/>
          <w:sz w:val="24"/>
          <w:szCs w:val="24"/>
        </w:rPr>
      </w:pPr>
    </w:p>
    <w:p w14:paraId="3DB92180">
      <w:pPr>
        <w:keepNext w:val="0"/>
        <w:keepLines w:val="0"/>
        <w:pageBreakBefore w:val="0"/>
        <w:widowControl/>
        <w:kinsoku/>
        <w:wordWrap/>
        <w:overflowPunct/>
        <w:topLinePunct w:val="0"/>
        <w:autoSpaceDE/>
        <w:autoSpaceDN/>
        <w:bidi w:val="0"/>
        <w:adjustRightInd w:val="0"/>
        <w:snapToGrid w:val="0"/>
        <w:spacing w:line="360" w:lineRule="auto"/>
        <w:ind w:firstLine="2400" w:firstLineChars="1000"/>
        <w:jc w:val="left"/>
        <w:textAlignment w:val="auto"/>
        <w:rPr>
          <w:rFonts w:ascii="宋体" w:hAnsi="宋体" w:eastAsia="宋体" w:cs="宋体"/>
          <w:kern w:val="0"/>
          <w:sz w:val="24"/>
          <w:szCs w:val="20"/>
          <w:u w:val="single"/>
        </w:rPr>
      </w:pPr>
      <w:r>
        <w:rPr>
          <w:rFonts w:hint="eastAsia" w:ascii="宋体" w:hAnsi="宋体" w:eastAsia="宋体" w:cs="宋体"/>
          <w:kern w:val="0"/>
          <w:sz w:val="24"/>
          <w:szCs w:val="20"/>
        </w:rPr>
        <w:t>供应商（电子签章）：</w:t>
      </w:r>
      <w:r>
        <w:rPr>
          <w:rFonts w:hint="eastAsia" w:ascii="宋体" w:hAnsi="宋体" w:eastAsia="宋体" w:cs="宋体"/>
          <w:kern w:val="0"/>
          <w:sz w:val="24"/>
          <w:szCs w:val="20"/>
          <w:u w:val="single"/>
        </w:rPr>
        <w:t xml:space="preserve">                     </w:t>
      </w:r>
    </w:p>
    <w:p w14:paraId="46C9127C">
      <w:pPr>
        <w:keepNext w:val="0"/>
        <w:keepLines w:val="0"/>
        <w:pageBreakBefore w:val="0"/>
        <w:widowControl/>
        <w:kinsoku/>
        <w:wordWrap/>
        <w:overflowPunct/>
        <w:topLinePunct w:val="0"/>
        <w:autoSpaceDE/>
        <w:autoSpaceDN/>
        <w:bidi w:val="0"/>
        <w:adjustRightInd w:val="0"/>
        <w:snapToGrid w:val="0"/>
        <w:spacing w:line="360" w:lineRule="auto"/>
        <w:ind w:firstLine="2400" w:firstLineChars="1000"/>
        <w:jc w:val="left"/>
        <w:textAlignment w:val="auto"/>
        <w:rPr>
          <w:rFonts w:ascii="宋体" w:hAnsi="宋体" w:eastAsia="宋体" w:cs="宋体"/>
          <w:kern w:val="0"/>
          <w:sz w:val="24"/>
          <w:szCs w:val="20"/>
          <w:u w:val="single"/>
        </w:rPr>
      </w:pPr>
      <w:r>
        <w:rPr>
          <w:rFonts w:hint="eastAsia" w:ascii="宋体" w:hAnsi="宋体" w:eastAsia="宋体" w:cs="宋体"/>
          <w:kern w:val="0"/>
          <w:sz w:val="24"/>
          <w:szCs w:val="20"/>
        </w:rPr>
        <w:t>法定代表人（电子签章）：</w:t>
      </w:r>
      <w:r>
        <w:rPr>
          <w:rFonts w:hint="eastAsia" w:ascii="宋体" w:hAnsi="宋体" w:eastAsia="宋体" w:cs="宋体"/>
          <w:kern w:val="0"/>
          <w:sz w:val="24"/>
          <w:szCs w:val="20"/>
          <w:u w:val="single"/>
        </w:rPr>
        <w:t xml:space="preserve">                   </w:t>
      </w:r>
    </w:p>
    <w:p w14:paraId="3C733B8F">
      <w:pPr>
        <w:keepNext w:val="0"/>
        <w:keepLines w:val="0"/>
        <w:pageBreakBefore w:val="0"/>
        <w:widowControl/>
        <w:kinsoku/>
        <w:wordWrap/>
        <w:overflowPunct/>
        <w:topLinePunct w:val="0"/>
        <w:autoSpaceDE/>
        <w:autoSpaceDN/>
        <w:bidi w:val="0"/>
        <w:adjustRightInd w:val="0"/>
        <w:snapToGrid w:val="0"/>
        <w:spacing w:line="360" w:lineRule="auto"/>
        <w:ind w:firstLine="2400" w:firstLineChars="1000"/>
        <w:jc w:val="both"/>
        <w:textAlignment w:val="auto"/>
        <w:rPr>
          <w:rFonts w:ascii="宋体" w:hAnsi="宋体" w:eastAsia="宋体" w:cs="宋体"/>
          <w:kern w:val="0"/>
          <w:sz w:val="30"/>
          <w:szCs w:val="30"/>
        </w:rPr>
      </w:pPr>
      <w:r>
        <w:rPr>
          <w:rFonts w:hint="eastAsia" w:ascii="宋体" w:hAnsi="宋体" w:eastAsia="宋体" w:cs="宋体"/>
          <w:kern w:val="0"/>
          <w:sz w:val="24"/>
          <w:szCs w:val="20"/>
        </w:rPr>
        <w:t>日期：</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年</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月</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rPr>
        <w:t>日</w:t>
      </w:r>
    </w:p>
    <w:p w14:paraId="38931D24">
      <w:pPr>
        <w:pageBreakBefore w:val="0"/>
        <w:widowControl/>
        <w:kinsoku/>
        <w:overflowPunct/>
        <w:bidi w:val="0"/>
        <w:adjustRightInd w:val="0"/>
        <w:snapToGrid w:val="0"/>
        <w:spacing w:line="360" w:lineRule="auto"/>
        <w:jc w:val="right"/>
        <w:rPr>
          <w:rFonts w:ascii="宋体" w:hAnsi="宋体" w:eastAsia="宋体" w:cs="宋体"/>
          <w:kern w:val="0"/>
          <w:sz w:val="30"/>
          <w:szCs w:val="30"/>
        </w:rPr>
      </w:pPr>
    </w:p>
    <w:p w14:paraId="64CC6C5B">
      <w:pPr>
        <w:keepNext w:val="0"/>
        <w:keepLines w:val="0"/>
        <w:pageBreakBefore w:val="0"/>
        <w:kinsoku/>
        <w:wordWrap/>
        <w:overflowPunct/>
        <w:topLinePunct w:val="0"/>
        <w:autoSpaceDE/>
        <w:autoSpaceDN/>
        <w:bidi w:val="0"/>
        <w:adjustRightInd w:val="0"/>
        <w:snapToGrid w:val="0"/>
        <w:spacing w:line="360" w:lineRule="auto"/>
        <w:ind w:firstLine="402" w:firstLineChars="200"/>
        <w:textAlignment w:val="auto"/>
        <w:rPr>
          <w:rFonts w:ascii="宋体" w:hAnsi="宋体" w:eastAsia="宋体" w:cs="宋体"/>
          <w:kern w:val="0"/>
          <w:sz w:val="20"/>
          <w:szCs w:val="24"/>
        </w:rPr>
      </w:pPr>
      <w:r>
        <w:rPr>
          <w:rFonts w:hint="eastAsia" w:ascii="宋体" w:hAnsi="宋体" w:eastAsia="宋体" w:cs="宋体"/>
          <w:b/>
          <w:kern w:val="0"/>
          <w:sz w:val="20"/>
          <w:szCs w:val="24"/>
        </w:rPr>
        <w:t>（注：如果供应商</w:t>
      </w:r>
      <w:r>
        <w:rPr>
          <w:rFonts w:hint="eastAsia" w:ascii="宋体" w:hAnsi="宋体" w:eastAsia="宋体" w:cs="宋体"/>
          <w:b/>
          <w:spacing w:val="10"/>
          <w:kern w:val="0"/>
          <w:sz w:val="20"/>
          <w:szCs w:val="24"/>
        </w:rPr>
        <w:t>不是残疾人福利性单位</w:t>
      </w:r>
      <w:r>
        <w:rPr>
          <w:rFonts w:hint="eastAsia" w:ascii="宋体" w:hAnsi="宋体" w:eastAsia="宋体" w:cs="宋体"/>
          <w:b/>
          <w:kern w:val="0"/>
          <w:sz w:val="20"/>
          <w:szCs w:val="24"/>
        </w:rPr>
        <w:t>，则不需要填写《残疾人福利性单位声明函》。否则，因此导致虚假投标的后果由供应商自行承担。）</w:t>
      </w:r>
    </w:p>
    <w:p w14:paraId="69939F89">
      <w:pPr>
        <w:keepNext w:val="0"/>
        <w:keepLines w:val="0"/>
        <w:pageBreakBefore w:val="0"/>
        <w:widowControl/>
        <w:kinsoku/>
        <w:wordWrap/>
        <w:overflowPunct/>
        <w:topLinePunct w:val="0"/>
        <w:autoSpaceDE/>
        <w:autoSpaceDN/>
        <w:bidi w:val="0"/>
        <w:adjustRightInd w:val="0"/>
        <w:snapToGrid w:val="0"/>
        <w:spacing w:line="360" w:lineRule="auto"/>
        <w:ind w:firstLine="440" w:firstLineChars="200"/>
        <w:jc w:val="left"/>
        <w:textAlignment w:val="auto"/>
        <w:rPr>
          <w:rFonts w:ascii="宋体" w:hAnsi="宋体" w:eastAsia="宋体" w:cs="宋体"/>
          <w:kern w:val="0"/>
          <w:sz w:val="22"/>
          <w:szCs w:val="24"/>
        </w:rPr>
      </w:pPr>
      <w:r>
        <w:rPr>
          <w:rFonts w:hint="eastAsia" w:ascii="宋体" w:hAnsi="宋体" w:eastAsia="宋体" w:cs="宋体"/>
          <w:kern w:val="0"/>
          <w:sz w:val="22"/>
          <w:szCs w:val="24"/>
        </w:rPr>
        <w:t>《财政部民政部中国残疾人联合会关于促进残疾人就业政府采购政策的通知》（财库2017〔141〕号）的规定：</w:t>
      </w:r>
    </w:p>
    <w:p w14:paraId="5AC1385C">
      <w:pPr>
        <w:keepNext w:val="0"/>
        <w:keepLines w:val="0"/>
        <w:pageBreakBefore w:val="0"/>
        <w:widowControl/>
        <w:kinsoku/>
        <w:wordWrap/>
        <w:overflowPunct/>
        <w:topLinePunct w:val="0"/>
        <w:autoSpaceDE/>
        <w:autoSpaceDN/>
        <w:bidi w:val="0"/>
        <w:adjustRightInd w:val="0"/>
        <w:snapToGrid w:val="0"/>
        <w:spacing w:line="360" w:lineRule="auto"/>
        <w:ind w:firstLine="440" w:firstLineChars="200"/>
        <w:jc w:val="left"/>
        <w:textAlignment w:val="auto"/>
        <w:rPr>
          <w:rFonts w:ascii="宋体" w:hAnsi="宋体" w:eastAsia="宋体" w:cs="宋体"/>
          <w:kern w:val="0"/>
          <w:sz w:val="22"/>
          <w:szCs w:val="24"/>
        </w:rPr>
      </w:pPr>
      <w:r>
        <w:rPr>
          <w:rFonts w:hint="eastAsia" w:ascii="宋体" w:hAnsi="宋体" w:eastAsia="宋体" w:cs="宋体"/>
          <w:kern w:val="0"/>
          <w:sz w:val="22"/>
          <w:szCs w:val="24"/>
        </w:rPr>
        <w:t>1. 享受政府采购支持政策的残疾人福利性单位应当同时满足以下条件：</w:t>
      </w:r>
    </w:p>
    <w:p w14:paraId="4237898E">
      <w:pPr>
        <w:keepNext w:val="0"/>
        <w:keepLines w:val="0"/>
        <w:pageBreakBefore w:val="0"/>
        <w:widowControl/>
        <w:kinsoku/>
        <w:wordWrap/>
        <w:overflowPunct/>
        <w:topLinePunct w:val="0"/>
        <w:autoSpaceDE/>
        <w:autoSpaceDN/>
        <w:bidi w:val="0"/>
        <w:adjustRightInd w:val="0"/>
        <w:snapToGrid w:val="0"/>
        <w:spacing w:line="360" w:lineRule="auto"/>
        <w:ind w:firstLine="440" w:firstLineChars="200"/>
        <w:jc w:val="left"/>
        <w:textAlignment w:val="auto"/>
        <w:rPr>
          <w:rFonts w:ascii="宋体" w:hAnsi="宋体" w:eastAsia="宋体" w:cs="宋体"/>
          <w:kern w:val="0"/>
          <w:sz w:val="22"/>
          <w:szCs w:val="24"/>
        </w:rPr>
      </w:pPr>
      <w:r>
        <w:rPr>
          <w:rFonts w:hint="eastAsia" w:ascii="宋体" w:hAnsi="宋体" w:eastAsia="宋体" w:cs="宋体"/>
          <w:kern w:val="0"/>
          <w:sz w:val="22"/>
          <w:szCs w:val="24"/>
        </w:rPr>
        <w:t>（1）安置的残疾人占本单位在职职工人数的比例不低于25%（含25%），并且安置的残疾人人数不少于10人（含10人）；</w:t>
      </w:r>
    </w:p>
    <w:p w14:paraId="6319845C">
      <w:pPr>
        <w:keepNext w:val="0"/>
        <w:keepLines w:val="0"/>
        <w:pageBreakBefore w:val="0"/>
        <w:widowControl/>
        <w:kinsoku/>
        <w:wordWrap/>
        <w:overflowPunct/>
        <w:topLinePunct w:val="0"/>
        <w:autoSpaceDE/>
        <w:autoSpaceDN/>
        <w:bidi w:val="0"/>
        <w:adjustRightInd w:val="0"/>
        <w:snapToGrid w:val="0"/>
        <w:spacing w:line="360" w:lineRule="auto"/>
        <w:ind w:firstLine="440" w:firstLineChars="200"/>
        <w:jc w:val="left"/>
        <w:textAlignment w:val="auto"/>
        <w:rPr>
          <w:rFonts w:ascii="宋体" w:hAnsi="宋体" w:eastAsia="宋体" w:cs="宋体"/>
          <w:kern w:val="0"/>
          <w:sz w:val="22"/>
          <w:szCs w:val="24"/>
        </w:rPr>
      </w:pPr>
      <w:r>
        <w:rPr>
          <w:rFonts w:hint="eastAsia" w:ascii="宋体" w:hAnsi="宋体" w:eastAsia="宋体" w:cs="宋体"/>
          <w:kern w:val="0"/>
          <w:sz w:val="22"/>
          <w:szCs w:val="24"/>
        </w:rPr>
        <w:t>（2）依法与安置的每位残疾人签订了一年以上（含一年）的劳动合同或服务协议；</w:t>
      </w:r>
    </w:p>
    <w:p w14:paraId="0D97A34A">
      <w:pPr>
        <w:keepNext w:val="0"/>
        <w:keepLines w:val="0"/>
        <w:pageBreakBefore w:val="0"/>
        <w:widowControl/>
        <w:kinsoku/>
        <w:wordWrap/>
        <w:overflowPunct/>
        <w:topLinePunct w:val="0"/>
        <w:autoSpaceDE/>
        <w:autoSpaceDN/>
        <w:bidi w:val="0"/>
        <w:adjustRightInd w:val="0"/>
        <w:snapToGrid w:val="0"/>
        <w:spacing w:line="360" w:lineRule="auto"/>
        <w:ind w:firstLine="440" w:firstLineChars="200"/>
        <w:jc w:val="left"/>
        <w:textAlignment w:val="auto"/>
        <w:rPr>
          <w:rFonts w:ascii="宋体" w:hAnsi="宋体" w:eastAsia="宋体" w:cs="宋体"/>
          <w:kern w:val="0"/>
          <w:sz w:val="22"/>
          <w:szCs w:val="24"/>
        </w:rPr>
      </w:pPr>
      <w:r>
        <w:rPr>
          <w:rFonts w:hint="eastAsia" w:ascii="宋体" w:hAnsi="宋体" w:eastAsia="宋体" w:cs="宋体"/>
          <w:kern w:val="0"/>
          <w:sz w:val="22"/>
          <w:szCs w:val="24"/>
        </w:rPr>
        <w:t>（3）为安置的每位残疾人按月足额缴纳了基本养老保险、基本医疗保险、失业保险、工伤保险和生育保险等社会保险费；</w:t>
      </w:r>
    </w:p>
    <w:p w14:paraId="14E0118A">
      <w:pPr>
        <w:keepNext w:val="0"/>
        <w:keepLines w:val="0"/>
        <w:pageBreakBefore w:val="0"/>
        <w:widowControl/>
        <w:kinsoku/>
        <w:wordWrap/>
        <w:overflowPunct/>
        <w:topLinePunct w:val="0"/>
        <w:autoSpaceDE/>
        <w:autoSpaceDN/>
        <w:bidi w:val="0"/>
        <w:adjustRightInd w:val="0"/>
        <w:snapToGrid w:val="0"/>
        <w:spacing w:line="360" w:lineRule="auto"/>
        <w:ind w:firstLine="440" w:firstLineChars="200"/>
        <w:jc w:val="left"/>
        <w:textAlignment w:val="auto"/>
        <w:rPr>
          <w:rFonts w:ascii="宋体" w:hAnsi="宋体" w:eastAsia="宋体" w:cs="宋体"/>
          <w:kern w:val="0"/>
          <w:sz w:val="22"/>
          <w:szCs w:val="24"/>
        </w:rPr>
      </w:pPr>
      <w:r>
        <w:rPr>
          <w:rFonts w:hint="eastAsia" w:ascii="宋体" w:hAnsi="宋体" w:eastAsia="宋体" w:cs="宋体"/>
          <w:kern w:val="0"/>
          <w:sz w:val="22"/>
          <w:szCs w:val="24"/>
        </w:rPr>
        <w:t>（4）通过银行等金融机构向安置的每位残疾人，按月支付了不低于单位所在区县适用的经省级人民政府批准的月最低工资标准的工资；</w:t>
      </w:r>
    </w:p>
    <w:p w14:paraId="258B6930">
      <w:pPr>
        <w:keepNext w:val="0"/>
        <w:keepLines w:val="0"/>
        <w:pageBreakBefore w:val="0"/>
        <w:widowControl/>
        <w:kinsoku/>
        <w:wordWrap/>
        <w:overflowPunct/>
        <w:topLinePunct w:val="0"/>
        <w:autoSpaceDE/>
        <w:autoSpaceDN/>
        <w:bidi w:val="0"/>
        <w:adjustRightInd w:val="0"/>
        <w:snapToGrid w:val="0"/>
        <w:spacing w:line="360" w:lineRule="auto"/>
        <w:ind w:firstLine="440" w:firstLineChars="200"/>
        <w:jc w:val="left"/>
        <w:textAlignment w:val="auto"/>
        <w:rPr>
          <w:rFonts w:ascii="宋体" w:hAnsi="宋体" w:eastAsia="宋体" w:cs="宋体"/>
          <w:kern w:val="0"/>
          <w:sz w:val="22"/>
          <w:szCs w:val="24"/>
        </w:rPr>
      </w:pPr>
      <w:r>
        <w:rPr>
          <w:rFonts w:hint="eastAsia" w:ascii="宋体" w:hAnsi="宋体" w:eastAsia="宋体" w:cs="宋体"/>
          <w:kern w:val="0"/>
          <w:sz w:val="22"/>
          <w:szCs w:val="24"/>
        </w:rPr>
        <w:t>（5）提供本单位制造的货物、承担的工程或者服务（以下简称产品），或者提供其他残疾人福利性单位制造的货物（不包括使用非残疾人福利性单位注册商标的货物）。</w:t>
      </w:r>
    </w:p>
    <w:p w14:paraId="3535FDC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kern w:val="0"/>
          <w:sz w:val="20"/>
          <w:szCs w:val="24"/>
        </w:rPr>
      </w:pPr>
      <w:r>
        <w:rPr>
          <w:rFonts w:hint="eastAsia" w:ascii="宋体" w:hAnsi="宋体" w:eastAsia="宋体" w:cs="宋体"/>
          <w:szCs w:val="24"/>
        </w:rPr>
        <w:t>2. 成交人为残疾人福利性单位的，采购人或者其委托的采购代理机构应当随成交、成交结果同时公告其《残疾人福利性单位声明函》，接受社会监督。</w:t>
      </w:r>
    </w:p>
    <w:p w14:paraId="460155FD">
      <w:pPr>
        <w:pageBreakBefore w:val="0"/>
        <w:kinsoku/>
        <w:overflowPunct/>
        <w:bidi w:val="0"/>
        <w:adjustRightInd w:val="0"/>
        <w:snapToGrid w:val="0"/>
        <w:spacing w:line="360" w:lineRule="auto"/>
        <w:ind w:firstLine="240" w:firstLineChars="100"/>
        <w:jc w:val="center"/>
        <w:rPr>
          <w:rFonts w:hint="eastAsia" w:ascii="宋体" w:hAnsi="宋体" w:eastAsia="宋体" w:cs="宋体"/>
          <w:kern w:val="0"/>
          <w:sz w:val="24"/>
          <w:szCs w:val="24"/>
        </w:rPr>
      </w:pPr>
      <w:r>
        <w:rPr>
          <w:rFonts w:hint="eastAsia" w:ascii="宋体" w:hAnsi="宋体" w:eastAsia="宋体" w:cs="宋体"/>
          <w:kern w:val="0"/>
          <w:sz w:val="24"/>
          <w:szCs w:val="24"/>
        </w:rPr>
        <w:br w:type="page"/>
      </w:r>
    </w:p>
    <w:p w14:paraId="76A4F456">
      <w:pPr>
        <w:pageBreakBefore w:val="0"/>
        <w:kinsoku/>
        <w:overflowPunct/>
        <w:bidi w:val="0"/>
        <w:spacing w:line="360" w:lineRule="auto"/>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附件</w:t>
      </w:r>
      <w:r>
        <w:rPr>
          <w:rFonts w:hint="eastAsia" w:ascii="宋体" w:hAnsi="宋体" w:eastAsia="宋体" w:cs="宋体"/>
          <w:color w:val="000000"/>
          <w:kern w:val="0"/>
          <w:sz w:val="24"/>
          <w:szCs w:val="24"/>
          <w:lang w:val="en-US" w:eastAsia="zh-CN"/>
        </w:rPr>
        <w:t>3：</w:t>
      </w:r>
    </w:p>
    <w:p w14:paraId="0B1F4A87">
      <w:pPr>
        <w:pageBreakBefore w:val="0"/>
        <w:kinsoku/>
        <w:overflowPunct/>
        <w:bidi w:val="0"/>
        <w:spacing w:line="360" w:lineRule="auto"/>
        <w:jc w:val="center"/>
        <w:rPr>
          <w:rFonts w:hint="eastAsia" w:ascii="宋体" w:hAnsi="宋体" w:eastAsia="宋体" w:cs="宋体"/>
          <w:b/>
          <w:bCs w:val="0"/>
          <w:kern w:val="0"/>
          <w:sz w:val="24"/>
          <w:szCs w:val="24"/>
        </w:rPr>
      </w:pPr>
      <w:r>
        <w:rPr>
          <w:rFonts w:hint="eastAsia" w:ascii="宋体" w:hAnsi="宋体" w:eastAsia="宋体" w:cs="宋体"/>
          <w:b/>
          <w:bCs w:val="0"/>
          <w:kern w:val="0"/>
          <w:sz w:val="24"/>
          <w:szCs w:val="24"/>
        </w:rPr>
        <w:t>监狱企业证明文件</w:t>
      </w:r>
    </w:p>
    <w:p w14:paraId="7F43B7D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9"/>
        <w:rPr>
          <w:rFonts w:ascii="宋体" w:hAnsi="宋体" w:eastAsia="宋体" w:cs="宋体"/>
          <w:b/>
          <w:bCs/>
          <w:iCs/>
          <w:kern w:val="0"/>
          <w:sz w:val="24"/>
          <w:szCs w:val="24"/>
        </w:rPr>
      </w:pPr>
      <w:bookmarkStart w:id="397" w:name="_Toc13644"/>
      <w:r>
        <w:rPr>
          <w:rFonts w:hint="eastAsia" w:ascii="宋体" w:hAnsi="宋体" w:eastAsia="宋体" w:cs="宋体"/>
          <w:b/>
          <w:bCs/>
          <w:iCs/>
          <w:kern w:val="0"/>
          <w:sz w:val="24"/>
          <w:szCs w:val="24"/>
        </w:rPr>
        <w:t>（属于监狱企业的提供，不属于的无需填写此项内容）</w:t>
      </w:r>
      <w:bookmarkEnd w:id="397"/>
    </w:p>
    <w:p w14:paraId="34A46569">
      <w:pPr>
        <w:pageBreakBefore w:val="0"/>
        <w:widowControl/>
        <w:kinsoku/>
        <w:overflowPunct/>
        <w:bidi w:val="0"/>
        <w:adjustRightInd w:val="0"/>
        <w:snapToGrid w:val="0"/>
        <w:spacing w:line="360" w:lineRule="auto"/>
        <w:jc w:val="left"/>
        <w:rPr>
          <w:rFonts w:ascii="宋体" w:hAnsi="宋体" w:eastAsia="宋体" w:cs="宋体"/>
          <w:b/>
          <w:bCs/>
          <w:kern w:val="0"/>
          <w:sz w:val="32"/>
          <w:szCs w:val="32"/>
        </w:rPr>
      </w:pPr>
    </w:p>
    <w:p w14:paraId="25095BFE">
      <w:pPr>
        <w:pageBreakBefore w:val="0"/>
        <w:widowControl/>
        <w:kinsoku/>
        <w:overflowPunct/>
        <w:bidi w:val="0"/>
        <w:adjustRightInd w:val="0"/>
        <w:snapToGrid w:val="0"/>
        <w:spacing w:line="360" w:lineRule="auto"/>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（监狱企业参加政府采购活动时，应当提供由省级以上监狱管理局、戒毒管理局(含新疆生产建设兵团)出具的属于监狱企业的证明文件。</w:t>
      </w:r>
    </w:p>
    <w:p w14:paraId="69E1B571">
      <w:pPr>
        <w:pageBreakBefore w:val="0"/>
        <w:kinsoku/>
        <w:overflowPunct/>
        <w:bidi w:val="0"/>
        <w:spacing w:line="360" w:lineRule="auto"/>
      </w:pPr>
    </w:p>
    <w:p w14:paraId="36A46ABA">
      <w:pPr>
        <w:pStyle w:val="9"/>
        <w:pageBreakBefore w:val="0"/>
        <w:kinsoku/>
        <w:overflowPunct/>
        <w:bidi w:val="0"/>
        <w:spacing w:line="360" w:lineRule="auto"/>
        <w:ind w:left="63" w:right="63" w:firstLine="211"/>
        <w:rPr>
          <w:rFonts w:hint="eastAsia" w:ascii="宋体" w:hAnsi="宋体" w:eastAsia="宋体" w:cs="宋体"/>
          <w:sz w:val="24"/>
          <w:szCs w:val="24"/>
        </w:rPr>
      </w:pPr>
    </w:p>
    <w:p w14:paraId="40E44718">
      <w:pPr>
        <w:pageBreakBefore w:val="0"/>
        <w:kinsoku/>
        <w:overflowPunct/>
        <w:bidi w:val="0"/>
        <w:spacing w:line="360" w:lineRule="auto"/>
        <w:rPr>
          <w:rFonts w:hint="eastAsia" w:ascii="宋体" w:hAnsi="宋体" w:eastAsia="宋体" w:cs="宋体"/>
          <w:sz w:val="24"/>
          <w:szCs w:val="24"/>
        </w:rPr>
      </w:pPr>
    </w:p>
    <w:p w14:paraId="585A5C71">
      <w:pPr>
        <w:pageBreakBefore w:val="0"/>
        <w:kinsoku/>
        <w:overflowPunct/>
        <w:bidi w:val="0"/>
        <w:spacing w:line="360" w:lineRule="auto"/>
        <w:rPr>
          <w:rFonts w:hint="eastAsia" w:ascii="宋体" w:hAnsi="宋体" w:eastAsia="宋体" w:cs="宋体"/>
        </w:rPr>
      </w:pPr>
    </w:p>
    <w:p w14:paraId="74016CA7">
      <w:pPr>
        <w:pageBreakBefore w:val="0"/>
        <w:kinsoku/>
        <w:overflowPunct/>
        <w:bidi w:val="0"/>
        <w:spacing w:line="360" w:lineRule="auto"/>
        <w:rPr>
          <w:rFonts w:hint="eastAsia" w:ascii="宋体" w:hAnsi="宋体" w:eastAsia="宋体" w:cs="宋体"/>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5F896">
    <w:pP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7353407D">
                          <w:pPr>
                            <w:jc w:val="center"/>
                          </w:pPr>
                          <w:r>
                            <w:fldChar w:fldCharType="begin"/>
                          </w:r>
                          <w:r>
                            <w:instrText xml:space="preserve">PAGE   \* MERGEFORMAT</w:instrText>
                          </w:r>
                          <w:r>
                            <w:fldChar w:fldCharType="separate"/>
                          </w:r>
                          <w:r>
                            <w:rPr>
                              <w:lang w:val="zh-CN"/>
                            </w:rPr>
                            <w:t>48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9HMHRAAAAAwEAAA8AAAAAAAAAAQAgAAAAIgAAAGRycy9k&#10;b3ducmV2LnhtbFBLAQIUABQAAAAIAIdO4kA5IfDJCQIAAAIEAAAOAAAAAAAAAAEAIAAAACABAABk&#10;cnMvZTJvRG9jLnhtbFBLBQYAAAAABgAGAFkBAACbBQAAAAA=&#10;">
              <v:fill on="f" focussize="0,0"/>
              <v:stroke on="f"/>
              <v:imagedata o:title=""/>
              <o:lock v:ext="edit" aspectratio="f"/>
              <v:textbox inset="0mm,0mm,0mm,0mm" style="mso-fit-shape-to-text:t;">
                <w:txbxContent>
                  <w:p w14:paraId="7353407D">
                    <w:pPr>
                      <w:jc w:val="center"/>
                    </w:pPr>
                    <w:r>
                      <w:fldChar w:fldCharType="begin"/>
                    </w:r>
                    <w:r>
                      <w:instrText xml:space="preserve">PAGE   \* MERGEFORMAT</w:instrText>
                    </w:r>
                    <w:r>
                      <w:fldChar w:fldCharType="separate"/>
                    </w:r>
                    <w:r>
                      <w:rPr>
                        <w:lang w:val="zh-CN"/>
                      </w:rPr>
                      <w:t>48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0F0B1"/>
    <w:multiLevelType w:val="singleLevel"/>
    <w:tmpl w:val="AE60F0B1"/>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trackRevisions w:val="1"/>
  <w:documentProtection w:edit="trackedChanges" w:enforcement="1" w:cryptProviderType="rsaFull" w:cryptAlgorithmClass="hash" w:cryptAlgorithmType="typeAny" w:cryptAlgorithmSid="4" w:cryptSpinCount="0" w:hash="WLepz93jJ2ZH0vZIXxWyvD8JDuk=" w:salt="V6M7hsezgkpAzQgY98EFN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NjZkN2MwMDdmMDgyMTg0MDg2NjQ2OTA5YWNiMWUifQ=="/>
  </w:docVars>
  <w:rsids>
    <w:rsidRoot w:val="007C6B5B"/>
    <w:rsid w:val="00000734"/>
    <w:rsid w:val="000360F2"/>
    <w:rsid w:val="000E3B84"/>
    <w:rsid w:val="0016442E"/>
    <w:rsid w:val="00166837"/>
    <w:rsid w:val="0021184F"/>
    <w:rsid w:val="002E634F"/>
    <w:rsid w:val="003D6E59"/>
    <w:rsid w:val="003E4D46"/>
    <w:rsid w:val="00401101"/>
    <w:rsid w:val="00432558"/>
    <w:rsid w:val="004D20F2"/>
    <w:rsid w:val="005A3349"/>
    <w:rsid w:val="00601823"/>
    <w:rsid w:val="007415F5"/>
    <w:rsid w:val="007C6B5B"/>
    <w:rsid w:val="00844788"/>
    <w:rsid w:val="00A30B06"/>
    <w:rsid w:val="00B1008E"/>
    <w:rsid w:val="00B20A80"/>
    <w:rsid w:val="00B67B49"/>
    <w:rsid w:val="00B9464A"/>
    <w:rsid w:val="00E26266"/>
    <w:rsid w:val="00E2651C"/>
    <w:rsid w:val="00E4041A"/>
    <w:rsid w:val="00E80C6F"/>
    <w:rsid w:val="00FF3BD1"/>
    <w:rsid w:val="01213B31"/>
    <w:rsid w:val="0168325F"/>
    <w:rsid w:val="01DD1E9F"/>
    <w:rsid w:val="01E505B7"/>
    <w:rsid w:val="022D13AE"/>
    <w:rsid w:val="02C2428A"/>
    <w:rsid w:val="031E451D"/>
    <w:rsid w:val="040C10AA"/>
    <w:rsid w:val="045A1F8C"/>
    <w:rsid w:val="04BF2C00"/>
    <w:rsid w:val="04C11604"/>
    <w:rsid w:val="050D470B"/>
    <w:rsid w:val="0559183C"/>
    <w:rsid w:val="05997019"/>
    <w:rsid w:val="06043E9E"/>
    <w:rsid w:val="06783F44"/>
    <w:rsid w:val="06B4614E"/>
    <w:rsid w:val="06F61A7D"/>
    <w:rsid w:val="06FE6B3F"/>
    <w:rsid w:val="079528D4"/>
    <w:rsid w:val="08234384"/>
    <w:rsid w:val="08EB2BF9"/>
    <w:rsid w:val="09903C9B"/>
    <w:rsid w:val="0A0D0E47"/>
    <w:rsid w:val="0AAB0D8C"/>
    <w:rsid w:val="0AFD710E"/>
    <w:rsid w:val="0B41524D"/>
    <w:rsid w:val="0B4852DE"/>
    <w:rsid w:val="0BC55E7E"/>
    <w:rsid w:val="0C585DED"/>
    <w:rsid w:val="0E0013EF"/>
    <w:rsid w:val="0F9A3F44"/>
    <w:rsid w:val="10572E1C"/>
    <w:rsid w:val="109F0F84"/>
    <w:rsid w:val="10C81F6C"/>
    <w:rsid w:val="110805BA"/>
    <w:rsid w:val="113E7069"/>
    <w:rsid w:val="11A13517"/>
    <w:rsid w:val="129A0019"/>
    <w:rsid w:val="12CC1E0B"/>
    <w:rsid w:val="13143247"/>
    <w:rsid w:val="13AC16D1"/>
    <w:rsid w:val="13AC657F"/>
    <w:rsid w:val="14290F74"/>
    <w:rsid w:val="148B578A"/>
    <w:rsid w:val="159A2703"/>
    <w:rsid w:val="15D942D4"/>
    <w:rsid w:val="16361726"/>
    <w:rsid w:val="16AD19E8"/>
    <w:rsid w:val="16BA4105"/>
    <w:rsid w:val="174B2FAF"/>
    <w:rsid w:val="177A3491"/>
    <w:rsid w:val="17FE41C9"/>
    <w:rsid w:val="185A5BA0"/>
    <w:rsid w:val="1A277D03"/>
    <w:rsid w:val="1A495ECC"/>
    <w:rsid w:val="1A6920CA"/>
    <w:rsid w:val="1BEF5226"/>
    <w:rsid w:val="1C9D24FF"/>
    <w:rsid w:val="1CEE2D5A"/>
    <w:rsid w:val="1EEB1B44"/>
    <w:rsid w:val="1F291E28"/>
    <w:rsid w:val="1F43738D"/>
    <w:rsid w:val="1F4E7D2F"/>
    <w:rsid w:val="1F7A6B27"/>
    <w:rsid w:val="1FC16504"/>
    <w:rsid w:val="1FED554B"/>
    <w:rsid w:val="20551E5C"/>
    <w:rsid w:val="20CA763A"/>
    <w:rsid w:val="20E00C0C"/>
    <w:rsid w:val="214F23A0"/>
    <w:rsid w:val="21921F06"/>
    <w:rsid w:val="21D84826"/>
    <w:rsid w:val="21E74C5C"/>
    <w:rsid w:val="223C6316"/>
    <w:rsid w:val="23166B67"/>
    <w:rsid w:val="234611FA"/>
    <w:rsid w:val="235651B5"/>
    <w:rsid w:val="253B3B2C"/>
    <w:rsid w:val="25FF5C0C"/>
    <w:rsid w:val="26F351DC"/>
    <w:rsid w:val="27C30EBC"/>
    <w:rsid w:val="28D01566"/>
    <w:rsid w:val="29844B8B"/>
    <w:rsid w:val="29E74DB9"/>
    <w:rsid w:val="2B631DC9"/>
    <w:rsid w:val="2B8F5708"/>
    <w:rsid w:val="2C002162"/>
    <w:rsid w:val="2C583D4C"/>
    <w:rsid w:val="2CD535EF"/>
    <w:rsid w:val="2D1A157E"/>
    <w:rsid w:val="2D55028C"/>
    <w:rsid w:val="2EDA313F"/>
    <w:rsid w:val="2EF277A0"/>
    <w:rsid w:val="2F2C0E88"/>
    <w:rsid w:val="2F546A4D"/>
    <w:rsid w:val="2FAE4510"/>
    <w:rsid w:val="2FFB336C"/>
    <w:rsid w:val="308C66BA"/>
    <w:rsid w:val="30F304E8"/>
    <w:rsid w:val="313F18A3"/>
    <w:rsid w:val="318A49A8"/>
    <w:rsid w:val="323D738C"/>
    <w:rsid w:val="32F57709"/>
    <w:rsid w:val="33BA4697"/>
    <w:rsid w:val="33BB11CD"/>
    <w:rsid w:val="33D22636"/>
    <w:rsid w:val="33EF4F96"/>
    <w:rsid w:val="340F388A"/>
    <w:rsid w:val="3422536C"/>
    <w:rsid w:val="34F0158A"/>
    <w:rsid w:val="352275ED"/>
    <w:rsid w:val="35635C3C"/>
    <w:rsid w:val="35D95EFE"/>
    <w:rsid w:val="36B424C7"/>
    <w:rsid w:val="36BB1AA7"/>
    <w:rsid w:val="36C070BE"/>
    <w:rsid w:val="370F53A5"/>
    <w:rsid w:val="379C3687"/>
    <w:rsid w:val="38025135"/>
    <w:rsid w:val="38251228"/>
    <w:rsid w:val="3914724D"/>
    <w:rsid w:val="392B4CC2"/>
    <w:rsid w:val="397D7952"/>
    <w:rsid w:val="3A2C7779"/>
    <w:rsid w:val="3AA20FB4"/>
    <w:rsid w:val="3AB57D98"/>
    <w:rsid w:val="3B07350D"/>
    <w:rsid w:val="3BEE647B"/>
    <w:rsid w:val="3D85696B"/>
    <w:rsid w:val="3DD2013D"/>
    <w:rsid w:val="3DF05D9E"/>
    <w:rsid w:val="3F2B709E"/>
    <w:rsid w:val="3F4F0FDF"/>
    <w:rsid w:val="409749EB"/>
    <w:rsid w:val="40AD0725"/>
    <w:rsid w:val="41370683"/>
    <w:rsid w:val="438D1DAF"/>
    <w:rsid w:val="43D452B4"/>
    <w:rsid w:val="44692B43"/>
    <w:rsid w:val="447D65EE"/>
    <w:rsid w:val="451E392D"/>
    <w:rsid w:val="455C6204"/>
    <w:rsid w:val="4597548E"/>
    <w:rsid w:val="45D264C6"/>
    <w:rsid w:val="46570C8B"/>
    <w:rsid w:val="468E4AE3"/>
    <w:rsid w:val="46C7794D"/>
    <w:rsid w:val="46D47B81"/>
    <w:rsid w:val="474E6020"/>
    <w:rsid w:val="475F3D89"/>
    <w:rsid w:val="48FF3A76"/>
    <w:rsid w:val="4902295D"/>
    <w:rsid w:val="49155047"/>
    <w:rsid w:val="4A431740"/>
    <w:rsid w:val="4A713C30"/>
    <w:rsid w:val="4A722025"/>
    <w:rsid w:val="4AA779F3"/>
    <w:rsid w:val="4B447E66"/>
    <w:rsid w:val="4B9761E7"/>
    <w:rsid w:val="4C7B78B7"/>
    <w:rsid w:val="4D2C295F"/>
    <w:rsid w:val="4D3A1520"/>
    <w:rsid w:val="4D7A7118"/>
    <w:rsid w:val="4E6525CD"/>
    <w:rsid w:val="4F642884"/>
    <w:rsid w:val="4FE85264"/>
    <w:rsid w:val="501871CB"/>
    <w:rsid w:val="50D41344"/>
    <w:rsid w:val="51C23892"/>
    <w:rsid w:val="51EB036E"/>
    <w:rsid w:val="530F0D59"/>
    <w:rsid w:val="541128AF"/>
    <w:rsid w:val="54D062C6"/>
    <w:rsid w:val="54D762D3"/>
    <w:rsid w:val="55E464CD"/>
    <w:rsid w:val="5730129E"/>
    <w:rsid w:val="580469B3"/>
    <w:rsid w:val="580F1057"/>
    <w:rsid w:val="59A93A45"/>
    <w:rsid w:val="5A180741"/>
    <w:rsid w:val="5A2A46CB"/>
    <w:rsid w:val="5B1B0EF7"/>
    <w:rsid w:val="5B2276CC"/>
    <w:rsid w:val="5B503CBD"/>
    <w:rsid w:val="5B597015"/>
    <w:rsid w:val="5BF94355"/>
    <w:rsid w:val="5CF2526E"/>
    <w:rsid w:val="5E702CD8"/>
    <w:rsid w:val="5EE237C6"/>
    <w:rsid w:val="5F1A5C6E"/>
    <w:rsid w:val="602B7A85"/>
    <w:rsid w:val="605B55DE"/>
    <w:rsid w:val="606427F7"/>
    <w:rsid w:val="606C09EB"/>
    <w:rsid w:val="606C77EB"/>
    <w:rsid w:val="6122434D"/>
    <w:rsid w:val="614E6EF1"/>
    <w:rsid w:val="61DB4C28"/>
    <w:rsid w:val="61FD2B34"/>
    <w:rsid w:val="622A170C"/>
    <w:rsid w:val="626A58ED"/>
    <w:rsid w:val="62740BD9"/>
    <w:rsid w:val="630B4EE9"/>
    <w:rsid w:val="634467FD"/>
    <w:rsid w:val="63696264"/>
    <w:rsid w:val="64601415"/>
    <w:rsid w:val="655A5E64"/>
    <w:rsid w:val="6694035A"/>
    <w:rsid w:val="67F83735"/>
    <w:rsid w:val="685A261F"/>
    <w:rsid w:val="695A549A"/>
    <w:rsid w:val="69BA15C7"/>
    <w:rsid w:val="69D65CD5"/>
    <w:rsid w:val="6AD14E1A"/>
    <w:rsid w:val="6B7439F8"/>
    <w:rsid w:val="6C4314DE"/>
    <w:rsid w:val="6D0C2D55"/>
    <w:rsid w:val="6D2D0302"/>
    <w:rsid w:val="6D3E564F"/>
    <w:rsid w:val="6DA85BDA"/>
    <w:rsid w:val="6DE704B1"/>
    <w:rsid w:val="6E0C7F17"/>
    <w:rsid w:val="6E2063D7"/>
    <w:rsid w:val="6E530EF0"/>
    <w:rsid w:val="6E5B2C4D"/>
    <w:rsid w:val="6EC32CCC"/>
    <w:rsid w:val="6EDC5B3C"/>
    <w:rsid w:val="6F1C062E"/>
    <w:rsid w:val="6F3239AE"/>
    <w:rsid w:val="6FDB5DF3"/>
    <w:rsid w:val="70060D21"/>
    <w:rsid w:val="71033854"/>
    <w:rsid w:val="71A843FB"/>
    <w:rsid w:val="71B40FF2"/>
    <w:rsid w:val="71C01745"/>
    <w:rsid w:val="71D957A0"/>
    <w:rsid w:val="72DC25AE"/>
    <w:rsid w:val="72EF7E69"/>
    <w:rsid w:val="731F39FD"/>
    <w:rsid w:val="73217FC1"/>
    <w:rsid w:val="738371B4"/>
    <w:rsid w:val="73880040"/>
    <w:rsid w:val="73CE0E61"/>
    <w:rsid w:val="73F41F8C"/>
    <w:rsid w:val="7496678D"/>
    <w:rsid w:val="74B6715E"/>
    <w:rsid w:val="74FB2A94"/>
    <w:rsid w:val="75BA294F"/>
    <w:rsid w:val="76C2648A"/>
    <w:rsid w:val="7725204A"/>
    <w:rsid w:val="77B04009"/>
    <w:rsid w:val="77FE2850"/>
    <w:rsid w:val="782A5B6A"/>
    <w:rsid w:val="783F0EE9"/>
    <w:rsid w:val="78686692"/>
    <w:rsid w:val="78C7785D"/>
    <w:rsid w:val="796C3DBB"/>
    <w:rsid w:val="7CC114A7"/>
    <w:rsid w:val="7CE56503"/>
    <w:rsid w:val="7D1172F8"/>
    <w:rsid w:val="7DB76E0E"/>
    <w:rsid w:val="7F82454A"/>
    <w:rsid w:val="7F995383"/>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9"/>
    <w:pPr>
      <w:widowControl/>
      <w:suppressAutoHyphens/>
      <w:adjustRightInd w:val="0"/>
      <w:spacing w:before="120" w:after="100" w:afterAutospacing="1" w:line="360" w:lineRule="auto"/>
      <w:ind w:firstLine="567"/>
      <w:jc w:val="center"/>
      <w:outlineLvl w:val="1"/>
    </w:pPr>
    <w:rPr>
      <w:rFonts w:ascii="Arial" w:hAnsi="Arial" w:eastAsia="黑体"/>
      <w:b/>
      <w:bCs/>
      <w:color w:val="FF0000"/>
      <w:kern w:val="28"/>
      <w:sz w:val="30"/>
      <w:szCs w:val="30"/>
    </w:rPr>
  </w:style>
  <w:style w:type="paragraph" w:styleId="3">
    <w:name w:val="heading 3"/>
    <w:basedOn w:val="1"/>
    <w:next w:val="4"/>
    <w:qFormat/>
    <w:uiPriority w:val="99"/>
    <w:pPr>
      <w:keepNext/>
      <w:keepLines/>
      <w:spacing w:before="260" w:after="260" w:line="408" w:lineRule="auto"/>
      <w:outlineLvl w:val="2"/>
    </w:pPr>
    <w:rPr>
      <w:b/>
      <w:bCs/>
      <w:kern w:val="0"/>
      <w:sz w:val="32"/>
      <w:szCs w:val="32"/>
    </w:rPr>
  </w:style>
  <w:style w:type="character" w:default="1" w:styleId="19">
    <w:name w:val="Default Paragraph Font"/>
    <w:autoRedefine/>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widowControl/>
      <w:ind w:firstLine="420" w:firstLineChars="200"/>
      <w:jc w:val="left"/>
    </w:pPr>
    <w:rPr>
      <w:rFonts w:ascii="Times New Roman" w:hAnsi="Times New Roman" w:eastAsia="宋体" w:cs="Times New Roman"/>
      <w:kern w:val="0"/>
      <w:sz w:val="20"/>
      <w:szCs w:val="20"/>
      <w:lang w:eastAsia="en-US"/>
    </w:rPr>
  </w:style>
  <w:style w:type="paragraph" w:styleId="5">
    <w:name w:val="annotation text"/>
    <w:basedOn w:val="1"/>
    <w:semiHidden/>
    <w:unhideWhenUsed/>
    <w:qFormat/>
    <w:uiPriority w:val="99"/>
    <w:pPr>
      <w:jc w:val="left"/>
    </w:pPr>
  </w:style>
  <w:style w:type="paragraph" w:styleId="6">
    <w:name w:val="Body Text"/>
    <w:basedOn w:val="1"/>
    <w:next w:val="1"/>
    <w:qFormat/>
    <w:uiPriority w:val="1"/>
    <w:pPr>
      <w:spacing w:after="120"/>
    </w:pPr>
    <w:rPr>
      <w:rFonts w:ascii="Times New Roman" w:hAnsi="Times New Roman" w:eastAsia="宋体" w:cs="Times New Roman"/>
      <w:szCs w:val="24"/>
    </w:rPr>
  </w:style>
  <w:style w:type="paragraph" w:styleId="7">
    <w:name w:val="Body Text Indent"/>
    <w:basedOn w:val="1"/>
    <w:next w:val="8"/>
    <w:qFormat/>
    <w:uiPriority w:val="0"/>
    <w:pPr>
      <w:widowControl/>
      <w:spacing w:after="120"/>
      <w:ind w:left="420" w:leftChars="200" w:firstLine="360"/>
      <w:jc w:val="left"/>
    </w:pPr>
    <w:rPr>
      <w:rFonts w:ascii="Times New Roman" w:hAnsi="Times New Roman" w:eastAsia="宋体" w:cs="Times New Roman"/>
      <w:kern w:val="0"/>
      <w:sz w:val="22"/>
      <w:szCs w:val="20"/>
      <w:lang w:eastAsia="en-US" w:bidi="en-US"/>
    </w:rPr>
  </w:style>
  <w:style w:type="paragraph" w:styleId="8">
    <w:name w:val="envelope return"/>
    <w:basedOn w:val="1"/>
    <w:semiHidden/>
    <w:qFormat/>
    <w:uiPriority w:val="0"/>
    <w:pPr>
      <w:snapToGrid w:val="0"/>
      <w:spacing w:after="200" w:line="276" w:lineRule="auto"/>
    </w:pPr>
    <w:rPr>
      <w:rFonts w:ascii="Arial" w:hAnsi="Arial" w:cs="Arial"/>
      <w:sz w:val="22"/>
      <w:lang w:eastAsia="en-US" w:bidi="en-US"/>
    </w:rPr>
  </w:style>
  <w:style w:type="paragraph" w:styleId="9">
    <w:name w:val="Balloon Text"/>
    <w:basedOn w:val="1"/>
    <w:link w:val="36"/>
    <w:autoRedefine/>
    <w:semiHidden/>
    <w:unhideWhenUsed/>
    <w:qFormat/>
    <w:uiPriority w:val="99"/>
    <w:rPr>
      <w:sz w:val="18"/>
      <w:szCs w:val="18"/>
    </w:rPr>
  </w:style>
  <w:style w:type="paragraph" w:styleId="10">
    <w:name w:val="footer"/>
    <w:basedOn w:val="1"/>
    <w:link w:val="35"/>
    <w:autoRedefine/>
    <w:unhideWhenUsed/>
    <w:qFormat/>
    <w:uiPriority w:val="99"/>
    <w:pPr>
      <w:tabs>
        <w:tab w:val="center" w:pos="4153"/>
        <w:tab w:val="right" w:pos="8306"/>
      </w:tabs>
      <w:snapToGrid w:val="0"/>
      <w:jc w:val="left"/>
    </w:pPr>
    <w:rPr>
      <w:sz w:val="18"/>
      <w:szCs w:val="18"/>
    </w:rPr>
  </w:style>
  <w:style w:type="paragraph" w:styleId="11">
    <w:name w:val="header"/>
    <w:basedOn w:val="1"/>
    <w:link w:val="3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4">
    <w:name w:val="Normal (Web)"/>
    <w:basedOn w:val="1"/>
    <w:autoRedefine/>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5">
    <w:name w:val="Body Text First Indent"/>
    <w:basedOn w:val="1"/>
    <w:next w:val="16"/>
    <w:qFormat/>
    <w:uiPriority w:val="99"/>
    <w:pPr>
      <w:ind w:firstLine="420" w:firstLineChars="100"/>
    </w:pPr>
  </w:style>
  <w:style w:type="paragraph" w:styleId="16">
    <w:name w:val="Body Text First Indent 2"/>
    <w:basedOn w:val="1"/>
    <w:next w:val="1"/>
    <w:qFormat/>
    <w:uiPriority w:val="0"/>
    <w:pPr>
      <w:spacing w:before="100" w:beforeAutospacing="1" w:line="360" w:lineRule="auto"/>
      <w:ind w:firstLine="420"/>
    </w:pPr>
    <w:rPr>
      <w:rFonts w:eastAsia="Arial Unicode MS"/>
      <w:color w:val="000000"/>
      <w:sz w:val="20"/>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bCs/>
    </w:rPr>
  </w:style>
  <w:style w:type="character" w:styleId="21">
    <w:name w:val="FollowedHyperlink"/>
    <w:basedOn w:val="19"/>
    <w:autoRedefine/>
    <w:semiHidden/>
    <w:unhideWhenUsed/>
    <w:qFormat/>
    <w:uiPriority w:val="99"/>
    <w:rPr>
      <w:color w:val="800080"/>
      <w:u w:val="none"/>
    </w:rPr>
  </w:style>
  <w:style w:type="character" w:styleId="22">
    <w:name w:val="Emphasis"/>
    <w:basedOn w:val="19"/>
    <w:autoRedefine/>
    <w:qFormat/>
    <w:uiPriority w:val="20"/>
    <w:rPr>
      <w:b/>
      <w:bCs/>
    </w:rPr>
  </w:style>
  <w:style w:type="character" w:styleId="23">
    <w:name w:val="HTML Definition"/>
    <w:basedOn w:val="19"/>
    <w:autoRedefine/>
    <w:semiHidden/>
    <w:unhideWhenUsed/>
    <w:qFormat/>
    <w:uiPriority w:val="99"/>
  </w:style>
  <w:style w:type="character" w:styleId="24">
    <w:name w:val="HTML Typewriter"/>
    <w:basedOn w:val="19"/>
    <w:autoRedefine/>
    <w:semiHidden/>
    <w:unhideWhenUsed/>
    <w:qFormat/>
    <w:uiPriority w:val="99"/>
    <w:rPr>
      <w:rFonts w:hint="default" w:ascii="monospace" w:hAnsi="monospace" w:eastAsia="monospace" w:cs="monospace"/>
      <w:sz w:val="20"/>
    </w:rPr>
  </w:style>
  <w:style w:type="character" w:styleId="25">
    <w:name w:val="HTML Acronym"/>
    <w:basedOn w:val="19"/>
    <w:autoRedefine/>
    <w:semiHidden/>
    <w:unhideWhenUsed/>
    <w:qFormat/>
    <w:uiPriority w:val="99"/>
  </w:style>
  <w:style w:type="character" w:styleId="26">
    <w:name w:val="HTML Variable"/>
    <w:basedOn w:val="19"/>
    <w:autoRedefine/>
    <w:semiHidden/>
    <w:unhideWhenUsed/>
    <w:qFormat/>
    <w:uiPriority w:val="99"/>
  </w:style>
  <w:style w:type="character" w:styleId="27">
    <w:name w:val="Hyperlink"/>
    <w:basedOn w:val="19"/>
    <w:autoRedefine/>
    <w:semiHidden/>
    <w:unhideWhenUsed/>
    <w:qFormat/>
    <w:uiPriority w:val="99"/>
    <w:rPr>
      <w:color w:val="0000FF"/>
      <w:u w:val="none"/>
    </w:rPr>
  </w:style>
  <w:style w:type="character" w:styleId="28">
    <w:name w:val="HTML Code"/>
    <w:basedOn w:val="19"/>
    <w:autoRedefine/>
    <w:semiHidden/>
    <w:unhideWhenUsed/>
    <w:qFormat/>
    <w:uiPriority w:val="99"/>
    <w:rPr>
      <w:rFonts w:ascii="monospace" w:hAnsi="monospace" w:eastAsia="monospace" w:cs="monospace"/>
      <w:sz w:val="20"/>
    </w:rPr>
  </w:style>
  <w:style w:type="character" w:styleId="29">
    <w:name w:val="HTML Cite"/>
    <w:basedOn w:val="19"/>
    <w:autoRedefine/>
    <w:semiHidden/>
    <w:unhideWhenUsed/>
    <w:qFormat/>
    <w:uiPriority w:val="99"/>
  </w:style>
  <w:style w:type="character" w:styleId="30">
    <w:name w:val="HTML Keyboard"/>
    <w:basedOn w:val="19"/>
    <w:autoRedefine/>
    <w:semiHidden/>
    <w:unhideWhenUsed/>
    <w:qFormat/>
    <w:uiPriority w:val="99"/>
    <w:rPr>
      <w:rFonts w:hint="default" w:ascii="monospace" w:hAnsi="monospace" w:eastAsia="monospace" w:cs="monospace"/>
      <w:sz w:val="20"/>
    </w:rPr>
  </w:style>
  <w:style w:type="character" w:styleId="31">
    <w:name w:val="HTML Sample"/>
    <w:basedOn w:val="19"/>
    <w:autoRedefine/>
    <w:semiHidden/>
    <w:unhideWhenUsed/>
    <w:qFormat/>
    <w:uiPriority w:val="99"/>
    <w:rPr>
      <w:rFonts w:hint="default" w:ascii="monospace" w:hAnsi="monospace" w:eastAsia="monospace" w:cs="monospace"/>
    </w:rPr>
  </w:style>
  <w:style w:type="paragraph" w:customStyle="1" w:styleId="32">
    <w:name w:val="Default"/>
    <w:next w:val="33"/>
    <w:autoRedefine/>
    <w:qFormat/>
    <w:uiPriority w:val="99"/>
    <w:pPr>
      <w:widowControl w:val="0"/>
      <w:autoSpaceDE w:val="0"/>
      <w:autoSpaceDN w:val="0"/>
      <w:adjustRightInd w:val="0"/>
    </w:pPr>
    <w:rPr>
      <w:rFonts w:ascii="黑体" w:hAnsi="Times New Roman" w:eastAsia="黑体" w:cs="Times New Roman"/>
      <w:color w:val="000000"/>
      <w:kern w:val="2"/>
      <w:sz w:val="24"/>
      <w:szCs w:val="24"/>
      <w:lang w:val="en-US" w:eastAsia="zh-CN" w:bidi="ar-SA"/>
    </w:rPr>
  </w:style>
  <w:style w:type="paragraph" w:customStyle="1" w:styleId="33">
    <w:name w:val="大标题"/>
    <w:basedOn w:val="1"/>
    <w:next w:val="16"/>
    <w:autoRedefine/>
    <w:qFormat/>
    <w:uiPriority w:val="0"/>
    <w:pPr>
      <w:pageBreakBefore/>
      <w:spacing w:after="200" w:line="720" w:lineRule="auto"/>
      <w:jc w:val="center"/>
      <w:outlineLvl w:val="0"/>
    </w:pPr>
    <w:rPr>
      <w:rFonts w:ascii="黑体" w:hAnsi="Calibri" w:eastAsia="黑体"/>
      <w:sz w:val="32"/>
      <w:szCs w:val="30"/>
      <w:lang w:eastAsia="en-US" w:bidi="en-US"/>
    </w:rPr>
  </w:style>
  <w:style w:type="character" w:customStyle="1" w:styleId="34">
    <w:name w:val="页眉 Char"/>
    <w:basedOn w:val="19"/>
    <w:link w:val="11"/>
    <w:autoRedefine/>
    <w:qFormat/>
    <w:uiPriority w:val="99"/>
    <w:rPr>
      <w:sz w:val="18"/>
      <w:szCs w:val="18"/>
    </w:rPr>
  </w:style>
  <w:style w:type="character" w:customStyle="1" w:styleId="35">
    <w:name w:val="页脚 Char"/>
    <w:basedOn w:val="19"/>
    <w:link w:val="10"/>
    <w:autoRedefine/>
    <w:qFormat/>
    <w:uiPriority w:val="99"/>
    <w:rPr>
      <w:sz w:val="18"/>
      <w:szCs w:val="18"/>
    </w:rPr>
  </w:style>
  <w:style w:type="character" w:customStyle="1" w:styleId="36">
    <w:name w:val="批注框文本 Char"/>
    <w:basedOn w:val="19"/>
    <w:link w:val="9"/>
    <w:autoRedefine/>
    <w:semiHidden/>
    <w:qFormat/>
    <w:uiPriority w:val="99"/>
    <w:rPr>
      <w:sz w:val="18"/>
      <w:szCs w:val="18"/>
    </w:rPr>
  </w:style>
  <w:style w:type="paragraph" w:styleId="37">
    <w:name w:val="List Paragraph"/>
    <w:basedOn w:val="1"/>
    <w:autoRedefine/>
    <w:qFormat/>
    <w:uiPriority w:val="34"/>
    <w:pPr>
      <w:ind w:firstLine="420" w:firstLineChars="200"/>
    </w:pPr>
  </w:style>
  <w:style w:type="character" w:customStyle="1" w:styleId="38">
    <w:name w:val="first-child"/>
    <w:basedOn w:val="19"/>
    <w:autoRedefine/>
    <w:qFormat/>
    <w:uiPriority w:val="0"/>
  </w:style>
  <w:style w:type="character" w:customStyle="1" w:styleId="39">
    <w:name w:val="layui-layer-tabnow"/>
    <w:basedOn w:val="19"/>
    <w:autoRedefine/>
    <w:qFormat/>
    <w:uiPriority w:val="0"/>
    <w:rPr>
      <w:bdr w:val="single" w:color="CCCCCC" w:sz="6" w:space="0"/>
      <w:shd w:val="clear" w:fill="FFFFFF"/>
    </w:rPr>
  </w:style>
  <w:style w:type="character" w:customStyle="1" w:styleId="40">
    <w:name w:val="hover1"/>
    <w:basedOn w:val="19"/>
    <w:autoRedefine/>
    <w:qFormat/>
    <w:uiPriority w:val="0"/>
    <w:rPr>
      <w:color w:val="2590EB"/>
    </w:rPr>
  </w:style>
  <w:style w:type="character" w:customStyle="1" w:styleId="41">
    <w:name w:val="hover2"/>
    <w:basedOn w:val="19"/>
    <w:autoRedefine/>
    <w:qFormat/>
    <w:uiPriority w:val="0"/>
    <w:rPr>
      <w:color w:val="2590EB"/>
    </w:rPr>
  </w:style>
  <w:style w:type="character" w:customStyle="1" w:styleId="42">
    <w:name w:val="hover3"/>
    <w:basedOn w:val="19"/>
    <w:autoRedefine/>
    <w:qFormat/>
    <w:uiPriority w:val="0"/>
  </w:style>
  <w:style w:type="character" w:customStyle="1" w:styleId="43">
    <w:name w:val="mini-outputtext1"/>
    <w:basedOn w:val="19"/>
    <w:autoRedefine/>
    <w:qFormat/>
    <w:uiPriority w:val="0"/>
  </w:style>
  <w:style w:type="paragraph" w:customStyle="1" w:styleId="44">
    <w:name w:val="样式 标题 3 + (中文) 黑体 小四 非加粗 段前: 7.8 磅 段后: 0 磅 行距: 固定值 20 磅"/>
    <w:basedOn w:val="3"/>
    <w:autoRedefine/>
    <w:qFormat/>
    <w:uiPriority w:val="0"/>
    <w:pPr>
      <w:spacing w:before="0" w:after="0" w:line="400" w:lineRule="exact"/>
    </w:pPr>
    <w:rPr>
      <w:rFonts w:eastAsia="黑体" w:cs="宋体"/>
      <w:b w:val="0"/>
      <w:color w:val="000000"/>
      <w:kern w:val="1"/>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19925</Words>
  <Characters>21899</Characters>
  <Lines>185</Lines>
  <Paragraphs>52</Paragraphs>
  <TotalTime>1</TotalTime>
  <ScaleCrop>false</ScaleCrop>
  <LinksUpToDate>false</LinksUpToDate>
  <CharactersWithSpaces>22866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2023-06-19T02:13:00Z</dcterms:created>
  <dc:creator>深圳市合创建设工程顾问有限公司:信安深圳市合创建设工程顾问有限公司</dc:creator>
  <cp:lastModifiedBy>Administrator</cp:lastModifiedBy>
  <cp:lastPrinted>2025-10-16T06:02:00Z</cp:lastPrinted>
  <dcterms:modified xsi:type="dcterms:W3CDTF">2025-12-25T07:16:32Z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E2B1B5F6A4164E1EB0B03ED79EAAAD0F_13</vt:lpwstr>
  </property>
  <property fmtid="{D5CDD505-2E9C-101B-9397-08002B2CF9AE}" pid="4" name="KSOTemplateDocerSaveRecord">
    <vt:lpwstr>eyJoZGlkIjoiNGRkODdhMTM3OGE5OTI5ODU3OGZkZjAxMGViZmU5MGEiLCJ1c2VySWQiOiI0NDAxNTk4NzUifQ==</vt:lpwstr>
  </property>
</Properties>
</file>