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63C96">
      <w:pPr>
        <w:spacing w:line="276" w:lineRule="auto"/>
        <w:ind w:right="-340" w:rightChars="-162"/>
        <w:jc w:val="center"/>
        <w:rPr>
          <w:rFonts w:hint="eastAsia" w:ascii="宋体" w:hAnsi="宋体"/>
          <w:b/>
          <w:bCs/>
          <w:color w:val="auto"/>
          <w:sz w:val="48"/>
          <w:szCs w:val="48"/>
          <w:lang w:val="en-US" w:eastAsia="zh-CN"/>
        </w:rPr>
      </w:pPr>
    </w:p>
    <w:p w14:paraId="2908704E">
      <w:pPr>
        <w:spacing w:line="276" w:lineRule="auto"/>
        <w:ind w:right="-340" w:rightChars="-162"/>
        <w:jc w:val="center"/>
        <w:rPr>
          <w:rFonts w:hint="default" w:ascii="宋体" w:hAnsi="宋体" w:eastAsia="宋体"/>
          <w:b/>
          <w:bCs/>
          <w:color w:val="auto"/>
          <w:sz w:val="52"/>
          <w:szCs w:val="52"/>
          <w:lang w:val="en-US" w:eastAsia="zh-CN"/>
        </w:rPr>
      </w:pPr>
      <w:r>
        <w:rPr>
          <w:rFonts w:hint="eastAsia" w:ascii="宋体" w:hAnsi="宋体"/>
          <w:b/>
          <w:bCs/>
          <w:color w:val="auto"/>
          <w:sz w:val="48"/>
          <w:szCs w:val="48"/>
          <w:lang w:val="en-US" w:eastAsia="zh-CN"/>
        </w:rPr>
        <w:t>河南省“一轴一廊”交通基础设施数字化转型升级示范通道及网</w:t>
      </w:r>
      <w:bookmarkStart w:id="193" w:name="_GoBack"/>
      <w:bookmarkEnd w:id="193"/>
      <w:r>
        <w:rPr>
          <w:rFonts w:hint="eastAsia" w:ascii="宋体" w:hAnsi="宋体"/>
          <w:b/>
          <w:bCs/>
          <w:color w:val="auto"/>
          <w:sz w:val="48"/>
          <w:szCs w:val="48"/>
          <w:lang w:val="en-US" w:eastAsia="zh-CN"/>
        </w:rPr>
        <w:t>络项目（三门峡市普通公路）监理</w:t>
      </w:r>
    </w:p>
    <w:p w14:paraId="30EB012B">
      <w:pPr>
        <w:pStyle w:val="7"/>
        <w:ind w:left="0" w:leftChars="0" w:right="-340" w:rightChars="-162"/>
        <w:jc w:val="both"/>
        <w:rPr>
          <w:rFonts w:hint="eastAsia" w:ascii="宋体" w:hAnsi="宋体" w:cs="宋体"/>
          <w:b/>
          <w:color w:val="auto"/>
          <w:sz w:val="28"/>
          <w:szCs w:val="28"/>
        </w:rPr>
      </w:pPr>
    </w:p>
    <w:p w14:paraId="67EF4F21">
      <w:pPr>
        <w:rPr>
          <w:rFonts w:hint="eastAsia" w:ascii="宋体" w:hAnsi="宋体" w:cs="宋体"/>
          <w:b/>
          <w:color w:val="auto"/>
          <w:sz w:val="48"/>
          <w:szCs w:val="48"/>
        </w:rPr>
      </w:pPr>
    </w:p>
    <w:p w14:paraId="0A060AED">
      <w:pPr>
        <w:pStyle w:val="7"/>
        <w:rPr>
          <w:rFonts w:hint="eastAsia" w:ascii="宋体" w:hAnsi="宋体" w:cs="宋体"/>
          <w:b/>
          <w:color w:val="auto"/>
          <w:sz w:val="48"/>
          <w:szCs w:val="48"/>
        </w:rPr>
      </w:pPr>
    </w:p>
    <w:p w14:paraId="4A805A83">
      <w:pPr>
        <w:pStyle w:val="7"/>
        <w:rPr>
          <w:rFonts w:hint="eastAsia" w:ascii="宋体" w:hAnsi="宋体" w:cs="宋体"/>
          <w:b/>
          <w:color w:val="auto"/>
          <w:sz w:val="48"/>
          <w:szCs w:val="48"/>
        </w:rPr>
      </w:pPr>
    </w:p>
    <w:p w14:paraId="58864159">
      <w:pPr>
        <w:pStyle w:val="7"/>
        <w:rPr>
          <w:rFonts w:hint="eastAsia" w:ascii="宋体" w:hAnsi="宋体" w:cs="宋体"/>
          <w:b/>
          <w:color w:val="auto"/>
          <w:sz w:val="48"/>
          <w:szCs w:val="48"/>
        </w:rPr>
      </w:pPr>
    </w:p>
    <w:p w14:paraId="64C49B31">
      <w:pPr>
        <w:spacing w:line="360" w:lineRule="auto"/>
        <w:ind w:right="-340" w:rightChars="-162"/>
        <w:jc w:val="center"/>
        <w:rPr>
          <w:rFonts w:hint="eastAsia" w:ascii="宋体" w:hAnsi="宋体" w:cs="宋体"/>
          <w:b/>
          <w:color w:val="auto"/>
          <w:sz w:val="84"/>
          <w:szCs w:val="84"/>
        </w:rPr>
      </w:pPr>
      <w:r>
        <w:rPr>
          <w:rFonts w:hint="eastAsia" w:ascii="宋体" w:hAnsi="宋体" w:cs="宋体"/>
          <w:b/>
          <w:color w:val="auto"/>
          <w:sz w:val="84"/>
          <w:szCs w:val="84"/>
        </w:rPr>
        <w:t>竞争性磋商文件</w:t>
      </w:r>
    </w:p>
    <w:p w14:paraId="6AD7402B">
      <w:pPr>
        <w:pStyle w:val="38"/>
        <w:jc w:val="center"/>
        <w:rPr>
          <w:rFonts w:hint="eastAsia" w:hAnsi="宋体"/>
          <w:b/>
          <w:bCs/>
          <w:color w:val="auto"/>
          <w:sz w:val="32"/>
          <w:szCs w:val="32"/>
        </w:rPr>
      </w:pPr>
    </w:p>
    <w:p w14:paraId="2385B867">
      <w:pPr>
        <w:pStyle w:val="38"/>
        <w:ind w:right="-340" w:rightChars="-162"/>
        <w:jc w:val="center"/>
        <w:rPr>
          <w:rFonts w:hint="eastAsia" w:ascii="宋体" w:hAnsi="宋体" w:cs="宋体"/>
          <w:b/>
          <w:bCs/>
          <w:color w:val="auto"/>
          <w:sz w:val="30"/>
          <w:szCs w:val="30"/>
        </w:rPr>
      </w:pPr>
    </w:p>
    <w:p w14:paraId="4F0BB27C">
      <w:pPr>
        <w:spacing w:line="360" w:lineRule="auto"/>
        <w:ind w:right="-340" w:rightChars="-162"/>
        <w:jc w:val="center"/>
        <w:rPr>
          <w:rFonts w:hint="eastAsia" w:ascii="宋体" w:hAnsi="宋体" w:eastAsia="宋体" w:cs="宋体"/>
          <w:b/>
          <w:bCs/>
          <w:color w:val="auto"/>
          <w:sz w:val="30"/>
          <w:szCs w:val="30"/>
          <w:lang w:val="en-US" w:eastAsia="zh-CN"/>
        </w:rPr>
      </w:pPr>
      <w:r>
        <w:rPr>
          <w:rFonts w:hint="eastAsia" w:ascii="宋体" w:hAnsi="宋体" w:cs="宋体"/>
          <w:b/>
          <w:bCs/>
          <w:color w:val="auto"/>
          <w:sz w:val="30"/>
          <w:szCs w:val="30"/>
          <w:lang w:val="en-US" w:eastAsia="zh-CN"/>
        </w:rPr>
        <w:t xml:space="preserve">  </w:t>
      </w:r>
    </w:p>
    <w:p w14:paraId="6DC99C25">
      <w:pPr>
        <w:pStyle w:val="38"/>
        <w:jc w:val="center"/>
        <w:rPr>
          <w:rFonts w:hint="eastAsia" w:hAnsi="宋体"/>
          <w:b/>
          <w:bCs/>
          <w:color w:val="auto"/>
          <w:sz w:val="32"/>
          <w:szCs w:val="32"/>
        </w:rPr>
      </w:pPr>
    </w:p>
    <w:p w14:paraId="0E94DDAE">
      <w:pPr>
        <w:pStyle w:val="38"/>
        <w:jc w:val="center"/>
        <w:rPr>
          <w:rFonts w:hint="eastAsia" w:hAnsi="宋体"/>
          <w:b/>
          <w:bCs/>
          <w:color w:val="auto"/>
          <w:sz w:val="32"/>
          <w:szCs w:val="32"/>
        </w:rPr>
      </w:pPr>
    </w:p>
    <w:p w14:paraId="134D0782">
      <w:pPr>
        <w:pStyle w:val="38"/>
        <w:jc w:val="center"/>
        <w:rPr>
          <w:rFonts w:hint="eastAsia" w:hAnsi="宋体"/>
          <w:b/>
          <w:bCs/>
          <w:color w:val="auto"/>
          <w:sz w:val="32"/>
          <w:szCs w:val="32"/>
        </w:rPr>
      </w:pPr>
    </w:p>
    <w:p w14:paraId="79AD9C8B">
      <w:pPr>
        <w:pStyle w:val="38"/>
        <w:jc w:val="center"/>
        <w:rPr>
          <w:rFonts w:hint="eastAsia" w:hAnsi="宋体"/>
          <w:b/>
          <w:bCs/>
          <w:color w:val="auto"/>
          <w:sz w:val="32"/>
          <w:szCs w:val="32"/>
        </w:rPr>
      </w:pPr>
    </w:p>
    <w:p w14:paraId="495C831F">
      <w:pPr>
        <w:pStyle w:val="38"/>
        <w:jc w:val="center"/>
        <w:rPr>
          <w:rFonts w:hint="eastAsia" w:hAnsi="宋体"/>
          <w:b/>
          <w:bCs/>
          <w:color w:val="auto"/>
          <w:sz w:val="32"/>
          <w:szCs w:val="32"/>
        </w:rPr>
      </w:pPr>
    </w:p>
    <w:p w14:paraId="222F4E11">
      <w:pPr>
        <w:spacing w:line="360" w:lineRule="auto"/>
        <w:ind w:firstLine="1461" w:firstLineChars="485"/>
        <w:rPr>
          <w:rFonts w:hint="eastAsia"/>
          <w:b/>
          <w:bCs/>
          <w:color w:val="auto"/>
          <w:sz w:val="30"/>
          <w:szCs w:val="30"/>
          <w:lang w:val="en-US" w:eastAsia="zh-CN"/>
        </w:rPr>
      </w:pPr>
      <w:r>
        <w:rPr>
          <w:rFonts w:hint="eastAsia"/>
          <w:b/>
          <w:bCs/>
          <w:color w:val="auto"/>
          <w:sz w:val="30"/>
          <w:szCs w:val="30"/>
        </w:rPr>
        <w:t>采 购 人：</w:t>
      </w:r>
      <w:r>
        <w:rPr>
          <w:rFonts w:hint="eastAsia"/>
          <w:b/>
          <w:bCs/>
          <w:color w:val="auto"/>
          <w:sz w:val="30"/>
          <w:szCs w:val="30"/>
          <w:lang w:val="en-US" w:eastAsia="zh-CN"/>
        </w:rPr>
        <w:t>三门峡市公路事业发展中心</w:t>
      </w:r>
    </w:p>
    <w:p w14:paraId="0512AD96">
      <w:pPr>
        <w:spacing w:line="360" w:lineRule="auto"/>
        <w:ind w:firstLine="1461" w:firstLineChars="485"/>
        <w:rPr>
          <w:rFonts w:hint="eastAsia"/>
          <w:b/>
          <w:bCs/>
          <w:color w:val="auto"/>
          <w:sz w:val="30"/>
          <w:szCs w:val="30"/>
          <w:lang w:val="en-US" w:eastAsia="zh-CN"/>
        </w:rPr>
      </w:pPr>
      <w:r>
        <w:rPr>
          <w:rFonts w:hint="eastAsia"/>
          <w:b/>
          <w:bCs/>
          <w:color w:val="auto"/>
          <w:sz w:val="30"/>
          <w:szCs w:val="30"/>
        </w:rPr>
        <w:t>代理机构：</w:t>
      </w:r>
      <w:r>
        <w:rPr>
          <w:rFonts w:hint="eastAsia"/>
          <w:b/>
          <w:bCs/>
          <w:color w:val="auto"/>
          <w:sz w:val="30"/>
          <w:szCs w:val="30"/>
          <w:lang w:val="en-US" w:eastAsia="zh-CN"/>
        </w:rPr>
        <w:t>中发祥和工程管理有限公司</w:t>
      </w:r>
    </w:p>
    <w:p w14:paraId="4F7CAEB2">
      <w:pPr>
        <w:spacing w:line="360" w:lineRule="auto"/>
        <w:ind w:firstLine="1461" w:firstLineChars="485"/>
        <w:rPr>
          <w:rFonts w:hint="eastAsia"/>
          <w:b/>
          <w:bCs/>
          <w:color w:val="auto"/>
          <w:sz w:val="30"/>
          <w:szCs w:val="30"/>
        </w:rPr>
      </w:pPr>
      <w:r>
        <w:rPr>
          <w:rFonts w:hint="eastAsia"/>
          <w:b/>
          <w:bCs/>
          <w:color w:val="auto"/>
          <w:sz w:val="30"/>
          <w:szCs w:val="30"/>
        </w:rPr>
        <w:t>日    期：二零二</w:t>
      </w:r>
      <w:r>
        <w:rPr>
          <w:rFonts w:hint="eastAsia"/>
          <w:b/>
          <w:bCs/>
          <w:color w:val="auto"/>
          <w:sz w:val="30"/>
          <w:szCs w:val="30"/>
          <w:lang w:val="en-US" w:eastAsia="zh-CN"/>
        </w:rPr>
        <w:t>六</w:t>
      </w:r>
      <w:r>
        <w:rPr>
          <w:rFonts w:hint="eastAsia"/>
          <w:b/>
          <w:bCs/>
          <w:color w:val="auto"/>
          <w:sz w:val="30"/>
          <w:szCs w:val="30"/>
        </w:rPr>
        <w:t>年</w:t>
      </w:r>
      <w:r>
        <w:rPr>
          <w:rFonts w:hint="eastAsia"/>
          <w:b/>
          <w:bCs/>
          <w:color w:val="auto"/>
          <w:sz w:val="30"/>
          <w:szCs w:val="30"/>
          <w:lang w:val="en-US" w:eastAsia="zh-CN"/>
        </w:rPr>
        <w:t>一</w:t>
      </w:r>
      <w:r>
        <w:rPr>
          <w:rFonts w:hint="eastAsia"/>
          <w:b/>
          <w:bCs/>
          <w:color w:val="auto"/>
          <w:sz w:val="30"/>
          <w:szCs w:val="30"/>
        </w:rPr>
        <w:t>月</w:t>
      </w:r>
    </w:p>
    <w:p w14:paraId="6B369388">
      <w:pPr>
        <w:spacing w:line="0" w:lineRule="atLeast"/>
        <w:ind w:right="-340" w:rightChars="-162"/>
        <w:jc w:val="center"/>
        <w:rPr>
          <w:rFonts w:ascii="宋体" w:hAnsi="宋体"/>
          <w:b/>
          <w:bCs/>
          <w:color w:val="auto"/>
          <w:sz w:val="44"/>
          <w:szCs w:val="44"/>
        </w:rPr>
        <w:sectPr>
          <w:headerReference r:id="rId4" w:type="default"/>
          <w:footerReference r:id="rId5" w:type="default"/>
          <w:pgSz w:w="11900" w:h="16840"/>
          <w:pgMar w:top="1304" w:right="1361" w:bottom="1304" w:left="1361" w:header="0" w:footer="840" w:gutter="0"/>
          <w:pgNumType w:fmt="decimal"/>
          <w:cols w:space="720" w:num="1"/>
          <w:docGrid w:linePitch="360" w:charSpace="0"/>
        </w:sectPr>
      </w:pPr>
    </w:p>
    <w:sdt>
      <w:sdtPr>
        <w:rPr>
          <w:rFonts w:ascii="宋体" w:hAnsi="宋体" w:eastAsia="宋体" w:cs="Times New Roman"/>
          <w:color w:val="auto"/>
          <w:kern w:val="2"/>
          <w:sz w:val="36"/>
          <w:szCs w:val="32"/>
          <w:lang w:val="en-US" w:eastAsia="zh-CN" w:bidi="ar-SA"/>
        </w:rPr>
        <w:id w:val="147475260"/>
        <w15:color w:val="DBDBDB"/>
        <w:docPartObj>
          <w:docPartGallery w:val="Table of Contents"/>
          <w:docPartUnique/>
        </w:docPartObj>
      </w:sdtPr>
      <w:sdtEndPr>
        <w:rPr>
          <w:rFonts w:ascii="宋体" w:hAnsi="宋体" w:eastAsia="宋体" w:cs="Times New Roman"/>
          <w:color w:val="auto"/>
          <w:kern w:val="2"/>
          <w:sz w:val="32"/>
          <w:szCs w:val="28"/>
          <w:lang w:val="en-US" w:eastAsia="zh-CN" w:bidi="ar-SA"/>
        </w:rPr>
      </w:sdtEndPr>
      <w:sdtContent>
        <w:p w14:paraId="55CD243C">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color w:val="auto"/>
              <w:sz w:val="36"/>
              <w:szCs w:val="32"/>
            </w:rPr>
          </w:pPr>
          <w:r>
            <w:rPr>
              <w:rFonts w:ascii="宋体" w:hAnsi="宋体" w:eastAsia="宋体"/>
              <w:color w:val="auto"/>
              <w:sz w:val="36"/>
              <w:szCs w:val="32"/>
            </w:rPr>
            <w:t>目录</w:t>
          </w:r>
        </w:p>
        <w:p w14:paraId="163F6DB4">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sz w:val="32"/>
              <w:szCs w:val="40"/>
            </w:rPr>
          </w:pPr>
          <w:r>
            <w:rPr>
              <w:rFonts w:ascii="宋体" w:hAnsi="宋体"/>
              <w:color w:val="auto"/>
              <w:sz w:val="40"/>
              <w:szCs w:val="40"/>
            </w:rPr>
            <w:fldChar w:fldCharType="begin"/>
          </w:r>
          <w:r>
            <w:rPr>
              <w:rFonts w:ascii="宋体" w:hAnsi="宋体"/>
              <w:color w:val="auto"/>
              <w:sz w:val="40"/>
              <w:szCs w:val="40"/>
            </w:rPr>
            <w:instrText xml:space="preserve">TOC \o "1-1" \h \u </w:instrText>
          </w:r>
          <w:r>
            <w:rPr>
              <w:rFonts w:ascii="宋体" w:hAnsi="宋体"/>
              <w:color w:val="auto"/>
              <w:sz w:val="40"/>
              <w:szCs w:val="40"/>
            </w:rPr>
            <w:fldChar w:fldCharType="separate"/>
          </w:r>
          <w:r>
            <w:rPr>
              <w:rFonts w:ascii="宋体" w:hAnsi="宋体"/>
              <w:color w:val="auto"/>
              <w:sz w:val="32"/>
              <w:szCs w:val="56"/>
            </w:rPr>
            <w:fldChar w:fldCharType="begin"/>
          </w:r>
          <w:r>
            <w:rPr>
              <w:rFonts w:ascii="宋体" w:hAnsi="宋体"/>
              <w:color w:val="auto"/>
              <w:sz w:val="32"/>
              <w:szCs w:val="56"/>
            </w:rPr>
            <w:instrText xml:space="preserve"> HYPERLINK \l _Toc20994 </w:instrText>
          </w:r>
          <w:r>
            <w:rPr>
              <w:rFonts w:ascii="宋体" w:hAnsi="宋体"/>
              <w:color w:val="auto"/>
              <w:sz w:val="32"/>
              <w:szCs w:val="56"/>
            </w:rPr>
            <w:fldChar w:fldCharType="separate"/>
          </w:r>
          <w:r>
            <w:rPr>
              <w:rFonts w:hint="eastAsia"/>
              <w:color w:val="auto"/>
              <w:sz w:val="32"/>
              <w:szCs w:val="36"/>
            </w:rPr>
            <w:t>第一章 竞争性磋商公告</w:t>
          </w:r>
          <w:r>
            <w:rPr>
              <w:color w:val="auto"/>
              <w:sz w:val="32"/>
              <w:szCs w:val="40"/>
            </w:rPr>
            <w:tab/>
          </w:r>
          <w:r>
            <w:rPr>
              <w:color w:val="auto"/>
              <w:sz w:val="32"/>
              <w:szCs w:val="40"/>
            </w:rPr>
            <w:fldChar w:fldCharType="begin"/>
          </w:r>
          <w:r>
            <w:rPr>
              <w:color w:val="auto"/>
              <w:sz w:val="32"/>
              <w:szCs w:val="40"/>
            </w:rPr>
            <w:instrText xml:space="preserve"> PAGEREF _Toc20994 \h </w:instrText>
          </w:r>
          <w:r>
            <w:rPr>
              <w:color w:val="auto"/>
              <w:sz w:val="32"/>
              <w:szCs w:val="40"/>
            </w:rPr>
            <w:fldChar w:fldCharType="separate"/>
          </w:r>
          <w:r>
            <w:rPr>
              <w:color w:val="auto"/>
              <w:sz w:val="32"/>
              <w:szCs w:val="40"/>
            </w:rPr>
            <w:t>1</w:t>
          </w:r>
          <w:r>
            <w:rPr>
              <w:color w:val="auto"/>
              <w:sz w:val="32"/>
              <w:szCs w:val="40"/>
            </w:rPr>
            <w:fldChar w:fldCharType="end"/>
          </w:r>
          <w:r>
            <w:rPr>
              <w:rFonts w:ascii="宋体" w:hAnsi="宋体"/>
              <w:color w:val="auto"/>
              <w:sz w:val="32"/>
              <w:szCs w:val="56"/>
            </w:rPr>
            <w:fldChar w:fldCharType="end"/>
          </w:r>
        </w:p>
        <w:p w14:paraId="551350BE">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sz w:val="32"/>
              <w:szCs w:val="40"/>
            </w:rPr>
          </w:pPr>
          <w:r>
            <w:rPr>
              <w:rFonts w:ascii="宋体" w:hAnsi="宋体"/>
              <w:color w:val="auto"/>
              <w:sz w:val="32"/>
              <w:szCs w:val="44"/>
            </w:rPr>
            <w:fldChar w:fldCharType="begin"/>
          </w:r>
          <w:r>
            <w:rPr>
              <w:rFonts w:ascii="宋体" w:hAnsi="宋体"/>
              <w:color w:val="auto"/>
              <w:sz w:val="32"/>
              <w:szCs w:val="44"/>
            </w:rPr>
            <w:instrText xml:space="preserve"> HYPERLINK \l _Toc378 </w:instrText>
          </w:r>
          <w:r>
            <w:rPr>
              <w:rFonts w:ascii="宋体" w:hAnsi="宋体"/>
              <w:color w:val="auto"/>
              <w:sz w:val="32"/>
              <w:szCs w:val="44"/>
            </w:rPr>
            <w:fldChar w:fldCharType="separate"/>
          </w:r>
          <w:r>
            <w:rPr>
              <w:rFonts w:hint="eastAsia"/>
              <w:color w:val="auto"/>
              <w:sz w:val="32"/>
              <w:szCs w:val="36"/>
            </w:rPr>
            <w:t>第二章 供应商须知</w:t>
          </w:r>
          <w:r>
            <w:rPr>
              <w:color w:val="auto"/>
              <w:sz w:val="32"/>
              <w:szCs w:val="40"/>
            </w:rPr>
            <w:tab/>
          </w:r>
          <w:r>
            <w:rPr>
              <w:color w:val="auto"/>
              <w:sz w:val="32"/>
              <w:szCs w:val="40"/>
            </w:rPr>
            <w:fldChar w:fldCharType="begin"/>
          </w:r>
          <w:r>
            <w:rPr>
              <w:color w:val="auto"/>
              <w:sz w:val="32"/>
              <w:szCs w:val="40"/>
            </w:rPr>
            <w:instrText xml:space="preserve"> PAGEREF _Toc378 \h </w:instrText>
          </w:r>
          <w:r>
            <w:rPr>
              <w:color w:val="auto"/>
              <w:sz w:val="32"/>
              <w:szCs w:val="40"/>
            </w:rPr>
            <w:fldChar w:fldCharType="separate"/>
          </w:r>
          <w:r>
            <w:rPr>
              <w:color w:val="auto"/>
              <w:sz w:val="32"/>
              <w:szCs w:val="40"/>
            </w:rPr>
            <w:t>5</w:t>
          </w:r>
          <w:r>
            <w:rPr>
              <w:color w:val="auto"/>
              <w:sz w:val="32"/>
              <w:szCs w:val="40"/>
            </w:rPr>
            <w:fldChar w:fldCharType="end"/>
          </w:r>
          <w:r>
            <w:rPr>
              <w:rFonts w:ascii="宋体" w:hAnsi="宋体"/>
              <w:color w:val="auto"/>
              <w:sz w:val="32"/>
              <w:szCs w:val="44"/>
            </w:rPr>
            <w:fldChar w:fldCharType="end"/>
          </w:r>
        </w:p>
        <w:p w14:paraId="6A34B7A2">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sz w:val="32"/>
              <w:szCs w:val="40"/>
            </w:rPr>
          </w:pPr>
          <w:r>
            <w:rPr>
              <w:rFonts w:ascii="宋体" w:hAnsi="宋体"/>
              <w:color w:val="auto"/>
              <w:sz w:val="32"/>
              <w:szCs w:val="44"/>
            </w:rPr>
            <w:fldChar w:fldCharType="begin"/>
          </w:r>
          <w:r>
            <w:rPr>
              <w:rFonts w:ascii="宋体" w:hAnsi="宋体"/>
              <w:color w:val="auto"/>
              <w:sz w:val="32"/>
              <w:szCs w:val="44"/>
            </w:rPr>
            <w:instrText xml:space="preserve"> HYPERLINK \l _Toc26616 </w:instrText>
          </w:r>
          <w:r>
            <w:rPr>
              <w:rFonts w:ascii="宋体" w:hAnsi="宋体"/>
              <w:color w:val="auto"/>
              <w:sz w:val="32"/>
              <w:szCs w:val="44"/>
            </w:rPr>
            <w:fldChar w:fldCharType="separate"/>
          </w:r>
          <w:r>
            <w:rPr>
              <w:rFonts w:hint="eastAsia"/>
              <w:color w:val="auto"/>
              <w:sz w:val="32"/>
              <w:szCs w:val="36"/>
            </w:rPr>
            <w:t>第</w:t>
          </w:r>
          <w:r>
            <w:rPr>
              <w:rFonts w:hint="eastAsia"/>
              <w:color w:val="auto"/>
              <w:sz w:val="32"/>
              <w:szCs w:val="36"/>
              <w:lang w:val="en-US" w:eastAsia="zh-CN"/>
            </w:rPr>
            <w:t>三</w:t>
          </w:r>
          <w:r>
            <w:rPr>
              <w:rFonts w:hint="eastAsia"/>
              <w:color w:val="auto"/>
              <w:sz w:val="32"/>
              <w:szCs w:val="36"/>
            </w:rPr>
            <w:t>章 评</w:t>
          </w:r>
          <w:r>
            <w:rPr>
              <w:rFonts w:hint="eastAsia"/>
              <w:color w:val="auto"/>
              <w:sz w:val="32"/>
              <w:szCs w:val="36"/>
              <w:lang w:val="en-US" w:eastAsia="zh-CN"/>
            </w:rPr>
            <w:t>审办</w:t>
          </w:r>
          <w:r>
            <w:rPr>
              <w:rFonts w:hint="eastAsia"/>
              <w:color w:val="auto"/>
              <w:sz w:val="32"/>
              <w:szCs w:val="36"/>
            </w:rPr>
            <w:t>法</w:t>
          </w:r>
          <w:r>
            <w:rPr>
              <w:color w:val="auto"/>
              <w:sz w:val="32"/>
              <w:szCs w:val="40"/>
            </w:rPr>
            <w:tab/>
          </w:r>
          <w:r>
            <w:rPr>
              <w:color w:val="auto"/>
              <w:sz w:val="32"/>
              <w:szCs w:val="40"/>
            </w:rPr>
            <w:fldChar w:fldCharType="begin"/>
          </w:r>
          <w:r>
            <w:rPr>
              <w:color w:val="auto"/>
              <w:sz w:val="32"/>
              <w:szCs w:val="40"/>
            </w:rPr>
            <w:instrText xml:space="preserve"> PAGEREF _Toc26616 \h </w:instrText>
          </w:r>
          <w:r>
            <w:rPr>
              <w:color w:val="auto"/>
              <w:sz w:val="32"/>
              <w:szCs w:val="40"/>
            </w:rPr>
            <w:fldChar w:fldCharType="separate"/>
          </w:r>
          <w:r>
            <w:rPr>
              <w:color w:val="auto"/>
              <w:sz w:val="32"/>
              <w:szCs w:val="40"/>
            </w:rPr>
            <w:t>25</w:t>
          </w:r>
          <w:r>
            <w:rPr>
              <w:color w:val="auto"/>
              <w:sz w:val="32"/>
              <w:szCs w:val="40"/>
            </w:rPr>
            <w:fldChar w:fldCharType="end"/>
          </w:r>
          <w:r>
            <w:rPr>
              <w:rFonts w:ascii="宋体" w:hAnsi="宋体"/>
              <w:color w:val="auto"/>
              <w:sz w:val="32"/>
              <w:szCs w:val="44"/>
            </w:rPr>
            <w:fldChar w:fldCharType="end"/>
          </w:r>
        </w:p>
        <w:p w14:paraId="15993635">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sz w:val="32"/>
              <w:szCs w:val="40"/>
            </w:rPr>
          </w:pPr>
          <w:r>
            <w:rPr>
              <w:rFonts w:ascii="宋体" w:hAnsi="宋体"/>
              <w:color w:val="auto"/>
              <w:sz w:val="32"/>
              <w:szCs w:val="44"/>
            </w:rPr>
            <w:fldChar w:fldCharType="begin"/>
          </w:r>
          <w:r>
            <w:rPr>
              <w:rFonts w:ascii="宋体" w:hAnsi="宋体"/>
              <w:color w:val="auto"/>
              <w:sz w:val="32"/>
              <w:szCs w:val="44"/>
            </w:rPr>
            <w:instrText xml:space="preserve"> HYPERLINK \l _Toc28794 </w:instrText>
          </w:r>
          <w:r>
            <w:rPr>
              <w:rFonts w:ascii="宋体" w:hAnsi="宋体"/>
              <w:color w:val="auto"/>
              <w:sz w:val="32"/>
              <w:szCs w:val="44"/>
            </w:rPr>
            <w:fldChar w:fldCharType="separate"/>
          </w:r>
          <w:r>
            <w:rPr>
              <w:rFonts w:hint="eastAsia"/>
              <w:color w:val="auto"/>
              <w:sz w:val="32"/>
              <w:szCs w:val="36"/>
            </w:rPr>
            <w:t xml:space="preserve">第四章 </w:t>
          </w:r>
          <w:r>
            <w:rPr>
              <w:rFonts w:hint="eastAsia"/>
              <w:color w:val="auto"/>
              <w:sz w:val="32"/>
              <w:szCs w:val="36"/>
              <w:lang w:val="en-US" w:eastAsia="zh-CN"/>
            </w:rPr>
            <w:t>项目服务需求</w:t>
          </w:r>
          <w:r>
            <w:rPr>
              <w:color w:val="auto"/>
              <w:sz w:val="32"/>
              <w:szCs w:val="40"/>
            </w:rPr>
            <w:tab/>
          </w:r>
          <w:r>
            <w:rPr>
              <w:color w:val="auto"/>
              <w:sz w:val="32"/>
              <w:szCs w:val="40"/>
            </w:rPr>
            <w:fldChar w:fldCharType="begin"/>
          </w:r>
          <w:r>
            <w:rPr>
              <w:color w:val="auto"/>
              <w:sz w:val="32"/>
              <w:szCs w:val="40"/>
            </w:rPr>
            <w:instrText xml:space="preserve"> PAGEREF _Toc28794 \h </w:instrText>
          </w:r>
          <w:r>
            <w:rPr>
              <w:color w:val="auto"/>
              <w:sz w:val="32"/>
              <w:szCs w:val="40"/>
            </w:rPr>
            <w:fldChar w:fldCharType="separate"/>
          </w:r>
          <w:r>
            <w:rPr>
              <w:color w:val="auto"/>
              <w:sz w:val="32"/>
              <w:szCs w:val="40"/>
            </w:rPr>
            <w:t>37</w:t>
          </w:r>
          <w:r>
            <w:rPr>
              <w:color w:val="auto"/>
              <w:sz w:val="32"/>
              <w:szCs w:val="40"/>
            </w:rPr>
            <w:fldChar w:fldCharType="end"/>
          </w:r>
          <w:r>
            <w:rPr>
              <w:rFonts w:ascii="宋体" w:hAnsi="宋体"/>
              <w:color w:val="auto"/>
              <w:sz w:val="32"/>
              <w:szCs w:val="44"/>
            </w:rPr>
            <w:fldChar w:fldCharType="end"/>
          </w:r>
        </w:p>
        <w:p w14:paraId="514E075F">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sz w:val="32"/>
              <w:szCs w:val="40"/>
            </w:rPr>
          </w:pPr>
          <w:r>
            <w:rPr>
              <w:rFonts w:ascii="宋体" w:hAnsi="宋体"/>
              <w:color w:val="auto"/>
              <w:sz w:val="32"/>
              <w:szCs w:val="44"/>
            </w:rPr>
            <w:fldChar w:fldCharType="begin"/>
          </w:r>
          <w:r>
            <w:rPr>
              <w:rFonts w:ascii="宋体" w:hAnsi="宋体"/>
              <w:color w:val="auto"/>
              <w:sz w:val="32"/>
              <w:szCs w:val="44"/>
            </w:rPr>
            <w:instrText xml:space="preserve"> HYPERLINK \l _Toc4852 </w:instrText>
          </w:r>
          <w:r>
            <w:rPr>
              <w:rFonts w:ascii="宋体" w:hAnsi="宋体"/>
              <w:color w:val="auto"/>
              <w:sz w:val="32"/>
              <w:szCs w:val="44"/>
            </w:rPr>
            <w:fldChar w:fldCharType="separate"/>
          </w:r>
          <w:r>
            <w:rPr>
              <w:rFonts w:hint="eastAsia"/>
              <w:color w:val="auto"/>
              <w:sz w:val="32"/>
              <w:szCs w:val="36"/>
            </w:rPr>
            <w:t>第五章 合同条款及格式</w:t>
          </w:r>
          <w:r>
            <w:rPr>
              <w:color w:val="auto"/>
              <w:sz w:val="32"/>
              <w:szCs w:val="40"/>
            </w:rPr>
            <w:tab/>
          </w:r>
          <w:r>
            <w:rPr>
              <w:color w:val="auto"/>
              <w:sz w:val="32"/>
              <w:szCs w:val="40"/>
            </w:rPr>
            <w:fldChar w:fldCharType="begin"/>
          </w:r>
          <w:r>
            <w:rPr>
              <w:color w:val="auto"/>
              <w:sz w:val="32"/>
              <w:szCs w:val="40"/>
            </w:rPr>
            <w:instrText xml:space="preserve"> PAGEREF _Toc4852 \h </w:instrText>
          </w:r>
          <w:r>
            <w:rPr>
              <w:color w:val="auto"/>
              <w:sz w:val="32"/>
              <w:szCs w:val="40"/>
            </w:rPr>
            <w:fldChar w:fldCharType="separate"/>
          </w:r>
          <w:r>
            <w:rPr>
              <w:color w:val="auto"/>
              <w:sz w:val="32"/>
              <w:szCs w:val="40"/>
            </w:rPr>
            <w:t>40</w:t>
          </w:r>
          <w:r>
            <w:rPr>
              <w:color w:val="auto"/>
              <w:sz w:val="32"/>
              <w:szCs w:val="40"/>
            </w:rPr>
            <w:fldChar w:fldCharType="end"/>
          </w:r>
          <w:r>
            <w:rPr>
              <w:rFonts w:ascii="宋体" w:hAnsi="宋体"/>
              <w:color w:val="auto"/>
              <w:sz w:val="32"/>
              <w:szCs w:val="44"/>
            </w:rPr>
            <w:fldChar w:fldCharType="end"/>
          </w:r>
        </w:p>
        <w:p w14:paraId="0F9334A1">
          <w:pPr>
            <w:pStyle w:val="14"/>
            <w:keepNext w:val="0"/>
            <w:keepLines w:val="0"/>
            <w:pageBreakBefore w:val="0"/>
            <w:widowControl w:val="0"/>
            <w:tabs>
              <w:tab w:val="right" w:leader="dot" w:pos="9696"/>
            </w:tabs>
            <w:kinsoku/>
            <w:wordWrap/>
            <w:overflowPunct/>
            <w:topLinePunct w:val="0"/>
            <w:autoSpaceDE/>
            <w:autoSpaceDN/>
            <w:bidi w:val="0"/>
            <w:adjustRightInd/>
            <w:snapToGrid/>
            <w:spacing w:line="480" w:lineRule="auto"/>
            <w:textAlignment w:val="auto"/>
            <w:rPr>
              <w:color w:val="auto"/>
            </w:rPr>
          </w:pPr>
          <w:r>
            <w:rPr>
              <w:rFonts w:ascii="宋体" w:hAnsi="宋体"/>
              <w:color w:val="auto"/>
              <w:sz w:val="32"/>
              <w:szCs w:val="44"/>
            </w:rPr>
            <w:fldChar w:fldCharType="begin"/>
          </w:r>
          <w:r>
            <w:rPr>
              <w:rFonts w:ascii="宋体" w:hAnsi="宋体"/>
              <w:color w:val="auto"/>
              <w:sz w:val="32"/>
              <w:szCs w:val="44"/>
            </w:rPr>
            <w:instrText xml:space="preserve"> HYPERLINK \l _Toc26555 </w:instrText>
          </w:r>
          <w:r>
            <w:rPr>
              <w:rFonts w:ascii="宋体" w:hAnsi="宋体"/>
              <w:color w:val="auto"/>
              <w:sz w:val="32"/>
              <w:szCs w:val="44"/>
            </w:rPr>
            <w:fldChar w:fldCharType="separate"/>
          </w:r>
          <w:r>
            <w:rPr>
              <w:rFonts w:hint="eastAsia"/>
              <w:color w:val="auto"/>
              <w:sz w:val="32"/>
              <w:szCs w:val="36"/>
            </w:rPr>
            <w:t>第</w:t>
          </w:r>
          <w:r>
            <w:rPr>
              <w:rFonts w:hint="eastAsia"/>
              <w:color w:val="auto"/>
              <w:sz w:val="32"/>
              <w:szCs w:val="36"/>
              <w:lang w:val="en-US" w:eastAsia="zh-CN"/>
            </w:rPr>
            <w:t>六</w:t>
          </w:r>
          <w:r>
            <w:rPr>
              <w:rFonts w:hint="eastAsia"/>
              <w:color w:val="auto"/>
              <w:sz w:val="32"/>
              <w:szCs w:val="36"/>
            </w:rPr>
            <w:t>章 响应文件格式</w:t>
          </w:r>
          <w:r>
            <w:rPr>
              <w:color w:val="auto"/>
              <w:sz w:val="32"/>
              <w:szCs w:val="40"/>
            </w:rPr>
            <w:tab/>
          </w:r>
          <w:r>
            <w:rPr>
              <w:color w:val="auto"/>
              <w:sz w:val="32"/>
              <w:szCs w:val="40"/>
            </w:rPr>
            <w:fldChar w:fldCharType="begin"/>
          </w:r>
          <w:r>
            <w:rPr>
              <w:color w:val="auto"/>
              <w:sz w:val="32"/>
              <w:szCs w:val="40"/>
            </w:rPr>
            <w:instrText xml:space="preserve"> PAGEREF _Toc26555 \h </w:instrText>
          </w:r>
          <w:r>
            <w:rPr>
              <w:color w:val="auto"/>
              <w:sz w:val="32"/>
              <w:szCs w:val="40"/>
            </w:rPr>
            <w:fldChar w:fldCharType="separate"/>
          </w:r>
          <w:r>
            <w:rPr>
              <w:color w:val="auto"/>
              <w:sz w:val="32"/>
              <w:szCs w:val="40"/>
            </w:rPr>
            <w:t>67</w:t>
          </w:r>
          <w:r>
            <w:rPr>
              <w:color w:val="auto"/>
              <w:sz w:val="32"/>
              <w:szCs w:val="40"/>
            </w:rPr>
            <w:fldChar w:fldCharType="end"/>
          </w:r>
          <w:r>
            <w:rPr>
              <w:rFonts w:ascii="宋体" w:hAnsi="宋体"/>
              <w:color w:val="auto"/>
              <w:sz w:val="32"/>
              <w:szCs w:val="44"/>
            </w:rPr>
            <w:fldChar w:fldCharType="end"/>
          </w:r>
        </w:p>
        <w:p w14:paraId="2C0F77B7">
          <w:pPr>
            <w:keepNext w:val="0"/>
            <w:keepLines w:val="0"/>
            <w:pageBreakBefore w:val="0"/>
            <w:widowControl w:val="0"/>
            <w:kinsoku/>
            <w:wordWrap/>
            <w:overflowPunct/>
            <w:topLinePunct w:val="0"/>
            <w:autoSpaceDE/>
            <w:autoSpaceDN/>
            <w:bidi w:val="0"/>
            <w:adjustRightInd/>
            <w:snapToGrid/>
            <w:spacing w:line="480" w:lineRule="auto"/>
            <w:ind w:right="-340" w:rightChars="-162"/>
            <w:jc w:val="center"/>
            <w:textAlignment w:val="auto"/>
            <w:rPr>
              <w:color w:val="auto"/>
              <w:sz w:val="32"/>
              <w:szCs w:val="28"/>
            </w:rPr>
          </w:pPr>
          <w:r>
            <w:rPr>
              <w:rFonts w:ascii="宋体" w:hAnsi="宋体"/>
              <w:color w:val="auto"/>
              <w:szCs w:val="28"/>
            </w:rPr>
            <w:fldChar w:fldCharType="end"/>
          </w:r>
        </w:p>
      </w:sdtContent>
    </w:sdt>
    <w:p w14:paraId="1C599661">
      <w:pPr>
        <w:pStyle w:val="4"/>
        <w:ind w:right="-340" w:rightChars="-162"/>
        <w:jc w:val="both"/>
        <w:outlineLvl w:val="0"/>
        <w:rPr>
          <w:rFonts w:ascii="宋体" w:hAnsi="宋体"/>
          <w:color w:val="auto"/>
        </w:rPr>
      </w:pPr>
      <w:bookmarkStart w:id="0" w:name="_Toc17645"/>
    </w:p>
    <w:p w14:paraId="473CDA06">
      <w:pPr>
        <w:bidi w:val="0"/>
        <w:rPr>
          <w:rFonts w:ascii="宋体" w:hAnsi="宋体"/>
          <w:color w:val="auto"/>
        </w:rPr>
      </w:pPr>
    </w:p>
    <w:p w14:paraId="353A8F3D">
      <w:pPr>
        <w:bidi w:val="0"/>
        <w:rPr>
          <w:rFonts w:ascii="宋体" w:hAnsi="宋体"/>
          <w:color w:val="auto"/>
        </w:rPr>
      </w:pPr>
    </w:p>
    <w:p w14:paraId="33DE8A19">
      <w:pPr>
        <w:bidi w:val="0"/>
        <w:rPr>
          <w:rFonts w:ascii="宋体" w:hAnsi="宋体"/>
          <w:color w:val="auto"/>
        </w:rPr>
      </w:pPr>
    </w:p>
    <w:p w14:paraId="0C4F8804">
      <w:pPr>
        <w:bidi w:val="0"/>
        <w:rPr>
          <w:rFonts w:ascii="宋体" w:hAnsi="宋体"/>
          <w:color w:val="auto"/>
        </w:rPr>
      </w:pPr>
    </w:p>
    <w:p w14:paraId="4282DB94">
      <w:pPr>
        <w:bidi w:val="0"/>
        <w:rPr>
          <w:rFonts w:ascii="宋体" w:hAnsi="宋体"/>
          <w:color w:val="auto"/>
        </w:rPr>
      </w:pPr>
    </w:p>
    <w:p w14:paraId="7FDC6CBE">
      <w:pPr>
        <w:bidi w:val="0"/>
        <w:rPr>
          <w:rFonts w:ascii="宋体" w:hAnsi="宋体"/>
          <w:color w:val="auto"/>
        </w:rPr>
      </w:pPr>
    </w:p>
    <w:p w14:paraId="6FD45F61">
      <w:pPr>
        <w:bidi w:val="0"/>
        <w:rPr>
          <w:rFonts w:ascii="宋体" w:hAnsi="宋体"/>
          <w:color w:val="auto"/>
        </w:rPr>
      </w:pPr>
    </w:p>
    <w:p w14:paraId="7AEACD1E">
      <w:pPr>
        <w:bidi w:val="0"/>
        <w:rPr>
          <w:rFonts w:ascii="宋体" w:hAnsi="宋体"/>
          <w:color w:val="auto"/>
        </w:rPr>
      </w:pPr>
    </w:p>
    <w:p w14:paraId="50B7AC10">
      <w:pPr>
        <w:bidi w:val="0"/>
        <w:rPr>
          <w:rFonts w:ascii="宋体" w:hAnsi="宋体"/>
          <w:color w:val="auto"/>
        </w:rPr>
      </w:pPr>
    </w:p>
    <w:p w14:paraId="752B3F58">
      <w:pPr>
        <w:bidi w:val="0"/>
        <w:rPr>
          <w:rFonts w:ascii="宋体" w:hAnsi="宋体"/>
          <w:color w:val="auto"/>
        </w:rPr>
      </w:pPr>
    </w:p>
    <w:p w14:paraId="62E129FD">
      <w:pPr>
        <w:bidi w:val="0"/>
        <w:rPr>
          <w:rFonts w:ascii="宋体" w:hAnsi="宋体"/>
          <w:color w:val="auto"/>
        </w:rPr>
      </w:pPr>
    </w:p>
    <w:p w14:paraId="48BC9260">
      <w:pPr>
        <w:bidi w:val="0"/>
        <w:rPr>
          <w:rFonts w:ascii="宋体" w:hAnsi="宋体"/>
          <w:color w:val="auto"/>
        </w:rPr>
      </w:pPr>
    </w:p>
    <w:p w14:paraId="100DAE75">
      <w:pPr>
        <w:bidi w:val="0"/>
        <w:rPr>
          <w:rFonts w:ascii="宋体" w:hAnsi="宋体"/>
          <w:color w:val="auto"/>
        </w:rPr>
      </w:pPr>
    </w:p>
    <w:p w14:paraId="74591DD6">
      <w:pPr>
        <w:bidi w:val="0"/>
        <w:rPr>
          <w:rFonts w:ascii="宋体" w:hAnsi="宋体"/>
          <w:color w:val="auto"/>
        </w:rPr>
      </w:pPr>
    </w:p>
    <w:p w14:paraId="0BD285D8">
      <w:pPr>
        <w:bidi w:val="0"/>
        <w:jc w:val="center"/>
        <w:rPr>
          <w:rFonts w:hint="eastAsia" w:ascii="宋体" w:hAnsi="宋体"/>
          <w:color w:val="auto"/>
          <w:lang w:val="en-US" w:eastAsia="zh-CN"/>
        </w:rPr>
        <w:sectPr>
          <w:footerReference r:id="rId6" w:type="default"/>
          <w:pgSz w:w="11910" w:h="16840"/>
          <w:pgMar w:top="1242" w:right="965" w:bottom="1082" w:left="1249" w:header="0" w:footer="947" w:gutter="0"/>
          <w:cols w:space="720" w:num="1"/>
        </w:sectPr>
      </w:pPr>
    </w:p>
    <w:p w14:paraId="1F472067">
      <w:pPr>
        <w:bidi w:val="0"/>
        <w:jc w:val="center"/>
        <w:rPr>
          <w:rStyle w:val="39"/>
          <w:rFonts w:hint="eastAsia"/>
          <w:color w:val="auto"/>
        </w:rPr>
      </w:pPr>
      <w:r>
        <w:rPr>
          <w:rFonts w:hint="eastAsia" w:ascii="宋体" w:hAnsi="宋体"/>
          <w:color w:val="auto"/>
          <w:lang w:val="en-US" w:eastAsia="zh-CN"/>
        </w:rPr>
        <w:t xml:space="preserve">      </w:t>
      </w:r>
      <w:r>
        <w:rPr>
          <w:rFonts w:hint="eastAsia" w:ascii="宋体" w:hAnsi="宋体"/>
          <w:color w:val="auto"/>
          <w:sz w:val="20"/>
          <w:szCs w:val="18"/>
          <w:lang w:val="en-US" w:eastAsia="zh-CN"/>
        </w:rPr>
        <w:t xml:space="preserve">  </w:t>
      </w:r>
      <w:r>
        <w:rPr>
          <w:rStyle w:val="39"/>
          <w:rFonts w:hint="eastAsia"/>
          <w:color w:val="auto"/>
          <w:sz w:val="40"/>
          <w:szCs w:val="22"/>
          <w:lang w:val="en-US" w:eastAsia="zh-CN"/>
        </w:rPr>
        <w:t xml:space="preserve"> </w:t>
      </w:r>
      <w:bookmarkStart w:id="1" w:name="_Toc1092"/>
      <w:bookmarkStart w:id="2" w:name="_Toc20994"/>
      <w:r>
        <w:rPr>
          <w:rStyle w:val="39"/>
          <w:rFonts w:hint="eastAsia"/>
          <w:color w:val="auto"/>
          <w:sz w:val="40"/>
          <w:szCs w:val="22"/>
        </w:rPr>
        <w:t>第一章 竞争性磋商公告</w:t>
      </w:r>
      <w:bookmarkEnd w:id="0"/>
    </w:p>
    <w:bookmarkEnd w:id="1"/>
    <w:bookmarkEnd w:id="2"/>
    <w:p w14:paraId="4692CAC5">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hint="eastAsia" w:ascii="宋体" w:hAnsi="宋体" w:cs="宋体"/>
          <w:bCs/>
          <w:color w:val="auto"/>
          <w:sz w:val="24"/>
          <w:szCs w:val="24"/>
        </w:rPr>
      </w:pPr>
      <w:bookmarkStart w:id="3" w:name="OLE_LINK2"/>
      <w:bookmarkStart w:id="4" w:name="OLE_LINK3"/>
      <w:r>
        <w:rPr>
          <w:rFonts w:hint="eastAsia" w:ascii="宋体" w:hAnsi="宋体" w:cs="宋体"/>
          <w:bCs/>
          <w:color w:val="auto"/>
          <w:sz w:val="24"/>
          <w:szCs w:val="24"/>
        </w:rPr>
        <w:t>项目概况</w:t>
      </w:r>
    </w:p>
    <w:p w14:paraId="57DB366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河南省“一轴一廊”交通基础设施数字化转型升级示范通道及网络项目（三门峡市普通公路）监理招标项目的</w:t>
      </w:r>
      <w:r>
        <w:rPr>
          <w:rFonts w:hint="eastAsia" w:cs="宋体" w:asciiTheme="minorEastAsia" w:hAnsiTheme="minorEastAsia" w:eastAsiaTheme="minorEastAsia"/>
          <w:color w:val="auto"/>
          <w:kern w:val="0"/>
          <w:sz w:val="24"/>
          <w:szCs w:val="24"/>
          <w:highlight w:val="none"/>
          <w:lang w:val="en-US" w:eastAsia="zh-CN"/>
        </w:rPr>
        <w:t>潜在投标人应在三门峡市公共资源交易中心网（网址：http://gzjy.smx.gov.cn/）获取招标文件，并于2026年1月23日9时00分（</w:t>
      </w:r>
      <w:r>
        <w:rPr>
          <w:rFonts w:hint="eastAsia" w:cs="宋体" w:asciiTheme="minorEastAsia" w:hAnsiTheme="minorEastAsia" w:eastAsiaTheme="minorEastAsia"/>
          <w:color w:val="auto"/>
          <w:kern w:val="0"/>
          <w:sz w:val="24"/>
          <w:szCs w:val="24"/>
          <w:lang w:val="en-US" w:eastAsia="zh-CN"/>
        </w:rPr>
        <w:t>北京时间）前递交响应文件。</w:t>
      </w:r>
    </w:p>
    <w:p w14:paraId="53C85DE0">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ascii="宋体" w:hAnsi="宋体" w:cs="宋体"/>
          <w:b/>
          <w:bCs/>
          <w:color w:val="auto"/>
          <w:sz w:val="24"/>
          <w:szCs w:val="24"/>
        </w:rPr>
      </w:pPr>
      <w:bookmarkStart w:id="5" w:name="_Toc6843179"/>
      <w:r>
        <w:rPr>
          <w:rFonts w:hint="eastAsia" w:ascii="宋体" w:hAnsi="宋体" w:cs="宋体"/>
          <w:b/>
          <w:bCs/>
          <w:color w:val="auto"/>
          <w:sz w:val="24"/>
          <w:szCs w:val="24"/>
        </w:rPr>
        <w:t>一、项目基本情况</w:t>
      </w:r>
    </w:p>
    <w:p w14:paraId="6344C76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1、项目编号：</w:t>
      </w:r>
      <w:bookmarkEnd w:id="5"/>
      <w:r>
        <w:rPr>
          <w:rFonts w:hint="eastAsia" w:cs="宋体" w:asciiTheme="minorEastAsia" w:hAnsiTheme="minorEastAsia" w:eastAsiaTheme="minorEastAsia"/>
          <w:color w:val="auto"/>
          <w:kern w:val="0"/>
          <w:sz w:val="24"/>
          <w:szCs w:val="24"/>
          <w:lang w:val="en-US" w:eastAsia="zh-CN"/>
        </w:rPr>
        <w:t>三财竞磋采购-2026-1、SGZ[2026]008-ZC004</w:t>
      </w:r>
    </w:p>
    <w:p w14:paraId="09BFEA7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2、项目名称：河南省“一轴一廊”交通基础设施数字化转型升级示范通道及网络项目（三门峡市普通公路）监理</w:t>
      </w:r>
    </w:p>
    <w:p w14:paraId="7CA10782">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3、采购方式：竞争性磋商</w:t>
      </w:r>
    </w:p>
    <w:p w14:paraId="013B36FC">
      <w:pPr>
        <w:spacing w:line="480" w:lineRule="exact"/>
        <w:ind w:firstLine="480" w:firstLineChars="20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4、预算金额：985500.00元</w:t>
      </w:r>
    </w:p>
    <w:p w14:paraId="28A9D1B4">
      <w:pPr>
        <w:spacing w:line="480" w:lineRule="exact"/>
        <w:ind w:firstLine="960" w:firstLineChars="400"/>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最高限价：985500元</w:t>
      </w:r>
    </w:p>
    <w:tbl>
      <w:tblPr>
        <w:tblStyle w:val="21"/>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16"/>
        <w:gridCol w:w="2406"/>
        <w:gridCol w:w="1570"/>
        <w:gridCol w:w="2022"/>
      </w:tblGrid>
      <w:tr w14:paraId="3CD9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CEF210E">
            <w:pPr>
              <w:pStyle w:val="19"/>
              <w:ind w:left="0" w:leftChars="0" w:firstLine="0" w:firstLineChars="0"/>
              <w:jc w:val="center"/>
              <w:rPr>
                <w:rFonts w:hint="default"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序号</w:t>
            </w:r>
          </w:p>
        </w:tc>
        <w:tc>
          <w:tcPr>
            <w:tcW w:w="1977" w:type="dxa"/>
            <w:vAlign w:val="center"/>
          </w:tcPr>
          <w:p w14:paraId="15534190">
            <w:pPr>
              <w:pStyle w:val="19"/>
              <w:ind w:left="0" w:leftChars="0" w:firstLine="0" w:firstLineChars="0"/>
              <w:jc w:val="center"/>
              <w:rPr>
                <w:rFonts w:hint="default"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包号</w:t>
            </w:r>
          </w:p>
        </w:tc>
        <w:tc>
          <w:tcPr>
            <w:tcW w:w="2583" w:type="dxa"/>
            <w:vAlign w:val="center"/>
          </w:tcPr>
          <w:p w14:paraId="655889FE">
            <w:pPr>
              <w:pStyle w:val="19"/>
              <w:ind w:left="0" w:leftChars="0" w:firstLine="0" w:firstLineChars="0"/>
              <w:jc w:val="center"/>
              <w:rPr>
                <w:rFonts w:hint="default"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包名称</w:t>
            </w:r>
          </w:p>
        </w:tc>
        <w:tc>
          <w:tcPr>
            <w:tcW w:w="1635" w:type="dxa"/>
            <w:vAlign w:val="center"/>
          </w:tcPr>
          <w:p w14:paraId="294F1A01">
            <w:pPr>
              <w:pStyle w:val="19"/>
              <w:ind w:left="0" w:leftChars="0" w:firstLine="0" w:firstLineChars="0"/>
              <w:jc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包预算（元）</w:t>
            </w:r>
          </w:p>
        </w:tc>
        <w:tc>
          <w:tcPr>
            <w:tcW w:w="2070" w:type="dxa"/>
            <w:vAlign w:val="center"/>
          </w:tcPr>
          <w:p w14:paraId="0F5104A8">
            <w:pPr>
              <w:pStyle w:val="19"/>
              <w:ind w:left="0" w:leftChars="0" w:firstLine="0" w:firstLineChars="0"/>
              <w:jc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包最高限价（元）</w:t>
            </w:r>
          </w:p>
        </w:tc>
      </w:tr>
      <w:tr w14:paraId="16FC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F1E2581">
            <w:pPr>
              <w:pStyle w:val="19"/>
              <w:ind w:left="0" w:leftChars="0" w:firstLine="0" w:firstLineChars="0"/>
              <w:jc w:val="center"/>
              <w:rPr>
                <w:rFonts w:hint="default"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1</w:t>
            </w:r>
          </w:p>
        </w:tc>
        <w:tc>
          <w:tcPr>
            <w:tcW w:w="1977" w:type="dxa"/>
            <w:vAlign w:val="center"/>
          </w:tcPr>
          <w:p w14:paraId="010D8D8D">
            <w:pPr>
              <w:pStyle w:val="19"/>
              <w:ind w:left="0" w:leftChars="0" w:firstLine="0" w:firstLineChars="0"/>
              <w:jc w:val="both"/>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SGZ[2026]008-ZC004-1</w:t>
            </w:r>
          </w:p>
        </w:tc>
        <w:tc>
          <w:tcPr>
            <w:tcW w:w="2583" w:type="dxa"/>
            <w:vAlign w:val="center"/>
          </w:tcPr>
          <w:p w14:paraId="3CCD0570">
            <w:pPr>
              <w:pStyle w:val="19"/>
              <w:ind w:left="0" w:leftChars="0" w:firstLine="0" w:firstLineChars="0"/>
              <w:jc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河南省“一轴一廊”交通基础设施数字化转型升级示范通道及网络项目（三门峡市普通公路）监理</w:t>
            </w:r>
          </w:p>
        </w:tc>
        <w:tc>
          <w:tcPr>
            <w:tcW w:w="1635" w:type="dxa"/>
            <w:vAlign w:val="center"/>
          </w:tcPr>
          <w:p w14:paraId="020DDF67">
            <w:pPr>
              <w:pStyle w:val="19"/>
              <w:ind w:left="0" w:leftChars="0" w:firstLine="0" w:firstLineChars="0"/>
              <w:jc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highlight w:val="none"/>
                <w:lang w:val="en-US" w:eastAsia="zh-CN"/>
              </w:rPr>
              <w:t>985500</w:t>
            </w:r>
          </w:p>
        </w:tc>
        <w:tc>
          <w:tcPr>
            <w:tcW w:w="2070" w:type="dxa"/>
            <w:vAlign w:val="center"/>
          </w:tcPr>
          <w:p w14:paraId="56E95564">
            <w:pPr>
              <w:pStyle w:val="19"/>
              <w:jc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highlight w:val="none"/>
                <w:lang w:val="en-US" w:eastAsia="zh-CN"/>
              </w:rPr>
              <w:t>985500</w:t>
            </w:r>
          </w:p>
        </w:tc>
      </w:tr>
    </w:tbl>
    <w:p w14:paraId="4EAB4159">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val="en-US" w:eastAsia="zh-CN"/>
        </w:rPr>
        <w:t>采购需求</w:t>
      </w:r>
      <w:r>
        <w:rPr>
          <w:rFonts w:hint="eastAsia" w:cs="宋体" w:asciiTheme="minorEastAsia" w:hAnsiTheme="minorEastAsia" w:eastAsiaTheme="minorEastAsia"/>
          <w:color w:val="auto"/>
          <w:kern w:val="0"/>
          <w:sz w:val="24"/>
          <w:szCs w:val="24"/>
        </w:rPr>
        <w:t>（包括但不限于标的的名称、数量、简要技术需求或服务要求等）</w:t>
      </w:r>
    </w:p>
    <w:p w14:paraId="59AB1196">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5.1、</w:t>
      </w:r>
      <w:r>
        <w:rPr>
          <w:rFonts w:hint="eastAsia" w:cs="宋体" w:asciiTheme="minorEastAsia" w:hAnsiTheme="minorEastAsia" w:eastAsiaTheme="minorEastAsia"/>
          <w:color w:val="auto"/>
          <w:kern w:val="0"/>
          <w:sz w:val="24"/>
          <w:szCs w:val="24"/>
        </w:rPr>
        <w:t>项目</w:t>
      </w:r>
      <w:r>
        <w:rPr>
          <w:rFonts w:hint="eastAsia" w:cs="宋体" w:asciiTheme="minorEastAsia" w:hAnsiTheme="minorEastAsia" w:eastAsiaTheme="minorEastAsia"/>
          <w:color w:val="auto"/>
          <w:kern w:val="0"/>
          <w:sz w:val="24"/>
          <w:szCs w:val="24"/>
          <w:lang w:val="en-US" w:eastAsia="zh-CN"/>
        </w:rPr>
        <w:t>概况：</w:t>
      </w:r>
      <w:r>
        <w:rPr>
          <w:rFonts w:hint="eastAsia" w:cs="宋体" w:asciiTheme="minorEastAsia" w:hAnsiTheme="minorEastAsia" w:eastAsiaTheme="minorEastAsia"/>
          <w:color w:val="auto"/>
          <w:kern w:val="0"/>
          <w:sz w:val="24"/>
          <w:szCs w:val="24"/>
          <w:highlight w:val="none"/>
          <w:lang w:val="en-US" w:eastAsia="zh-CN"/>
        </w:rPr>
        <w:t>主要包括河南省“一轴一廊”交通基础设施数字化转型升级示范通道及网络项目（三门峡市普通公路）的施工监理及缺陷责任期的工程修复等监理服务工作</w:t>
      </w:r>
      <w:r>
        <w:rPr>
          <w:rFonts w:hint="eastAsia" w:cs="宋体" w:asciiTheme="minorEastAsia" w:hAnsiTheme="minorEastAsia" w:eastAsiaTheme="minorEastAsia"/>
          <w:color w:val="auto"/>
          <w:kern w:val="0"/>
          <w:sz w:val="24"/>
          <w:szCs w:val="24"/>
          <w:highlight w:val="none"/>
          <w:lang w:eastAsia="zh-CN"/>
        </w:rPr>
        <w:t>。</w:t>
      </w:r>
    </w:p>
    <w:p w14:paraId="0661A825">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5.2、磋商范围：本项目竞争性磋商文件、服务需求等所包含的全部内容</w:t>
      </w:r>
      <w:r>
        <w:rPr>
          <w:rFonts w:hint="eastAsia" w:cs="宋体" w:asciiTheme="minorEastAsia" w:hAnsiTheme="minorEastAsia" w:eastAsiaTheme="minorEastAsia"/>
          <w:color w:val="auto"/>
          <w:kern w:val="0"/>
          <w:sz w:val="24"/>
          <w:szCs w:val="24"/>
        </w:rPr>
        <w:t>。</w:t>
      </w:r>
    </w:p>
    <w:p w14:paraId="7AB8B8FB">
      <w:pPr>
        <w:spacing w:line="480" w:lineRule="exact"/>
        <w:ind w:firstLine="480" w:firstLineChars="200"/>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5.3、</w:t>
      </w:r>
      <w:r>
        <w:rPr>
          <w:rFonts w:hint="eastAsia" w:cs="宋体" w:asciiTheme="minorEastAsia" w:hAnsiTheme="minorEastAsia" w:eastAsiaTheme="minorEastAsia"/>
          <w:color w:val="auto"/>
          <w:kern w:val="0"/>
          <w:sz w:val="24"/>
          <w:szCs w:val="24"/>
        </w:rPr>
        <w:t>资金来源：上级补助资金</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已落实</w:t>
      </w:r>
      <w:r>
        <w:rPr>
          <w:rFonts w:hint="eastAsia" w:cs="宋体" w:asciiTheme="minorEastAsia" w:hAnsiTheme="minorEastAsia" w:eastAsiaTheme="minorEastAsia"/>
          <w:color w:val="auto"/>
          <w:kern w:val="0"/>
          <w:sz w:val="24"/>
          <w:szCs w:val="24"/>
          <w:lang w:eastAsia="zh-CN"/>
        </w:rPr>
        <w:t>；</w:t>
      </w:r>
    </w:p>
    <w:p w14:paraId="005BF128">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5.4、</w:t>
      </w:r>
      <w:r>
        <w:rPr>
          <w:rFonts w:hint="eastAsia" w:cs="宋体" w:asciiTheme="minorEastAsia" w:hAnsiTheme="minorEastAsia" w:eastAsiaTheme="minorEastAsia"/>
          <w:color w:val="auto"/>
          <w:kern w:val="0"/>
          <w:sz w:val="24"/>
          <w:szCs w:val="24"/>
        </w:rPr>
        <w:t>质量要求：</w:t>
      </w:r>
      <w:r>
        <w:rPr>
          <w:rFonts w:hint="eastAsia" w:cs="宋体" w:asciiTheme="minorEastAsia" w:hAnsiTheme="minorEastAsia" w:eastAsiaTheme="minorEastAsia"/>
          <w:color w:val="auto"/>
          <w:kern w:val="0"/>
          <w:sz w:val="24"/>
          <w:szCs w:val="24"/>
          <w:lang w:eastAsia="zh-CN"/>
        </w:rPr>
        <w:t>交工验收的质量评定：合格；竣工验收的质量评定：优良；</w:t>
      </w:r>
    </w:p>
    <w:p w14:paraId="6EF896A1">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5.5、监理服务期限</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同施工工期；</w:t>
      </w:r>
    </w:p>
    <w:p w14:paraId="0A3EF881">
      <w:pPr>
        <w:spacing w:line="480" w:lineRule="exact"/>
        <w:ind w:firstLine="480" w:firstLineChars="200"/>
        <w:jc w:val="left"/>
        <w:rPr>
          <w:rFonts w:hint="eastAsia" w:eastAsia="宋体" w:cs="宋体" w:asciiTheme="minorEastAsia" w:hAnsi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5.6、</w:t>
      </w:r>
      <w:r>
        <w:rPr>
          <w:rFonts w:hint="default" w:ascii="宋体" w:hAnsi="宋体" w:eastAsia="宋体" w:cs="宋体"/>
          <w:kern w:val="0"/>
          <w:sz w:val="24"/>
          <w:szCs w:val="24"/>
          <w:highlight w:val="none"/>
        </w:rPr>
        <w:t>安全目标</w:t>
      </w:r>
      <w:r>
        <w:rPr>
          <w:rFonts w:hint="eastAsia" w:ascii="宋体" w:hAnsi="宋体" w:eastAsia="宋体" w:cs="宋体"/>
          <w:kern w:val="0"/>
          <w:sz w:val="24"/>
          <w:szCs w:val="24"/>
          <w:highlight w:val="none"/>
          <w:lang w:eastAsia="zh-CN"/>
        </w:rPr>
        <w:t>：不发生安全生产责任事故；</w:t>
      </w:r>
    </w:p>
    <w:p w14:paraId="3289F481">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5.7、标段划分：</w:t>
      </w:r>
      <w:r>
        <w:rPr>
          <w:rFonts w:hint="eastAsia" w:cs="宋体" w:asciiTheme="minorEastAsia" w:hAnsiTheme="minorEastAsia" w:eastAsiaTheme="minorEastAsia"/>
          <w:color w:val="auto"/>
          <w:kern w:val="0"/>
          <w:sz w:val="24"/>
          <w:szCs w:val="24"/>
        </w:rPr>
        <w:t>本项目划分</w:t>
      </w:r>
      <w:r>
        <w:rPr>
          <w:rFonts w:hint="eastAsia" w:cs="宋体" w:asciiTheme="minorEastAsia" w:hAnsiTheme="minorEastAsia" w:eastAsiaTheme="minorEastAsia"/>
          <w:color w:val="auto"/>
          <w:kern w:val="0"/>
          <w:sz w:val="24"/>
          <w:szCs w:val="24"/>
          <w:lang w:val="en-US" w:eastAsia="zh-CN"/>
        </w:rPr>
        <w:t>一</w:t>
      </w:r>
      <w:r>
        <w:rPr>
          <w:rFonts w:hint="eastAsia" w:cs="宋体" w:asciiTheme="minorEastAsia" w:hAnsiTheme="minorEastAsia" w:eastAsiaTheme="minorEastAsia"/>
          <w:color w:val="auto"/>
          <w:kern w:val="0"/>
          <w:sz w:val="24"/>
          <w:szCs w:val="24"/>
        </w:rPr>
        <w:t>个标段</w:t>
      </w:r>
      <w:r>
        <w:rPr>
          <w:rFonts w:hint="eastAsia" w:cs="宋体" w:asciiTheme="minorEastAsia" w:hAnsiTheme="minorEastAsia" w:eastAsiaTheme="minorEastAsia"/>
          <w:color w:val="auto"/>
          <w:kern w:val="0"/>
          <w:sz w:val="24"/>
          <w:szCs w:val="24"/>
          <w:lang w:eastAsia="zh-CN"/>
        </w:rPr>
        <w:t>。</w:t>
      </w:r>
    </w:p>
    <w:p w14:paraId="433F7E4B">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6、</w:t>
      </w:r>
      <w:r>
        <w:rPr>
          <w:rFonts w:hint="eastAsia" w:cs="宋体" w:asciiTheme="minorEastAsia" w:hAnsiTheme="minorEastAsia" w:eastAsiaTheme="minorEastAsia"/>
          <w:color w:val="auto"/>
          <w:kern w:val="0"/>
          <w:sz w:val="24"/>
          <w:szCs w:val="24"/>
        </w:rPr>
        <w:t>合同履约期限：</w:t>
      </w:r>
      <w:r>
        <w:rPr>
          <w:rFonts w:hint="eastAsia" w:cs="宋体" w:asciiTheme="minorEastAsia" w:hAnsiTheme="minorEastAsia" w:eastAsiaTheme="minorEastAsia"/>
          <w:color w:val="auto"/>
          <w:kern w:val="0"/>
          <w:sz w:val="24"/>
          <w:szCs w:val="24"/>
          <w:lang w:val="en-US" w:eastAsia="zh-CN"/>
        </w:rPr>
        <w:t>同施工工期。</w:t>
      </w:r>
    </w:p>
    <w:p w14:paraId="2D502D1B">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7、</w:t>
      </w:r>
      <w:r>
        <w:rPr>
          <w:rFonts w:hint="eastAsia" w:cs="宋体" w:asciiTheme="minorEastAsia" w:hAnsiTheme="minorEastAsia" w:eastAsiaTheme="minorEastAsia"/>
          <w:color w:val="auto"/>
          <w:kern w:val="0"/>
          <w:sz w:val="24"/>
          <w:szCs w:val="24"/>
        </w:rPr>
        <w:t>本项目是否接受联合体投标：否</w:t>
      </w:r>
    </w:p>
    <w:p w14:paraId="023CF8AA">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8、是否接受进口产品：否</w:t>
      </w:r>
    </w:p>
    <w:p w14:paraId="340DBB29">
      <w:pPr>
        <w:spacing w:line="480" w:lineRule="exact"/>
        <w:ind w:firstLine="480" w:firstLineChars="200"/>
        <w:rPr>
          <w:color w:val="auto"/>
        </w:rPr>
      </w:pPr>
      <w:r>
        <w:rPr>
          <w:rFonts w:hint="eastAsia" w:ascii="宋体" w:hAnsi="宋体"/>
          <w:color w:val="auto"/>
          <w:sz w:val="24"/>
          <w:szCs w:val="24"/>
          <w:highlight w:val="none"/>
        </w:rPr>
        <w:t>9、是否专门面向中小企业：</w:t>
      </w:r>
      <w:r>
        <w:rPr>
          <w:rFonts w:hint="eastAsia" w:ascii="宋体" w:hAnsi="宋体"/>
          <w:color w:val="auto"/>
          <w:sz w:val="24"/>
          <w:szCs w:val="24"/>
          <w:highlight w:val="none"/>
          <w:lang w:val="en-US" w:eastAsia="zh-CN"/>
        </w:rPr>
        <w:t>否</w:t>
      </w:r>
    </w:p>
    <w:p w14:paraId="3F8C8C7B">
      <w:pPr>
        <w:keepNext w:val="0"/>
        <w:keepLines w:val="0"/>
        <w:pageBreakBefore w:val="0"/>
        <w:widowControl/>
        <w:kinsoku/>
        <w:overflowPunct/>
        <w:topLinePunct w:val="0"/>
        <w:autoSpaceDE/>
        <w:autoSpaceDN/>
        <w:bidi w:val="0"/>
        <w:adjustRightInd/>
        <w:snapToGrid/>
        <w:spacing w:line="420" w:lineRule="exact"/>
        <w:ind w:right="-58"/>
        <w:jc w:val="left"/>
        <w:textAlignment w:val="auto"/>
        <w:rPr>
          <w:rFonts w:hint="eastAsia" w:ascii="宋体" w:hAnsi="宋体" w:cs="宋体"/>
          <w:bCs/>
          <w:color w:val="auto"/>
          <w:sz w:val="24"/>
          <w:szCs w:val="24"/>
        </w:rPr>
      </w:pPr>
      <w:r>
        <w:rPr>
          <w:rFonts w:hint="eastAsia" w:ascii="宋体" w:hAnsi="宋体" w:cs="宋体"/>
          <w:b/>
          <w:bCs/>
          <w:color w:val="auto"/>
          <w:sz w:val="24"/>
          <w:szCs w:val="24"/>
        </w:rPr>
        <w:t>二</w:t>
      </w:r>
      <w:r>
        <w:rPr>
          <w:rFonts w:hint="eastAsia" w:ascii="宋体" w:hAnsi="宋体" w:eastAsia="宋体" w:cs="宋体"/>
          <w:b/>
          <w:bCs/>
          <w:color w:val="auto"/>
          <w:sz w:val="24"/>
          <w:szCs w:val="24"/>
        </w:rPr>
        <w:t>、申请人资格要求：</w:t>
      </w:r>
    </w:p>
    <w:p w14:paraId="6C337AA5">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1、满足《中华人民共和国政府采购法》第二十二条规定；</w:t>
      </w:r>
    </w:p>
    <w:p w14:paraId="0B2C050B">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2、落实政府采购政策满足的资格要求：本项目非专门面向中小微企业采购项目,执行促进中小企业发展等政府采购政策。</w:t>
      </w:r>
    </w:p>
    <w:p w14:paraId="75B4FAD9">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3、本项目的特定资格要求</w:t>
      </w:r>
      <w:r>
        <w:rPr>
          <w:rFonts w:hint="eastAsia" w:cs="宋体" w:asciiTheme="minorEastAsia" w:hAnsiTheme="minorEastAsia" w:eastAsiaTheme="minorEastAsia"/>
          <w:color w:val="auto"/>
          <w:kern w:val="0"/>
          <w:sz w:val="24"/>
          <w:szCs w:val="24"/>
          <w:lang w:eastAsia="zh-CN"/>
        </w:rPr>
        <w:t>：</w:t>
      </w:r>
    </w:p>
    <w:p w14:paraId="33D55E3C">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（1）供应商须具有有效的营业执照；</w:t>
      </w:r>
    </w:p>
    <w:p w14:paraId="10A354BC">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（2）供应商具有交通运输主管部门颁发有效的公路机电工程专项监理资质证书。</w:t>
      </w:r>
    </w:p>
    <w:p w14:paraId="78E204E0">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供应商应进入交通运输部“全国公路建设市场监督管理系统”（https://hwdms.mot.gov.cn/BMWebSite/）中的公路工程施工监理资质企业名录，且供应商名称和资质与该名录中的相应企业名称和资质完全一致</w:t>
      </w:r>
      <w:bookmarkStart w:id="6" w:name="OLE_LINK14"/>
      <w:r>
        <w:rPr>
          <w:rFonts w:hint="eastAsia" w:cs="宋体" w:asciiTheme="minorEastAsia" w:hAnsiTheme="minorEastAsia" w:eastAsiaTheme="minorEastAsia"/>
          <w:color w:val="auto"/>
          <w:kern w:val="0"/>
          <w:sz w:val="24"/>
          <w:szCs w:val="24"/>
          <w:lang w:val="en-US" w:eastAsia="zh-CN"/>
        </w:rPr>
        <w:t>（根据《关于发布公路工程从业企业资质名录的通知》（厅公路字〔2011〕114号）规定，公路工程施工监理资质企业名录适用范围为部审核、审批资质公路工程监理企业，省级相关部门许可资质的公路工程监理企业未在全国公路建设市场监督管理系统中录入相关信息不作为否决投标的条件）。</w:t>
      </w:r>
    </w:p>
    <w:bookmarkEnd w:id="6"/>
    <w:p w14:paraId="2FD162E0">
      <w:pPr>
        <w:spacing w:line="480" w:lineRule="exact"/>
        <w:ind w:firstLine="480" w:firstLineChars="200"/>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3）项目总监理工程师具有相关专业高级工程师及以上职称，具有交通运输部颁发的注册监理工程师（公路机电工程专业）证书，提供本单位缴纳的2025年6月1日以来任意一个月养老保险证明），目前未在其他项目上任职，提供无在建承诺（格式自拟），或虽在其他项目上任职但本项目中标后能够从该项目撤离，供应商应提供书面承诺（格式自拟）；</w:t>
      </w:r>
    </w:p>
    <w:p w14:paraId="19DBC651">
      <w:pPr>
        <w:spacing w:line="480" w:lineRule="exact"/>
        <w:ind w:firstLine="480" w:firstLineChars="200"/>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供应商须自行出具本单位无商业贿赂及无不正当竞争行为的承诺书</w:t>
      </w:r>
      <w:r>
        <w:rPr>
          <w:rFonts w:hint="eastAsia" w:ascii="宋体" w:hAnsi="宋体" w:eastAsia="宋体" w:cs="宋体"/>
          <w:color w:val="auto"/>
          <w:kern w:val="0"/>
          <w:sz w:val="24"/>
          <w:szCs w:val="24"/>
          <w:highlight w:val="none"/>
        </w:rPr>
        <w:t>；</w:t>
      </w:r>
    </w:p>
    <w:p w14:paraId="0F85A4F1">
      <w:pPr>
        <w:spacing w:line="48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w:t>
      </w:r>
      <w:r>
        <w:rPr>
          <w:rFonts w:hint="eastAsia" w:ascii="宋体" w:hAnsi="宋体" w:eastAsia="宋体" w:cs="宋体"/>
          <w:sz w:val="24"/>
          <w:szCs w:val="24"/>
          <w:highlight w:val="none"/>
          <w:lang w:val="en-US" w:eastAsia="zh-CN"/>
        </w:rPr>
        <w:t>供应商出具无行贿犯罪记录，在中国裁判文书网自行查询或自行承诺(查询/承诺对象：企业、法定代表人、拟派项目总监)</w:t>
      </w:r>
      <w:r>
        <w:rPr>
          <w:rFonts w:hint="eastAsia" w:cs="宋体" w:asciiTheme="minorEastAsia" w:hAnsiTheme="minorEastAsia" w:eastAsiaTheme="minorEastAsia"/>
          <w:color w:val="auto"/>
          <w:kern w:val="0"/>
          <w:sz w:val="24"/>
          <w:szCs w:val="24"/>
          <w:highlight w:val="none"/>
        </w:rPr>
        <w:t>；</w:t>
      </w:r>
    </w:p>
    <w:p w14:paraId="55DF9BFA">
      <w:pPr>
        <w:spacing w:line="480" w:lineRule="exact"/>
        <w:ind w:firstLine="480" w:firstLineChars="200"/>
        <w:jc w:val="left"/>
        <w:rPr>
          <w:rFonts w:hint="eastAsia"/>
        </w:rPr>
      </w:pPr>
      <w:r>
        <w:rPr>
          <w:rFonts w:hint="eastAsia" w:cs="宋体" w:asciiTheme="minorEastAsia" w:hAnsiTheme="minorEastAsia" w:eastAsiaTheme="minorEastAsia"/>
          <w:color w:val="auto"/>
          <w:kern w:val="0"/>
          <w:sz w:val="24"/>
          <w:szCs w:val="24"/>
          <w:highlight w:val="none"/>
          <w:lang w:val="en-US" w:eastAsia="zh-CN"/>
        </w:rPr>
        <w:t>（6）根据《河南省公路建设市场从业单位及人员信用管理办法》，被河南省交通运输厅或交通运输部信用评定为D级信用等级的供应商，不允许参与本项目投标。</w:t>
      </w:r>
    </w:p>
    <w:p w14:paraId="7DA6971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val="en-US" w:eastAsia="zh-CN"/>
        </w:rPr>
        <w:t>7）</w:t>
      </w:r>
      <w:r>
        <w:rPr>
          <w:rFonts w:hint="eastAsia" w:cs="宋体" w:asciiTheme="minorEastAsia" w:hAnsiTheme="minorEastAsia" w:eastAsiaTheme="minorEastAsia"/>
          <w:color w:val="auto"/>
          <w:kern w:val="0"/>
          <w:sz w:val="24"/>
          <w:szCs w:val="24"/>
        </w:rPr>
        <w:t>根据《关于在政府采购活动中查询及使用信用记录有关问题的通知》(财库 [2016]125号)和豫财购【2016】15号的规定，企业没有被列入中国执行信息公开</w:t>
      </w:r>
      <w:r>
        <w:rPr>
          <w:rFonts w:hint="eastAsia" w:cs="宋体" w:asciiTheme="minorEastAsia" w:hAnsiTheme="minorEastAsia" w:eastAsiaTheme="minorEastAsia"/>
          <w:color w:val="auto"/>
          <w:kern w:val="0"/>
          <w:sz w:val="24"/>
          <w:szCs w:val="24"/>
          <w:lang w:val="en-US" w:eastAsia="zh-CN"/>
        </w:rPr>
        <w:t>网</w:t>
      </w:r>
      <w:r>
        <w:rPr>
          <w:rFonts w:hint="eastAsia" w:cs="宋体" w:asciiTheme="minorEastAsia" w:hAnsiTheme="minorEastAsia" w:eastAsiaTheme="minorEastAsia"/>
          <w:color w:val="auto"/>
          <w:kern w:val="0"/>
          <w:sz w:val="24"/>
          <w:szCs w:val="24"/>
        </w:rPr>
        <w:t>（http://zxgk.court.gov.cn/shixin/）失信被执行人、“信用中国”网站（www.creditchina.gov.cn）</w:t>
      </w:r>
      <w:r>
        <w:rPr>
          <w:rFonts w:hint="eastAsia" w:cs="宋体" w:asciiTheme="minorEastAsia" w:hAnsiTheme="minorEastAsia" w:eastAsiaTheme="minorEastAsia"/>
          <w:color w:val="auto"/>
          <w:kern w:val="0"/>
          <w:sz w:val="24"/>
          <w:szCs w:val="24"/>
          <w:lang w:val="en-US" w:eastAsia="zh-CN"/>
        </w:rPr>
        <w:t>重大税收违法失信主体</w:t>
      </w:r>
      <w:r>
        <w:rPr>
          <w:rFonts w:hint="eastAsia" w:cs="宋体" w:asciiTheme="minorEastAsia" w:hAnsiTheme="minorEastAsia" w:eastAsiaTheme="minorEastAsia"/>
          <w:color w:val="auto"/>
          <w:kern w:val="0"/>
          <w:sz w:val="24"/>
          <w:szCs w:val="24"/>
        </w:rPr>
        <w:t>、“中国政府采购网”（http://www.ccgp.gov.cn/）政府采购严重违法失信行为名单，提供网页查询信息截图（查询时间自公告发布之日起</w:t>
      </w:r>
      <w:r>
        <w:rPr>
          <w:rFonts w:hint="eastAsia" w:cs="宋体" w:asciiTheme="minorEastAsia" w:hAnsiTheme="minorEastAsia" w:eastAsiaTheme="minorEastAsia"/>
          <w:color w:val="auto"/>
          <w:kern w:val="0"/>
          <w:sz w:val="24"/>
          <w:szCs w:val="24"/>
          <w:lang w:val="en-US" w:eastAsia="zh-CN"/>
        </w:rPr>
        <w:t>截止至开标时间</w:t>
      </w:r>
      <w:r>
        <w:rPr>
          <w:rFonts w:hint="eastAsia" w:cs="宋体" w:asciiTheme="minorEastAsia" w:hAnsiTheme="minorEastAsia" w:eastAsiaTheme="minorEastAsia"/>
          <w:color w:val="auto"/>
          <w:kern w:val="0"/>
          <w:sz w:val="24"/>
          <w:szCs w:val="24"/>
        </w:rPr>
        <w:t>）；</w:t>
      </w:r>
    </w:p>
    <w:p w14:paraId="2A07B6DF">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8</w:t>
      </w:r>
      <w:r>
        <w:rPr>
          <w:rFonts w:hint="eastAsia" w:cs="宋体" w:asciiTheme="minorEastAsia" w:hAnsiTheme="minorEastAsia" w:eastAsiaTheme="minorEastAsia"/>
          <w:color w:val="auto"/>
          <w:kern w:val="0"/>
          <w:sz w:val="24"/>
          <w:szCs w:val="24"/>
          <w:lang w:eastAsia="zh-CN"/>
        </w:rPr>
        <w:t>）本次磋商不接受联合体（提供非联合体声明函）；</w:t>
      </w:r>
    </w:p>
    <w:p w14:paraId="39A49EC1">
      <w:pPr>
        <w:spacing w:line="480" w:lineRule="exact"/>
        <w:ind w:firstLine="480" w:firstLineChars="200"/>
        <w:jc w:val="left"/>
        <w:rPr>
          <w:rFonts w:ascii="宋体" w:hAnsi="宋体" w:cs="宋体"/>
          <w:bCs/>
          <w:color w:val="auto"/>
          <w:sz w:val="24"/>
          <w:szCs w:val="24"/>
        </w:rPr>
      </w:pP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9</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rPr>
        <w:t>本项目实行资格后审，资格审查的具体要求见竞争性磋商文件。</w:t>
      </w:r>
    </w:p>
    <w:p w14:paraId="57263151">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三、</w:t>
      </w:r>
      <w:r>
        <w:rPr>
          <w:rFonts w:hint="eastAsia" w:ascii="宋体" w:hAnsi="宋体" w:cs="宋体"/>
          <w:b/>
          <w:bCs/>
          <w:color w:val="auto"/>
          <w:sz w:val="24"/>
          <w:szCs w:val="24"/>
          <w:lang w:val="en-US" w:eastAsia="zh-CN"/>
        </w:rPr>
        <w:t>获取采购文件</w:t>
      </w:r>
    </w:p>
    <w:p w14:paraId="38D724F5">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w:t>
      </w:r>
      <w:r>
        <w:rPr>
          <w:rFonts w:hint="eastAsia" w:cs="宋体" w:asciiTheme="minorEastAsia" w:hAnsiTheme="minorEastAsia" w:eastAsiaTheme="minorEastAsia"/>
          <w:color w:val="auto"/>
          <w:kern w:val="0"/>
          <w:sz w:val="24"/>
          <w:szCs w:val="24"/>
          <w:highlight w:val="none"/>
          <w:lang w:val="en-US" w:eastAsia="zh-CN"/>
        </w:rPr>
        <w:t>时 间：2026年1月12日至 2026年1月22日，每</w:t>
      </w:r>
      <w:r>
        <w:rPr>
          <w:rFonts w:hint="eastAsia" w:cs="宋体" w:asciiTheme="minorEastAsia" w:hAnsiTheme="minorEastAsia" w:eastAsiaTheme="minorEastAsia"/>
          <w:color w:val="auto"/>
          <w:kern w:val="0"/>
          <w:sz w:val="24"/>
          <w:szCs w:val="24"/>
          <w:lang w:val="en-US" w:eastAsia="zh-CN"/>
        </w:rPr>
        <w:t>天上午00:00至12：00，下午12:00至23:59（北京时间，法定节假日除外）；</w:t>
      </w:r>
    </w:p>
    <w:p w14:paraId="7B01F688">
      <w:pPr>
        <w:spacing w:line="480" w:lineRule="exact"/>
        <w:ind w:firstLine="480" w:firstLineChars="200"/>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2、地点：三门峡市公共资源交易中心网（网址：http://gzjy.smx.gov.cn/）</w:t>
      </w:r>
    </w:p>
    <w:p w14:paraId="1EC2EDC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r>
        <w:rPr>
          <w:rFonts w:hint="eastAsia" w:cs="宋体" w:asciiTheme="minorEastAsia" w:hAnsiTheme="minorEastAsia" w:eastAsiaTheme="minorEastAsia"/>
          <w:color w:val="auto"/>
          <w:kern w:val="0"/>
          <w:sz w:val="24"/>
          <w:szCs w:val="24"/>
        </w:rPr>
        <w:br w:type="textWrapping"/>
      </w:r>
      <w:r>
        <w:rPr>
          <w:rFonts w:hint="eastAsia" w:cs="宋体" w:asciiTheme="minorEastAsia" w:hAnsiTheme="minorEastAsia" w:eastAsiaTheme="minorEastAsia"/>
          <w:color w:val="auto"/>
          <w:kern w:val="0"/>
          <w:sz w:val="24"/>
          <w:szCs w:val="24"/>
        </w:rPr>
        <w:t>具体操作请查看以下链接：http://gzjy.smx.gov.cn/bzzx/008001/20200325/1d4d9bd4-82a2-4284-b2f7-428c4c69ef58.html</w:t>
      </w:r>
      <w:r>
        <w:rPr>
          <w:rFonts w:hint="eastAsia" w:cs="宋体" w:asciiTheme="minorEastAsia" w:hAnsiTheme="minorEastAsia" w:eastAsiaTheme="minorEastAsia"/>
          <w:color w:val="auto"/>
          <w:kern w:val="0"/>
          <w:sz w:val="24"/>
          <w:szCs w:val="24"/>
        </w:rPr>
        <w:br w:type="textWrapping"/>
      </w:r>
      <w:r>
        <w:rPr>
          <w:rFonts w:hint="eastAsia" w:cs="宋体" w:asciiTheme="minorEastAsia" w:hAnsiTheme="minorEastAsia" w:eastAsiaTheme="minorEastAsia"/>
          <w:color w:val="auto"/>
          <w:kern w:val="0"/>
          <w:sz w:val="24"/>
          <w:szCs w:val="24"/>
        </w:rPr>
        <w:t>CA证书操作手册：http://gzjy.smx.gov.cn/fwzn/004003/20210114/62052444-fa5b-47bb-8c75-c669600e56a8.html</w:t>
      </w:r>
    </w:p>
    <w:p w14:paraId="57E21649">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4、售价：0元</w:t>
      </w:r>
      <w:r>
        <w:rPr>
          <w:rFonts w:hint="eastAsia" w:cs="宋体" w:asciiTheme="minorEastAsia" w:hAnsiTheme="minorEastAsia" w:eastAsiaTheme="minorEastAsia"/>
          <w:color w:val="auto"/>
          <w:kern w:val="0"/>
          <w:sz w:val="24"/>
          <w:szCs w:val="24"/>
          <w:lang w:eastAsia="zh-CN"/>
        </w:rPr>
        <w:t>。</w:t>
      </w:r>
    </w:p>
    <w:p w14:paraId="26122E2D">
      <w:pPr>
        <w:keepNext w:val="0"/>
        <w:keepLines w:val="0"/>
        <w:pageBreakBefore w:val="0"/>
        <w:widowControl/>
        <w:kinsoku/>
        <w:overflowPunct/>
        <w:topLinePunct w:val="0"/>
        <w:autoSpaceDE/>
        <w:autoSpaceDN/>
        <w:bidi w:val="0"/>
        <w:adjustRightInd/>
        <w:snapToGrid/>
        <w:spacing w:line="420" w:lineRule="exact"/>
        <w:ind w:right="-58"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四、响应文件</w:t>
      </w:r>
      <w:r>
        <w:rPr>
          <w:rFonts w:hint="eastAsia" w:ascii="宋体" w:hAnsi="宋体" w:cs="宋体"/>
          <w:b/>
          <w:bCs/>
          <w:color w:val="auto"/>
          <w:sz w:val="24"/>
          <w:szCs w:val="24"/>
          <w:lang w:val="en-US" w:eastAsia="zh-CN"/>
        </w:rPr>
        <w:t>提交</w:t>
      </w:r>
    </w:p>
    <w:p w14:paraId="6C6A2DCF">
      <w:pPr>
        <w:spacing w:line="480" w:lineRule="exact"/>
        <w:ind w:firstLine="480" w:firstLineChars="200"/>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lang w:eastAsia="en-US"/>
        </w:rPr>
        <w:t>1、截止</w:t>
      </w:r>
      <w:r>
        <w:rPr>
          <w:rFonts w:hint="eastAsia" w:cs="宋体" w:asciiTheme="minorEastAsia" w:hAnsiTheme="minorEastAsia" w:eastAsiaTheme="minorEastAsia"/>
          <w:color w:val="auto"/>
          <w:kern w:val="0"/>
          <w:sz w:val="24"/>
          <w:szCs w:val="24"/>
          <w:highlight w:val="none"/>
          <w:lang w:eastAsia="en-US"/>
        </w:rPr>
        <w:t>时间：</w:t>
      </w:r>
      <w:r>
        <w:rPr>
          <w:rFonts w:hint="eastAsia" w:cs="宋体" w:asciiTheme="minorEastAsia" w:hAnsiTheme="minorEastAsia" w:eastAsiaTheme="minorEastAsia"/>
          <w:color w:val="auto"/>
          <w:kern w:val="0"/>
          <w:sz w:val="24"/>
          <w:szCs w:val="24"/>
          <w:highlight w:val="none"/>
          <w:lang w:eastAsia="zh-CN"/>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lang w:eastAsia="zh-CN"/>
        </w:rPr>
        <w:t>年</w:t>
      </w: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eastAsia="zh-CN"/>
        </w:rPr>
        <w:t>月</w:t>
      </w:r>
      <w:r>
        <w:rPr>
          <w:rFonts w:hint="eastAsia" w:cs="宋体" w:asciiTheme="minorEastAsia" w:hAnsiTheme="minorEastAsia" w:eastAsiaTheme="minorEastAsia"/>
          <w:color w:val="auto"/>
          <w:kern w:val="0"/>
          <w:sz w:val="24"/>
          <w:szCs w:val="24"/>
          <w:highlight w:val="none"/>
          <w:lang w:val="en-US" w:eastAsia="zh-CN"/>
        </w:rPr>
        <w:t>23</w:t>
      </w:r>
      <w:r>
        <w:rPr>
          <w:rFonts w:hint="eastAsia" w:cs="宋体" w:asciiTheme="minorEastAsia" w:hAnsiTheme="minorEastAsia" w:eastAsiaTheme="minorEastAsia"/>
          <w:color w:val="auto"/>
          <w:kern w:val="0"/>
          <w:sz w:val="24"/>
          <w:szCs w:val="24"/>
          <w:highlight w:val="none"/>
          <w:lang w:eastAsia="zh-CN"/>
        </w:rPr>
        <w:t>日</w:t>
      </w:r>
      <w:r>
        <w:rPr>
          <w:rFonts w:hint="eastAsia" w:cs="宋体" w:asciiTheme="minorEastAsia" w:hAnsiTheme="minorEastAsia" w:eastAsiaTheme="minorEastAsia"/>
          <w:color w:val="auto"/>
          <w:kern w:val="0"/>
          <w:sz w:val="24"/>
          <w:szCs w:val="24"/>
          <w:highlight w:val="none"/>
          <w:lang w:val="en-US" w:eastAsia="zh-CN"/>
        </w:rPr>
        <w:t>09</w:t>
      </w:r>
      <w:r>
        <w:rPr>
          <w:rFonts w:hint="eastAsia" w:cs="宋体" w:asciiTheme="minorEastAsia" w:hAnsiTheme="minorEastAsia" w:eastAsiaTheme="minorEastAsia"/>
          <w:color w:val="auto"/>
          <w:kern w:val="0"/>
          <w:sz w:val="24"/>
          <w:szCs w:val="24"/>
          <w:highlight w:val="none"/>
          <w:lang w:eastAsia="zh-CN"/>
        </w:rPr>
        <w:t>时</w:t>
      </w:r>
      <w:r>
        <w:rPr>
          <w:rFonts w:hint="eastAsia" w:cs="宋体" w:asciiTheme="minorEastAsia" w:hAnsiTheme="minorEastAsia" w:eastAsiaTheme="minorEastAsia"/>
          <w:color w:val="auto"/>
          <w:kern w:val="0"/>
          <w:sz w:val="24"/>
          <w:szCs w:val="24"/>
          <w:highlight w:val="none"/>
          <w:lang w:val="en-US" w:eastAsia="zh-CN"/>
        </w:rPr>
        <w:t>00</w:t>
      </w:r>
      <w:r>
        <w:rPr>
          <w:rFonts w:hint="eastAsia" w:cs="宋体" w:asciiTheme="minorEastAsia" w:hAnsiTheme="minorEastAsia" w:eastAsiaTheme="minorEastAsia"/>
          <w:color w:val="auto"/>
          <w:kern w:val="0"/>
          <w:sz w:val="24"/>
          <w:szCs w:val="24"/>
          <w:highlight w:val="none"/>
          <w:lang w:eastAsia="zh-CN"/>
        </w:rPr>
        <w:t>分</w:t>
      </w:r>
      <w:r>
        <w:rPr>
          <w:rFonts w:hint="eastAsia" w:cs="宋体" w:asciiTheme="minorEastAsia" w:hAnsiTheme="minorEastAsia" w:eastAsiaTheme="minorEastAsia"/>
          <w:color w:val="auto"/>
          <w:kern w:val="0"/>
          <w:sz w:val="24"/>
          <w:szCs w:val="24"/>
          <w:highlight w:val="none"/>
          <w:lang w:eastAsia="en-US"/>
        </w:rPr>
        <w:t>（北京时间）</w:t>
      </w:r>
    </w:p>
    <w:p w14:paraId="412AC0D4">
      <w:pPr>
        <w:spacing w:line="480" w:lineRule="exact"/>
        <w:ind w:firstLine="480" w:firstLineChars="20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2、地点：在三门峡市公共资源交易中心网中上传加密响应文件</w:t>
      </w:r>
    </w:p>
    <w:p w14:paraId="3F3CDC9E">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val="en-US" w:eastAsia="zh-CN"/>
        </w:rPr>
        <w:t>响应文件开启</w:t>
      </w:r>
    </w:p>
    <w:p w14:paraId="6EB87A65">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highlight w:val="none"/>
          <w:lang w:val="en-US" w:eastAsia="zh-CN"/>
        </w:rPr>
        <w:t>1、时间：</w:t>
      </w:r>
      <w:r>
        <w:rPr>
          <w:rFonts w:hint="eastAsia" w:cs="宋体" w:asciiTheme="minorEastAsia" w:hAnsiTheme="minorEastAsia" w:eastAsiaTheme="minorEastAsia"/>
          <w:color w:val="auto"/>
          <w:kern w:val="0"/>
          <w:sz w:val="24"/>
          <w:szCs w:val="24"/>
          <w:highlight w:val="none"/>
          <w:lang w:eastAsia="zh-CN"/>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lang w:eastAsia="zh-CN"/>
        </w:rPr>
        <w:t>年</w:t>
      </w: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eastAsia="zh-CN"/>
        </w:rPr>
        <w:t>月</w:t>
      </w:r>
      <w:r>
        <w:rPr>
          <w:rFonts w:hint="eastAsia" w:cs="宋体" w:asciiTheme="minorEastAsia" w:hAnsiTheme="minorEastAsia" w:eastAsiaTheme="minorEastAsia"/>
          <w:color w:val="auto"/>
          <w:kern w:val="0"/>
          <w:sz w:val="24"/>
          <w:szCs w:val="24"/>
          <w:highlight w:val="none"/>
          <w:lang w:val="en-US" w:eastAsia="zh-CN"/>
        </w:rPr>
        <w:t xml:space="preserve"> 23</w:t>
      </w:r>
      <w:r>
        <w:rPr>
          <w:rFonts w:hint="eastAsia" w:cs="宋体" w:asciiTheme="minorEastAsia" w:hAnsiTheme="minorEastAsia" w:eastAsiaTheme="minorEastAsia"/>
          <w:color w:val="auto"/>
          <w:kern w:val="0"/>
          <w:sz w:val="24"/>
          <w:szCs w:val="24"/>
          <w:highlight w:val="none"/>
          <w:lang w:eastAsia="zh-CN"/>
        </w:rPr>
        <w:t>日</w:t>
      </w:r>
      <w:r>
        <w:rPr>
          <w:rFonts w:hint="eastAsia" w:cs="宋体" w:asciiTheme="minorEastAsia" w:hAnsiTheme="minorEastAsia" w:eastAsiaTheme="minorEastAsia"/>
          <w:color w:val="auto"/>
          <w:kern w:val="0"/>
          <w:sz w:val="24"/>
          <w:szCs w:val="24"/>
          <w:highlight w:val="none"/>
          <w:lang w:val="en-US" w:eastAsia="zh-CN"/>
        </w:rPr>
        <w:t>09时00分（</w:t>
      </w:r>
      <w:r>
        <w:rPr>
          <w:rFonts w:hint="eastAsia" w:cs="宋体" w:asciiTheme="minorEastAsia" w:hAnsiTheme="minorEastAsia" w:eastAsiaTheme="minorEastAsia"/>
          <w:color w:val="auto"/>
          <w:kern w:val="0"/>
          <w:sz w:val="24"/>
          <w:szCs w:val="24"/>
          <w:lang w:val="en-US" w:eastAsia="zh-CN"/>
        </w:rPr>
        <w:t>北京时间）</w:t>
      </w:r>
    </w:p>
    <w:p w14:paraId="16FD81F5">
      <w:pPr>
        <w:spacing w:before="175" w:line="219" w:lineRule="auto"/>
        <w:ind w:left="490"/>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2、地点：三门峡市公共资源交易中心五楼开标区</w:t>
      </w:r>
    </w:p>
    <w:p w14:paraId="4F5FA24F">
      <w:pPr>
        <w:spacing w:line="480" w:lineRule="exact"/>
        <w:ind w:firstLine="482" w:firstLineChars="200"/>
        <w:jc w:val="left"/>
        <w:rPr>
          <w:rFonts w:hint="eastAsia" w:cs="宋体" w:asciiTheme="minorEastAsia" w:hAnsiTheme="minorEastAsia" w:eastAsiaTheme="minorEastAsia"/>
          <w:b/>
          <w:bCs/>
          <w:color w:val="auto"/>
          <w:kern w:val="0"/>
          <w:sz w:val="24"/>
          <w:szCs w:val="24"/>
          <w:lang w:val="en-US" w:eastAsia="zh-CN"/>
        </w:rPr>
      </w:pPr>
      <w:r>
        <w:rPr>
          <w:rFonts w:hint="eastAsia" w:cs="宋体" w:asciiTheme="minorEastAsia" w:hAnsiTheme="minorEastAsia" w:eastAsiaTheme="minorEastAsia"/>
          <w:b/>
          <w:bCs/>
          <w:color w:val="auto"/>
          <w:kern w:val="0"/>
          <w:sz w:val="24"/>
          <w:szCs w:val="24"/>
          <w:lang w:val="en-US" w:eastAsia="zh-CN"/>
        </w:rPr>
        <w:t>六、发布公告的媒介及招标公告期限</w:t>
      </w:r>
    </w:p>
    <w:p w14:paraId="06869ED5">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本次招标公告在《河南省政府采购网》、《中国招标投标公共服务平台》、《三门峡市公共资源交易中心》、《三门峡市交通运输局》上发布， 招标公告期限为三个工作日 。</w:t>
      </w:r>
    </w:p>
    <w:p w14:paraId="104E2CC9">
      <w:pPr>
        <w:keepNext w:val="0"/>
        <w:keepLines w:val="0"/>
        <w:pageBreakBefore w:val="0"/>
        <w:widowControl/>
        <w:kinsoku/>
        <w:overflowPunct/>
        <w:topLinePunct w:val="0"/>
        <w:autoSpaceDE/>
        <w:autoSpaceDN/>
        <w:bidi w:val="0"/>
        <w:adjustRightInd/>
        <w:snapToGrid/>
        <w:spacing w:line="420" w:lineRule="exact"/>
        <w:ind w:left="-2" w:leftChars="-1" w:right="-58" w:firstLine="569" w:firstLineChars="236"/>
        <w:jc w:val="left"/>
        <w:textAlignment w:val="auto"/>
        <w:rPr>
          <w:rFonts w:ascii="宋体" w:hAnsi="宋体" w:cs="宋体"/>
          <w:b/>
          <w:bCs/>
          <w:color w:val="auto"/>
          <w:sz w:val="24"/>
          <w:szCs w:val="24"/>
        </w:rPr>
      </w:pPr>
      <w:r>
        <w:rPr>
          <w:rFonts w:hint="eastAsia" w:ascii="宋体" w:hAnsi="宋体" w:cs="宋体"/>
          <w:b/>
          <w:bCs/>
          <w:color w:val="auto"/>
          <w:sz w:val="24"/>
          <w:szCs w:val="24"/>
        </w:rPr>
        <w:t>七、其他补充事宜</w:t>
      </w:r>
    </w:p>
    <w:p w14:paraId="034131E1">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1、根据《河南省财政厅关于优化政府采购营商环境有关问题的通知》（豫财购【2019】4号）第6条的规定，本项目不收取磋商保证金。</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2、本项目资格评审和业绩以响应文件为准，投标人可使用电子营业执照：</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（1）资格评（预）审部分：资格评（预）以响应文件为准，其上传资料真实性由供应商自行承担。</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（2）评审打分部分：评审打分部分仍按照100分制原则进行，涉及到资格审查、企业荣誉、人员业绩、企业业绩等计分部分时，以投标单位自行上传到响应文件中的相应内容为准。</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3）响应文件编制部分：供应商按照响应文件格式进行响应文件编制，在响应文件编制时，应明确将投标单位企业基本情况、资质情况、人员情况、财务情况、业绩情况编入响应文件，便于进行资格审查及评审打分。</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3、本项目为资格后审，资格审查由采购人依法组建的磋商小组负责。审查内容以磋商截止时间前在三门峡市公共资源交易平台“响应文件”上传的信息为准。规定时间外上传或更改的信息不作为评审依据。响应文件中上传的信息真实有效，扫描件清晰可辨。否则，由此造成应得分而未得分或资格审查不合格等情况的，由供应商承担责任。</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4、本项目为电子化、无纸化交易项目，开标时不再接受任何纸质资料，为保证您能投标成功，请需仔细阅读磋商文件和三门峡市公共资源交易中心官网业务办理指南。</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5、我单位（采购人）严格按三财购（2021）9 号文要求的时限发布结果公告，发出成交通知书，签订采购合同，上传采购合同。</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xml:space="preserve">   6、监督部门：三门峡市交通运输局建设管理科</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地 址：三门峡市崤山路中段</w:t>
      </w:r>
      <w:r>
        <w:rPr>
          <w:rFonts w:hint="eastAsia" w:cs="宋体" w:asciiTheme="minorEastAsia" w:hAnsiTheme="minorEastAsia" w:eastAsiaTheme="minorEastAsia"/>
          <w:color w:val="auto"/>
          <w:kern w:val="0"/>
          <w:sz w:val="24"/>
          <w:szCs w:val="24"/>
          <w:lang w:val="en-US" w:eastAsia="zh-CN"/>
        </w:rPr>
        <w:br w:type="textWrapping"/>
      </w:r>
      <w:r>
        <w:rPr>
          <w:rFonts w:hint="eastAsia" w:cs="宋体" w:asciiTheme="minorEastAsia" w:hAnsiTheme="minorEastAsia" w:eastAsiaTheme="minorEastAsia"/>
          <w:color w:val="auto"/>
          <w:kern w:val="0"/>
          <w:sz w:val="24"/>
          <w:szCs w:val="24"/>
          <w:lang w:val="en-US" w:eastAsia="zh-CN"/>
        </w:rPr>
        <w:t>      联系电话：0398-2817693</w:t>
      </w:r>
    </w:p>
    <w:bookmarkEnd w:id="3"/>
    <w:bookmarkEnd w:id="4"/>
    <w:p w14:paraId="244226F1">
      <w:pPr>
        <w:spacing w:line="480" w:lineRule="exact"/>
        <w:ind w:firstLine="482" w:firstLineChars="200"/>
        <w:jc w:val="both"/>
        <w:rPr>
          <w:rFonts w:hint="eastAsia" w:cs="宋体" w:asciiTheme="minorEastAsia" w:hAnsiTheme="minorEastAsia" w:eastAsiaTheme="minorEastAsia"/>
          <w:b/>
          <w:bCs/>
          <w:color w:val="auto"/>
          <w:kern w:val="0"/>
          <w:sz w:val="24"/>
          <w:szCs w:val="24"/>
          <w:lang w:val="en-US" w:eastAsia="zh-CN"/>
        </w:rPr>
      </w:pPr>
      <w:r>
        <w:rPr>
          <w:rFonts w:hint="eastAsia" w:cs="宋体" w:asciiTheme="minorEastAsia" w:hAnsiTheme="minorEastAsia" w:eastAsiaTheme="minorEastAsia"/>
          <w:b/>
          <w:bCs/>
          <w:color w:val="auto"/>
          <w:kern w:val="0"/>
          <w:sz w:val="24"/>
          <w:szCs w:val="24"/>
          <w:lang w:val="en-US" w:eastAsia="zh-CN"/>
        </w:rPr>
        <w:t>八、凡对本次招标提出询问，请按照以下方式联系</w:t>
      </w:r>
    </w:p>
    <w:p w14:paraId="08DCDBF9">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1、采购人信息</w:t>
      </w:r>
    </w:p>
    <w:p w14:paraId="773441B5">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名称：三门峡市公路事业发展中心</w:t>
      </w:r>
    </w:p>
    <w:p w14:paraId="4F4BA072">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地址：三门峡市虢国路东段</w:t>
      </w:r>
    </w:p>
    <w:p w14:paraId="33791DC5">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联系人：杨女士</w:t>
      </w:r>
    </w:p>
    <w:p w14:paraId="62F36A44">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联系方式：0398-2817040</w:t>
      </w:r>
    </w:p>
    <w:p w14:paraId="6EC9BDF6">
      <w:pPr>
        <w:spacing w:line="480" w:lineRule="exact"/>
        <w:ind w:firstLine="480" w:firstLineChars="200"/>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2、采购代理机构信息</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rPr>
        <w:t>如有）</w:t>
      </w:r>
    </w:p>
    <w:p w14:paraId="16350358">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名称：</w:t>
      </w:r>
      <w:r>
        <w:rPr>
          <w:rFonts w:hint="eastAsia" w:ascii="宋体" w:hAnsi="宋体" w:cs="Times New Roman"/>
          <w:color w:val="auto"/>
          <w:kern w:val="0"/>
          <w:sz w:val="24"/>
          <w:szCs w:val="24"/>
          <w:lang w:val="en-US" w:eastAsia="zh-CN"/>
        </w:rPr>
        <w:t>中发祥和工程管理有限公司</w:t>
      </w:r>
    </w:p>
    <w:p w14:paraId="3B28E977">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地址：</w:t>
      </w:r>
      <w:r>
        <w:rPr>
          <w:rFonts w:hint="eastAsia" w:ascii="宋体" w:hAnsi="宋体" w:cs="Times New Roman"/>
          <w:color w:val="auto"/>
          <w:sz w:val="24"/>
          <w:szCs w:val="24"/>
          <w:lang w:val="en-US" w:eastAsia="zh-CN"/>
        </w:rPr>
        <w:t>郑州市中原区建设西路198号院B座12层10号、11号</w:t>
      </w:r>
    </w:p>
    <w:p w14:paraId="2B6CCA40">
      <w:pPr>
        <w:spacing w:line="480" w:lineRule="exact"/>
        <w:ind w:firstLine="480" w:firstLineChars="200"/>
        <w:jc w:val="left"/>
        <w:rPr>
          <w:rFonts w:hint="eastAsia" w:ascii="宋体" w:hAnsi="宋体" w:cs="宋体"/>
          <w:color w:val="auto"/>
          <w:sz w:val="24"/>
          <w:szCs w:val="24"/>
          <w:highlight w:val="none"/>
          <w:lang w:val="en-US" w:eastAsia="zh-CN"/>
        </w:rPr>
      </w:pPr>
      <w:r>
        <w:rPr>
          <w:rFonts w:hint="eastAsia" w:cs="宋体" w:asciiTheme="minorEastAsia" w:hAnsiTheme="minorEastAsia" w:eastAsiaTheme="minorEastAsia"/>
          <w:color w:val="auto"/>
          <w:kern w:val="0"/>
          <w:sz w:val="24"/>
          <w:szCs w:val="24"/>
        </w:rPr>
        <w:t>联系人：</w:t>
      </w:r>
      <w:r>
        <w:rPr>
          <w:rFonts w:hint="eastAsia" w:ascii="宋体" w:hAnsi="宋体" w:cs="宋体"/>
          <w:color w:val="auto"/>
          <w:sz w:val="24"/>
          <w:szCs w:val="24"/>
          <w:highlight w:val="none"/>
          <w:lang w:val="en-US" w:eastAsia="zh-CN"/>
        </w:rPr>
        <w:t>张克玉、李少鹏</w:t>
      </w:r>
    </w:p>
    <w:p w14:paraId="418C2100">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联系方式：</w:t>
      </w:r>
      <w:r>
        <w:rPr>
          <w:rFonts w:hint="eastAsia" w:ascii="宋体" w:hAnsi="宋体" w:cs="宋体"/>
          <w:color w:val="auto"/>
          <w:sz w:val="24"/>
          <w:szCs w:val="24"/>
          <w:highlight w:val="none"/>
          <w:lang w:val="en-US" w:eastAsia="zh-CN"/>
        </w:rPr>
        <w:t>0371-67819811</w:t>
      </w:r>
      <w:r>
        <w:rPr>
          <w:rFonts w:hint="eastAsia" w:cs="宋体" w:asciiTheme="minorEastAsia" w:hAnsiTheme="minorEastAsia" w:eastAsiaTheme="minorEastAsia"/>
          <w:color w:val="auto"/>
          <w:kern w:val="0"/>
          <w:sz w:val="24"/>
          <w:szCs w:val="24"/>
          <w:lang w:val="en-US" w:eastAsia="zh-CN"/>
        </w:rPr>
        <w:t xml:space="preserve">  </w:t>
      </w:r>
    </w:p>
    <w:p w14:paraId="20C4237B">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3、项目联系方式</w:t>
      </w:r>
    </w:p>
    <w:p w14:paraId="7F493270">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项目联系人：</w:t>
      </w:r>
      <w:r>
        <w:rPr>
          <w:rFonts w:hint="eastAsia" w:ascii="宋体" w:hAnsi="宋体" w:cs="宋体"/>
          <w:color w:val="auto"/>
          <w:sz w:val="24"/>
          <w:szCs w:val="24"/>
          <w:highlight w:val="none"/>
          <w:lang w:val="en-US" w:eastAsia="zh-CN"/>
        </w:rPr>
        <w:t>张克玉、李少鹏</w:t>
      </w:r>
    </w:p>
    <w:p w14:paraId="21F85678">
      <w:pPr>
        <w:spacing w:line="480" w:lineRule="exact"/>
        <w:ind w:firstLine="480" w:firstLineChars="200"/>
        <w:jc w:val="both"/>
        <w:rPr>
          <w:rFonts w:hint="default" w:ascii="宋体" w:hAnsi="宋体" w:cs="宋体"/>
          <w:color w:val="auto"/>
          <w:sz w:val="24"/>
          <w:szCs w:val="24"/>
          <w:highlight w:val="none"/>
          <w:lang w:val="en-US" w:eastAsia="zh-CN"/>
        </w:rPr>
      </w:pPr>
      <w:r>
        <w:rPr>
          <w:rFonts w:hint="eastAsia" w:cs="宋体" w:asciiTheme="minorEastAsia" w:hAnsiTheme="minorEastAsia" w:eastAsiaTheme="minorEastAsia"/>
          <w:color w:val="auto"/>
          <w:kern w:val="0"/>
          <w:sz w:val="24"/>
          <w:szCs w:val="24"/>
        </w:rPr>
        <w:t xml:space="preserve">联系方式： </w:t>
      </w:r>
      <w:r>
        <w:rPr>
          <w:rFonts w:hint="eastAsia" w:ascii="宋体" w:hAnsi="宋体" w:cs="宋体"/>
          <w:color w:val="auto"/>
          <w:sz w:val="24"/>
          <w:szCs w:val="24"/>
          <w:highlight w:val="none"/>
          <w:lang w:val="en-US" w:eastAsia="zh-CN"/>
        </w:rPr>
        <w:t>0371-67819811、15639044333</w:t>
      </w:r>
    </w:p>
    <w:p w14:paraId="5D5184BC">
      <w:pPr>
        <w:numPr>
          <w:ilvl w:val="0"/>
          <w:numId w:val="1"/>
        </w:numPr>
        <w:spacing w:line="480" w:lineRule="exact"/>
        <w:ind w:firstLine="480" w:firstLineChars="200"/>
        <w:jc w:val="left"/>
        <w:rPr>
          <w:rFonts w:hint="default" w:cs="宋体" w:asciiTheme="minorEastAsia" w:hAnsiTheme="minorEastAsia" w:eastAsiaTheme="minorEastAsia"/>
          <w:color w:val="auto"/>
          <w:kern w:val="0"/>
          <w:sz w:val="24"/>
          <w:szCs w:val="24"/>
          <w:lang w:val="en-US" w:eastAsia="zh-CN"/>
        </w:rPr>
        <w:sectPr>
          <w:footerReference r:id="rId7" w:type="default"/>
          <w:pgSz w:w="11910" w:h="16840"/>
          <w:pgMar w:top="1242" w:right="965" w:bottom="1082" w:left="1249" w:header="0" w:footer="947" w:gutter="0"/>
          <w:pgNumType w:fmt="decimal" w:start="1"/>
          <w:cols w:space="720" w:num="1"/>
        </w:sectPr>
      </w:pPr>
    </w:p>
    <w:p w14:paraId="53F61ABC">
      <w:pPr>
        <w:pStyle w:val="3"/>
        <w:bidi w:val="0"/>
        <w:spacing w:line="240" w:lineRule="auto"/>
        <w:jc w:val="center"/>
        <w:rPr>
          <w:rFonts w:hint="eastAsia"/>
          <w:color w:val="auto"/>
          <w:sz w:val="40"/>
          <w:szCs w:val="22"/>
        </w:rPr>
      </w:pPr>
      <w:bookmarkStart w:id="7" w:name="_Toc17515"/>
      <w:bookmarkStart w:id="8" w:name="_Toc378"/>
      <w:bookmarkStart w:id="9" w:name="_Toc6843180"/>
      <w:r>
        <w:rPr>
          <w:rFonts w:hint="eastAsia"/>
          <w:color w:val="auto"/>
          <w:sz w:val="40"/>
          <w:szCs w:val="22"/>
        </w:rPr>
        <w:t>第二章 供应商须知</w:t>
      </w:r>
      <w:bookmarkEnd w:id="7"/>
      <w:bookmarkEnd w:id="8"/>
      <w:bookmarkEnd w:id="9"/>
    </w:p>
    <w:p w14:paraId="0613A5CC">
      <w:pPr>
        <w:jc w:val="center"/>
        <w:rPr>
          <w:rFonts w:hint="eastAsia" w:ascii="宋体" w:hAnsi="宋体" w:cs="宋体"/>
          <w:b/>
          <w:color w:val="auto"/>
          <w:sz w:val="18"/>
          <w:szCs w:val="18"/>
        </w:rPr>
      </w:pPr>
      <w:r>
        <w:rPr>
          <w:rFonts w:hint="eastAsia" w:ascii="宋体" w:hAnsi="宋体" w:cs="宋体"/>
          <w:color w:val="auto"/>
          <w:sz w:val="28"/>
          <w:szCs w:val="28"/>
        </w:rPr>
        <w:t>供应商须知前附表</w:t>
      </w:r>
    </w:p>
    <w:tbl>
      <w:tblPr>
        <w:tblStyle w:val="20"/>
        <w:tblW w:w="9677" w:type="dxa"/>
        <w:jc w:val="center"/>
        <w:tblLayout w:type="fixed"/>
        <w:tblCellMar>
          <w:top w:w="0" w:type="dxa"/>
          <w:left w:w="108" w:type="dxa"/>
          <w:bottom w:w="0" w:type="dxa"/>
          <w:right w:w="108" w:type="dxa"/>
        </w:tblCellMar>
      </w:tblPr>
      <w:tblGrid>
        <w:gridCol w:w="985"/>
        <w:gridCol w:w="1725"/>
        <w:gridCol w:w="6967"/>
      </w:tblGrid>
      <w:tr w14:paraId="3EAC2009">
        <w:tblPrEx>
          <w:tblCellMar>
            <w:top w:w="0" w:type="dxa"/>
            <w:left w:w="108" w:type="dxa"/>
            <w:bottom w:w="0" w:type="dxa"/>
            <w:right w:w="108" w:type="dxa"/>
          </w:tblCellMar>
        </w:tblPrEx>
        <w:trPr>
          <w:trHeight w:val="631" w:hRule="atLeast"/>
          <w:tblHeader/>
          <w:jc w:val="center"/>
        </w:trPr>
        <w:tc>
          <w:tcPr>
            <w:tcW w:w="985" w:type="dxa"/>
            <w:tcBorders>
              <w:top w:val="single" w:color="000000" w:sz="12" w:space="0"/>
              <w:left w:val="single" w:color="000000" w:sz="12" w:space="0"/>
              <w:bottom w:val="single" w:color="000000" w:sz="6" w:space="0"/>
            </w:tcBorders>
            <w:noWrap w:val="0"/>
            <w:vAlign w:val="center"/>
          </w:tcPr>
          <w:p w14:paraId="5D723E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25" w:type="dxa"/>
            <w:tcBorders>
              <w:top w:val="single" w:color="000000" w:sz="12" w:space="0"/>
              <w:left w:val="single" w:color="000000" w:sz="6" w:space="0"/>
              <w:bottom w:val="single" w:color="000000" w:sz="6" w:space="0"/>
            </w:tcBorders>
            <w:noWrap w:val="0"/>
            <w:vAlign w:val="center"/>
          </w:tcPr>
          <w:p w14:paraId="4F8F1B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967" w:type="dxa"/>
            <w:tcBorders>
              <w:top w:val="single" w:color="000000" w:sz="12" w:space="0"/>
              <w:left w:val="single" w:color="000000" w:sz="6" w:space="0"/>
              <w:bottom w:val="single" w:color="000000" w:sz="6" w:space="0"/>
              <w:right w:val="single" w:color="000000" w:sz="12" w:space="0"/>
            </w:tcBorders>
            <w:noWrap w:val="0"/>
            <w:vAlign w:val="center"/>
          </w:tcPr>
          <w:p w14:paraId="24D385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 列 内 容</w:t>
            </w:r>
          </w:p>
        </w:tc>
      </w:tr>
      <w:tr w14:paraId="395BF8B0">
        <w:tblPrEx>
          <w:tblCellMar>
            <w:top w:w="0" w:type="dxa"/>
            <w:left w:w="108" w:type="dxa"/>
            <w:bottom w:w="0" w:type="dxa"/>
            <w:right w:w="108" w:type="dxa"/>
          </w:tblCellMar>
        </w:tblPrEx>
        <w:trPr>
          <w:trHeight w:val="787" w:hRule="atLeast"/>
          <w:jc w:val="center"/>
        </w:trPr>
        <w:tc>
          <w:tcPr>
            <w:tcW w:w="985" w:type="dxa"/>
            <w:tcBorders>
              <w:top w:val="single" w:color="000000" w:sz="6" w:space="0"/>
              <w:left w:val="single" w:color="000000" w:sz="12" w:space="0"/>
              <w:bottom w:val="single" w:color="000000" w:sz="6" w:space="0"/>
            </w:tcBorders>
            <w:noWrap w:val="0"/>
            <w:vAlign w:val="center"/>
          </w:tcPr>
          <w:p w14:paraId="3974A84F">
            <w:pPr>
              <w:jc w:val="center"/>
              <w:rPr>
                <w:rFonts w:hint="eastAsia" w:ascii="宋体" w:hAnsi="宋体" w:cs="宋体"/>
                <w:color w:val="auto"/>
                <w:sz w:val="24"/>
                <w:szCs w:val="24"/>
              </w:rPr>
            </w:pPr>
            <w:r>
              <w:rPr>
                <w:rFonts w:hint="eastAsia" w:ascii="宋体" w:hAnsi="宋体" w:cs="宋体"/>
                <w:color w:val="auto"/>
                <w:sz w:val="24"/>
                <w:szCs w:val="24"/>
              </w:rPr>
              <w:t>1</w:t>
            </w:r>
          </w:p>
        </w:tc>
        <w:tc>
          <w:tcPr>
            <w:tcW w:w="1725" w:type="dxa"/>
            <w:tcBorders>
              <w:top w:val="single" w:color="000000" w:sz="6" w:space="0"/>
              <w:left w:val="single" w:color="000000" w:sz="6" w:space="0"/>
              <w:bottom w:val="single" w:color="000000" w:sz="6" w:space="0"/>
            </w:tcBorders>
            <w:noWrap w:val="0"/>
            <w:vAlign w:val="center"/>
          </w:tcPr>
          <w:p w14:paraId="7C11E294">
            <w:pPr>
              <w:jc w:val="center"/>
              <w:rPr>
                <w:rFonts w:hint="eastAsia" w:ascii="宋体" w:hAnsi="宋体" w:cs="宋体"/>
                <w:color w:val="auto"/>
                <w:sz w:val="24"/>
                <w:szCs w:val="24"/>
              </w:rPr>
            </w:pPr>
            <w:r>
              <w:rPr>
                <w:rFonts w:hint="eastAsia" w:ascii="宋体" w:hAnsi="宋体" w:cs="宋体"/>
                <w:color w:val="auto"/>
                <w:sz w:val="24"/>
                <w:szCs w:val="24"/>
              </w:rPr>
              <w:t>采 购 人</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0184E0B">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采购人：三门峡市公路事业发展中心</w:t>
            </w:r>
          </w:p>
          <w:p w14:paraId="4CB10F15">
            <w:pPr>
              <w:widowControl/>
              <w:spacing w:line="360" w:lineRule="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 xml:space="preserve">联系人：杨女士      </w:t>
            </w:r>
          </w:p>
          <w:p w14:paraId="0B67BC4D">
            <w:pPr>
              <w:widowControl/>
              <w:spacing w:line="360" w:lineRule="auto"/>
              <w:rPr>
                <w:rFonts w:hint="default" w:ascii="宋体" w:hAnsi="宋体" w:eastAsia="宋体" w:cs="宋体"/>
                <w:color w:val="auto"/>
                <w:sz w:val="24"/>
                <w:szCs w:val="24"/>
                <w:lang w:val="en-US" w:eastAsia="zh-CN"/>
              </w:rPr>
            </w:pPr>
            <w:r>
              <w:rPr>
                <w:rFonts w:hint="eastAsia" w:cs="宋体" w:asciiTheme="minorEastAsia" w:hAnsiTheme="minorEastAsia" w:eastAsiaTheme="minorEastAsia"/>
                <w:color w:val="auto"/>
                <w:kern w:val="0"/>
                <w:sz w:val="24"/>
                <w:szCs w:val="24"/>
                <w:lang w:val="en-US" w:eastAsia="zh-CN"/>
              </w:rPr>
              <w:t>联系电话：0398-2817040</w:t>
            </w:r>
          </w:p>
        </w:tc>
      </w:tr>
      <w:tr w14:paraId="1377A166">
        <w:tblPrEx>
          <w:tblCellMar>
            <w:top w:w="0" w:type="dxa"/>
            <w:left w:w="108" w:type="dxa"/>
            <w:bottom w:w="0" w:type="dxa"/>
            <w:right w:w="108" w:type="dxa"/>
          </w:tblCellMar>
        </w:tblPrEx>
        <w:trPr>
          <w:trHeight w:val="803" w:hRule="atLeast"/>
          <w:jc w:val="center"/>
        </w:trPr>
        <w:tc>
          <w:tcPr>
            <w:tcW w:w="985" w:type="dxa"/>
            <w:tcBorders>
              <w:top w:val="single" w:color="000000" w:sz="6" w:space="0"/>
              <w:left w:val="single" w:color="000000" w:sz="12" w:space="0"/>
              <w:bottom w:val="single" w:color="000000" w:sz="6" w:space="0"/>
            </w:tcBorders>
            <w:noWrap w:val="0"/>
            <w:vAlign w:val="center"/>
          </w:tcPr>
          <w:p w14:paraId="1733739A">
            <w:pPr>
              <w:jc w:val="center"/>
              <w:rPr>
                <w:rFonts w:hint="eastAsia" w:ascii="宋体" w:hAnsi="宋体" w:cs="宋体"/>
                <w:color w:val="auto"/>
                <w:sz w:val="24"/>
                <w:szCs w:val="24"/>
              </w:rPr>
            </w:pPr>
            <w:r>
              <w:rPr>
                <w:rFonts w:hint="eastAsia" w:ascii="宋体" w:hAnsi="宋体" w:cs="宋体"/>
                <w:color w:val="auto"/>
                <w:sz w:val="24"/>
                <w:szCs w:val="24"/>
              </w:rPr>
              <w:t>2</w:t>
            </w:r>
          </w:p>
        </w:tc>
        <w:tc>
          <w:tcPr>
            <w:tcW w:w="1725" w:type="dxa"/>
            <w:tcBorders>
              <w:top w:val="single" w:color="000000" w:sz="6" w:space="0"/>
              <w:left w:val="single" w:color="000000" w:sz="6" w:space="0"/>
              <w:bottom w:val="single" w:color="000000" w:sz="6" w:space="0"/>
            </w:tcBorders>
            <w:noWrap w:val="0"/>
            <w:vAlign w:val="center"/>
          </w:tcPr>
          <w:p w14:paraId="2CA4243C">
            <w:pPr>
              <w:jc w:val="center"/>
              <w:rPr>
                <w:rFonts w:hint="eastAsia" w:ascii="宋体" w:hAnsi="宋体" w:cs="宋体"/>
                <w:color w:val="auto"/>
                <w:sz w:val="24"/>
                <w:szCs w:val="24"/>
              </w:rPr>
            </w:pPr>
            <w:r>
              <w:rPr>
                <w:rFonts w:hint="eastAsia" w:ascii="宋体" w:hAnsi="宋体" w:cs="宋体"/>
                <w:color w:val="auto"/>
                <w:sz w:val="24"/>
                <w:szCs w:val="24"/>
                <w:lang w:val="en-US" w:eastAsia="zh-CN"/>
              </w:rPr>
              <w:t>采购</w:t>
            </w:r>
            <w:r>
              <w:rPr>
                <w:rFonts w:hint="eastAsia" w:ascii="宋体" w:hAnsi="宋体" w:cs="宋体"/>
                <w:color w:val="auto"/>
                <w:sz w:val="24"/>
                <w:szCs w:val="24"/>
              </w:rPr>
              <w:t>代理机构</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1AF865A">
            <w:pPr>
              <w:widowControl/>
              <w:spacing w:line="360" w:lineRule="auto"/>
              <w:rPr>
                <w:rFonts w:hint="eastAsia" w:asciiTheme="minorEastAsia" w:hAnsiTheme="minorEastAsia" w:eastAsiaTheme="minorEastAsia"/>
                <w:color w:val="auto"/>
                <w:kern w:val="0"/>
                <w:sz w:val="24"/>
                <w:szCs w:val="24"/>
                <w:lang w:eastAsia="zh-CN"/>
              </w:rPr>
            </w:pPr>
            <w:r>
              <w:rPr>
                <w:rFonts w:hint="eastAsia" w:asciiTheme="minorEastAsia" w:hAnsiTheme="minorEastAsia" w:eastAsiaTheme="minorEastAsia"/>
                <w:color w:val="auto"/>
                <w:kern w:val="0"/>
                <w:sz w:val="24"/>
                <w:szCs w:val="24"/>
              </w:rPr>
              <w:t>名称：</w:t>
            </w:r>
            <w:r>
              <w:rPr>
                <w:rFonts w:hint="eastAsia" w:asciiTheme="minorEastAsia" w:hAnsiTheme="minorEastAsia" w:eastAsiaTheme="minorEastAsia"/>
                <w:color w:val="auto"/>
                <w:kern w:val="0"/>
                <w:sz w:val="24"/>
                <w:szCs w:val="24"/>
                <w:lang w:eastAsia="zh-CN"/>
              </w:rPr>
              <w:t>中发祥和工程管理有限公司</w:t>
            </w:r>
          </w:p>
          <w:p w14:paraId="5094E409">
            <w:pPr>
              <w:widowControl/>
              <w:spacing w:line="360" w:lineRule="auto"/>
              <w:rPr>
                <w:rFonts w:hint="eastAsia" w:cs="Times New Roman" w:asciiTheme="minorEastAsia" w:hAnsiTheme="minorEastAsia" w:eastAsiaTheme="minorEastAsia"/>
                <w:color w:val="auto"/>
                <w:kern w:val="0"/>
                <w:sz w:val="24"/>
                <w:szCs w:val="24"/>
                <w:lang w:val="en-US" w:eastAsia="zh-CN"/>
              </w:rPr>
            </w:pPr>
            <w:r>
              <w:rPr>
                <w:rFonts w:hint="eastAsia" w:cs="Times New Roman" w:asciiTheme="minorEastAsia" w:hAnsiTheme="minorEastAsia" w:eastAsiaTheme="minorEastAsia"/>
                <w:color w:val="auto"/>
                <w:kern w:val="0"/>
                <w:sz w:val="24"/>
                <w:szCs w:val="24"/>
              </w:rPr>
              <w:t>地址：</w:t>
            </w:r>
            <w:r>
              <w:rPr>
                <w:rFonts w:hint="eastAsia" w:cs="Times New Roman" w:asciiTheme="minorEastAsia" w:hAnsiTheme="minorEastAsia" w:eastAsiaTheme="minorEastAsia"/>
                <w:color w:val="auto"/>
                <w:kern w:val="0"/>
                <w:sz w:val="24"/>
                <w:szCs w:val="24"/>
                <w:lang w:val="en-US" w:eastAsia="zh-CN"/>
              </w:rPr>
              <w:t>郑州市中原区建设西路198号院B座12层10号、11号</w:t>
            </w:r>
          </w:p>
          <w:p w14:paraId="2FD52EB1">
            <w:pPr>
              <w:widowControl/>
              <w:spacing w:line="360" w:lineRule="auto"/>
              <w:rPr>
                <w:rFonts w:hint="eastAsia" w:cs="Times New Roman" w:asciiTheme="minorEastAsia" w:hAnsiTheme="minorEastAsia" w:eastAsiaTheme="minorEastAsia"/>
                <w:color w:val="auto"/>
                <w:kern w:val="0"/>
                <w:sz w:val="24"/>
                <w:szCs w:val="24"/>
              </w:rPr>
            </w:pPr>
            <w:r>
              <w:rPr>
                <w:rFonts w:hint="eastAsia" w:cs="Times New Roman" w:asciiTheme="minorEastAsia" w:hAnsiTheme="minorEastAsia" w:eastAsiaTheme="minorEastAsia"/>
                <w:color w:val="auto"/>
                <w:kern w:val="0"/>
                <w:sz w:val="24"/>
                <w:szCs w:val="24"/>
              </w:rPr>
              <w:t>联系人：</w:t>
            </w:r>
            <w:r>
              <w:rPr>
                <w:rFonts w:hint="eastAsia" w:cs="Times New Roman" w:asciiTheme="minorEastAsia" w:hAnsiTheme="minorEastAsia" w:eastAsiaTheme="minorEastAsia"/>
                <w:color w:val="auto"/>
                <w:kern w:val="0"/>
                <w:sz w:val="24"/>
                <w:szCs w:val="24"/>
                <w:lang w:val="en-US" w:eastAsia="zh-CN"/>
              </w:rPr>
              <w:t>张克玉、李少鹏</w:t>
            </w:r>
          </w:p>
          <w:p w14:paraId="09D8229F">
            <w:pPr>
              <w:widowControl/>
              <w:spacing w:line="360" w:lineRule="auto"/>
              <w:rPr>
                <w:rFonts w:ascii="宋体" w:hAnsi="宋体" w:cs="宋体"/>
                <w:color w:val="auto"/>
                <w:sz w:val="24"/>
                <w:szCs w:val="24"/>
              </w:rPr>
            </w:pPr>
            <w:r>
              <w:rPr>
                <w:rFonts w:hint="eastAsia" w:cs="Times New Roman" w:asciiTheme="minorEastAsia" w:hAnsiTheme="minorEastAsia" w:eastAsiaTheme="minorEastAsia"/>
                <w:color w:val="auto"/>
                <w:kern w:val="0"/>
                <w:sz w:val="24"/>
                <w:szCs w:val="24"/>
              </w:rPr>
              <w:t>联系方式：</w:t>
            </w:r>
            <w:r>
              <w:rPr>
                <w:rFonts w:hint="eastAsia" w:cs="Times New Roman" w:asciiTheme="minorEastAsia" w:hAnsiTheme="minorEastAsia" w:eastAsiaTheme="minorEastAsia"/>
                <w:color w:val="auto"/>
                <w:kern w:val="0"/>
                <w:sz w:val="24"/>
                <w:szCs w:val="24"/>
                <w:lang w:val="en-US" w:eastAsia="zh-CN"/>
              </w:rPr>
              <w:t>0371-67819811、15639044333</w:t>
            </w:r>
          </w:p>
        </w:tc>
      </w:tr>
      <w:tr w14:paraId="2E579663">
        <w:tblPrEx>
          <w:tblCellMar>
            <w:top w:w="0" w:type="dxa"/>
            <w:left w:w="108" w:type="dxa"/>
            <w:bottom w:w="0" w:type="dxa"/>
            <w:right w:w="108" w:type="dxa"/>
          </w:tblCellMar>
        </w:tblPrEx>
        <w:trPr>
          <w:trHeight w:val="697" w:hRule="atLeast"/>
          <w:jc w:val="center"/>
        </w:trPr>
        <w:tc>
          <w:tcPr>
            <w:tcW w:w="985" w:type="dxa"/>
            <w:tcBorders>
              <w:top w:val="single" w:color="000000" w:sz="6" w:space="0"/>
              <w:left w:val="single" w:color="000000" w:sz="12" w:space="0"/>
              <w:bottom w:val="single" w:color="000000" w:sz="6" w:space="0"/>
            </w:tcBorders>
            <w:noWrap w:val="0"/>
            <w:vAlign w:val="center"/>
          </w:tcPr>
          <w:p w14:paraId="18BC8DCE">
            <w:pPr>
              <w:jc w:val="center"/>
              <w:rPr>
                <w:rFonts w:hint="eastAsia" w:ascii="宋体" w:hAnsi="宋体" w:cs="宋体"/>
                <w:color w:val="auto"/>
                <w:sz w:val="24"/>
                <w:szCs w:val="24"/>
              </w:rPr>
            </w:pPr>
            <w:r>
              <w:rPr>
                <w:rFonts w:hint="eastAsia" w:ascii="宋体" w:hAnsi="宋体" w:cs="宋体"/>
                <w:color w:val="auto"/>
                <w:sz w:val="24"/>
                <w:szCs w:val="24"/>
              </w:rPr>
              <w:t>3</w:t>
            </w:r>
          </w:p>
        </w:tc>
        <w:tc>
          <w:tcPr>
            <w:tcW w:w="1725" w:type="dxa"/>
            <w:tcBorders>
              <w:top w:val="single" w:color="000000" w:sz="6" w:space="0"/>
              <w:left w:val="single" w:color="000000" w:sz="6" w:space="0"/>
              <w:bottom w:val="single" w:color="000000" w:sz="6" w:space="0"/>
            </w:tcBorders>
            <w:noWrap w:val="0"/>
            <w:vAlign w:val="center"/>
          </w:tcPr>
          <w:p w14:paraId="5E90A93A">
            <w:pPr>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6AFF61D">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olor w:val="auto"/>
                <w:sz w:val="24"/>
                <w:szCs w:val="24"/>
                <w:lang w:eastAsia="zh-CN"/>
              </w:rPr>
            </w:pPr>
            <w:r>
              <w:rPr>
                <w:rFonts w:hint="eastAsia" w:ascii="宋体" w:hAnsi="宋体" w:cs="宋体"/>
                <w:bCs/>
                <w:color w:val="auto"/>
                <w:sz w:val="24"/>
                <w:szCs w:val="24"/>
                <w:lang w:val="en-US" w:eastAsia="zh-CN"/>
              </w:rPr>
              <w:t>河南省“一轴一廊”交通基础设施数字化转型升级示范通道及网络项目（三门峡市普通公路）监理</w:t>
            </w:r>
          </w:p>
        </w:tc>
      </w:tr>
      <w:tr w14:paraId="225B8776">
        <w:tblPrEx>
          <w:tblCellMar>
            <w:top w:w="0" w:type="dxa"/>
            <w:left w:w="108" w:type="dxa"/>
            <w:bottom w:w="0" w:type="dxa"/>
            <w:right w:w="108" w:type="dxa"/>
          </w:tblCellMar>
        </w:tblPrEx>
        <w:trPr>
          <w:trHeight w:val="680" w:hRule="atLeast"/>
          <w:jc w:val="center"/>
        </w:trPr>
        <w:tc>
          <w:tcPr>
            <w:tcW w:w="985" w:type="dxa"/>
            <w:tcBorders>
              <w:top w:val="single" w:color="000000" w:sz="6" w:space="0"/>
              <w:left w:val="single" w:color="000000" w:sz="12" w:space="0"/>
              <w:bottom w:val="single" w:color="000000" w:sz="6" w:space="0"/>
            </w:tcBorders>
            <w:noWrap w:val="0"/>
            <w:vAlign w:val="center"/>
          </w:tcPr>
          <w:p w14:paraId="62AA469B">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4</w:t>
            </w:r>
          </w:p>
        </w:tc>
        <w:tc>
          <w:tcPr>
            <w:tcW w:w="1725" w:type="dxa"/>
            <w:tcBorders>
              <w:top w:val="single" w:color="000000" w:sz="6" w:space="0"/>
              <w:left w:val="single" w:color="000000" w:sz="6" w:space="0"/>
              <w:bottom w:val="single" w:color="000000" w:sz="6" w:space="0"/>
            </w:tcBorders>
            <w:noWrap w:val="0"/>
            <w:vAlign w:val="center"/>
          </w:tcPr>
          <w:p w14:paraId="444F5A23">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项目编号</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2C10F220">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三财竞磋采购-2026-1、SGZ[2026]008-ZC004</w:t>
            </w:r>
          </w:p>
        </w:tc>
      </w:tr>
      <w:tr w14:paraId="10DA09F9">
        <w:tblPrEx>
          <w:tblCellMar>
            <w:top w:w="0" w:type="dxa"/>
            <w:left w:w="108" w:type="dxa"/>
            <w:bottom w:w="0" w:type="dxa"/>
            <w:right w:w="108" w:type="dxa"/>
          </w:tblCellMar>
        </w:tblPrEx>
        <w:trPr>
          <w:trHeight w:val="614" w:hRule="atLeast"/>
          <w:jc w:val="center"/>
        </w:trPr>
        <w:tc>
          <w:tcPr>
            <w:tcW w:w="985" w:type="dxa"/>
            <w:tcBorders>
              <w:top w:val="single" w:color="000000" w:sz="6" w:space="0"/>
              <w:left w:val="single" w:color="000000" w:sz="12" w:space="0"/>
              <w:bottom w:val="single" w:color="000000" w:sz="6" w:space="0"/>
            </w:tcBorders>
            <w:noWrap w:val="0"/>
            <w:vAlign w:val="center"/>
          </w:tcPr>
          <w:p w14:paraId="63D3BFC6">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5</w:t>
            </w:r>
          </w:p>
        </w:tc>
        <w:tc>
          <w:tcPr>
            <w:tcW w:w="1725" w:type="dxa"/>
            <w:tcBorders>
              <w:top w:val="single" w:color="000000" w:sz="6" w:space="0"/>
              <w:left w:val="single" w:color="000000" w:sz="6" w:space="0"/>
              <w:bottom w:val="single" w:color="000000" w:sz="6" w:space="0"/>
            </w:tcBorders>
            <w:noWrap w:val="0"/>
            <w:vAlign w:val="center"/>
          </w:tcPr>
          <w:p w14:paraId="5811245D">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项目地点</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1053940">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ascii="宋体" w:hAnsi="宋体" w:cs="宋体"/>
                <w:color w:val="auto"/>
                <w:sz w:val="24"/>
                <w:lang w:eastAsia="zh-CN"/>
              </w:rPr>
              <w:t>三门峡市</w:t>
            </w:r>
          </w:p>
        </w:tc>
      </w:tr>
      <w:tr w14:paraId="589266C4">
        <w:tblPrEx>
          <w:tblCellMar>
            <w:top w:w="0" w:type="dxa"/>
            <w:left w:w="108" w:type="dxa"/>
            <w:bottom w:w="0" w:type="dxa"/>
            <w:right w:w="108" w:type="dxa"/>
          </w:tblCellMar>
        </w:tblPrEx>
        <w:trPr>
          <w:trHeight w:val="1409" w:hRule="atLeast"/>
          <w:jc w:val="center"/>
        </w:trPr>
        <w:tc>
          <w:tcPr>
            <w:tcW w:w="985" w:type="dxa"/>
            <w:tcBorders>
              <w:top w:val="single" w:color="000000" w:sz="6" w:space="0"/>
              <w:left w:val="single" w:color="000000" w:sz="12" w:space="0"/>
              <w:bottom w:val="single" w:color="000000" w:sz="6" w:space="0"/>
            </w:tcBorders>
            <w:noWrap w:val="0"/>
            <w:vAlign w:val="center"/>
          </w:tcPr>
          <w:p w14:paraId="6D331960">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1725" w:type="dxa"/>
            <w:tcBorders>
              <w:top w:val="single" w:color="000000" w:sz="6" w:space="0"/>
              <w:left w:val="single" w:color="000000" w:sz="6" w:space="0"/>
              <w:bottom w:val="single" w:color="000000" w:sz="6" w:space="0"/>
            </w:tcBorders>
            <w:noWrap w:val="0"/>
            <w:vAlign w:val="center"/>
          </w:tcPr>
          <w:p w14:paraId="60F94705">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项目概况</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C5A6547">
            <w:pPr>
              <w:keepNext w:val="0"/>
              <w:keepLines w:val="0"/>
              <w:pageBreakBefore w:val="0"/>
              <w:kinsoku/>
              <w:wordWrap/>
              <w:overflowPunct/>
              <w:topLinePunct w:val="0"/>
              <w:autoSpaceDE/>
              <w:autoSpaceDN/>
              <w:bidi w:val="0"/>
              <w:snapToGrid/>
              <w:spacing w:line="400" w:lineRule="exact"/>
              <w:ind w:firstLine="0" w:firstLineChars="0"/>
              <w:rPr>
                <w:rFonts w:ascii="宋体" w:hAnsi="宋体"/>
                <w:color w:val="auto"/>
                <w:sz w:val="24"/>
                <w:szCs w:val="24"/>
              </w:rPr>
            </w:pPr>
            <w:r>
              <w:rPr>
                <w:rFonts w:hint="eastAsia" w:ascii="宋体" w:hAnsi="宋体"/>
                <w:color w:val="auto"/>
                <w:sz w:val="24"/>
                <w:szCs w:val="24"/>
              </w:rPr>
              <w:t>项目概况：</w:t>
            </w:r>
            <w:r>
              <w:rPr>
                <w:rFonts w:hint="eastAsia" w:ascii="宋体" w:hAnsi="宋体"/>
                <w:color w:val="auto"/>
                <w:sz w:val="24"/>
                <w:szCs w:val="24"/>
                <w:lang w:val="en-US" w:eastAsia="zh-CN"/>
              </w:rPr>
              <w:t>主要包括河南省“一轴一廊”交通基础设施数字化转型升级示范通道及网络项目（三门峡市普通公路）的施工监理及缺陷责任期的工程修复等监理服务工作</w:t>
            </w:r>
            <w:r>
              <w:rPr>
                <w:rFonts w:hint="eastAsia" w:ascii="宋体" w:hAnsi="宋体" w:cs="宋体"/>
                <w:color w:val="auto"/>
                <w:sz w:val="24"/>
                <w:szCs w:val="24"/>
                <w:lang w:eastAsia="zh-CN"/>
              </w:rPr>
              <w:t>。</w:t>
            </w:r>
          </w:p>
        </w:tc>
      </w:tr>
      <w:tr w14:paraId="664BEA64">
        <w:tblPrEx>
          <w:tblCellMar>
            <w:top w:w="0" w:type="dxa"/>
            <w:left w:w="108" w:type="dxa"/>
            <w:bottom w:w="0" w:type="dxa"/>
            <w:right w:w="108" w:type="dxa"/>
          </w:tblCellMar>
        </w:tblPrEx>
        <w:trPr>
          <w:trHeight w:val="749" w:hRule="atLeast"/>
          <w:jc w:val="center"/>
        </w:trPr>
        <w:tc>
          <w:tcPr>
            <w:tcW w:w="985" w:type="dxa"/>
            <w:tcBorders>
              <w:top w:val="single" w:color="000000" w:sz="6" w:space="0"/>
              <w:left w:val="single" w:color="000000" w:sz="12" w:space="0"/>
              <w:bottom w:val="single" w:color="000000" w:sz="6" w:space="0"/>
            </w:tcBorders>
            <w:noWrap w:val="0"/>
            <w:vAlign w:val="center"/>
          </w:tcPr>
          <w:p w14:paraId="6AFE3DB3">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725" w:type="dxa"/>
            <w:tcBorders>
              <w:top w:val="single" w:color="000000" w:sz="6" w:space="0"/>
              <w:left w:val="single" w:color="000000" w:sz="6" w:space="0"/>
              <w:bottom w:val="single" w:color="000000" w:sz="6" w:space="0"/>
            </w:tcBorders>
            <w:shd w:val="clear" w:color="auto" w:fill="auto"/>
            <w:noWrap w:val="0"/>
            <w:vAlign w:val="center"/>
          </w:tcPr>
          <w:p w14:paraId="103EBBCC">
            <w:pPr>
              <w:spacing w:line="360" w:lineRule="exact"/>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rPr>
              <w:t>资金来源及落实情况</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01CCC05">
            <w:pPr>
              <w:keepNext w:val="0"/>
              <w:keepLines w:val="0"/>
              <w:pageBreakBefore w:val="0"/>
              <w:kinsoku/>
              <w:wordWrap/>
              <w:overflowPunct/>
              <w:topLinePunct w:val="0"/>
              <w:autoSpaceDE/>
              <w:autoSpaceDN/>
              <w:bidi w:val="0"/>
              <w:snapToGrid/>
              <w:spacing w:line="400" w:lineRule="exact"/>
              <w:rPr>
                <w:rFonts w:hint="eastAsia" w:cs="宋体" w:asciiTheme="minorEastAsia" w:hAnsiTheme="minorEastAsia" w:eastAsiaTheme="minorEastAsia"/>
                <w:color w:val="auto"/>
                <w:kern w:val="0"/>
                <w:sz w:val="24"/>
                <w:szCs w:val="24"/>
                <w:lang w:val="en-US" w:eastAsia="zh-CN"/>
              </w:rPr>
            </w:pPr>
            <w:r>
              <w:rPr>
                <w:rFonts w:hint="eastAsia" w:ascii="宋体" w:hAnsi="宋体"/>
                <w:color w:val="auto"/>
                <w:sz w:val="24"/>
                <w:szCs w:val="24"/>
                <w:lang w:eastAsia="zh-CN"/>
              </w:rPr>
              <w:t>上级补助资金，已落实</w:t>
            </w:r>
          </w:p>
        </w:tc>
      </w:tr>
      <w:tr w14:paraId="54664663">
        <w:tblPrEx>
          <w:tblCellMar>
            <w:top w:w="0" w:type="dxa"/>
            <w:left w:w="108" w:type="dxa"/>
            <w:bottom w:w="0" w:type="dxa"/>
            <w:right w:w="108" w:type="dxa"/>
          </w:tblCellMar>
        </w:tblPrEx>
        <w:trPr>
          <w:trHeight w:val="749" w:hRule="atLeast"/>
          <w:jc w:val="center"/>
        </w:trPr>
        <w:tc>
          <w:tcPr>
            <w:tcW w:w="985" w:type="dxa"/>
            <w:tcBorders>
              <w:top w:val="single" w:color="000000" w:sz="6" w:space="0"/>
              <w:left w:val="single" w:color="000000" w:sz="12" w:space="0"/>
              <w:bottom w:val="single" w:color="000000" w:sz="6" w:space="0"/>
            </w:tcBorders>
            <w:noWrap w:val="0"/>
            <w:vAlign w:val="center"/>
          </w:tcPr>
          <w:p w14:paraId="16E40694">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1725" w:type="dxa"/>
            <w:tcBorders>
              <w:top w:val="single" w:color="000000" w:sz="6" w:space="0"/>
              <w:left w:val="single" w:color="000000" w:sz="6" w:space="0"/>
              <w:bottom w:val="single" w:color="000000" w:sz="6" w:space="0"/>
            </w:tcBorders>
            <w:shd w:val="clear" w:color="auto" w:fill="auto"/>
            <w:noWrap w:val="0"/>
            <w:vAlign w:val="center"/>
          </w:tcPr>
          <w:p w14:paraId="6254E7B5">
            <w:pPr>
              <w:jc w:val="center"/>
              <w:rPr>
                <w:rFonts w:hint="eastAsia" w:ascii="宋体" w:hAnsi="宋体" w:eastAsia="宋体" w:cs="宋体"/>
                <w:color w:val="auto"/>
                <w:sz w:val="24"/>
              </w:rPr>
            </w:pPr>
            <w:r>
              <w:rPr>
                <w:rFonts w:hint="eastAsia" w:ascii="宋体" w:hAnsi="宋体" w:cs="宋体"/>
                <w:color w:val="auto"/>
                <w:sz w:val="24"/>
                <w:szCs w:val="24"/>
                <w:lang w:val="en-US" w:eastAsia="zh-CN"/>
              </w:rPr>
              <w:t>磋商范围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DFF625A">
            <w:pPr>
              <w:keepNext w:val="0"/>
              <w:keepLines w:val="0"/>
              <w:pageBreakBefore w:val="0"/>
              <w:kinsoku/>
              <w:wordWrap/>
              <w:overflowPunct/>
              <w:topLinePunct w:val="0"/>
              <w:autoSpaceDE/>
              <w:autoSpaceDN/>
              <w:bidi w:val="0"/>
              <w:snapToGrid/>
              <w:spacing w:line="400" w:lineRule="exact"/>
              <w:ind w:firstLine="0" w:firstLineChars="0"/>
              <w:rPr>
                <w:rFonts w:hint="eastAsia" w:ascii="宋体" w:hAnsi="宋体"/>
                <w:color w:val="auto"/>
                <w:sz w:val="24"/>
                <w:szCs w:val="24"/>
                <w:lang w:eastAsia="zh-CN"/>
              </w:rPr>
            </w:pPr>
            <w:r>
              <w:rPr>
                <w:rFonts w:hint="eastAsia" w:cs="宋体" w:asciiTheme="minorEastAsia" w:hAnsiTheme="minorEastAsia" w:eastAsiaTheme="minorEastAsia"/>
                <w:color w:val="auto"/>
                <w:kern w:val="0"/>
                <w:sz w:val="24"/>
                <w:szCs w:val="24"/>
                <w:lang w:val="en-US" w:eastAsia="zh-CN"/>
              </w:rPr>
              <w:t>本项目竞争性磋商文件、服务需求等所包含的全部内容</w:t>
            </w:r>
          </w:p>
        </w:tc>
      </w:tr>
      <w:tr w14:paraId="6C23090C">
        <w:tblPrEx>
          <w:tblCellMar>
            <w:top w:w="0" w:type="dxa"/>
            <w:left w:w="108" w:type="dxa"/>
            <w:bottom w:w="0" w:type="dxa"/>
            <w:right w:w="108" w:type="dxa"/>
          </w:tblCellMar>
        </w:tblPrEx>
        <w:trPr>
          <w:trHeight w:val="692" w:hRule="atLeast"/>
          <w:jc w:val="center"/>
        </w:trPr>
        <w:tc>
          <w:tcPr>
            <w:tcW w:w="985" w:type="dxa"/>
            <w:tcBorders>
              <w:top w:val="single" w:color="000000" w:sz="6" w:space="0"/>
              <w:left w:val="single" w:color="000000" w:sz="12" w:space="0"/>
              <w:bottom w:val="single" w:color="000000" w:sz="6" w:space="0"/>
            </w:tcBorders>
            <w:shd w:val="clear" w:color="auto" w:fill="auto"/>
            <w:noWrap w:val="0"/>
            <w:vAlign w:val="center"/>
          </w:tcPr>
          <w:p w14:paraId="4DB9663F">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w:t>
            </w:r>
          </w:p>
        </w:tc>
        <w:tc>
          <w:tcPr>
            <w:tcW w:w="1725" w:type="dxa"/>
            <w:tcBorders>
              <w:top w:val="single" w:color="000000" w:sz="6" w:space="0"/>
              <w:left w:val="single" w:color="000000" w:sz="6" w:space="0"/>
              <w:bottom w:val="single" w:color="000000" w:sz="6" w:space="0"/>
            </w:tcBorders>
            <w:shd w:val="clear" w:color="auto" w:fill="auto"/>
            <w:noWrap w:val="0"/>
            <w:vAlign w:val="center"/>
          </w:tcPr>
          <w:p w14:paraId="162FA896">
            <w:pPr>
              <w:jc w:val="left"/>
              <w:rPr>
                <w:rFonts w:hint="default" w:cs="宋体" w:asciiTheme="minorEastAsia" w:hAnsiTheme="minorEastAsia" w:eastAsiaTheme="minorEastAsia"/>
                <w:color w:val="auto"/>
                <w:kern w:val="0"/>
                <w:sz w:val="24"/>
                <w:szCs w:val="24"/>
                <w:lang w:val="en-US" w:eastAsia="zh-CN"/>
              </w:rPr>
            </w:pPr>
            <w:r>
              <w:rPr>
                <w:rFonts w:hint="default" w:cs="宋体" w:asciiTheme="minorEastAsia" w:hAnsiTheme="minorEastAsia" w:eastAsiaTheme="minorEastAsia"/>
                <w:color w:val="auto"/>
                <w:kern w:val="0"/>
                <w:sz w:val="24"/>
                <w:szCs w:val="24"/>
                <w:lang w:val="en-US" w:eastAsia="zh-CN"/>
              </w:rPr>
              <w:t>监理服务</w:t>
            </w:r>
            <w:r>
              <w:rPr>
                <w:rFonts w:hint="eastAsia" w:cs="宋体" w:asciiTheme="minorEastAsia" w:hAnsiTheme="minorEastAsia" w:eastAsiaTheme="minorEastAsia"/>
                <w:color w:val="auto"/>
                <w:kern w:val="0"/>
                <w:sz w:val="24"/>
                <w:szCs w:val="24"/>
                <w:lang w:val="en-US" w:eastAsia="zh-CN"/>
              </w:rPr>
              <w:t>期限</w:t>
            </w:r>
          </w:p>
        </w:tc>
        <w:tc>
          <w:tcPr>
            <w:tcW w:w="6967" w:type="dxa"/>
            <w:tcBorders>
              <w:top w:val="single" w:color="000000" w:sz="6" w:space="0"/>
              <w:left w:val="single" w:color="000000" w:sz="6" w:space="0"/>
              <w:bottom w:val="single" w:color="000000" w:sz="6" w:space="0"/>
              <w:right w:val="single" w:color="000000" w:sz="12" w:space="0"/>
            </w:tcBorders>
            <w:shd w:val="clear" w:color="auto" w:fill="FFFFFF"/>
            <w:noWrap w:val="0"/>
            <w:vAlign w:val="center"/>
          </w:tcPr>
          <w:p w14:paraId="30A19B08">
            <w:pPr>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同施工工期</w:t>
            </w:r>
          </w:p>
        </w:tc>
      </w:tr>
      <w:tr w14:paraId="398953E0">
        <w:tblPrEx>
          <w:tblCellMar>
            <w:top w:w="0" w:type="dxa"/>
            <w:left w:w="108" w:type="dxa"/>
            <w:bottom w:w="0" w:type="dxa"/>
            <w:right w:w="108" w:type="dxa"/>
          </w:tblCellMar>
        </w:tblPrEx>
        <w:trPr>
          <w:trHeight w:val="688" w:hRule="atLeast"/>
          <w:jc w:val="center"/>
        </w:trPr>
        <w:tc>
          <w:tcPr>
            <w:tcW w:w="985" w:type="dxa"/>
            <w:tcBorders>
              <w:top w:val="single" w:color="000000" w:sz="6" w:space="0"/>
              <w:left w:val="single" w:color="000000" w:sz="12" w:space="0"/>
              <w:bottom w:val="single" w:color="000000" w:sz="6" w:space="0"/>
            </w:tcBorders>
            <w:noWrap w:val="0"/>
            <w:vAlign w:val="center"/>
          </w:tcPr>
          <w:p w14:paraId="729E7168">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725" w:type="dxa"/>
            <w:tcBorders>
              <w:top w:val="single" w:color="000000" w:sz="6" w:space="0"/>
              <w:left w:val="single" w:color="000000" w:sz="6" w:space="0"/>
              <w:bottom w:val="single" w:color="000000" w:sz="6" w:space="0"/>
            </w:tcBorders>
            <w:noWrap w:val="0"/>
            <w:vAlign w:val="center"/>
          </w:tcPr>
          <w:p w14:paraId="1C9AFEC0">
            <w:pPr>
              <w:jc w:val="center"/>
              <w:rPr>
                <w:rFonts w:hint="eastAsia" w:ascii="宋体" w:hAnsi="宋体" w:eastAsia="宋体" w:cs="宋体"/>
                <w:color w:val="auto"/>
                <w:sz w:val="24"/>
                <w:szCs w:val="24"/>
                <w:lang w:eastAsia="zh-CN"/>
              </w:rPr>
            </w:pPr>
            <w:r>
              <w:rPr>
                <w:rFonts w:hint="eastAsia" w:cs="宋体" w:asciiTheme="minorEastAsia" w:hAnsiTheme="minorEastAsia" w:eastAsiaTheme="minorEastAsia"/>
                <w:color w:val="auto"/>
                <w:kern w:val="0"/>
                <w:sz w:val="24"/>
                <w:szCs w:val="24"/>
              </w:rPr>
              <w:t>质量要求</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174C6631">
            <w:pPr>
              <w:keepNext w:val="0"/>
              <w:keepLines w:val="0"/>
              <w:pageBreakBefore w:val="0"/>
              <w:kinsoku/>
              <w:wordWrap/>
              <w:overflowPunct/>
              <w:topLinePunct w:val="0"/>
              <w:autoSpaceDE/>
              <w:autoSpaceDN/>
              <w:bidi w:val="0"/>
              <w:snapToGrid/>
              <w:spacing w:line="400" w:lineRule="exact"/>
              <w:rPr>
                <w:rFonts w:hint="eastAsia" w:ascii="宋体" w:hAnsi="宋体" w:eastAsia="宋体"/>
                <w:color w:val="auto"/>
                <w:sz w:val="24"/>
                <w:szCs w:val="24"/>
                <w:lang w:eastAsia="zh-CN"/>
              </w:rPr>
            </w:pPr>
            <w:r>
              <w:rPr>
                <w:rFonts w:hint="eastAsia" w:cs="宋体" w:asciiTheme="minorEastAsia" w:hAnsiTheme="minorEastAsia" w:eastAsiaTheme="minorEastAsia"/>
                <w:color w:val="auto"/>
                <w:kern w:val="0"/>
                <w:sz w:val="24"/>
                <w:szCs w:val="24"/>
                <w:lang w:eastAsia="zh-CN"/>
              </w:rPr>
              <w:t>交工验收的质量评定：合格；竣工验收的质量评定：优良</w:t>
            </w:r>
          </w:p>
        </w:tc>
      </w:tr>
      <w:tr w14:paraId="721840EC">
        <w:tblPrEx>
          <w:tblCellMar>
            <w:top w:w="0" w:type="dxa"/>
            <w:left w:w="108" w:type="dxa"/>
            <w:bottom w:w="0" w:type="dxa"/>
            <w:right w:w="108" w:type="dxa"/>
          </w:tblCellMar>
        </w:tblPrEx>
        <w:trPr>
          <w:trHeight w:val="688" w:hRule="atLeast"/>
          <w:jc w:val="center"/>
        </w:trPr>
        <w:tc>
          <w:tcPr>
            <w:tcW w:w="985" w:type="dxa"/>
            <w:tcBorders>
              <w:top w:val="single" w:color="000000" w:sz="6" w:space="0"/>
              <w:left w:val="single" w:color="000000" w:sz="12" w:space="0"/>
              <w:bottom w:val="single" w:color="000000" w:sz="6" w:space="0"/>
            </w:tcBorders>
            <w:noWrap w:val="0"/>
            <w:vAlign w:val="center"/>
          </w:tcPr>
          <w:p w14:paraId="74C49806">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1725" w:type="dxa"/>
            <w:tcBorders>
              <w:top w:val="single" w:color="000000" w:sz="6" w:space="0"/>
              <w:left w:val="single" w:color="000000" w:sz="6" w:space="0"/>
              <w:bottom w:val="single" w:color="000000" w:sz="6" w:space="0"/>
            </w:tcBorders>
            <w:noWrap w:val="0"/>
            <w:vAlign w:val="center"/>
          </w:tcPr>
          <w:p w14:paraId="72CAA615">
            <w:pPr>
              <w:jc w:val="center"/>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安全目标</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F510F4E">
            <w:pPr>
              <w:keepNext w:val="0"/>
              <w:keepLines w:val="0"/>
              <w:pageBreakBefore w:val="0"/>
              <w:kinsoku/>
              <w:wordWrap/>
              <w:overflowPunct/>
              <w:topLinePunct w:val="0"/>
              <w:autoSpaceDE/>
              <w:autoSpaceDN/>
              <w:bidi w:val="0"/>
              <w:snapToGrid/>
              <w:spacing w:line="400" w:lineRule="exac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不发生安全生产责任事故</w:t>
            </w:r>
          </w:p>
        </w:tc>
      </w:tr>
      <w:tr w14:paraId="4EAC520E">
        <w:tblPrEx>
          <w:tblCellMar>
            <w:top w:w="0" w:type="dxa"/>
            <w:left w:w="108" w:type="dxa"/>
            <w:bottom w:w="0" w:type="dxa"/>
            <w:right w:w="108" w:type="dxa"/>
          </w:tblCellMar>
        </w:tblPrEx>
        <w:trPr>
          <w:trHeight w:val="2202" w:hRule="atLeast"/>
          <w:jc w:val="center"/>
        </w:trPr>
        <w:tc>
          <w:tcPr>
            <w:tcW w:w="985" w:type="dxa"/>
            <w:tcBorders>
              <w:top w:val="single" w:color="000000" w:sz="6" w:space="0"/>
              <w:left w:val="single" w:color="000000" w:sz="12" w:space="0"/>
              <w:bottom w:val="single" w:color="000000" w:sz="6" w:space="0"/>
            </w:tcBorders>
            <w:noWrap w:val="0"/>
            <w:vAlign w:val="center"/>
          </w:tcPr>
          <w:p w14:paraId="6A425AF9">
            <w:pPr>
              <w:jc w:val="center"/>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p>
        </w:tc>
        <w:tc>
          <w:tcPr>
            <w:tcW w:w="1725" w:type="dxa"/>
            <w:tcBorders>
              <w:top w:val="single" w:color="000000" w:sz="6" w:space="0"/>
              <w:left w:val="single" w:color="000000" w:sz="6" w:space="0"/>
              <w:bottom w:val="single" w:color="000000" w:sz="6" w:space="0"/>
            </w:tcBorders>
            <w:noWrap w:val="0"/>
            <w:vAlign w:val="center"/>
          </w:tcPr>
          <w:p w14:paraId="0B74E3CE">
            <w:pPr>
              <w:jc w:val="center"/>
              <w:rPr>
                <w:rFonts w:hint="eastAsia" w:ascii="宋体" w:hAnsi="宋体" w:cs="宋体"/>
                <w:color w:val="auto"/>
                <w:sz w:val="24"/>
                <w:szCs w:val="24"/>
              </w:rPr>
            </w:pPr>
            <w:r>
              <w:rPr>
                <w:rFonts w:hint="eastAsia" w:ascii="宋体" w:hAnsi="宋体" w:cs="宋体"/>
                <w:color w:val="auto"/>
                <w:sz w:val="24"/>
                <w:szCs w:val="24"/>
              </w:rPr>
              <w:t>供应商资格要求</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104F7745">
            <w:pPr>
              <w:spacing w:line="480" w:lineRule="exact"/>
              <w:jc w:val="left"/>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1、满足《中华人民共和国政府采购法》第二十二条规定；</w:t>
            </w:r>
          </w:p>
          <w:p w14:paraId="70A62307">
            <w:pPr>
              <w:spacing w:line="480" w:lineRule="exact"/>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2、落实政府采购政策满足的资格要求：本项目非专门面向中小微企业采购项目,执行促进中小企业发展等政府采购政策。</w:t>
            </w:r>
          </w:p>
          <w:p w14:paraId="23C9D626">
            <w:pPr>
              <w:spacing w:line="480" w:lineRule="exact"/>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3、本项目的特定资格要求</w:t>
            </w:r>
            <w:r>
              <w:rPr>
                <w:rFonts w:hint="eastAsia" w:cs="宋体" w:asciiTheme="minorEastAsia" w:hAnsiTheme="minorEastAsia" w:eastAsiaTheme="minorEastAsia"/>
                <w:color w:val="auto"/>
                <w:kern w:val="0"/>
                <w:sz w:val="24"/>
                <w:szCs w:val="24"/>
                <w:lang w:eastAsia="zh-CN"/>
              </w:rPr>
              <w:t>：</w:t>
            </w:r>
          </w:p>
          <w:p w14:paraId="6D19AA42">
            <w:pPr>
              <w:spacing w:line="48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（1）供应商须具有有效的营业执照。</w:t>
            </w:r>
          </w:p>
          <w:p w14:paraId="117FED78">
            <w:pPr>
              <w:spacing w:line="48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（2）供应商具有交通运输主管部门颁发有效的公路机电工程专项监理资质证书。</w:t>
            </w:r>
          </w:p>
          <w:p w14:paraId="10DD3420">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供应商应进入交通运输部“全国公路建设市场监督管理系统”（https://hwdms.mot.gov.cn/BMWebSite/）中的公路工程施工监理资质企业名录，且供应商名称和资质与该名录中的相应企业名称和资质完全一致（根据《关于发布公路工程从业企业资质名录的通知》（厅公路字〔2011〕114号）规定，公路工程施工监理资质企业名录适用范围为部审核、审批资质公路工程监理企业，省级相关部门许可资质的公路工程监理企业未在全国公路建设市场监督管理系统中录入相关信息不作为否决投标的条件）。</w:t>
            </w:r>
          </w:p>
          <w:p w14:paraId="5F43D097">
            <w:pPr>
              <w:spacing w:line="480" w:lineRule="exact"/>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3）项目总监理工程师具有相关专业高级工程师及以上职称，具有交通运输部颁发的注册监理工程师（公路机电工程专业）证书，提供本单位缴纳的2025年6月1日以来任意一个月养老保险证明），目前未在其他项目上任职，提供无在建承诺（格式自拟），或虽在其他项目上任职但本项目中标后能够从该项目撤离，供应商应提供书面承诺（格式自拟）。</w:t>
            </w:r>
          </w:p>
          <w:p w14:paraId="3B227B2F">
            <w:pPr>
              <w:spacing w:line="480" w:lineRule="exact"/>
              <w:jc w:val="lef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供应商须自行出具本单位无商业贿赂及无不正当竞争行为的承诺书</w:t>
            </w:r>
            <w:r>
              <w:rPr>
                <w:rFonts w:hint="eastAsia" w:ascii="宋体" w:hAnsi="宋体" w:eastAsia="宋体" w:cs="宋体"/>
                <w:color w:val="auto"/>
                <w:kern w:val="0"/>
                <w:sz w:val="24"/>
                <w:szCs w:val="24"/>
                <w:highlight w:val="none"/>
              </w:rPr>
              <w:t>；</w:t>
            </w:r>
          </w:p>
          <w:p w14:paraId="5F41216C">
            <w:pPr>
              <w:spacing w:line="480" w:lineRule="exact"/>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w:t>
            </w:r>
            <w:r>
              <w:rPr>
                <w:rFonts w:hint="eastAsia" w:ascii="宋体" w:hAnsi="宋体" w:eastAsia="宋体" w:cs="宋体"/>
                <w:sz w:val="24"/>
                <w:szCs w:val="24"/>
                <w:highlight w:val="none"/>
                <w:lang w:val="en-US" w:eastAsia="zh-CN"/>
              </w:rPr>
              <w:t>供应商出具无行贿犯罪记录，在中国裁判文书网自行查询或自行承诺(查询/承诺对象：企业、法定代表人、拟派项目总监)</w:t>
            </w:r>
            <w:r>
              <w:rPr>
                <w:rFonts w:hint="eastAsia" w:cs="宋体" w:asciiTheme="minorEastAsia" w:hAnsiTheme="minorEastAsia" w:eastAsiaTheme="minorEastAsia"/>
                <w:color w:val="auto"/>
                <w:kern w:val="0"/>
                <w:sz w:val="24"/>
                <w:szCs w:val="24"/>
                <w:highlight w:val="none"/>
              </w:rPr>
              <w:t>；</w:t>
            </w:r>
          </w:p>
          <w:p w14:paraId="1377EFAA">
            <w:pPr>
              <w:spacing w:line="480" w:lineRule="exact"/>
              <w:jc w:val="left"/>
              <w:rPr>
                <w:rFonts w:hint="eastAsia"/>
              </w:rPr>
            </w:pPr>
            <w:r>
              <w:rPr>
                <w:rFonts w:hint="eastAsia" w:cs="宋体" w:asciiTheme="minorEastAsia" w:hAnsiTheme="minorEastAsia" w:eastAsiaTheme="minorEastAsia"/>
                <w:color w:val="auto"/>
                <w:kern w:val="0"/>
                <w:sz w:val="24"/>
                <w:szCs w:val="24"/>
                <w:highlight w:val="none"/>
                <w:lang w:val="en-US" w:eastAsia="zh-CN"/>
              </w:rPr>
              <w:t>（6）根据《河南省公路建设市场从业单位及人员信用管理办法》，被河南省交通运输厅或交通运输部信用评定为D级信用等级的供应商，不允许参与本项目投标。</w:t>
            </w:r>
          </w:p>
          <w:p w14:paraId="6C1990D6">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r>
              <w:rPr>
                <w:rFonts w:hint="eastAsia" w:cs="宋体" w:asciiTheme="minorEastAsia" w:hAnsiTheme="minorEastAsia" w:eastAsiaTheme="minorEastAsia"/>
                <w:color w:val="auto"/>
                <w:kern w:val="0"/>
                <w:sz w:val="24"/>
                <w:szCs w:val="24"/>
                <w:lang w:val="en-US" w:eastAsia="zh-CN"/>
              </w:rPr>
              <w:t>7）</w:t>
            </w:r>
            <w:r>
              <w:rPr>
                <w:rFonts w:hint="eastAsia" w:cs="宋体" w:asciiTheme="minorEastAsia" w:hAnsiTheme="minorEastAsia" w:eastAsiaTheme="minorEastAsia"/>
                <w:color w:val="auto"/>
                <w:kern w:val="0"/>
                <w:sz w:val="24"/>
                <w:szCs w:val="24"/>
              </w:rPr>
              <w:t>根据《关于在政府采购活动中查询及使用信用记录有关问题的通知》(财库 [2016]125号)和豫财购【2016】15号的规定，企业没有被列入中国执行信息公开</w:t>
            </w:r>
            <w:r>
              <w:rPr>
                <w:rFonts w:hint="eastAsia" w:cs="宋体" w:asciiTheme="minorEastAsia" w:hAnsiTheme="minorEastAsia" w:eastAsiaTheme="minorEastAsia"/>
                <w:color w:val="auto"/>
                <w:kern w:val="0"/>
                <w:sz w:val="24"/>
                <w:szCs w:val="24"/>
                <w:lang w:val="en-US" w:eastAsia="zh-CN"/>
              </w:rPr>
              <w:t>网</w:t>
            </w:r>
            <w:r>
              <w:rPr>
                <w:rFonts w:hint="eastAsia" w:cs="宋体" w:asciiTheme="minorEastAsia" w:hAnsiTheme="minorEastAsia" w:eastAsiaTheme="minorEastAsia"/>
                <w:color w:val="auto"/>
                <w:kern w:val="0"/>
                <w:sz w:val="24"/>
                <w:szCs w:val="24"/>
              </w:rPr>
              <w:t>（http://zxgk.court.gov.cn/shixin/）失信被执行人、“信用中国”网站（www.creditchina.gov.cn）</w:t>
            </w:r>
            <w:r>
              <w:rPr>
                <w:rFonts w:hint="eastAsia" w:cs="宋体" w:asciiTheme="minorEastAsia" w:hAnsiTheme="minorEastAsia" w:eastAsiaTheme="minorEastAsia"/>
                <w:color w:val="auto"/>
                <w:kern w:val="0"/>
                <w:sz w:val="24"/>
                <w:szCs w:val="24"/>
                <w:lang w:val="en-US" w:eastAsia="zh-CN"/>
              </w:rPr>
              <w:t>重大税收违法失信主体</w:t>
            </w:r>
            <w:r>
              <w:rPr>
                <w:rFonts w:hint="eastAsia" w:cs="宋体" w:asciiTheme="minorEastAsia" w:hAnsiTheme="minorEastAsia" w:eastAsiaTheme="minorEastAsia"/>
                <w:color w:val="auto"/>
                <w:kern w:val="0"/>
                <w:sz w:val="24"/>
                <w:szCs w:val="24"/>
              </w:rPr>
              <w:t>、“中国政府采购网”（http://www.ccgp.gov.cn/）政府采购严重违法失信行为名单，提供网页查询信息截图（查询时间自公告发布之日起</w:t>
            </w:r>
            <w:r>
              <w:rPr>
                <w:rFonts w:hint="eastAsia" w:cs="宋体" w:asciiTheme="minorEastAsia" w:hAnsiTheme="minorEastAsia" w:eastAsiaTheme="minorEastAsia"/>
                <w:color w:val="auto"/>
                <w:kern w:val="0"/>
                <w:sz w:val="24"/>
                <w:szCs w:val="24"/>
                <w:lang w:val="en-US" w:eastAsia="zh-CN"/>
              </w:rPr>
              <w:t>截止至开标时间</w:t>
            </w:r>
            <w:r>
              <w:rPr>
                <w:rFonts w:hint="eastAsia" w:cs="宋体" w:asciiTheme="minorEastAsia" w:hAnsiTheme="minorEastAsia" w:eastAsiaTheme="minorEastAsia"/>
                <w:color w:val="auto"/>
                <w:kern w:val="0"/>
                <w:sz w:val="24"/>
                <w:szCs w:val="24"/>
              </w:rPr>
              <w:t>）；</w:t>
            </w:r>
          </w:p>
          <w:p w14:paraId="252FD2B7">
            <w:pPr>
              <w:spacing w:line="480" w:lineRule="exact"/>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8</w:t>
            </w:r>
            <w:r>
              <w:rPr>
                <w:rFonts w:hint="eastAsia" w:cs="宋体" w:asciiTheme="minorEastAsia" w:hAnsiTheme="minorEastAsia" w:eastAsiaTheme="minorEastAsia"/>
                <w:color w:val="auto"/>
                <w:kern w:val="0"/>
                <w:sz w:val="24"/>
                <w:szCs w:val="24"/>
                <w:lang w:eastAsia="zh-CN"/>
              </w:rPr>
              <w:t>）本次磋商不接受联合体（提供非联合体声明函）；</w:t>
            </w:r>
          </w:p>
          <w:p w14:paraId="46FA6CFE">
            <w:pPr>
              <w:spacing w:line="480" w:lineRule="exact"/>
              <w:jc w:val="left"/>
              <w:rPr>
                <w:rFonts w:ascii="宋体" w:hAnsi="宋体"/>
                <w:color w:val="auto"/>
                <w:sz w:val="24"/>
                <w:szCs w:val="24"/>
              </w:rPr>
            </w:pP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9</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rPr>
              <w:t>本项目实行资格后审，资格审查的具体要求见竞争性磋商文件。</w:t>
            </w:r>
          </w:p>
        </w:tc>
      </w:tr>
      <w:tr w14:paraId="7CCB9FA8">
        <w:tblPrEx>
          <w:tblCellMar>
            <w:top w:w="0" w:type="dxa"/>
            <w:left w:w="108" w:type="dxa"/>
            <w:bottom w:w="0" w:type="dxa"/>
            <w:right w:w="108" w:type="dxa"/>
          </w:tblCellMar>
        </w:tblPrEx>
        <w:trPr>
          <w:trHeight w:val="508" w:hRule="atLeast"/>
          <w:jc w:val="center"/>
        </w:trPr>
        <w:tc>
          <w:tcPr>
            <w:tcW w:w="985" w:type="dxa"/>
            <w:tcBorders>
              <w:top w:val="single" w:color="000000" w:sz="6" w:space="0"/>
              <w:left w:val="single" w:color="000000" w:sz="12" w:space="0"/>
              <w:bottom w:val="single" w:color="000000" w:sz="6" w:space="0"/>
            </w:tcBorders>
            <w:noWrap w:val="0"/>
            <w:vAlign w:val="center"/>
          </w:tcPr>
          <w:p w14:paraId="7B4BDEBD">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p>
        </w:tc>
        <w:tc>
          <w:tcPr>
            <w:tcW w:w="1725" w:type="dxa"/>
            <w:tcBorders>
              <w:top w:val="single" w:color="000000" w:sz="6" w:space="0"/>
              <w:left w:val="single" w:color="000000" w:sz="6" w:space="0"/>
              <w:bottom w:val="single" w:color="000000" w:sz="6" w:space="0"/>
            </w:tcBorders>
            <w:noWrap w:val="0"/>
            <w:vAlign w:val="center"/>
          </w:tcPr>
          <w:p w14:paraId="6C041A62">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踏勘现场</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7220FEC">
            <w:pPr>
              <w:spacing w:line="360" w:lineRule="exact"/>
              <w:rPr>
                <w:rFonts w:hint="eastAsia" w:ascii="宋体" w:hAnsi="宋体" w:cs="宋体"/>
                <w:color w:val="auto"/>
                <w:sz w:val="24"/>
                <w:szCs w:val="24"/>
              </w:rPr>
            </w:pPr>
            <w:r>
              <w:rPr>
                <w:rFonts w:hint="eastAsia" w:ascii="宋体" w:hAnsi="宋体" w:eastAsia="宋体" w:cs="宋体"/>
                <w:color w:val="auto"/>
                <w:sz w:val="24"/>
              </w:rPr>
              <w:t>■不组织</w:t>
            </w:r>
          </w:p>
        </w:tc>
      </w:tr>
      <w:tr w14:paraId="749575B1">
        <w:tblPrEx>
          <w:tblCellMar>
            <w:top w:w="0" w:type="dxa"/>
            <w:left w:w="108" w:type="dxa"/>
            <w:bottom w:w="0" w:type="dxa"/>
            <w:right w:w="108" w:type="dxa"/>
          </w:tblCellMar>
        </w:tblPrEx>
        <w:trPr>
          <w:trHeight w:val="508" w:hRule="atLeast"/>
          <w:jc w:val="center"/>
        </w:trPr>
        <w:tc>
          <w:tcPr>
            <w:tcW w:w="985" w:type="dxa"/>
            <w:tcBorders>
              <w:top w:val="single" w:color="000000" w:sz="6" w:space="0"/>
              <w:left w:val="single" w:color="000000" w:sz="12" w:space="0"/>
              <w:bottom w:val="single" w:color="000000" w:sz="6" w:space="0"/>
            </w:tcBorders>
            <w:noWrap w:val="0"/>
            <w:vAlign w:val="center"/>
          </w:tcPr>
          <w:p w14:paraId="1145B8DD">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14</w:t>
            </w:r>
          </w:p>
        </w:tc>
        <w:tc>
          <w:tcPr>
            <w:tcW w:w="1725" w:type="dxa"/>
            <w:tcBorders>
              <w:top w:val="single" w:color="000000" w:sz="6" w:space="0"/>
              <w:left w:val="single" w:color="000000" w:sz="6" w:space="0"/>
              <w:bottom w:val="single" w:color="000000" w:sz="6" w:space="0"/>
            </w:tcBorders>
            <w:noWrap w:val="0"/>
            <w:vAlign w:val="center"/>
          </w:tcPr>
          <w:p w14:paraId="381E8E27">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供应商提出问题的截止时间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269503C1">
            <w:pPr>
              <w:spacing w:line="360" w:lineRule="exact"/>
              <w:rPr>
                <w:rFonts w:hint="eastAsia" w:ascii="宋体" w:hAnsi="宋体" w:cs="宋体"/>
                <w:color w:val="auto"/>
                <w:sz w:val="24"/>
                <w:szCs w:val="24"/>
              </w:rPr>
            </w:pPr>
            <w:r>
              <w:rPr>
                <w:rFonts w:hint="eastAsia" w:ascii="宋体" w:hAnsi="宋体" w:cs="宋体"/>
                <w:color w:val="auto"/>
                <w:sz w:val="24"/>
                <w:lang w:eastAsia="zh-CN"/>
              </w:rPr>
              <w:t>在磋商截止时间5日前</w:t>
            </w:r>
          </w:p>
        </w:tc>
      </w:tr>
      <w:tr w14:paraId="56543A26">
        <w:tblPrEx>
          <w:tblCellMar>
            <w:top w:w="0" w:type="dxa"/>
            <w:left w:w="108" w:type="dxa"/>
            <w:bottom w:w="0" w:type="dxa"/>
            <w:right w:w="108" w:type="dxa"/>
          </w:tblCellMar>
        </w:tblPrEx>
        <w:trPr>
          <w:trHeight w:val="508" w:hRule="atLeast"/>
          <w:jc w:val="center"/>
        </w:trPr>
        <w:tc>
          <w:tcPr>
            <w:tcW w:w="985" w:type="dxa"/>
            <w:tcBorders>
              <w:top w:val="single" w:color="000000" w:sz="6" w:space="0"/>
              <w:left w:val="single" w:color="000000" w:sz="12" w:space="0"/>
              <w:bottom w:val="single" w:color="000000" w:sz="6" w:space="0"/>
            </w:tcBorders>
            <w:noWrap w:val="0"/>
            <w:vAlign w:val="center"/>
          </w:tcPr>
          <w:p w14:paraId="221FF74F">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15</w:t>
            </w:r>
          </w:p>
        </w:tc>
        <w:tc>
          <w:tcPr>
            <w:tcW w:w="1725" w:type="dxa"/>
            <w:tcBorders>
              <w:top w:val="single" w:color="000000" w:sz="6" w:space="0"/>
              <w:left w:val="single" w:color="000000" w:sz="6" w:space="0"/>
              <w:bottom w:val="single" w:color="000000" w:sz="6" w:space="0"/>
            </w:tcBorders>
            <w:noWrap w:val="0"/>
            <w:vAlign w:val="center"/>
          </w:tcPr>
          <w:p w14:paraId="216F547E">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采购人书面澄清的时间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2DED6822">
            <w:pPr>
              <w:spacing w:line="360" w:lineRule="exact"/>
              <w:rPr>
                <w:rFonts w:hint="eastAsia" w:ascii="宋体" w:hAnsi="宋体" w:cs="宋体"/>
                <w:color w:val="auto"/>
                <w:sz w:val="24"/>
                <w:szCs w:val="24"/>
              </w:rPr>
            </w:pPr>
            <w:r>
              <w:rPr>
                <w:rFonts w:hint="eastAsia" w:ascii="宋体" w:hAnsi="宋体" w:cs="宋体"/>
                <w:color w:val="auto"/>
                <w:sz w:val="24"/>
                <w:lang w:eastAsia="zh-CN"/>
              </w:rPr>
              <w:t>在磋商截止时间5日前</w:t>
            </w:r>
          </w:p>
        </w:tc>
      </w:tr>
      <w:tr w14:paraId="0314397F">
        <w:tblPrEx>
          <w:tblCellMar>
            <w:top w:w="0" w:type="dxa"/>
            <w:left w:w="108" w:type="dxa"/>
            <w:bottom w:w="0" w:type="dxa"/>
            <w:right w:w="108" w:type="dxa"/>
          </w:tblCellMar>
        </w:tblPrEx>
        <w:trPr>
          <w:trHeight w:val="508" w:hRule="atLeast"/>
          <w:jc w:val="center"/>
        </w:trPr>
        <w:tc>
          <w:tcPr>
            <w:tcW w:w="985" w:type="dxa"/>
            <w:tcBorders>
              <w:top w:val="single" w:color="000000" w:sz="6" w:space="0"/>
              <w:left w:val="single" w:color="000000" w:sz="12" w:space="0"/>
              <w:bottom w:val="single" w:color="000000" w:sz="6" w:space="0"/>
            </w:tcBorders>
            <w:noWrap w:val="0"/>
            <w:vAlign w:val="center"/>
          </w:tcPr>
          <w:p w14:paraId="3CE7D737">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16</w:t>
            </w:r>
          </w:p>
        </w:tc>
        <w:tc>
          <w:tcPr>
            <w:tcW w:w="1725" w:type="dxa"/>
            <w:tcBorders>
              <w:top w:val="single" w:color="000000" w:sz="6" w:space="0"/>
              <w:left w:val="single" w:color="000000" w:sz="6" w:space="0"/>
              <w:bottom w:val="single" w:color="000000" w:sz="6" w:space="0"/>
            </w:tcBorders>
            <w:noWrap w:val="0"/>
            <w:vAlign w:val="center"/>
          </w:tcPr>
          <w:p w14:paraId="5AE618D2">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分包</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253C2E72">
            <w:pPr>
              <w:spacing w:line="360" w:lineRule="exact"/>
              <w:rPr>
                <w:rFonts w:ascii="宋体" w:hAnsi="宋体"/>
                <w:color w:val="auto"/>
                <w:sz w:val="24"/>
                <w:szCs w:val="24"/>
              </w:rPr>
            </w:pPr>
            <w:r>
              <w:rPr>
                <w:rFonts w:hint="eastAsia" w:ascii="宋体" w:hAnsi="宋体" w:eastAsia="宋体" w:cs="宋体"/>
                <w:color w:val="auto"/>
                <w:sz w:val="24"/>
              </w:rPr>
              <w:t>■不允许</w:t>
            </w:r>
          </w:p>
        </w:tc>
      </w:tr>
      <w:tr w14:paraId="6EB02C9C">
        <w:tblPrEx>
          <w:tblCellMar>
            <w:top w:w="0" w:type="dxa"/>
            <w:left w:w="108" w:type="dxa"/>
            <w:bottom w:w="0" w:type="dxa"/>
            <w:right w:w="108" w:type="dxa"/>
          </w:tblCellMar>
        </w:tblPrEx>
        <w:trPr>
          <w:trHeight w:val="548" w:hRule="atLeast"/>
          <w:jc w:val="center"/>
        </w:trPr>
        <w:tc>
          <w:tcPr>
            <w:tcW w:w="985" w:type="dxa"/>
            <w:tcBorders>
              <w:top w:val="single" w:color="000000" w:sz="6" w:space="0"/>
              <w:left w:val="single" w:color="000000" w:sz="12" w:space="0"/>
              <w:bottom w:val="single" w:color="000000" w:sz="6" w:space="0"/>
            </w:tcBorders>
            <w:noWrap w:val="0"/>
            <w:vAlign w:val="center"/>
          </w:tcPr>
          <w:p w14:paraId="72762A08">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17</w:t>
            </w:r>
          </w:p>
        </w:tc>
        <w:tc>
          <w:tcPr>
            <w:tcW w:w="1725" w:type="dxa"/>
            <w:tcBorders>
              <w:top w:val="single" w:color="000000" w:sz="6" w:space="0"/>
              <w:left w:val="single" w:color="000000" w:sz="6" w:space="0"/>
              <w:bottom w:val="single" w:color="000000" w:sz="6" w:space="0"/>
            </w:tcBorders>
            <w:noWrap w:val="0"/>
            <w:vAlign w:val="center"/>
          </w:tcPr>
          <w:p w14:paraId="0819A670">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偏离</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444DC9D5">
            <w:pPr>
              <w:spacing w:line="360" w:lineRule="exact"/>
              <w:rPr>
                <w:rFonts w:ascii="宋体" w:hAnsi="宋体" w:cs="宋体"/>
                <w:color w:val="auto"/>
                <w:sz w:val="24"/>
                <w:szCs w:val="24"/>
              </w:rPr>
            </w:pPr>
            <w:r>
              <w:rPr>
                <w:rFonts w:hint="eastAsia" w:ascii="宋体" w:hAnsi="宋体" w:eastAsia="宋体" w:cs="宋体"/>
                <w:color w:val="auto"/>
                <w:sz w:val="24"/>
              </w:rPr>
              <w:t>■允许</w:t>
            </w:r>
            <w:r>
              <w:rPr>
                <w:rFonts w:hint="eastAsia" w:ascii="宋体" w:hAnsi="宋体" w:cs="宋体"/>
                <w:color w:val="auto"/>
                <w:sz w:val="24"/>
                <w:lang w:val="en-US" w:eastAsia="zh-CN"/>
              </w:rPr>
              <w:t>正偏离</w:t>
            </w:r>
          </w:p>
        </w:tc>
      </w:tr>
      <w:tr w14:paraId="584AEBEE">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14FE03DA">
            <w:pPr>
              <w:spacing w:line="360" w:lineRule="exact"/>
              <w:ind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18</w:t>
            </w:r>
          </w:p>
        </w:tc>
        <w:tc>
          <w:tcPr>
            <w:tcW w:w="1725" w:type="dxa"/>
            <w:tcBorders>
              <w:top w:val="single" w:color="000000" w:sz="6" w:space="0"/>
              <w:left w:val="single" w:color="000000" w:sz="6" w:space="0"/>
              <w:bottom w:val="single" w:color="000000" w:sz="6" w:space="0"/>
            </w:tcBorders>
            <w:noWrap w:val="0"/>
            <w:vAlign w:val="center"/>
          </w:tcPr>
          <w:p w14:paraId="3730EF3E">
            <w:pPr>
              <w:spacing w:line="360" w:lineRule="exact"/>
              <w:jc w:val="center"/>
              <w:rPr>
                <w:rFonts w:hint="eastAsia" w:ascii="宋体" w:hAnsi="宋体"/>
                <w:color w:val="auto"/>
                <w:sz w:val="24"/>
                <w:szCs w:val="24"/>
              </w:rPr>
            </w:pPr>
            <w:r>
              <w:rPr>
                <w:rFonts w:hint="eastAsia" w:ascii="宋体" w:hAnsi="宋体" w:eastAsia="宋体" w:cs="宋体"/>
                <w:color w:val="auto"/>
                <w:sz w:val="24"/>
              </w:rPr>
              <w:t>响应性文件递交截止时间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DB54545">
            <w:pPr>
              <w:spacing w:line="360" w:lineRule="exact"/>
              <w:rPr>
                <w:rFonts w:hint="eastAsia" w:ascii="宋体" w:hAnsi="宋体"/>
                <w:color w:val="auto"/>
                <w:sz w:val="24"/>
                <w:szCs w:val="24"/>
              </w:rPr>
            </w:pPr>
            <w:r>
              <w:rPr>
                <w:rFonts w:hint="eastAsia" w:ascii="宋体" w:hAnsi="宋体"/>
                <w:color w:val="auto"/>
                <w:sz w:val="24"/>
                <w:szCs w:val="24"/>
              </w:rPr>
              <w:t>2026年1月23日9时00分</w:t>
            </w:r>
          </w:p>
        </w:tc>
      </w:tr>
      <w:tr w14:paraId="7E8D3740">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77CEA3CE">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19</w:t>
            </w:r>
          </w:p>
        </w:tc>
        <w:tc>
          <w:tcPr>
            <w:tcW w:w="1725" w:type="dxa"/>
            <w:tcBorders>
              <w:top w:val="single" w:color="000000" w:sz="6" w:space="0"/>
              <w:left w:val="single" w:color="000000" w:sz="6" w:space="0"/>
              <w:bottom w:val="single" w:color="000000" w:sz="6" w:space="0"/>
            </w:tcBorders>
            <w:noWrap w:val="0"/>
            <w:vAlign w:val="center"/>
          </w:tcPr>
          <w:p w14:paraId="43F88B05">
            <w:pPr>
              <w:spacing w:line="360" w:lineRule="exact"/>
              <w:jc w:val="center"/>
              <w:rPr>
                <w:rFonts w:hint="eastAsia" w:ascii="宋体" w:hAnsi="宋体"/>
                <w:color w:val="auto"/>
                <w:sz w:val="24"/>
                <w:szCs w:val="24"/>
              </w:rPr>
            </w:pPr>
            <w:r>
              <w:rPr>
                <w:rFonts w:hint="eastAsia" w:ascii="宋体" w:hAnsi="宋体" w:eastAsia="宋体" w:cs="宋体"/>
                <w:color w:val="auto"/>
                <w:sz w:val="24"/>
              </w:rPr>
              <w:t>供应商确认收到磋商文件的澄清时间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F069C76">
            <w:pPr>
              <w:spacing w:line="360" w:lineRule="exact"/>
              <w:rPr>
                <w:rFonts w:hint="eastAsia" w:ascii="宋体" w:hAnsi="宋体"/>
                <w:color w:val="auto"/>
                <w:sz w:val="24"/>
                <w:szCs w:val="24"/>
              </w:rPr>
            </w:pPr>
            <w:r>
              <w:rPr>
                <w:rFonts w:hint="eastAsia" w:ascii="宋体" w:hAnsi="宋体" w:eastAsia="宋体" w:cs="宋体"/>
                <w:color w:val="auto"/>
                <w:sz w:val="24"/>
              </w:rPr>
              <w:t>收到澄清后24小时内（已发出时间为准）</w:t>
            </w:r>
          </w:p>
        </w:tc>
      </w:tr>
      <w:tr w14:paraId="7596B4C3">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19A7D976">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20</w:t>
            </w:r>
          </w:p>
        </w:tc>
        <w:tc>
          <w:tcPr>
            <w:tcW w:w="1725" w:type="dxa"/>
            <w:tcBorders>
              <w:top w:val="single" w:color="000000" w:sz="6" w:space="0"/>
              <w:left w:val="single" w:color="000000" w:sz="6" w:space="0"/>
              <w:bottom w:val="single" w:color="000000" w:sz="6" w:space="0"/>
            </w:tcBorders>
            <w:noWrap w:val="0"/>
            <w:vAlign w:val="center"/>
          </w:tcPr>
          <w:p w14:paraId="5B309F34">
            <w:pPr>
              <w:spacing w:line="360" w:lineRule="exact"/>
              <w:jc w:val="center"/>
              <w:rPr>
                <w:rFonts w:hint="eastAsia" w:ascii="宋体" w:hAnsi="宋体"/>
                <w:color w:val="auto"/>
                <w:sz w:val="24"/>
                <w:szCs w:val="24"/>
              </w:rPr>
            </w:pPr>
            <w:r>
              <w:rPr>
                <w:rFonts w:hint="eastAsia" w:ascii="宋体" w:hAnsi="宋体" w:eastAsia="宋体" w:cs="宋体"/>
                <w:color w:val="auto"/>
                <w:sz w:val="24"/>
              </w:rPr>
              <w:t>供应商确认收到磋商文件的修改时间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C809DFA">
            <w:pPr>
              <w:spacing w:line="360" w:lineRule="exact"/>
              <w:rPr>
                <w:rFonts w:hint="eastAsia" w:ascii="宋体" w:hAnsi="宋体"/>
                <w:color w:val="auto"/>
                <w:sz w:val="24"/>
                <w:szCs w:val="24"/>
              </w:rPr>
            </w:pPr>
            <w:r>
              <w:rPr>
                <w:rFonts w:hint="eastAsia" w:ascii="宋体" w:hAnsi="宋体" w:eastAsia="宋体" w:cs="宋体"/>
                <w:color w:val="auto"/>
                <w:sz w:val="24"/>
              </w:rPr>
              <w:t>收到澄清后24小时内（已发出时间为准）</w:t>
            </w:r>
          </w:p>
        </w:tc>
      </w:tr>
      <w:tr w14:paraId="7847617C">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2EC3C1FC">
            <w:pPr>
              <w:spacing w:line="360" w:lineRule="exact"/>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21</w:t>
            </w:r>
          </w:p>
        </w:tc>
        <w:tc>
          <w:tcPr>
            <w:tcW w:w="1725" w:type="dxa"/>
            <w:tcBorders>
              <w:top w:val="single" w:color="000000" w:sz="6" w:space="0"/>
              <w:left w:val="single" w:color="000000" w:sz="6" w:space="0"/>
              <w:bottom w:val="single" w:color="000000" w:sz="6" w:space="0"/>
            </w:tcBorders>
            <w:noWrap w:val="0"/>
            <w:vAlign w:val="center"/>
          </w:tcPr>
          <w:p w14:paraId="36330828">
            <w:pPr>
              <w:spacing w:line="360" w:lineRule="exact"/>
              <w:jc w:val="center"/>
              <w:rPr>
                <w:rFonts w:hint="eastAsia" w:ascii="宋体" w:hAnsi="宋体"/>
                <w:color w:val="FF0000"/>
                <w:sz w:val="24"/>
                <w:szCs w:val="24"/>
              </w:rPr>
            </w:pPr>
            <w:r>
              <w:rPr>
                <w:rFonts w:hint="eastAsia" w:ascii="宋体" w:hAnsi="宋体" w:eastAsia="宋体" w:cs="宋体"/>
                <w:color w:val="auto"/>
                <w:sz w:val="24"/>
              </w:rPr>
              <w:t>磋商有效期</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CA8E758">
            <w:pPr>
              <w:spacing w:line="360" w:lineRule="exact"/>
              <w:rPr>
                <w:rFonts w:hint="eastAsia" w:ascii="宋体" w:hAnsi="宋体"/>
                <w:color w:val="FF0000"/>
                <w:sz w:val="24"/>
                <w:szCs w:val="24"/>
              </w:rPr>
            </w:pPr>
            <w:r>
              <w:rPr>
                <w:rFonts w:hint="eastAsia" w:ascii="宋体" w:hAnsi="宋体" w:eastAsia="宋体" w:cs="宋体"/>
                <w:sz w:val="24"/>
                <w:szCs w:val="24"/>
                <w:highlight w:val="none"/>
              </w:rPr>
              <w:t>响应文件递交截止之日起60日历天</w:t>
            </w:r>
          </w:p>
        </w:tc>
      </w:tr>
      <w:tr w14:paraId="462F2546">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75C8B3F1">
            <w:pPr>
              <w:adjustRightInd w:val="0"/>
              <w:spacing w:line="360" w:lineRule="exact"/>
              <w:jc w:val="center"/>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22</w:t>
            </w:r>
          </w:p>
        </w:tc>
        <w:tc>
          <w:tcPr>
            <w:tcW w:w="1725" w:type="dxa"/>
            <w:tcBorders>
              <w:top w:val="single" w:color="000000" w:sz="6" w:space="0"/>
              <w:left w:val="single" w:color="000000" w:sz="6" w:space="0"/>
              <w:bottom w:val="single" w:color="000000" w:sz="6" w:space="0"/>
            </w:tcBorders>
            <w:noWrap w:val="0"/>
            <w:vAlign w:val="center"/>
          </w:tcPr>
          <w:p w14:paraId="5FD27604">
            <w:pPr>
              <w:spacing w:line="360" w:lineRule="exact"/>
              <w:jc w:val="center"/>
              <w:rPr>
                <w:rFonts w:hint="eastAsia" w:ascii="宋体" w:hAnsi="宋体"/>
                <w:color w:val="FF0000"/>
                <w:sz w:val="24"/>
                <w:szCs w:val="24"/>
              </w:rPr>
            </w:pPr>
            <w:r>
              <w:rPr>
                <w:rFonts w:hint="eastAsia" w:ascii="宋体" w:hAnsi="宋体" w:eastAsia="宋体" w:cs="宋体"/>
                <w:b w:val="0"/>
                <w:bCs w:val="0"/>
                <w:color w:val="auto"/>
                <w:sz w:val="24"/>
              </w:rPr>
              <w:t>近年完成类似业绩时间要求</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7BF6D5E3">
            <w:pPr>
              <w:spacing w:line="360" w:lineRule="exact"/>
              <w:jc w:val="left"/>
              <w:rPr>
                <w:rFonts w:hint="eastAsia" w:ascii="宋体" w:hAnsi="宋体"/>
                <w:color w:val="auto"/>
                <w:sz w:val="24"/>
                <w:szCs w:val="24"/>
              </w:rPr>
            </w:pPr>
            <w:r>
              <w:rPr>
                <w:rFonts w:hint="eastAsia" w:ascii="宋体" w:hAnsi="宋体" w:eastAsia="宋体" w:cs="宋体"/>
                <w:b w:val="0"/>
                <w:bCs w:val="0"/>
                <w:color w:val="auto"/>
                <w:sz w:val="24"/>
              </w:rPr>
              <w:t>时间：</w:t>
            </w:r>
            <w:r>
              <w:rPr>
                <w:rFonts w:hint="eastAsia" w:ascii="宋体" w:hAnsi="宋体" w:cs="宋体"/>
                <w:b w:val="0"/>
                <w:bCs w:val="0"/>
                <w:color w:val="auto"/>
                <w:sz w:val="24"/>
                <w:lang w:eastAsia="zh-CN"/>
              </w:rPr>
              <w:t>202</w:t>
            </w:r>
            <w:r>
              <w:rPr>
                <w:rFonts w:hint="eastAsia" w:ascii="宋体" w:hAnsi="宋体" w:cs="宋体"/>
                <w:b w:val="0"/>
                <w:bCs w:val="0"/>
                <w:color w:val="auto"/>
                <w:sz w:val="24"/>
                <w:lang w:val="en-US" w:eastAsia="zh-CN"/>
              </w:rPr>
              <w:t>1</w:t>
            </w:r>
            <w:r>
              <w:rPr>
                <w:rFonts w:hint="eastAsia" w:ascii="宋体" w:hAnsi="宋体" w:cs="宋体"/>
                <w:b w:val="0"/>
                <w:bCs w:val="0"/>
                <w:color w:val="auto"/>
                <w:sz w:val="24"/>
                <w:lang w:eastAsia="zh-CN"/>
              </w:rPr>
              <w:t>年1月1日</w:t>
            </w:r>
            <w:r>
              <w:rPr>
                <w:rFonts w:hint="eastAsia" w:ascii="宋体" w:hAnsi="宋体" w:eastAsia="宋体" w:cs="宋体"/>
                <w:b w:val="0"/>
                <w:bCs w:val="0"/>
                <w:color w:val="auto"/>
                <w:sz w:val="24"/>
              </w:rPr>
              <w:t>--至今</w:t>
            </w:r>
          </w:p>
        </w:tc>
      </w:tr>
      <w:tr w14:paraId="0ED7628E">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35C73783">
            <w:pPr>
              <w:adjustRightInd w:val="0"/>
              <w:spacing w:line="360" w:lineRule="exact"/>
              <w:jc w:val="center"/>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23</w:t>
            </w:r>
          </w:p>
        </w:tc>
        <w:tc>
          <w:tcPr>
            <w:tcW w:w="1725" w:type="dxa"/>
            <w:tcBorders>
              <w:top w:val="single" w:color="000000" w:sz="6" w:space="0"/>
              <w:left w:val="single" w:color="000000" w:sz="6" w:space="0"/>
              <w:bottom w:val="single" w:color="000000" w:sz="6" w:space="0"/>
            </w:tcBorders>
            <w:noWrap w:val="0"/>
            <w:vAlign w:val="center"/>
          </w:tcPr>
          <w:p w14:paraId="690F9F00">
            <w:pPr>
              <w:spacing w:line="360" w:lineRule="exact"/>
              <w:jc w:val="center"/>
              <w:rPr>
                <w:rFonts w:hint="eastAsia" w:ascii="宋体" w:hAnsi="宋体"/>
                <w:color w:val="FF0000"/>
                <w:sz w:val="24"/>
                <w:szCs w:val="24"/>
              </w:rPr>
            </w:pPr>
            <w:r>
              <w:rPr>
                <w:rFonts w:hint="eastAsia" w:ascii="宋体" w:hAnsi="宋体" w:eastAsia="宋体" w:cs="宋体"/>
                <w:b w:val="0"/>
                <w:bCs w:val="0"/>
                <w:color w:val="auto"/>
                <w:sz w:val="24"/>
              </w:rPr>
              <w:t>近年发生的诉讼及仲裁情况的年份要求</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2AD5FDA0">
            <w:pPr>
              <w:adjustRightInd w:val="0"/>
              <w:spacing w:line="360" w:lineRule="exact"/>
              <w:textAlignment w:val="baseline"/>
              <w:rPr>
                <w:rFonts w:hint="eastAsia" w:ascii="宋体" w:hAnsi="宋体"/>
                <w:color w:val="auto"/>
                <w:sz w:val="24"/>
                <w:szCs w:val="24"/>
              </w:rPr>
            </w:pPr>
            <w:r>
              <w:rPr>
                <w:rFonts w:hint="eastAsia" w:ascii="宋体" w:hAnsi="宋体" w:eastAsia="宋体" w:cs="宋体"/>
                <w:b w:val="0"/>
                <w:bCs w:val="0"/>
                <w:color w:val="auto"/>
                <w:sz w:val="24"/>
              </w:rPr>
              <w:t>近年（</w:t>
            </w:r>
            <w:r>
              <w:rPr>
                <w:rFonts w:hint="eastAsia" w:ascii="宋体" w:hAnsi="宋体" w:cs="宋体"/>
                <w:b w:val="0"/>
                <w:bCs w:val="0"/>
                <w:color w:val="auto"/>
                <w:sz w:val="24"/>
                <w:lang w:eastAsia="zh-CN"/>
              </w:rPr>
              <w:t>2022年1月1日</w:t>
            </w:r>
            <w:r>
              <w:rPr>
                <w:rFonts w:hint="eastAsia" w:ascii="宋体" w:hAnsi="宋体" w:eastAsia="宋体" w:cs="宋体"/>
                <w:b w:val="0"/>
                <w:bCs w:val="0"/>
                <w:color w:val="auto"/>
                <w:sz w:val="24"/>
              </w:rPr>
              <w:t>--至今）</w:t>
            </w:r>
          </w:p>
        </w:tc>
      </w:tr>
      <w:tr w14:paraId="511F69F0">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2A1D666C">
            <w:pPr>
              <w:spacing w:line="360" w:lineRule="exact"/>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24</w:t>
            </w:r>
          </w:p>
        </w:tc>
        <w:tc>
          <w:tcPr>
            <w:tcW w:w="1725" w:type="dxa"/>
            <w:tcBorders>
              <w:top w:val="single" w:color="000000" w:sz="6" w:space="0"/>
              <w:left w:val="single" w:color="000000" w:sz="6" w:space="0"/>
              <w:bottom w:val="single" w:color="000000" w:sz="6" w:space="0"/>
            </w:tcBorders>
            <w:noWrap w:val="0"/>
            <w:vAlign w:val="center"/>
          </w:tcPr>
          <w:p w14:paraId="62C66F6A">
            <w:pPr>
              <w:spacing w:line="360" w:lineRule="exact"/>
              <w:jc w:val="center"/>
              <w:rPr>
                <w:rFonts w:hint="eastAsia" w:ascii="宋体" w:hAnsi="宋体"/>
                <w:color w:val="FF0000"/>
                <w:sz w:val="24"/>
                <w:szCs w:val="24"/>
              </w:rPr>
            </w:pPr>
            <w:r>
              <w:rPr>
                <w:rFonts w:hint="eastAsia" w:ascii="宋体" w:hAnsi="宋体" w:eastAsia="宋体" w:cs="宋体"/>
                <w:color w:val="auto"/>
                <w:sz w:val="24"/>
              </w:rPr>
              <w:t>是否允许递交备选投标方案</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246223F">
            <w:pPr>
              <w:spacing w:line="360" w:lineRule="exact"/>
              <w:rPr>
                <w:rFonts w:hint="eastAsia" w:ascii="宋体" w:hAnsi="宋体"/>
                <w:color w:val="FF0000"/>
                <w:sz w:val="24"/>
                <w:szCs w:val="24"/>
              </w:rPr>
            </w:pPr>
            <w:r>
              <w:rPr>
                <w:rFonts w:hint="eastAsia" w:ascii="宋体" w:hAnsi="宋体" w:eastAsia="宋体" w:cs="宋体"/>
                <w:color w:val="auto"/>
                <w:sz w:val="24"/>
              </w:rPr>
              <w:t>■不允许</w:t>
            </w:r>
          </w:p>
        </w:tc>
      </w:tr>
      <w:tr w14:paraId="67964BD3">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1FD717C9">
            <w:pPr>
              <w:spacing w:line="360" w:lineRule="exact"/>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25</w:t>
            </w:r>
          </w:p>
        </w:tc>
        <w:tc>
          <w:tcPr>
            <w:tcW w:w="1725" w:type="dxa"/>
            <w:tcBorders>
              <w:top w:val="single" w:color="000000" w:sz="6" w:space="0"/>
              <w:left w:val="single" w:color="000000" w:sz="6" w:space="0"/>
              <w:bottom w:val="single" w:color="000000" w:sz="6" w:space="0"/>
            </w:tcBorders>
            <w:noWrap w:val="0"/>
            <w:vAlign w:val="center"/>
          </w:tcPr>
          <w:p w14:paraId="5BDBE604">
            <w:pPr>
              <w:spacing w:line="360" w:lineRule="exact"/>
              <w:jc w:val="center"/>
              <w:rPr>
                <w:rFonts w:hint="eastAsia" w:ascii="宋体" w:hAnsi="宋体"/>
                <w:color w:val="FF0000"/>
                <w:sz w:val="24"/>
                <w:szCs w:val="24"/>
              </w:rPr>
            </w:pPr>
            <w:r>
              <w:rPr>
                <w:rFonts w:hint="eastAsia" w:ascii="宋体" w:hAnsi="宋体" w:eastAsia="宋体" w:cs="宋体"/>
                <w:color w:val="auto"/>
                <w:sz w:val="24"/>
              </w:rPr>
              <w:t>是否退还磋商响应性文件</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4962C664">
            <w:pPr>
              <w:spacing w:line="360" w:lineRule="exact"/>
              <w:rPr>
                <w:rFonts w:hint="eastAsia" w:ascii="宋体" w:hAnsi="宋体"/>
                <w:color w:val="FF0000"/>
                <w:sz w:val="24"/>
                <w:szCs w:val="24"/>
              </w:rPr>
            </w:pPr>
            <w:r>
              <w:rPr>
                <w:rFonts w:hint="eastAsia" w:ascii="宋体" w:hAnsi="宋体" w:eastAsia="宋体" w:cs="宋体"/>
                <w:color w:val="auto"/>
                <w:sz w:val="24"/>
              </w:rPr>
              <w:t>■否</w:t>
            </w:r>
          </w:p>
        </w:tc>
      </w:tr>
      <w:tr w14:paraId="02CF5B13">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72DEDA31">
            <w:pPr>
              <w:spacing w:line="360" w:lineRule="exact"/>
              <w:jc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lang w:val="en-US" w:eastAsia="zh-CN"/>
              </w:rPr>
              <w:t>26</w:t>
            </w:r>
          </w:p>
        </w:tc>
        <w:tc>
          <w:tcPr>
            <w:tcW w:w="1725" w:type="dxa"/>
            <w:tcBorders>
              <w:top w:val="single" w:color="000000" w:sz="6" w:space="0"/>
              <w:left w:val="single" w:color="000000" w:sz="6" w:space="0"/>
              <w:bottom w:val="single" w:color="000000" w:sz="6" w:space="0"/>
            </w:tcBorders>
            <w:noWrap w:val="0"/>
            <w:vAlign w:val="center"/>
          </w:tcPr>
          <w:p w14:paraId="34A58222">
            <w:pPr>
              <w:spacing w:line="360" w:lineRule="exact"/>
              <w:jc w:val="center"/>
              <w:rPr>
                <w:rFonts w:hint="eastAsia" w:ascii="宋体" w:hAnsi="宋体"/>
                <w:color w:val="FF0000"/>
                <w:sz w:val="24"/>
                <w:szCs w:val="24"/>
              </w:rPr>
            </w:pPr>
            <w:r>
              <w:rPr>
                <w:rFonts w:hint="eastAsia" w:ascii="宋体" w:hAnsi="宋体" w:eastAsia="宋体" w:cs="宋体"/>
                <w:color w:val="auto"/>
                <w:sz w:val="24"/>
              </w:rPr>
              <w:t>磋商时间和地点</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0971A76">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rPr>
              <w:t>磋商时间：2026年1月23日9时00分</w:t>
            </w:r>
          </w:p>
          <w:p w14:paraId="0E6C2ACC">
            <w:pPr>
              <w:spacing w:line="360" w:lineRule="exact"/>
              <w:rPr>
                <w:rFonts w:hint="eastAsia" w:ascii="宋体" w:hAnsi="宋体"/>
                <w:color w:val="FF0000"/>
                <w:sz w:val="24"/>
                <w:szCs w:val="24"/>
              </w:rPr>
            </w:pPr>
            <w:r>
              <w:rPr>
                <w:rFonts w:hint="eastAsia" w:ascii="宋体" w:hAnsi="宋体" w:eastAsia="宋体" w:cs="宋体"/>
                <w:color w:val="auto"/>
                <w:sz w:val="24"/>
              </w:rPr>
              <w:t>磋商地点：</w:t>
            </w:r>
            <w:r>
              <w:rPr>
                <w:rFonts w:hint="eastAsia" w:ascii="宋体" w:hAnsi="宋体" w:cs="宋体"/>
                <w:color w:val="auto"/>
                <w:sz w:val="24"/>
                <w:lang w:eastAsia="zh-CN"/>
              </w:rPr>
              <w:t>三门峡市公共资源交易中心五楼开标区</w:t>
            </w:r>
          </w:p>
        </w:tc>
      </w:tr>
      <w:tr w14:paraId="59526337">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4BF26E98">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27</w:t>
            </w:r>
          </w:p>
        </w:tc>
        <w:tc>
          <w:tcPr>
            <w:tcW w:w="1725" w:type="dxa"/>
            <w:tcBorders>
              <w:top w:val="single" w:color="000000" w:sz="6" w:space="0"/>
              <w:left w:val="single" w:color="000000" w:sz="6" w:space="0"/>
              <w:bottom w:val="single" w:color="000000" w:sz="6" w:space="0"/>
            </w:tcBorders>
            <w:noWrap w:val="0"/>
            <w:vAlign w:val="center"/>
          </w:tcPr>
          <w:p w14:paraId="36F5AD1D">
            <w:pPr>
              <w:spacing w:line="360" w:lineRule="exact"/>
              <w:jc w:val="center"/>
              <w:rPr>
                <w:rFonts w:hint="eastAsia" w:ascii="宋体" w:hAnsi="宋体"/>
                <w:color w:val="auto"/>
                <w:sz w:val="24"/>
                <w:szCs w:val="24"/>
              </w:rPr>
            </w:pPr>
            <w:r>
              <w:rPr>
                <w:rFonts w:hint="eastAsia" w:ascii="宋体" w:hAnsi="宋体" w:eastAsia="宋体" w:cs="宋体"/>
                <w:color w:val="auto"/>
                <w:sz w:val="24"/>
              </w:rPr>
              <w:t>磋商小组</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C1FE312">
            <w:pPr>
              <w:spacing w:line="360" w:lineRule="exact"/>
              <w:rPr>
                <w:rFonts w:hint="eastAsia" w:ascii="宋体" w:hAnsi="宋体"/>
                <w:color w:val="auto"/>
                <w:sz w:val="24"/>
                <w:szCs w:val="24"/>
              </w:rPr>
            </w:pPr>
            <w:r>
              <w:rPr>
                <w:rFonts w:hint="eastAsia" w:ascii="宋体" w:hAnsi="宋体" w:eastAsia="宋体" w:cs="宋体"/>
                <w:color w:val="auto"/>
                <w:sz w:val="24"/>
              </w:rPr>
              <w:t>磋商小组构成：3人，采购人代表1人，其余2名技术、经济等方面的专家从相关专家库中随机抽取。</w:t>
            </w:r>
          </w:p>
        </w:tc>
      </w:tr>
      <w:tr w14:paraId="450E17FD">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013374CF">
            <w:pPr>
              <w:spacing w:line="36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28</w:t>
            </w:r>
          </w:p>
        </w:tc>
        <w:tc>
          <w:tcPr>
            <w:tcW w:w="1725" w:type="dxa"/>
            <w:tcBorders>
              <w:top w:val="single" w:color="000000" w:sz="6" w:space="0"/>
              <w:left w:val="single" w:color="000000" w:sz="6" w:space="0"/>
              <w:bottom w:val="single" w:color="000000" w:sz="6" w:space="0"/>
            </w:tcBorders>
            <w:noWrap w:val="0"/>
            <w:vAlign w:val="center"/>
          </w:tcPr>
          <w:p w14:paraId="34E7583E">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是否授权磋商小组确定成交</w:t>
            </w:r>
            <w:r>
              <w:rPr>
                <w:rFonts w:hint="eastAsia" w:ascii="宋体" w:hAnsi="宋体" w:cs="宋体"/>
                <w:color w:val="auto"/>
                <w:sz w:val="24"/>
                <w:lang w:val="en-US" w:eastAsia="zh-CN"/>
              </w:rPr>
              <w:t>人</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A942AF2">
            <w:pPr>
              <w:spacing w:line="360" w:lineRule="exact"/>
              <w:rPr>
                <w:rFonts w:hint="eastAsia" w:ascii="宋体" w:hAnsi="宋体" w:eastAsia="宋体" w:cs="宋体"/>
                <w:color w:val="auto"/>
                <w:sz w:val="24"/>
              </w:rPr>
            </w:pPr>
            <w:r>
              <w:rPr>
                <w:rFonts w:hint="eastAsia" w:ascii="宋体" w:hAnsi="宋体" w:eastAsia="宋体" w:cs="宋体"/>
                <w:color w:val="auto"/>
                <w:sz w:val="24"/>
              </w:rPr>
              <w:t>■否，推荐成交候选人数：</w:t>
            </w:r>
            <w:r>
              <w:rPr>
                <w:rFonts w:hint="eastAsia" w:ascii="宋体" w:hAnsi="宋体" w:cs="宋体"/>
                <w:color w:val="auto"/>
                <w:sz w:val="24"/>
                <w:lang w:val="en-US" w:eastAsia="zh-CN"/>
              </w:rPr>
              <w:t>1-</w:t>
            </w:r>
            <w:r>
              <w:rPr>
                <w:rFonts w:hint="eastAsia" w:ascii="宋体" w:hAnsi="宋体" w:eastAsia="宋体" w:cs="宋体"/>
                <w:color w:val="auto"/>
                <w:sz w:val="24"/>
              </w:rPr>
              <w:t>3名</w:t>
            </w:r>
          </w:p>
        </w:tc>
      </w:tr>
      <w:tr w14:paraId="6EE14C2D">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7DE847CC">
            <w:pPr>
              <w:spacing w:line="36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29</w:t>
            </w:r>
          </w:p>
        </w:tc>
        <w:tc>
          <w:tcPr>
            <w:tcW w:w="1725" w:type="dxa"/>
            <w:tcBorders>
              <w:top w:val="single" w:color="000000" w:sz="6" w:space="0"/>
              <w:left w:val="single" w:color="000000" w:sz="6" w:space="0"/>
              <w:bottom w:val="single" w:color="000000" w:sz="6" w:space="0"/>
            </w:tcBorders>
            <w:noWrap w:val="0"/>
            <w:vAlign w:val="center"/>
          </w:tcPr>
          <w:p w14:paraId="58DBBD65">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履约保证金</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138E2CB8">
            <w:pPr>
              <w:spacing w:line="360" w:lineRule="exact"/>
              <w:rPr>
                <w:rFonts w:hint="eastAsia" w:ascii="宋体" w:hAnsi="宋体" w:eastAsia="宋体" w:cs="宋体"/>
                <w:color w:val="auto"/>
                <w:sz w:val="24"/>
              </w:rPr>
            </w:pPr>
            <w:r>
              <w:rPr>
                <w:rFonts w:hint="eastAsia" w:ascii="宋体" w:hAnsi="宋体" w:eastAsia="宋体" w:cs="宋体"/>
                <w:color w:val="auto"/>
                <w:sz w:val="24"/>
              </w:rPr>
              <w:t>无</w:t>
            </w:r>
          </w:p>
        </w:tc>
      </w:tr>
      <w:tr w14:paraId="6359A997">
        <w:tblPrEx>
          <w:tblCellMar>
            <w:top w:w="0" w:type="dxa"/>
            <w:left w:w="108" w:type="dxa"/>
            <w:bottom w:w="0" w:type="dxa"/>
            <w:right w:w="108" w:type="dxa"/>
          </w:tblCellMar>
        </w:tblPrEx>
        <w:trPr>
          <w:trHeight w:val="1037" w:hRule="atLeast"/>
          <w:jc w:val="center"/>
        </w:trPr>
        <w:tc>
          <w:tcPr>
            <w:tcW w:w="985" w:type="dxa"/>
            <w:tcBorders>
              <w:top w:val="single" w:color="auto" w:sz="4" w:space="0"/>
              <w:left w:val="single" w:color="000000" w:sz="12" w:space="0"/>
              <w:bottom w:val="single" w:color="000000" w:sz="6" w:space="0"/>
            </w:tcBorders>
            <w:noWrap w:val="0"/>
            <w:vAlign w:val="center"/>
          </w:tcPr>
          <w:p w14:paraId="0C531C02">
            <w:pPr>
              <w:spacing w:line="36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30</w:t>
            </w:r>
          </w:p>
        </w:tc>
        <w:tc>
          <w:tcPr>
            <w:tcW w:w="1725" w:type="dxa"/>
            <w:tcBorders>
              <w:top w:val="single" w:color="000000" w:sz="6" w:space="0"/>
              <w:left w:val="single" w:color="000000" w:sz="6" w:space="0"/>
              <w:bottom w:val="single" w:color="000000" w:sz="6" w:space="0"/>
            </w:tcBorders>
            <w:noWrap w:val="0"/>
            <w:vAlign w:val="center"/>
          </w:tcPr>
          <w:p w14:paraId="76171315">
            <w:pPr>
              <w:spacing w:line="360" w:lineRule="exact"/>
              <w:jc w:val="center"/>
              <w:rPr>
                <w:rFonts w:hint="eastAsia" w:ascii="宋体" w:hAnsi="宋体" w:eastAsia="宋体" w:cs="宋体"/>
                <w:color w:val="auto"/>
                <w:sz w:val="24"/>
              </w:rPr>
            </w:pPr>
            <w:r>
              <w:rPr>
                <w:rFonts w:hint="eastAsia" w:ascii="宋体" w:hAnsi="宋体" w:cs="宋体"/>
                <w:color w:val="auto"/>
                <w:sz w:val="24"/>
                <w:lang w:val="en-US" w:eastAsia="zh-CN"/>
              </w:rPr>
              <w:t>最高限</w:t>
            </w:r>
            <w:r>
              <w:rPr>
                <w:rFonts w:hint="eastAsia" w:ascii="宋体" w:hAnsi="宋体" w:eastAsia="宋体" w:cs="宋体"/>
                <w:color w:val="auto"/>
                <w:sz w:val="24"/>
              </w:rPr>
              <w:t>价</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4C3618BD">
            <w:pPr>
              <w:spacing w:line="360" w:lineRule="exact"/>
              <w:jc w:val="left"/>
              <w:rPr>
                <w:rFonts w:hint="default" w:ascii="宋体" w:hAnsi="宋体" w:cs="宋体"/>
                <w:color w:val="auto"/>
                <w:sz w:val="24"/>
                <w:lang w:val="en-US" w:eastAsia="zh-CN"/>
              </w:rPr>
            </w:pPr>
            <w:r>
              <w:rPr>
                <w:rFonts w:hint="eastAsia" w:ascii="宋体" w:hAnsi="宋体" w:cs="宋体"/>
                <w:color w:val="auto"/>
                <w:sz w:val="24"/>
                <w:lang w:val="en-US" w:eastAsia="zh-CN"/>
              </w:rPr>
              <w:t>本项目最高限价为：大写：玖拾捌万伍仟伍佰元，小写：985500.00元</w:t>
            </w:r>
          </w:p>
          <w:p w14:paraId="041B779D">
            <w:pPr>
              <w:spacing w:line="360" w:lineRule="exact"/>
              <w:jc w:val="left"/>
              <w:rPr>
                <w:rFonts w:hint="eastAsia" w:ascii="宋体" w:hAnsi="宋体" w:eastAsia="宋体" w:cs="宋体"/>
                <w:color w:val="auto"/>
                <w:sz w:val="24"/>
              </w:rPr>
            </w:pPr>
            <w:r>
              <w:rPr>
                <w:rFonts w:hint="eastAsia" w:ascii="宋体" w:hAnsi="宋体" w:cs="宋体"/>
                <w:color w:val="auto"/>
                <w:sz w:val="24"/>
                <w:lang w:val="en-US" w:eastAsia="zh-CN"/>
              </w:rPr>
              <w:t>注：供应商报价超过最高限价的，将被视为无效响应。</w:t>
            </w:r>
          </w:p>
        </w:tc>
      </w:tr>
      <w:tr w14:paraId="5D3DDC49">
        <w:tblPrEx>
          <w:tblCellMar>
            <w:top w:w="0" w:type="dxa"/>
            <w:left w:w="108" w:type="dxa"/>
            <w:bottom w:w="0" w:type="dxa"/>
            <w:right w:w="108" w:type="dxa"/>
          </w:tblCellMar>
        </w:tblPrEx>
        <w:trPr>
          <w:trHeight w:val="987" w:hRule="atLeast"/>
          <w:jc w:val="center"/>
        </w:trPr>
        <w:tc>
          <w:tcPr>
            <w:tcW w:w="985" w:type="dxa"/>
            <w:tcBorders>
              <w:top w:val="single" w:color="000000" w:sz="6" w:space="0"/>
              <w:left w:val="single" w:color="000000" w:sz="12" w:space="0"/>
              <w:bottom w:val="single" w:color="000000" w:sz="6" w:space="0"/>
            </w:tcBorders>
            <w:noWrap w:val="0"/>
            <w:vAlign w:val="center"/>
          </w:tcPr>
          <w:p w14:paraId="3B5EB150">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31</w:t>
            </w:r>
          </w:p>
        </w:tc>
        <w:tc>
          <w:tcPr>
            <w:tcW w:w="1725" w:type="dxa"/>
            <w:tcBorders>
              <w:top w:val="single" w:color="000000" w:sz="6" w:space="0"/>
              <w:left w:val="single" w:color="000000" w:sz="6" w:space="0"/>
              <w:bottom w:val="single" w:color="000000" w:sz="6" w:space="0"/>
            </w:tcBorders>
            <w:noWrap w:val="0"/>
            <w:vAlign w:val="center"/>
          </w:tcPr>
          <w:p w14:paraId="577D2FE2">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磋商保证金</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C793090">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cs="宋体"/>
                <w:color w:val="auto"/>
                <w:sz w:val="24"/>
                <w:szCs w:val="24"/>
              </w:rPr>
            </w:pPr>
            <w:r>
              <w:rPr>
                <w:rFonts w:hint="eastAsia" w:ascii="宋体" w:hAnsi="宋体" w:cs="宋体"/>
                <w:color w:val="auto"/>
                <w:sz w:val="24"/>
                <w:szCs w:val="24"/>
              </w:rPr>
              <w:t>根据《河南省财政厅关于优化政府采购营商环境有关问题的通知》（豫财购【2019】4号）第6条的规定，磋商保证金不再收取。</w:t>
            </w:r>
          </w:p>
        </w:tc>
      </w:tr>
      <w:tr w14:paraId="26712F7F">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51F96A30">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32</w:t>
            </w:r>
          </w:p>
        </w:tc>
        <w:tc>
          <w:tcPr>
            <w:tcW w:w="1725" w:type="dxa"/>
            <w:tcBorders>
              <w:top w:val="single" w:color="000000" w:sz="6" w:space="0"/>
              <w:left w:val="single" w:color="000000" w:sz="6" w:space="0"/>
              <w:bottom w:val="single" w:color="000000" w:sz="6" w:space="0"/>
            </w:tcBorders>
            <w:noWrap w:val="0"/>
            <w:vAlign w:val="center"/>
          </w:tcPr>
          <w:p w14:paraId="72FE3C12">
            <w:pPr>
              <w:spacing w:line="400" w:lineRule="exact"/>
              <w:jc w:val="center"/>
              <w:rPr>
                <w:rFonts w:hint="eastAsia" w:ascii="宋体" w:hAnsi="宋体" w:cs="宋体"/>
                <w:color w:val="auto"/>
                <w:sz w:val="24"/>
                <w:szCs w:val="24"/>
              </w:rPr>
            </w:pPr>
            <w:r>
              <w:rPr>
                <w:rFonts w:hint="eastAsia" w:ascii="宋体" w:hAnsi="宋体" w:eastAsia="宋体" w:cs="宋体"/>
                <w:color w:val="auto"/>
                <w:sz w:val="24"/>
              </w:rPr>
              <w:t>签字和（或）盖章要求</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18E0E73">
            <w:pPr>
              <w:spacing w:line="400" w:lineRule="exact"/>
              <w:rPr>
                <w:rFonts w:ascii="宋体" w:hAnsi="宋体" w:eastAsia="宋体" w:cs="宋体"/>
                <w:color w:val="auto"/>
                <w:sz w:val="24"/>
              </w:rPr>
            </w:pPr>
            <w:r>
              <w:rPr>
                <w:rFonts w:hint="eastAsia" w:ascii="宋体" w:hAnsi="宋体" w:eastAsia="宋体" w:cs="宋体"/>
                <w:color w:val="auto"/>
                <w:sz w:val="24"/>
              </w:rPr>
              <w:t>电子化响应文件的签章：</w:t>
            </w:r>
          </w:p>
          <w:p w14:paraId="58F664B7">
            <w:pPr>
              <w:spacing w:line="400" w:lineRule="exact"/>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供应商</w:t>
            </w:r>
            <w:r>
              <w:rPr>
                <w:rFonts w:hint="eastAsia" w:ascii="宋体" w:hAnsi="宋体" w:eastAsia="宋体" w:cs="宋体"/>
                <w:color w:val="auto"/>
                <w:sz w:val="24"/>
              </w:rPr>
              <w:t>在生成电子化响应文件后，应对电子化响应文件进行签章，未对电子化响应文件进行签章的视为无效文件。</w:t>
            </w:r>
          </w:p>
          <w:p w14:paraId="51591167">
            <w:pPr>
              <w:spacing w:line="400" w:lineRule="exact"/>
              <w:rPr>
                <w:rFonts w:ascii="宋体" w:hAnsi="宋体" w:eastAsia="宋体" w:cs="宋体"/>
                <w:color w:val="auto"/>
                <w:sz w:val="24"/>
              </w:rPr>
            </w:pPr>
            <w:r>
              <w:rPr>
                <w:rFonts w:hint="eastAsia" w:ascii="宋体" w:hAnsi="宋体" w:eastAsia="宋体" w:cs="宋体"/>
                <w:color w:val="auto"/>
                <w:sz w:val="24"/>
              </w:rPr>
              <w:t>2、竞争性磋商文件中要求法定代表人或授权委托人</w:t>
            </w:r>
            <w:r>
              <w:rPr>
                <w:rFonts w:hint="eastAsia" w:ascii="宋体" w:hAnsi="宋体" w:cs="宋体"/>
                <w:color w:val="auto"/>
                <w:sz w:val="24"/>
                <w:lang w:val="en-US" w:eastAsia="zh-CN"/>
              </w:rPr>
              <w:t>签字</w:t>
            </w:r>
            <w:r>
              <w:rPr>
                <w:rFonts w:hint="eastAsia" w:ascii="宋体" w:hAnsi="宋体" w:eastAsia="宋体" w:cs="宋体"/>
                <w:color w:val="auto"/>
                <w:sz w:val="24"/>
              </w:rPr>
              <w:t>盖章的，</w:t>
            </w:r>
            <w:r>
              <w:rPr>
                <w:rFonts w:hint="eastAsia" w:ascii="宋体" w:hAnsi="宋体" w:cs="宋体"/>
                <w:color w:val="auto"/>
                <w:sz w:val="24"/>
                <w:lang w:eastAsia="zh-CN"/>
              </w:rPr>
              <w:t>供应商</w:t>
            </w:r>
            <w:r>
              <w:rPr>
                <w:rFonts w:hint="eastAsia" w:ascii="宋体" w:hAnsi="宋体" w:eastAsia="宋体" w:cs="宋体"/>
                <w:color w:val="auto"/>
                <w:sz w:val="24"/>
              </w:rPr>
              <w:t>在进行电子化响应文件签章时，以签盖法定代表人签章为准。</w:t>
            </w:r>
          </w:p>
          <w:p w14:paraId="2ED32C1A">
            <w:pPr>
              <w:wordWrap w:val="0"/>
              <w:spacing w:line="400" w:lineRule="exact"/>
              <w:jc w:val="left"/>
              <w:rPr>
                <w:rFonts w:hint="eastAsia" w:ascii="宋体" w:hAnsi="宋体" w:cs="宋体"/>
                <w:color w:val="auto"/>
                <w:sz w:val="24"/>
                <w:szCs w:val="24"/>
              </w:rPr>
            </w:pPr>
            <w:r>
              <w:rPr>
                <w:rFonts w:hint="eastAsia" w:ascii="宋体" w:hAnsi="宋体" w:eastAsia="宋体" w:cs="宋体"/>
                <w:color w:val="auto"/>
                <w:sz w:val="24"/>
              </w:rPr>
              <w:t>3、电子化响应文件工具请点击https://download.bqpoint.com/download/downloadlist.html?SoftTypeCode=06进行下载。</w:t>
            </w:r>
          </w:p>
        </w:tc>
      </w:tr>
      <w:tr w14:paraId="481F715D">
        <w:tblPrEx>
          <w:tblCellMar>
            <w:top w:w="0" w:type="dxa"/>
            <w:left w:w="108" w:type="dxa"/>
            <w:bottom w:w="0" w:type="dxa"/>
            <w:right w:w="108" w:type="dxa"/>
          </w:tblCellMar>
        </w:tblPrEx>
        <w:trPr>
          <w:trHeight w:val="348" w:hRule="atLeast"/>
          <w:jc w:val="center"/>
        </w:trPr>
        <w:tc>
          <w:tcPr>
            <w:tcW w:w="985" w:type="dxa"/>
            <w:tcBorders>
              <w:top w:val="single" w:color="000000" w:sz="6" w:space="0"/>
              <w:left w:val="single" w:color="000000" w:sz="12" w:space="0"/>
              <w:bottom w:val="single" w:color="000000" w:sz="6" w:space="0"/>
            </w:tcBorders>
            <w:noWrap w:val="0"/>
            <w:vAlign w:val="center"/>
          </w:tcPr>
          <w:p w14:paraId="1CC3D2D9">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33</w:t>
            </w:r>
          </w:p>
        </w:tc>
        <w:tc>
          <w:tcPr>
            <w:tcW w:w="1725" w:type="dxa"/>
            <w:tcBorders>
              <w:top w:val="single" w:color="000000" w:sz="6" w:space="0"/>
              <w:left w:val="single" w:color="000000" w:sz="6" w:space="0"/>
              <w:bottom w:val="single" w:color="000000" w:sz="6" w:space="0"/>
            </w:tcBorders>
            <w:noWrap w:val="0"/>
            <w:vAlign w:val="center"/>
          </w:tcPr>
          <w:p w14:paraId="120BA758">
            <w:pPr>
              <w:adjustRightInd w:val="0"/>
              <w:spacing w:line="400" w:lineRule="exact"/>
              <w:jc w:val="center"/>
              <w:rPr>
                <w:rFonts w:hint="eastAsia" w:ascii="宋体" w:hAnsi="宋体" w:cs="宋体"/>
                <w:color w:val="auto"/>
                <w:sz w:val="24"/>
                <w:szCs w:val="24"/>
              </w:rPr>
            </w:pPr>
            <w:r>
              <w:rPr>
                <w:rFonts w:hint="eastAsia" w:ascii="宋体" w:hAnsi="宋体" w:eastAsia="宋体" w:cs="宋体"/>
                <w:color w:val="auto"/>
                <w:spacing w:val="6"/>
                <w:sz w:val="24"/>
              </w:rPr>
              <w:t>响应文件上传</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500E565">
            <w:pPr>
              <w:spacing w:line="360" w:lineRule="auto"/>
              <w:rPr>
                <w:rFonts w:hint="eastAsia" w:ascii="宋体" w:hAnsi="宋体" w:cs="宋体"/>
                <w:color w:val="auto"/>
                <w:sz w:val="24"/>
                <w:szCs w:val="24"/>
              </w:rPr>
            </w:pPr>
            <w:r>
              <w:rPr>
                <w:rFonts w:hint="eastAsia" w:ascii="宋体" w:hAnsi="宋体" w:eastAsia="宋体" w:cs="宋体"/>
                <w:color w:val="auto"/>
                <w:spacing w:val="6"/>
                <w:sz w:val="24"/>
              </w:rPr>
              <w:t>用CA在电子平台上传电子响应文件</w:t>
            </w:r>
          </w:p>
        </w:tc>
      </w:tr>
      <w:tr w14:paraId="4C4F34CB">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584539C9">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34</w:t>
            </w:r>
          </w:p>
        </w:tc>
        <w:tc>
          <w:tcPr>
            <w:tcW w:w="1725" w:type="dxa"/>
            <w:tcBorders>
              <w:top w:val="single" w:color="000000" w:sz="6" w:space="0"/>
              <w:left w:val="single" w:color="000000" w:sz="6" w:space="0"/>
              <w:bottom w:val="single" w:color="000000" w:sz="6" w:space="0"/>
            </w:tcBorders>
            <w:noWrap w:val="0"/>
            <w:vAlign w:val="center"/>
          </w:tcPr>
          <w:p w14:paraId="2B0D1BEA">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代理服务费</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D811A70">
            <w:pPr>
              <w:pStyle w:val="42"/>
              <w:spacing w:before="88" w:line="279" w:lineRule="auto"/>
              <w:ind w:right="113"/>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1、收取标准：参考河南省招标代理服务收费指导意见(豫招协[2023]002号)规定的收费标准计算。</w:t>
            </w:r>
          </w:p>
          <w:p w14:paraId="04BB0F7A">
            <w:pPr>
              <w:keepNext w:val="0"/>
              <w:keepLines w:val="0"/>
              <w:pageBreakBefore w:val="0"/>
              <w:kinsoku/>
              <w:wordWrap/>
              <w:overflowPunct/>
              <w:topLinePunct w:val="0"/>
              <w:autoSpaceDE/>
              <w:autoSpaceDN/>
              <w:bidi w:val="0"/>
              <w:snapToGrid/>
              <w:spacing w:line="400" w:lineRule="exact"/>
              <w:rPr>
                <w:rFonts w:hint="eastAsia" w:ascii="宋体" w:hAnsi="宋体" w:cs="宋体"/>
                <w:color w:val="auto"/>
                <w:sz w:val="24"/>
                <w:szCs w:val="24"/>
              </w:rPr>
            </w:pPr>
            <w:r>
              <w:rPr>
                <w:rFonts w:hint="eastAsia" w:cs="宋体" w:asciiTheme="minorEastAsia" w:hAnsiTheme="minorEastAsia" w:eastAsiaTheme="minorEastAsia"/>
                <w:color w:val="auto"/>
                <w:kern w:val="0"/>
                <w:sz w:val="24"/>
                <w:szCs w:val="24"/>
                <w:lang w:val="en-US" w:eastAsia="zh-CN" w:bidi="ar-SA"/>
              </w:rPr>
              <w:t>2、收取方式：中标供应商在领取成交通知书时，以现金或转账的方式一次性向代理机构缴纳招标代理服务费。</w:t>
            </w:r>
          </w:p>
        </w:tc>
      </w:tr>
      <w:tr w14:paraId="0A73626F">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3870D049">
            <w:pPr>
              <w:spacing w:line="360" w:lineRule="exact"/>
              <w:jc w:val="center"/>
              <w:rPr>
                <w:rFonts w:hint="default" w:ascii="宋体" w:hAnsi="宋体" w:cs="宋体"/>
                <w:color w:val="auto"/>
                <w:sz w:val="24"/>
                <w:szCs w:val="24"/>
                <w:lang w:val="en-US"/>
              </w:rPr>
            </w:pPr>
            <w:r>
              <w:rPr>
                <w:rFonts w:hint="eastAsia" w:ascii="宋体" w:hAnsi="宋体" w:cs="宋体"/>
                <w:color w:val="auto"/>
                <w:sz w:val="24"/>
                <w:lang w:val="en-US" w:eastAsia="zh-CN"/>
              </w:rPr>
              <w:t>35</w:t>
            </w:r>
          </w:p>
        </w:tc>
        <w:tc>
          <w:tcPr>
            <w:tcW w:w="1725" w:type="dxa"/>
            <w:tcBorders>
              <w:top w:val="single" w:color="000000" w:sz="6" w:space="0"/>
              <w:left w:val="single" w:color="000000" w:sz="6" w:space="0"/>
              <w:bottom w:val="single" w:color="000000" w:sz="6" w:space="0"/>
            </w:tcBorders>
            <w:noWrap w:val="0"/>
            <w:vAlign w:val="center"/>
          </w:tcPr>
          <w:p w14:paraId="0A982217">
            <w:pPr>
              <w:spacing w:line="360" w:lineRule="exact"/>
              <w:jc w:val="center"/>
              <w:rPr>
                <w:rFonts w:hint="eastAsia" w:ascii="宋体" w:hAnsi="宋体" w:cs="宋体"/>
                <w:color w:val="auto"/>
                <w:sz w:val="24"/>
                <w:szCs w:val="24"/>
              </w:rPr>
            </w:pPr>
            <w:r>
              <w:rPr>
                <w:rFonts w:hint="eastAsia" w:ascii="宋体" w:hAnsi="宋体" w:cs="宋体"/>
                <w:color w:val="auto"/>
                <w:sz w:val="24"/>
                <w:lang w:val="en-US" w:eastAsia="zh-CN"/>
              </w:rPr>
              <w:t>合同形式</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A53F0A3">
            <w:pPr>
              <w:keepNext w:val="0"/>
              <w:keepLines w:val="0"/>
              <w:pageBreakBefore w:val="0"/>
              <w:kinsoku/>
              <w:wordWrap/>
              <w:overflowPunct/>
              <w:topLinePunct w:val="0"/>
              <w:autoSpaceDE/>
              <w:autoSpaceDN/>
              <w:bidi w:val="0"/>
              <w:snapToGrid/>
              <w:spacing w:line="400" w:lineRule="exact"/>
              <w:rPr>
                <w:rFonts w:hint="eastAsia" w:ascii="宋体" w:hAnsi="宋体" w:cs="宋体"/>
                <w:color w:val="auto"/>
                <w:sz w:val="24"/>
                <w:szCs w:val="24"/>
              </w:rPr>
            </w:pPr>
            <w:r>
              <w:rPr>
                <w:rFonts w:hint="eastAsia" w:ascii="宋体" w:hAnsi="宋体" w:cs="宋体"/>
                <w:color w:val="auto"/>
                <w:sz w:val="24"/>
                <w:lang w:val="en-US" w:eastAsia="zh-CN"/>
              </w:rPr>
              <w:t>固定总价</w:t>
            </w:r>
          </w:p>
        </w:tc>
      </w:tr>
      <w:tr w14:paraId="394D1630">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6B0BB001">
            <w:pPr>
              <w:spacing w:line="360" w:lineRule="exact"/>
              <w:jc w:val="center"/>
              <w:rPr>
                <w:rFonts w:hint="default" w:ascii="宋体" w:hAnsi="宋体" w:cs="宋体"/>
                <w:color w:val="auto"/>
                <w:sz w:val="24"/>
                <w:szCs w:val="24"/>
                <w:lang w:val="en-US"/>
              </w:rPr>
            </w:pPr>
            <w:r>
              <w:rPr>
                <w:rFonts w:hint="eastAsia" w:ascii="宋体" w:hAnsi="宋体" w:cs="宋体"/>
                <w:color w:val="auto"/>
                <w:sz w:val="24"/>
                <w:lang w:val="en-US" w:eastAsia="zh-CN"/>
              </w:rPr>
              <w:t>36</w:t>
            </w:r>
          </w:p>
        </w:tc>
        <w:tc>
          <w:tcPr>
            <w:tcW w:w="1725" w:type="dxa"/>
            <w:tcBorders>
              <w:top w:val="single" w:color="000000" w:sz="6" w:space="0"/>
              <w:left w:val="single" w:color="000000" w:sz="6" w:space="0"/>
              <w:bottom w:val="single" w:color="000000" w:sz="6" w:space="0"/>
            </w:tcBorders>
            <w:noWrap w:val="0"/>
            <w:vAlign w:val="center"/>
          </w:tcPr>
          <w:p w14:paraId="787D3196">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付款</w:t>
            </w:r>
            <w:r>
              <w:rPr>
                <w:rFonts w:hint="eastAsia" w:ascii="宋体" w:hAnsi="宋体" w:cs="宋体"/>
                <w:color w:val="auto"/>
                <w:sz w:val="24"/>
                <w:lang w:val="en-US" w:eastAsia="zh-CN"/>
              </w:rPr>
              <w:t>方式</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2B48A4F">
            <w:pPr>
              <w:spacing w:line="360" w:lineRule="exact"/>
              <w:rPr>
                <w:rFonts w:hint="eastAsia" w:ascii="宋体" w:hAnsi="宋体" w:cs="宋体"/>
                <w:color w:val="auto"/>
                <w:sz w:val="24"/>
                <w:szCs w:val="24"/>
              </w:rPr>
            </w:pPr>
            <w:r>
              <w:rPr>
                <w:rFonts w:hint="eastAsia" w:ascii="宋体" w:hAnsi="宋体" w:cs="宋体"/>
                <w:color w:val="auto"/>
                <w:sz w:val="24"/>
                <w:lang w:val="en-US" w:eastAsia="zh-CN"/>
              </w:rPr>
              <w:t>以双方签订合同为准</w:t>
            </w:r>
          </w:p>
        </w:tc>
      </w:tr>
      <w:tr w14:paraId="16722CA9">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44D5C947">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37</w:t>
            </w:r>
          </w:p>
        </w:tc>
        <w:tc>
          <w:tcPr>
            <w:tcW w:w="1725" w:type="dxa"/>
            <w:tcBorders>
              <w:top w:val="single" w:color="000000" w:sz="6" w:space="0"/>
              <w:left w:val="single" w:color="000000" w:sz="6" w:space="0"/>
              <w:bottom w:val="single" w:color="000000" w:sz="6" w:space="0"/>
            </w:tcBorders>
            <w:noWrap w:val="0"/>
            <w:vAlign w:val="center"/>
          </w:tcPr>
          <w:p w14:paraId="7DC6255A">
            <w:pPr>
              <w:spacing w:line="360" w:lineRule="exact"/>
              <w:jc w:val="center"/>
              <w:rPr>
                <w:rFonts w:hint="eastAsia" w:ascii="宋体" w:hAnsi="宋体" w:cs="宋体"/>
                <w:color w:val="auto"/>
                <w:sz w:val="24"/>
                <w:szCs w:val="24"/>
              </w:rPr>
            </w:pPr>
            <w:r>
              <w:rPr>
                <w:rFonts w:hint="eastAsia" w:ascii="宋体" w:hAnsi="宋体" w:eastAsia="宋体" w:cs="宋体"/>
                <w:color w:val="auto"/>
                <w:sz w:val="24"/>
              </w:rPr>
              <w:t>合同签订时间</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BA464D5">
            <w:pPr>
              <w:spacing w:line="360" w:lineRule="exact"/>
              <w:rPr>
                <w:rFonts w:hint="eastAsia" w:ascii="宋体" w:hAnsi="宋体" w:cs="宋体"/>
                <w:color w:val="auto"/>
                <w:sz w:val="24"/>
                <w:szCs w:val="24"/>
              </w:rPr>
            </w:pPr>
            <w:r>
              <w:rPr>
                <w:rFonts w:hint="eastAsia" w:ascii="宋体" w:hAnsi="宋体" w:eastAsia="宋体" w:cs="宋体"/>
                <w:color w:val="auto"/>
                <w:sz w:val="24"/>
              </w:rPr>
              <w:t>供应商和成交人应自成交通知书发出之日起</w:t>
            </w:r>
            <w:r>
              <w:rPr>
                <w:rFonts w:hint="eastAsia" w:ascii="宋体" w:hAnsi="宋体" w:cs="宋体"/>
                <w:color w:val="auto"/>
                <w:sz w:val="24"/>
                <w:lang w:val="en-US" w:eastAsia="zh-CN"/>
              </w:rPr>
              <w:t>2</w:t>
            </w:r>
            <w:r>
              <w:rPr>
                <w:rFonts w:hint="eastAsia" w:ascii="宋体" w:hAnsi="宋体" w:eastAsia="宋体" w:cs="宋体"/>
                <w:color w:val="auto"/>
                <w:sz w:val="24"/>
              </w:rPr>
              <w:t xml:space="preserve">个工作日内按照成交通知书和供应商响应文件内容及要求签订合同；                                                                                                                                                                                                                                                                                                                                                                                                                                                                                                                                                                               </w:t>
            </w:r>
          </w:p>
        </w:tc>
      </w:tr>
      <w:tr w14:paraId="5010397C">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3F256B23">
            <w:pPr>
              <w:spacing w:line="360" w:lineRule="exact"/>
              <w:jc w:val="center"/>
              <w:rPr>
                <w:rFonts w:hint="default" w:ascii="宋体" w:hAnsi="宋体" w:cs="宋体"/>
                <w:color w:val="auto"/>
                <w:sz w:val="24"/>
                <w:szCs w:val="24"/>
                <w:lang w:val="en-US"/>
              </w:rPr>
            </w:pPr>
            <w:r>
              <w:rPr>
                <w:rFonts w:hint="eastAsia" w:ascii="宋体" w:hAnsi="宋体" w:cs="宋体"/>
                <w:color w:val="auto"/>
                <w:sz w:val="24"/>
                <w:lang w:val="en-US" w:eastAsia="zh-CN"/>
              </w:rPr>
              <w:t>38</w:t>
            </w:r>
          </w:p>
        </w:tc>
        <w:tc>
          <w:tcPr>
            <w:tcW w:w="1725" w:type="dxa"/>
            <w:tcBorders>
              <w:top w:val="single" w:color="000000" w:sz="6" w:space="0"/>
              <w:left w:val="single" w:color="000000" w:sz="6" w:space="0"/>
              <w:bottom w:val="single" w:color="000000" w:sz="6" w:space="0"/>
            </w:tcBorders>
            <w:noWrap w:val="0"/>
            <w:vAlign w:val="center"/>
          </w:tcPr>
          <w:p w14:paraId="48DA0073">
            <w:pPr>
              <w:spacing w:line="360" w:lineRule="exact"/>
              <w:jc w:val="center"/>
              <w:rPr>
                <w:rFonts w:hint="eastAsia" w:ascii="宋体" w:hAnsi="宋体" w:cs="宋体"/>
                <w:color w:val="auto"/>
                <w:sz w:val="24"/>
                <w:szCs w:val="24"/>
              </w:rPr>
            </w:pPr>
            <w:r>
              <w:rPr>
                <w:rFonts w:hint="eastAsia" w:ascii="宋体" w:hAnsi="宋体" w:eastAsia="宋体" w:cs="宋体"/>
                <w:b w:val="0"/>
                <w:bCs w:val="0"/>
                <w:color w:val="auto"/>
                <w:sz w:val="24"/>
              </w:rPr>
              <w:t>所属行业</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058506BC">
            <w:pPr>
              <w:spacing w:line="360" w:lineRule="exact"/>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所属行业：</w:t>
            </w:r>
            <w:r>
              <w:rPr>
                <w:rFonts w:hint="eastAsia" w:ascii="宋体" w:hAnsi="宋体" w:cs="宋体"/>
                <w:b/>
                <w:bCs/>
                <w:color w:val="auto"/>
                <w:sz w:val="24"/>
                <w:highlight w:val="none"/>
                <w:lang w:val="en-US" w:eastAsia="zh-CN"/>
              </w:rPr>
              <w:t>其他未列明行业</w:t>
            </w:r>
          </w:p>
          <w:p w14:paraId="7111CBE7">
            <w:pPr>
              <w:spacing w:line="360" w:lineRule="exact"/>
              <w:jc w:val="left"/>
              <w:rPr>
                <w:rFonts w:hint="eastAsia" w:ascii="宋体" w:hAnsi="宋体" w:cs="宋体"/>
                <w:color w:val="auto"/>
                <w:sz w:val="24"/>
                <w:szCs w:val="24"/>
                <w:highlight w:val="none"/>
              </w:rPr>
            </w:pPr>
            <w:r>
              <w:rPr>
                <w:rFonts w:hint="eastAsia" w:ascii="宋体" w:hAnsi="宋体" w:eastAsia="宋体" w:cs="宋体"/>
                <w:b w:val="0"/>
                <w:bCs w:val="0"/>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394EFF6B">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100FE7B8">
            <w:pPr>
              <w:spacing w:line="360" w:lineRule="exact"/>
              <w:jc w:val="center"/>
              <w:rPr>
                <w:rFonts w:hint="default" w:ascii="宋体" w:hAnsi="宋体" w:cs="宋体"/>
                <w:color w:val="auto"/>
                <w:sz w:val="24"/>
                <w:szCs w:val="24"/>
                <w:lang w:val="en-US"/>
              </w:rPr>
            </w:pPr>
            <w:r>
              <w:rPr>
                <w:rFonts w:hint="eastAsia" w:ascii="宋体" w:hAnsi="宋体" w:cs="宋体"/>
                <w:color w:val="auto"/>
                <w:sz w:val="24"/>
                <w:lang w:val="en-US" w:eastAsia="zh-CN"/>
              </w:rPr>
              <w:t>39</w:t>
            </w:r>
          </w:p>
        </w:tc>
        <w:tc>
          <w:tcPr>
            <w:tcW w:w="1725" w:type="dxa"/>
            <w:tcBorders>
              <w:top w:val="single" w:color="000000" w:sz="6" w:space="0"/>
              <w:left w:val="single" w:color="000000" w:sz="6" w:space="0"/>
              <w:bottom w:val="single" w:color="000000" w:sz="6" w:space="0"/>
            </w:tcBorders>
            <w:noWrap w:val="0"/>
            <w:vAlign w:val="center"/>
          </w:tcPr>
          <w:p w14:paraId="5880AE51">
            <w:pPr>
              <w:spacing w:line="400" w:lineRule="exact"/>
              <w:jc w:val="center"/>
              <w:rPr>
                <w:rFonts w:hint="eastAsia" w:ascii="宋体" w:hAnsi="宋体" w:cs="宋体"/>
                <w:color w:val="auto"/>
                <w:sz w:val="24"/>
                <w:szCs w:val="24"/>
              </w:rPr>
            </w:pPr>
            <w:r>
              <w:rPr>
                <w:rFonts w:hint="eastAsia" w:ascii="宋体" w:hAnsi="宋体" w:eastAsia="宋体" w:cs="宋体"/>
                <w:color w:val="auto"/>
                <w:sz w:val="24"/>
              </w:rPr>
              <w:t>竞争性磋商文件的解释</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7306490F">
            <w:pPr>
              <w:spacing w:line="400" w:lineRule="exact"/>
              <w:ind w:right="-153" w:rightChars="-73"/>
              <w:jc w:val="left"/>
              <w:rPr>
                <w:rFonts w:hint="eastAsia" w:ascii="宋体" w:hAnsi="宋体" w:cs="宋体"/>
                <w:color w:val="auto"/>
                <w:sz w:val="24"/>
                <w:szCs w:val="24"/>
              </w:rPr>
            </w:pPr>
            <w:r>
              <w:rPr>
                <w:rFonts w:hint="eastAsia" w:ascii="宋体" w:hAnsi="宋体" w:eastAsia="宋体" w:cs="宋体"/>
                <w:color w:val="auto"/>
                <w:sz w:val="24"/>
              </w:rPr>
              <w:t>在符合相关法律法规的</w:t>
            </w:r>
            <w:r>
              <w:rPr>
                <w:rFonts w:hint="eastAsia" w:ascii="宋体" w:hAnsi="宋体" w:cs="宋体"/>
                <w:color w:val="auto"/>
                <w:sz w:val="24"/>
                <w:lang w:val="en-US" w:eastAsia="zh-CN"/>
              </w:rPr>
              <w:t>前提</w:t>
            </w:r>
            <w:r>
              <w:rPr>
                <w:rFonts w:hint="eastAsia" w:ascii="宋体" w:hAnsi="宋体" w:eastAsia="宋体" w:cs="宋体"/>
                <w:color w:val="auto"/>
                <w:sz w:val="24"/>
              </w:rPr>
              <w:t>下，竞争性磋商文件的解释权归采购人所有。本竞争性磋商文件中其他部分内容与</w:t>
            </w:r>
            <w:r>
              <w:rPr>
                <w:rFonts w:hint="eastAsia" w:ascii="宋体" w:hAnsi="宋体" w:cs="宋体"/>
                <w:color w:val="auto"/>
                <w:sz w:val="24"/>
                <w:lang w:eastAsia="zh-CN"/>
              </w:rPr>
              <w:t>供应商</w:t>
            </w:r>
            <w:r>
              <w:rPr>
                <w:rFonts w:hint="eastAsia" w:ascii="宋体" w:hAnsi="宋体" w:eastAsia="宋体" w:cs="宋体"/>
                <w:color w:val="auto"/>
                <w:sz w:val="24"/>
              </w:rPr>
              <w:t>须知前附表不一致的，以</w:t>
            </w:r>
            <w:r>
              <w:rPr>
                <w:rFonts w:hint="eastAsia" w:ascii="宋体" w:hAnsi="宋体" w:cs="宋体"/>
                <w:color w:val="auto"/>
                <w:sz w:val="24"/>
                <w:lang w:eastAsia="zh-CN"/>
              </w:rPr>
              <w:t>供应商</w:t>
            </w:r>
            <w:r>
              <w:rPr>
                <w:rFonts w:hint="eastAsia" w:ascii="宋体" w:hAnsi="宋体" w:eastAsia="宋体" w:cs="宋体"/>
                <w:color w:val="auto"/>
                <w:sz w:val="24"/>
              </w:rPr>
              <w:t>须知前附表为准。</w:t>
            </w:r>
          </w:p>
        </w:tc>
      </w:tr>
      <w:tr w14:paraId="0BB87D98">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345132E0">
            <w:pPr>
              <w:spacing w:line="360" w:lineRule="exact"/>
              <w:jc w:val="center"/>
              <w:rPr>
                <w:rFonts w:hint="default" w:ascii="宋体" w:hAnsi="宋体" w:cs="宋体"/>
                <w:color w:val="auto"/>
                <w:sz w:val="24"/>
                <w:szCs w:val="24"/>
                <w:lang w:val="en-US"/>
              </w:rPr>
            </w:pPr>
            <w:r>
              <w:rPr>
                <w:rFonts w:hint="eastAsia" w:ascii="宋体" w:hAnsi="宋体" w:cs="宋体"/>
                <w:color w:val="auto"/>
                <w:sz w:val="24"/>
                <w:lang w:val="en-US" w:eastAsia="zh-CN"/>
              </w:rPr>
              <w:t>40</w:t>
            </w:r>
          </w:p>
        </w:tc>
        <w:tc>
          <w:tcPr>
            <w:tcW w:w="1725" w:type="dxa"/>
            <w:tcBorders>
              <w:top w:val="single" w:color="000000" w:sz="6" w:space="0"/>
              <w:left w:val="single" w:color="000000" w:sz="6" w:space="0"/>
              <w:bottom w:val="single" w:color="000000" w:sz="6" w:space="0"/>
            </w:tcBorders>
            <w:noWrap w:val="0"/>
            <w:vAlign w:val="center"/>
          </w:tcPr>
          <w:p w14:paraId="0777F67F">
            <w:pPr>
              <w:spacing w:line="400" w:lineRule="exact"/>
              <w:ind w:firstLine="240" w:firstLineChars="100"/>
              <w:jc w:val="center"/>
              <w:rPr>
                <w:rFonts w:hint="eastAsia" w:ascii="宋体" w:hAnsi="宋体" w:cs="宋体"/>
                <w:color w:val="auto"/>
                <w:sz w:val="24"/>
                <w:szCs w:val="24"/>
              </w:rPr>
            </w:pPr>
            <w:r>
              <w:rPr>
                <w:rFonts w:hint="eastAsia" w:ascii="宋体" w:hAnsi="宋体" w:eastAsia="宋体" w:cs="宋体"/>
                <w:color w:val="auto"/>
                <w:sz w:val="24"/>
              </w:rPr>
              <w:t>答疑</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B61CBFB">
            <w:pPr>
              <w:spacing w:line="400" w:lineRule="exact"/>
              <w:ind w:right="-153" w:rightChars="-73"/>
              <w:jc w:val="left"/>
              <w:rPr>
                <w:rFonts w:hint="eastAsia" w:ascii="宋体" w:hAnsi="宋体" w:cs="宋体"/>
                <w:color w:val="auto"/>
                <w:sz w:val="24"/>
                <w:szCs w:val="24"/>
              </w:rPr>
            </w:pPr>
            <w:r>
              <w:rPr>
                <w:rFonts w:hint="eastAsia" w:ascii="宋体" w:hAnsi="宋体" w:eastAsia="宋体" w:cs="宋体"/>
                <w:color w:val="auto"/>
                <w:sz w:val="24"/>
              </w:rPr>
              <w:t>需要解答的疑问以书面形式加盖单位公章递交至采购人或代理机构，逾期提交的问题概不做回复。采购人将需要解答的内容以公告形式发至所有潜在</w:t>
            </w:r>
            <w:r>
              <w:rPr>
                <w:rFonts w:hint="eastAsia" w:ascii="宋体" w:hAnsi="宋体" w:cs="宋体"/>
                <w:color w:val="auto"/>
                <w:sz w:val="24"/>
                <w:lang w:eastAsia="zh-CN"/>
              </w:rPr>
              <w:t>供应商</w:t>
            </w:r>
            <w:r>
              <w:rPr>
                <w:rFonts w:hint="eastAsia" w:ascii="宋体" w:hAnsi="宋体" w:eastAsia="宋体" w:cs="宋体"/>
                <w:color w:val="auto"/>
                <w:sz w:val="24"/>
              </w:rPr>
              <w:t>。</w:t>
            </w:r>
          </w:p>
        </w:tc>
      </w:tr>
      <w:tr w14:paraId="364902A0">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2349CF81">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41</w:t>
            </w:r>
          </w:p>
        </w:tc>
        <w:tc>
          <w:tcPr>
            <w:tcW w:w="1725" w:type="dxa"/>
            <w:tcBorders>
              <w:top w:val="single" w:color="000000" w:sz="6" w:space="0"/>
              <w:left w:val="single" w:color="000000" w:sz="6" w:space="0"/>
              <w:bottom w:val="single" w:color="000000" w:sz="6" w:space="0"/>
            </w:tcBorders>
            <w:noWrap w:val="0"/>
            <w:vAlign w:val="center"/>
          </w:tcPr>
          <w:p w14:paraId="718DEBC1">
            <w:pPr>
              <w:widowControl/>
              <w:spacing w:line="400" w:lineRule="exact"/>
              <w:ind w:firstLine="240" w:firstLineChars="100"/>
              <w:jc w:val="center"/>
              <w:rPr>
                <w:rFonts w:hint="eastAsia" w:ascii="宋体" w:hAnsi="宋体" w:cs="宋体"/>
                <w:color w:val="auto"/>
                <w:sz w:val="24"/>
                <w:szCs w:val="24"/>
              </w:rPr>
            </w:pPr>
            <w:r>
              <w:rPr>
                <w:rFonts w:hint="eastAsia" w:ascii="宋体" w:hAnsi="宋体" w:cs="宋体"/>
                <w:color w:val="auto"/>
                <w:sz w:val="24"/>
                <w:lang w:val="en-US" w:eastAsia="zh-CN"/>
              </w:rPr>
              <w:t>成交</w:t>
            </w:r>
            <w:r>
              <w:rPr>
                <w:rFonts w:hint="eastAsia" w:ascii="宋体" w:hAnsi="宋体" w:eastAsia="宋体" w:cs="宋体"/>
                <w:color w:val="auto"/>
                <w:sz w:val="24"/>
              </w:rPr>
              <w:t>公告</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3033173D">
            <w:pPr>
              <w:widowControl/>
              <w:spacing w:line="400" w:lineRule="exact"/>
              <w:jc w:val="left"/>
              <w:rPr>
                <w:rFonts w:hint="eastAsia" w:ascii="宋体" w:hAnsi="宋体" w:cs="宋体"/>
                <w:color w:val="auto"/>
                <w:sz w:val="24"/>
                <w:szCs w:val="24"/>
              </w:rPr>
            </w:pPr>
            <w:r>
              <w:rPr>
                <w:rFonts w:hint="eastAsia" w:ascii="宋体" w:hAnsi="宋体" w:eastAsia="宋体" w:cs="宋体"/>
                <w:color w:val="auto"/>
                <w:sz w:val="24"/>
                <w:lang w:val="en-US" w:eastAsia="zh-CN"/>
              </w:rPr>
              <w:t>在《河南省政府采购网》、《中国招标投标公共服务平台》、《三门峡市公共资源交易中心网》、《三门峡市交通运输局》上发布</w:t>
            </w:r>
            <w:r>
              <w:rPr>
                <w:rFonts w:hint="eastAsia" w:ascii="宋体" w:hAnsi="宋体" w:cs="宋体"/>
                <w:color w:val="auto"/>
                <w:sz w:val="24"/>
                <w:lang w:val="en-US" w:eastAsia="zh-CN"/>
              </w:rPr>
              <w:t>发布</w:t>
            </w:r>
          </w:p>
        </w:tc>
      </w:tr>
      <w:tr w14:paraId="35629BC1">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0AC0ABCF">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42</w:t>
            </w:r>
          </w:p>
        </w:tc>
        <w:tc>
          <w:tcPr>
            <w:tcW w:w="1725" w:type="dxa"/>
            <w:tcBorders>
              <w:top w:val="single" w:color="000000" w:sz="6" w:space="0"/>
              <w:left w:val="single" w:color="000000" w:sz="6" w:space="0"/>
              <w:bottom w:val="single" w:color="000000" w:sz="6" w:space="0"/>
            </w:tcBorders>
            <w:noWrap w:val="0"/>
            <w:vAlign w:val="center"/>
          </w:tcPr>
          <w:p w14:paraId="488ECBB2">
            <w:pPr>
              <w:widowControl/>
              <w:spacing w:line="400" w:lineRule="exact"/>
              <w:ind w:firstLine="240" w:firstLineChars="100"/>
              <w:jc w:val="center"/>
              <w:rPr>
                <w:rFonts w:hint="eastAsia" w:ascii="宋体" w:hAnsi="宋体" w:cs="宋体"/>
                <w:color w:val="auto"/>
                <w:sz w:val="24"/>
                <w:szCs w:val="24"/>
              </w:rPr>
            </w:pPr>
            <w:r>
              <w:rPr>
                <w:rFonts w:hint="eastAsia" w:ascii="宋体" w:hAnsi="宋体" w:eastAsia="宋体" w:cs="宋体"/>
                <w:color w:val="auto"/>
                <w:sz w:val="24"/>
              </w:rPr>
              <w:t>知识产权</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6844CA6C">
            <w:pPr>
              <w:widowControl/>
              <w:spacing w:line="400" w:lineRule="exact"/>
              <w:jc w:val="left"/>
              <w:rPr>
                <w:rFonts w:hint="eastAsia" w:ascii="宋体" w:hAnsi="宋体" w:cs="宋体"/>
                <w:color w:val="auto"/>
                <w:sz w:val="24"/>
                <w:szCs w:val="24"/>
              </w:rPr>
            </w:pPr>
            <w:r>
              <w:rPr>
                <w:rFonts w:hint="eastAsia" w:ascii="宋体" w:hAnsi="宋体" w:eastAsia="宋体" w:cs="宋体"/>
                <w:color w:val="auto"/>
                <w:sz w:val="24"/>
              </w:rPr>
              <w:t>构成本竞争性磋商文件各个组成部分的文件，未经采购人书面同意，</w:t>
            </w:r>
            <w:r>
              <w:rPr>
                <w:rFonts w:hint="eastAsia" w:ascii="宋体" w:hAnsi="宋体" w:cs="宋体"/>
                <w:color w:val="auto"/>
                <w:sz w:val="24"/>
                <w:lang w:eastAsia="zh-CN"/>
              </w:rPr>
              <w:t>供应商</w:t>
            </w:r>
            <w:r>
              <w:rPr>
                <w:rFonts w:hint="eastAsia" w:ascii="宋体" w:hAnsi="宋体" w:eastAsia="宋体" w:cs="宋体"/>
                <w:color w:val="auto"/>
                <w:sz w:val="24"/>
              </w:rPr>
              <w:t>不得擅自复印和用于非本招标项目所需的其他目的。采购人全部或者部分使用未</w:t>
            </w:r>
            <w:r>
              <w:rPr>
                <w:rFonts w:hint="eastAsia" w:ascii="宋体" w:hAnsi="宋体" w:cs="宋体"/>
                <w:color w:val="auto"/>
                <w:sz w:val="24"/>
                <w:lang w:eastAsia="zh-CN"/>
              </w:rPr>
              <w:t>成交人</w:t>
            </w:r>
            <w:r>
              <w:rPr>
                <w:rFonts w:hint="eastAsia" w:ascii="宋体" w:hAnsi="宋体" w:eastAsia="宋体" w:cs="宋体"/>
                <w:color w:val="auto"/>
                <w:sz w:val="24"/>
              </w:rPr>
              <w:t>响应文件中的技术成果或技术方案时，需征得其书面同意，并不得擅自复印或提供给第三人。</w:t>
            </w:r>
          </w:p>
        </w:tc>
      </w:tr>
      <w:tr w14:paraId="775AE8E6">
        <w:tblPrEx>
          <w:tblCellMar>
            <w:top w:w="0" w:type="dxa"/>
            <w:left w:w="108" w:type="dxa"/>
            <w:bottom w:w="0" w:type="dxa"/>
            <w:right w:w="108" w:type="dxa"/>
          </w:tblCellMar>
        </w:tblPrEx>
        <w:trPr>
          <w:trHeight w:val="90" w:hRule="atLeast"/>
          <w:jc w:val="center"/>
        </w:trPr>
        <w:tc>
          <w:tcPr>
            <w:tcW w:w="985" w:type="dxa"/>
            <w:tcBorders>
              <w:top w:val="single" w:color="000000" w:sz="6" w:space="0"/>
              <w:left w:val="single" w:color="000000" w:sz="12" w:space="0"/>
              <w:bottom w:val="single" w:color="000000" w:sz="6" w:space="0"/>
            </w:tcBorders>
            <w:noWrap w:val="0"/>
            <w:vAlign w:val="center"/>
          </w:tcPr>
          <w:p w14:paraId="6A71A393">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43</w:t>
            </w:r>
          </w:p>
        </w:tc>
        <w:tc>
          <w:tcPr>
            <w:tcW w:w="1725" w:type="dxa"/>
            <w:tcBorders>
              <w:top w:val="single" w:color="000000" w:sz="6" w:space="0"/>
              <w:left w:val="single" w:color="000000" w:sz="6" w:space="0"/>
              <w:bottom w:val="single" w:color="000000" w:sz="6" w:space="0"/>
            </w:tcBorders>
            <w:noWrap w:val="0"/>
            <w:vAlign w:val="center"/>
          </w:tcPr>
          <w:p w14:paraId="4CF020CA">
            <w:pPr>
              <w:widowControl/>
              <w:spacing w:line="400" w:lineRule="exact"/>
              <w:jc w:val="center"/>
              <w:rPr>
                <w:rFonts w:hint="eastAsia" w:ascii="宋体" w:hAnsi="宋体" w:cs="宋体"/>
                <w:color w:val="auto"/>
                <w:sz w:val="24"/>
                <w:szCs w:val="24"/>
              </w:rPr>
            </w:pPr>
            <w:r>
              <w:rPr>
                <w:rFonts w:hint="eastAsia" w:ascii="宋体" w:hAnsi="宋体" w:eastAsia="宋体" w:cs="宋体"/>
                <w:color w:val="auto"/>
                <w:sz w:val="24"/>
              </w:rPr>
              <w:t>重新招标的其他情形</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57301411">
            <w:pPr>
              <w:widowControl/>
              <w:spacing w:line="400" w:lineRule="exact"/>
              <w:jc w:val="left"/>
              <w:rPr>
                <w:rFonts w:hint="eastAsia" w:ascii="宋体" w:hAnsi="宋体" w:cs="宋体"/>
                <w:color w:val="auto"/>
                <w:sz w:val="24"/>
                <w:szCs w:val="24"/>
              </w:rPr>
            </w:pPr>
            <w:r>
              <w:rPr>
                <w:rFonts w:hint="eastAsia" w:ascii="宋体" w:hAnsi="宋体" w:eastAsia="宋体" w:cs="宋体"/>
                <w:color w:val="auto"/>
                <w:sz w:val="24"/>
              </w:rPr>
              <w:t>除</w:t>
            </w:r>
            <w:r>
              <w:rPr>
                <w:rFonts w:hint="eastAsia" w:ascii="宋体" w:hAnsi="宋体" w:cs="宋体"/>
                <w:color w:val="auto"/>
                <w:sz w:val="24"/>
                <w:lang w:eastAsia="zh-CN"/>
              </w:rPr>
              <w:t>供应商</w:t>
            </w:r>
            <w:r>
              <w:rPr>
                <w:rFonts w:hint="eastAsia" w:ascii="宋体" w:hAnsi="宋体" w:eastAsia="宋体" w:cs="宋体"/>
                <w:color w:val="auto"/>
                <w:sz w:val="24"/>
              </w:rPr>
              <w:t>须知正文规定的情形外，除非已经产生</w:t>
            </w:r>
            <w:r>
              <w:rPr>
                <w:rFonts w:hint="eastAsia" w:ascii="宋体" w:hAnsi="宋体" w:cs="宋体"/>
                <w:color w:val="auto"/>
                <w:sz w:val="24"/>
                <w:lang w:eastAsia="zh-CN"/>
              </w:rPr>
              <w:t>成交候选人</w:t>
            </w:r>
            <w:r>
              <w:rPr>
                <w:rFonts w:hint="eastAsia" w:ascii="宋体" w:hAnsi="宋体" w:eastAsia="宋体" w:cs="宋体"/>
                <w:color w:val="auto"/>
                <w:sz w:val="24"/>
              </w:rPr>
              <w:t>，在磋商有效期内同意延长磋商有效期的</w:t>
            </w:r>
            <w:r>
              <w:rPr>
                <w:rFonts w:hint="eastAsia" w:ascii="宋体" w:hAnsi="宋体" w:cs="宋体"/>
                <w:color w:val="auto"/>
                <w:sz w:val="24"/>
                <w:lang w:eastAsia="zh-CN"/>
              </w:rPr>
              <w:t>供应商</w:t>
            </w:r>
            <w:r>
              <w:rPr>
                <w:rFonts w:hint="eastAsia" w:ascii="宋体" w:hAnsi="宋体" w:eastAsia="宋体" w:cs="宋体"/>
                <w:color w:val="auto"/>
                <w:sz w:val="24"/>
              </w:rPr>
              <w:t>少于三个的，采购人应当依法重新招标。</w:t>
            </w:r>
          </w:p>
        </w:tc>
      </w:tr>
      <w:tr w14:paraId="732C3105">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7F7F8877">
            <w:pPr>
              <w:spacing w:line="3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lang w:val="en-US" w:eastAsia="zh-CN"/>
              </w:rPr>
              <w:t>44</w:t>
            </w:r>
          </w:p>
        </w:tc>
        <w:tc>
          <w:tcPr>
            <w:tcW w:w="1725" w:type="dxa"/>
            <w:tcBorders>
              <w:top w:val="single" w:color="000000" w:sz="6" w:space="0"/>
              <w:left w:val="single" w:color="000000" w:sz="6" w:space="0"/>
              <w:bottom w:val="single" w:color="000000" w:sz="6" w:space="0"/>
            </w:tcBorders>
            <w:noWrap w:val="0"/>
            <w:vAlign w:val="center"/>
          </w:tcPr>
          <w:p w14:paraId="5F82E4BD">
            <w:pPr>
              <w:widowControl/>
              <w:spacing w:line="400" w:lineRule="exact"/>
              <w:ind w:firstLine="240" w:firstLineChars="100"/>
              <w:jc w:val="center"/>
              <w:rPr>
                <w:rFonts w:hint="eastAsia" w:ascii="宋体" w:hAnsi="宋体" w:cs="宋体"/>
                <w:color w:val="auto"/>
                <w:sz w:val="24"/>
                <w:szCs w:val="24"/>
              </w:rPr>
            </w:pPr>
            <w:r>
              <w:rPr>
                <w:rFonts w:hint="eastAsia" w:ascii="宋体" w:hAnsi="宋体" w:eastAsia="宋体" w:cs="宋体"/>
                <w:color w:val="auto"/>
                <w:sz w:val="24"/>
              </w:rPr>
              <w:t>同义词语</w:t>
            </w:r>
          </w:p>
        </w:tc>
        <w:tc>
          <w:tcPr>
            <w:tcW w:w="6967" w:type="dxa"/>
            <w:tcBorders>
              <w:top w:val="single" w:color="000000" w:sz="6" w:space="0"/>
              <w:left w:val="single" w:color="000000" w:sz="6" w:space="0"/>
              <w:bottom w:val="single" w:color="000000" w:sz="6" w:space="0"/>
              <w:right w:val="single" w:color="000000" w:sz="12" w:space="0"/>
            </w:tcBorders>
            <w:noWrap w:val="0"/>
            <w:vAlign w:val="center"/>
          </w:tcPr>
          <w:p w14:paraId="467BDA40">
            <w:pPr>
              <w:widowControl/>
              <w:spacing w:line="400" w:lineRule="exact"/>
              <w:jc w:val="left"/>
              <w:rPr>
                <w:rFonts w:hint="eastAsia" w:ascii="宋体" w:hAnsi="宋体" w:cs="宋体"/>
                <w:color w:val="auto"/>
                <w:sz w:val="24"/>
                <w:szCs w:val="24"/>
              </w:rPr>
            </w:pPr>
            <w:r>
              <w:rPr>
                <w:rFonts w:hint="eastAsia" w:ascii="宋体" w:hAnsi="宋体" w:eastAsia="宋体" w:cs="宋体"/>
                <w:color w:val="auto"/>
                <w:sz w:val="24"/>
              </w:rPr>
              <w:t>构成竞争性磋商文件组成部分的“通用合同条款”、“专用合同条款”、“技术标准和要求”和“工程量清单”等章节中出现的措辞“发包人”和“承包人”，在招标阶段应当分别按“采购人”和“</w:t>
            </w:r>
            <w:r>
              <w:rPr>
                <w:rFonts w:hint="eastAsia" w:ascii="宋体" w:hAnsi="宋体" w:cs="宋体"/>
                <w:color w:val="auto"/>
                <w:sz w:val="24"/>
                <w:lang w:eastAsia="zh-CN"/>
              </w:rPr>
              <w:t>供应商</w:t>
            </w:r>
            <w:r>
              <w:rPr>
                <w:rFonts w:hint="eastAsia" w:ascii="宋体" w:hAnsi="宋体" w:eastAsia="宋体" w:cs="宋体"/>
                <w:color w:val="auto"/>
                <w:sz w:val="24"/>
              </w:rPr>
              <w:t>”进行理解。</w:t>
            </w:r>
          </w:p>
        </w:tc>
      </w:tr>
      <w:tr w14:paraId="02064208">
        <w:tblPrEx>
          <w:tblCellMar>
            <w:top w:w="0" w:type="dxa"/>
            <w:left w:w="108" w:type="dxa"/>
            <w:bottom w:w="0" w:type="dxa"/>
            <w:right w:w="108" w:type="dxa"/>
          </w:tblCellMar>
        </w:tblPrEx>
        <w:trPr>
          <w:trHeight w:val="768" w:hRule="atLeast"/>
          <w:jc w:val="center"/>
        </w:trPr>
        <w:tc>
          <w:tcPr>
            <w:tcW w:w="985" w:type="dxa"/>
            <w:tcBorders>
              <w:top w:val="single" w:color="000000" w:sz="6" w:space="0"/>
              <w:left w:val="single" w:color="000000" w:sz="12" w:space="0"/>
              <w:bottom w:val="single" w:color="000000" w:sz="6" w:space="0"/>
            </w:tcBorders>
            <w:noWrap w:val="0"/>
            <w:vAlign w:val="center"/>
          </w:tcPr>
          <w:p w14:paraId="7DC9827C">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w:t>
            </w:r>
          </w:p>
        </w:tc>
        <w:tc>
          <w:tcPr>
            <w:tcW w:w="1725" w:type="dxa"/>
            <w:tcBorders>
              <w:top w:val="single" w:color="000000" w:sz="6" w:space="0"/>
              <w:left w:val="single" w:color="000000" w:sz="6" w:space="0"/>
              <w:bottom w:val="single" w:color="000000" w:sz="6" w:space="0"/>
            </w:tcBorders>
            <w:noWrap w:val="0"/>
            <w:vAlign w:val="top"/>
          </w:tcPr>
          <w:p w14:paraId="3037A1C9">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30B4E6A5">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A31BF6A">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64C6FC25">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27EB270E">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F376AF0">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A2EC371">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008C5B61">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546F3CD7">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1E35FB36">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4FBE4E8F">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3C9C4D75">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0B7E59C7">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0D063B46">
            <w:pPr>
              <w:keepNext w:val="0"/>
              <w:keepLines w:val="0"/>
              <w:widowControl/>
              <w:suppressLineNumbers w:val="0"/>
              <w:spacing w:before="0" w:beforeAutospacing="0" w:after="0" w:afterAutospacing="0" w:line="460" w:lineRule="exact"/>
              <w:ind w:left="0" w:right="0"/>
              <w:jc w:val="center"/>
              <w:rPr>
                <w:rFonts w:hint="eastAsia" w:ascii="仿宋" w:hAnsi="仿宋" w:eastAsia="仿宋"/>
                <w:kern w:val="0"/>
                <w:sz w:val="24"/>
                <w:szCs w:val="24"/>
              </w:rPr>
            </w:pPr>
          </w:p>
          <w:p w14:paraId="69DF5855">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电子化交易</w:t>
            </w:r>
          </w:p>
          <w:p w14:paraId="03089C54">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leftChars="0" w:right="0" w:rightChars="0"/>
              <w:jc w:val="center"/>
              <w:textAlignment w:val="auto"/>
              <w:rPr>
                <w:rFonts w:hint="eastAsia" w:ascii="宋体" w:hAnsi="宋体" w:eastAsia="宋体" w:cs="宋体"/>
                <w:color w:val="auto"/>
                <w:sz w:val="24"/>
              </w:rPr>
            </w:pPr>
            <w:r>
              <w:rPr>
                <w:rFonts w:hint="eastAsia" w:ascii="宋体" w:hAnsi="宋体" w:eastAsia="宋体" w:cs="宋体"/>
                <w:sz w:val="24"/>
                <w:szCs w:val="24"/>
              </w:rPr>
              <w:t>注意事项</w:t>
            </w:r>
          </w:p>
        </w:tc>
        <w:tc>
          <w:tcPr>
            <w:tcW w:w="6967" w:type="dxa"/>
            <w:tcBorders>
              <w:top w:val="single" w:color="000000" w:sz="6" w:space="0"/>
              <w:left w:val="single" w:color="000000" w:sz="6" w:space="0"/>
              <w:bottom w:val="single" w:color="000000" w:sz="6" w:space="0"/>
              <w:right w:val="single" w:color="000000" w:sz="12" w:space="0"/>
            </w:tcBorders>
            <w:noWrap w:val="0"/>
            <w:vAlign w:val="top"/>
          </w:tcPr>
          <w:p w14:paraId="2C302E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电子化项目开标、解密、唱标、磋商</w:t>
            </w:r>
          </w:p>
          <w:p w14:paraId="3AD9A2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具体要求：本项目为电子化、无纸化交易项目，投标文件是</w:t>
            </w:r>
            <w:r>
              <w:rPr>
                <w:rFonts w:hint="eastAsia"/>
                <w:sz w:val="24"/>
                <w:szCs w:val="24"/>
                <w:lang w:eastAsia="zh-CN"/>
              </w:rPr>
              <w:t>响应人</w:t>
            </w:r>
            <w:r>
              <w:rPr>
                <w:rFonts w:hint="eastAsia"/>
                <w:sz w:val="24"/>
                <w:szCs w:val="24"/>
              </w:rPr>
              <w:t>、</w:t>
            </w:r>
            <w:r>
              <w:rPr>
                <w:rFonts w:hint="eastAsia"/>
                <w:sz w:val="24"/>
                <w:szCs w:val="24"/>
                <w:lang w:eastAsia="zh-CN"/>
              </w:rPr>
              <w:t>响应人</w:t>
            </w:r>
            <w:r>
              <w:rPr>
                <w:rFonts w:hint="eastAsia"/>
                <w:sz w:val="24"/>
                <w:szCs w:val="24"/>
              </w:rPr>
              <w:t>（以下简称“</w:t>
            </w:r>
            <w:r>
              <w:rPr>
                <w:rFonts w:hint="eastAsia"/>
                <w:sz w:val="24"/>
                <w:szCs w:val="24"/>
                <w:lang w:eastAsia="zh-CN"/>
              </w:rPr>
              <w:t>响应人</w:t>
            </w:r>
            <w:r>
              <w:rPr>
                <w:rFonts w:hint="eastAsia"/>
                <w:sz w:val="24"/>
                <w:szCs w:val="24"/>
              </w:rPr>
              <w:t>”）通过中心投标文件制作系统制作，并经过签章和加密后生成的电子版投标文件。</w:t>
            </w:r>
          </w:p>
          <w:p w14:paraId="6EFCD0D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电子化投标文件具体制作文件请点击https://download.bqpoint.com/download/downloaddetail.html?SourceFrom=Ztb&amp;ZtbSoftXiaQuCode=1506&amp;ZtbSoftType=tballinclusive进行下载。</w:t>
            </w:r>
          </w:p>
          <w:p w14:paraId="5EE4DB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温馨提示：本项目为电子化、无纸化交易项目，为保证您能投标成功，请需仔细阅读以下条款。</w:t>
            </w:r>
          </w:p>
          <w:p w14:paraId="007893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一、电子化投标</w:t>
            </w:r>
          </w:p>
          <w:p w14:paraId="61ED85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（一）电子化投标文件的签章</w:t>
            </w:r>
          </w:p>
          <w:p w14:paraId="1F0141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w:t>
            </w:r>
            <w:r>
              <w:rPr>
                <w:rFonts w:hint="eastAsia"/>
                <w:sz w:val="24"/>
                <w:szCs w:val="24"/>
                <w:lang w:eastAsia="zh-CN"/>
              </w:rPr>
              <w:t>响应人</w:t>
            </w:r>
            <w:r>
              <w:rPr>
                <w:rFonts w:hint="eastAsia"/>
                <w:sz w:val="24"/>
                <w:szCs w:val="24"/>
              </w:rPr>
              <w:t>在生成电子化投标文件后，应对电子化投标文件进行签章，未进行签章的视为无效投标。</w:t>
            </w:r>
          </w:p>
          <w:p w14:paraId="613F9A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2、招标文件中要求法定代表人（或经营者）或授权委托人签字或盖章的，</w:t>
            </w:r>
            <w:r>
              <w:rPr>
                <w:rFonts w:hint="eastAsia"/>
                <w:sz w:val="24"/>
                <w:szCs w:val="24"/>
                <w:lang w:eastAsia="zh-CN"/>
              </w:rPr>
              <w:t>响应人</w:t>
            </w:r>
            <w:r>
              <w:rPr>
                <w:rFonts w:hint="eastAsia"/>
                <w:sz w:val="24"/>
                <w:szCs w:val="24"/>
              </w:rPr>
              <w:t>在进行电子化投标文件签章时，以签盖法定代表人（或经营者）签章为准。</w:t>
            </w:r>
          </w:p>
          <w:p w14:paraId="1B44B5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（三）电子化投标文件的格式及上传投标</w:t>
            </w:r>
          </w:p>
          <w:p w14:paraId="0C1567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w:t>
            </w:r>
            <w:r>
              <w:rPr>
                <w:rFonts w:hint="eastAsia"/>
                <w:sz w:val="24"/>
                <w:szCs w:val="24"/>
                <w:lang w:eastAsia="zh-CN"/>
              </w:rPr>
              <w:t>响应人</w:t>
            </w:r>
            <w:r>
              <w:rPr>
                <w:rFonts w:hint="eastAsia"/>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sz w:val="24"/>
                <w:szCs w:val="24"/>
                <w:lang w:eastAsia="zh-CN"/>
              </w:rPr>
              <w:t>响应人</w:t>
            </w:r>
            <w:r>
              <w:rPr>
                <w:rFonts w:hint="eastAsia"/>
                <w:sz w:val="24"/>
                <w:szCs w:val="24"/>
              </w:rPr>
              <w:t>随身携带。</w:t>
            </w:r>
          </w:p>
          <w:p w14:paraId="04CD4B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注：</w:t>
            </w:r>
            <w:r>
              <w:rPr>
                <w:rFonts w:hint="eastAsia"/>
                <w:sz w:val="24"/>
                <w:szCs w:val="24"/>
                <w:lang w:eastAsia="zh-CN"/>
              </w:rPr>
              <w:t>响应人</w:t>
            </w:r>
            <w:r>
              <w:rPr>
                <w:rFonts w:hint="eastAsia"/>
                <w:sz w:val="24"/>
                <w:szCs w:val="24"/>
              </w:rPr>
              <w:t>投报多个标段的，需要每个标段单独制作电子投标文件。</w:t>
            </w:r>
          </w:p>
          <w:p w14:paraId="019181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2、电子化投标文件应在投标截止时间前成功上传至三门峡市公共资源电子化交易系统。至投标截止时间止，仍未上传成功的电子化投标文件将不予接收。</w:t>
            </w:r>
          </w:p>
          <w:p w14:paraId="34DD672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注：如按照电子化投标操作教材制作完成的电子化投标文件无法上传的，</w:t>
            </w:r>
            <w:r>
              <w:rPr>
                <w:rFonts w:hint="eastAsia"/>
                <w:sz w:val="24"/>
                <w:szCs w:val="24"/>
                <w:lang w:eastAsia="zh-CN"/>
              </w:rPr>
              <w:t>响应人</w:t>
            </w:r>
            <w:r>
              <w:rPr>
                <w:rFonts w:hint="eastAsia"/>
                <w:sz w:val="24"/>
                <w:szCs w:val="24"/>
              </w:rPr>
              <w:t>应在投标截止时间前尽早的联系中心技术人员，以便有充分的时间进行处理。</w:t>
            </w:r>
            <w:r>
              <w:rPr>
                <w:rFonts w:hint="eastAsia"/>
                <w:sz w:val="24"/>
                <w:szCs w:val="24"/>
                <w:lang w:eastAsia="zh-CN"/>
              </w:rPr>
              <w:t>响应人</w:t>
            </w:r>
            <w:r>
              <w:rPr>
                <w:rFonts w:hint="eastAsia"/>
                <w:sz w:val="24"/>
                <w:szCs w:val="24"/>
              </w:rPr>
              <w:t>应充分考虑到处理技术问题和上传数据等工作所需的时间问题，投标文件未在投标截止时间前成功上传的，其投标文件不予接收。</w:t>
            </w:r>
          </w:p>
          <w:p w14:paraId="048B6B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技术联系电话：0398-3117095   3117080</w:t>
            </w:r>
          </w:p>
          <w:p w14:paraId="7742E1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新点客服电话:4009980000</w:t>
            </w:r>
          </w:p>
          <w:p w14:paraId="026CDD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（四）电子化项目开标、解密、唱标、评标</w:t>
            </w:r>
          </w:p>
          <w:p w14:paraId="4E2BD8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1、本项目采用无纸化进行招标，开标当日，</w:t>
            </w:r>
            <w:r>
              <w:rPr>
                <w:rFonts w:hint="eastAsia"/>
                <w:sz w:val="24"/>
                <w:szCs w:val="24"/>
                <w:lang w:eastAsia="zh-CN"/>
              </w:rPr>
              <w:t>响应人</w:t>
            </w:r>
            <w:r>
              <w:rPr>
                <w:rFonts w:hint="eastAsia"/>
                <w:sz w:val="24"/>
                <w:szCs w:val="24"/>
              </w:rPr>
              <w:t>无需到开标现场参加开标会议，</w:t>
            </w:r>
            <w:r>
              <w:rPr>
                <w:rFonts w:hint="eastAsia"/>
                <w:sz w:val="24"/>
                <w:szCs w:val="24"/>
                <w:lang w:eastAsia="zh-CN"/>
              </w:rPr>
              <w:t>响应人</w:t>
            </w:r>
            <w:r>
              <w:rPr>
                <w:rFonts w:hint="eastAsia"/>
                <w:sz w:val="24"/>
                <w:szCs w:val="24"/>
              </w:rPr>
              <w:t>应当在投标截止时间前，登陆不见面开标大厅选择登陆三门峡市公共资源电子招投标系统进行登陆（网址为http://122.112.246.33/BidOpening/bidopeninghallaction/hall/login）,在线准时参加开标活动并进行投标文件解密等</w:t>
            </w:r>
          </w:p>
          <w:p w14:paraId="6EB39D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2、电子化投标文件采用一次加密方式。开标时，由</w:t>
            </w:r>
            <w:r>
              <w:rPr>
                <w:rFonts w:hint="eastAsia"/>
                <w:sz w:val="24"/>
                <w:szCs w:val="24"/>
                <w:lang w:eastAsia="zh-CN"/>
              </w:rPr>
              <w:t>响应人</w:t>
            </w:r>
            <w:r>
              <w:rPr>
                <w:rFonts w:hint="eastAsia"/>
                <w:sz w:val="24"/>
                <w:szCs w:val="24"/>
              </w:rPr>
              <w:t>使用CA 证书，在规定时间内对其电子化投标文件进行解密。每位</w:t>
            </w:r>
            <w:r>
              <w:rPr>
                <w:rFonts w:hint="eastAsia"/>
                <w:sz w:val="24"/>
                <w:szCs w:val="24"/>
                <w:lang w:eastAsia="zh-CN"/>
              </w:rPr>
              <w:t>响应人</w:t>
            </w:r>
            <w:r>
              <w:rPr>
                <w:rFonts w:hint="eastAsia"/>
                <w:sz w:val="24"/>
                <w:szCs w:val="24"/>
              </w:rPr>
              <w:t>的解密时间为开标时间起30 分钟内，如在规定时间内未完成解密的，其投标文件不予开标、唱标。</w:t>
            </w:r>
          </w:p>
          <w:p w14:paraId="5E10E3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3、电子化投标文件解密异常的处理</w:t>
            </w:r>
          </w:p>
          <w:p w14:paraId="72E367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如出现</w:t>
            </w:r>
            <w:r>
              <w:rPr>
                <w:rFonts w:hint="eastAsia"/>
                <w:sz w:val="24"/>
                <w:szCs w:val="24"/>
                <w:lang w:eastAsia="zh-CN"/>
              </w:rPr>
              <w:t>响应人</w:t>
            </w:r>
            <w:r>
              <w:rPr>
                <w:rFonts w:hint="eastAsia"/>
                <w:sz w:val="24"/>
                <w:szCs w:val="24"/>
              </w:rPr>
              <w:t>的电子投标文件无法解密等异常情况，</w:t>
            </w:r>
            <w:r>
              <w:rPr>
                <w:rFonts w:hint="eastAsia"/>
                <w:sz w:val="24"/>
                <w:szCs w:val="24"/>
                <w:lang w:eastAsia="zh-CN"/>
              </w:rPr>
              <w:t>响应人</w:t>
            </w:r>
            <w:r>
              <w:rPr>
                <w:rFonts w:hint="eastAsia"/>
                <w:sz w:val="24"/>
                <w:szCs w:val="24"/>
              </w:rPr>
              <w:t>应及时致电中介服务机构说明。投标文件异常，按以下步骤进行处理：</w:t>
            </w:r>
          </w:p>
          <w:p w14:paraId="5AE414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（1）首先由技术人员进行问题排查。</w:t>
            </w:r>
          </w:p>
          <w:p w14:paraId="20FDCA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（2）经技术人员排查后，是</w:t>
            </w:r>
            <w:r>
              <w:rPr>
                <w:rFonts w:hint="eastAsia"/>
                <w:sz w:val="24"/>
                <w:szCs w:val="24"/>
                <w:lang w:eastAsia="zh-CN"/>
              </w:rPr>
              <w:t>响应人</w:t>
            </w:r>
            <w:r>
              <w:rPr>
                <w:rFonts w:hint="eastAsia"/>
                <w:sz w:val="24"/>
                <w:szCs w:val="24"/>
              </w:rPr>
              <w:t>文件自身问题导致投标文件无法解密的，该投标文件将不予接收、解密和唱标。开标会议继续进行。</w:t>
            </w:r>
          </w:p>
          <w:p w14:paraId="374144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F5870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4、待所有</w:t>
            </w:r>
            <w:r>
              <w:rPr>
                <w:rFonts w:hint="eastAsia"/>
                <w:sz w:val="24"/>
                <w:szCs w:val="24"/>
                <w:lang w:eastAsia="zh-CN"/>
              </w:rPr>
              <w:t>响应人</w:t>
            </w:r>
            <w:r>
              <w:rPr>
                <w:rFonts w:hint="eastAsia"/>
                <w:sz w:val="24"/>
                <w:szCs w:val="24"/>
              </w:rPr>
              <w:t>投标文件解密完成后，由中介服务机构操作，对所有已解密投标文件进行唱标。</w:t>
            </w:r>
          </w:p>
          <w:p w14:paraId="7FCABA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lang w:eastAsia="zh-CN"/>
              </w:rPr>
              <w:t>响应人</w:t>
            </w:r>
            <w:r>
              <w:rPr>
                <w:rFonts w:hint="eastAsia"/>
                <w:sz w:val="24"/>
                <w:szCs w:val="24"/>
              </w:rPr>
              <w:t>应保证在开标期间电话、电脑、网络能够正常工作，</w:t>
            </w:r>
            <w:r>
              <w:rPr>
                <w:rFonts w:hint="eastAsia"/>
                <w:sz w:val="24"/>
                <w:szCs w:val="24"/>
                <w:lang w:eastAsia="zh-CN"/>
              </w:rPr>
              <w:t>响应人</w:t>
            </w:r>
            <w:r>
              <w:rPr>
                <w:rFonts w:hint="eastAsia"/>
                <w:sz w:val="24"/>
                <w:szCs w:val="24"/>
              </w:rPr>
              <w:t>因停电、电脑病毒、网络堵塞等原因，未在规定的解密时间内对投标文件进行解密的，其投标文件不予接收、唱标。</w:t>
            </w:r>
          </w:p>
          <w:p w14:paraId="3BC5DF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5、开标时</w:t>
            </w:r>
            <w:r>
              <w:rPr>
                <w:rFonts w:hint="eastAsia"/>
                <w:sz w:val="24"/>
                <w:szCs w:val="24"/>
                <w:lang w:eastAsia="zh-CN"/>
              </w:rPr>
              <w:t>响应人</w:t>
            </w:r>
            <w:r>
              <w:rPr>
                <w:rFonts w:hint="eastAsia"/>
                <w:sz w:val="24"/>
                <w:szCs w:val="24"/>
              </w:rPr>
              <w:t>可登录到交易系统中在开标解密栏中点击报价一览表查看自己的投标报价。如对自己的唱标内容有异议的，应在</w:t>
            </w:r>
            <w:r>
              <w:rPr>
                <w:rFonts w:hint="eastAsia"/>
                <w:sz w:val="24"/>
                <w:szCs w:val="24"/>
                <w:lang w:eastAsia="zh-CN"/>
              </w:rPr>
              <w:t>响应人</w:t>
            </w:r>
            <w:r>
              <w:rPr>
                <w:rFonts w:hint="eastAsia"/>
                <w:sz w:val="24"/>
                <w:szCs w:val="24"/>
              </w:rPr>
              <w:t>解密成功后10分钟内向中介服务机构电话质疑。中介服务机构应在监督人员的监督下进行免提通话接受</w:t>
            </w:r>
            <w:r>
              <w:rPr>
                <w:rFonts w:hint="eastAsia"/>
                <w:sz w:val="24"/>
                <w:szCs w:val="24"/>
                <w:lang w:eastAsia="zh-CN"/>
              </w:rPr>
              <w:t>响应人</w:t>
            </w:r>
            <w:r>
              <w:rPr>
                <w:rFonts w:hint="eastAsia"/>
                <w:sz w:val="24"/>
                <w:szCs w:val="24"/>
              </w:rPr>
              <w:t>的质疑并做好书面记录。</w:t>
            </w:r>
            <w:r>
              <w:rPr>
                <w:rFonts w:hint="eastAsia"/>
                <w:sz w:val="24"/>
                <w:szCs w:val="24"/>
                <w:lang w:eastAsia="zh-CN"/>
              </w:rPr>
              <w:t>响应人</w:t>
            </w:r>
            <w:r>
              <w:rPr>
                <w:rFonts w:hint="eastAsia"/>
                <w:sz w:val="24"/>
                <w:szCs w:val="24"/>
              </w:rPr>
              <w:t>未在规定时间内提出质疑的，视为认可唱标内容。</w:t>
            </w:r>
          </w:p>
          <w:p w14:paraId="497E8C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6、评标时，评标委员会对电子化投标文件有质疑的，将通过电子化交易系统对</w:t>
            </w:r>
            <w:r>
              <w:rPr>
                <w:rFonts w:hint="eastAsia"/>
                <w:sz w:val="24"/>
                <w:szCs w:val="24"/>
                <w:lang w:eastAsia="zh-CN"/>
              </w:rPr>
              <w:t>响应人</w:t>
            </w:r>
            <w:r>
              <w:rPr>
                <w:rFonts w:hint="eastAsia"/>
                <w:sz w:val="24"/>
                <w:szCs w:val="24"/>
              </w:rPr>
              <w:t>发起质疑，并在监督人员的监督下，用免提模式致电需要答复的</w:t>
            </w:r>
            <w:r>
              <w:rPr>
                <w:rFonts w:hint="eastAsia"/>
                <w:sz w:val="24"/>
                <w:szCs w:val="24"/>
                <w:lang w:eastAsia="zh-CN"/>
              </w:rPr>
              <w:t>响应人</w:t>
            </w:r>
            <w:r>
              <w:rPr>
                <w:rFonts w:hint="eastAsia"/>
                <w:sz w:val="24"/>
                <w:szCs w:val="24"/>
              </w:rPr>
              <w:t>对质疑进行回复。</w:t>
            </w:r>
            <w:r>
              <w:rPr>
                <w:rFonts w:hint="eastAsia"/>
                <w:sz w:val="24"/>
                <w:szCs w:val="24"/>
                <w:lang w:eastAsia="zh-CN"/>
              </w:rPr>
              <w:t>响应人</w:t>
            </w:r>
            <w:r>
              <w:rPr>
                <w:rFonts w:hint="eastAsia"/>
                <w:sz w:val="24"/>
                <w:szCs w:val="24"/>
              </w:rPr>
              <w:t>的回复文件必须以经过</w:t>
            </w:r>
            <w:r>
              <w:rPr>
                <w:rFonts w:hint="eastAsia"/>
                <w:sz w:val="24"/>
                <w:szCs w:val="24"/>
                <w:lang w:eastAsia="zh-CN"/>
              </w:rPr>
              <w:t>响应人</w:t>
            </w:r>
            <w:r>
              <w:rPr>
                <w:rFonts w:hint="eastAsia"/>
                <w:sz w:val="24"/>
                <w:szCs w:val="24"/>
              </w:rPr>
              <w:t>和其法定代表人（或经营者）签章的PDF格式文件为准，并通过电子化交易系统提交至评标委员会。</w:t>
            </w:r>
          </w:p>
          <w:p w14:paraId="45E8B8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7、如评标委员会对需要回复的</w:t>
            </w:r>
            <w:r>
              <w:rPr>
                <w:rFonts w:hint="eastAsia"/>
                <w:sz w:val="24"/>
                <w:szCs w:val="24"/>
                <w:lang w:eastAsia="zh-CN"/>
              </w:rPr>
              <w:t>响应人</w:t>
            </w:r>
            <w:r>
              <w:rPr>
                <w:rFonts w:hint="eastAsia"/>
                <w:sz w:val="24"/>
                <w:szCs w:val="24"/>
              </w:rPr>
              <w:t>连续三次致电未接通的，视为</w:t>
            </w:r>
            <w:r>
              <w:rPr>
                <w:rFonts w:hint="eastAsia"/>
                <w:sz w:val="24"/>
                <w:szCs w:val="24"/>
                <w:lang w:eastAsia="zh-CN"/>
              </w:rPr>
              <w:t>响应人</w:t>
            </w:r>
            <w:r>
              <w:rPr>
                <w:rFonts w:hint="eastAsia"/>
                <w:sz w:val="24"/>
                <w:szCs w:val="24"/>
              </w:rPr>
              <w:t>放弃回复，评标委员会将自行对需要回复的内容进行认定。</w:t>
            </w:r>
          </w:p>
          <w:p w14:paraId="44B3451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提示：</w:t>
            </w:r>
          </w:p>
          <w:p w14:paraId="54F73D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sz w:val="24"/>
                <w:szCs w:val="24"/>
              </w:rPr>
            </w:pPr>
            <w:r>
              <w:rPr>
                <w:rFonts w:hint="eastAsia"/>
                <w:sz w:val="24"/>
                <w:szCs w:val="24"/>
              </w:rPr>
              <w:t>1、本项目为电子化、无纸化交易项目，开标时不再接受任何纸质资料，为保证您能投标成功，需仔细阅读以上条款。</w:t>
            </w:r>
          </w:p>
          <w:p w14:paraId="03AFDC2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0" w:right="0"/>
              <w:textAlignment w:val="auto"/>
              <w:rPr>
                <w:rFonts w:hint="eastAsia" w:asciiTheme="minorEastAsia" w:hAnsiTheme="minorEastAsia" w:eastAsiaTheme="minorEastAsia"/>
                <w:color w:val="auto"/>
                <w:sz w:val="24"/>
                <w:szCs w:val="24"/>
                <w:lang w:val="en-US" w:eastAsia="zh-CN"/>
              </w:rPr>
            </w:pPr>
            <w:r>
              <w:rPr>
                <w:rFonts w:hint="eastAsia"/>
                <w:sz w:val="24"/>
                <w:szCs w:val="24"/>
              </w:rPr>
              <w:t>2、CA证书延期激活后，已经报名为开标的项目，请重新下载制作投标文件并上传，否则开标时文件将无法解密</w:t>
            </w:r>
            <w:r>
              <w:rPr>
                <w:rFonts w:hint="eastAsia"/>
                <w:sz w:val="24"/>
                <w:szCs w:val="24"/>
                <w:lang w:eastAsia="zh-CN"/>
              </w:rPr>
              <w:t>。</w:t>
            </w:r>
          </w:p>
        </w:tc>
      </w:tr>
    </w:tbl>
    <w:p w14:paraId="5D24EAE8">
      <w:pPr>
        <w:keepNext w:val="0"/>
        <w:keepLines w:val="0"/>
        <w:pageBreakBefore/>
        <w:widowControl w:val="0"/>
        <w:tabs>
          <w:tab w:val="left" w:pos="312"/>
        </w:tabs>
        <w:kinsoku/>
        <w:wordWrap/>
        <w:topLinePunct w:val="0"/>
        <w:autoSpaceDE/>
        <w:autoSpaceDN/>
        <w:bidi w:val="0"/>
        <w:spacing w:line="520" w:lineRule="exact"/>
        <w:jc w:val="both"/>
        <w:textAlignment w:val="auto"/>
        <w:outlineLvl w:val="1"/>
        <w:rPr>
          <w:rFonts w:hint="eastAsia" w:ascii="宋体" w:hAnsi="宋体" w:eastAsia="宋体" w:cs="宋体"/>
          <w:b/>
          <w:sz w:val="24"/>
          <w:szCs w:val="24"/>
        </w:rPr>
      </w:pPr>
      <w:bookmarkStart w:id="10" w:name="_Toc235378129"/>
      <w:bookmarkStart w:id="11" w:name="_Toc38145772"/>
      <w:bookmarkStart w:id="12" w:name="_Toc38145596"/>
      <w:bookmarkStart w:id="13" w:name="_Toc38145697"/>
      <w:bookmarkStart w:id="14" w:name="_Toc6768_WPSOffice_Level2"/>
      <w:r>
        <w:rPr>
          <w:rFonts w:hint="eastAsia" w:ascii="宋体" w:hAnsi="宋体" w:eastAsia="宋体" w:cs="宋体"/>
          <w:b/>
          <w:sz w:val="24"/>
          <w:szCs w:val="24"/>
        </w:rPr>
        <w:t>一</w:t>
      </w:r>
      <w:r>
        <w:rPr>
          <w:rFonts w:hint="eastAsia" w:ascii="宋体" w:hAnsi="宋体" w:eastAsia="宋体" w:cs="宋体"/>
          <w:b/>
          <w:sz w:val="24"/>
          <w:szCs w:val="24"/>
          <w:lang w:eastAsia="zh-CN"/>
        </w:rPr>
        <w:t>、</w:t>
      </w:r>
      <w:r>
        <w:rPr>
          <w:rFonts w:hint="eastAsia" w:ascii="宋体" w:hAnsi="宋体" w:eastAsia="宋体" w:cs="宋体"/>
          <w:b/>
          <w:sz w:val="24"/>
          <w:szCs w:val="24"/>
        </w:rPr>
        <w:t>总则</w:t>
      </w:r>
      <w:bookmarkEnd w:id="10"/>
      <w:bookmarkEnd w:id="11"/>
      <w:bookmarkEnd w:id="12"/>
      <w:bookmarkEnd w:id="13"/>
      <w:bookmarkEnd w:id="14"/>
    </w:p>
    <w:p w14:paraId="3A6D149C">
      <w:pPr>
        <w:keepNext w:val="0"/>
        <w:keepLines w:val="0"/>
        <w:widowControl w:val="0"/>
        <w:kinsoku/>
        <w:wordWrap/>
        <w:topLinePunct w:val="0"/>
        <w:autoSpaceDE/>
        <w:autoSpaceDN/>
        <w:bidi w:val="0"/>
        <w:spacing w:line="520" w:lineRule="exact"/>
        <w:ind w:left="0" w:leftChars="0" w:firstLine="422" w:firstLineChars="175"/>
        <w:jc w:val="both"/>
        <w:textAlignment w:val="auto"/>
        <w:outlineLvl w:val="2"/>
        <w:rPr>
          <w:rFonts w:hint="eastAsia" w:ascii="宋体" w:hAnsi="宋体" w:eastAsia="宋体" w:cs="宋体"/>
          <w:b/>
          <w:kern w:val="1"/>
          <w:sz w:val="24"/>
          <w:szCs w:val="24"/>
        </w:rPr>
      </w:pPr>
      <w:bookmarkStart w:id="15" w:name="_Toc38145773"/>
      <w:bookmarkStart w:id="16" w:name="_Toc38145597"/>
      <w:bookmarkStart w:id="17" w:name="_Toc38145698"/>
      <w:r>
        <w:rPr>
          <w:rFonts w:hint="eastAsia" w:ascii="宋体" w:hAnsi="宋体" w:eastAsia="宋体" w:cs="宋体"/>
          <w:b/>
          <w:bCs/>
          <w:sz w:val="24"/>
          <w:szCs w:val="24"/>
        </w:rPr>
        <w:t>1.1项目概况</w:t>
      </w:r>
      <w:bookmarkEnd w:id="15"/>
      <w:bookmarkEnd w:id="16"/>
      <w:bookmarkEnd w:id="17"/>
    </w:p>
    <w:p w14:paraId="3C48544F">
      <w:pPr>
        <w:keepNext w:val="0"/>
        <w:keepLines w:val="0"/>
        <w:widowControl w:val="0"/>
        <w:suppressAutoHyphens/>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kern w:val="1"/>
          <w:sz w:val="24"/>
          <w:szCs w:val="24"/>
        </w:rPr>
      </w:pPr>
      <w:r>
        <w:rPr>
          <w:rFonts w:hint="eastAsia" w:ascii="宋体" w:hAnsi="宋体" w:eastAsia="宋体" w:cs="宋体"/>
          <w:kern w:val="1"/>
          <w:sz w:val="24"/>
          <w:szCs w:val="24"/>
        </w:rPr>
        <w:t>1.1.1根据有关法律、法规和规章的规定，本项目己具备磋商条件，现对本项目进行磋商。</w:t>
      </w:r>
    </w:p>
    <w:p w14:paraId="3FEC2893">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1.1.2本项目采购人：见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7E647929">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1.1.3本项目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w:t>
      </w:r>
      <w:r>
        <w:rPr>
          <w:rFonts w:hint="eastAsia" w:ascii="宋体" w:hAnsi="宋体" w:eastAsia="宋体" w:cs="宋体"/>
          <w:sz w:val="24"/>
          <w:szCs w:val="24"/>
          <w:lang w:val="en-US" w:eastAsia="zh-CN"/>
        </w:rPr>
        <w:t>机构</w:t>
      </w:r>
      <w:r>
        <w:rPr>
          <w:rFonts w:hint="eastAsia" w:ascii="宋体" w:hAnsi="宋体" w:eastAsia="宋体" w:cs="宋体"/>
          <w:sz w:val="24"/>
          <w:szCs w:val="24"/>
        </w:rPr>
        <w:t>：见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08F493AB">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1.1.4本项目名称：见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6B08CFE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8" w:name="_Toc38145699"/>
      <w:bookmarkStart w:id="19" w:name="_Toc38145774"/>
      <w:bookmarkStart w:id="20" w:name="_Toc38145598"/>
      <w:r>
        <w:rPr>
          <w:rFonts w:hint="eastAsia" w:ascii="宋体" w:hAnsi="宋体" w:eastAsia="宋体" w:cs="宋体"/>
          <w:b/>
          <w:bCs/>
          <w:sz w:val="24"/>
          <w:szCs w:val="24"/>
        </w:rPr>
        <w:t>1.2资金来源、落实情况</w:t>
      </w:r>
      <w:bookmarkEnd w:id="18"/>
      <w:bookmarkEnd w:id="19"/>
      <w:bookmarkEnd w:id="20"/>
    </w:p>
    <w:p w14:paraId="24B54609">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1.2.1本项目的资金来源：见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396670F8">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1.2.2本项目的资金落实情况：见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6BE458A9">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21" w:name="_Toc38145700"/>
      <w:bookmarkStart w:id="22" w:name="_Toc38145599"/>
      <w:bookmarkStart w:id="23" w:name="_Toc38145775"/>
      <w:r>
        <w:rPr>
          <w:rFonts w:hint="eastAsia" w:ascii="宋体" w:hAnsi="宋体" w:eastAsia="宋体" w:cs="宋体"/>
          <w:b/>
          <w:bCs/>
          <w:sz w:val="24"/>
          <w:szCs w:val="24"/>
        </w:rPr>
        <w:t>1.3磋商范围、</w:t>
      </w:r>
      <w:bookmarkEnd w:id="21"/>
      <w:bookmarkEnd w:id="22"/>
      <w:bookmarkEnd w:id="23"/>
      <w:r>
        <w:rPr>
          <w:rFonts w:hint="eastAsia" w:ascii="宋体" w:hAnsi="宋体" w:cs="宋体"/>
          <w:b/>
          <w:bCs/>
          <w:sz w:val="24"/>
          <w:szCs w:val="24"/>
          <w:lang w:val="en-US" w:eastAsia="zh-CN"/>
        </w:rPr>
        <w:t>监理服务期限、质量要求、</w:t>
      </w:r>
      <w:r>
        <w:rPr>
          <w:rFonts w:hint="default" w:ascii="宋体" w:hAnsi="宋体" w:cs="宋体"/>
          <w:b/>
          <w:bCs/>
          <w:sz w:val="24"/>
          <w:szCs w:val="24"/>
          <w:lang w:val="en-US" w:eastAsia="zh-CN"/>
        </w:rPr>
        <w:t>安全目标</w:t>
      </w:r>
    </w:p>
    <w:p w14:paraId="389E7F3D">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1.3.1本项目磋商范围：见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0FC1E2C8">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1.3.2本项目</w:t>
      </w:r>
      <w:r>
        <w:rPr>
          <w:rFonts w:hint="eastAsia" w:ascii="宋体" w:hAnsi="宋体" w:cs="宋体"/>
          <w:sz w:val="24"/>
          <w:szCs w:val="24"/>
          <w:lang w:val="en-US" w:eastAsia="zh-CN"/>
        </w:rPr>
        <w:t>监理服务期限</w:t>
      </w:r>
      <w:r>
        <w:rPr>
          <w:rFonts w:hint="eastAsia" w:ascii="宋体" w:hAnsi="宋体" w:eastAsia="宋体" w:cs="宋体"/>
          <w:sz w:val="24"/>
          <w:szCs w:val="24"/>
        </w:rPr>
        <w:t>：见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5654E177">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3</w:t>
      </w:r>
      <w:r>
        <w:rPr>
          <w:rFonts w:hint="eastAsia" w:ascii="宋体" w:hAnsi="宋体" w:eastAsia="宋体" w:cs="宋体"/>
          <w:sz w:val="24"/>
          <w:szCs w:val="24"/>
        </w:rPr>
        <w:t>本项目质量要求：见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5F66566A">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rPr>
      </w:pPr>
      <w:r>
        <w:rPr>
          <w:rFonts w:hint="eastAsia" w:ascii="宋体" w:hAnsi="宋体" w:eastAsia="宋体" w:cs="宋体"/>
          <w:sz w:val="24"/>
          <w:szCs w:val="24"/>
        </w:rPr>
        <w:t>1.3.</w:t>
      </w:r>
      <w:r>
        <w:rPr>
          <w:rFonts w:hint="eastAsia" w:ascii="宋体" w:hAnsi="宋体" w:cs="宋体"/>
          <w:sz w:val="24"/>
          <w:szCs w:val="24"/>
          <w:lang w:val="en-US" w:eastAsia="zh-CN"/>
        </w:rPr>
        <w:t>4</w:t>
      </w:r>
      <w:r>
        <w:rPr>
          <w:rFonts w:hint="eastAsia" w:ascii="宋体" w:hAnsi="宋体" w:eastAsia="宋体" w:cs="宋体"/>
          <w:sz w:val="24"/>
          <w:szCs w:val="24"/>
        </w:rPr>
        <w:t>本项目安全目标：见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3420B18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lang w:val="en-US" w:eastAsia="zh-CN"/>
        </w:rPr>
      </w:pPr>
      <w:bookmarkStart w:id="24" w:name="_Toc38145600"/>
      <w:bookmarkStart w:id="25" w:name="_Toc38145776"/>
      <w:bookmarkStart w:id="26" w:name="_Toc38145701"/>
      <w:r>
        <w:rPr>
          <w:rFonts w:hint="eastAsia" w:ascii="宋体" w:hAnsi="宋体" w:eastAsia="宋体" w:cs="宋体"/>
          <w:b/>
          <w:bCs/>
          <w:sz w:val="24"/>
          <w:szCs w:val="24"/>
          <w:lang w:val="en-US" w:eastAsia="zh-CN"/>
        </w:rPr>
        <w:t>1.4</w:t>
      </w:r>
      <w:r>
        <w:rPr>
          <w:rFonts w:hint="eastAsia" w:ascii="宋体" w:hAnsi="宋体" w:cs="宋体"/>
          <w:b/>
          <w:bCs/>
          <w:sz w:val="24"/>
          <w:szCs w:val="24"/>
          <w:lang w:val="en-US" w:eastAsia="zh-CN"/>
        </w:rPr>
        <w:t>响应人</w:t>
      </w:r>
      <w:r>
        <w:rPr>
          <w:rFonts w:hint="eastAsia" w:ascii="宋体" w:hAnsi="宋体" w:eastAsia="宋体" w:cs="宋体"/>
          <w:b/>
          <w:bCs/>
          <w:sz w:val="24"/>
          <w:szCs w:val="24"/>
          <w:lang w:val="en-US" w:eastAsia="zh-CN"/>
        </w:rPr>
        <w:t>资格要求</w:t>
      </w:r>
      <w:bookmarkEnd w:id="24"/>
      <w:bookmarkEnd w:id="25"/>
      <w:bookmarkEnd w:id="26"/>
    </w:p>
    <w:p w14:paraId="707C1DD4">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yellow"/>
        </w:rPr>
      </w:pPr>
      <w:r>
        <w:rPr>
          <w:rFonts w:hint="eastAsia" w:ascii="宋体" w:hAnsi="宋体" w:eastAsia="宋体" w:cs="宋体"/>
          <w:sz w:val="24"/>
          <w:szCs w:val="24"/>
        </w:rPr>
        <w:t>1.4.1</w:t>
      </w:r>
      <w:r>
        <w:rPr>
          <w:rFonts w:hint="eastAsia" w:ascii="宋体" w:hAnsi="宋体" w:cs="宋体"/>
          <w:sz w:val="24"/>
          <w:szCs w:val="24"/>
          <w:lang w:eastAsia="zh-CN"/>
        </w:rPr>
        <w:t>响应人</w:t>
      </w:r>
      <w:r>
        <w:rPr>
          <w:rFonts w:hint="eastAsia" w:ascii="宋体" w:hAnsi="宋体" w:eastAsia="宋体" w:cs="宋体"/>
          <w:sz w:val="24"/>
          <w:szCs w:val="24"/>
        </w:rPr>
        <w:t>资格要求：见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5B4FD59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27" w:name="_Toc38145702"/>
      <w:bookmarkStart w:id="28" w:name="_Toc38145777"/>
      <w:bookmarkStart w:id="29" w:name="_Toc38145601"/>
      <w:r>
        <w:rPr>
          <w:rFonts w:hint="eastAsia" w:ascii="宋体" w:hAnsi="宋体" w:eastAsia="宋体" w:cs="宋体"/>
          <w:b/>
          <w:bCs/>
          <w:sz w:val="24"/>
          <w:szCs w:val="24"/>
        </w:rPr>
        <w:t>1.5费用承担</w:t>
      </w:r>
      <w:bookmarkEnd w:id="27"/>
      <w:bookmarkEnd w:id="28"/>
      <w:bookmarkEnd w:id="29"/>
    </w:p>
    <w:p w14:paraId="18B6FFF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cs="宋体"/>
          <w:sz w:val="24"/>
          <w:szCs w:val="24"/>
          <w:lang w:eastAsia="zh-CN"/>
        </w:rPr>
        <w:t>响应人</w:t>
      </w:r>
      <w:r>
        <w:rPr>
          <w:rFonts w:hint="eastAsia" w:ascii="宋体" w:hAnsi="宋体" w:eastAsia="宋体" w:cs="宋体"/>
          <w:sz w:val="24"/>
          <w:szCs w:val="24"/>
        </w:rPr>
        <w:t>应承担其投标准备与递交响应文件所涉及的一切费用。不论是否中标，采购人对上述费用均不承担任何责任。</w:t>
      </w:r>
    </w:p>
    <w:p w14:paraId="2975C2C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0" w:name="_Toc38145778"/>
      <w:bookmarkStart w:id="31" w:name="_Toc38145703"/>
      <w:bookmarkStart w:id="32" w:name="_Toc38145602"/>
      <w:r>
        <w:rPr>
          <w:rFonts w:hint="eastAsia" w:ascii="宋体" w:hAnsi="宋体" w:eastAsia="宋体" w:cs="宋体"/>
          <w:b/>
          <w:bCs/>
          <w:sz w:val="24"/>
          <w:szCs w:val="24"/>
        </w:rPr>
        <w:t>1.6保密</w:t>
      </w:r>
      <w:bookmarkEnd w:id="30"/>
      <w:bookmarkEnd w:id="31"/>
      <w:bookmarkEnd w:id="32"/>
    </w:p>
    <w:p w14:paraId="0FB83978">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参与采购活动的各方应对磋商文件和响应文件中的商业和技术等秘密保密，违者应对由此造成的后果承担法律责任。</w:t>
      </w:r>
    </w:p>
    <w:p w14:paraId="3CC6AE1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3" w:name="_Toc38145779"/>
      <w:bookmarkStart w:id="34" w:name="_Toc38145603"/>
      <w:bookmarkStart w:id="35" w:name="_Toc38145704"/>
      <w:r>
        <w:rPr>
          <w:rFonts w:hint="eastAsia" w:ascii="宋体" w:hAnsi="宋体" w:eastAsia="宋体" w:cs="宋体"/>
          <w:b/>
          <w:bCs/>
          <w:sz w:val="24"/>
          <w:szCs w:val="24"/>
        </w:rPr>
        <w:t>1.7语言文字</w:t>
      </w:r>
      <w:bookmarkEnd w:id="33"/>
      <w:bookmarkEnd w:id="34"/>
      <w:bookmarkEnd w:id="35"/>
    </w:p>
    <w:p w14:paraId="6B2DA1D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除专用术语外，与采购活动有关的语言均使用中文。必要时专用术语应附有中文注释，对不同文字文。</w:t>
      </w:r>
    </w:p>
    <w:p w14:paraId="11A17C7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本响应文件的解释发生异议的，以中文文本为准。</w:t>
      </w:r>
    </w:p>
    <w:p w14:paraId="11CF39A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6" w:name="_Toc38145604"/>
      <w:bookmarkStart w:id="37" w:name="_Toc38145705"/>
      <w:bookmarkStart w:id="38" w:name="_Toc38145780"/>
      <w:r>
        <w:rPr>
          <w:rFonts w:hint="eastAsia" w:ascii="宋体" w:hAnsi="宋体" w:eastAsia="宋体" w:cs="宋体"/>
          <w:b/>
          <w:bCs/>
          <w:sz w:val="24"/>
          <w:szCs w:val="24"/>
        </w:rPr>
        <w:t>1.8计量单位</w:t>
      </w:r>
      <w:bookmarkEnd w:id="36"/>
      <w:bookmarkEnd w:id="37"/>
      <w:bookmarkEnd w:id="38"/>
    </w:p>
    <w:p w14:paraId="3C8F0082">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除技术规范另有规定外，所有计量均采用中华人民共和国法定计量单位。</w:t>
      </w:r>
    </w:p>
    <w:p w14:paraId="27A148F7">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39" w:name="_Toc38145605"/>
      <w:bookmarkStart w:id="40" w:name="_Toc38145706"/>
      <w:bookmarkStart w:id="41" w:name="_Toc38145781"/>
      <w:r>
        <w:rPr>
          <w:rFonts w:hint="eastAsia" w:ascii="宋体" w:hAnsi="宋体" w:eastAsia="宋体" w:cs="宋体"/>
          <w:b/>
          <w:bCs/>
          <w:sz w:val="24"/>
          <w:szCs w:val="24"/>
        </w:rPr>
        <w:t>1.9踏勘现场</w:t>
      </w:r>
      <w:bookmarkEnd w:id="39"/>
      <w:bookmarkEnd w:id="40"/>
      <w:bookmarkEnd w:id="41"/>
    </w:p>
    <w:p w14:paraId="763A1FBE">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180A88F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3"/>
        <w:rPr>
          <w:rFonts w:hint="eastAsia" w:ascii="宋体" w:hAnsi="宋体" w:eastAsia="宋体" w:cs="宋体"/>
          <w:b/>
          <w:bCs/>
          <w:sz w:val="24"/>
          <w:szCs w:val="24"/>
        </w:rPr>
      </w:pPr>
      <w:bookmarkStart w:id="42" w:name="_Toc38145782"/>
      <w:bookmarkStart w:id="43" w:name="_Toc38145606"/>
      <w:bookmarkStart w:id="44" w:name="_Toc38145707"/>
      <w:r>
        <w:rPr>
          <w:rFonts w:hint="eastAsia" w:ascii="宋体" w:hAnsi="宋体" w:eastAsia="宋体" w:cs="宋体"/>
          <w:b/>
          <w:bCs/>
          <w:sz w:val="24"/>
          <w:szCs w:val="24"/>
        </w:rPr>
        <w:t>1.10</w:t>
      </w:r>
      <w:bookmarkEnd w:id="42"/>
      <w:bookmarkEnd w:id="43"/>
      <w:bookmarkEnd w:id="44"/>
      <w:r>
        <w:rPr>
          <w:rFonts w:hint="eastAsia" w:ascii="宋体" w:hAnsi="宋体" w:eastAsia="宋体" w:cs="宋体"/>
          <w:b/>
          <w:bCs/>
          <w:sz w:val="24"/>
          <w:szCs w:val="24"/>
        </w:rPr>
        <w:t>联合体磋商</w:t>
      </w:r>
    </w:p>
    <w:p w14:paraId="2721C73B">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bookmarkStart w:id="45" w:name="_Toc38145708"/>
      <w:bookmarkStart w:id="46" w:name="_Toc38145783"/>
      <w:bookmarkStart w:id="47" w:name="_Toc38145607"/>
      <w:r>
        <w:rPr>
          <w:rFonts w:hint="eastAsia" w:ascii="宋体" w:hAnsi="宋体" w:eastAsia="宋体" w:cs="宋体"/>
          <w:sz w:val="24"/>
          <w:szCs w:val="24"/>
        </w:rPr>
        <w:t>不允许。</w:t>
      </w:r>
    </w:p>
    <w:p w14:paraId="5BCBE99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1.11分包</w:t>
      </w:r>
      <w:bookmarkEnd w:id="45"/>
      <w:bookmarkEnd w:id="46"/>
      <w:bookmarkEnd w:id="47"/>
    </w:p>
    <w:p w14:paraId="0F96D6E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不允许。</w:t>
      </w:r>
    </w:p>
    <w:p w14:paraId="1EA98E12">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48" w:name="_Toc38145784"/>
      <w:bookmarkStart w:id="49" w:name="_Toc38145608"/>
      <w:bookmarkStart w:id="50" w:name="_Toc38145709"/>
      <w:r>
        <w:rPr>
          <w:rFonts w:hint="eastAsia" w:ascii="宋体" w:hAnsi="宋体" w:eastAsia="宋体" w:cs="宋体"/>
          <w:b/>
          <w:bCs/>
          <w:sz w:val="24"/>
          <w:szCs w:val="24"/>
        </w:rPr>
        <w:t>1.12偏离</w:t>
      </w:r>
      <w:bookmarkEnd w:id="48"/>
      <w:bookmarkEnd w:id="49"/>
      <w:bookmarkEnd w:id="50"/>
    </w:p>
    <w:p w14:paraId="09D13847">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不允许</w:t>
      </w:r>
      <w:r>
        <w:rPr>
          <w:rFonts w:hint="eastAsia" w:ascii="宋体" w:hAnsi="宋体" w:eastAsia="宋体" w:cs="宋体"/>
          <w:sz w:val="24"/>
          <w:szCs w:val="24"/>
          <w:lang w:eastAsia="zh-CN"/>
        </w:rPr>
        <w:t>偏离</w:t>
      </w:r>
      <w:r>
        <w:rPr>
          <w:rFonts w:hint="eastAsia" w:ascii="宋体" w:hAnsi="宋体" w:eastAsia="宋体" w:cs="宋体"/>
          <w:sz w:val="24"/>
          <w:szCs w:val="24"/>
        </w:rPr>
        <w:t>。</w:t>
      </w:r>
      <w:bookmarkStart w:id="51" w:name="_Toc20846_WPSOffice_Level2"/>
      <w:bookmarkStart w:id="52" w:name="_Toc38145785"/>
      <w:bookmarkStart w:id="53" w:name="_Toc38145609"/>
      <w:bookmarkStart w:id="54" w:name="_Toc38145710"/>
    </w:p>
    <w:p w14:paraId="5B0AA3D1">
      <w:pPr>
        <w:keepNext w:val="0"/>
        <w:keepLines w:val="0"/>
        <w:widowControl w:val="0"/>
        <w:kinsoku/>
        <w:wordWrap/>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二</w:t>
      </w:r>
      <w:bookmarkEnd w:id="51"/>
      <w:r>
        <w:rPr>
          <w:rFonts w:hint="eastAsia" w:ascii="宋体" w:hAnsi="宋体" w:eastAsia="宋体" w:cs="宋体"/>
          <w:b/>
          <w:sz w:val="24"/>
          <w:szCs w:val="24"/>
          <w:lang w:eastAsia="zh-CN"/>
        </w:rPr>
        <w:t>、</w:t>
      </w:r>
      <w:r>
        <w:rPr>
          <w:rFonts w:hint="eastAsia" w:ascii="宋体" w:hAnsi="宋体" w:eastAsia="宋体" w:cs="宋体"/>
          <w:b/>
          <w:sz w:val="24"/>
          <w:szCs w:val="24"/>
        </w:rPr>
        <w:t>磋商文件</w:t>
      </w:r>
      <w:bookmarkEnd w:id="52"/>
      <w:bookmarkEnd w:id="53"/>
      <w:bookmarkEnd w:id="54"/>
    </w:p>
    <w:p w14:paraId="180757E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55" w:name="_Toc38145610"/>
      <w:bookmarkStart w:id="56" w:name="_Toc38145786"/>
      <w:bookmarkStart w:id="57" w:name="_Toc38145711"/>
      <w:r>
        <w:rPr>
          <w:rFonts w:hint="eastAsia" w:ascii="宋体" w:hAnsi="宋体" w:eastAsia="宋体" w:cs="宋体"/>
          <w:b/>
          <w:bCs/>
          <w:sz w:val="24"/>
          <w:szCs w:val="24"/>
        </w:rPr>
        <w:t>2.1磋商文件的组成</w:t>
      </w:r>
      <w:bookmarkEnd w:id="55"/>
      <w:bookmarkEnd w:id="56"/>
      <w:bookmarkEnd w:id="57"/>
    </w:p>
    <w:p w14:paraId="5DA7FB4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本磋商文件包括：</w:t>
      </w:r>
    </w:p>
    <w:p w14:paraId="565FED4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（1）竞争性磋商公告；</w:t>
      </w:r>
    </w:p>
    <w:p w14:paraId="41EB96D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0E7B7887">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（3）评审办法；</w:t>
      </w:r>
    </w:p>
    <w:p w14:paraId="4DD59BAD">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项目服务需求</w:t>
      </w:r>
      <w:r>
        <w:rPr>
          <w:rFonts w:hint="eastAsia" w:ascii="宋体" w:hAnsi="宋体" w:eastAsia="宋体" w:cs="宋体"/>
          <w:sz w:val="24"/>
          <w:szCs w:val="24"/>
        </w:rPr>
        <w:t>；</w:t>
      </w:r>
    </w:p>
    <w:p w14:paraId="5209111E">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（5）合同条款及格式；</w:t>
      </w:r>
    </w:p>
    <w:p w14:paraId="12ACC4B5">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3146ACDE">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根据本章第 2.1 款、第 2.2 款和第 2.3 款对磋商文件所作的澄清、修改，构成磋商文件的组成部分。</w:t>
      </w:r>
    </w:p>
    <w:p w14:paraId="36C06E2C">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58" w:name="_Toc38145611"/>
      <w:bookmarkStart w:id="59" w:name="_Toc38145787"/>
      <w:bookmarkStart w:id="60" w:name="_Toc38145712"/>
      <w:r>
        <w:rPr>
          <w:rFonts w:hint="eastAsia" w:ascii="宋体" w:hAnsi="宋体" w:eastAsia="宋体" w:cs="宋体"/>
          <w:b/>
          <w:bCs/>
          <w:sz w:val="24"/>
          <w:szCs w:val="24"/>
        </w:rPr>
        <w:t>2.2磋商文件的澄清</w:t>
      </w:r>
      <w:bookmarkEnd w:id="58"/>
      <w:bookmarkEnd w:id="59"/>
      <w:bookmarkEnd w:id="60"/>
    </w:p>
    <w:p w14:paraId="2274451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2.2.1 </w:t>
      </w:r>
      <w:r>
        <w:rPr>
          <w:rFonts w:hint="eastAsia" w:ascii="宋体" w:hAnsi="宋体" w:cs="宋体"/>
          <w:sz w:val="24"/>
          <w:szCs w:val="24"/>
          <w:lang w:eastAsia="zh-CN"/>
        </w:rPr>
        <w:t>响应人</w:t>
      </w:r>
      <w:r>
        <w:rPr>
          <w:rFonts w:hint="eastAsia" w:ascii="宋体" w:hAnsi="宋体" w:eastAsia="宋体" w:cs="宋体"/>
          <w:sz w:val="24"/>
          <w:szCs w:val="24"/>
        </w:rPr>
        <w:t>应仔细阅读和检查竞争性磋商文件的全部内容。如发现内容不完整或附件不全，应及时向采购人提出，以便补齐。如有疑问，应在</w:t>
      </w:r>
      <w:r>
        <w:rPr>
          <w:rFonts w:hint="eastAsia" w:ascii="宋体" w:hAnsi="宋体" w:cs="宋体"/>
          <w:sz w:val="24"/>
          <w:szCs w:val="24"/>
          <w:lang w:eastAsia="zh-CN"/>
        </w:rPr>
        <w:t>供应商须知前附表</w:t>
      </w:r>
      <w:r>
        <w:rPr>
          <w:rFonts w:hint="eastAsia" w:ascii="宋体" w:hAnsi="宋体" w:eastAsia="宋体" w:cs="宋体"/>
          <w:sz w:val="24"/>
          <w:szCs w:val="24"/>
        </w:rPr>
        <w:t>规定的时间</w:t>
      </w:r>
      <w:r>
        <w:rPr>
          <w:rFonts w:hint="eastAsia" w:ascii="宋体" w:hAnsi="宋体" w:eastAsia="宋体" w:cs="宋体"/>
          <w:sz w:val="24"/>
          <w:szCs w:val="24"/>
          <w:lang w:eastAsia="zh-CN"/>
        </w:rPr>
        <w:t>、</w:t>
      </w:r>
      <w:r>
        <w:rPr>
          <w:rFonts w:hint="eastAsia" w:ascii="宋体" w:hAnsi="宋体" w:eastAsia="宋体" w:cs="宋体"/>
          <w:sz w:val="24"/>
          <w:szCs w:val="24"/>
        </w:rPr>
        <w:t>形式提出质询，要求采购人对竞争性磋商文件予以澄清。</w:t>
      </w:r>
    </w:p>
    <w:p w14:paraId="3680FB07">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rPr>
        <w:t>2.2.2 竞争性磋商文件的澄清以</w:t>
      </w:r>
      <w:r>
        <w:rPr>
          <w:rFonts w:hint="eastAsia" w:ascii="宋体" w:hAnsi="宋体" w:cs="宋体"/>
          <w:sz w:val="24"/>
          <w:szCs w:val="24"/>
          <w:lang w:eastAsia="zh-CN"/>
        </w:rPr>
        <w:t>供应商须知前附表</w:t>
      </w:r>
      <w:r>
        <w:rPr>
          <w:rFonts w:hint="eastAsia" w:ascii="宋体" w:hAnsi="宋体" w:eastAsia="宋体" w:cs="宋体"/>
          <w:sz w:val="24"/>
          <w:szCs w:val="24"/>
        </w:rPr>
        <w:t>规定澄清回复的方式回复，但不指明澄清问题的来源。澄清竞争性磋商文件实质性内容且影响响应文件编制的，将相应延长</w:t>
      </w:r>
      <w:r>
        <w:rPr>
          <w:rFonts w:hint="eastAsia" w:ascii="宋体" w:hAnsi="宋体" w:eastAsia="宋体" w:cs="宋体"/>
          <w:sz w:val="24"/>
          <w:szCs w:val="24"/>
          <w:lang w:eastAsia="zh-CN"/>
        </w:rPr>
        <w:t>磋商</w:t>
      </w:r>
      <w:r>
        <w:rPr>
          <w:rFonts w:hint="eastAsia" w:ascii="宋体" w:hAnsi="宋体" w:eastAsia="宋体" w:cs="宋体"/>
          <w:sz w:val="24"/>
          <w:szCs w:val="24"/>
        </w:rPr>
        <w:t xml:space="preserve">截止时间。 </w:t>
      </w:r>
    </w:p>
    <w:p w14:paraId="0ABF3B8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61" w:name="_Toc38145788"/>
      <w:bookmarkStart w:id="62" w:name="_Toc38145612"/>
      <w:bookmarkStart w:id="63" w:name="_Toc38145713"/>
      <w:r>
        <w:rPr>
          <w:rFonts w:hint="eastAsia" w:ascii="宋体" w:hAnsi="宋体" w:eastAsia="宋体" w:cs="宋体"/>
          <w:b/>
          <w:bCs/>
          <w:sz w:val="24"/>
          <w:szCs w:val="24"/>
        </w:rPr>
        <w:t>2.3磋商文件的修改</w:t>
      </w:r>
      <w:bookmarkEnd w:id="61"/>
      <w:bookmarkEnd w:id="62"/>
      <w:bookmarkEnd w:id="63"/>
    </w:p>
    <w:p w14:paraId="668A83F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bookmarkStart w:id="64" w:name="_Toc385_WPSOffice_Level2"/>
      <w:r>
        <w:rPr>
          <w:rFonts w:hint="eastAsia" w:ascii="宋体" w:hAnsi="宋体" w:eastAsia="宋体" w:cs="宋体"/>
          <w:sz w:val="24"/>
          <w:szCs w:val="24"/>
        </w:rPr>
        <w:t>2.3.1 在</w:t>
      </w:r>
      <w:r>
        <w:rPr>
          <w:rFonts w:hint="eastAsia" w:ascii="宋体" w:hAnsi="宋体" w:eastAsia="宋体" w:cs="宋体"/>
          <w:sz w:val="24"/>
          <w:szCs w:val="24"/>
          <w:lang w:eastAsia="zh-CN"/>
        </w:rPr>
        <w:t>磋商</w:t>
      </w:r>
      <w:r>
        <w:rPr>
          <w:rFonts w:hint="eastAsia" w:ascii="宋体" w:hAnsi="宋体" w:eastAsia="宋体" w:cs="宋体"/>
          <w:sz w:val="24"/>
          <w:szCs w:val="24"/>
        </w:rPr>
        <w:t>截止时间5天前，采购人可以修改竞争性磋商文件，并以变更公告形式通知所有</w:t>
      </w:r>
      <w:r>
        <w:rPr>
          <w:rFonts w:hint="eastAsia" w:ascii="宋体" w:hAnsi="宋体" w:eastAsia="宋体" w:cs="宋体"/>
          <w:sz w:val="24"/>
          <w:szCs w:val="24"/>
          <w:lang w:val="en-US" w:eastAsia="zh-CN"/>
        </w:rPr>
        <w:t>潜在</w:t>
      </w:r>
      <w:r>
        <w:rPr>
          <w:rFonts w:hint="eastAsia" w:ascii="宋体" w:hAnsi="宋体" w:cs="宋体"/>
          <w:sz w:val="24"/>
          <w:szCs w:val="24"/>
          <w:lang w:eastAsia="zh-CN"/>
        </w:rPr>
        <w:t>响应人</w:t>
      </w:r>
      <w:r>
        <w:rPr>
          <w:rFonts w:hint="eastAsia" w:ascii="宋体" w:hAnsi="宋体" w:eastAsia="宋体" w:cs="宋体"/>
          <w:sz w:val="24"/>
          <w:szCs w:val="24"/>
        </w:rPr>
        <w:t>。</w:t>
      </w:r>
    </w:p>
    <w:p w14:paraId="41D70FD1">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2.3.2 如果修改竞争性磋商文件，会在</w:t>
      </w:r>
      <w:r>
        <w:rPr>
          <w:rFonts w:hint="eastAsia" w:ascii="宋体" w:hAnsi="宋体" w:eastAsia="宋体" w:cs="宋体"/>
          <w:sz w:val="24"/>
          <w:szCs w:val="24"/>
          <w:lang w:eastAsia="zh-CN"/>
        </w:rPr>
        <w:t>“本项目磋商公告”发布的同一网站</w:t>
      </w:r>
      <w:r>
        <w:rPr>
          <w:rFonts w:hint="eastAsia" w:ascii="宋体" w:hAnsi="宋体" w:eastAsia="宋体" w:cs="宋体"/>
          <w:sz w:val="24"/>
          <w:szCs w:val="24"/>
        </w:rPr>
        <w:t>发布变更公告，不再发纸质的变更信息。提醒</w:t>
      </w:r>
      <w:r>
        <w:rPr>
          <w:rFonts w:hint="eastAsia" w:ascii="宋体" w:hAnsi="宋体" w:cs="宋体"/>
          <w:sz w:val="24"/>
          <w:szCs w:val="24"/>
          <w:lang w:eastAsia="zh-CN"/>
        </w:rPr>
        <w:t>响应人</w:t>
      </w:r>
      <w:r>
        <w:rPr>
          <w:rFonts w:hint="eastAsia" w:ascii="宋体" w:hAnsi="宋体" w:eastAsia="宋体" w:cs="宋体"/>
          <w:sz w:val="24"/>
          <w:szCs w:val="24"/>
        </w:rPr>
        <w:t>随时注意网上发布的信息。如因</w:t>
      </w:r>
      <w:r>
        <w:rPr>
          <w:rFonts w:hint="eastAsia" w:ascii="宋体" w:hAnsi="宋体" w:cs="宋体"/>
          <w:sz w:val="24"/>
          <w:szCs w:val="24"/>
          <w:lang w:eastAsia="zh-CN"/>
        </w:rPr>
        <w:t>响应人</w:t>
      </w:r>
      <w:r>
        <w:rPr>
          <w:rFonts w:hint="eastAsia" w:ascii="宋体" w:hAnsi="宋体" w:eastAsia="宋体" w:cs="宋体"/>
          <w:sz w:val="24"/>
          <w:szCs w:val="24"/>
        </w:rPr>
        <w:t>自身原因未看到信息，因此造成的一切后果由</w:t>
      </w:r>
      <w:r>
        <w:rPr>
          <w:rFonts w:hint="eastAsia" w:ascii="宋体" w:hAnsi="宋体" w:cs="宋体"/>
          <w:sz w:val="24"/>
          <w:szCs w:val="24"/>
          <w:lang w:eastAsia="zh-CN"/>
        </w:rPr>
        <w:t>响应人</w:t>
      </w:r>
      <w:r>
        <w:rPr>
          <w:rFonts w:hint="eastAsia" w:ascii="宋体" w:hAnsi="宋体" w:eastAsia="宋体" w:cs="宋体"/>
          <w:sz w:val="24"/>
          <w:szCs w:val="24"/>
        </w:rPr>
        <w:t>自行承担。</w:t>
      </w:r>
    </w:p>
    <w:p w14:paraId="5B9BB6AF">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2.3.3 为使</w:t>
      </w:r>
      <w:r>
        <w:rPr>
          <w:rFonts w:hint="eastAsia" w:ascii="宋体" w:hAnsi="宋体" w:cs="宋体"/>
          <w:sz w:val="24"/>
          <w:szCs w:val="24"/>
          <w:lang w:eastAsia="zh-CN"/>
        </w:rPr>
        <w:t>响应人</w:t>
      </w:r>
      <w:r>
        <w:rPr>
          <w:rFonts w:hint="eastAsia" w:ascii="宋体" w:hAnsi="宋体" w:eastAsia="宋体" w:cs="宋体"/>
          <w:sz w:val="24"/>
          <w:szCs w:val="24"/>
        </w:rPr>
        <w:t>在准备竞争性磋商文件时有合理的时间考虑竞争性磋商文件的修改，</w:t>
      </w:r>
      <w:r>
        <w:rPr>
          <w:rFonts w:hint="eastAsia" w:ascii="宋体" w:hAnsi="宋体" w:eastAsia="宋体" w:cs="宋体"/>
          <w:sz w:val="24"/>
          <w:szCs w:val="24"/>
          <w:lang w:eastAsia="zh-CN"/>
        </w:rPr>
        <w:t>招标代理公司</w:t>
      </w:r>
      <w:r>
        <w:rPr>
          <w:rFonts w:hint="eastAsia" w:ascii="宋体" w:hAnsi="宋体" w:eastAsia="宋体" w:cs="宋体"/>
          <w:sz w:val="24"/>
          <w:szCs w:val="24"/>
        </w:rPr>
        <w:t>可酌情推迟磋商截止时间和开标时间，但应当至少在磋商截止时间</w:t>
      </w:r>
      <w:r>
        <w:rPr>
          <w:rFonts w:hint="eastAsia" w:ascii="宋体" w:hAnsi="宋体" w:eastAsia="宋体" w:cs="宋体"/>
          <w:sz w:val="24"/>
          <w:szCs w:val="24"/>
          <w:lang w:val="en-US" w:eastAsia="zh-CN"/>
        </w:rPr>
        <w:t>5</w:t>
      </w:r>
      <w:r>
        <w:rPr>
          <w:rFonts w:hint="eastAsia" w:ascii="宋体" w:hAnsi="宋体" w:eastAsia="宋体" w:cs="宋体"/>
          <w:sz w:val="24"/>
          <w:szCs w:val="24"/>
        </w:rPr>
        <w:t>个日历日前将变更时间以发布变更公告的形式通知所有</w:t>
      </w:r>
      <w:r>
        <w:rPr>
          <w:rFonts w:hint="eastAsia" w:ascii="宋体" w:hAnsi="宋体" w:cs="宋体"/>
          <w:sz w:val="24"/>
          <w:szCs w:val="24"/>
          <w:lang w:eastAsia="zh-CN"/>
        </w:rPr>
        <w:t>响应人</w:t>
      </w:r>
      <w:r>
        <w:rPr>
          <w:rFonts w:hint="eastAsia" w:ascii="宋体" w:hAnsi="宋体" w:eastAsia="宋体" w:cs="宋体"/>
          <w:sz w:val="24"/>
          <w:szCs w:val="24"/>
        </w:rPr>
        <w:t>。该修改内容为竞争性磋商文件的组成部分。在此情况下，采购人和</w:t>
      </w:r>
      <w:r>
        <w:rPr>
          <w:rFonts w:hint="eastAsia" w:ascii="宋体" w:hAnsi="宋体" w:cs="宋体"/>
          <w:sz w:val="24"/>
          <w:szCs w:val="24"/>
          <w:lang w:eastAsia="zh-CN"/>
        </w:rPr>
        <w:t>响应人</w:t>
      </w:r>
      <w:r>
        <w:rPr>
          <w:rFonts w:hint="eastAsia" w:ascii="宋体" w:hAnsi="宋体" w:eastAsia="宋体" w:cs="宋体"/>
          <w:sz w:val="24"/>
          <w:szCs w:val="24"/>
        </w:rPr>
        <w:t>受磋商截止期制约的所有权利和义务均应延长至新的截止日期。</w:t>
      </w:r>
      <w:bookmarkStart w:id="65" w:name="_Toc184635073"/>
      <w:bookmarkEnd w:id="65"/>
      <w:bookmarkStart w:id="66" w:name="_Toc38145613"/>
      <w:bookmarkStart w:id="67" w:name="_Toc38145789"/>
      <w:bookmarkStart w:id="68" w:name="_Toc38145714"/>
    </w:p>
    <w:p w14:paraId="5530A4E0">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w:t>
      </w:r>
      <w:r>
        <w:rPr>
          <w:rFonts w:hint="eastAsia" w:ascii="宋体" w:hAnsi="宋体" w:eastAsia="宋体" w:cs="宋体"/>
          <w:b/>
          <w:sz w:val="24"/>
          <w:szCs w:val="24"/>
        </w:rPr>
        <w:t>响应文件的编制</w:t>
      </w:r>
      <w:bookmarkEnd w:id="64"/>
      <w:bookmarkEnd w:id="66"/>
      <w:bookmarkEnd w:id="67"/>
      <w:bookmarkEnd w:id="68"/>
    </w:p>
    <w:p w14:paraId="77D0A95C">
      <w:pPr>
        <w:keepNext w:val="0"/>
        <w:keepLines w:val="0"/>
        <w:widowControl w:val="0"/>
        <w:tabs>
          <w:tab w:val="left" w:pos="362"/>
          <w:tab w:val="left" w:pos="7089"/>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69" w:name="_Toc38145614"/>
      <w:bookmarkStart w:id="70" w:name="_Toc38145790"/>
      <w:bookmarkStart w:id="71" w:name="_Toc38145715"/>
      <w:r>
        <w:rPr>
          <w:rFonts w:hint="eastAsia" w:ascii="宋体" w:hAnsi="宋体" w:eastAsia="宋体" w:cs="宋体"/>
          <w:b/>
          <w:bCs/>
          <w:sz w:val="24"/>
          <w:szCs w:val="24"/>
        </w:rPr>
        <w:t>3.1响应文件的组成</w:t>
      </w:r>
      <w:bookmarkEnd w:id="69"/>
      <w:bookmarkEnd w:id="70"/>
      <w:bookmarkEnd w:id="71"/>
      <w:r>
        <w:rPr>
          <w:rFonts w:hint="eastAsia" w:ascii="宋体" w:hAnsi="宋体" w:eastAsia="宋体" w:cs="宋体"/>
          <w:b/>
          <w:bCs/>
          <w:sz w:val="24"/>
          <w:szCs w:val="24"/>
        </w:rPr>
        <w:tab/>
      </w:r>
    </w:p>
    <w:p w14:paraId="1CBF804B">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需按磋商文件的要求编制响应文件并提供资料。响应文件包括以下内容：</w:t>
      </w:r>
    </w:p>
    <w:p w14:paraId="6A1B301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bookmarkStart w:id="72" w:name="_Toc38145716"/>
      <w:bookmarkStart w:id="73" w:name="_Toc38145615"/>
      <w:bookmarkStart w:id="74" w:name="_Toc38145791"/>
      <w:r>
        <w:rPr>
          <w:rFonts w:hint="eastAsia" w:ascii="宋体" w:hAnsi="宋体" w:eastAsia="宋体" w:cs="宋体"/>
          <w:color w:val="auto"/>
          <w:sz w:val="24"/>
          <w:szCs w:val="24"/>
          <w:lang w:eastAsia="zh-CN"/>
        </w:rPr>
        <w:t>一、磋商函及磋商函附录</w:t>
      </w:r>
    </w:p>
    <w:p w14:paraId="6F6537DA">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二、法定代表人身份证明</w:t>
      </w:r>
    </w:p>
    <w:p w14:paraId="59A3EA2D">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三、授权委托书</w:t>
      </w:r>
    </w:p>
    <w:p w14:paraId="3C580C2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四、磋商承诺函</w:t>
      </w:r>
    </w:p>
    <w:p w14:paraId="3A0FA0D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五、监理机构</w:t>
      </w:r>
    </w:p>
    <w:p w14:paraId="65CF6A90">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六、监理大纲</w:t>
      </w:r>
    </w:p>
    <w:p w14:paraId="330217A3">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七、服务承诺</w:t>
      </w:r>
    </w:p>
    <w:p w14:paraId="0277DDF6">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八、企业基本情况资料</w:t>
      </w:r>
    </w:p>
    <w:p w14:paraId="7D54478C">
      <w:pPr>
        <w:keepNext w:val="0"/>
        <w:keepLines w:val="0"/>
        <w:widowControl w:val="0"/>
        <w:kinsoku/>
        <w:wordWrap/>
        <w:topLinePunct w:val="0"/>
        <w:autoSpaceDE/>
        <w:autoSpaceDN/>
        <w:bidi w:val="0"/>
        <w:spacing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九、供应商认为有必要提供的其它资料</w:t>
      </w:r>
    </w:p>
    <w:p w14:paraId="2094F77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3.2磋商报价要求</w:t>
      </w:r>
      <w:bookmarkEnd w:id="72"/>
      <w:bookmarkEnd w:id="73"/>
      <w:bookmarkEnd w:id="74"/>
    </w:p>
    <w:p w14:paraId="4AD66E5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3.2.1本项目的磋商报价采用本须知前附表所规定的方式进行报价。</w:t>
      </w:r>
    </w:p>
    <w:p w14:paraId="6009FFB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3.2.2参考相关收费标准结合投标单位自身情况自主报价，但不得低于完成本项目的成本。低于成本的报价属于恶意竞标，其投标将被拒绝。</w:t>
      </w:r>
    </w:p>
    <w:p w14:paraId="1BA5211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3.2.3各</w:t>
      </w:r>
      <w:r>
        <w:rPr>
          <w:rFonts w:hint="eastAsia" w:ascii="宋体" w:hAnsi="宋体" w:cs="宋体"/>
          <w:sz w:val="24"/>
          <w:szCs w:val="24"/>
          <w:lang w:eastAsia="zh-CN"/>
        </w:rPr>
        <w:t>响应人</w:t>
      </w:r>
      <w:r>
        <w:rPr>
          <w:rFonts w:hint="eastAsia" w:ascii="宋体" w:hAnsi="宋体" w:eastAsia="宋体" w:cs="宋体"/>
          <w:sz w:val="24"/>
          <w:szCs w:val="24"/>
        </w:rPr>
        <w:t>应根据磋商文件的要求，进行合理投标报价。所报价格应包含磋商文件所要求的可能发生的磋商范围内的工作费、顾问费及现场咨询服务费（后续服务费）等所有费用。</w:t>
      </w:r>
    </w:p>
    <w:p w14:paraId="3BBDC097">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green"/>
        </w:rPr>
      </w:pPr>
      <w:r>
        <w:rPr>
          <w:rFonts w:hint="eastAsia" w:ascii="宋体" w:hAnsi="宋体" w:eastAsia="宋体" w:cs="宋体"/>
          <w:sz w:val="24"/>
          <w:szCs w:val="24"/>
        </w:rPr>
        <w:t>3.2.4投标的报价及合同所有款项的</w:t>
      </w:r>
      <w:r>
        <w:rPr>
          <w:rFonts w:hint="eastAsia" w:ascii="宋体" w:hAnsi="宋体" w:cs="宋体"/>
          <w:sz w:val="24"/>
          <w:szCs w:val="24"/>
          <w:lang w:val="en-US" w:eastAsia="zh-CN"/>
        </w:rPr>
        <w:t>付款</w:t>
      </w:r>
      <w:r>
        <w:rPr>
          <w:rFonts w:hint="eastAsia" w:ascii="宋体" w:hAnsi="宋体" w:eastAsia="宋体" w:cs="宋体"/>
          <w:sz w:val="24"/>
          <w:szCs w:val="24"/>
          <w:lang w:val="en-US" w:eastAsia="zh-CN"/>
        </w:rPr>
        <w:t>方式</w:t>
      </w:r>
      <w:r>
        <w:rPr>
          <w:rFonts w:hint="eastAsia" w:ascii="宋体" w:hAnsi="宋体" w:eastAsia="宋体" w:cs="宋体"/>
          <w:sz w:val="24"/>
          <w:szCs w:val="24"/>
        </w:rPr>
        <w:t>见</w:t>
      </w:r>
      <w:r>
        <w:rPr>
          <w:rFonts w:hint="eastAsia" w:ascii="宋体" w:hAnsi="宋体" w:eastAsia="宋体" w:cs="宋体"/>
          <w:sz w:val="24"/>
          <w:szCs w:val="24"/>
          <w:lang w:eastAsia="zh-CN"/>
        </w:rPr>
        <w:t>供应商须知前附表</w:t>
      </w:r>
      <w:r>
        <w:rPr>
          <w:rFonts w:hint="eastAsia" w:ascii="宋体" w:hAnsi="宋体" w:eastAsia="宋体" w:cs="宋体"/>
          <w:sz w:val="24"/>
          <w:szCs w:val="24"/>
        </w:rPr>
        <w:t>。</w:t>
      </w:r>
    </w:p>
    <w:p w14:paraId="3E117C03">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3.2.5税金属不可竞争费用，所有根据合同或其它原因应由</w:t>
      </w:r>
      <w:r>
        <w:rPr>
          <w:rFonts w:hint="eastAsia" w:ascii="宋体" w:hAnsi="宋体" w:cs="宋体"/>
          <w:sz w:val="24"/>
          <w:szCs w:val="24"/>
          <w:lang w:eastAsia="zh-CN"/>
        </w:rPr>
        <w:t>响应人</w:t>
      </w:r>
      <w:r>
        <w:rPr>
          <w:rFonts w:hint="eastAsia" w:ascii="宋体" w:hAnsi="宋体" w:eastAsia="宋体" w:cs="宋体"/>
          <w:sz w:val="24"/>
          <w:szCs w:val="24"/>
        </w:rPr>
        <w:t>支付的税金和其它应缴纳的费用都要包括在</w:t>
      </w:r>
      <w:r>
        <w:rPr>
          <w:rFonts w:hint="eastAsia" w:ascii="宋体" w:hAnsi="宋体" w:cs="宋体"/>
          <w:sz w:val="24"/>
          <w:szCs w:val="24"/>
          <w:lang w:eastAsia="zh-CN"/>
        </w:rPr>
        <w:t>响应人</w:t>
      </w:r>
      <w:r>
        <w:rPr>
          <w:rFonts w:hint="eastAsia" w:ascii="宋体" w:hAnsi="宋体" w:eastAsia="宋体" w:cs="宋体"/>
          <w:sz w:val="24"/>
          <w:szCs w:val="24"/>
        </w:rPr>
        <w:t>提交的投标价格中。</w:t>
      </w:r>
    </w:p>
    <w:p w14:paraId="67ACCB0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3.2.6应当由</w:t>
      </w:r>
      <w:r>
        <w:rPr>
          <w:rFonts w:hint="eastAsia" w:ascii="宋体" w:hAnsi="宋体" w:cs="宋体"/>
          <w:sz w:val="24"/>
          <w:szCs w:val="24"/>
          <w:lang w:eastAsia="zh-CN"/>
        </w:rPr>
        <w:t>响应人</w:t>
      </w:r>
      <w:r>
        <w:rPr>
          <w:rFonts w:hint="eastAsia" w:ascii="宋体" w:hAnsi="宋体" w:eastAsia="宋体" w:cs="宋体"/>
          <w:sz w:val="24"/>
          <w:szCs w:val="24"/>
        </w:rPr>
        <w:t>完成的而</w:t>
      </w:r>
      <w:r>
        <w:rPr>
          <w:rFonts w:hint="eastAsia" w:ascii="宋体" w:hAnsi="宋体" w:cs="宋体"/>
          <w:sz w:val="24"/>
          <w:szCs w:val="24"/>
          <w:lang w:eastAsia="zh-CN"/>
        </w:rPr>
        <w:t>响应人</w:t>
      </w:r>
      <w:r>
        <w:rPr>
          <w:rFonts w:hint="eastAsia" w:ascii="宋体" w:hAnsi="宋体" w:eastAsia="宋体" w:cs="宋体"/>
          <w:sz w:val="24"/>
          <w:szCs w:val="24"/>
        </w:rPr>
        <w:t>在报价组成中没有详细列出的工作内容，其报价均视为包含在报价组成已列出的项目之中，采购人不另行支付。</w:t>
      </w:r>
    </w:p>
    <w:p w14:paraId="10AEBD3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3.2.7</w:t>
      </w:r>
      <w:r>
        <w:rPr>
          <w:rFonts w:hint="eastAsia" w:ascii="宋体" w:hAnsi="宋体" w:cs="宋体"/>
          <w:sz w:val="24"/>
          <w:szCs w:val="24"/>
          <w:lang w:eastAsia="zh-CN"/>
        </w:rPr>
        <w:t>响应人</w:t>
      </w:r>
      <w:r>
        <w:rPr>
          <w:rFonts w:hint="eastAsia" w:ascii="宋体" w:hAnsi="宋体" w:eastAsia="宋体" w:cs="宋体"/>
          <w:sz w:val="24"/>
          <w:szCs w:val="24"/>
        </w:rPr>
        <w:t>的磋商报价不得高于</w:t>
      </w:r>
      <w:r>
        <w:rPr>
          <w:rFonts w:hint="eastAsia" w:ascii="宋体" w:hAnsi="宋体" w:eastAsia="宋体" w:cs="宋体"/>
          <w:sz w:val="24"/>
          <w:szCs w:val="24"/>
          <w:lang w:eastAsia="zh-CN"/>
        </w:rPr>
        <w:t xml:space="preserve"> 招标控制价</w:t>
      </w:r>
      <w:r>
        <w:rPr>
          <w:rFonts w:hint="eastAsia" w:ascii="宋体" w:hAnsi="宋体" w:eastAsia="宋体" w:cs="宋体"/>
          <w:sz w:val="24"/>
          <w:szCs w:val="24"/>
        </w:rPr>
        <w:t>，否则</w:t>
      </w:r>
      <w:r>
        <w:rPr>
          <w:rFonts w:hint="eastAsia" w:ascii="宋体" w:hAnsi="宋体" w:eastAsia="宋体" w:cs="宋体"/>
          <w:sz w:val="24"/>
          <w:szCs w:val="24"/>
          <w:lang w:val="en-US" w:eastAsia="zh-CN"/>
        </w:rPr>
        <w:t>其</w:t>
      </w:r>
      <w:r>
        <w:rPr>
          <w:rFonts w:hint="eastAsia" w:ascii="宋体" w:hAnsi="宋体" w:eastAsia="宋体" w:cs="宋体"/>
          <w:sz w:val="24"/>
          <w:szCs w:val="24"/>
        </w:rPr>
        <w:t>投标</w:t>
      </w:r>
      <w:r>
        <w:rPr>
          <w:rFonts w:hint="eastAsia" w:ascii="宋体" w:hAnsi="宋体" w:eastAsia="宋体" w:cs="宋体"/>
          <w:kern w:val="0"/>
          <w:sz w:val="24"/>
          <w:szCs w:val="24"/>
        </w:rPr>
        <w:t>无效</w:t>
      </w:r>
      <w:r>
        <w:rPr>
          <w:rFonts w:hint="eastAsia" w:ascii="宋体" w:hAnsi="宋体" w:eastAsia="宋体" w:cs="宋体"/>
          <w:sz w:val="24"/>
          <w:szCs w:val="24"/>
        </w:rPr>
        <w:t>。</w:t>
      </w:r>
    </w:p>
    <w:p w14:paraId="5C63F369">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75" w:name="_Toc38145792"/>
      <w:bookmarkStart w:id="76" w:name="_Toc38145717"/>
      <w:bookmarkStart w:id="77" w:name="_Toc38145616"/>
      <w:r>
        <w:rPr>
          <w:rFonts w:hint="eastAsia" w:ascii="宋体" w:hAnsi="宋体" w:eastAsia="宋体" w:cs="宋体"/>
          <w:b/>
          <w:bCs/>
          <w:sz w:val="24"/>
          <w:szCs w:val="24"/>
        </w:rPr>
        <w:t>3.3磋商有效期</w:t>
      </w:r>
      <w:bookmarkEnd w:id="75"/>
      <w:bookmarkEnd w:id="76"/>
      <w:bookmarkEnd w:id="77"/>
    </w:p>
    <w:p w14:paraId="1325D3BD">
      <w:pPr>
        <w:keepNext w:val="0"/>
        <w:keepLines w:val="0"/>
        <w:widowControl w:val="0"/>
        <w:tabs>
          <w:tab w:val="left" w:pos="100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3.3.1自磋商截止时间起，磋商有效期为60日历天。在磋商有效期内，</w:t>
      </w:r>
      <w:r>
        <w:rPr>
          <w:rFonts w:hint="eastAsia" w:ascii="宋体" w:hAnsi="宋体" w:cs="宋体"/>
          <w:sz w:val="24"/>
          <w:szCs w:val="24"/>
          <w:lang w:eastAsia="zh-CN"/>
        </w:rPr>
        <w:t>响应人</w:t>
      </w:r>
      <w:r>
        <w:rPr>
          <w:rFonts w:hint="eastAsia" w:ascii="宋体" w:hAnsi="宋体" w:eastAsia="宋体" w:cs="宋体"/>
          <w:sz w:val="24"/>
          <w:szCs w:val="24"/>
        </w:rPr>
        <w:t>不得要求撤销或修改其响应文件。</w:t>
      </w:r>
    </w:p>
    <w:p w14:paraId="3241D43E">
      <w:pPr>
        <w:keepNext w:val="0"/>
        <w:keepLines w:val="0"/>
        <w:widowControl w:val="0"/>
        <w:tabs>
          <w:tab w:val="left" w:pos="78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3.3.2出现特殊情况需要延长磋商有效期的，采购人以书面形式通知所有</w:t>
      </w:r>
      <w:r>
        <w:rPr>
          <w:rFonts w:hint="eastAsia" w:ascii="宋体" w:hAnsi="宋体" w:cs="宋体"/>
          <w:sz w:val="24"/>
          <w:szCs w:val="24"/>
          <w:lang w:eastAsia="zh-CN"/>
        </w:rPr>
        <w:t>响应人</w:t>
      </w:r>
      <w:r>
        <w:rPr>
          <w:rFonts w:hint="eastAsia" w:ascii="宋体" w:hAnsi="宋体" w:eastAsia="宋体" w:cs="宋体"/>
          <w:sz w:val="24"/>
          <w:szCs w:val="24"/>
        </w:rPr>
        <w:t>延长磋商有效期。</w:t>
      </w:r>
      <w:r>
        <w:rPr>
          <w:rFonts w:hint="eastAsia" w:ascii="宋体" w:hAnsi="宋体" w:cs="宋体"/>
          <w:sz w:val="24"/>
          <w:szCs w:val="24"/>
          <w:lang w:eastAsia="zh-CN"/>
        </w:rPr>
        <w:t>响应人</w:t>
      </w:r>
      <w:r>
        <w:rPr>
          <w:rFonts w:hint="eastAsia" w:ascii="宋体" w:hAnsi="宋体" w:eastAsia="宋体" w:cs="宋体"/>
          <w:sz w:val="24"/>
          <w:szCs w:val="24"/>
        </w:rPr>
        <w:t>同意延长的，不得要求或被允许修改或撤销其响应文件；</w:t>
      </w:r>
      <w:r>
        <w:rPr>
          <w:rFonts w:hint="eastAsia" w:ascii="宋体" w:hAnsi="宋体" w:cs="宋体"/>
          <w:sz w:val="24"/>
          <w:szCs w:val="24"/>
          <w:lang w:eastAsia="zh-CN"/>
        </w:rPr>
        <w:t>响应人</w:t>
      </w:r>
      <w:r>
        <w:rPr>
          <w:rFonts w:hint="eastAsia" w:ascii="宋体" w:hAnsi="宋体" w:eastAsia="宋体" w:cs="宋体"/>
          <w:sz w:val="24"/>
          <w:szCs w:val="24"/>
        </w:rPr>
        <w:t>拒绝延长的，其投标失效。</w:t>
      </w:r>
    </w:p>
    <w:p w14:paraId="36BD469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78" w:name="_Toc38145617"/>
      <w:bookmarkStart w:id="79" w:name="_Toc38145718"/>
      <w:bookmarkStart w:id="80" w:name="_Toc38145793"/>
      <w:r>
        <w:rPr>
          <w:rFonts w:hint="eastAsia" w:ascii="宋体" w:hAnsi="宋体" w:eastAsia="宋体" w:cs="宋体"/>
          <w:b/>
          <w:bCs/>
          <w:sz w:val="24"/>
          <w:szCs w:val="24"/>
        </w:rPr>
        <w:t>3.4磋商保证金</w:t>
      </w:r>
      <w:bookmarkEnd w:id="78"/>
      <w:bookmarkEnd w:id="79"/>
      <w:bookmarkEnd w:id="80"/>
    </w:p>
    <w:p w14:paraId="2EEAC5B0">
      <w:pPr>
        <w:keepNext w:val="0"/>
        <w:keepLines w:val="0"/>
        <w:widowControl w:val="0"/>
        <w:tabs>
          <w:tab w:val="left" w:pos="78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bookmarkStart w:id="81" w:name="_Toc38145618"/>
      <w:bookmarkStart w:id="82" w:name="_Toc38145719"/>
      <w:bookmarkStart w:id="83" w:name="_Toc38145794"/>
      <w:r>
        <w:rPr>
          <w:rFonts w:hint="eastAsia" w:ascii="宋体" w:hAnsi="宋体" w:eastAsia="宋体" w:cs="宋体"/>
          <w:sz w:val="24"/>
          <w:szCs w:val="24"/>
        </w:rPr>
        <w:t>按照《河南省财政厅关于优化政府采购营商环境有关问题的通知》（豫财购[2019]4号文）的要求本项目不再收取</w:t>
      </w:r>
      <w:r>
        <w:rPr>
          <w:rFonts w:hint="eastAsia" w:ascii="宋体" w:hAnsi="宋体" w:eastAsia="宋体" w:cs="宋体"/>
          <w:sz w:val="24"/>
          <w:szCs w:val="24"/>
          <w:lang w:eastAsia="zh-CN"/>
        </w:rPr>
        <w:t>磋商</w:t>
      </w:r>
      <w:r>
        <w:rPr>
          <w:rFonts w:hint="eastAsia" w:ascii="宋体" w:hAnsi="宋体" w:eastAsia="宋体" w:cs="宋体"/>
          <w:sz w:val="24"/>
          <w:szCs w:val="24"/>
        </w:rPr>
        <w:t>保证金。</w:t>
      </w:r>
    </w:p>
    <w:p w14:paraId="63C51AF1">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3.5资格审查资料要求</w:t>
      </w:r>
      <w:bookmarkEnd w:id="81"/>
      <w:bookmarkEnd w:id="82"/>
      <w:bookmarkEnd w:id="83"/>
    </w:p>
    <w:p w14:paraId="72A8AB3A">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cs="宋体"/>
          <w:color w:val="000000"/>
          <w:kern w:val="0"/>
          <w:sz w:val="24"/>
          <w:szCs w:val="24"/>
          <w:lang w:eastAsia="zh-CN"/>
        </w:rPr>
        <w:t>供应商须知前附表</w:t>
      </w:r>
    </w:p>
    <w:p w14:paraId="0CD82908">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84" w:name="_Toc38145795"/>
      <w:bookmarkStart w:id="85" w:name="_Toc38145720"/>
      <w:bookmarkStart w:id="86" w:name="_Toc38145619"/>
      <w:r>
        <w:rPr>
          <w:rFonts w:hint="eastAsia" w:ascii="宋体" w:hAnsi="宋体" w:eastAsia="宋体" w:cs="宋体"/>
          <w:b/>
          <w:bCs/>
          <w:sz w:val="24"/>
          <w:szCs w:val="24"/>
        </w:rPr>
        <w:t>3.6备选招标方案</w:t>
      </w:r>
      <w:bookmarkEnd w:id="84"/>
      <w:bookmarkEnd w:id="85"/>
      <w:bookmarkEnd w:id="86"/>
    </w:p>
    <w:p w14:paraId="08BB76A3">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本项目不允许</w:t>
      </w:r>
      <w:r>
        <w:rPr>
          <w:rFonts w:hint="eastAsia" w:ascii="宋体" w:hAnsi="宋体" w:cs="宋体"/>
          <w:sz w:val="24"/>
          <w:szCs w:val="24"/>
          <w:lang w:eastAsia="zh-CN"/>
        </w:rPr>
        <w:t>响应人</w:t>
      </w:r>
      <w:r>
        <w:rPr>
          <w:rFonts w:hint="eastAsia" w:ascii="宋体" w:hAnsi="宋体" w:eastAsia="宋体" w:cs="宋体"/>
          <w:sz w:val="24"/>
          <w:szCs w:val="24"/>
        </w:rPr>
        <w:t>递交备选招标方案。</w:t>
      </w:r>
    </w:p>
    <w:p w14:paraId="1EA7658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3.7响应文件的编制</w:t>
      </w:r>
    </w:p>
    <w:p w14:paraId="79C4206D">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3.7.1 响应文件应按第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章“响应文件格式”进行编写，如有必要，可以增加附页，作为响应文件的组成部分。其中，投标函附录在满足磋商文件实质性要求的基础上，可以提出比磋商文件要求更有利于采购人的承诺。</w:t>
      </w:r>
    </w:p>
    <w:p w14:paraId="3EFE760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3.7.2 响应文件应当对磋商文件有关</w:t>
      </w:r>
      <w:r>
        <w:rPr>
          <w:rFonts w:hint="eastAsia" w:ascii="宋体" w:hAnsi="宋体" w:eastAsia="宋体" w:cs="宋体"/>
          <w:sz w:val="24"/>
          <w:szCs w:val="24"/>
          <w:lang w:eastAsia="zh-CN"/>
        </w:rPr>
        <w:t>磋商</w:t>
      </w:r>
      <w:r>
        <w:rPr>
          <w:rFonts w:hint="eastAsia" w:ascii="宋体" w:hAnsi="宋体" w:eastAsia="宋体" w:cs="宋体"/>
          <w:sz w:val="24"/>
          <w:szCs w:val="24"/>
        </w:rPr>
        <w:t>有效期、</w:t>
      </w:r>
      <w:r>
        <w:rPr>
          <w:rFonts w:hint="eastAsia" w:ascii="宋体" w:hAnsi="宋体" w:cs="宋体"/>
          <w:sz w:val="24"/>
          <w:szCs w:val="24"/>
          <w:highlight w:val="none"/>
          <w:lang w:val="en-US" w:eastAsia="zh-CN"/>
        </w:rPr>
        <w:t>监理服务期限</w:t>
      </w:r>
      <w:r>
        <w:rPr>
          <w:rFonts w:hint="eastAsia" w:ascii="宋体" w:hAnsi="宋体" w:eastAsia="宋体" w:cs="宋体"/>
          <w:sz w:val="24"/>
          <w:szCs w:val="24"/>
        </w:rPr>
        <w:t>、磋商范围等实质性内容作出响应。</w:t>
      </w:r>
    </w:p>
    <w:p w14:paraId="5645B66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3.7.3响应人所上传的电子化磋商响应文件，应是通过中心投标文件制作系统制作的（投标文件制作工具下载地址：</w:t>
      </w:r>
    </w:p>
    <w:p w14:paraId="112D6D7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s://download.bqpoint.com/download/downloadlist.html?SoftTypeCode=03），经过签章和加密后生成的电子版磋商响应文件。其中包含用于磋商响应文件上传的主文件（后缀为.smxtf）和用于应急补救的磋商响应文件备份文件（后缀为.nsmxtf）。</w:t>
      </w:r>
    </w:p>
    <w:p w14:paraId="600D4A71">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b/>
          <w:sz w:val="24"/>
          <w:szCs w:val="24"/>
        </w:rPr>
      </w:pPr>
      <w:bookmarkStart w:id="87" w:name="_Toc144974524"/>
      <w:bookmarkStart w:id="88" w:name="_Toc246996943"/>
      <w:bookmarkStart w:id="89" w:name="_Toc152045556"/>
      <w:bookmarkStart w:id="90" w:name="_Toc296602444"/>
      <w:bookmarkStart w:id="91" w:name="_Toc246996200"/>
      <w:bookmarkStart w:id="92" w:name="_Toc152042332"/>
      <w:bookmarkStart w:id="93" w:name="_Toc247085714"/>
      <w:bookmarkStart w:id="94" w:name="_Toc179632574"/>
      <w:bookmarkStart w:id="95" w:name="_Toc32632_WPSOffice_Level2"/>
      <w:bookmarkStart w:id="96" w:name="_Toc38145624"/>
      <w:bookmarkStart w:id="97" w:name="_Toc38145800"/>
      <w:bookmarkStart w:id="98" w:name="_Toc38145725"/>
      <w:r>
        <w:rPr>
          <w:rFonts w:hint="eastAsia" w:ascii="宋体" w:hAnsi="宋体" w:eastAsia="宋体" w:cs="宋体"/>
          <w:b/>
          <w:sz w:val="24"/>
          <w:szCs w:val="24"/>
        </w:rPr>
        <w:t>四</w:t>
      </w:r>
      <w:r>
        <w:rPr>
          <w:rFonts w:hint="eastAsia" w:ascii="宋体" w:hAnsi="宋体" w:eastAsia="宋体" w:cs="宋体"/>
          <w:b/>
          <w:sz w:val="24"/>
          <w:szCs w:val="24"/>
          <w:lang w:eastAsia="zh-CN"/>
        </w:rPr>
        <w:t>、</w:t>
      </w:r>
      <w:r>
        <w:rPr>
          <w:rFonts w:hint="eastAsia" w:ascii="宋体" w:hAnsi="宋体" w:eastAsia="宋体" w:cs="宋体"/>
          <w:b/>
          <w:sz w:val="24"/>
          <w:szCs w:val="24"/>
        </w:rPr>
        <w:t>投标</w:t>
      </w:r>
    </w:p>
    <w:p w14:paraId="2A5BD42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4.1 磋商响应文件的</w:t>
      </w:r>
      <w:bookmarkEnd w:id="87"/>
      <w:bookmarkEnd w:id="88"/>
      <w:bookmarkEnd w:id="89"/>
      <w:bookmarkEnd w:id="90"/>
      <w:bookmarkEnd w:id="91"/>
      <w:bookmarkEnd w:id="92"/>
      <w:bookmarkEnd w:id="93"/>
      <w:bookmarkEnd w:id="94"/>
      <w:r>
        <w:rPr>
          <w:rFonts w:hint="eastAsia" w:ascii="宋体" w:hAnsi="宋体" w:eastAsia="宋体" w:cs="宋体"/>
          <w:sz w:val="24"/>
          <w:szCs w:val="24"/>
          <w:highlight w:val="none"/>
        </w:rPr>
        <w:t>签署</w:t>
      </w:r>
    </w:p>
    <w:p w14:paraId="3AAE203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在进行电子化磋商响应文件签章时，竞争性磋商文件中要求</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盖章的，以签盖单位章为准；要求法定代表人签章的，以签盖法定代表人签章为准。电子化磋商响应文件具体制作教材请</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通过CA证书登录三门峡市公共资源电子化交易系统在右上角“组件下载”中查看。</w:t>
      </w:r>
    </w:p>
    <w:p w14:paraId="59A67322">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4.2 磋商响应文件的上传</w:t>
      </w:r>
    </w:p>
    <w:p w14:paraId="4805675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电子化磋商响应文件应在投标截止时间前成功上传至三门峡市公共资源电子化交易系统。至投标截止时间止，仍未上传成功的电子化磋商响应文件将不予接收。</w:t>
      </w:r>
    </w:p>
    <w:p w14:paraId="027B165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注：如按照电子化投标操作教材制作完成的电子化磋商响应文件无法上传的，</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应在投标截止时间前尽早的联系中心技术人员，以便有充分的时间进行处理。</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应充分考虑到处理技术问题和上传数据等工作所需的时间问题，电子化磋商响应文件未在投标截止时间前成功上传的，其磋商响应文件不予接收。</w:t>
      </w:r>
    </w:p>
    <w:p w14:paraId="6BA482F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4.3 响应文件的修改与撤回</w:t>
      </w:r>
    </w:p>
    <w:p w14:paraId="382B2B0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 在规定的投标截止时间前，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 xml:space="preserve">可以修改或撤回响应文件。 </w:t>
      </w:r>
    </w:p>
    <w:p w14:paraId="157E70C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4.2.2在投标截止时间之后，</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不得补充、修改电子化磋商响应文件。</w:t>
      </w:r>
    </w:p>
    <w:p w14:paraId="1D2B4FC9">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五</w:t>
      </w:r>
      <w:r>
        <w:rPr>
          <w:rFonts w:hint="eastAsia" w:ascii="宋体" w:hAnsi="宋体" w:eastAsia="宋体" w:cs="宋体"/>
          <w:b/>
          <w:sz w:val="24"/>
          <w:szCs w:val="24"/>
          <w:lang w:eastAsia="zh-CN"/>
        </w:rPr>
        <w:t>、</w:t>
      </w:r>
      <w:r>
        <w:rPr>
          <w:rFonts w:hint="eastAsia" w:ascii="宋体" w:hAnsi="宋体" w:eastAsia="宋体" w:cs="宋体"/>
          <w:b/>
          <w:sz w:val="24"/>
          <w:szCs w:val="24"/>
        </w:rPr>
        <w:t>开标</w:t>
      </w:r>
    </w:p>
    <w:p w14:paraId="4A122958">
      <w:pPr>
        <w:keepNext w:val="0"/>
        <w:keepLines w:val="0"/>
        <w:pageBreakBefore w:val="0"/>
        <w:widowControl w:val="0"/>
        <w:kinsoku/>
        <w:wordWrap w:val="0"/>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5.1本项目采用电子化、无纸化进行招标，开标当日，</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应当在投标截止时间前，登陆不见面开标大厅选择登陆三门峡市公共资源电子招投标系统进行登陆（网址为</w:t>
      </w:r>
    </w:p>
    <w:p w14:paraId="695C25CB">
      <w:pPr>
        <w:keepNext w:val="0"/>
        <w:keepLines w:val="0"/>
        <w:pageBreakBefore w:val="0"/>
        <w:widowControl w:val="0"/>
        <w:kinsoku/>
        <w:wordWrap w:val="0"/>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http://120.194.249.36:10094/BidOpening/bidopeninghallaction/hall/login）,在线准时参加开标活动并进行磋商响应文件解密等。</w:t>
      </w:r>
    </w:p>
    <w:p w14:paraId="73FC17B8">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电子化磋商响应文件采用一次加密方式。开标时，由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使用CA 证书，在规定时间内对其电子化磋商响应文件进行解密。每位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 分钟内，如在规定时间内未完成解密的，其磋商响应文件不予开标、唱标。每位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的解密时间为开标时间起30分钟内完成。</w:t>
      </w:r>
    </w:p>
    <w:p w14:paraId="3AF27217">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5.3 电子化磋商响应文件解密异常的处理</w:t>
      </w:r>
    </w:p>
    <w:p w14:paraId="5670AFD4">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如出现响应人的电子磋商响应文件无法解密等异常情况，响应人应及时致电中介服务机构说明。磋商响应文件异常，按以下步骤进行处理：</w:t>
      </w:r>
    </w:p>
    <w:p w14:paraId="15BCD22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212EE38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（2）经技术人员排查后，是响应人文件自身问题导致磋商响应文件无法解密的，该磋商响应文件将不予接收、解密和唱标。开标会议继续进行。</w:t>
      </w:r>
    </w:p>
    <w:p w14:paraId="4B7AFF3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98937E7">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六</w:t>
      </w:r>
      <w:r>
        <w:rPr>
          <w:rFonts w:hint="eastAsia" w:ascii="宋体" w:hAnsi="宋体" w:eastAsia="宋体" w:cs="宋体"/>
          <w:b/>
          <w:sz w:val="24"/>
          <w:szCs w:val="24"/>
          <w:lang w:eastAsia="zh-CN"/>
        </w:rPr>
        <w:t>、</w:t>
      </w:r>
      <w:r>
        <w:rPr>
          <w:rFonts w:hint="eastAsia" w:ascii="宋体" w:hAnsi="宋体" w:eastAsia="宋体" w:cs="宋体"/>
          <w:b/>
          <w:sz w:val="24"/>
          <w:szCs w:val="24"/>
        </w:rPr>
        <w:t>评标</w:t>
      </w:r>
      <w:bookmarkEnd w:id="95"/>
      <w:bookmarkEnd w:id="96"/>
      <w:bookmarkEnd w:id="97"/>
      <w:bookmarkEnd w:id="98"/>
    </w:p>
    <w:p w14:paraId="6465F53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sz w:val="24"/>
          <w:szCs w:val="24"/>
          <w:highlight w:val="none"/>
          <w:lang w:eastAsia="zh-CN"/>
        </w:rPr>
      </w:pPr>
      <w:bookmarkStart w:id="99" w:name="_Toc38145726"/>
      <w:bookmarkStart w:id="100" w:name="_Toc38145801"/>
      <w:bookmarkStart w:id="101" w:name="_Toc38145625"/>
      <w:r>
        <w:rPr>
          <w:rFonts w:hint="eastAsia" w:ascii="宋体" w:hAnsi="宋体" w:eastAsia="宋体" w:cs="宋体"/>
          <w:b/>
          <w:bCs/>
          <w:sz w:val="24"/>
          <w:szCs w:val="24"/>
          <w:highlight w:val="none"/>
        </w:rPr>
        <w:t>6.1</w:t>
      </w:r>
      <w:r>
        <w:rPr>
          <w:rFonts w:hint="eastAsia" w:ascii="宋体" w:hAnsi="宋体" w:eastAsia="宋体" w:cs="宋体"/>
          <w:b/>
          <w:bCs/>
          <w:sz w:val="24"/>
          <w:szCs w:val="24"/>
          <w:highlight w:val="none"/>
          <w:lang w:eastAsia="zh-CN"/>
        </w:rPr>
        <w:t>磋商小组</w:t>
      </w:r>
    </w:p>
    <w:p w14:paraId="445F9BD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6.1.1评标由采购人依法组建的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组建方式见</w:t>
      </w:r>
      <w:r>
        <w:rPr>
          <w:rFonts w:hint="eastAsia" w:ascii="宋体" w:hAnsi="宋体" w:cs="宋体"/>
          <w:sz w:val="24"/>
          <w:szCs w:val="24"/>
          <w:highlight w:val="none"/>
          <w:lang w:val="en-US" w:eastAsia="zh-CN"/>
        </w:rPr>
        <w:t>供应商须知前附表</w:t>
      </w:r>
      <w:r>
        <w:rPr>
          <w:rFonts w:hint="eastAsia" w:ascii="宋体" w:hAnsi="宋体" w:eastAsia="宋体" w:cs="宋体"/>
          <w:sz w:val="24"/>
          <w:szCs w:val="24"/>
          <w:highlight w:val="none"/>
          <w:lang w:val="en-US" w:eastAsia="zh-CN"/>
        </w:rPr>
        <w:t>。</w:t>
      </w:r>
    </w:p>
    <w:p w14:paraId="3B83BD7B">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6.1.2</w:t>
      </w:r>
      <w:r>
        <w:rPr>
          <w:rFonts w:hint="eastAsia" w:ascii="宋体" w:hAnsi="宋体" w:eastAsia="宋体" w:cs="宋体"/>
          <w:sz w:val="24"/>
          <w:szCs w:val="24"/>
          <w:highlight w:val="none"/>
          <w:lang w:eastAsia="zh-CN"/>
        </w:rPr>
        <w:t>磋商小组成员有下列情形之一的，应当回避：</w:t>
      </w:r>
    </w:p>
    <w:p w14:paraId="351F73AA">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或</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主要负责人的近亲属；</w:t>
      </w:r>
    </w:p>
    <w:p w14:paraId="208D484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（2）项目主管部门或者行政监督部门的人员；</w:t>
      </w:r>
    </w:p>
    <w:p w14:paraId="46B5DDC9">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有经济利益关系；</w:t>
      </w:r>
    </w:p>
    <w:p w14:paraId="06F8D29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（4）曾因在招标、评标以及其他与招标投标有关活动中从事违法行为而受过行政处罚或刑事处罚的；</w:t>
      </w:r>
    </w:p>
    <w:p w14:paraId="4CF845A4">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outlineLvl w:val="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（5）与</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有其他利害关系。</w:t>
      </w:r>
    </w:p>
    <w:p w14:paraId="0D1C3AA1">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6.1.3</w:t>
      </w:r>
      <w:r>
        <w:rPr>
          <w:rFonts w:hint="eastAsia" w:ascii="宋体" w:hAnsi="宋体" w:eastAsia="宋体" w:cs="宋体"/>
          <w:sz w:val="24"/>
          <w:szCs w:val="24"/>
          <w:highlight w:val="none"/>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E2EDEF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6.1.4</w:t>
      </w:r>
      <w:r>
        <w:rPr>
          <w:rFonts w:hint="eastAsia" w:ascii="宋体" w:hAnsi="宋体" w:eastAsia="宋体" w:cs="宋体"/>
          <w:sz w:val="24"/>
          <w:szCs w:val="24"/>
          <w:highlight w:val="none"/>
          <w:lang w:eastAsia="zh-CN"/>
        </w:rPr>
        <w:t>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3970111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highlight w:val="none"/>
        </w:rPr>
      </w:pPr>
      <w:bookmarkStart w:id="102" w:name="_Toc38145802"/>
      <w:bookmarkStart w:id="103" w:name="_Toc38145727"/>
      <w:bookmarkStart w:id="104" w:name="_Toc38145626"/>
      <w:r>
        <w:rPr>
          <w:rFonts w:hint="eastAsia" w:ascii="宋体" w:hAnsi="宋体" w:eastAsia="宋体" w:cs="宋体"/>
          <w:b/>
          <w:bCs/>
          <w:sz w:val="24"/>
          <w:szCs w:val="24"/>
          <w:highlight w:val="none"/>
        </w:rPr>
        <w:t>6.2 评标原则</w:t>
      </w:r>
      <w:bookmarkEnd w:id="102"/>
      <w:bookmarkEnd w:id="103"/>
      <w:bookmarkEnd w:id="104"/>
    </w:p>
    <w:p w14:paraId="16348A9D">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6.2.1</w:t>
      </w:r>
      <w:r>
        <w:rPr>
          <w:rFonts w:hint="eastAsia" w:ascii="宋体" w:hAnsi="宋体" w:eastAsia="宋体" w:cs="宋体"/>
          <w:sz w:val="24"/>
          <w:szCs w:val="24"/>
          <w:highlight w:val="none"/>
        </w:rPr>
        <w:t>评标活动遵循公平、公正、科学合理的原则。</w:t>
      </w:r>
    </w:p>
    <w:p w14:paraId="0AA1751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6.2.2</w:t>
      </w:r>
      <w:r>
        <w:rPr>
          <w:rFonts w:hint="eastAsia" w:ascii="宋体" w:hAnsi="宋体" w:eastAsia="宋体" w:cs="宋体"/>
          <w:sz w:val="24"/>
          <w:szCs w:val="24"/>
          <w:highlight w:val="none"/>
          <w:lang w:eastAsia="zh-CN"/>
        </w:rPr>
        <w:t>磋商在磋商小组应当集中与单一</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分别进行磋商，磋商小组将遵照磋商原则，公正、平等地对待所有</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w:t>
      </w:r>
    </w:p>
    <w:p w14:paraId="4BD2C9B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highlight w:val="none"/>
        </w:rPr>
      </w:pPr>
      <w:bookmarkStart w:id="105" w:name="_Toc38145728"/>
      <w:bookmarkStart w:id="106" w:name="_Toc38145627"/>
      <w:bookmarkStart w:id="107" w:name="_Toc38145803"/>
      <w:r>
        <w:rPr>
          <w:rFonts w:hint="eastAsia" w:ascii="宋体" w:hAnsi="宋体" w:eastAsia="宋体" w:cs="宋体"/>
          <w:b/>
          <w:bCs/>
          <w:sz w:val="24"/>
          <w:szCs w:val="24"/>
          <w:highlight w:val="none"/>
        </w:rPr>
        <w:t>6.3</w:t>
      </w:r>
      <w:bookmarkEnd w:id="105"/>
      <w:bookmarkEnd w:id="106"/>
      <w:bookmarkEnd w:id="107"/>
      <w:r>
        <w:rPr>
          <w:rFonts w:hint="eastAsia" w:ascii="宋体" w:hAnsi="宋体" w:eastAsia="宋体" w:cs="宋体"/>
          <w:b/>
          <w:bCs/>
          <w:sz w:val="24"/>
          <w:szCs w:val="24"/>
          <w:highlight w:val="none"/>
        </w:rPr>
        <w:t>评标</w:t>
      </w:r>
    </w:p>
    <w:p w14:paraId="7592386E">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磋商小组按照第三章“评审办法”规定的方法、评审因素、标准和程序对响应文件进行评审。第三章“评审办法”没有规定的方法、评审因素和标准，不作为评标依据。</w:t>
      </w:r>
    </w:p>
    <w:p w14:paraId="21AC78A0">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6.3.1</w:t>
      </w:r>
      <w:r>
        <w:rPr>
          <w:rFonts w:hint="eastAsia" w:ascii="宋体" w:hAnsi="宋体" w:eastAsia="宋体" w:cs="宋体"/>
          <w:sz w:val="24"/>
          <w:szCs w:val="24"/>
          <w:highlight w:val="none"/>
          <w:lang w:eastAsia="zh-CN"/>
        </w:rPr>
        <w:t>磋商小组只对已判定为实质性响应且通过初步审查的磋商响应文件进行详细评价和比较。</w:t>
      </w:r>
    </w:p>
    <w:p w14:paraId="340AD1A6">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6.3.2</w:t>
      </w:r>
      <w:r>
        <w:rPr>
          <w:rFonts w:hint="eastAsia" w:ascii="宋体" w:hAnsi="宋体" w:eastAsia="宋体" w:cs="宋体"/>
          <w:sz w:val="24"/>
          <w:szCs w:val="24"/>
          <w:highlight w:val="none"/>
          <w:lang w:eastAsia="zh-CN"/>
        </w:rPr>
        <w:t>磋商完成后，要求其在规定时间内提交最后报价，提交最后报价的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eastAsia="zh-CN"/>
        </w:rPr>
        <w:t>人可以为两家。</w:t>
      </w:r>
    </w:p>
    <w:p w14:paraId="32A4591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6.3.3</w:t>
      </w:r>
      <w:r>
        <w:rPr>
          <w:rFonts w:hint="eastAsia" w:ascii="宋体" w:hAnsi="宋体" w:eastAsia="宋体" w:cs="宋体"/>
          <w:sz w:val="24"/>
          <w:szCs w:val="24"/>
          <w:highlight w:val="none"/>
          <w:lang w:eastAsia="zh-CN"/>
        </w:rPr>
        <w:t>经磋商确定最终需求和提交最后报价的</w:t>
      </w:r>
      <w:r>
        <w:rPr>
          <w:rFonts w:hint="eastAsia" w:ascii="宋体" w:hAnsi="宋体" w:cs="宋体"/>
          <w:sz w:val="24"/>
          <w:szCs w:val="24"/>
          <w:highlight w:val="none"/>
          <w:lang w:val="en-US" w:eastAsia="zh-CN"/>
        </w:rPr>
        <w:t>响应人</w:t>
      </w:r>
      <w:r>
        <w:rPr>
          <w:rFonts w:hint="eastAsia" w:ascii="宋体" w:hAnsi="宋体" w:eastAsia="宋体" w:cs="宋体"/>
          <w:sz w:val="24"/>
          <w:szCs w:val="24"/>
          <w:highlight w:val="none"/>
          <w:lang w:eastAsia="zh-CN"/>
        </w:rPr>
        <w:t>后，磋商小组采用综合评分法对提交最后报价的</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的磋商响应文件和最后报价进行综合评分。</w:t>
      </w:r>
    </w:p>
    <w:p w14:paraId="38B77A0E">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6.3.4</w:t>
      </w:r>
      <w:r>
        <w:rPr>
          <w:rFonts w:hint="eastAsia" w:ascii="宋体" w:hAnsi="宋体" w:eastAsia="宋体" w:cs="宋体"/>
          <w:sz w:val="24"/>
          <w:szCs w:val="24"/>
          <w:highlight w:val="none"/>
          <w:lang w:eastAsia="zh-CN"/>
        </w:rPr>
        <w:t>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FEF3301">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6.3.5</w:t>
      </w:r>
      <w:r>
        <w:rPr>
          <w:rFonts w:hint="eastAsia" w:ascii="宋体" w:hAnsi="宋体" w:eastAsia="宋体" w:cs="宋体"/>
          <w:sz w:val="24"/>
          <w:szCs w:val="24"/>
          <w:highlight w:val="none"/>
          <w:lang w:eastAsia="zh-CN"/>
        </w:rPr>
        <w:t>如果第一名</w:t>
      </w: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lang w:eastAsia="zh-CN"/>
        </w:rPr>
        <w:t>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99"/>
    <w:bookmarkEnd w:id="100"/>
    <w:bookmarkEnd w:id="101"/>
    <w:p w14:paraId="22E2F620">
      <w:pPr>
        <w:keepNext w:val="0"/>
        <w:keepLines w:val="0"/>
        <w:widowControl w:val="0"/>
        <w:kinsoku/>
        <w:wordWrap/>
        <w:topLinePunct w:val="0"/>
        <w:autoSpaceDE/>
        <w:autoSpaceDN/>
        <w:bidi w:val="0"/>
        <w:spacing w:line="520" w:lineRule="exact"/>
        <w:ind w:left="0" w:leftChars="0" w:firstLine="422" w:firstLineChars="175"/>
        <w:jc w:val="both"/>
        <w:textAlignment w:val="auto"/>
        <w:outlineLvl w:val="1"/>
        <w:rPr>
          <w:rFonts w:hint="eastAsia" w:ascii="宋体" w:hAnsi="宋体" w:eastAsia="宋体" w:cs="宋体"/>
          <w:sz w:val="24"/>
          <w:szCs w:val="24"/>
        </w:rPr>
      </w:pPr>
      <w:bookmarkStart w:id="108" w:name="_Toc38145729"/>
      <w:bookmarkStart w:id="109" w:name="_Toc38145804"/>
      <w:bookmarkStart w:id="110" w:name="_Toc38145628"/>
      <w:bookmarkStart w:id="111" w:name="_Toc20999_WPSOffice_Level2"/>
      <w:r>
        <w:rPr>
          <w:rFonts w:hint="eastAsia" w:ascii="宋体" w:hAnsi="宋体" w:eastAsia="宋体" w:cs="宋体"/>
          <w:b/>
          <w:sz w:val="24"/>
          <w:szCs w:val="24"/>
        </w:rPr>
        <w:t>七</w:t>
      </w:r>
      <w:r>
        <w:rPr>
          <w:rFonts w:hint="eastAsia" w:ascii="宋体" w:hAnsi="宋体" w:eastAsia="宋体" w:cs="宋体"/>
          <w:b/>
          <w:sz w:val="24"/>
          <w:szCs w:val="24"/>
          <w:lang w:eastAsia="zh-CN"/>
        </w:rPr>
        <w:t>、</w:t>
      </w:r>
      <w:r>
        <w:rPr>
          <w:rFonts w:hint="eastAsia" w:ascii="宋体" w:hAnsi="宋体" w:eastAsia="宋体" w:cs="宋体"/>
          <w:b/>
          <w:sz w:val="24"/>
          <w:szCs w:val="24"/>
        </w:rPr>
        <w:t>定标及签订合同</w:t>
      </w:r>
      <w:bookmarkEnd w:id="108"/>
      <w:bookmarkEnd w:id="109"/>
      <w:bookmarkEnd w:id="110"/>
      <w:bookmarkEnd w:id="111"/>
    </w:p>
    <w:p w14:paraId="51CC21EB">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lang w:eastAsia="zh-CN"/>
        </w:rPr>
      </w:pPr>
      <w:bookmarkStart w:id="112" w:name="_Toc38145805"/>
      <w:bookmarkStart w:id="113" w:name="_Toc38145730"/>
      <w:bookmarkStart w:id="114" w:name="_Toc38145629"/>
      <w:r>
        <w:rPr>
          <w:rFonts w:hint="eastAsia" w:ascii="宋体" w:hAnsi="宋体" w:eastAsia="宋体" w:cs="宋体"/>
          <w:b/>
          <w:bCs/>
          <w:sz w:val="24"/>
          <w:szCs w:val="24"/>
        </w:rPr>
        <w:t>7.1定标以及</w:t>
      </w:r>
      <w:bookmarkEnd w:id="112"/>
      <w:bookmarkEnd w:id="113"/>
      <w:bookmarkEnd w:id="114"/>
      <w:r>
        <w:rPr>
          <w:rFonts w:hint="eastAsia" w:ascii="宋体" w:hAnsi="宋体" w:eastAsia="宋体" w:cs="宋体"/>
          <w:b/>
          <w:bCs/>
          <w:sz w:val="24"/>
          <w:szCs w:val="24"/>
          <w:lang w:eastAsia="zh-CN"/>
        </w:rPr>
        <w:t>成交通知书</w:t>
      </w:r>
    </w:p>
    <w:p w14:paraId="52064FF4">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7.1.1最低投标价不作为中标的保证</w:t>
      </w:r>
      <w:r>
        <w:rPr>
          <w:rFonts w:hint="eastAsia" w:ascii="宋体" w:hAnsi="宋体" w:eastAsia="宋体" w:cs="宋体"/>
          <w:sz w:val="24"/>
          <w:szCs w:val="24"/>
          <w:lang w:eastAsia="zh-CN"/>
        </w:rPr>
        <w:t>，</w:t>
      </w:r>
      <w:r>
        <w:rPr>
          <w:rFonts w:hint="eastAsia" w:ascii="宋体" w:hAnsi="宋体" w:eastAsia="宋体" w:cs="宋体"/>
          <w:sz w:val="24"/>
          <w:szCs w:val="24"/>
        </w:rPr>
        <w:t>采购人依据</w:t>
      </w:r>
      <w:r>
        <w:rPr>
          <w:rFonts w:hint="eastAsia" w:ascii="宋体" w:hAnsi="宋体" w:eastAsia="宋体" w:cs="宋体"/>
          <w:sz w:val="24"/>
          <w:szCs w:val="24"/>
          <w:lang w:eastAsia="zh-CN"/>
        </w:rPr>
        <w:t>磋商小组</w:t>
      </w:r>
      <w:r>
        <w:rPr>
          <w:rFonts w:hint="eastAsia" w:ascii="宋体" w:hAnsi="宋体" w:eastAsia="宋体" w:cs="宋体"/>
          <w:sz w:val="24"/>
          <w:szCs w:val="24"/>
        </w:rPr>
        <w:t>推荐的中标候选人确定</w:t>
      </w:r>
      <w:r>
        <w:rPr>
          <w:rFonts w:hint="eastAsia" w:ascii="宋体" w:hAnsi="宋体" w:eastAsia="宋体" w:cs="宋体"/>
          <w:sz w:val="24"/>
          <w:szCs w:val="24"/>
          <w:lang w:eastAsia="zh-CN"/>
        </w:rPr>
        <w:t>成交人</w:t>
      </w:r>
      <w:r>
        <w:rPr>
          <w:rFonts w:hint="eastAsia" w:ascii="宋体" w:hAnsi="宋体" w:eastAsia="宋体" w:cs="宋体"/>
          <w:sz w:val="24"/>
          <w:szCs w:val="24"/>
        </w:rPr>
        <w:t>，</w:t>
      </w:r>
      <w:r>
        <w:rPr>
          <w:rFonts w:hint="eastAsia" w:ascii="宋体" w:hAnsi="宋体" w:eastAsia="宋体" w:cs="宋体"/>
          <w:sz w:val="24"/>
          <w:szCs w:val="24"/>
          <w:lang w:eastAsia="zh-CN"/>
        </w:rPr>
        <w:t>磋商小组</w:t>
      </w:r>
      <w:r>
        <w:rPr>
          <w:rFonts w:hint="eastAsia" w:ascii="宋体" w:hAnsi="宋体" w:eastAsia="宋体" w:cs="宋体"/>
          <w:sz w:val="24"/>
          <w:szCs w:val="24"/>
        </w:rPr>
        <w:t>推荐中标候选人的人数见</w:t>
      </w:r>
      <w:r>
        <w:rPr>
          <w:rFonts w:hint="eastAsia" w:ascii="宋体" w:hAnsi="宋体" w:cs="宋体"/>
          <w:sz w:val="24"/>
          <w:szCs w:val="24"/>
          <w:lang w:eastAsia="zh-CN"/>
        </w:rPr>
        <w:t>供应商须知前附表</w:t>
      </w:r>
      <w:r>
        <w:rPr>
          <w:rFonts w:hint="eastAsia" w:ascii="宋体" w:hAnsi="宋体" w:eastAsia="宋体" w:cs="宋体"/>
          <w:sz w:val="24"/>
          <w:szCs w:val="24"/>
        </w:rPr>
        <w:t>。</w:t>
      </w:r>
    </w:p>
    <w:p w14:paraId="230714CB">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sz w:val="24"/>
          <w:szCs w:val="24"/>
        </w:rPr>
        <w:t>7.1.2</w:t>
      </w:r>
      <w:r>
        <w:rPr>
          <w:rFonts w:hint="eastAsia" w:ascii="宋体" w:hAnsi="宋体" w:eastAsia="宋体" w:cs="宋体"/>
          <w:kern w:val="0"/>
          <w:sz w:val="24"/>
          <w:szCs w:val="24"/>
        </w:rPr>
        <w:t>评标结束后，评标结果经采购人确认后，采购代理机构方应在</w:t>
      </w:r>
      <w:r>
        <w:rPr>
          <w:rFonts w:hint="eastAsia" w:ascii="宋体" w:hAnsi="宋体" w:eastAsia="宋体" w:cs="宋体"/>
          <w:kern w:val="0"/>
          <w:sz w:val="24"/>
          <w:szCs w:val="24"/>
          <w:lang w:val="en-US" w:eastAsia="zh-CN"/>
        </w:rPr>
        <w:t>发布</w:t>
      </w:r>
      <w:r>
        <w:rPr>
          <w:rFonts w:hint="eastAsia" w:ascii="宋体" w:hAnsi="宋体" w:eastAsia="宋体" w:cs="宋体"/>
          <w:kern w:val="0"/>
          <w:sz w:val="24"/>
          <w:szCs w:val="24"/>
        </w:rPr>
        <w:t>本采购项目磋商公告的媒介上对中标结果进行公示，待公示1个工作日且无异议后，采购代理机构向中标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发出</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对采购人和中标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具有同等法律效力。</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发出后，采购人改变中标结果，或者中标</w:t>
      </w:r>
      <w:r>
        <w:rPr>
          <w:rFonts w:hint="eastAsia" w:ascii="宋体" w:hAnsi="宋体" w:cs="宋体"/>
          <w:kern w:val="0"/>
          <w:sz w:val="24"/>
          <w:szCs w:val="24"/>
          <w:lang w:eastAsia="zh-CN"/>
        </w:rPr>
        <w:t>响应人</w:t>
      </w:r>
      <w:r>
        <w:rPr>
          <w:rFonts w:hint="eastAsia" w:ascii="宋体" w:hAnsi="宋体" w:eastAsia="宋体" w:cs="宋体"/>
          <w:kern w:val="0"/>
          <w:sz w:val="24"/>
          <w:szCs w:val="24"/>
        </w:rPr>
        <w:t>放弃中标，应按相关法律、规章、规范性文件的要求承担相应的法律责任。投标</w:t>
      </w:r>
      <w:r>
        <w:rPr>
          <w:rFonts w:hint="eastAsia" w:ascii="宋体" w:hAnsi="宋体" w:cs="宋体"/>
          <w:kern w:val="0"/>
          <w:sz w:val="24"/>
          <w:szCs w:val="24"/>
          <w:lang w:eastAsia="zh-CN"/>
        </w:rPr>
        <w:t>响应人</w:t>
      </w:r>
      <w:r>
        <w:rPr>
          <w:rFonts w:hint="eastAsia" w:ascii="宋体" w:hAnsi="宋体" w:eastAsia="宋体" w:cs="宋体"/>
          <w:kern w:val="0"/>
          <w:sz w:val="24"/>
          <w:szCs w:val="24"/>
        </w:rPr>
        <w:t>对中标公告有异议的，应当在知道或应当知道其权益受到损害之日起1个工作日内，以书面形式向采购人或采购代理机构提出质疑。</w:t>
      </w:r>
    </w:p>
    <w:p w14:paraId="5E67FEF0">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成交通知书</w:t>
      </w:r>
      <w:r>
        <w:rPr>
          <w:rFonts w:hint="eastAsia" w:ascii="宋体" w:hAnsi="宋体" w:eastAsia="宋体" w:cs="宋体"/>
          <w:sz w:val="24"/>
          <w:szCs w:val="24"/>
        </w:rPr>
        <w:t>》将作为签订合同的依据。《合同》签订后，《</w:t>
      </w:r>
      <w:r>
        <w:rPr>
          <w:rFonts w:hint="eastAsia" w:ascii="宋体" w:hAnsi="宋体" w:eastAsia="宋体" w:cs="宋体"/>
          <w:sz w:val="24"/>
          <w:szCs w:val="24"/>
          <w:lang w:eastAsia="zh-CN"/>
        </w:rPr>
        <w:t>成交通知书</w:t>
      </w:r>
      <w:r>
        <w:rPr>
          <w:rFonts w:hint="eastAsia" w:ascii="宋体" w:hAnsi="宋体" w:eastAsia="宋体" w:cs="宋体"/>
          <w:sz w:val="24"/>
          <w:szCs w:val="24"/>
        </w:rPr>
        <w:t>》成为《合同》的一部分。</w:t>
      </w:r>
    </w:p>
    <w:p w14:paraId="4E383DF0">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15" w:name="_Toc38145731"/>
      <w:bookmarkStart w:id="116" w:name="_Toc38145806"/>
      <w:bookmarkStart w:id="117" w:name="_Toc38145630"/>
      <w:r>
        <w:rPr>
          <w:rFonts w:hint="eastAsia" w:ascii="宋体" w:hAnsi="宋体" w:eastAsia="宋体" w:cs="宋体"/>
          <w:b/>
          <w:bCs/>
          <w:sz w:val="24"/>
          <w:szCs w:val="24"/>
        </w:rPr>
        <w:t>7.2合同的签订</w:t>
      </w:r>
      <w:bookmarkEnd w:id="115"/>
      <w:bookmarkEnd w:id="116"/>
      <w:bookmarkEnd w:id="117"/>
    </w:p>
    <w:p w14:paraId="646666B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7.2.1</w:t>
      </w:r>
      <w:r>
        <w:rPr>
          <w:rFonts w:hint="eastAsia" w:ascii="宋体" w:hAnsi="宋体" w:eastAsia="宋体" w:cs="宋体"/>
          <w:kern w:val="0"/>
          <w:sz w:val="24"/>
          <w:szCs w:val="24"/>
          <w:lang w:eastAsia="zh-CN"/>
        </w:rPr>
        <w:t>成交人</w:t>
      </w:r>
      <w:r>
        <w:rPr>
          <w:rFonts w:hint="eastAsia" w:ascii="宋体" w:hAnsi="宋体" w:eastAsia="宋体" w:cs="宋体"/>
          <w:kern w:val="0"/>
          <w:sz w:val="24"/>
          <w:szCs w:val="24"/>
        </w:rPr>
        <w:t>应按</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规定的时间及地点，由法定代表人或授权委托代理人与采购人签订合同。签订合同应与磋商文件内容一致，不得有实质性改变</w:t>
      </w:r>
      <w:bookmarkStart w:id="118" w:name="_Toc251069685"/>
      <w:bookmarkEnd w:id="118"/>
      <w:r>
        <w:rPr>
          <w:rFonts w:hint="eastAsia" w:ascii="宋体" w:hAnsi="宋体" w:eastAsia="宋体" w:cs="宋体"/>
          <w:kern w:val="0"/>
          <w:sz w:val="24"/>
          <w:szCs w:val="24"/>
        </w:rPr>
        <w:t>。</w:t>
      </w:r>
    </w:p>
    <w:p w14:paraId="2D5ABBBC">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7.2.2采购人和</w:t>
      </w:r>
      <w:r>
        <w:rPr>
          <w:rFonts w:hint="eastAsia" w:ascii="宋体" w:hAnsi="宋体" w:eastAsia="宋体" w:cs="宋体"/>
          <w:kern w:val="0"/>
          <w:sz w:val="24"/>
          <w:szCs w:val="24"/>
          <w:lang w:eastAsia="zh-CN"/>
        </w:rPr>
        <w:t>成交人</w:t>
      </w:r>
      <w:r>
        <w:rPr>
          <w:rFonts w:hint="eastAsia" w:ascii="宋体" w:hAnsi="宋体" w:eastAsia="宋体" w:cs="宋体"/>
          <w:kern w:val="0"/>
          <w:sz w:val="24"/>
          <w:szCs w:val="24"/>
        </w:rPr>
        <w:t>应当自</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发出之日起2个工作日内，根据磋商文件和</w:t>
      </w:r>
      <w:r>
        <w:rPr>
          <w:rFonts w:hint="eastAsia" w:ascii="宋体" w:hAnsi="宋体" w:eastAsia="宋体" w:cs="宋体"/>
          <w:kern w:val="0"/>
          <w:sz w:val="24"/>
          <w:szCs w:val="24"/>
          <w:lang w:eastAsia="zh-CN"/>
        </w:rPr>
        <w:t>成交人</w:t>
      </w:r>
      <w:r>
        <w:rPr>
          <w:rFonts w:hint="eastAsia" w:ascii="宋体" w:hAnsi="宋体" w:eastAsia="宋体" w:cs="宋体"/>
          <w:kern w:val="0"/>
          <w:sz w:val="24"/>
          <w:szCs w:val="24"/>
        </w:rPr>
        <w:t>的响应文件订立书面合同。</w:t>
      </w:r>
      <w:r>
        <w:rPr>
          <w:rFonts w:hint="eastAsia" w:ascii="宋体" w:hAnsi="宋体" w:eastAsia="宋体" w:cs="宋体"/>
          <w:kern w:val="0"/>
          <w:sz w:val="24"/>
          <w:szCs w:val="24"/>
          <w:lang w:eastAsia="zh-CN"/>
        </w:rPr>
        <w:t>成交人</w:t>
      </w:r>
      <w:r>
        <w:rPr>
          <w:rFonts w:hint="eastAsia" w:ascii="宋体" w:hAnsi="宋体" w:eastAsia="宋体" w:cs="宋体"/>
          <w:kern w:val="0"/>
          <w:sz w:val="24"/>
          <w:szCs w:val="24"/>
        </w:rPr>
        <w:t>无正当理由拒签合同的，采购人取消其中标资格。</w:t>
      </w:r>
    </w:p>
    <w:p w14:paraId="27A2BF58">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按《三门峡市财政局关于市本级政府采购合同备案管理工作的通知》（三财购[2021]9号）文要求，集中采购目录以外政府采购项目，原则上自</w:t>
      </w:r>
      <w:r>
        <w:rPr>
          <w:rFonts w:hint="eastAsia" w:ascii="宋体" w:hAnsi="宋体" w:eastAsia="宋体" w:cs="宋体"/>
          <w:kern w:val="0"/>
          <w:sz w:val="24"/>
          <w:szCs w:val="24"/>
          <w:lang w:eastAsia="zh-CN"/>
        </w:rPr>
        <w:t>成交通知书</w:t>
      </w:r>
      <w:r>
        <w:rPr>
          <w:rFonts w:hint="eastAsia" w:ascii="宋体" w:hAnsi="宋体" w:eastAsia="宋体" w:cs="宋体"/>
          <w:kern w:val="0"/>
          <w:sz w:val="24"/>
          <w:szCs w:val="24"/>
        </w:rPr>
        <w:t>发出之日起2个工作日内与中标（成交）</w:t>
      </w:r>
      <w:r>
        <w:rPr>
          <w:rFonts w:hint="eastAsia" w:ascii="宋体" w:hAnsi="宋体" w:cs="宋体"/>
          <w:kern w:val="0"/>
          <w:sz w:val="24"/>
          <w:szCs w:val="24"/>
          <w:lang w:eastAsia="zh-CN"/>
        </w:rPr>
        <w:t>响应人</w:t>
      </w:r>
      <w:r>
        <w:rPr>
          <w:rFonts w:hint="eastAsia" w:ascii="宋体" w:hAnsi="宋体" w:eastAsia="宋体" w:cs="宋体"/>
          <w:kern w:val="0"/>
          <w:sz w:val="24"/>
          <w:szCs w:val="24"/>
        </w:rPr>
        <w:t>按照采购文件确定的事项与</w:t>
      </w:r>
      <w:r>
        <w:rPr>
          <w:rFonts w:hint="eastAsia" w:ascii="宋体" w:hAnsi="宋体" w:cs="宋体"/>
          <w:kern w:val="0"/>
          <w:sz w:val="24"/>
          <w:szCs w:val="24"/>
          <w:lang w:eastAsia="zh-CN"/>
        </w:rPr>
        <w:t>响应人</w:t>
      </w:r>
      <w:r>
        <w:rPr>
          <w:rFonts w:hint="eastAsia" w:ascii="宋体" w:hAnsi="宋体" w:eastAsia="宋体" w:cs="宋体"/>
          <w:kern w:val="0"/>
          <w:sz w:val="24"/>
          <w:szCs w:val="24"/>
        </w:rPr>
        <w:t>签订政府采购合同。</w:t>
      </w:r>
    </w:p>
    <w:p w14:paraId="2538E8D0">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7.2.3</w:t>
      </w:r>
      <w:r>
        <w:rPr>
          <w:rFonts w:hint="eastAsia" w:ascii="宋体" w:hAnsi="宋体" w:eastAsia="宋体" w:cs="宋体"/>
          <w:sz w:val="24"/>
          <w:szCs w:val="24"/>
        </w:rPr>
        <w:t>竞争性磋商文件、竞争性磋商文件的修改文件、中标</w:t>
      </w:r>
      <w:r>
        <w:rPr>
          <w:rFonts w:hint="eastAsia" w:ascii="宋体" w:hAnsi="宋体" w:cs="宋体"/>
          <w:sz w:val="24"/>
          <w:szCs w:val="24"/>
          <w:lang w:eastAsia="zh-CN"/>
        </w:rPr>
        <w:t>响应人</w:t>
      </w:r>
      <w:r>
        <w:rPr>
          <w:rFonts w:hint="eastAsia" w:ascii="宋体" w:hAnsi="宋体" w:eastAsia="宋体" w:cs="宋体"/>
          <w:sz w:val="24"/>
          <w:szCs w:val="24"/>
        </w:rPr>
        <w:t>的响应文件、补充或修改的文件及澄清或承诺文件等，均为双方签订《合同》的组成部分，并与《合同》一并作为本招标文件所列采购项目的互补性法律文件，与《合同》具有同等法律效力。</w:t>
      </w:r>
    </w:p>
    <w:p w14:paraId="170C2DD2">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7.2.4</w:t>
      </w:r>
      <w:r>
        <w:rPr>
          <w:rFonts w:hint="eastAsia" w:ascii="宋体" w:hAnsi="宋体" w:eastAsia="宋体" w:cs="宋体"/>
          <w:sz w:val="24"/>
          <w:szCs w:val="24"/>
        </w:rPr>
        <w:t>采购人在合同履行中，需追加与合同标的相同的货物或者服务的，在不改变合同其他条款的前提下，可与</w:t>
      </w:r>
      <w:r>
        <w:rPr>
          <w:rFonts w:hint="eastAsia" w:ascii="宋体" w:hAnsi="宋体" w:cs="宋体"/>
          <w:sz w:val="24"/>
          <w:szCs w:val="24"/>
          <w:lang w:eastAsia="zh-CN"/>
        </w:rPr>
        <w:t>响应人</w:t>
      </w:r>
      <w:r>
        <w:rPr>
          <w:rFonts w:hint="eastAsia" w:ascii="宋体" w:hAnsi="宋体" w:eastAsia="宋体" w:cs="宋体"/>
          <w:sz w:val="24"/>
          <w:szCs w:val="24"/>
        </w:rPr>
        <w:t>协商签订补充合同，但所有补充合同的采购金额不得超过原合同采购金额的百分之十。</w:t>
      </w:r>
    </w:p>
    <w:p w14:paraId="1E0F201D">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7.2.5</w:t>
      </w:r>
      <w:r>
        <w:rPr>
          <w:rFonts w:hint="eastAsia" w:ascii="宋体" w:hAnsi="宋体" w:eastAsia="宋体" w:cs="宋体"/>
          <w:sz w:val="24"/>
          <w:szCs w:val="24"/>
        </w:rPr>
        <w:t>中标</w:t>
      </w:r>
      <w:r>
        <w:rPr>
          <w:rFonts w:hint="eastAsia" w:ascii="宋体" w:hAnsi="宋体" w:cs="宋体"/>
          <w:sz w:val="24"/>
          <w:szCs w:val="24"/>
          <w:lang w:eastAsia="zh-CN"/>
        </w:rPr>
        <w:t>响应人</w:t>
      </w:r>
      <w:r>
        <w:rPr>
          <w:rFonts w:hint="eastAsia" w:ascii="宋体" w:hAnsi="宋体" w:eastAsia="宋体" w:cs="宋体"/>
          <w:sz w:val="24"/>
          <w:szCs w:val="24"/>
        </w:rPr>
        <w:t>因不可抗力或者自身原因不能履行政府采购合同的，采购人可以与排位在中标</w:t>
      </w:r>
      <w:r>
        <w:rPr>
          <w:rFonts w:hint="eastAsia" w:ascii="宋体" w:hAnsi="宋体" w:cs="宋体"/>
          <w:sz w:val="24"/>
          <w:szCs w:val="24"/>
          <w:lang w:eastAsia="zh-CN"/>
        </w:rPr>
        <w:t>响应人</w:t>
      </w:r>
      <w:r>
        <w:rPr>
          <w:rFonts w:hint="eastAsia" w:ascii="宋体" w:hAnsi="宋体" w:eastAsia="宋体" w:cs="宋体"/>
          <w:sz w:val="24"/>
          <w:szCs w:val="24"/>
        </w:rPr>
        <w:t>之后第一位的中标候选</w:t>
      </w:r>
      <w:r>
        <w:rPr>
          <w:rFonts w:hint="eastAsia" w:ascii="宋体" w:hAnsi="宋体" w:cs="宋体"/>
          <w:sz w:val="24"/>
          <w:szCs w:val="24"/>
          <w:lang w:eastAsia="zh-CN"/>
        </w:rPr>
        <w:t>响应人</w:t>
      </w:r>
      <w:r>
        <w:rPr>
          <w:rFonts w:hint="eastAsia" w:ascii="宋体" w:hAnsi="宋体" w:eastAsia="宋体" w:cs="宋体"/>
          <w:sz w:val="24"/>
          <w:szCs w:val="24"/>
        </w:rPr>
        <w:t>签订政府采购合同，以此类推。</w:t>
      </w:r>
    </w:p>
    <w:p w14:paraId="12A1138D">
      <w:pPr>
        <w:keepNext w:val="0"/>
        <w:keepLines w:val="0"/>
        <w:widowControl w:val="0"/>
        <w:kinsoku/>
        <w:wordWrap/>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kern w:val="0"/>
          <w:sz w:val="24"/>
          <w:szCs w:val="24"/>
        </w:rPr>
      </w:pPr>
      <w:bookmarkStart w:id="119" w:name="_Toc38145632"/>
      <w:bookmarkStart w:id="120" w:name="_Toc38145733"/>
      <w:bookmarkStart w:id="121" w:name="_Toc27160_WPSOffice_Level2"/>
      <w:bookmarkStart w:id="122" w:name="_Toc38145808"/>
      <w:r>
        <w:rPr>
          <w:rFonts w:hint="eastAsia" w:ascii="宋体" w:hAnsi="宋体" w:eastAsia="宋体" w:cs="宋体"/>
          <w:b/>
          <w:sz w:val="24"/>
          <w:szCs w:val="24"/>
        </w:rPr>
        <w:t>八</w:t>
      </w:r>
      <w:r>
        <w:rPr>
          <w:rFonts w:hint="eastAsia" w:ascii="宋体" w:hAnsi="宋体" w:eastAsia="宋体" w:cs="宋体"/>
          <w:b/>
          <w:sz w:val="24"/>
          <w:szCs w:val="24"/>
          <w:lang w:eastAsia="zh-CN"/>
        </w:rPr>
        <w:t>、</w:t>
      </w:r>
      <w:r>
        <w:rPr>
          <w:rFonts w:hint="eastAsia" w:ascii="宋体" w:hAnsi="宋体" w:eastAsia="宋体" w:cs="宋体"/>
          <w:b/>
          <w:sz w:val="24"/>
          <w:szCs w:val="24"/>
        </w:rPr>
        <w:t>重新招标和不再招标</w:t>
      </w:r>
      <w:bookmarkEnd w:id="119"/>
      <w:bookmarkEnd w:id="120"/>
      <w:bookmarkEnd w:id="121"/>
      <w:bookmarkEnd w:id="122"/>
    </w:p>
    <w:p w14:paraId="3A5E889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23" w:name="_Toc38145633"/>
      <w:bookmarkStart w:id="124" w:name="_Toc38145809"/>
      <w:bookmarkStart w:id="125" w:name="_Toc38145734"/>
      <w:r>
        <w:rPr>
          <w:rFonts w:hint="eastAsia" w:ascii="宋体" w:hAnsi="宋体" w:eastAsia="宋体" w:cs="宋体"/>
          <w:b/>
          <w:bCs/>
          <w:sz w:val="24"/>
          <w:szCs w:val="24"/>
        </w:rPr>
        <w:t>8.1重新招标</w:t>
      </w:r>
      <w:bookmarkEnd w:id="123"/>
      <w:bookmarkEnd w:id="124"/>
      <w:bookmarkEnd w:id="125"/>
    </w:p>
    <w:p w14:paraId="1065B75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有下列情形之一的，采购人将根据情况决定重新招标或采用其他方式选择</w:t>
      </w:r>
      <w:r>
        <w:rPr>
          <w:rFonts w:hint="eastAsia" w:ascii="宋体" w:hAnsi="宋体" w:eastAsia="宋体" w:cs="宋体"/>
          <w:sz w:val="24"/>
          <w:szCs w:val="24"/>
          <w:lang w:eastAsia="zh-CN"/>
        </w:rPr>
        <w:t>成交人</w:t>
      </w:r>
      <w:r>
        <w:rPr>
          <w:rFonts w:hint="eastAsia" w:ascii="宋体" w:hAnsi="宋体" w:eastAsia="宋体" w:cs="宋体"/>
          <w:sz w:val="24"/>
          <w:szCs w:val="24"/>
        </w:rPr>
        <w:t>。</w:t>
      </w:r>
    </w:p>
    <w:p w14:paraId="2886A805">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（1）磋商截止时间止，</w:t>
      </w:r>
      <w:r>
        <w:rPr>
          <w:rFonts w:hint="eastAsia" w:ascii="宋体" w:hAnsi="宋体" w:eastAsia="宋体" w:cs="宋体"/>
          <w:sz w:val="24"/>
          <w:szCs w:val="24"/>
          <w:lang w:eastAsia="zh-CN"/>
        </w:rPr>
        <w:t>响应人</w:t>
      </w:r>
      <w:r>
        <w:rPr>
          <w:rFonts w:hint="eastAsia" w:ascii="宋体" w:hAnsi="宋体" w:eastAsia="宋体" w:cs="宋体"/>
          <w:sz w:val="24"/>
          <w:szCs w:val="24"/>
        </w:rPr>
        <w:t>不足3家的；</w:t>
      </w:r>
    </w:p>
    <w:p w14:paraId="171F7E11">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（2）经</w:t>
      </w:r>
      <w:r>
        <w:rPr>
          <w:rFonts w:hint="eastAsia" w:ascii="宋体" w:hAnsi="宋体" w:eastAsia="宋体" w:cs="宋体"/>
          <w:sz w:val="24"/>
          <w:szCs w:val="24"/>
          <w:lang w:eastAsia="zh-CN"/>
        </w:rPr>
        <w:t>磋商小组</w:t>
      </w:r>
      <w:r>
        <w:rPr>
          <w:rFonts w:hint="eastAsia" w:ascii="宋体" w:hAnsi="宋体" w:eastAsia="宋体" w:cs="宋体"/>
          <w:sz w:val="24"/>
          <w:szCs w:val="24"/>
        </w:rPr>
        <w:t>评标后否决所有投标的。</w:t>
      </w:r>
    </w:p>
    <w:p w14:paraId="37E180AF">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26" w:name="_Toc38145735"/>
      <w:bookmarkStart w:id="127" w:name="_Toc38145634"/>
      <w:bookmarkStart w:id="128" w:name="_Toc38145810"/>
      <w:r>
        <w:rPr>
          <w:rFonts w:hint="eastAsia" w:ascii="宋体" w:hAnsi="宋体" w:eastAsia="宋体" w:cs="宋体"/>
          <w:b/>
          <w:bCs/>
          <w:sz w:val="24"/>
          <w:szCs w:val="24"/>
        </w:rPr>
        <w:t>8.2不再招标</w:t>
      </w:r>
      <w:bookmarkEnd w:id="126"/>
      <w:bookmarkEnd w:id="127"/>
      <w:bookmarkEnd w:id="128"/>
    </w:p>
    <w:p w14:paraId="43984E4F">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重新招标后</w:t>
      </w:r>
      <w:r>
        <w:rPr>
          <w:rFonts w:hint="eastAsia" w:ascii="宋体" w:hAnsi="宋体" w:cs="宋体"/>
          <w:sz w:val="24"/>
          <w:szCs w:val="24"/>
          <w:lang w:eastAsia="zh-CN"/>
        </w:rPr>
        <w:t>响应人</w:t>
      </w:r>
      <w:r>
        <w:rPr>
          <w:rFonts w:hint="eastAsia" w:ascii="宋体" w:hAnsi="宋体" w:eastAsia="宋体" w:cs="宋体"/>
          <w:sz w:val="24"/>
          <w:szCs w:val="24"/>
        </w:rPr>
        <w:t>仍少于</w:t>
      </w:r>
      <w:r>
        <w:rPr>
          <w:rFonts w:hint="eastAsia" w:ascii="宋体" w:hAnsi="宋体" w:eastAsia="宋体" w:cs="宋体"/>
          <w:sz w:val="24"/>
          <w:szCs w:val="24"/>
          <w:lang w:val="en-US" w:eastAsia="zh-CN"/>
        </w:rPr>
        <w:t>3</w:t>
      </w:r>
      <w:r>
        <w:rPr>
          <w:rFonts w:hint="eastAsia" w:ascii="宋体" w:hAnsi="宋体" w:eastAsia="宋体" w:cs="宋体"/>
          <w:sz w:val="24"/>
          <w:szCs w:val="24"/>
        </w:rPr>
        <w:t>个或者所有投标被否决的，属于按照国家规定需要政府审批的项目，报项目审批或核准部门批准后可以不再进行招标。</w:t>
      </w:r>
      <w:bookmarkStart w:id="129" w:name="_Toc38145811"/>
      <w:bookmarkStart w:id="130" w:name="_Toc38145635"/>
      <w:bookmarkStart w:id="131" w:name="_Toc21276_WPSOffice_Level2"/>
      <w:bookmarkStart w:id="132" w:name="_Toc38145736"/>
    </w:p>
    <w:p w14:paraId="3FA693F7">
      <w:pPr>
        <w:keepNext w:val="0"/>
        <w:keepLines w:val="0"/>
        <w:widowControl w:val="0"/>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1"/>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b/>
          <w:sz w:val="24"/>
          <w:szCs w:val="24"/>
          <w:lang w:eastAsia="zh-CN"/>
        </w:rPr>
        <w:t>、</w:t>
      </w:r>
      <w:r>
        <w:rPr>
          <w:rFonts w:hint="eastAsia" w:ascii="宋体" w:hAnsi="宋体" w:eastAsia="宋体" w:cs="宋体"/>
          <w:b/>
          <w:sz w:val="24"/>
          <w:szCs w:val="24"/>
        </w:rPr>
        <w:t>纪律和监督</w:t>
      </w:r>
      <w:bookmarkEnd w:id="129"/>
      <w:bookmarkEnd w:id="130"/>
      <w:bookmarkEnd w:id="131"/>
      <w:bookmarkEnd w:id="132"/>
      <w:bookmarkStart w:id="133" w:name="_Toc38145737"/>
      <w:bookmarkStart w:id="134" w:name="_Toc38145812"/>
      <w:bookmarkStart w:id="135" w:name="_Toc38145636"/>
    </w:p>
    <w:p w14:paraId="7FB7E646">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9.1对采购人的纪律要求</w:t>
      </w:r>
      <w:bookmarkEnd w:id="133"/>
      <w:bookmarkEnd w:id="134"/>
      <w:bookmarkEnd w:id="135"/>
    </w:p>
    <w:p w14:paraId="0398D12A">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采购人不得泄漏招标活动中应当保密的情况和资料，不得与</w:t>
      </w:r>
      <w:r>
        <w:rPr>
          <w:rFonts w:hint="eastAsia" w:ascii="宋体" w:hAnsi="宋体" w:cs="宋体"/>
          <w:sz w:val="24"/>
          <w:szCs w:val="24"/>
          <w:lang w:eastAsia="zh-CN"/>
        </w:rPr>
        <w:t>响应人</w:t>
      </w:r>
      <w:r>
        <w:rPr>
          <w:rFonts w:hint="eastAsia" w:ascii="宋体" w:hAnsi="宋体" w:eastAsia="宋体" w:cs="宋体"/>
          <w:sz w:val="24"/>
          <w:szCs w:val="24"/>
        </w:rPr>
        <w:t>串通损害国家利益、社会公共利益或者他人合法权益。</w:t>
      </w:r>
    </w:p>
    <w:p w14:paraId="0790E51D">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36" w:name="_Toc38145738"/>
      <w:bookmarkStart w:id="137" w:name="_Toc38145813"/>
      <w:bookmarkStart w:id="138" w:name="_Toc38145637"/>
      <w:r>
        <w:rPr>
          <w:rFonts w:hint="eastAsia" w:ascii="宋体" w:hAnsi="宋体" w:eastAsia="宋体" w:cs="宋体"/>
          <w:b/>
          <w:bCs/>
          <w:sz w:val="24"/>
          <w:szCs w:val="24"/>
        </w:rPr>
        <w:t>9.2对</w:t>
      </w:r>
      <w:r>
        <w:rPr>
          <w:rFonts w:hint="eastAsia" w:ascii="宋体" w:hAnsi="宋体" w:cs="宋体"/>
          <w:b/>
          <w:bCs/>
          <w:sz w:val="24"/>
          <w:szCs w:val="24"/>
          <w:lang w:eastAsia="zh-CN"/>
        </w:rPr>
        <w:t>响应人</w:t>
      </w:r>
      <w:r>
        <w:rPr>
          <w:rFonts w:hint="eastAsia" w:ascii="宋体" w:hAnsi="宋体" w:eastAsia="宋体" w:cs="宋体"/>
          <w:b/>
          <w:bCs/>
          <w:sz w:val="24"/>
          <w:szCs w:val="24"/>
        </w:rPr>
        <w:t>的纪律要求</w:t>
      </w:r>
      <w:bookmarkEnd w:id="136"/>
      <w:bookmarkEnd w:id="137"/>
      <w:bookmarkEnd w:id="138"/>
    </w:p>
    <w:p w14:paraId="6288CD3F">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cs="宋体"/>
          <w:sz w:val="24"/>
          <w:szCs w:val="24"/>
          <w:lang w:eastAsia="zh-CN"/>
        </w:rPr>
        <w:t>响应人</w:t>
      </w:r>
      <w:r>
        <w:rPr>
          <w:rFonts w:hint="eastAsia" w:ascii="宋体" w:hAnsi="宋体" w:eastAsia="宋体" w:cs="宋体"/>
          <w:sz w:val="24"/>
          <w:szCs w:val="24"/>
        </w:rPr>
        <w:t>不得相互串通投标或者与采购人串通投标，不得向采购人或者</w:t>
      </w:r>
      <w:r>
        <w:rPr>
          <w:rFonts w:hint="eastAsia" w:ascii="宋体" w:hAnsi="宋体" w:eastAsia="宋体" w:cs="宋体"/>
          <w:sz w:val="24"/>
          <w:szCs w:val="24"/>
          <w:lang w:eastAsia="zh-CN"/>
        </w:rPr>
        <w:t>磋商小组</w:t>
      </w:r>
      <w:r>
        <w:rPr>
          <w:rFonts w:hint="eastAsia" w:ascii="宋体" w:hAnsi="宋体" w:eastAsia="宋体" w:cs="宋体"/>
          <w:sz w:val="24"/>
          <w:szCs w:val="24"/>
        </w:rPr>
        <w:t>成员行贿谋取中不得以他人名义投标或者以其他方式弄虚作假骗取中标；</w:t>
      </w:r>
      <w:r>
        <w:rPr>
          <w:rFonts w:hint="eastAsia" w:ascii="宋体" w:hAnsi="宋体" w:cs="宋体"/>
          <w:sz w:val="24"/>
          <w:szCs w:val="24"/>
          <w:lang w:eastAsia="zh-CN"/>
        </w:rPr>
        <w:t>响应人</w:t>
      </w:r>
      <w:r>
        <w:rPr>
          <w:rFonts w:hint="eastAsia" w:ascii="宋体" w:hAnsi="宋体" w:eastAsia="宋体" w:cs="宋体"/>
          <w:sz w:val="24"/>
          <w:szCs w:val="24"/>
        </w:rPr>
        <w:t>不得以任何方式干扰、影响评标工作。</w:t>
      </w:r>
    </w:p>
    <w:p w14:paraId="4723BC1E">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39" w:name="_Toc38145814"/>
      <w:bookmarkStart w:id="140" w:name="_Toc38145739"/>
      <w:bookmarkStart w:id="141" w:name="_Toc38145638"/>
      <w:r>
        <w:rPr>
          <w:rFonts w:hint="eastAsia" w:ascii="宋体" w:hAnsi="宋体" w:eastAsia="宋体" w:cs="宋体"/>
          <w:b/>
          <w:bCs/>
          <w:sz w:val="24"/>
          <w:szCs w:val="24"/>
        </w:rPr>
        <w:t>9.3对</w:t>
      </w:r>
      <w:r>
        <w:rPr>
          <w:rFonts w:hint="eastAsia" w:ascii="宋体" w:hAnsi="宋体" w:eastAsia="宋体" w:cs="宋体"/>
          <w:b/>
          <w:bCs/>
          <w:sz w:val="24"/>
          <w:szCs w:val="24"/>
          <w:lang w:eastAsia="zh-CN"/>
        </w:rPr>
        <w:t>磋商小组</w:t>
      </w:r>
      <w:r>
        <w:rPr>
          <w:rFonts w:hint="eastAsia" w:ascii="宋体" w:hAnsi="宋体" w:eastAsia="宋体" w:cs="宋体"/>
          <w:b/>
          <w:bCs/>
          <w:sz w:val="24"/>
          <w:szCs w:val="24"/>
        </w:rPr>
        <w:t>成员的纪律要求</w:t>
      </w:r>
      <w:bookmarkEnd w:id="139"/>
      <w:bookmarkEnd w:id="140"/>
      <w:bookmarkEnd w:id="141"/>
    </w:p>
    <w:p w14:paraId="7115F9AC">
      <w:pPr>
        <w:keepNext w:val="0"/>
        <w:keepLines w:val="0"/>
        <w:widowControl w:val="0"/>
        <w:kinsoku/>
        <w:wordWrap/>
        <w:overflowPunct w:val="0"/>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磋商小组</w:t>
      </w:r>
      <w:r>
        <w:rPr>
          <w:rFonts w:hint="eastAsia" w:ascii="宋体" w:hAnsi="宋体" w:eastAsia="宋体" w:cs="宋体"/>
          <w:sz w:val="24"/>
          <w:szCs w:val="24"/>
        </w:rPr>
        <w:t>成员不得收受他人的财物或者其他好处，不得向他人透漏对响应文件的评标和比较、中标候选人的推荐情况以及评标有关的其他情况。在评标活动中，</w:t>
      </w:r>
      <w:r>
        <w:rPr>
          <w:rFonts w:hint="eastAsia" w:ascii="宋体" w:hAnsi="宋体" w:eastAsia="宋体" w:cs="宋体"/>
          <w:sz w:val="24"/>
          <w:szCs w:val="24"/>
          <w:lang w:eastAsia="zh-CN"/>
        </w:rPr>
        <w:t>磋商小组</w:t>
      </w:r>
      <w:r>
        <w:rPr>
          <w:rFonts w:hint="eastAsia" w:ascii="宋体" w:hAnsi="宋体" w:eastAsia="宋体" w:cs="宋体"/>
          <w:sz w:val="24"/>
          <w:szCs w:val="24"/>
        </w:rPr>
        <w:t>成员不得擅离职守，影响评标程序正常进行，不得使用第三章“评标办法”没有规定的评标因素和标准进行评标。</w:t>
      </w:r>
    </w:p>
    <w:p w14:paraId="79EF6983">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42" w:name="_Toc38145740"/>
      <w:bookmarkStart w:id="143" w:name="_Toc38145639"/>
      <w:bookmarkStart w:id="144" w:name="_Toc38145815"/>
      <w:r>
        <w:rPr>
          <w:rFonts w:hint="eastAsia" w:ascii="宋体" w:hAnsi="宋体" w:eastAsia="宋体" w:cs="宋体"/>
          <w:b/>
          <w:bCs/>
          <w:sz w:val="24"/>
          <w:szCs w:val="24"/>
        </w:rPr>
        <w:t>9.4对与评标活动有关的工作人员的纪律要求</w:t>
      </w:r>
      <w:bookmarkEnd w:id="142"/>
      <w:bookmarkEnd w:id="143"/>
      <w:bookmarkEnd w:id="144"/>
    </w:p>
    <w:p w14:paraId="19FD6209">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漏对响应文件的评标和比较、中标候选人的推荐情况以及评标有关的其他情况。在评标活动中，与评标活动有关的工作人员不得擅离职守，影响评标程序正常进行。</w:t>
      </w:r>
    </w:p>
    <w:p w14:paraId="21FA4461">
      <w:pPr>
        <w:keepNext w:val="0"/>
        <w:keepLines w:val="0"/>
        <w:widowControl w:val="0"/>
        <w:tabs>
          <w:tab w:val="left" w:pos="362"/>
        </w:tabs>
        <w:kinsoku/>
        <w:wordWrap/>
        <w:overflowPunct w:val="0"/>
        <w:topLinePunct w:val="0"/>
        <w:autoSpaceDE/>
        <w:autoSpaceDN/>
        <w:bidi w:val="0"/>
        <w:adjustRightInd w:val="0"/>
        <w:snapToGrid w:val="0"/>
        <w:spacing w:line="520" w:lineRule="exact"/>
        <w:ind w:left="0" w:leftChars="0" w:firstLine="422" w:firstLineChars="175"/>
        <w:jc w:val="both"/>
        <w:textAlignment w:val="auto"/>
        <w:outlineLvl w:val="2"/>
        <w:rPr>
          <w:rFonts w:hint="eastAsia" w:ascii="宋体" w:hAnsi="宋体" w:eastAsia="宋体" w:cs="宋体"/>
          <w:b/>
          <w:bCs/>
          <w:sz w:val="24"/>
          <w:szCs w:val="24"/>
        </w:rPr>
      </w:pPr>
      <w:bookmarkStart w:id="145" w:name="_Toc38145816"/>
      <w:bookmarkStart w:id="146" w:name="_Toc38145741"/>
      <w:bookmarkStart w:id="147" w:name="_Toc38145640"/>
      <w:r>
        <w:rPr>
          <w:rFonts w:hint="eastAsia" w:ascii="宋体" w:hAnsi="宋体" w:eastAsia="宋体" w:cs="宋体"/>
          <w:b/>
          <w:bCs/>
          <w:sz w:val="24"/>
          <w:szCs w:val="24"/>
        </w:rPr>
        <w:t>9.5投诉</w:t>
      </w:r>
      <w:bookmarkEnd w:id="145"/>
      <w:bookmarkEnd w:id="146"/>
      <w:bookmarkEnd w:id="147"/>
    </w:p>
    <w:p w14:paraId="471CC814">
      <w:pPr>
        <w:keepNext w:val="0"/>
        <w:keepLines w:val="0"/>
        <w:widowControl w:val="0"/>
        <w:kinsoku/>
        <w:wordWrap/>
        <w:topLinePunct w:val="0"/>
        <w:autoSpaceDE/>
        <w:autoSpaceDN/>
        <w:bidi w:val="0"/>
        <w:adjustRightInd w:val="0"/>
        <w:snapToGrid w:val="0"/>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响应人</w:t>
      </w:r>
      <w:r>
        <w:rPr>
          <w:rFonts w:hint="eastAsia" w:ascii="宋体" w:hAnsi="宋体" w:eastAsia="宋体" w:cs="宋体"/>
          <w:sz w:val="24"/>
          <w:szCs w:val="24"/>
        </w:rPr>
        <w:t>和其他利害关系人认为本次采购活动违反法律、法规和规章规定的，有权向有关行政监督部门投诉。</w:t>
      </w:r>
      <w:bookmarkStart w:id="148" w:name="_Toc38145642"/>
      <w:bookmarkStart w:id="149" w:name="_Toc38145818"/>
      <w:bookmarkStart w:id="150" w:name="_Toc38145743"/>
      <w:bookmarkStart w:id="151" w:name="_Toc8983_WPSOffice_Level2"/>
    </w:p>
    <w:bookmarkEnd w:id="148"/>
    <w:bookmarkEnd w:id="149"/>
    <w:bookmarkEnd w:id="150"/>
    <w:bookmarkEnd w:id="151"/>
    <w:p w14:paraId="3CEE50E0">
      <w:pPr>
        <w:jc w:val="center"/>
        <w:rPr>
          <w:rFonts w:hint="eastAsia"/>
          <w:b/>
          <w:color w:val="auto"/>
          <w:sz w:val="24"/>
        </w:rPr>
      </w:pPr>
    </w:p>
    <w:p w14:paraId="2A1C8640">
      <w:pPr>
        <w:spacing w:line="480" w:lineRule="exact"/>
        <w:rPr>
          <w:b/>
          <w:color w:val="auto"/>
          <w:sz w:val="24"/>
        </w:rPr>
      </w:pPr>
      <w:r>
        <w:rPr>
          <w:b/>
          <w:color w:val="auto"/>
          <w:sz w:val="24"/>
        </w:rPr>
        <w:t xml:space="preserve"> </w:t>
      </w:r>
    </w:p>
    <w:p w14:paraId="0DBAEB19">
      <w:pPr>
        <w:pStyle w:val="19"/>
        <w:rPr>
          <w:b/>
          <w:color w:val="auto"/>
          <w:sz w:val="24"/>
        </w:rPr>
      </w:pPr>
    </w:p>
    <w:p w14:paraId="762DE51E">
      <w:pPr>
        <w:rPr>
          <w:b/>
          <w:color w:val="auto"/>
          <w:sz w:val="24"/>
        </w:rPr>
      </w:pPr>
    </w:p>
    <w:p w14:paraId="497132E5">
      <w:pPr>
        <w:pStyle w:val="19"/>
        <w:rPr>
          <w:b/>
          <w:color w:val="auto"/>
          <w:sz w:val="24"/>
        </w:rPr>
      </w:pPr>
    </w:p>
    <w:p w14:paraId="27F5866E">
      <w:pPr>
        <w:rPr>
          <w:b/>
          <w:color w:val="auto"/>
          <w:sz w:val="24"/>
        </w:rPr>
      </w:pPr>
    </w:p>
    <w:p w14:paraId="690F8EAC">
      <w:pPr>
        <w:pStyle w:val="19"/>
        <w:rPr>
          <w:b/>
          <w:color w:val="auto"/>
          <w:sz w:val="24"/>
        </w:rPr>
      </w:pPr>
    </w:p>
    <w:p w14:paraId="7D8BDEC4">
      <w:pPr>
        <w:rPr>
          <w:b/>
          <w:color w:val="auto"/>
          <w:sz w:val="24"/>
        </w:rPr>
      </w:pPr>
    </w:p>
    <w:p w14:paraId="2990AFC5">
      <w:pPr>
        <w:pStyle w:val="19"/>
        <w:rPr>
          <w:b/>
          <w:color w:val="auto"/>
          <w:sz w:val="24"/>
        </w:rPr>
      </w:pPr>
    </w:p>
    <w:p w14:paraId="217B9993">
      <w:pPr>
        <w:rPr>
          <w:color w:val="auto"/>
        </w:rPr>
      </w:pPr>
    </w:p>
    <w:p w14:paraId="4B195D7E">
      <w:pPr>
        <w:rPr>
          <w:rFonts w:hint="eastAsia" w:ascii="宋体" w:hAnsi="宋体" w:cs="宋体"/>
          <w:b/>
          <w:color w:val="auto"/>
          <w:sz w:val="24"/>
          <w:szCs w:val="24"/>
        </w:rPr>
      </w:pPr>
      <w:r>
        <w:rPr>
          <w:rFonts w:hint="eastAsia" w:ascii="宋体" w:hAnsi="宋体" w:cs="宋体"/>
          <w:b/>
          <w:color w:val="auto"/>
          <w:sz w:val="24"/>
          <w:szCs w:val="24"/>
        </w:rPr>
        <w:br w:type="page"/>
      </w:r>
    </w:p>
    <w:p w14:paraId="18C0AFDE">
      <w:pPr>
        <w:spacing w:line="480" w:lineRule="exact"/>
        <w:rPr>
          <w:rFonts w:ascii="宋体" w:hAnsi="宋体" w:cs="宋体"/>
          <w:b/>
          <w:color w:val="auto"/>
          <w:sz w:val="24"/>
          <w:szCs w:val="24"/>
        </w:rPr>
      </w:pPr>
      <w:r>
        <w:rPr>
          <w:rFonts w:hint="eastAsia" w:ascii="宋体" w:hAnsi="宋体" w:cs="宋体"/>
          <w:b/>
          <w:color w:val="auto"/>
          <w:sz w:val="24"/>
          <w:szCs w:val="24"/>
        </w:rPr>
        <w:t>附件1：质疑函范本</w:t>
      </w:r>
    </w:p>
    <w:p w14:paraId="75B55226">
      <w:pPr>
        <w:spacing w:line="480" w:lineRule="exact"/>
        <w:jc w:val="center"/>
        <w:rPr>
          <w:rFonts w:ascii="宋体" w:hAnsi="宋体" w:cs="宋体"/>
          <w:b/>
          <w:bCs/>
          <w:color w:val="auto"/>
          <w:sz w:val="24"/>
          <w:szCs w:val="24"/>
        </w:rPr>
      </w:pPr>
      <w:r>
        <w:rPr>
          <w:rFonts w:hint="eastAsia" w:ascii="宋体" w:hAnsi="宋体" w:cs="宋体"/>
          <w:b/>
          <w:bCs/>
          <w:color w:val="auto"/>
          <w:sz w:val="24"/>
          <w:szCs w:val="24"/>
        </w:rPr>
        <w:t>质疑函范本</w:t>
      </w:r>
    </w:p>
    <w:p w14:paraId="54732B66">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一、质疑供应商基本信息</w:t>
      </w:r>
    </w:p>
    <w:p w14:paraId="30F16A4F">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质疑供应商：                                        </w:t>
      </w:r>
    </w:p>
    <w:p w14:paraId="07110A5B">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地址：                          邮编：                                 </w:t>
      </w:r>
    </w:p>
    <w:p w14:paraId="6C50F9D9">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联系人：                      联系电话：                              </w:t>
      </w:r>
    </w:p>
    <w:p w14:paraId="2B77A250">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授权代表：                                          </w:t>
      </w:r>
    </w:p>
    <w:p w14:paraId="16E08C2E">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联系电话：                                            </w:t>
      </w:r>
    </w:p>
    <w:p w14:paraId="267B683C">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地址：                         邮编：                                       </w:t>
      </w:r>
    </w:p>
    <w:p w14:paraId="6B861538">
      <w:pPr>
        <w:spacing w:line="480" w:lineRule="exact"/>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二、质疑项目基本情况</w:t>
      </w:r>
    </w:p>
    <w:p w14:paraId="5D9A9496">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质疑项目的名称：                                      </w:t>
      </w:r>
    </w:p>
    <w:p w14:paraId="2438C89A">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质疑项目的编号：               包号：                 </w:t>
      </w:r>
    </w:p>
    <w:p w14:paraId="14DDCD56">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采购人名称：                                         </w:t>
      </w:r>
    </w:p>
    <w:p w14:paraId="00A870A4">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磋商文件获取日期：                                           </w:t>
      </w:r>
    </w:p>
    <w:p w14:paraId="19473CD5">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三、质疑事项具体内容</w:t>
      </w:r>
    </w:p>
    <w:p w14:paraId="7C88CEFF">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质疑事项1：                                         </w:t>
      </w:r>
    </w:p>
    <w:p w14:paraId="1E6A1059">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事实依据：                                          </w:t>
      </w:r>
    </w:p>
    <w:p w14:paraId="058B98E8">
      <w:pPr>
        <w:spacing w:line="480" w:lineRule="exact"/>
        <w:ind w:firstLine="480" w:firstLineChars="200"/>
        <w:rPr>
          <w:rFonts w:ascii="宋体" w:hAnsi="宋体" w:cs="宋体"/>
          <w:color w:val="auto"/>
          <w:kern w:val="0"/>
          <w:sz w:val="24"/>
          <w:szCs w:val="24"/>
        </w:rPr>
      </w:pPr>
    </w:p>
    <w:p w14:paraId="29C21831">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法律依据：                                          </w:t>
      </w:r>
    </w:p>
    <w:p w14:paraId="30F627FD">
      <w:pPr>
        <w:spacing w:line="480" w:lineRule="exact"/>
        <w:ind w:firstLine="480" w:firstLineChars="200"/>
        <w:rPr>
          <w:rFonts w:ascii="宋体" w:hAnsi="宋体" w:cs="宋体"/>
          <w:color w:val="auto"/>
          <w:kern w:val="0"/>
          <w:sz w:val="24"/>
          <w:szCs w:val="24"/>
        </w:rPr>
      </w:pPr>
    </w:p>
    <w:p w14:paraId="522E3F38">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质疑事项2</w:t>
      </w:r>
    </w:p>
    <w:p w14:paraId="2332C983">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w:t>
      </w:r>
    </w:p>
    <w:p w14:paraId="71E83CFA">
      <w:pPr>
        <w:spacing w:line="480" w:lineRule="exact"/>
        <w:ind w:firstLine="480" w:firstLineChars="200"/>
        <w:rPr>
          <w:rFonts w:ascii="宋体" w:hAnsi="宋体" w:cs="宋体"/>
          <w:bCs/>
          <w:color w:val="auto"/>
          <w:kern w:val="0"/>
          <w:sz w:val="24"/>
          <w:szCs w:val="24"/>
        </w:rPr>
      </w:pPr>
      <w:r>
        <w:rPr>
          <w:rFonts w:hint="eastAsia" w:ascii="宋体" w:hAnsi="宋体" w:cs="宋体"/>
          <w:bCs/>
          <w:color w:val="auto"/>
          <w:kern w:val="0"/>
          <w:sz w:val="24"/>
          <w:szCs w:val="24"/>
        </w:rPr>
        <w:t>四、与质疑事项相关的质疑请求</w:t>
      </w:r>
    </w:p>
    <w:p w14:paraId="733E949A">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请求：                                               </w:t>
      </w:r>
    </w:p>
    <w:p w14:paraId="3563A453">
      <w:pPr>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签字(签章)：                   公章：                      </w:t>
      </w:r>
    </w:p>
    <w:p w14:paraId="23459B05">
      <w:pPr>
        <w:pStyle w:val="18"/>
        <w:ind w:left="63" w:right="63" w:firstLine="210"/>
        <w:rPr>
          <w:color w:val="auto"/>
        </w:rPr>
      </w:pPr>
    </w:p>
    <w:p w14:paraId="52B32DF1">
      <w:pPr>
        <w:rPr>
          <w:rStyle w:val="39"/>
          <w:rFonts w:hint="eastAsia"/>
          <w:b/>
          <w:color w:val="auto"/>
          <w:sz w:val="36"/>
          <w:szCs w:val="21"/>
        </w:rPr>
      </w:pPr>
      <w:bookmarkStart w:id="152" w:name="_Toc9750"/>
      <w:bookmarkStart w:id="153" w:name="_Toc455333415"/>
    </w:p>
    <w:bookmarkEnd w:id="152"/>
    <w:p w14:paraId="7864E375">
      <w:pPr>
        <w:pStyle w:val="38"/>
        <w:ind w:right="-340" w:rightChars="-162"/>
        <w:rPr>
          <w:rFonts w:hAnsi="宋体"/>
          <w:b/>
          <w:color w:val="auto"/>
          <w:sz w:val="32"/>
          <w:szCs w:val="32"/>
        </w:rPr>
      </w:pPr>
      <w:r>
        <w:rPr>
          <w:color w:val="auto"/>
        </w:rPr>
        <w:br w:type="page"/>
      </w:r>
    </w:p>
    <w:p w14:paraId="7A47FFC6">
      <w:pPr>
        <w:pStyle w:val="4"/>
        <w:ind w:right="-340" w:rightChars="-162"/>
        <w:jc w:val="center"/>
        <w:rPr>
          <w:rStyle w:val="39"/>
          <w:rFonts w:hint="eastAsia"/>
          <w:b/>
          <w:color w:val="auto"/>
          <w:sz w:val="40"/>
          <w:szCs w:val="22"/>
        </w:rPr>
        <w:sectPr>
          <w:headerReference r:id="rId8" w:type="default"/>
          <w:footerReference r:id="rId9" w:type="default"/>
          <w:pgSz w:w="11900" w:h="16840"/>
          <w:pgMar w:top="1304" w:right="1361" w:bottom="1304" w:left="1361" w:header="0" w:footer="0" w:gutter="0"/>
          <w:pgNumType w:fmt="decimal"/>
          <w:cols w:space="720" w:num="1"/>
          <w:docGrid w:linePitch="360" w:charSpace="0"/>
        </w:sectPr>
      </w:pPr>
      <w:bookmarkStart w:id="154" w:name="_Toc26616"/>
      <w:bookmarkStart w:id="155" w:name="_Toc25553"/>
      <w:bookmarkStart w:id="156" w:name="_Toc9509"/>
    </w:p>
    <w:p w14:paraId="29BA88F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0" w:lineRule="atLeast"/>
        <w:ind w:left="0" w:right="0" w:firstLine="0"/>
        <w:jc w:val="left"/>
        <w:rPr>
          <w:rFonts w:hint="eastAsia" w:ascii="宋体" w:hAnsi="Courier New" w:cs="Courier New"/>
          <w:b/>
          <w:bCs/>
          <w:color w:val="auto"/>
          <w:kern w:val="2"/>
          <w:sz w:val="32"/>
          <w:szCs w:val="32"/>
          <w:highlight w:val="none"/>
          <w:lang w:val="en-US" w:eastAsia="zh-CN" w:bidi="ar-SA"/>
        </w:rPr>
      </w:pPr>
      <w:r>
        <w:rPr>
          <w:rFonts w:hint="eastAsia" w:cs="仿宋_GB2312"/>
          <w:b/>
          <w:bCs/>
          <w:color w:val="auto"/>
          <w:kern w:val="0"/>
          <w:sz w:val="21"/>
          <w:szCs w:val="21"/>
          <w:highlight w:val="none"/>
          <w:lang w:val="en-US" w:eastAsia="zh-CN"/>
        </w:rPr>
        <w:t>附件2</w:t>
      </w:r>
      <w:r>
        <w:rPr>
          <w:rFonts w:hint="eastAsia" w:ascii="宋体" w:hAnsi="宋体" w:cs="仿宋_GB2312"/>
          <w:b/>
          <w:bCs/>
          <w:color w:val="auto"/>
          <w:kern w:val="0"/>
          <w:sz w:val="21"/>
          <w:szCs w:val="21"/>
          <w:highlight w:val="none"/>
          <w:lang w:eastAsia="zh-CN"/>
        </w:rPr>
        <w:t>：</w:t>
      </w:r>
    </w:p>
    <w:p w14:paraId="62AA393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0" w:lineRule="atLeast"/>
        <w:ind w:left="0" w:right="0" w:firstLine="0"/>
        <w:jc w:val="center"/>
        <w:rPr>
          <w:rFonts w:hint="eastAsia" w:ascii="宋体" w:hAnsi="宋体" w:eastAsia="宋体" w:cs="宋体"/>
          <w:b/>
          <w:bCs/>
          <w:i w:val="0"/>
          <w:caps w:val="0"/>
          <w:color w:val="333333"/>
          <w:spacing w:val="8"/>
          <w:sz w:val="28"/>
          <w:szCs w:val="28"/>
          <w:highlight w:val="none"/>
          <w:shd w:val="clear" w:color="auto" w:fill="FFFFFF"/>
        </w:rPr>
      </w:pPr>
      <w:r>
        <w:rPr>
          <w:rFonts w:hint="eastAsia" w:ascii="宋体" w:hAnsi="宋体" w:eastAsia="宋体" w:cs="宋体"/>
          <w:b/>
          <w:bCs/>
          <w:i w:val="0"/>
          <w:caps w:val="0"/>
          <w:color w:val="333333"/>
          <w:spacing w:val="8"/>
          <w:sz w:val="28"/>
          <w:szCs w:val="28"/>
          <w:highlight w:val="none"/>
          <w:shd w:val="clear" w:color="auto" w:fill="FFFFFF"/>
        </w:rPr>
        <w:t>统计上大中小微型企业划分标准</w:t>
      </w:r>
    </w:p>
    <w:tbl>
      <w:tblPr>
        <w:tblStyle w:val="20"/>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76"/>
        <w:gridCol w:w="1473"/>
        <w:gridCol w:w="872"/>
        <w:gridCol w:w="1241"/>
        <w:gridCol w:w="1882"/>
        <w:gridCol w:w="1644"/>
        <w:gridCol w:w="1067"/>
      </w:tblGrid>
      <w:tr w14:paraId="400F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1976"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1221C1C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行业名称</w:t>
            </w:r>
          </w:p>
        </w:tc>
        <w:tc>
          <w:tcPr>
            <w:tcW w:w="147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15DE0F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指标名称</w:t>
            </w:r>
          </w:p>
        </w:tc>
        <w:tc>
          <w:tcPr>
            <w:tcW w:w="87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EFF74A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23"/>
                <w:rFonts w:hint="eastAsia" w:ascii="宋体" w:hAnsi="宋体" w:eastAsia="宋体" w:cs="宋体"/>
                <w:i w:val="0"/>
                <w:caps w:val="0"/>
                <w:color w:val="FFFFFF"/>
                <w:spacing w:val="8"/>
                <w:sz w:val="20"/>
                <w:szCs w:val="20"/>
                <w:highlight w:val="none"/>
              </w:rPr>
            </w:pPr>
            <w:r>
              <w:rPr>
                <w:rStyle w:val="23"/>
                <w:rFonts w:hint="eastAsia" w:ascii="宋体" w:hAnsi="宋体" w:eastAsia="宋体" w:cs="宋体"/>
                <w:i w:val="0"/>
                <w:caps w:val="0"/>
                <w:color w:val="FFFFFF"/>
                <w:spacing w:val="8"/>
                <w:sz w:val="20"/>
                <w:szCs w:val="20"/>
                <w:highlight w:val="none"/>
              </w:rPr>
              <w:t>计量</w:t>
            </w:r>
          </w:p>
          <w:p w14:paraId="7787AC1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单位</w:t>
            </w:r>
          </w:p>
        </w:tc>
        <w:tc>
          <w:tcPr>
            <w:tcW w:w="1241"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DF42F0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大型</w:t>
            </w:r>
          </w:p>
        </w:tc>
        <w:tc>
          <w:tcPr>
            <w:tcW w:w="188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8D7E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中型</w:t>
            </w:r>
          </w:p>
        </w:tc>
        <w:tc>
          <w:tcPr>
            <w:tcW w:w="1644"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372DB7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7C8C0F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sz w:val="20"/>
                <w:szCs w:val="20"/>
                <w:highlight w:val="none"/>
              </w:rPr>
            </w:pPr>
            <w:r>
              <w:rPr>
                <w:rStyle w:val="23"/>
                <w:rFonts w:hint="eastAsia" w:ascii="宋体" w:hAnsi="宋体" w:eastAsia="宋体" w:cs="宋体"/>
                <w:i w:val="0"/>
                <w:caps w:val="0"/>
                <w:color w:val="FFFFFF"/>
                <w:spacing w:val="8"/>
                <w:sz w:val="20"/>
                <w:szCs w:val="20"/>
                <w:highlight w:val="none"/>
              </w:rPr>
              <w:t>微型</w:t>
            </w:r>
          </w:p>
        </w:tc>
      </w:tr>
      <w:tr w14:paraId="0694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B08AA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农、林、牧、渔业</w:t>
            </w: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6677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D8EA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EC64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Y≥20000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DA14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500≤Y＜20000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943B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DCF6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Y＜50</w:t>
            </w:r>
          </w:p>
        </w:tc>
      </w:tr>
      <w:tr w14:paraId="48A2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D1CC26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工业 *</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797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B310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6070F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ECA6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300≤X＜1000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F723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F86D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w:t>
            </w:r>
          </w:p>
        </w:tc>
      </w:tr>
      <w:tr w14:paraId="43F4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CD4090">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E12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A05F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A85B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Y≥40000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085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2000≤Y＜40000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EC9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32D2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Y＜300</w:t>
            </w:r>
          </w:p>
        </w:tc>
      </w:tr>
      <w:tr w14:paraId="55D9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EEA19B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建筑业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AA7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21A4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366A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Y≥80000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0A3B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6000≤Y＜80000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F049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300≤Y＜6000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1CAF7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Y＜300</w:t>
            </w:r>
          </w:p>
        </w:tc>
      </w:tr>
      <w:tr w14:paraId="6DBB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BE0BCE">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19B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资产总额(Z)</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62CE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6440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Z≥80000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3A7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5000≤Z＜80000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D0EE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300≤Z＜5000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5515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Z＜300</w:t>
            </w:r>
          </w:p>
        </w:tc>
      </w:tr>
      <w:tr w14:paraId="6604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5A07A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批发业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F74F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5F4E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9A94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781F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20≤X＜200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6CBD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5≤X＜20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164A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X＜5</w:t>
            </w:r>
          </w:p>
        </w:tc>
      </w:tr>
      <w:tr w14:paraId="2B6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2A902B">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2227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A4EC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8A44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Y≥40000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8C1A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5000≤Y＜40000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3F41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1000≤Y＜5000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40EC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Y＜1000</w:t>
            </w:r>
          </w:p>
        </w:tc>
      </w:tr>
      <w:tr w14:paraId="18CA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7BFDE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零售业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1066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347E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77FA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7D10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AC12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10≤X＜50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23B06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6F19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1008F8A">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53C2D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153D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ABF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Y≥20000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ACF4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500≤Y＜20000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578B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100≤Y＜500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2283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0DD0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02546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交通运输业 *</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820C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6E3A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8D09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727A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300≤X＜1000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648A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75E79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w:t>
            </w:r>
          </w:p>
        </w:tc>
      </w:tr>
      <w:tr w14:paraId="72F2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02190A">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1FE4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EEFC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863E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Y≥30000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845D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3000≤Y＜30000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9C5C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200≤Y＜3000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71AB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Y＜200</w:t>
            </w:r>
          </w:p>
        </w:tc>
      </w:tr>
      <w:tr w14:paraId="5CD6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8B5B8B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仓储业*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933E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7DD4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22D7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E478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100≤X＜200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304B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98F9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w:t>
            </w:r>
          </w:p>
        </w:tc>
      </w:tr>
      <w:tr w14:paraId="0B83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89A2868">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DC15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0FB2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E3B4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Y≥30000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080C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1000≤Y＜30000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B0EA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27AA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74B1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EB7AE3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邮政业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B023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A6CE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7BA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0A57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300≤X＜1000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2F40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EF9D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w:t>
            </w:r>
          </w:p>
        </w:tc>
      </w:tr>
      <w:tr w14:paraId="2F58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453C4E1">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2944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158E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B7F17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Y≥30000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445E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2000≤Y＜30000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E878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CC37B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0F85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3AE5A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住宿业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1316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D012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B108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C4D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B9D4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6379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3797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898EE7">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8CD12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A4C1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0AA3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45BC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2000≤Y＜10000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20B8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41CE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4AB4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BC3ED7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餐饮业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19AE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E825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05BA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0CA0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760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44EE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4AB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634157D">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92843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3A8D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2FD7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A4FA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2000≤Y＜10000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DD9E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100≤Y＜2000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7D22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3E8F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2F3DCB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信息传输业 *</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6E02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0F32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54B2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X≥2000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E010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100≤X＜2000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9D76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FFCC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0A7B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602172">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088E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0BC7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5296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6B99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1000≤Y＜100000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0483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77E3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709E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5AE5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15"/>
                <w:sz w:val="20"/>
                <w:szCs w:val="20"/>
                <w:highlight w:val="none"/>
              </w:rPr>
              <w:t>软件和信息技术服</w:t>
            </w:r>
            <w:r>
              <w:rPr>
                <w:rFonts w:hint="eastAsia" w:ascii="宋体" w:hAnsi="宋体" w:eastAsia="宋体" w:cs="宋体"/>
                <w:b w:val="0"/>
                <w:i w:val="0"/>
                <w:caps w:val="0"/>
                <w:color w:val="000000"/>
                <w:spacing w:val="8"/>
                <w:sz w:val="20"/>
                <w:szCs w:val="20"/>
                <w:highlight w:val="none"/>
              </w:rPr>
              <w:t>务业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D371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ED0FD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A6AE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9896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A23C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132F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1BFE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7FAF4D6">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40A1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2F82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BADF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6618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1000≤Y＜10000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BE8D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274E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Y＜50</w:t>
            </w:r>
          </w:p>
        </w:tc>
      </w:tr>
      <w:tr w14:paraId="448D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25721A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房地产开发经营</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E3CF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0090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6DC7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Y≥200000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8014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1000≤Y＜200000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82AF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100≤Y＜1000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4068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Y＜100</w:t>
            </w:r>
          </w:p>
        </w:tc>
      </w:tr>
      <w:tr w14:paraId="1C8C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527F172">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8648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资产总额(Z)</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7EE4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97C2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Z≥10000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0CA5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5000≤Z＜10000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2026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lang w:eastAsia="zh-CN"/>
              </w:rPr>
            </w:pPr>
            <w:r>
              <w:rPr>
                <w:rFonts w:hint="eastAsia" w:ascii="宋体" w:hAnsi="宋体" w:eastAsia="宋体" w:cs="宋体"/>
                <w:b w:val="0"/>
                <w:i w:val="0"/>
                <w:caps w:val="0"/>
                <w:color w:val="000000"/>
                <w:spacing w:val="8"/>
                <w:sz w:val="20"/>
                <w:szCs w:val="20"/>
                <w:highlight w:val="none"/>
              </w:rPr>
              <w:t xml:space="preserve">2000≤Z＜500 </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3AA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Z＜2000</w:t>
            </w:r>
          </w:p>
        </w:tc>
      </w:tr>
      <w:tr w14:paraId="77E2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F21DF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物业管理</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57AA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E1A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85A8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BB1C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300≤X＜1000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6BE5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5AD8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X＜100</w:t>
            </w:r>
          </w:p>
        </w:tc>
      </w:tr>
      <w:tr w14:paraId="396E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42C97A3">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C1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营业收入(Y)</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41F3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B10C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Y≥5000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DADF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1000≤Y＜5000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B6307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500≤Y＜1000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674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Y＜500</w:t>
            </w:r>
          </w:p>
        </w:tc>
      </w:tr>
      <w:tr w14:paraId="4294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7A8546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租赁和商务服务业</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C4F4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D7E2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DB3F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EA0B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944D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EF8C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r w14:paraId="2D62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976"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4E0D500">
            <w:pPr>
              <w:jc w:val="both"/>
              <w:rPr>
                <w:rFonts w:hint="eastAsia" w:ascii="宋体" w:hAnsi="宋体" w:eastAsia="宋体" w:cs="宋体"/>
                <w:b w:val="0"/>
                <w:i w:val="0"/>
                <w:caps w:val="0"/>
                <w:color w:val="333333"/>
                <w:spacing w:val="8"/>
                <w:sz w:val="20"/>
                <w:szCs w:val="20"/>
                <w:highlight w:val="none"/>
              </w:rPr>
            </w:pPr>
          </w:p>
        </w:tc>
        <w:tc>
          <w:tcPr>
            <w:tcW w:w="147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A5DA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line="240" w:lineRule="atLeast"/>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资产总额(Z)</w:t>
            </w:r>
          </w:p>
        </w:tc>
        <w:tc>
          <w:tcPr>
            <w:tcW w:w="87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BC10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万元</w:t>
            </w:r>
          </w:p>
        </w:tc>
        <w:tc>
          <w:tcPr>
            <w:tcW w:w="1241"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1575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Z≥120000</w:t>
            </w:r>
          </w:p>
        </w:tc>
        <w:tc>
          <w:tcPr>
            <w:tcW w:w="188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AD1F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8000≤Z＜120000</w:t>
            </w:r>
          </w:p>
        </w:tc>
        <w:tc>
          <w:tcPr>
            <w:tcW w:w="16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F0C8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100≤Z＜8000</w:t>
            </w:r>
          </w:p>
        </w:tc>
        <w:tc>
          <w:tcPr>
            <w:tcW w:w="106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D847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Z＜100</w:t>
            </w:r>
          </w:p>
        </w:tc>
      </w:tr>
      <w:tr w14:paraId="584F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76"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2338B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both"/>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其他未列明行业 *</w:t>
            </w:r>
          </w:p>
        </w:tc>
        <w:tc>
          <w:tcPr>
            <w:tcW w:w="147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1FC6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从业人员(X)</w:t>
            </w:r>
          </w:p>
        </w:tc>
        <w:tc>
          <w:tcPr>
            <w:tcW w:w="87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E81A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人</w:t>
            </w:r>
          </w:p>
        </w:tc>
        <w:tc>
          <w:tcPr>
            <w:tcW w:w="1241"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8A024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X≥300</w:t>
            </w:r>
          </w:p>
        </w:tc>
        <w:tc>
          <w:tcPr>
            <w:tcW w:w="188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E0C5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100≤X＜300</w:t>
            </w:r>
          </w:p>
        </w:tc>
        <w:tc>
          <w:tcPr>
            <w:tcW w:w="1644"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8BE3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10≤X＜100</w:t>
            </w:r>
          </w:p>
        </w:tc>
        <w:tc>
          <w:tcPr>
            <w:tcW w:w="1067"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3B75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szCs w:val="20"/>
                <w:highlight w:val="none"/>
              </w:rPr>
            </w:pPr>
            <w:r>
              <w:rPr>
                <w:rFonts w:hint="eastAsia" w:ascii="宋体" w:hAnsi="宋体" w:eastAsia="宋体" w:cs="宋体"/>
                <w:b w:val="0"/>
                <w:i w:val="0"/>
                <w:caps w:val="0"/>
                <w:color w:val="000000"/>
                <w:spacing w:val="8"/>
                <w:sz w:val="20"/>
                <w:szCs w:val="20"/>
                <w:highlight w:val="none"/>
              </w:rPr>
              <w:t>X＜10</w:t>
            </w:r>
          </w:p>
        </w:tc>
      </w:tr>
    </w:tbl>
    <w:p w14:paraId="01D40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1"/>
          <w:szCs w:val="21"/>
          <w:highlight w:val="none"/>
        </w:rPr>
        <w:br w:type="page"/>
      </w:r>
      <w:r>
        <w:rPr>
          <w:rFonts w:hint="eastAsia" w:ascii="宋体" w:hAnsi="宋体" w:eastAsia="宋体" w:cs="宋体"/>
          <w:color w:val="auto"/>
          <w:spacing w:val="15"/>
          <w:sz w:val="24"/>
          <w:szCs w:val="24"/>
          <w:highlight w:val="none"/>
        </w:rPr>
        <w:t>说明：1.大型、中型和小型企业须</w:t>
      </w:r>
      <w:r>
        <w:rPr>
          <w:rFonts w:hint="eastAsia" w:ascii="宋体" w:hAnsi="宋体" w:eastAsia="宋体" w:cs="宋体"/>
          <w:b/>
          <w:bCs/>
          <w:color w:val="auto"/>
          <w:spacing w:val="15"/>
          <w:sz w:val="24"/>
          <w:szCs w:val="24"/>
          <w:highlight w:val="none"/>
        </w:rPr>
        <w:t>同时满足所列指标的下限</w:t>
      </w:r>
      <w:r>
        <w:rPr>
          <w:rFonts w:hint="eastAsia" w:ascii="宋体" w:hAnsi="宋体" w:eastAsia="宋体" w:cs="宋体"/>
          <w:color w:val="auto"/>
          <w:spacing w:val="15"/>
          <w:sz w:val="24"/>
          <w:szCs w:val="24"/>
          <w:highlight w:val="none"/>
        </w:rPr>
        <w:t>，否则下划一档；微型企业只须满足所列指标中的一项即可。</w:t>
      </w:r>
    </w:p>
    <w:p w14:paraId="11138A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b w:val="0"/>
          <w:bCs w:val="0"/>
          <w:color w:val="auto"/>
          <w:spacing w:val="15"/>
          <w:sz w:val="24"/>
          <w:szCs w:val="24"/>
          <w:highlight w:val="none"/>
        </w:rPr>
      </w:pPr>
      <w:r>
        <w:rPr>
          <w:rFonts w:hint="eastAsia" w:ascii="宋体" w:hAnsi="宋体" w:eastAsia="宋体" w:cs="宋体"/>
          <w:color w:val="auto"/>
          <w:spacing w:val="15"/>
          <w:sz w:val="24"/>
          <w:szCs w:val="24"/>
          <w:highlight w:val="none"/>
        </w:rPr>
        <w:t>附表中各行业的范围以《国民经济行业分类》（GB/T4754-2017）为准。</w:t>
      </w:r>
      <w:r>
        <w:rPr>
          <w:rFonts w:hint="eastAsia" w:ascii="宋体" w:hAnsi="宋体" w:eastAsia="宋体" w:cs="宋体"/>
          <w:b/>
          <w:bCs/>
          <w:color w:val="auto"/>
          <w:spacing w:val="15"/>
          <w:sz w:val="24"/>
          <w:szCs w:val="24"/>
          <w:highlight w:val="none"/>
        </w:rPr>
        <w:t>带*的项为行业组合类别</w:t>
      </w:r>
      <w:r>
        <w:rPr>
          <w:rFonts w:hint="eastAsia" w:ascii="宋体" w:hAnsi="宋体" w:eastAsia="宋体" w:cs="宋体"/>
          <w:color w:val="auto"/>
          <w:spacing w:val="15"/>
          <w:sz w:val="24"/>
          <w:szCs w:val="24"/>
          <w:highlight w:val="none"/>
        </w:rPr>
        <w:t>，其中，</w:t>
      </w:r>
      <w:r>
        <w:rPr>
          <w:rFonts w:hint="eastAsia" w:ascii="宋体" w:hAnsi="宋体" w:eastAsia="宋体" w:cs="宋体"/>
          <w:b w:val="0"/>
          <w:bCs w:val="0"/>
          <w:color w:val="auto"/>
          <w:spacing w:val="15"/>
          <w:sz w:val="24"/>
          <w:szCs w:val="24"/>
          <w:highlight w:val="none"/>
        </w:rPr>
        <w:t>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b w:val="0"/>
          <w:bCs w:val="0"/>
          <w:color w:val="auto"/>
          <w:spacing w:val="15"/>
          <w:sz w:val="24"/>
          <w:szCs w:val="24"/>
          <w:highlight w:val="none"/>
          <w:lang w:eastAsia="zh-CN"/>
        </w:rPr>
        <w:t>；</w:t>
      </w:r>
      <w:r>
        <w:rPr>
          <w:rFonts w:hint="eastAsia" w:ascii="宋体" w:hAnsi="宋体" w:eastAsia="宋体" w:cs="宋体"/>
          <w:b w:val="0"/>
          <w:bCs w:val="0"/>
          <w:color w:val="auto"/>
          <w:spacing w:val="15"/>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58BA8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企业划分指标以现行统计制度为准。</w:t>
      </w:r>
    </w:p>
    <w:p w14:paraId="69C09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color w:val="auto"/>
          <w:spacing w:val="15"/>
          <w:sz w:val="24"/>
          <w:szCs w:val="24"/>
          <w:highlight w:val="none"/>
        </w:rPr>
      </w:pPr>
      <w:r>
        <w:rPr>
          <w:rFonts w:hint="eastAsia" w:ascii="宋体" w:hAnsi="宋体" w:cs="宋体"/>
          <w:color w:val="auto"/>
          <w:spacing w:val="15"/>
          <w:sz w:val="24"/>
          <w:szCs w:val="24"/>
          <w:highlight w:val="none"/>
          <w:lang w:eastAsia="zh-CN"/>
        </w:rPr>
        <w:t>（</w:t>
      </w:r>
      <w:r>
        <w:rPr>
          <w:rFonts w:hint="eastAsia" w:ascii="宋体" w:hAnsi="宋体" w:cs="宋体"/>
          <w:color w:val="auto"/>
          <w:spacing w:val="15"/>
          <w:sz w:val="24"/>
          <w:szCs w:val="24"/>
          <w:highlight w:val="none"/>
          <w:lang w:val="en-US" w:eastAsia="zh-CN"/>
        </w:rPr>
        <w:t>1</w:t>
      </w:r>
      <w:r>
        <w:rPr>
          <w:rFonts w:hint="eastAsia" w:ascii="宋体" w:hAnsi="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从业人员，是指期末从业人员数，没有期末从业人员数的，采用全年平均人员数代替。</w:t>
      </w:r>
    </w:p>
    <w:p w14:paraId="6823F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color w:val="auto"/>
          <w:spacing w:val="15"/>
          <w:sz w:val="24"/>
          <w:szCs w:val="24"/>
          <w:highlight w:val="none"/>
        </w:rPr>
      </w:pPr>
      <w:r>
        <w:rPr>
          <w:rFonts w:hint="eastAsia" w:ascii="宋体" w:hAnsi="宋体" w:cs="宋体"/>
          <w:color w:val="auto"/>
          <w:spacing w:val="15"/>
          <w:sz w:val="24"/>
          <w:szCs w:val="24"/>
          <w:highlight w:val="none"/>
          <w:lang w:eastAsia="zh-CN"/>
        </w:rPr>
        <w:t>（</w:t>
      </w:r>
      <w:r>
        <w:rPr>
          <w:rFonts w:hint="eastAsia" w:ascii="宋体" w:hAnsi="宋体" w:cs="宋体"/>
          <w:color w:val="auto"/>
          <w:spacing w:val="15"/>
          <w:sz w:val="24"/>
          <w:szCs w:val="24"/>
          <w:highlight w:val="none"/>
          <w:lang w:val="en-US" w:eastAsia="zh-CN"/>
        </w:rPr>
        <w:t>2</w:t>
      </w:r>
      <w:r>
        <w:rPr>
          <w:rFonts w:hint="eastAsia" w:ascii="宋体" w:hAnsi="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9F4D0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（3）资产总额，采用资产总计代替。</w:t>
      </w:r>
    </w:p>
    <w:p w14:paraId="55125936">
      <w:pPr>
        <w:autoSpaceDE w:val="0"/>
        <w:autoSpaceDN w:val="0"/>
        <w:adjustRightInd w:val="0"/>
        <w:spacing w:line="420" w:lineRule="exact"/>
        <w:ind w:firstLine="422" w:firstLineChars="200"/>
        <w:jc w:val="left"/>
        <w:rPr>
          <w:rFonts w:hint="eastAsia" w:ascii="宋体" w:hAnsi="宋体" w:cs="仿宋_GB2312"/>
          <w:color w:val="auto"/>
          <w:kern w:val="0"/>
          <w:sz w:val="22"/>
          <w:szCs w:val="22"/>
          <w:highlight w:val="none"/>
          <w:lang w:eastAsia="zh-CN"/>
        </w:rPr>
      </w:pPr>
      <w:r>
        <w:rPr>
          <w:rFonts w:hint="eastAsia" w:cs="仿宋_GB2312"/>
          <w:b/>
          <w:bCs/>
          <w:color w:val="auto"/>
          <w:kern w:val="0"/>
          <w:szCs w:val="21"/>
          <w:highlight w:val="none"/>
          <w:lang w:val="en-US" w:eastAsia="zh-CN"/>
        </w:rPr>
        <w:br w:type="page"/>
      </w:r>
      <w:r>
        <w:rPr>
          <w:rFonts w:hint="eastAsia" w:cs="仿宋_GB2312"/>
          <w:b/>
          <w:bCs/>
          <w:color w:val="auto"/>
          <w:kern w:val="0"/>
          <w:sz w:val="24"/>
          <w:szCs w:val="24"/>
          <w:highlight w:val="none"/>
          <w:lang w:val="en-US" w:eastAsia="zh-CN"/>
        </w:rPr>
        <w:t>附件3</w:t>
      </w:r>
      <w:r>
        <w:rPr>
          <w:rFonts w:hint="eastAsia" w:ascii="宋体" w:hAnsi="宋体" w:cs="仿宋_GB2312"/>
          <w:b/>
          <w:bCs/>
          <w:color w:val="auto"/>
          <w:kern w:val="0"/>
          <w:sz w:val="24"/>
          <w:szCs w:val="24"/>
          <w:highlight w:val="none"/>
          <w:lang w:eastAsia="zh-CN"/>
        </w:rPr>
        <w:t>：</w:t>
      </w:r>
    </w:p>
    <w:p w14:paraId="173CA2BC">
      <w:pPr>
        <w:autoSpaceDE w:val="0"/>
        <w:autoSpaceDN w:val="0"/>
        <w:adjustRightInd w:val="0"/>
        <w:spacing w:line="420" w:lineRule="exact"/>
        <w:ind w:firstLine="440" w:firstLineChars="200"/>
        <w:jc w:val="left"/>
        <w:rPr>
          <w:rFonts w:hint="eastAsia" w:ascii="宋体" w:hAnsi="宋体" w:cs="仿宋_GB2312"/>
          <w:color w:val="auto"/>
          <w:kern w:val="0"/>
          <w:sz w:val="22"/>
          <w:szCs w:val="22"/>
          <w:highlight w:val="none"/>
          <w:lang w:eastAsia="zh-CN"/>
        </w:rPr>
      </w:pPr>
    </w:p>
    <w:p w14:paraId="1A65570A">
      <w:pPr>
        <w:autoSpaceDE w:val="0"/>
        <w:autoSpaceDN w:val="0"/>
        <w:adjustRightInd w:val="0"/>
        <w:spacing w:line="420" w:lineRule="exact"/>
        <w:ind w:firstLine="643" w:firstLineChars="200"/>
        <w:jc w:val="center"/>
        <w:rPr>
          <w:rFonts w:hint="eastAsia" w:ascii="宋体" w:hAnsi="宋体" w:cs="仿宋_GB2312"/>
          <w:b/>
          <w:bCs/>
          <w:color w:val="auto"/>
          <w:kern w:val="0"/>
          <w:sz w:val="32"/>
          <w:szCs w:val="32"/>
          <w:highlight w:val="none"/>
          <w:lang w:eastAsia="zh-CN"/>
        </w:rPr>
      </w:pPr>
      <w:r>
        <w:rPr>
          <w:rFonts w:hint="eastAsia" w:ascii="宋体" w:hAnsi="宋体" w:cs="仿宋_GB2312"/>
          <w:b/>
          <w:bCs/>
          <w:color w:val="auto"/>
          <w:kern w:val="0"/>
          <w:sz w:val="32"/>
          <w:szCs w:val="32"/>
          <w:highlight w:val="none"/>
          <w:lang w:val="en-US" w:eastAsia="zh-CN"/>
        </w:rPr>
        <w:t>河南省政府采购合同融资政策告知函</w:t>
      </w:r>
    </w:p>
    <w:p w14:paraId="57731212">
      <w:pPr>
        <w:keepNext w:val="0"/>
        <w:keepLines w:val="0"/>
        <w:pageBreakBefore w:val="0"/>
        <w:widowControl w:val="0"/>
        <w:kinsoku/>
        <w:wordWrap w:val="0"/>
        <w:overflowPunct/>
        <w:topLinePunct/>
        <w:autoSpaceDE w:val="0"/>
        <w:autoSpaceDN w:val="0"/>
        <w:bidi w:val="0"/>
        <w:adjustRightInd w:val="0"/>
        <w:snapToGrid/>
        <w:spacing w:line="360" w:lineRule="auto"/>
        <w:ind w:firstLine="440" w:firstLineChars="200"/>
        <w:jc w:val="left"/>
        <w:textAlignment w:val="auto"/>
        <w:rPr>
          <w:rFonts w:hint="eastAsia" w:ascii="宋体" w:hAnsi="宋体" w:cs="仿宋_GB2312"/>
          <w:color w:val="auto"/>
          <w:kern w:val="0"/>
          <w:sz w:val="22"/>
          <w:szCs w:val="22"/>
          <w:highlight w:val="none"/>
          <w:lang w:eastAsia="zh-CN"/>
        </w:rPr>
      </w:pPr>
      <w:r>
        <w:rPr>
          <w:rFonts w:hint="eastAsia" w:ascii="宋体" w:hAnsi="宋体" w:cs="仿宋_GB2312"/>
          <w:color w:val="auto"/>
          <w:kern w:val="0"/>
          <w:sz w:val="22"/>
          <w:szCs w:val="22"/>
          <w:highlight w:val="none"/>
          <w:lang w:val="en-US" w:eastAsia="zh-CN"/>
        </w:rPr>
        <w:t> </w:t>
      </w:r>
    </w:p>
    <w:p w14:paraId="5336697C">
      <w:pPr>
        <w:keepNext w:val="0"/>
        <w:keepLines w:val="0"/>
        <w:pageBreakBefore w:val="0"/>
        <w:widowControl w:val="0"/>
        <w:kinsoku/>
        <w:wordWrap w:val="0"/>
        <w:overflowPunct/>
        <w:topLinePunct/>
        <w:autoSpaceDE w:val="0"/>
        <w:autoSpaceDN w:val="0"/>
        <w:bidi w:val="0"/>
        <w:adjustRightInd w:val="0"/>
        <w:snapToGrid/>
        <w:spacing w:line="360" w:lineRule="auto"/>
        <w:ind w:firstLine="480" w:firstLineChars="200"/>
        <w:jc w:val="left"/>
        <w:textAlignment w:val="auto"/>
        <w:rPr>
          <w:rFonts w:hint="eastAsia" w:ascii="宋体" w:hAnsi="宋体" w:cs="仿宋_GB2312"/>
          <w:color w:val="auto"/>
          <w:kern w:val="0"/>
          <w:sz w:val="24"/>
          <w:szCs w:val="24"/>
          <w:highlight w:val="none"/>
          <w:lang w:eastAsia="zh-CN"/>
        </w:rPr>
      </w:pPr>
      <w:r>
        <w:rPr>
          <w:rFonts w:hint="eastAsia" w:ascii="宋体" w:hAnsi="宋体" w:cs="仿宋_GB2312"/>
          <w:color w:val="auto"/>
          <w:kern w:val="0"/>
          <w:sz w:val="24"/>
          <w:szCs w:val="24"/>
          <w:highlight w:val="none"/>
          <w:lang w:val="en-US" w:eastAsia="zh-CN"/>
        </w:rPr>
        <w:t>各供应商：</w:t>
      </w:r>
    </w:p>
    <w:p w14:paraId="37D8E563">
      <w:pPr>
        <w:keepNext w:val="0"/>
        <w:keepLines w:val="0"/>
        <w:pageBreakBefore w:val="0"/>
        <w:widowControl w:val="0"/>
        <w:kinsoku/>
        <w:wordWrap w:val="0"/>
        <w:overflowPunct/>
        <w:topLinePunct/>
        <w:autoSpaceDE w:val="0"/>
        <w:autoSpaceDN w:val="0"/>
        <w:bidi w:val="0"/>
        <w:adjustRightInd w:val="0"/>
        <w:snapToGrid/>
        <w:spacing w:line="360" w:lineRule="auto"/>
        <w:ind w:firstLine="480" w:firstLineChars="200"/>
        <w:jc w:val="left"/>
        <w:textAlignment w:val="auto"/>
        <w:rPr>
          <w:rFonts w:hint="eastAsia" w:ascii="宋体" w:hAnsi="宋体" w:cs="仿宋_GB2312"/>
          <w:color w:val="auto"/>
          <w:kern w:val="0"/>
          <w:sz w:val="24"/>
          <w:szCs w:val="24"/>
          <w:highlight w:val="none"/>
          <w:lang w:eastAsia="zh-CN"/>
        </w:rPr>
      </w:pPr>
      <w:r>
        <w:rPr>
          <w:rFonts w:hint="eastAsia" w:ascii="宋体" w:hAnsi="宋体" w:cs="仿宋_GB2312"/>
          <w:color w:val="auto"/>
          <w:kern w:val="0"/>
          <w:sz w:val="24"/>
          <w:szCs w:val="24"/>
          <w:highlight w:val="none"/>
          <w:lang w:val="en-US" w:eastAsia="zh-CN"/>
        </w:rPr>
        <w:t>欢迎贵公司参与河南省政府采购活动！</w:t>
      </w:r>
    </w:p>
    <w:p w14:paraId="2E8B109E">
      <w:pPr>
        <w:keepNext w:val="0"/>
        <w:keepLines w:val="0"/>
        <w:pageBreakBefore w:val="0"/>
        <w:widowControl w:val="0"/>
        <w:kinsoku/>
        <w:wordWrap w:val="0"/>
        <w:overflowPunct/>
        <w:topLinePunct/>
        <w:autoSpaceDE w:val="0"/>
        <w:autoSpaceDN w:val="0"/>
        <w:bidi w:val="0"/>
        <w:adjustRightInd w:val="0"/>
        <w:snapToGrid/>
        <w:spacing w:line="360" w:lineRule="auto"/>
        <w:ind w:firstLine="480" w:firstLineChars="200"/>
        <w:jc w:val="left"/>
        <w:textAlignment w:val="auto"/>
        <w:rPr>
          <w:rFonts w:hint="eastAsia" w:ascii="宋体" w:hAnsi="宋体" w:cs="仿宋_GB2312"/>
          <w:color w:val="auto"/>
          <w:kern w:val="0"/>
          <w:sz w:val="24"/>
          <w:szCs w:val="24"/>
          <w:highlight w:val="none"/>
          <w:lang w:eastAsia="zh-CN"/>
        </w:rPr>
      </w:pPr>
      <w:r>
        <w:rPr>
          <w:rFonts w:hint="eastAsia" w:ascii="宋体" w:hAnsi="宋体" w:cs="仿宋_GB2312"/>
          <w:color w:val="auto"/>
          <w:kern w:val="0"/>
          <w:sz w:val="24"/>
          <w:szCs w:val="24"/>
          <w:highlight w:val="none"/>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0E8CCF2">
      <w:pPr>
        <w:keepNext w:val="0"/>
        <w:keepLines w:val="0"/>
        <w:pageBreakBefore w:val="0"/>
        <w:widowControl w:val="0"/>
        <w:kinsoku/>
        <w:wordWrap w:val="0"/>
        <w:overflowPunct/>
        <w:topLinePunct/>
        <w:autoSpaceDE w:val="0"/>
        <w:autoSpaceDN w:val="0"/>
        <w:bidi w:val="0"/>
        <w:adjustRightInd w:val="0"/>
        <w:snapToGrid/>
        <w:spacing w:line="360" w:lineRule="auto"/>
        <w:ind w:firstLine="480" w:firstLineChars="200"/>
        <w:jc w:val="left"/>
        <w:textAlignment w:val="auto"/>
        <w:rPr>
          <w:rFonts w:hint="eastAsia" w:ascii="宋体" w:hAnsi="宋体" w:cs="仿宋_GB2312"/>
          <w:color w:val="auto"/>
          <w:kern w:val="0"/>
          <w:sz w:val="24"/>
          <w:szCs w:val="24"/>
          <w:highlight w:val="none"/>
          <w:lang w:eastAsia="zh-CN"/>
        </w:rPr>
      </w:pPr>
      <w:r>
        <w:rPr>
          <w:rFonts w:hint="eastAsia" w:ascii="宋体" w:hAnsi="宋体" w:cs="仿宋_GB2312"/>
          <w:color w:val="auto"/>
          <w:kern w:val="0"/>
          <w:sz w:val="24"/>
          <w:szCs w:val="24"/>
          <w:highlight w:val="none"/>
          <w:lang w:val="en-US" w:eastAsia="zh-CN"/>
        </w:rPr>
        <w:t>贷款渠道和提供贷款的金融机构，可在河南省政府采购网“河南省政府采购合同融资平台”查询联系。</w:t>
      </w:r>
    </w:p>
    <w:p w14:paraId="4F8BD73A">
      <w:pPr>
        <w:pStyle w:val="4"/>
        <w:ind w:right="-340" w:rightChars="-162"/>
        <w:jc w:val="center"/>
        <w:rPr>
          <w:rStyle w:val="39"/>
          <w:rFonts w:hint="eastAsia"/>
          <w:b/>
          <w:color w:val="auto"/>
          <w:sz w:val="40"/>
          <w:szCs w:val="22"/>
        </w:rPr>
        <w:sectPr>
          <w:pgSz w:w="11900" w:h="16840"/>
          <w:pgMar w:top="1304" w:right="1361" w:bottom="1304" w:left="1361" w:header="0" w:footer="0" w:gutter="0"/>
          <w:pgNumType w:fmt="decimal"/>
          <w:cols w:space="720" w:num="1"/>
          <w:docGrid w:linePitch="360" w:charSpace="0"/>
        </w:sectPr>
      </w:pPr>
    </w:p>
    <w:p w14:paraId="4DBCAFAD">
      <w:pPr>
        <w:pStyle w:val="4"/>
        <w:spacing w:line="240" w:lineRule="auto"/>
        <w:ind w:right="-340" w:rightChars="-162"/>
        <w:jc w:val="center"/>
        <w:rPr>
          <w:rStyle w:val="39"/>
          <w:rFonts w:hint="eastAsia"/>
          <w:b/>
          <w:color w:val="auto"/>
          <w:sz w:val="40"/>
          <w:szCs w:val="22"/>
        </w:rPr>
      </w:pPr>
      <w:r>
        <w:rPr>
          <w:rStyle w:val="39"/>
          <w:rFonts w:hint="eastAsia"/>
          <w:b/>
          <w:color w:val="auto"/>
          <w:sz w:val="40"/>
          <w:szCs w:val="22"/>
        </w:rPr>
        <w:t>第</w:t>
      </w:r>
      <w:r>
        <w:rPr>
          <w:rStyle w:val="39"/>
          <w:rFonts w:hint="eastAsia"/>
          <w:b/>
          <w:color w:val="auto"/>
          <w:sz w:val="40"/>
          <w:szCs w:val="22"/>
          <w:lang w:val="en-US" w:eastAsia="zh-CN"/>
        </w:rPr>
        <w:t>三</w:t>
      </w:r>
      <w:r>
        <w:rPr>
          <w:rStyle w:val="39"/>
          <w:rFonts w:hint="eastAsia"/>
          <w:b/>
          <w:color w:val="auto"/>
          <w:sz w:val="40"/>
          <w:szCs w:val="22"/>
        </w:rPr>
        <w:t>章 评</w:t>
      </w:r>
      <w:r>
        <w:rPr>
          <w:rStyle w:val="39"/>
          <w:rFonts w:hint="eastAsia"/>
          <w:b/>
          <w:color w:val="auto"/>
          <w:sz w:val="40"/>
          <w:szCs w:val="22"/>
          <w:lang w:val="en-US" w:eastAsia="zh-CN"/>
        </w:rPr>
        <w:t>审办</w:t>
      </w:r>
      <w:r>
        <w:rPr>
          <w:rStyle w:val="39"/>
          <w:rFonts w:hint="eastAsia"/>
          <w:b/>
          <w:color w:val="auto"/>
          <w:sz w:val="40"/>
          <w:szCs w:val="22"/>
        </w:rPr>
        <w:t>法</w:t>
      </w:r>
    </w:p>
    <w:bookmarkEnd w:id="154"/>
    <w:bookmarkEnd w:id="155"/>
    <w:tbl>
      <w:tblPr>
        <w:tblStyle w:val="2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038"/>
        <w:gridCol w:w="5475"/>
      </w:tblGrid>
      <w:tr w14:paraId="390C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66" w:type="dxa"/>
            <w:gridSpan w:val="2"/>
            <w:vAlign w:val="center"/>
          </w:tcPr>
          <w:p w14:paraId="54C62C4F">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条款</w:t>
            </w:r>
          </w:p>
        </w:tc>
        <w:tc>
          <w:tcPr>
            <w:tcW w:w="2038" w:type="dxa"/>
            <w:vAlign w:val="center"/>
          </w:tcPr>
          <w:p w14:paraId="28CE260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评审因素</w:t>
            </w:r>
          </w:p>
        </w:tc>
        <w:tc>
          <w:tcPr>
            <w:tcW w:w="5475" w:type="dxa"/>
            <w:vAlign w:val="center"/>
          </w:tcPr>
          <w:p w14:paraId="49F97EBB">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1C83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90" w:type="dxa"/>
            <w:vMerge w:val="restart"/>
            <w:vAlign w:val="center"/>
          </w:tcPr>
          <w:p w14:paraId="78B7CAC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2.1.1</w:t>
            </w:r>
          </w:p>
        </w:tc>
        <w:tc>
          <w:tcPr>
            <w:tcW w:w="876" w:type="dxa"/>
            <w:vMerge w:val="restart"/>
            <w:vAlign w:val="center"/>
          </w:tcPr>
          <w:p w14:paraId="35AE467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符合性评审</w:t>
            </w:r>
          </w:p>
        </w:tc>
        <w:tc>
          <w:tcPr>
            <w:tcW w:w="2038" w:type="dxa"/>
            <w:vAlign w:val="center"/>
          </w:tcPr>
          <w:p w14:paraId="605755C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c>
          <w:tcPr>
            <w:tcW w:w="5475" w:type="dxa"/>
            <w:vAlign w:val="center"/>
          </w:tcPr>
          <w:p w14:paraId="1509AC22">
            <w:pPr>
              <w:keepNext w:val="0"/>
              <w:keepLines w:val="0"/>
              <w:widowControl/>
              <w:suppressLineNumbers w:val="0"/>
              <w:wordWrap w:val="0"/>
              <w:topLinePunct/>
              <w:spacing w:before="0" w:beforeAutospacing="0" w:after="0" w:afterAutospacing="0" w:line="360" w:lineRule="auto"/>
              <w:ind w:left="0" w:right="0"/>
              <w:jc w:val="left"/>
              <w:rPr>
                <w:rFonts w:hint="eastAsia" w:ascii="宋体" w:hAnsi="宋体" w:eastAsia="宋体" w:cs="宋体"/>
                <w:kern w:val="0"/>
                <w:sz w:val="24"/>
                <w:szCs w:val="24"/>
                <w:highlight w:val="none"/>
                <w:lang w:eastAsia="zh-CN"/>
              </w:rPr>
            </w:pPr>
            <w:r>
              <w:rPr>
                <w:rFonts w:hint="eastAsia" w:ascii="宋体" w:hAnsi="宋体" w:eastAsia="宋体" w:cs="宋体"/>
                <w:bCs/>
                <w:kern w:val="0"/>
                <w:sz w:val="24"/>
                <w:szCs w:val="24"/>
                <w:highlight w:val="none"/>
              </w:rPr>
              <w:t>与营业执照、资质证书一致</w:t>
            </w:r>
          </w:p>
        </w:tc>
      </w:tr>
      <w:tr w14:paraId="1FE4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0" w:type="dxa"/>
            <w:vMerge w:val="continue"/>
            <w:vAlign w:val="center"/>
          </w:tcPr>
          <w:p w14:paraId="58A7090A">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2BD3FA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54AE83C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响应文件签署、盖章</w:t>
            </w:r>
          </w:p>
        </w:tc>
        <w:tc>
          <w:tcPr>
            <w:tcW w:w="5475" w:type="dxa"/>
            <w:vAlign w:val="center"/>
          </w:tcPr>
          <w:p w14:paraId="1C445127">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rPr>
            </w:pPr>
            <w:r>
              <w:rPr>
                <w:rFonts w:hint="eastAsia" w:ascii="宋体" w:hAnsi="宋体" w:eastAsia="宋体" w:cs="宋体"/>
                <w:sz w:val="24"/>
                <w:szCs w:val="24"/>
                <w:highlight w:val="none"/>
              </w:rPr>
              <w:t>响应文件按竞争性磋商文件要求签署、盖章</w:t>
            </w:r>
          </w:p>
        </w:tc>
      </w:tr>
      <w:tr w14:paraId="5794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90" w:type="dxa"/>
            <w:vMerge w:val="continue"/>
            <w:vAlign w:val="center"/>
          </w:tcPr>
          <w:p w14:paraId="39A2675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82EDD9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0520F31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报价唯一</w:t>
            </w:r>
          </w:p>
        </w:tc>
        <w:tc>
          <w:tcPr>
            <w:tcW w:w="5475" w:type="dxa"/>
            <w:vAlign w:val="center"/>
          </w:tcPr>
          <w:p w14:paraId="19E55525">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只能有一个有效报价</w:t>
            </w:r>
          </w:p>
        </w:tc>
      </w:tr>
      <w:tr w14:paraId="086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exact"/>
          <w:jc w:val="center"/>
        </w:trPr>
        <w:tc>
          <w:tcPr>
            <w:tcW w:w="990" w:type="dxa"/>
            <w:vMerge w:val="restart"/>
            <w:vAlign w:val="center"/>
          </w:tcPr>
          <w:p w14:paraId="3D24CB7C">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2.1.2</w:t>
            </w:r>
          </w:p>
        </w:tc>
        <w:tc>
          <w:tcPr>
            <w:tcW w:w="876" w:type="dxa"/>
            <w:vMerge w:val="restart"/>
            <w:vAlign w:val="center"/>
          </w:tcPr>
          <w:p w14:paraId="746D7AC7">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资格审查</w:t>
            </w:r>
            <w:r>
              <w:rPr>
                <w:rFonts w:hint="eastAsia" w:ascii="宋体" w:hAnsi="宋体" w:eastAsia="宋体" w:cs="宋体"/>
                <w:kern w:val="0"/>
                <w:sz w:val="24"/>
                <w:szCs w:val="24"/>
                <w:highlight w:val="none"/>
              </w:rPr>
              <w:t>标准</w:t>
            </w:r>
          </w:p>
        </w:tc>
        <w:tc>
          <w:tcPr>
            <w:tcW w:w="2038" w:type="dxa"/>
            <w:vAlign w:val="center"/>
          </w:tcPr>
          <w:p w14:paraId="3BD37173">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满足《中华人民共和国政府采购法》第二十二条规定</w:t>
            </w:r>
          </w:p>
        </w:tc>
        <w:tc>
          <w:tcPr>
            <w:tcW w:w="5475" w:type="dxa"/>
            <w:vAlign w:val="center"/>
          </w:tcPr>
          <w:p w14:paraId="5EBCE0EC">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满足《中华人民共和国政府采购法》第二十二条规定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提供承诺书；</w:t>
            </w:r>
          </w:p>
        </w:tc>
      </w:tr>
      <w:tr w14:paraId="140E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990" w:type="dxa"/>
            <w:vMerge w:val="continue"/>
            <w:vAlign w:val="center"/>
          </w:tcPr>
          <w:p w14:paraId="58559366">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kern w:val="0"/>
                <w:sz w:val="24"/>
                <w:szCs w:val="24"/>
                <w:highlight w:val="none"/>
              </w:rPr>
            </w:pPr>
          </w:p>
        </w:tc>
        <w:tc>
          <w:tcPr>
            <w:tcW w:w="876" w:type="dxa"/>
            <w:vMerge w:val="continue"/>
            <w:vAlign w:val="center"/>
          </w:tcPr>
          <w:p w14:paraId="2FB61FFE">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4"/>
                <w:szCs w:val="24"/>
                <w:highlight w:val="none"/>
              </w:rPr>
            </w:pPr>
          </w:p>
        </w:tc>
        <w:tc>
          <w:tcPr>
            <w:tcW w:w="2038" w:type="dxa"/>
            <w:vAlign w:val="center"/>
          </w:tcPr>
          <w:p w14:paraId="6FD6E97D">
            <w:pPr>
              <w:keepNext w:val="0"/>
              <w:keepLines w:val="0"/>
              <w:widowControl/>
              <w:suppressLineNumbers w:val="0"/>
              <w:wordWrap w:val="0"/>
              <w:topLinePunct/>
              <w:spacing w:before="0" w:beforeAutospacing="0" w:after="0" w:afterAutospacing="0" w:line="360" w:lineRule="auto"/>
              <w:ind w:left="0" w:leftChars="0"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5475" w:type="dxa"/>
            <w:vAlign w:val="center"/>
          </w:tcPr>
          <w:p w14:paraId="6348035C">
            <w:pPr>
              <w:keepNext w:val="0"/>
              <w:keepLines w:val="0"/>
              <w:widowControl/>
              <w:suppressLineNumbers w:val="0"/>
              <w:wordWrap w:val="0"/>
              <w:topLinePunct/>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供应商须具有有效的营业执照</w:t>
            </w:r>
          </w:p>
        </w:tc>
      </w:tr>
      <w:tr w14:paraId="6E8B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3" w:hRule="exact"/>
          <w:jc w:val="center"/>
        </w:trPr>
        <w:tc>
          <w:tcPr>
            <w:tcW w:w="990" w:type="dxa"/>
            <w:vMerge w:val="continue"/>
            <w:vAlign w:val="center"/>
          </w:tcPr>
          <w:p w14:paraId="27FBC07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3B7597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5451DC94">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资质证书</w:t>
            </w:r>
          </w:p>
        </w:tc>
        <w:tc>
          <w:tcPr>
            <w:tcW w:w="5475" w:type="dxa"/>
            <w:vAlign w:val="center"/>
          </w:tcPr>
          <w:p w14:paraId="6A5BFDD9">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供应商具有交通运输主管部门颁发有效的公路机电工程专项监理资质证书。</w:t>
            </w:r>
          </w:p>
          <w:p w14:paraId="29E9D5F4">
            <w:pPr>
              <w:keepNext w:val="0"/>
              <w:keepLines w:val="0"/>
              <w:suppressLineNumbers w:val="0"/>
              <w:wordWrap w:val="0"/>
              <w:topLinePunct/>
              <w:autoSpaceDE w:val="0"/>
              <w:autoSpaceDN w:val="0"/>
              <w:adjustRightInd w:val="0"/>
              <w:spacing w:before="0" w:beforeAutospacing="0" w:after="0" w:afterAutospacing="0" w:line="360" w:lineRule="auto"/>
              <w:ind w:left="38" w:leftChars="18" w:right="0"/>
              <w:jc w:val="left"/>
              <w:rPr>
                <w:rFonts w:hint="eastAsia" w:ascii="宋体" w:hAnsi="宋体" w:eastAsia="宋体" w:cs="宋体"/>
                <w:sz w:val="24"/>
                <w:szCs w:val="24"/>
                <w:highlight w:val="none"/>
                <w:lang w:eastAsia="zh-CN"/>
              </w:rPr>
            </w:pPr>
            <w:r>
              <w:rPr>
                <w:rFonts w:hint="eastAsia" w:cs="宋体" w:asciiTheme="minorEastAsia" w:hAnsiTheme="minorEastAsia" w:eastAsiaTheme="minorEastAsia"/>
                <w:color w:val="auto"/>
                <w:kern w:val="0"/>
                <w:sz w:val="24"/>
                <w:szCs w:val="24"/>
                <w:lang w:val="en-US" w:eastAsia="zh-CN"/>
              </w:rPr>
              <w:t>供应商应进入交通运输部“全国公路建设市场监督管理系统”（https://hwdms.mot.gov.cn/BMWebSite/）中的公路工程施工监理资质企业名录，且供应商名称和资质与该名录中的相应企业名称和资质完全一致（根据《关于发布公路工程从业企业资质名录的通知》（厅公路字〔2011〕114号）规定，公路工程施工监理资质企业名录适用范围为部审核、审批资质公路工程监理企业，省级相关部门许可资质的公路工程监理企业未在全国公路建设市场监督管理系统中录入相关信息不作为否决投标的条件）</w:t>
            </w:r>
            <w:r>
              <w:rPr>
                <w:rFonts w:hint="eastAsia" w:ascii="宋体" w:hAnsi="宋体" w:eastAsia="宋体" w:cs="宋体"/>
                <w:sz w:val="24"/>
                <w:szCs w:val="24"/>
                <w:highlight w:val="none"/>
                <w:lang w:eastAsia="zh-CN"/>
              </w:rPr>
              <w:t>；</w:t>
            </w:r>
          </w:p>
        </w:tc>
      </w:tr>
      <w:tr w14:paraId="42B8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90" w:type="dxa"/>
            <w:vMerge w:val="continue"/>
            <w:vAlign w:val="center"/>
          </w:tcPr>
          <w:p w14:paraId="4D52911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9C2110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490A4B8E">
            <w:pPr>
              <w:keepNext w:val="0"/>
              <w:keepLines w:val="0"/>
              <w:suppressLineNumbers w:val="0"/>
              <w:autoSpaceDE w:val="0"/>
              <w:autoSpaceDN w:val="0"/>
              <w:snapToGrid w:val="0"/>
              <w:spacing w:before="0" w:beforeAutospacing="0" w:after="0" w:afterAutospacing="0" w:line="500" w:lineRule="exact"/>
              <w:ind w:left="0" w:right="0"/>
              <w:jc w:val="center"/>
              <w:rPr>
                <w:rFonts w:hint="eastAsia" w:ascii="宋体" w:hAnsi="宋体" w:eastAsia="宋体" w:cs="宋体"/>
                <w:kern w:val="0"/>
                <w:sz w:val="24"/>
                <w:szCs w:val="24"/>
                <w:highlight w:val="none"/>
                <w:lang w:val="en-US" w:eastAsia="zh-CN"/>
              </w:rPr>
            </w:pPr>
            <w:r>
              <w:rPr>
                <w:rFonts w:hint="eastAsia" w:ascii="宋体" w:hAnsi="宋体"/>
                <w:kern w:val="0"/>
                <w:sz w:val="24"/>
                <w:szCs w:val="24"/>
                <w:highlight w:val="none"/>
              </w:rPr>
              <w:t>项目总监理工程师</w:t>
            </w:r>
          </w:p>
        </w:tc>
        <w:tc>
          <w:tcPr>
            <w:tcW w:w="5475" w:type="dxa"/>
            <w:vAlign w:val="center"/>
          </w:tcPr>
          <w:p w14:paraId="6D2FA0CB">
            <w:pPr>
              <w:keepNext w:val="0"/>
              <w:keepLines w:val="0"/>
              <w:suppressLineNumbers w:val="0"/>
              <w:snapToGrid w:val="0"/>
              <w:spacing w:before="0" w:beforeAutospacing="0" w:after="0" w:afterAutospacing="0" w:line="360" w:lineRule="auto"/>
              <w:ind w:left="0" w:right="0"/>
              <w:jc w:val="left"/>
              <w:textAlignment w:val="baseline"/>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具有相关专业高级工程师及以上职称，具有交通运输部颁发的注册监理工程师（公路机电工程专业）证书，提供本单位缴纳的2025年6月1日以来任意一个月养老保险证明），目前未在其他项目上任职，提供无在建承诺（格式自拟），或虽在其他项目上任职但本项目中标后能够从该项目撤离，供应商应提供书面承诺（格式自拟）；</w:t>
            </w:r>
          </w:p>
        </w:tc>
      </w:tr>
      <w:tr w14:paraId="3C83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0" w:type="dxa"/>
            <w:vMerge w:val="continue"/>
            <w:vAlign w:val="center"/>
          </w:tcPr>
          <w:p w14:paraId="634F8C25">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53EDA87F">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2ADFD5B1">
            <w:pPr>
              <w:keepNext w:val="0"/>
              <w:keepLines w:val="0"/>
              <w:suppressLineNumbers w:val="0"/>
              <w:snapToGrid w:val="0"/>
              <w:spacing w:before="0" w:beforeAutospacing="0" w:after="0" w:afterAutospacing="0" w:line="500" w:lineRule="exact"/>
              <w:ind w:left="0" w:right="0"/>
              <w:jc w:val="center"/>
              <w:rPr>
                <w:rFonts w:hint="default" w:ascii="宋体" w:hAnsi="宋体" w:eastAsia="宋体" w:cs="宋体"/>
                <w:sz w:val="24"/>
                <w:szCs w:val="24"/>
                <w:highlight w:val="none"/>
              </w:rPr>
            </w:pPr>
            <w:r>
              <w:rPr>
                <w:rFonts w:hint="eastAsia" w:ascii="宋体" w:hAnsi="宋体"/>
                <w:kern w:val="0"/>
                <w:sz w:val="24"/>
                <w:szCs w:val="24"/>
                <w:highlight w:val="none"/>
              </w:rPr>
              <w:t>无商业贿赂和不正当竞争行为承诺书</w:t>
            </w:r>
          </w:p>
        </w:tc>
        <w:tc>
          <w:tcPr>
            <w:tcW w:w="5475" w:type="dxa"/>
            <w:vAlign w:val="center"/>
          </w:tcPr>
          <w:p w14:paraId="672839FF">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供应商出具本企业的无商业贿赂和不正当竞争行为承诺书，格式自拟。</w:t>
            </w:r>
          </w:p>
        </w:tc>
      </w:tr>
      <w:tr w14:paraId="1FB2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90" w:type="dxa"/>
            <w:vMerge w:val="continue"/>
            <w:vAlign w:val="center"/>
          </w:tcPr>
          <w:p w14:paraId="2AE4823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8AE07C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23A20113">
            <w:pPr>
              <w:keepNext w:val="0"/>
              <w:keepLines w:val="0"/>
              <w:suppressLineNumbers w:val="0"/>
              <w:snapToGrid w:val="0"/>
              <w:spacing w:before="0" w:beforeAutospacing="0" w:after="0" w:afterAutospacing="0" w:line="500" w:lineRule="exact"/>
              <w:ind w:left="0" w:right="0"/>
              <w:jc w:val="center"/>
              <w:rPr>
                <w:rFonts w:hint="eastAsia" w:ascii="宋体" w:hAnsi="宋体"/>
                <w:kern w:val="0"/>
                <w:sz w:val="24"/>
                <w:szCs w:val="24"/>
                <w:highlight w:val="none"/>
              </w:rPr>
            </w:pPr>
            <w:r>
              <w:rPr>
                <w:rFonts w:hint="eastAsia" w:ascii="宋体" w:hAnsi="宋体"/>
                <w:kern w:val="0"/>
                <w:sz w:val="24"/>
                <w:szCs w:val="24"/>
                <w:highlight w:val="none"/>
              </w:rPr>
              <w:t>无行贿犯罪记录</w:t>
            </w:r>
          </w:p>
        </w:tc>
        <w:tc>
          <w:tcPr>
            <w:tcW w:w="5475" w:type="dxa"/>
            <w:vAlign w:val="center"/>
          </w:tcPr>
          <w:p w14:paraId="59D7074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z w:val="24"/>
                <w:szCs w:val="24"/>
                <w:lang w:val="en-US" w:eastAsia="zh-CN"/>
              </w:rPr>
              <w:t>在中国裁判文书网自行查询或自行承诺(查询/承诺对象：企业、法定代表人、拟派项目总监)</w:t>
            </w:r>
            <w:r>
              <w:rPr>
                <w:rFonts w:hint="eastAsia" w:ascii="宋体" w:hAnsi="宋体" w:eastAsia="宋体" w:cs="宋体"/>
                <w:kern w:val="0"/>
                <w:sz w:val="24"/>
                <w:szCs w:val="24"/>
                <w:highlight w:val="none"/>
              </w:rPr>
              <w:t>。</w:t>
            </w:r>
          </w:p>
        </w:tc>
      </w:tr>
      <w:tr w14:paraId="24D6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1" w:hRule="atLeast"/>
          <w:jc w:val="center"/>
        </w:trPr>
        <w:tc>
          <w:tcPr>
            <w:tcW w:w="990" w:type="dxa"/>
            <w:vMerge w:val="continue"/>
            <w:vAlign w:val="center"/>
          </w:tcPr>
          <w:p w14:paraId="556DD26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D4F8A9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64458843">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eastAsia="宋体" w:cs="Times New Roman"/>
                <w:spacing w:val="1"/>
                <w:kern w:val="0"/>
                <w:sz w:val="24"/>
                <w:szCs w:val="24"/>
                <w:highlight w:val="none"/>
              </w:rPr>
            </w:pPr>
            <w:r>
              <w:rPr>
                <w:rFonts w:hint="eastAsia" w:ascii="宋体" w:hAnsi="宋体" w:eastAsia="宋体" w:cs="Times New Roman"/>
                <w:spacing w:val="1"/>
                <w:kern w:val="0"/>
                <w:sz w:val="24"/>
                <w:szCs w:val="24"/>
                <w:highlight w:val="none"/>
              </w:rPr>
              <w:t>信用中国网站、中国政府采购网站查询截图</w:t>
            </w:r>
          </w:p>
        </w:tc>
        <w:tc>
          <w:tcPr>
            <w:tcW w:w="5475" w:type="dxa"/>
            <w:vAlign w:val="center"/>
          </w:tcPr>
          <w:p w14:paraId="447BF732">
            <w:pPr>
              <w:keepNext w:val="0"/>
              <w:keepLines w:val="0"/>
              <w:suppressLineNumbers w:val="0"/>
              <w:autoSpaceDE w:val="0"/>
              <w:autoSpaceDN w:val="0"/>
              <w:adjustRightInd w:val="0"/>
              <w:snapToGrid w:val="0"/>
              <w:spacing w:before="0" w:beforeAutospacing="0" w:after="0" w:afterAutospacing="0" w:line="500" w:lineRule="exact"/>
              <w:ind w:left="0" w:right="0"/>
              <w:jc w:val="left"/>
              <w:rPr>
                <w:rFonts w:hint="default" w:ascii="宋体" w:hAnsi="宋体" w:eastAsia="宋体" w:cs="Times New Roman"/>
                <w:spacing w:val="1"/>
                <w:kern w:val="0"/>
                <w:sz w:val="24"/>
                <w:szCs w:val="24"/>
                <w:highlight w:val="none"/>
              </w:rPr>
            </w:pPr>
            <w:r>
              <w:rPr>
                <w:rFonts w:hint="eastAsia" w:ascii="宋体" w:hAnsi="宋体" w:eastAsia="宋体" w:cs="Times New Roman"/>
                <w:spacing w:val="1"/>
                <w:kern w:val="0"/>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w:t>
            </w:r>
            <w:r>
              <w:rPr>
                <w:rFonts w:hint="eastAsia" w:ascii="宋体" w:hAnsi="宋体" w:eastAsia="宋体" w:cs="Times New Roman"/>
                <w:spacing w:val="1"/>
                <w:kern w:val="0"/>
                <w:sz w:val="24"/>
                <w:szCs w:val="24"/>
                <w:highlight w:val="none"/>
                <w:lang w:eastAsia="zh-CN"/>
              </w:rPr>
              <w:t xml:space="preserve"> </w:t>
            </w:r>
            <w:r>
              <w:rPr>
                <w:rFonts w:hint="eastAsia" w:ascii="宋体" w:hAnsi="宋体" w:eastAsia="宋体" w:cs="Times New Roman"/>
                <w:spacing w:val="1"/>
                <w:kern w:val="0"/>
                <w:sz w:val="24"/>
                <w:szCs w:val="24"/>
                <w:highlight w:val="none"/>
              </w:rPr>
              <w:t>（查询时间从磋商公告发布之后）</w:t>
            </w:r>
          </w:p>
        </w:tc>
      </w:tr>
      <w:tr w14:paraId="3BF4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5C63E37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781E5B6B">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44530671">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eastAsia="宋体" w:cs="Times New Roman"/>
                <w:spacing w:val="1"/>
                <w:kern w:val="0"/>
                <w:sz w:val="24"/>
                <w:szCs w:val="24"/>
                <w:highlight w:val="none"/>
                <w:lang w:val="en-US" w:eastAsia="zh-CN"/>
              </w:rPr>
            </w:pPr>
            <w:r>
              <w:rPr>
                <w:rFonts w:hint="eastAsia" w:ascii="宋体" w:hAnsi="宋体" w:eastAsia="宋体" w:cs="Times New Roman"/>
                <w:spacing w:val="1"/>
                <w:kern w:val="0"/>
                <w:sz w:val="24"/>
                <w:szCs w:val="24"/>
                <w:highlight w:val="none"/>
                <w:lang w:val="en-US" w:eastAsia="zh-CN"/>
              </w:rPr>
              <w:t>非联合体</w:t>
            </w:r>
          </w:p>
        </w:tc>
        <w:tc>
          <w:tcPr>
            <w:tcW w:w="5475" w:type="dxa"/>
            <w:vAlign w:val="center"/>
          </w:tcPr>
          <w:p w14:paraId="52AB1585">
            <w:pPr>
              <w:keepNext w:val="0"/>
              <w:keepLines w:val="0"/>
              <w:suppressLineNumbers w:val="0"/>
              <w:autoSpaceDE w:val="0"/>
              <w:autoSpaceDN w:val="0"/>
              <w:adjustRightInd w:val="0"/>
              <w:snapToGrid w:val="0"/>
              <w:spacing w:before="0" w:beforeAutospacing="0" w:after="0" w:afterAutospacing="0" w:line="500" w:lineRule="exact"/>
              <w:ind w:left="0" w:right="0"/>
              <w:jc w:val="left"/>
              <w:rPr>
                <w:rFonts w:hint="eastAsia" w:ascii="宋体" w:hAnsi="宋体" w:eastAsia="宋体" w:cs="Times New Roman"/>
                <w:spacing w:val="1"/>
                <w:kern w:val="0"/>
                <w:sz w:val="24"/>
                <w:szCs w:val="24"/>
                <w:highlight w:val="none"/>
                <w:lang w:val="en-US" w:eastAsia="zh-CN"/>
              </w:rPr>
            </w:pPr>
            <w:r>
              <w:rPr>
                <w:rFonts w:hint="eastAsia" w:cs="宋体" w:asciiTheme="minorEastAsia" w:hAnsiTheme="minorEastAsia" w:eastAsiaTheme="minorEastAsia"/>
                <w:color w:val="auto"/>
                <w:kern w:val="0"/>
                <w:sz w:val="24"/>
                <w:szCs w:val="24"/>
                <w:lang w:eastAsia="zh-CN"/>
              </w:rPr>
              <w:t>本次磋商不接受联合体（提供非联合体声明函，</w:t>
            </w:r>
            <w:r>
              <w:rPr>
                <w:rFonts w:hint="eastAsia" w:cs="宋体" w:asciiTheme="minorEastAsia" w:hAnsiTheme="minorEastAsia" w:eastAsiaTheme="minorEastAsia"/>
                <w:color w:val="auto"/>
                <w:kern w:val="0"/>
                <w:sz w:val="24"/>
                <w:szCs w:val="24"/>
                <w:lang w:val="en-US" w:eastAsia="zh-CN"/>
              </w:rPr>
              <w:t>格式自拟</w:t>
            </w:r>
            <w:r>
              <w:rPr>
                <w:rFonts w:hint="eastAsia" w:cs="宋体" w:asciiTheme="minorEastAsia" w:hAnsiTheme="minorEastAsia" w:eastAsiaTheme="minorEastAsia"/>
                <w:color w:val="auto"/>
                <w:kern w:val="0"/>
                <w:sz w:val="24"/>
                <w:szCs w:val="24"/>
                <w:lang w:eastAsia="zh-CN"/>
              </w:rPr>
              <w:t>）</w:t>
            </w:r>
          </w:p>
        </w:tc>
      </w:tr>
      <w:tr w14:paraId="2E46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90" w:type="dxa"/>
            <w:vMerge w:val="restart"/>
            <w:vAlign w:val="center"/>
          </w:tcPr>
          <w:p w14:paraId="62C7293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2.1.3</w:t>
            </w:r>
          </w:p>
        </w:tc>
        <w:tc>
          <w:tcPr>
            <w:tcW w:w="876" w:type="dxa"/>
            <w:vMerge w:val="restart"/>
            <w:vAlign w:val="center"/>
          </w:tcPr>
          <w:p w14:paraId="276C527A">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sz w:val="24"/>
                <w:szCs w:val="24"/>
                <w:highlight w:val="none"/>
              </w:rPr>
              <w:t>响应性审查</w:t>
            </w:r>
            <w:r>
              <w:rPr>
                <w:rFonts w:hint="eastAsia" w:ascii="宋体" w:hAnsi="宋体" w:eastAsia="宋体" w:cs="宋体"/>
                <w:kern w:val="0"/>
                <w:sz w:val="24"/>
                <w:szCs w:val="24"/>
                <w:highlight w:val="none"/>
              </w:rPr>
              <w:t>标准</w:t>
            </w:r>
          </w:p>
        </w:tc>
        <w:tc>
          <w:tcPr>
            <w:tcW w:w="2038" w:type="dxa"/>
            <w:vAlign w:val="center"/>
          </w:tcPr>
          <w:p w14:paraId="1F0409E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rPr>
              <w:t>磋商报价</w:t>
            </w:r>
          </w:p>
        </w:tc>
        <w:tc>
          <w:tcPr>
            <w:tcW w:w="5475" w:type="dxa"/>
            <w:vAlign w:val="center"/>
          </w:tcPr>
          <w:p w14:paraId="05682435">
            <w:pPr>
              <w:keepNext w:val="0"/>
              <w:keepLines w:val="0"/>
              <w:widowControl/>
              <w:suppressLineNumbers w:val="0"/>
              <w:wordWrap w:val="0"/>
              <w:topLinePunct/>
              <w:spacing w:before="0" w:beforeAutospacing="0" w:after="0" w:afterAutospacing="0" w:line="360" w:lineRule="auto"/>
              <w:ind w:left="0" w:right="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不超过最高限价</w:t>
            </w:r>
          </w:p>
        </w:tc>
      </w:tr>
      <w:tr w14:paraId="1D05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90" w:type="dxa"/>
            <w:vMerge w:val="continue"/>
            <w:vAlign w:val="center"/>
          </w:tcPr>
          <w:p w14:paraId="14D125A8">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233EEF51">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47F482C6">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default" w:ascii="宋体" w:hAnsi="宋体" w:eastAsia="宋体" w:cs="宋体"/>
                <w:kern w:val="0"/>
                <w:sz w:val="24"/>
                <w:szCs w:val="24"/>
                <w:highlight w:val="none"/>
                <w:lang w:val="en-US"/>
              </w:rPr>
            </w:pPr>
            <w:r>
              <w:rPr>
                <w:rFonts w:hint="eastAsia" w:ascii="宋体" w:hAnsi="宋体"/>
                <w:spacing w:val="1"/>
                <w:kern w:val="0"/>
                <w:sz w:val="24"/>
                <w:szCs w:val="24"/>
                <w:highlight w:val="none"/>
              </w:rPr>
              <w:t>监理</w:t>
            </w:r>
            <w:r>
              <w:rPr>
                <w:rFonts w:hint="eastAsia" w:ascii="宋体" w:hAnsi="宋体"/>
                <w:spacing w:val="1"/>
                <w:kern w:val="0"/>
                <w:sz w:val="24"/>
                <w:szCs w:val="24"/>
                <w:highlight w:val="none"/>
                <w:lang w:val="en-US" w:eastAsia="zh-CN"/>
              </w:rPr>
              <w:t>服务</w:t>
            </w:r>
            <w:r>
              <w:rPr>
                <w:rFonts w:hint="eastAsia" w:ascii="宋体" w:hAnsi="宋体"/>
                <w:spacing w:val="1"/>
                <w:kern w:val="0"/>
                <w:sz w:val="24"/>
                <w:szCs w:val="24"/>
                <w:highlight w:val="none"/>
              </w:rPr>
              <w:t>期限</w:t>
            </w:r>
          </w:p>
        </w:tc>
        <w:tc>
          <w:tcPr>
            <w:tcW w:w="5475" w:type="dxa"/>
            <w:vAlign w:val="center"/>
          </w:tcPr>
          <w:p w14:paraId="3C8B4350">
            <w:pPr>
              <w:keepNext w:val="0"/>
              <w:keepLines w:val="0"/>
              <w:suppressLineNumbers w:val="0"/>
              <w:snapToGrid w:val="0"/>
              <w:spacing w:before="0" w:beforeAutospacing="0" w:after="0" w:afterAutospacing="0" w:line="500" w:lineRule="exact"/>
              <w:ind w:left="0" w:right="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同施工工期</w:t>
            </w:r>
          </w:p>
        </w:tc>
      </w:tr>
      <w:tr w14:paraId="3EFD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0" w:type="dxa"/>
            <w:vMerge w:val="continue"/>
            <w:vAlign w:val="center"/>
          </w:tcPr>
          <w:p w14:paraId="5ABBA13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4973BFED">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09231C30">
            <w:pPr>
              <w:keepNext w:val="0"/>
              <w:keepLines w:val="0"/>
              <w:suppressLineNumbers w:val="0"/>
              <w:autoSpaceDE w:val="0"/>
              <w:autoSpaceDN w:val="0"/>
              <w:adjustRightInd w:val="0"/>
              <w:snapToGrid w:val="0"/>
              <w:spacing w:before="0" w:beforeAutospacing="0" w:after="0" w:afterAutospacing="0" w:line="500" w:lineRule="exact"/>
              <w:ind w:left="0" w:right="0"/>
              <w:jc w:val="center"/>
              <w:rPr>
                <w:rFonts w:hint="eastAsia" w:ascii="宋体" w:hAnsi="宋体" w:cs="宋体" w:eastAsiaTheme="minorEastAsia"/>
                <w:kern w:val="0"/>
                <w:sz w:val="24"/>
                <w:szCs w:val="24"/>
                <w:highlight w:val="none"/>
                <w:lang w:eastAsia="zh-CN"/>
              </w:rPr>
            </w:pPr>
            <w:r>
              <w:rPr>
                <w:rFonts w:hint="eastAsia" w:ascii="宋体" w:hAnsi="宋体"/>
                <w:spacing w:val="1"/>
                <w:kern w:val="0"/>
                <w:sz w:val="24"/>
                <w:szCs w:val="24"/>
                <w:highlight w:val="none"/>
              </w:rPr>
              <w:t>质量</w:t>
            </w:r>
            <w:r>
              <w:rPr>
                <w:rFonts w:hint="eastAsia" w:ascii="宋体" w:hAnsi="宋体"/>
                <w:spacing w:val="1"/>
                <w:kern w:val="0"/>
                <w:sz w:val="24"/>
                <w:szCs w:val="24"/>
                <w:highlight w:val="none"/>
                <w:lang w:val="en-US" w:eastAsia="zh-CN"/>
              </w:rPr>
              <w:t>要求</w:t>
            </w:r>
          </w:p>
        </w:tc>
        <w:tc>
          <w:tcPr>
            <w:tcW w:w="5475" w:type="dxa"/>
            <w:vAlign w:val="center"/>
          </w:tcPr>
          <w:p w14:paraId="64F20421">
            <w:pPr>
              <w:keepNext w:val="0"/>
              <w:keepLines w:val="0"/>
              <w:suppressLineNumbers w:val="0"/>
              <w:snapToGrid w:val="0"/>
              <w:spacing w:before="0" w:beforeAutospacing="0" w:after="0" w:afterAutospacing="0" w:line="500" w:lineRule="exact"/>
              <w:ind w:left="0" w:right="0"/>
              <w:jc w:val="left"/>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交工验收的质量评定：合格；竣工验收的质量评定：优良</w:t>
            </w:r>
          </w:p>
        </w:tc>
      </w:tr>
      <w:tr w14:paraId="2F1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0" w:type="dxa"/>
            <w:vMerge w:val="continue"/>
            <w:vAlign w:val="center"/>
          </w:tcPr>
          <w:p w14:paraId="7A73F4B6">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4A547AF3">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5E228ED9">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r>
              <w:rPr>
                <w:rFonts w:hint="default" w:ascii="宋体" w:hAnsi="宋体" w:eastAsia="宋体" w:cs="宋体"/>
                <w:kern w:val="0"/>
                <w:sz w:val="24"/>
                <w:szCs w:val="24"/>
                <w:highlight w:val="none"/>
              </w:rPr>
              <w:t>安全目标</w:t>
            </w:r>
          </w:p>
        </w:tc>
        <w:tc>
          <w:tcPr>
            <w:tcW w:w="5475" w:type="dxa"/>
            <w:vAlign w:val="center"/>
          </w:tcPr>
          <w:p w14:paraId="1009BEF5">
            <w:pPr>
              <w:keepNext w:val="0"/>
              <w:keepLines w:val="0"/>
              <w:widowControl/>
              <w:suppressLineNumbers w:val="0"/>
              <w:wordWrap w:val="0"/>
              <w:topLinePunct/>
              <w:spacing w:before="0" w:beforeAutospacing="0" w:after="0" w:afterAutospacing="0" w:line="360" w:lineRule="auto"/>
              <w:ind w:left="0" w:right="0"/>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不发生安全生产责任事故</w:t>
            </w:r>
          </w:p>
        </w:tc>
      </w:tr>
      <w:tr w14:paraId="190C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90" w:type="dxa"/>
            <w:vMerge w:val="continue"/>
            <w:vAlign w:val="center"/>
          </w:tcPr>
          <w:p w14:paraId="3CD9596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876" w:type="dxa"/>
            <w:vMerge w:val="continue"/>
            <w:vAlign w:val="center"/>
          </w:tcPr>
          <w:p w14:paraId="6B88A310">
            <w:pPr>
              <w:keepNext w:val="0"/>
              <w:keepLines w:val="0"/>
              <w:widowControl/>
              <w:suppressLineNumbers w:val="0"/>
              <w:wordWrap w:val="0"/>
              <w:topLinePunct/>
              <w:spacing w:before="0" w:beforeAutospacing="0" w:after="0" w:afterAutospacing="0" w:line="360" w:lineRule="auto"/>
              <w:ind w:left="0" w:right="0"/>
              <w:jc w:val="center"/>
              <w:rPr>
                <w:rFonts w:hint="default" w:ascii="宋体" w:hAnsi="宋体" w:eastAsia="宋体" w:cs="宋体"/>
                <w:kern w:val="0"/>
                <w:sz w:val="24"/>
                <w:szCs w:val="24"/>
                <w:highlight w:val="none"/>
              </w:rPr>
            </w:pPr>
          </w:p>
        </w:tc>
        <w:tc>
          <w:tcPr>
            <w:tcW w:w="2038" w:type="dxa"/>
            <w:vAlign w:val="center"/>
          </w:tcPr>
          <w:p w14:paraId="55268CEF">
            <w:pPr>
              <w:keepNext w:val="0"/>
              <w:keepLines w:val="0"/>
              <w:widowControl/>
              <w:suppressLineNumbers w:val="0"/>
              <w:wordWrap w:val="0"/>
              <w:topLinePunct/>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475" w:type="dxa"/>
            <w:vAlign w:val="center"/>
          </w:tcPr>
          <w:p w14:paraId="6EFF2818">
            <w:pPr>
              <w:keepNext w:val="0"/>
              <w:keepLines w:val="0"/>
              <w:widowControl/>
              <w:suppressLineNumbers w:val="0"/>
              <w:wordWrap w:val="0"/>
              <w:topLinePunct/>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响应文件递交截止之日起60日历天</w:t>
            </w:r>
          </w:p>
        </w:tc>
      </w:tr>
    </w:tbl>
    <w:p w14:paraId="27C0C322">
      <w:pPr>
        <w:keepNext/>
        <w:keepLines/>
        <w:pageBreakBefore w:val="0"/>
        <w:widowControl w:val="0"/>
        <w:kinsoku/>
        <w:wordWrap w:val="0"/>
        <w:overflowPunct/>
        <w:topLinePunct/>
        <w:autoSpaceDE/>
        <w:autoSpaceDN/>
        <w:bidi w:val="0"/>
        <w:adjustRightInd/>
        <w:snapToGrid/>
        <w:spacing w:line="240" w:lineRule="auto"/>
        <w:jc w:val="both"/>
        <w:textAlignment w:val="auto"/>
        <w:outlineLvl w:val="2"/>
        <w:rPr>
          <w:rFonts w:hint="eastAsia" w:ascii="宋体" w:hAnsi="宋体" w:eastAsia="宋体" w:cs="宋体"/>
          <w:b/>
          <w:bCs w:val="0"/>
          <w:kern w:val="0"/>
          <w:sz w:val="36"/>
          <w:szCs w:val="36"/>
          <w:highlight w:val="none"/>
          <w:lang w:eastAsia="zh-CN"/>
        </w:rPr>
      </w:pPr>
    </w:p>
    <w:p w14:paraId="73654AB3">
      <w:pPr>
        <w:pStyle w:val="2"/>
        <w:rPr>
          <w:rFonts w:hint="eastAsia" w:ascii="宋体" w:hAnsi="宋体" w:eastAsia="宋体" w:cs="宋体"/>
          <w:b/>
          <w:bCs w:val="0"/>
          <w:kern w:val="0"/>
          <w:sz w:val="36"/>
          <w:szCs w:val="36"/>
          <w:highlight w:val="none"/>
          <w:lang w:eastAsia="zh-CN"/>
        </w:rPr>
      </w:pPr>
    </w:p>
    <w:p w14:paraId="5555FA72">
      <w:pPr>
        <w:keepNext/>
        <w:keepLines/>
        <w:pageBreakBefore w:val="0"/>
        <w:widowControl w:val="0"/>
        <w:kinsoku/>
        <w:wordWrap w:val="0"/>
        <w:overflowPunct/>
        <w:topLinePunct/>
        <w:autoSpaceDE/>
        <w:autoSpaceDN/>
        <w:bidi w:val="0"/>
        <w:adjustRightInd/>
        <w:snapToGrid/>
        <w:spacing w:line="240" w:lineRule="auto"/>
        <w:ind w:firstLine="3975" w:firstLineChars="1100"/>
        <w:jc w:val="both"/>
        <w:textAlignment w:val="auto"/>
        <w:outlineLvl w:val="2"/>
        <w:rPr>
          <w:rFonts w:hint="eastAsia" w:ascii="宋体" w:hAnsi="宋体" w:eastAsia="宋体" w:cs="Times New Roman"/>
          <w:b/>
          <w:bCs w:val="0"/>
          <w:sz w:val="36"/>
          <w:szCs w:val="36"/>
          <w:highlight w:val="none"/>
        </w:rPr>
      </w:pPr>
      <w:r>
        <w:rPr>
          <w:rFonts w:hint="eastAsia" w:ascii="宋体" w:hAnsi="宋体" w:eastAsia="宋体" w:cs="宋体"/>
          <w:b/>
          <w:bCs w:val="0"/>
          <w:kern w:val="0"/>
          <w:sz w:val="36"/>
          <w:szCs w:val="36"/>
          <w:highlight w:val="none"/>
          <w:lang w:eastAsia="zh-CN"/>
        </w:rPr>
        <w:t>详细评分标准</w:t>
      </w:r>
    </w:p>
    <w:tbl>
      <w:tblPr>
        <w:tblStyle w:val="20"/>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813"/>
        <w:gridCol w:w="6082"/>
      </w:tblGrid>
      <w:tr w14:paraId="33DD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noWrap w:val="0"/>
            <w:vAlign w:val="center"/>
          </w:tcPr>
          <w:p w14:paraId="05EE5217">
            <w:pPr>
              <w:ind w:right="-250" w:rightChars="-119"/>
              <w:rPr>
                <w:rFonts w:hint="eastAsia" w:ascii="宋体" w:hAnsi="宋体"/>
                <w:b/>
                <w:color w:val="auto"/>
                <w:sz w:val="24"/>
                <w:szCs w:val="24"/>
              </w:rPr>
            </w:pPr>
            <w:r>
              <w:rPr>
                <w:rFonts w:hint="eastAsia" w:ascii="宋体" w:hAnsi="宋体"/>
                <w:b/>
                <w:color w:val="auto"/>
                <w:sz w:val="24"/>
                <w:szCs w:val="24"/>
              </w:rPr>
              <w:t>序号</w:t>
            </w:r>
          </w:p>
        </w:tc>
        <w:tc>
          <w:tcPr>
            <w:tcW w:w="1413" w:type="dxa"/>
            <w:noWrap w:val="0"/>
            <w:vAlign w:val="center"/>
          </w:tcPr>
          <w:p w14:paraId="2935DAF5">
            <w:pPr>
              <w:ind w:right="-88" w:rightChars="-42"/>
              <w:jc w:val="center"/>
              <w:rPr>
                <w:rFonts w:hint="eastAsia" w:ascii="宋体" w:hAnsi="宋体"/>
                <w:b/>
                <w:color w:val="auto"/>
                <w:sz w:val="24"/>
                <w:szCs w:val="24"/>
              </w:rPr>
            </w:pPr>
            <w:r>
              <w:rPr>
                <w:rFonts w:ascii="宋体" w:hAnsi="宋体"/>
                <w:b/>
                <w:color w:val="auto"/>
                <w:sz w:val="24"/>
                <w:szCs w:val="24"/>
              </w:rPr>
              <w:t>条款号</w:t>
            </w:r>
          </w:p>
        </w:tc>
        <w:tc>
          <w:tcPr>
            <w:tcW w:w="7895" w:type="dxa"/>
            <w:gridSpan w:val="2"/>
            <w:noWrap w:val="0"/>
            <w:vAlign w:val="center"/>
          </w:tcPr>
          <w:p w14:paraId="50BFA3C8">
            <w:pPr>
              <w:ind w:right="-340" w:rightChars="-162"/>
              <w:jc w:val="center"/>
              <w:rPr>
                <w:rFonts w:hint="eastAsia" w:ascii="宋体" w:hAnsi="宋体"/>
                <w:b/>
                <w:color w:val="auto"/>
                <w:sz w:val="24"/>
                <w:szCs w:val="24"/>
              </w:rPr>
            </w:pPr>
            <w:r>
              <w:rPr>
                <w:rFonts w:ascii="宋体" w:hAnsi="宋体"/>
                <w:b/>
                <w:color w:val="auto"/>
                <w:w w:val="99"/>
                <w:sz w:val="24"/>
                <w:szCs w:val="24"/>
              </w:rPr>
              <w:t>评分因素</w:t>
            </w:r>
          </w:p>
        </w:tc>
      </w:tr>
      <w:tr w14:paraId="16E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noWrap w:val="0"/>
            <w:vAlign w:val="center"/>
          </w:tcPr>
          <w:p w14:paraId="4F2C046E">
            <w:pPr>
              <w:ind w:left="-141" w:leftChars="-76" w:right="-250" w:rightChars="-119" w:hanging="19" w:hangingChars="8"/>
              <w:jc w:val="center"/>
              <w:rPr>
                <w:rFonts w:hint="eastAsia" w:ascii="宋体" w:hAnsi="宋体" w:cs="宋体"/>
                <w:b/>
                <w:color w:val="auto"/>
                <w:sz w:val="24"/>
                <w:szCs w:val="24"/>
              </w:rPr>
            </w:pPr>
            <w:r>
              <w:rPr>
                <w:rFonts w:hint="eastAsia" w:ascii="宋体" w:hAnsi="宋体" w:cs="宋体"/>
                <w:b/>
                <w:color w:val="auto"/>
                <w:sz w:val="24"/>
                <w:szCs w:val="24"/>
              </w:rPr>
              <w:t>1</w:t>
            </w:r>
          </w:p>
        </w:tc>
        <w:tc>
          <w:tcPr>
            <w:tcW w:w="1413" w:type="dxa"/>
            <w:noWrap w:val="0"/>
            <w:vAlign w:val="center"/>
          </w:tcPr>
          <w:p w14:paraId="380C8957">
            <w:pPr>
              <w:pStyle w:val="11"/>
              <w:spacing w:line="400" w:lineRule="exact"/>
              <w:ind w:firstLine="120" w:firstLineChars="50"/>
              <w:jc w:val="center"/>
              <w:rPr>
                <w:rFonts w:hint="eastAsia" w:cs="宋体"/>
                <w:color w:val="auto"/>
                <w:sz w:val="24"/>
                <w:lang w:val="en-US" w:eastAsia="zh-CN"/>
              </w:rPr>
            </w:pPr>
            <w:r>
              <w:rPr>
                <w:rFonts w:hint="eastAsia" w:cs="宋体"/>
                <w:color w:val="auto"/>
                <w:sz w:val="24"/>
                <w:lang w:val="en-US" w:eastAsia="zh-CN"/>
              </w:rPr>
              <w:t>分值构成</w:t>
            </w:r>
          </w:p>
          <w:p w14:paraId="16697F25">
            <w:pPr>
              <w:pStyle w:val="11"/>
              <w:spacing w:line="400" w:lineRule="exact"/>
              <w:ind w:left="-107" w:leftChars="-51" w:right="-111" w:rightChars="-53"/>
              <w:jc w:val="center"/>
              <w:rPr>
                <w:rFonts w:hint="eastAsia" w:hAnsi="宋体" w:cs="宋体"/>
                <w:snapToGrid w:val="0"/>
                <w:color w:val="auto"/>
                <w:sz w:val="24"/>
                <w:szCs w:val="24"/>
                <w:lang w:val="en-US" w:eastAsia="zh-CN"/>
              </w:rPr>
            </w:pPr>
            <w:r>
              <w:rPr>
                <w:rFonts w:hint="eastAsia" w:cs="宋体"/>
                <w:color w:val="auto"/>
                <w:sz w:val="24"/>
                <w:lang w:val="en-US" w:eastAsia="zh-CN"/>
              </w:rPr>
              <w:t>(总分100分)</w:t>
            </w:r>
          </w:p>
        </w:tc>
        <w:tc>
          <w:tcPr>
            <w:tcW w:w="7895" w:type="dxa"/>
            <w:gridSpan w:val="2"/>
            <w:noWrap w:val="0"/>
            <w:vAlign w:val="center"/>
          </w:tcPr>
          <w:p w14:paraId="54B0E150">
            <w:pPr>
              <w:pStyle w:val="11"/>
              <w:spacing w:line="276" w:lineRule="auto"/>
              <w:ind w:firstLine="360" w:firstLineChars="150"/>
              <w:jc w:val="left"/>
              <w:rPr>
                <w:rFonts w:hint="eastAsia" w:hAnsi="宋体"/>
                <w:color w:val="auto"/>
                <w:sz w:val="24"/>
                <w:szCs w:val="24"/>
                <w:lang w:val="en-US" w:eastAsia="zh-CN"/>
              </w:rPr>
            </w:pPr>
            <w:r>
              <w:rPr>
                <w:rFonts w:hint="eastAsia" w:hAnsi="宋体" w:cs="宋体"/>
                <w:color w:val="auto"/>
                <w:sz w:val="24"/>
                <w:lang w:val="en-US" w:eastAsia="zh-CN"/>
              </w:rPr>
              <w:t>报价标：15分；  技术标：45分；商务标：40分；</w:t>
            </w:r>
          </w:p>
        </w:tc>
      </w:tr>
      <w:tr w14:paraId="29D9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noWrap w:val="0"/>
            <w:vAlign w:val="center"/>
          </w:tcPr>
          <w:p w14:paraId="1653985D">
            <w:pPr>
              <w:ind w:left="-141" w:leftChars="-76" w:right="-250" w:rightChars="-119" w:hanging="19" w:hangingChars="8"/>
              <w:jc w:val="center"/>
              <w:rPr>
                <w:rFonts w:hint="eastAsia" w:ascii="宋体" w:hAnsi="宋体" w:cs="宋体"/>
                <w:b/>
                <w:color w:val="auto"/>
                <w:sz w:val="24"/>
                <w:szCs w:val="24"/>
              </w:rPr>
            </w:pPr>
          </w:p>
        </w:tc>
        <w:tc>
          <w:tcPr>
            <w:tcW w:w="1413" w:type="dxa"/>
            <w:noWrap w:val="0"/>
            <w:vAlign w:val="center"/>
          </w:tcPr>
          <w:p w14:paraId="54340000">
            <w:pPr>
              <w:pStyle w:val="11"/>
              <w:spacing w:line="400" w:lineRule="exact"/>
              <w:jc w:val="center"/>
              <w:rPr>
                <w:rFonts w:hint="eastAsia" w:cs="宋体"/>
                <w:color w:val="auto"/>
                <w:sz w:val="24"/>
                <w:lang w:val="en-US" w:eastAsia="zh-CN"/>
              </w:rPr>
            </w:pPr>
            <w:r>
              <w:rPr>
                <w:rFonts w:hint="eastAsia" w:cs="宋体"/>
                <w:color w:val="auto"/>
                <w:sz w:val="24"/>
                <w:lang w:val="en-US" w:eastAsia="zh-CN"/>
              </w:rPr>
              <w:t>综合得分</w:t>
            </w:r>
          </w:p>
          <w:p w14:paraId="1B2C8F7E">
            <w:pPr>
              <w:pStyle w:val="11"/>
              <w:spacing w:line="400" w:lineRule="exact"/>
              <w:ind w:right="-111" w:rightChars="-53"/>
              <w:jc w:val="center"/>
              <w:rPr>
                <w:rFonts w:hint="eastAsia" w:cs="宋体"/>
                <w:color w:val="auto"/>
                <w:sz w:val="24"/>
                <w:lang w:val="en-US" w:eastAsia="zh-CN"/>
              </w:rPr>
            </w:pPr>
            <w:r>
              <w:rPr>
                <w:rFonts w:hint="eastAsia" w:cs="宋体"/>
                <w:color w:val="auto"/>
                <w:sz w:val="24"/>
                <w:lang w:val="en-US" w:eastAsia="zh-CN"/>
              </w:rPr>
              <w:t>按公式计算</w:t>
            </w:r>
          </w:p>
        </w:tc>
        <w:tc>
          <w:tcPr>
            <w:tcW w:w="7895" w:type="dxa"/>
            <w:gridSpan w:val="2"/>
            <w:noWrap w:val="0"/>
            <w:vAlign w:val="center"/>
          </w:tcPr>
          <w:p w14:paraId="02237AC4">
            <w:pPr>
              <w:pStyle w:val="11"/>
              <w:spacing w:line="400" w:lineRule="exact"/>
              <w:ind w:firstLine="240" w:firstLineChars="100"/>
              <w:rPr>
                <w:rFonts w:hint="eastAsia" w:cs="宋体"/>
                <w:color w:val="auto"/>
                <w:sz w:val="24"/>
                <w:lang w:val="en-US" w:eastAsia="zh-CN"/>
              </w:rPr>
            </w:pPr>
            <w:r>
              <w:rPr>
                <w:rFonts w:hint="eastAsia" w:cs="宋体"/>
                <w:color w:val="auto"/>
                <w:sz w:val="24"/>
                <w:lang w:val="en-US" w:eastAsia="zh-CN"/>
              </w:rPr>
              <w:t>综合得分=报价</w:t>
            </w:r>
            <w:r>
              <w:rPr>
                <w:rFonts w:hint="eastAsia" w:hAnsi="宋体" w:cs="宋体"/>
                <w:color w:val="auto"/>
                <w:sz w:val="24"/>
                <w:lang w:val="en-US" w:eastAsia="zh-CN"/>
              </w:rPr>
              <w:t>标</w:t>
            </w:r>
            <w:r>
              <w:rPr>
                <w:rFonts w:hint="eastAsia" w:cs="宋体"/>
                <w:color w:val="auto"/>
                <w:sz w:val="24"/>
                <w:lang w:val="en-US" w:eastAsia="zh-CN"/>
              </w:rPr>
              <w:t>得分＋技术</w:t>
            </w:r>
            <w:r>
              <w:rPr>
                <w:rFonts w:hint="eastAsia" w:hAnsi="宋体" w:cs="宋体"/>
                <w:color w:val="auto"/>
                <w:sz w:val="24"/>
                <w:lang w:val="en-US" w:eastAsia="zh-CN"/>
              </w:rPr>
              <w:t>标</w:t>
            </w:r>
            <w:r>
              <w:rPr>
                <w:rFonts w:hint="eastAsia" w:cs="宋体"/>
                <w:color w:val="auto"/>
                <w:sz w:val="24"/>
                <w:lang w:val="en-US" w:eastAsia="zh-CN"/>
              </w:rPr>
              <w:t>得分＋商务</w:t>
            </w:r>
            <w:r>
              <w:rPr>
                <w:rFonts w:hint="eastAsia" w:hAnsi="宋体" w:cs="宋体"/>
                <w:color w:val="auto"/>
                <w:sz w:val="24"/>
                <w:lang w:val="en-US" w:eastAsia="zh-CN"/>
              </w:rPr>
              <w:t>标</w:t>
            </w:r>
            <w:r>
              <w:rPr>
                <w:rFonts w:hint="eastAsia" w:cs="宋体"/>
                <w:color w:val="auto"/>
                <w:sz w:val="24"/>
                <w:lang w:val="en-US" w:eastAsia="zh-CN"/>
              </w:rPr>
              <w:t>得分；</w:t>
            </w:r>
          </w:p>
          <w:p w14:paraId="2E8568C1">
            <w:pPr>
              <w:pStyle w:val="11"/>
              <w:spacing w:line="400" w:lineRule="exact"/>
              <w:ind w:firstLine="240" w:firstLineChars="100"/>
              <w:rPr>
                <w:rFonts w:hint="eastAsia" w:cs="宋体"/>
                <w:color w:val="auto"/>
                <w:sz w:val="24"/>
                <w:lang w:val="en-US" w:eastAsia="zh-CN"/>
              </w:rPr>
            </w:pPr>
            <w:r>
              <w:rPr>
                <w:rFonts w:hint="eastAsia" w:cs="宋体"/>
                <w:color w:val="auto"/>
                <w:sz w:val="24"/>
                <w:lang w:val="en-US" w:eastAsia="zh-CN"/>
              </w:rPr>
              <w:t>供应商综合得分按下列公式计算（计算分值均保留两位小数）；</w:t>
            </w:r>
          </w:p>
        </w:tc>
      </w:tr>
      <w:tr w14:paraId="4A2E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noWrap w:val="0"/>
            <w:vAlign w:val="center"/>
          </w:tcPr>
          <w:p w14:paraId="7DC6B38C">
            <w:pPr>
              <w:ind w:left="-141" w:leftChars="-76" w:right="-250" w:rightChars="-119" w:hanging="19" w:hangingChars="8"/>
              <w:jc w:val="center"/>
              <w:rPr>
                <w:rFonts w:hint="eastAsia" w:ascii="宋体" w:hAnsi="宋体" w:cs="宋体"/>
                <w:b/>
                <w:color w:val="auto"/>
                <w:sz w:val="24"/>
                <w:szCs w:val="24"/>
              </w:rPr>
            </w:pPr>
            <w:r>
              <w:rPr>
                <w:rFonts w:hint="eastAsia" w:ascii="宋体" w:hAnsi="宋体" w:cs="宋体"/>
                <w:b/>
                <w:color w:val="auto"/>
                <w:sz w:val="24"/>
                <w:szCs w:val="24"/>
              </w:rPr>
              <w:t>2</w:t>
            </w:r>
          </w:p>
        </w:tc>
        <w:tc>
          <w:tcPr>
            <w:tcW w:w="1413" w:type="dxa"/>
            <w:noWrap w:val="0"/>
            <w:vAlign w:val="center"/>
          </w:tcPr>
          <w:p w14:paraId="49698846">
            <w:pPr>
              <w:ind w:left="-107" w:leftChars="-51" w:right="-107" w:rightChars="-51" w:firstLine="1"/>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磋商报价</w:t>
            </w:r>
          </w:p>
          <w:p w14:paraId="741AB7A6">
            <w:pPr>
              <w:ind w:left="-107" w:leftChars="-51" w:right="-107" w:rightChars="-51" w:firstLine="1"/>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15</w:t>
            </w:r>
            <w:r>
              <w:rPr>
                <w:rFonts w:hint="eastAsia" w:ascii="宋体" w:hAnsi="宋体" w:cs="宋体"/>
                <w:snapToGrid w:val="0"/>
                <w:color w:val="auto"/>
                <w:kern w:val="0"/>
                <w:sz w:val="24"/>
                <w:szCs w:val="24"/>
                <w:highlight w:val="none"/>
              </w:rPr>
              <w:t>分</w:t>
            </w:r>
          </w:p>
        </w:tc>
        <w:tc>
          <w:tcPr>
            <w:tcW w:w="7895" w:type="dxa"/>
            <w:gridSpan w:val="2"/>
            <w:noWrap w:val="0"/>
            <w:vAlign w:val="center"/>
          </w:tcPr>
          <w:p w14:paraId="6A176BF6">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1、综合评分法中的价格分统一采用低价优先法计算，即满足磋商文件要求且最后报价最低的供应商的价格为磋商基准价，其价格分为满分。</w:t>
            </w:r>
          </w:p>
          <w:p w14:paraId="423BD3FB">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2、其他供应商的价格分统一按照下列公式计算：</w:t>
            </w:r>
          </w:p>
          <w:p w14:paraId="74BFB86F">
            <w:pPr>
              <w:pStyle w:val="42"/>
              <w:spacing w:before="50" w:line="291" w:lineRule="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磋商报价得分=（磋商基准价/最后磋商报价）×15</w:t>
            </w:r>
          </w:p>
          <w:p w14:paraId="19472B63">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注：超过最高限价的报价采购人不予接受，做无效标处理，分值计算保留两位小数。</w:t>
            </w:r>
          </w:p>
          <w:p w14:paraId="0343F561">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07BB897C">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（2）关于监狱企业：视同小微企业。须提供由省级以上监狱管理局、戒毒管理局（含新疆生产建设兵团）出具的属于监狱企业的证明文件。</w:t>
            </w:r>
          </w:p>
          <w:p w14:paraId="33048277">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（3）关于残疾人福利性单位：视同小微企业。须提供完整的“残疾人福利性单位声明函”。</w:t>
            </w:r>
          </w:p>
          <w:p w14:paraId="59570650">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tc>
      </w:tr>
      <w:tr w14:paraId="6620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restart"/>
            <w:noWrap w:val="0"/>
            <w:vAlign w:val="center"/>
          </w:tcPr>
          <w:p w14:paraId="4CC865B2">
            <w:pPr>
              <w:ind w:left="-141" w:leftChars="-76" w:right="-107" w:rightChars="-51" w:hanging="19" w:hangingChars="8"/>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3</w:t>
            </w:r>
          </w:p>
        </w:tc>
        <w:tc>
          <w:tcPr>
            <w:tcW w:w="1413" w:type="dxa"/>
            <w:vMerge w:val="restart"/>
            <w:noWrap w:val="0"/>
            <w:vAlign w:val="center"/>
          </w:tcPr>
          <w:p w14:paraId="4CEE3A04">
            <w:pPr>
              <w:pStyle w:val="12"/>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w:t>
            </w:r>
            <w:r>
              <w:rPr>
                <w:rFonts w:hint="eastAsia" w:hAnsi="宋体" w:cs="宋体"/>
                <w:color w:val="auto"/>
                <w:sz w:val="24"/>
                <w:lang w:val="en-US" w:eastAsia="zh-CN"/>
              </w:rPr>
              <w:t>标</w:t>
            </w:r>
          </w:p>
          <w:p w14:paraId="35C5B5AD">
            <w:pPr>
              <w:pStyle w:val="12"/>
              <w:spacing w:line="400" w:lineRule="exact"/>
              <w:ind w:left="-199" w:leftChars="-95" w:right="-63" w:rightChars="-30" w:firstLine="0" w:firstLine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宋体" w:hAnsi="宋体" w:cs="宋体"/>
                <w:color w:val="auto"/>
                <w:kern w:val="1"/>
                <w:sz w:val="24"/>
              </w:rPr>
              <w:t>监理大纲</w:t>
            </w:r>
            <w:r>
              <w:rPr>
                <w:rFonts w:hint="eastAsia" w:ascii="宋体" w:hAnsi="宋体" w:cs="宋体"/>
                <w:color w:val="auto"/>
                <w:sz w:val="24"/>
                <w:szCs w:val="24"/>
                <w:lang w:val="en-US" w:eastAsia="zh-CN"/>
              </w:rPr>
              <w:t>）</w:t>
            </w:r>
          </w:p>
          <w:p w14:paraId="3F971BF0">
            <w:pPr>
              <w:ind w:left="-107" w:leftChars="-52" w:right="-107" w:rightChars="-51" w:hanging="2"/>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评分标准</w:t>
            </w:r>
          </w:p>
          <w:p w14:paraId="033B8FEF">
            <w:pPr>
              <w:ind w:left="-107" w:leftChars="-52" w:right="-107" w:rightChars="-51" w:hanging="2"/>
              <w:jc w:val="center"/>
              <w:rPr>
                <w:rFonts w:hint="eastAsia" w:ascii="宋体" w:hAnsi="宋体" w:cs="宋体"/>
                <w:color w:val="auto"/>
                <w:sz w:val="24"/>
                <w:szCs w:val="24"/>
              </w:rPr>
            </w:pPr>
            <w:r>
              <w:rPr>
                <w:rFonts w:hint="eastAsia" w:ascii="宋体" w:hAnsi="宋体" w:cs="宋体"/>
                <w:color w:val="auto"/>
                <w:sz w:val="24"/>
                <w:szCs w:val="24"/>
                <w:lang w:val="en-US" w:eastAsia="zh-CN"/>
              </w:rPr>
              <w:t>45分</w:t>
            </w:r>
          </w:p>
        </w:tc>
        <w:tc>
          <w:tcPr>
            <w:tcW w:w="1813" w:type="dxa"/>
            <w:noWrap w:val="0"/>
            <w:vAlign w:val="center"/>
          </w:tcPr>
          <w:p w14:paraId="4D8C5D4F">
            <w:pPr>
              <w:pStyle w:val="42"/>
              <w:spacing w:before="50" w:line="291"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拟投监理合同段的工程概述（3分）</w:t>
            </w:r>
          </w:p>
        </w:tc>
        <w:tc>
          <w:tcPr>
            <w:tcW w:w="6082" w:type="dxa"/>
            <w:noWrap w:val="0"/>
            <w:vAlign w:val="center"/>
          </w:tcPr>
          <w:p w14:paraId="7B588139">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根据工程的各项参数以及现场状况、工程特点、实施难点，监理工作重点的针对性合理、可行得 3 分；</w:t>
            </w:r>
          </w:p>
          <w:p w14:paraId="509680AA">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根据工程的各项参数以及现场状况、工程特点、实施难点，监理工作重点的针对性基本合理、基本可行得2 分；</w:t>
            </w:r>
          </w:p>
          <w:p w14:paraId="13F0B29C">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根据工程的各项参数以及现场状况、工程特点、实施难点，监理工作重点的针对性不够合理、不够可行得1 分；</w:t>
            </w:r>
          </w:p>
          <w:p w14:paraId="20B0F264">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未提供不得分。</w:t>
            </w:r>
          </w:p>
        </w:tc>
      </w:tr>
      <w:tr w14:paraId="439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center"/>
          </w:tcPr>
          <w:p w14:paraId="50CBB75E">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0D16A257">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17601266">
            <w:pPr>
              <w:autoSpaceDE w:val="0"/>
              <w:autoSpaceDN w:val="0"/>
              <w:adjustRightIn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拟投监理合同段组织机构设置</w:t>
            </w:r>
            <w:r>
              <w:rPr>
                <w:rFonts w:hint="eastAsia" w:ascii="宋体" w:hAnsi="宋体" w:eastAsia="宋体" w:cs="宋体"/>
                <w:kern w:val="2"/>
                <w:sz w:val="24"/>
                <w:szCs w:val="24"/>
                <w:lang w:val="en-US" w:eastAsia="zh-CN" w:bidi="ar"/>
              </w:rPr>
              <w:t>（3分）</w:t>
            </w:r>
          </w:p>
        </w:tc>
        <w:tc>
          <w:tcPr>
            <w:tcW w:w="6082" w:type="dxa"/>
            <w:noWrap w:val="0"/>
            <w:vAlign w:val="center"/>
          </w:tcPr>
          <w:p w14:paraId="36987BE9">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现场监理组织机构健全，各级监理人员岗位职责明确、分工合理，结合施工进度安排监理人员到位、专业和数量满足实际需要得 3 分；</w:t>
            </w:r>
          </w:p>
          <w:p w14:paraId="2C3DCC0D">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现场监理组织架构、监理人员岗位职责、分工基本合理，监理人员能结合施工进度安排、专业和数量满足实际需要得2分；</w:t>
            </w:r>
          </w:p>
          <w:p w14:paraId="01D2E8D2">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现场监理组织架构、监理人员岗位职责、分工不够合理，监理人员能结合施工进度安排、专业和数量基本满足实际需要得1分；</w:t>
            </w:r>
          </w:p>
          <w:p w14:paraId="0814A7A8">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313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63" w:type="dxa"/>
            <w:vMerge w:val="continue"/>
            <w:noWrap w:val="0"/>
            <w:vAlign w:val="center"/>
          </w:tcPr>
          <w:p w14:paraId="46D8E42D">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65D9D31A">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7D2D65B2">
            <w:pPr>
              <w:autoSpaceDE w:val="0"/>
              <w:autoSpaceDN w:val="0"/>
              <w:adjustRightIn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质量控制的方案与措施（</w:t>
            </w:r>
            <w:r>
              <w:rPr>
                <w:rFonts w:hint="eastAsia" w:ascii="宋体" w:hAnsi="宋体" w:eastAsia="宋体" w:cs="宋体"/>
                <w:kern w:val="2"/>
                <w:sz w:val="24"/>
                <w:szCs w:val="24"/>
                <w:lang w:val="en-US" w:eastAsia="zh-CN" w:bidi="ar"/>
              </w:rPr>
              <w:t>5分）</w:t>
            </w:r>
          </w:p>
        </w:tc>
        <w:tc>
          <w:tcPr>
            <w:tcW w:w="6082" w:type="dxa"/>
            <w:noWrap w:val="0"/>
            <w:vAlign w:val="center"/>
          </w:tcPr>
          <w:p w14:paraId="51E5B3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方案具体完善，措施保障性强，得5分；</w:t>
            </w:r>
          </w:p>
          <w:p w14:paraId="57AB27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方案较为具体、基本完善，措施有基本的保障性，得3分；</w:t>
            </w:r>
          </w:p>
          <w:p w14:paraId="4CC184C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0041BDCB">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7D4C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63" w:type="dxa"/>
            <w:vMerge w:val="continue"/>
            <w:noWrap w:val="0"/>
            <w:vAlign w:val="center"/>
          </w:tcPr>
          <w:p w14:paraId="2EAB04F9">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09A5C2DB">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5D58B669">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投资控制的方案与措施</w:t>
            </w:r>
          </w:p>
          <w:p w14:paraId="7E19E7CB">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kern w:val="2"/>
                <w:sz w:val="24"/>
                <w:szCs w:val="24"/>
                <w:lang w:val="en-US" w:eastAsia="zh-CN" w:bidi="ar"/>
              </w:rPr>
              <w:t>5分）</w:t>
            </w:r>
          </w:p>
        </w:tc>
        <w:tc>
          <w:tcPr>
            <w:tcW w:w="6082" w:type="dxa"/>
            <w:noWrap w:val="0"/>
            <w:vAlign w:val="center"/>
          </w:tcPr>
          <w:p w14:paraId="745BD3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方案具体完善，措施保障性强，得5分；</w:t>
            </w:r>
          </w:p>
          <w:p w14:paraId="066221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方案较为具体、基本完善，措施有基本的保障性，得3分；</w:t>
            </w:r>
          </w:p>
          <w:p w14:paraId="41FABB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30A7EC68">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1AEC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3" w:type="dxa"/>
            <w:vMerge w:val="continue"/>
            <w:noWrap w:val="0"/>
            <w:vAlign w:val="center"/>
          </w:tcPr>
          <w:p w14:paraId="392C5997">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4DC3F8DD">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289D32D9">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进度控制的方案与措施</w:t>
            </w:r>
          </w:p>
          <w:p w14:paraId="56DA7502">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kern w:val="2"/>
                <w:sz w:val="24"/>
                <w:szCs w:val="24"/>
                <w:lang w:val="en-US" w:eastAsia="zh-CN" w:bidi="ar"/>
              </w:rPr>
              <w:t>5分）</w:t>
            </w:r>
          </w:p>
        </w:tc>
        <w:tc>
          <w:tcPr>
            <w:tcW w:w="6082" w:type="dxa"/>
            <w:noWrap w:val="0"/>
            <w:vAlign w:val="center"/>
          </w:tcPr>
          <w:p w14:paraId="1D4E7C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方案具体完善，措施保障性强，得5分；</w:t>
            </w:r>
          </w:p>
          <w:p w14:paraId="70A2FC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方案较为具体、基本完善，措施有基本的保障性，得3分；</w:t>
            </w:r>
          </w:p>
          <w:p w14:paraId="60B7F1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63704324">
            <w:pPr>
              <w:pStyle w:val="42"/>
              <w:spacing w:before="50" w:line="291"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02E8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563" w:type="dxa"/>
            <w:vMerge w:val="continue"/>
            <w:noWrap w:val="0"/>
            <w:vAlign w:val="center"/>
          </w:tcPr>
          <w:p w14:paraId="09337DC1">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762DA65F">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5D32641A">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合同管理的方案与措施</w:t>
            </w:r>
          </w:p>
          <w:p w14:paraId="2EF2F3E4">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kern w:val="2"/>
                <w:sz w:val="24"/>
                <w:szCs w:val="24"/>
                <w:lang w:val="en-US" w:eastAsia="zh-CN" w:bidi="ar"/>
              </w:rPr>
              <w:t>5分）</w:t>
            </w:r>
          </w:p>
        </w:tc>
        <w:tc>
          <w:tcPr>
            <w:tcW w:w="6082" w:type="dxa"/>
            <w:noWrap w:val="0"/>
            <w:vAlign w:val="top"/>
          </w:tcPr>
          <w:p w14:paraId="6A8C84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方案具体完善，措施保障性强，得5分；</w:t>
            </w:r>
          </w:p>
          <w:p w14:paraId="1E660F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方案较为具体、基本完善，措施有基本的保障性，得3分；</w:t>
            </w:r>
          </w:p>
          <w:p w14:paraId="7F718D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69EB84C2">
            <w:pPr>
              <w:pStyle w:val="42"/>
              <w:spacing w:before="50" w:line="291"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113C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63" w:type="dxa"/>
            <w:vMerge w:val="continue"/>
            <w:noWrap w:val="0"/>
            <w:vAlign w:val="center"/>
          </w:tcPr>
          <w:p w14:paraId="39DF3165">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02CD1B37">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0D841B7E">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信息管理的方案与措施</w:t>
            </w:r>
          </w:p>
          <w:p w14:paraId="21770E61">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kern w:val="2"/>
                <w:sz w:val="24"/>
                <w:szCs w:val="24"/>
                <w:lang w:val="en-US" w:eastAsia="zh-CN" w:bidi="ar"/>
              </w:rPr>
              <w:t>4分）</w:t>
            </w:r>
          </w:p>
        </w:tc>
        <w:tc>
          <w:tcPr>
            <w:tcW w:w="6082" w:type="dxa"/>
            <w:noWrap w:val="0"/>
            <w:vAlign w:val="top"/>
          </w:tcPr>
          <w:p w14:paraId="64ADB7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方案具体完善，措施保障性强，得4分；</w:t>
            </w:r>
          </w:p>
          <w:p w14:paraId="19756E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方案较为具体、基本完善，措施有基本的保障性，得2分；</w:t>
            </w:r>
          </w:p>
          <w:p w14:paraId="3B3A65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3F39E04E">
            <w:pPr>
              <w:pStyle w:val="42"/>
              <w:spacing w:before="50" w:line="291"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2858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63" w:type="dxa"/>
            <w:vMerge w:val="continue"/>
            <w:noWrap w:val="0"/>
            <w:vAlign w:val="center"/>
          </w:tcPr>
          <w:p w14:paraId="6A8EBC6A">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2AFB620F">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5CF85DDF">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安全、环保及文明施工管理的方案与措施（</w:t>
            </w:r>
            <w:r>
              <w:rPr>
                <w:rFonts w:hint="eastAsia" w:ascii="宋体" w:hAnsi="宋体" w:eastAsia="宋体" w:cs="宋体"/>
                <w:kern w:val="2"/>
                <w:sz w:val="24"/>
                <w:szCs w:val="24"/>
                <w:lang w:val="en-US" w:eastAsia="zh-CN" w:bidi="ar"/>
              </w:rPr>
              <w:t>3分）</w:t>
            </w:r>
          </w:p>
        </w:tc>
        <w:tc>
          <w:tcPr>
            <w:tcW w:w="6082" w:type="dxa"/>
            <w:noWrap w:val="0"/>
            <w:vAlign w:val="top"/>
          </w:tcPr>
          <w:p w14:paraId="58F8E2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方案具体完善，措施保障性强，得3分；</w:t>
            </w:r>
          </w:p>
          <w:p w14:paraId="43756A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方案较为具体、基本完善，措施有基本的保障性，得2分；</w:t>
            </w:r>
          </w:p>
          <w:p w14:paraId="513666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52D4AC1F">
            <w:pPr>
              <w:pStyle w:val="42"/>
              <w:spacing w:before="50" w:line="291"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2FDC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63" w:type="dxa"/>
            <w:vMerge w:val="continue"/>
            <w:noWrap w:val="0"/>
            <w:vAlign w:val="center"/>
          </w:tcPr>
          <w:p w14:paraId="29D27F16">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5AC0F7F1">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065A4FEB">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廉政建设的方案与措施</w:t>
            </w:r>
          </w:p>
          <w:p w14:paraId="4438C4D8">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kern w:val="2"/>
                <w:sz w:val="24"/>
                <w:szCs w:val="24"/>
                <w:lang w:val="en-US" w:eastAsia="zh-CN" w:bidi="ar"/>
              </w:rPr>
              <w:t>3分）</w:t>
            </w:r>
          </w:p>
        </w:tc>
        <w:tc>
          <w:tcPr>
            <w:tcW w:w="6082" w:type="dxa"/>
            <w:noWrap w:val="0"/>
            <w:vAlign w:val="top"/>
          </w:tcPr>
          <w:p w14:paraId="56097C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方案具体完善，措施保障性强，得3分；</w:t>
            </w:r>
          </w:p>
          <w:p w14:paraId="41707D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方案较为具体、基本完善，措施有基本的保障性，得2分；</w:t>
            </w:r>
          </w:p>
          <w:p w14:paraId="46AB89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3EF5F4DF">
            <w:pPr>
              <w:pStyle w:val="42"/>
              <w:spacing w:before="50" w:line="291"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68ED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3" w:type="dxa"/>
            <w:vMerge w:val="continue"/>
            <w:noWrap w:val="0"/>
            <w:vAlign w:val="center"/>
          </w:tcPr>
          <w:p w14:paraId="66CDD495">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0572D7F4">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162F6C9F">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组织协调的方案与措施</w:t>
            </w:r>
          </w:p>
          <w:p w14:paraId="59CCCFF9">
            <w:pPr>
              <w:autoSpaceDE w:val="0"/>
              <w:autoSpaceDN w:val="0"/>
              <w:adjustRightInd w:val="0"/>
              <w:spacing w:before="36" w:line="276" w:lineRule="auto"/>
              <w:ind w:left="42" w:leftChars="20" w:right="42" w:rightChars="20"/>
              <w:jc w:val="center"/>
              <w:rPr>
                <w:rFonts w:hint="eastAsia"/>
                <w:lang w:val="zh-CN" w:eastAsia="zh-CN"/>
              </w:rPr>
            </w:pPr>
            <w:r>
              <w:rPr>
                <w:rFonts w:hint="eastAsia" w:ascii="宋体" w:hAnsi="宋体" w:eastAsia="宋体" w:cs="宋体"/>
                <w:color w:val="auto"/>
                <w:kern w:val="0"/>
                <w:sz w:val="24"/>
                <w:szCs w:val="24"/>
                <w:highlight w:val="none"/>
                <w:lang w:val="zh-CN" w:eastAsia="zh-CN" w:bidi="ar-SA"/>
              </w:rPr>
              <w:t>（3分）</w:t>
            </w:r>
          </w:p>
        </w:tc>
        <w:tc>
          <w:tcPr>
            <w:tcW w:w="6082" w:type="dxa"/>
            <w:noWrap w:val="0"/>
            <w:vAlign w:val="top"/>
          </w:tcPr>
          <w:p w14:paraId="28AEA33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方案具体完善，措施保障性强，得3分；</w:t>
            </w:r>
          </w:p>
          <w:p w14:paraId="79DC9A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方案较为具体、基本完善，措施有基本的保障性，得2分；</w:t>
            </w:r>
          </w:p>
          <w:p w14:paraId="643322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1FEA8196">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7B11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3" w:type="dxa"/>
            <w:vMerge w:val="continue"/>
            <w:noWrap w:val="0"/>
            <w:vAlign w:val="center"/>
          </w:tcPr>
          <w:p w14:paraId="5B9B4848">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1111B20F">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091D19FA">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缺陷责任期监理的方案与措施</w:t>
            </w:r>
          </w:p>
          <w:p w14:paraId="16E14F0E">
            <w:pPr>
              <w:autoSpaceDE w:val="0"/>
              <w:autoSpaceDN w:val="0"/>
              <w:adjustRightInd w:val="0"/>
              <w:spacing w:before="36" w:line="276" w:lineRule="auto"/>
              <w:ind w:left="42" w:leftChars="20" w:right="42" w:rightChars="20"/>
              <w:jc w:val="center"/>
              <w:rPr>
                <w:rFonts w:hint="eastAsia"/>
                <w:lang w:val="zh-CN" w:eastAsia="zh-CN"/>
              </w:rPr>
            </w:pPr>
            <w:r>
              <w:rPr>
                <w:rFonts w:hint="eastAsia" w:ascii="宋体" w:hAnsi="宋体" w:eastAsia="宋体" w:cs="宋体"/>
                <w:color w:val="auto"/>
                <w:kern w:val="0"/>
                <w:sz w:val="24"/>
                <w:szCs w:val="24"/>
                <w:highlight w:val="none"/>
                <w:lang w:val="zh-CN" w:eastAsia="zh-CN" w:bidi="ar-SA"/>
              </w:rPr>
              <w:t>（3分）</w:t>
            </w:r>
          </w:p>
        </w:tc>
        <w:tc>
          <w:tcPr>
            <w:tcW w:w="6082" w:type="dxa"/>
            <w:noWrap w:val="0"/>
            <w:vAlign w:val="top"/>
          </w:tcPr>
          <w:p w14:paraId="4D946F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方案具体完善，措施保障性强，得3分；</w:t>
            </w:r>
          </w:p>
          <w:p w14:paraId="4FC52F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方案较为具体、基本完善，措施有基本的保障性，得2分；</w:t>
            </w:r>
          </w:p>
          <w:p w14:paraId="2A36F3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方案简略、不完善，措施保障性较差，得1分；</w:t>
            </w:r>
          </w:p>
          <w:p w14:paraId="448B438E">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2472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3" w:type="dxa"/>
            <w:vMerge w:val="continue"/>
            <w:noWrap w:val="0"/>
            <w:vAlign w:val="center"/>
          </w:tcPr>
          <w:p w14:paraId="0C810F9E">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4C8822ED">
            <w:pPr>
              <w:ind w:left="-107" w:leftChars="-52" w:right="-107" w:rightChars="-51" w:hanging="2"/>
              <w:jc w:val="center"/>
              <w:rPr>
                <w:rFonts w:hint="eastAsia" w:ascii="宋体" w:hAnsi="宋体" w:cs="宋体"/>
                <w:color w:val="auto"/>
                <w:sz w:val="24"/>
                <w:szCs w:val="24"/>
              </w:rPr>
            </w:pPr>
          </w:p>
        </w:tc>
        <w:tc>
          <w:tcPr>
            <w:tcW w:w="1813" w:type="dxa"/>
            <w:noWrap w:val="0"/>
            <w:vAlign w:val="center"/>
          </w:tcPr>
          <w:p w14:paraId="5D139C0E">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本工程监理工作的重点与难点分析</w:t>
            </w:r>
          </w:p>
          <w:p w14:paraId="10F45528">
            <w:pPr>
              <w:autoSpaceDE w:val="0"/>
              <w:autoSpaceDN w:val="0"/>
              <w:adjustRightInd w:val="0"/>
              <w:spacing w:before="36" w:line="276" w:lineRule="auto"/>
              <w:ind w:left="42" w:leftChars="20" w:right="42" w:rightChars="20"/>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（3分）</w:t>
            </w:r>
          </w:p>
        </w:tc>
        <w:tc>
          <w:tcPr>
            <w:tcW w:w="6082" w:type="dxa"/>
            <w:noWrap w:val="0"/>
            <w:vAlign w:val="top"/>
          </w:tcPr>
          <w:p w14:paraId="5B3C3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重、难点分析合理全面、精准透彻，对策切实有效、预防性强，得3分；</w:t>
            </w:r>
          </w:p>
          <w:p w14:paraId="1B1505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重、难点分析基本合理、较为全面、准确，对策基本切合实际，有一定的效果和预防性，得2分；</w:t>
            </w:r>
          </w:p>
          <w:p w14:paraId="0FB03B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重、难点分析不够合理、片面、含糊不清，对策不切实际、收效甚微、预防性较差，得1分；</w:t>
            </w:r>
          </w:p>
          <w:p w14:paraId="0E6FE6E1">
            <w:pPr>
              <w:pStyle w:val="42"/>
              <w:spacing w:before="50" w:line="291"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kern w:val="2"/>
                <w:sz w:val="24"/>
                <w:szCs w:val="24"/>
                <w:lang w:val="en-US" w:eastAsia="zh-CN" w:bidi="ar"/>
              </w:rPr>
              <w:t>未提供不得分</w:t>
            </w:r>
            <w:r>
              <w:rPr>
                <w:rFonts w:hint="eastAsia" w:ascii="宋体" w:hAnsi="宋体" w:eastAsia="宋体" w:cs="宋体"/>
                <w:color w:val="auto"/>
                <w:kern w:val="0"/>
                <w:sz w:val="24"/>
                <w:szCs w:val="24"/>
                <w:highlight w:val="none"/>
                <w:lang w:val="en-US" w:eastAsia="zh-CN" w:bidi="ar-SA"/>
              </w:rPr>
              <w:t>。</w:t>
            </w:r>
          </w:p>
        </w:tc>
      </w:tr>
      <w:tr w14:paraId="5D00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63" w:type="dxa"/>
            <w:vMerge w:val="restart"/>
            <w:noWrap w:val="0"/>
            <w:vAlign w:val="center"/>
          </w:tcPr>
          <w:p w14:paraId="2702B423">
            <w:pPr>
              <w:ind w:left="-141" w:leftChars="-76" w:right="-107" w:rightChars="-51" w:hanging="19" w:hangingChars="8"/>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 xml:space="preserve"> </w:t>
            </w:r>
          </w:p>
        </w:tc>
        <w:tc>
          <w:tcPr>
            <w:tcW w:w="1413" w:type="dxa"/>
            <w:vMerge w:val="restart"/>
            <w:noWrap w:val="0"/>
            <w:vAlign w:val="center"/>
          </w:tcPr>
          <w:p w14:paraId="3258F88B">
            <w:pPr>
              <w:ind w:left="-107" w:leftChars="-52" w:right="-107" w:rightChars="-51" w:hanging="2"/>
              <w:jc w:val="center"/>
              <w:rPr>
                <w:rFonts w:hint="eastAsia" w:hAnsi="宋体" w:cs="宋体"/>
                <w:color w:val="auto"/>
                <w:sz w:val="24"/>
                <w:lang w:val="en-US" w:eastAsia="zh-CN"/>
              </w:rPr>
            </w:pPr>
            <w:r>
              <w:rPr>
                <w:rFonts w:hint="eastAsia" w:ascii="宋体" w:hAnsi="宋体" w:cs="宋体"/>
                <w:color w:val="auto"/>
                <w:sz w:val="24"/>
                <w:szCs w:val="24"/>
              </w:rPr>
              <w:t>商务</w:t>
            </w:r>
            <w:r>
              <w:rPr>
                <w:rFonts w:hint="eastAsia" w:hAnsi="宋体" w:cs="宋体"/>
                <w:color w:val="auto"/>
                <w:sz w:val="24"/>
                <w:lang w:val="en-US" w:eastAsia="zh-CN"/>
              </w:rPr>
              <w:t>标</w:t>
            </w:r>
          </w:p>
          <w:p w14:paraId="2BE69BF5">
            <w:pPr>
              <w:ind w:left="-107" w:leftChars="-52" w:right="-107" w:rightChars="-51" w:hanging="2"/>
              <w:jc w:val="center"/>
              <w:rPr>
                <w:rFonts w:hint="default" w:ascii="宋体" w:hAnsi="宋体" w:cs="宋体"/>
                <w:color w:val="auto"/>
                <w:sz w:val="24"/>
                <w:szCs w:val="24"/>
                <w:lang w:val="en-US"/>
              </w:rPr>
            </w:pPr>
            <w:r>
              <w:rPr>
                <w:rFonts w:hint="eastAsia" w:hAnsi="宋体" w:cs="宋体"/>
                <w:color w:val="auto"/>
                <w:sz w:val="24"/>
                <w:lang w:val="en-US" w:eastAsia="zh-CN"/>
              </w:rPr>
              <w:t>评分标准</w:t>
            </w:r>
          </w:p>
          <w:p w14:paraId="1ED5A377">
            <w:pPr>
              <w:ind w:left="-107" w:leftChars="-52" w:right="-107" w:rightChars="-51" w:hanging="2"/>
              <w:jc w:val="center"/>
              <w:rPr>
                <w:rFonts w:hint="eastAsia" w:ascii="宋体" w:hAnsi="宋体" w:cs="宋体"/>
                <w:color w:val="auto"/>
                <w:sz w:val="24"/>
                <w:szCs w:val="24"/>
              </w:rPr>
            </w:pPr>
            <w:r>
              <w:rPr>
                <w:rFonts w:hint="eastAsia" w:ascii="宋体" w:hAnsi="宋体" w:cs="宋体"/>
                <w:color w:val="auto"/>
                <w:sz w:val="24"/>
                <w:szCs w:val="24"/>
                <w:lang w:val="en-US" w:eastAsia="zh-CN"/>
              </w:rPr>
              <w:t>40</w:t>
            </w:r>
            <w:r>
              <w:rPr>
                <w:rFonts w:hint="eastAsia" w:ascii="宋体" w:hAnsi="宋体" w:cs="宋体"/>
                <w:color w:val="auto"/>
                <w:sz w:val="24"/>
                <w:szCs w:val="24"/>
              </w:rPr>
              <w:t>分</w:t>
            </w:r>
          </w:p>
        </w:tc>
        <w:tc>
          <w:tcPr>
            <w:tcW w:w="1813" w:type="dxa"/>
            <w:noWrap w:val="0"/>
            <w:vAlign w:val="center"/>
          </w:tcPr>
          <w:p w14:paraId="327FF7B9">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w:t>
            </w:r>
            <w:r>
              <w:rPr>
                <w:rFonts w:hint="eastAsia" w:ascii="宋体" w:hAnsi="宋体" w:eastAsia="宋体" w:cs="Times New Roman"/>
                <w:color w:val="auto"/>
                <w:sz w:val="24"/>
                <w:szCs w:val="24"/>
                <w:highlight w:val="none"/>
                <w:lang w:eastAsia="zh-CN"/>
              </w:rPr>
              <w:t>业</w:t>
            </w:r>
            <w:r>
              <w:rPr>
                <w:rFonts w:hint="eastAsia" w:ascii="宋体" w:hAnsi="宋体" w:eastAsia="宋体" w:cs="Times New Roman"/>
                <w:color w:val="auto"/>
                <w:sz w:val="24"/>
                <w:szCs w:val="24"/>
                <w:highlight w:val="none"/>
              </w:rPr>
              <w:t>绩</w:t>
            </w:r>
          </w:p>
          <w:p w14:paraId="01C5DC4B">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分）</w:t>
            </w:r>
          </w:p>
        </w:tc>
        <w:tc>
          <w:tcPr>
            <w:tcW w:w="6082" w:type="dxa"/>
            <w:noWrap w:val="0"/>
            <w:vAlign w:val="top"/>
          </w:tcPr>
          <w:p w14:paraId="0CC7A903">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color w:val="auto"/>
                <w:sz w:val="24"/>
                <w:szCs w:val="24"/>
                <w:highlight w:val="none"/>
                <w:lang w:val="en-US" w:eastAsia="en-US"/>
              </w:rPr>
            </w:pPr>
            <w:r>
              <w:rPr>
                <w:rFonts w:hint="eastAsia" w:ascii="宋体" w:hAnsi="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en-US" w:eastAsia="en-US"/>
              </w:rPr>
              <w:t>近5年（2021年1月1日至投标截止时间，以交（竣）工日期为准）的一级及以上公路机电工程（须包含通信、监控等系统）施工监理业绩，每提供一份得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en-US"/>
              </w:rPr>
              <w:t>分，共得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val="en-US" w:eastAsia="en-US"/>
              </w:rPr>
              <w:t>分。</w:t>
            </w:r>
          </w:p>
          <w:p w14:paraId="5DAD0185">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en-US"/>
              </w:rPr>
              <w:t>注：提供合同协议书扫描件和交（竣）工相关证明材料</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zh-CN" w:eastAsia="en-US"/>
              </w:rPr>
              <w:t>注：企业业绩与项目总</w:t>
            </w:r>
            <w:r>
              <w:rPr>
                <w:rFonts w:hint="eastAsia" w:ascii="宋体" w:hAnsi="宋体" w:eastAsia="宋体" w:cs="Times New Roman"/>
                <w:color w:val="auto"/>
                <w:sz w:val="24"/>
                <w:szCs w:val="24"/>
                <w:highlight w:val="none"/>
                <w:lang w:val="en-US" w:eastAsia="zh-CN"/>
              </w:rPr>
              <w:t>监</w:t>
            </w:r>
            <w:r>
              <w:rPr>
                <w:rFonts w:hint="eastAsia" w:ascii="宋体" w:hAnsi="宋体" w:eastAsia="宋体" w:cs="Times New Roman"/>
                <w:color w:val="auto"/>
                <w:sz w:val="24"/>
                <w:szCs w:val="24"/>
                <w:highlight w:val="none"/>
                <w:lang w:val="zh-CN" w:eastAsia="en-US"/>
              </w:rPr>
              <w:t>业绩可重复计分。</w:t>
            </w:r>
          </w:p>
        </w:tc>
      </w:tr>
      <w:tr w14:paraId="699D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3" w:type="dxa"/>
            <w:vMerge w:val="continue"/>
            <w:noWrap w:val="0"/>
            <w:vAlign w:val="center"/>
          </w:tcPr>
          <w:p w14:paraId="72DDFDB8">
            <w:pPr>
              <w:ind w:left="-141" w:leftChars="-76" w:right="-107" w:rightChars="-51" w:hanging="19" w:hangingChars="8"/>
              <w:jc w:val="center"/>
              <w:rPr>
                <w:rFonts w:hint="eastAsia" w:ascii="宋体" w:hAnsi="宋体" w:cs="宋体"/>
                <w:b/>
                <w:color w:val="auto"/>
                <w:sz w:val="24"/>
                <w:szCs w:val="24"/>
              </w:rPr>
            </w:pPr>
          </w:p>
        </w:tc>
        <w:tc>
          <w:tcPr>
            <w:tcW w:w="1413" w:type="dxa"/>
            <w:vMerge w:val="continue"/>
            <w:noWrap w:val="0"/>
            <w:vAlign w:val="center"/>
          </w:tcPr>
          <w:p w14:paraId="43B4D72C">
            <w:pPr>
              <w:ind w:left="-107" w:leftChars="-52" w:right="-107" w:rightChars="-51" w:hanging="2"/>
              <w:jc w:val="center"/>
              <w:rPr>
                <w:rFonts w:hint="eastAsia" w:ascii="宋体" w:hAnsi="宋体" w:cs="宋体"/>
                <w:color w:val="auto"/>
                <w:sz w:val="24"/>
                <w:szCs w:val="24"/>
                <w:lang w:val="en-US" w:eastAsia="zh-CN"/>
              </w:rPr>
            </w:pPr>
          </w:p>
        </w:tc>
        <w:tc>
          <w:tcPr>
            <w:tcW w:w="1813" w:type="dxa"/>
            <w:noWrap w:val="0"/>
            <w:vAlign w:val="center"/>
          </w:tcPr>
          <w:p w14:paraId="0D91D2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监理机构设置（</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6082" w:type="dxa"/>
            <w:noWrap w:val="0"/>
            <w:vAlign w:val="center"/>
          </w:tcPr>
          <w:p w14:paraId="4288F43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1）拟派总监理工程师（5分）：具有8年及以上监理经历（以取得监理职业资格证书为准，若增项专业的以第一次取得资格证书为准）得分2分； 具有相关专业高级及以上技术职称得1分；具有类似业绩得2分。</w:t>
            </w:r>
          </w:p>
          <w:p w14:paraId="603307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拟派专业监理工程师（4分）：具有交通运输部公路工程监理工程师资格（机电专业）或注册交通运输工程专业监理工程师资格证书，且具有中级及以上职称；每增加1人加2分，最多加4分。</w:t>
            </w:r>
          </w:p>
          <w:p w14:paraId="1C38BC9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lang w:val="en-US" w:eastAsia="zh-CN"/>
              </w:rPr>
              <w:t>安全环保工程师（3 分）：具有中级以上及技术职称，交通部专业监理工程师证书或人力资源和社会保障部颁发的监理工程师执业资格证书，具有安全、环保培训证书，每增加1人加1.5分，最多加3分。</w:t>
            </w:r>
          </w:p>
          <w:p w14:paraId="7BF30A9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4）</w:t>
            </w:r>
            <w:r>
              <w:rPr>
                <w:rFonts w:hint="default" w:ascii="宋体" w:hAnsi="宋体" w:eastAsia="宋体" w:cs="Times New Roman"/>
                <w:color w:val="auto"/>
                <w:sz w:val="24"/>
                <w:szCs w:val="24"/>
                <w:highlight w:val="none"/>
                <w:lang w:val="en-US" w:eastAsia="zh-CN"/>
              </w:rPr>
              <w:t>监理员（8 分）：具有初级职称及相关监理员培训证；每增加 1 人加 1分，最多加8分。</w:t>
            </w:r>
          </w:p>
          <w:p w14:paraId="02EE1D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注：</w:t>
            </w:r>
            <w:r>
              <w:rPr>
                <w:rFonts w:hint="eastAsia" w:ascii="宋体" w:hAnsi="宋体" w:eastAsia="宋体" w:cs="Times New Roman"/>
                <w:color w:val="auto"/>
                <w:sz w:val="24"/>
                <w:szCs w:val="24"/>
                <w:highlight w:val="none"/>
                <w:lang w:val="en-US" w:eastAsia="zh-CN"/>
              </w:rPr>
              <w:t>1、</w:t>
            </w:r>
            <w:r>
              <w:rPr>
                <w:rFonts w:hint="default" w:ascii="宋体" w:hAnsi="宋体" w:eastAsia="宋体" w:cs="Times New Roman"/>
                <w:color w:val="auto"/>
                <w:sz w:val="24"/>
                <w:szCs w:val="24"/>
                <w:highlight w:val="none"/>
                <w:lang w:val="en-US" w:eastAsia="zh-CN"/>
              </w:rPr>
              <w:t>以上人员须附证书扫描件或复印件，及在本单位缴纳养老保险证明材料（提供本单位缴纳的2025年6月1日以来任意一个月养老保险证明，否则不得分）</w:t>
            </w:r>
          </w:p>
          <w:p w14:paraId="0545400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lang w:val="en-US" w:eastAsia="zh-CN"/>
              </w:rPr>
            </w:pP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拟委任的总监理工程师</w:t>
            </w:r>
            <w:r>
              <w:rPr>
                <w:rFonts w:hint="eastAsia" w:ascii="宋体" w:hAnsi="宋体" w:eastAsia="宋体" w:cs="Times New Roman"/>
                <w:color w:val="auto"/>
                <w:sz w:val="24"/>
                <w:szCs w:val="24"/>
                <w:highlight w:val="none"/>
                <w:lang w:val="en-US" w:eastAsia="zh-CN"/>
              </w:rPr>
              <w:t>个人业绩</w:t>
            </w:r>
            <w:r>
              <w:rPr>
                <w:rFonts w:hint="default" w:ascii="宋体" w:hAnsi="宋体" w:eastAsia="宋体" w:cs="Times New Roman"/>
                <w:color w:val="auto"/>
                <w:sz w:val="24"/>
                <w:szCs w:val="24"/>
                <w:highlight w:val="none"/>
                <w:lang w:val="en-US" w:eastAsia="zh-CN"/>
              </w:rPr>
              <w:t>附交通运输部“</w:t>
            </w:r>
            <w:r>
              <w:rPr>
                <w:rFonts w:hint="eastAsia" w:ascii="宋体" w:hAnsi="宋体" w:eastAsia="宋体" w:cs="Times New Roman"/>
                <w:color w:val="auto"/>
                <w:sz w:val="24"/>
                <w:szCs w:val="24"/>
                <w:highlight w:val="none"/>
                <w:lang w:val="en-US" w:eastAsia="zh-CN"/>
              </w:rPr>
              <w:t>全国公路建设市场监督管理系统</w:t>
            </w:r>
            <w:r>
              <w:rPr>
                <w:rFonts w:hint="default" w:ascii="宋体" w:hAnsi="宋体" w:eastAsia="宋体" w:cs="Times New Roman"/>
                <w:color w:val="auto"/>
                <w:sz w:val="24"/>
                <w:szCs w:val="24"/>
                <w:highlight w:val="none"/>
                <w:lang w:val="en-US" w:eastAsia="zh-CN"/>
              </w:rPr>
              <w:t>”中载明的、能够证明总监理工程师具有相关业绩的网页截图复印件。在交通运输部“</w:t>
            </w:r>
            <w:r>
              <w:rPr>
                <w:rFonts w:hint="eastAsia" w:ascii="宋体" w:hAnsi="宋体" w:eastAsia="宋体" w:cs="Times New Roman"/>
                <w:color w:val="auto"/>
                <w:sz w:val="24"/>
                <w:szCs w:val="24"/>
                <w:highlight w:val="none"/>
                <w:lang w:val="en-US" w:eastAsia="zh-CN"/>
              </w:rPr>
              <w:t>全国公路建设市场监督管理系统</w:t>
            </w:r>
            <w:r>
              <w:rPr>
                <w:rFonts w:hint="default" w:ascii="宋体" w:hAnsi="宋体" w:eastAsia="宋体" w:cs="Times New Roman"/>
                <w:color w:val="auto"/>
                <w:sz w:val="24"/>
                <w:szCs w:val="24"/>
                <w:highlight w:val="none"/>
                <w:lang w:val="en-US" w:eastAsia="zh-CN"/>
              </w:rPr>
              <w:t>” 中无法查询，但可在省级交通运输主管部门“公路建设市场信用信息管理系统” 中查询的，应附省级交通运输主管部门“公路建设市场信用信息管理系统”中查询到的网页截图复印件并注明查询路径。除网页截图复印件外，投标人无须再提供任何业绩证明材料。如投标人未提供相关业绩网页截图复印件或相关业绩网页截图中的信息无法证实</w:t>
            </w:r>
            <w:r>
              <w:rPr>
                <w:rFonts w:hint="eastAsia" w:ascii="宋体" w:hAnsi="宋体" w:eastAsia="宋体" w:cs="Times New Roman"/>
                <w:color w:val="auto"/>
                <w:sz w:val="24"/>
                <w:szCs w:val="24"/>
                <w:highlight w:val="none"/>
                <w:lang w:val="en-US" w:eastAsia="zh-CN"/>
              </w:rPr>
              <w:t>，投标人可提供中标结果网页截图、中标通知书、监理合同及工程交（竣）工验收证书（或报告）或其他有效证明材料的复印件（原件备查）。</w:t>
            </w:r>
          </w:p>
        </w:tc>
      </w:tr>
      <w:tr w14:paraId="3387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63" w:type="dxa"/>
            <w:vMerge w:val="continue"/>
            <w:noWrap w:val="0"/>
            <w:vAlign w:val="center"/>
          </w:tcPr>
          <w:p w14:paraId="1CEA83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tc>
        <w:tc>
          <w:tcPr>
            <w:tcW w:w="1413" w:type="dxa"/>
            <w:vMerge w:val="continue"/>
            <w:noWrap w:val="0"/>
            <w:vAlign w:val="center"/>
          </w:tcPr>
          <w:p w14:paraId="1CF3D62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tc>
        <w:tc>
          <w:tcPr>
            <w:tcW w:w="1813" w:type="dxa"/>
            <w:vMerge w:val="restart"/>
            <w:noWrap w:val="0"/>
            <w:vAlign w:val="center"/>
          </w:tcPr>
          <w:p w14:paraId="50D7C0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p w14:paraId="2265323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p>
          <w:p w14:paraId="55F47ED6">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p>
          <w:p w14:paraId="45114DF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p>
          <w:p w14:paraId="69B8B5A6">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p>
          <w:p w14:paraId="247CF116">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p>
          <w:p w14:paraId="1A78CC58">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服务承诺</w:t>
            </w:r>
          </w:p>
          <w:p w14:paraId="621F49DC">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（11分）</w:t>
            </w:r>
          </w:p>
        </w:tc>
        <w:tc>
          <w:tcPr>
            <w:tcW w:w="6082" w:type="dxa"/>
            <w:noWrap w:val="0"/>
            <w:vAlign w:val="center"/>
          </w:tcPr>
          <w:p w14:paraId="504AA62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一、提供①现场监理人员到位及不准兼职的承诺及措施；②监理单位未经建设单位同意，不得更换项目总监的承诺及措施：</w:t>
            </w:r>
          </w:p>
          <w:p w14:paraId="61EBD9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1、以上要点承诺内容齐全且包含完善详细的保障措施，完全符合要求得6分；</w:t>
            </w:r>
          </w:p>
          <w:p w14:paraId="3BFDC6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2、以上要点承诺内容基本齐全，包含较为完善、基本详细的保障措施，大体符合要求得4分；</w:t>
            </w:r>
          </w:p>
          <w:p w14:paraId="00D22C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3、以上要点承诺内容不够齐全，包含的保障措施不完善、简略，不够符合要求得2分；</w:t>
            </w:r>
          </w:p>
          <w:p w14:paraId="52F4FAF2">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Times New Roman"/>
                <w:color w:val="auto"/>
                <w:sz w:val="24"/>
                <w:szCs w:val="24"/>
                <w:highlight w:val="none"/>
                <w:lang w:val="en-US" w:eastAsia="zh-CN"/>
              </w:rPr>
            </w:pPr>
            <w:r>
              <w:rPr>
                <w:rFonts w:hint="eastAsia" w:ascii="宋体" w:hAnsi="宋体" w:eastAsia="宋体" w:cs="宋体"/>
                <w:kern w:val="2"/>
                <w:sz w:val="24"/>
                <w:szCs w:val="24"/>
                <w:lang w:val="en-US" w:eastAsia="zh-CN" w:bidi="ar"/>
              </w:rPr>
              <w:t>不提供则不得分。</w:t>
            </w:r>
          </w:p>
        </w:tc>
      </w:tr>
      <w:tr w14:paraId="5883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63" w:type="dxa"/>
            <w:vMerge w:val="continue"/>
            <w:noWrap w:val="0"/>
            <w:vAlign w:val="center"/>
          </w:tcPr>
          <w:p w14:paraId="1C2BEEE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tc>
        <w:tc>
          <w:tcPr>
            <w:tcW w:w="1413" w:type="dxa"/>
            <w:vMerge w:val="continue"/>
            <w:noWrap w:val="0"/>
            <w:vAlign w:val="center"/>
          </w:tcPr>
          <w:p w14:paraId="46892BD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tc>
        <w:tc>
          <w:tcPr>
            <w:tcW w:w="1813" w:type="dxa"/>
            <w:vMerge w:val="continue"/>
            <w:noWrap w:val="0"/>
            <w:vAlign w:val="center"/>
          </w:tcPr>
          <w:p w14:paraId="7F8D730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p>
        </w:tc>
        <w:tc>
          <w:tcPr>
            <w:tcW w:w="6082" w:type="dxa"/>
            <w:noWrap w:val="0"/>
            <w:vAlign w:val="center"/>
          </w:tcPr>
          <w:p w14:paraId="7EC74D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二、施工期、保修期及缺陷责任期的服务承诺：</w:t>
            </w:r>
          </w:p>
          <w:p w14:paraId="0F225A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1、承诺内容完善齐全、保障性强得5分；</w:t>
            </w:r>
          </w:p>
          <w:p w14:paraId="69BF54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2、承诺内容基本完善、较为齐全、具有基本的保障性得3分；</w:t>
            </w:r>
          </w:p>
          <w:p w14:paraId="6A7C2E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3、承诺内容不够完善有欠缺、保障性较差得1分；</w:t>
            </w:r>
          </w:p>
          <w:p w14:paraId="088C3043">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Times New Roman"/>
                <w:color w:val="auto"/>
                <w:sz w:val="24"/>
                <w:szCs w:val="24"/>
                <w:highlight w:val="none"/>
                <w:lang w:val="en-US" w:eastAsia="zh-CN"/>
              </w:rPr>
            </w:pPr>
            <w:r>
              <w:rPr>
                <w:rFonts w:hint="eastAsia" w:ascii="宋体" w:hAnsi="宋体" w:eastAsia="宋体" w:cs="宋体"/>
                <w:kern w:val="2"/>
                <w:sz w:val="24"/>
                <w:szCs w:val="24"/>
                <w:lang w:val="en-US" w:eastAsia="zh-CN" w:bidi="ar"/>
              </w:rPr>
              <w:t>不提供则不得分。</w:t>
            </w:r>
          </w:p>
        </w:tc>
      </w:tr>
      <w:tr w14:paraId="4B68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71" w:type="dxa"/>
            <w:gridSpan w:val="4"/>
            <w:noWrap w:val="0"/>
            <w:vAlign w:val="center"/>
          </w:tcPr>
          <w:p w14:paraId="1E375B7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1、供应商综合得分按下列公式计算(计算分值均保留两位小数): 供应商得分=报价得分+技术标得分+商务标得分。</w:t>
            </w:r>
          </w:p>
          <w:p w14:paraId="7332316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2、以上评分项中要求供应商提供的证件、证明等材料，以在响应文件中提供原件的扫描件为准，扫描件须清晰可辨，供应商对其真实性负责。</w:t>
            </w:r>
          </w:p>
        </w:tc>
      </w:tr>
    </w:tbl>
    <w:p w14:paraId="1FA5AA38">
      <w:pPr>
        <w:keepNext/>
        <w:keepLines/>
        <w:wordWrap w:val="0"/>
        <w:topLinePunct/>
        <w:spacing w:line="360" w:lineRule="auto"/>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1.评审办法</w:t>
      </w:r>
    </w:p>
    <w:p w14:paraId="34834B37">
      <w:pPr>
        <w:autoSpaceDE w:val="0"/>
        <w:autoSpaceDN w:val="0"/>
        <w:adjustRightInd w:val="0"/>
        <w:spacing w:line="360" w:lineRule="auto"/>
        <w:ind w:right="-23"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本次竞争性磋商采用综合评分法评审，磋商小组对满</w:t>
      </w:r>
      <w:r>
        <w:rPr>
          <w:rFonts w:hint="eastAsia" w:ascii="宋体" w:hAnsi="宋体" w:eastAsia="宋体" w:cs="宋体"/>
          <w:spacing w:val="-2"/>
          <w:kern w:val="0"/>
          <w:sz w:val="24"/>
          <w:szCs w:val="24"/>
          <w:highlight w:val="none"/>
        </w:rPr>
        <w:t>足</w:t>
      </w:r>
      <w:r>
        <w:rPr>
          <w:rFonts w:hint="eastAsia" w:ascii="宋体" w:hAnsi="宋体" w:eastAsia="宋体" w:cs="宋体"/>
          <w:kern w:val="0"/>
          <w:sz w:val="24"/>
          <w:szCs w:val="24"/>
          <w:highlight w:val="none"/>
        </w:rPr>
        <w:t>竞争性磋商文件实质性要求且最终确定采购需求和在规定时间提交最后报价的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件，且按照评审因素的量化指标评审得分最高的供应商为成交候选人的评审方法。</w:t>
      </w:r>
    </w:p>
    <w:p w14:paraId="1C8F57E9">
      <w:pPr>
        <w:keepNext/>
        <w:keepLines/>
        <w:numPr>
          <w:ilvl w:val="0"/>
          <w:numId w:val="3"/>
        </w:numPr>
        <w:wordWrap w:val="0"/>
        <w:topLinePunct/>
        <w:spacing w:line="360" w:lineRule="auto"/>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评审标准</w:t>
      </w:r>
    </w:p>
    <w:p w14:paraId="33453497">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初步评审标准</w:t>
      </w:r>
    </w:p>
    <w:p w14:paraId="1B975DD9">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24A3D232">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w:t>
      </w:r>
      <w:r>
        <w:rPr>
          <w:rFonts w:hint="eastAsia" w:ascii="宋体" w:hAnsi="宋体" w:eastAsia="宋体" w:cs="宋体"/>
          <w:spacing w:val="-2"/>
          <w:kern w:val="0"/>
          <w:sz w:val="24"/>
          <w:szCs w:val="24"/>
          <w:highlight w:val="none"/>
        </w:rPr>
        <w:t>格性</w:t>
      </w:r>
      <w:r>
        <w:rPr>
          <w:rFonts w:hint="eastAsia" w:ascii="宋体" w:hAnsi="宋体" w:eastAsia="宋体" w:cs="宋体"/>
          <w:kern w:val="0"/>
          <w:sz w:val="24"/>
          <w:szCs w:val="24"/>
          <w:highlight w:val="none"/>
        </w:rPr>
        <w:t>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05203762">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性</w:t>
      </w:r>
      <w:r>
        <w:rPr>
          <w:rFonts w:hint="eastAsia" w:ascii="宋体" w:hAnsi="宋体" w:eastAsia="宋体" w:cs="宋体"/>
          <w:spacing w:val="-2"/>
          <w:kern w:val="0"/>
          <w:sz w:val="24"/>
          <w:szCs w:val="24"/>
          <w:highlight w:val="none"/>
        </w:rPr>
        <w:t>评</w:t>
      </w:r>
      <w:r>
        <w:rPr>
          <w:rFonts w:hint="eastAsia" w:ascii="宋体" w:hAnsi="宋体" w:eastAsia="宋体" w:cs="宋体"/>
          <w:kern w:val="0"/>
          <w:sz w:val="24"/>
          <w:szCs w:val="24"/>
          <w:highlight w:val="none"/>
        </w:rPr>
        <w:t>审</w:t>
      </w:r>
      <w:r>
        <w:rPr>
          <w:rFonts w:hint="eastAsia" w:ascii="宋体" w:hAnsi="宋体" w:eastAsia="宋体" w:cs="宋体"/>
          <w:spacing w:val="-2"/>
          <w:kern w:val="0"/>
          <w:sz w:val="24"/>
          <w:szCs w:val="24"/>
          <w:highlight w:val="none"/>
        </w:rPr>
        <w:t>标</w:t>
      </w:r>
      <w:r>
        <w:rPr>
          <w:rFonts w:hint="eastAsia" w:ascii="宋体" w:hAnsi="宋体" w:eastAsia="宋体" w:cs="宋体"/>
          <w:kern w:val="0"/>
          <w:sz w:val="24"/>
          <w:szCs w:val="24"/>
          <w:highlight w:val="none"/>
        </w:rPr>
        <w:t>准</w:t>
      </w:r>
      <w:r>
        <w:rPr>
          <w:rFonts w:hint="eastAsia" w:ascii="宋体" w:hAnsi="宋体" w:eastAsia="宋体" w:cs="宋体"/>
          <w:spacing w:val="-2"/>
          <w:kern w:val="0"/>
          <w:sz w:val="24"/>
          <w:szCs w:val="24"/>
          <w:highlight w:val="none"/>
        </w:rPr>
        <w:t>：见</w:t>
      </w:r>
      <w:r>
        <w:rPr>
          <w:rFonts w:hint="eastAsia" w:ascii="宋体" w:hAnsi="宋体" w:eastAsia="宋体" w:cs="宋体"/>
          <w:kern w:val="0"/>
          <w:sz w:val="24"/>
          <w:szCs w:val="24"/>
          <w:highlight w:val="none"/>
        </w:rPr>
        <w:t>评审办法</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127976A4">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分值构成与评分标准</w:t>
      </w:r>
    </w:p>
    <w:p w14:paraId="11F780B1">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分值构成</w:t>
      </w:r>
    </w:p>
    <w:p w14:paraId="7B67FF90">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见评审办法前附表；</w:t>
      </w:r>
    </w:p>
    <w:p w14:paraId="7E7BA740">
      <w:pPr>
        <w:keepNext/>
        <w:keepLines/>
        <w:numPr>
          <w:ilvl w:val="0"/>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评审程序</w:t>
      </w:r>
    </w:p>
    <w:p w14:paraId="71E78CB9">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初步评审</w:t>
      </w:r>
    </w:p>
    <w:p w14:paraId="5D7322F6">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70F08A9F">
      <w:pPr>
        <w:numPr>
          <w:ilvl w:val="2"/>
          <w:numId w:val="3"/>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磋商报价有算术错误及其他错误的，磋商小组按以下原则要求供应商对磋商报价进行修正</w:t>
      </w:r>
    </w:p>
    <w:p w14:paraId="66BEB837">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大写金额和小写金额不一致的，以大写金额为准，但大写金额文字存在错误的，应当先对大写金额的文字错误进行澄清、说明或者更正，再行修正。</w:t>
      </w:r>
    </w:p>
    <w:p w14:paraId="62F54698">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总价金额与按单价汇总金额不一致的，以单价金额计算结果为准，但单价或者单价汇总金额存在数字或者文字错误的，应当先对数字或者文字错误进行澄清、说明或者更正，再行修正。</w:t>
      </w:r>
    </w:p>
    <w:p w14:paraId="2EE86EE1">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单价金额小数点或者百分比有明显错位的，以总价为准，修正单价。</w:t>
      </w:r>
    </w:p>
    <w:p w14:paraId="46ABAA42">
      <w:pPr>
        <w:numPr>
          <w:ilvl w:val="0"/>
          <w:numId w:val="0"/>
        </w:numPr>
        <w:wordWrap w:val="0"/>
        <w:topLinePunct/>
        <w:autoSpaceDE w:val="0"/>
        <w:autoSpaceDN w:val="0"/>
        <w:adjustRightInd w:val="0"/>
        <w:spacing w:line="360" w:lineRule="auto"/>
        <w:ind w:leftChars="200" w:right="40" w:rightChars="0"/>
        <w:jc w:val="left"/>
        <w:rPr>
          <w:rFonts w:ascii="宋体" w:hAnsi="宋体" w:eastAsia="宋体" w:cs="宋体"/>
          <w:kern w:val="0"/>
          <w:sz w:val="24"/>
          <w:szCs w:val="24"/>
          <w:highlight w:val="none"/>
        </w:rPr>
      </w:pPr>
      <w:r>
        <w:rPr>
          <w:rFonts w:hint="eastAsia" w:ascii="宋体" w:hAnsi="宋体" w:eastAsia="宋体" w:cs="宋体"/>
          <w:sz w:val="24"/>
          <w:szCs w:val="24"/>
          <w:highlight w:val="none"/>
        </w:rPr>
        <w:t>同时出现两种以上不一致的，按照上述规定的顺序修正。</w:t>
      </w:r>
      <w:r>
        <w:rPr>
          <w:rFonts w:hint="eastAsia" w:ascii="宋体" w:hAnsi="宋体" w:eastAsia="宋体" w:cs="宋体"/>
          <w:kern w:val="0"/>
          <w:sz w:val="24"/>
          <w:szCs w:val="24"/>
          <w:highlight w:val="none"/>
        </w:rPr>
        <w:t>修正后的报价应当采</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用书面形式，并加盖公章或者由法定代表人或其授权的代表签字，供应商不确认的，其投标无效。</w:t>
      </w:r>
    </w:p>
    <w:p w14:paraId="3BC83AE1">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详细磋商</w:t>
      </w:r>
    </w:p>
    <w:p w14:paraId="5BD76C30">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136DDFA4">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在磋商过程中，磋商小组可以根据</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磋商文件和磋商情况实质性变动采购需求中的技术、服务要求以及合同草案条款，但不得变动</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磋商文件中的其他内容。</w:t>
      </w:r>
    </w:p>
    <w:p w14:paraId="4CD1A367">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对</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磋商文件作出的实质性变动是</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磋商文件的有效组成部分，磋商小组应当以书面形式同时通知所有参加磋商的供应商。</w:t>
      </w:r>
    </w:p>
    <w:p w14:paraId="371C509F">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highlight w:val="none"/>
        </w:rPr>
        <w:t>。</w:t>
      </w:r>
    </w:p>
    <w:p w14:paraId="17EC5794">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szCs w:val="24"/>
          <w:highlight w:val="none"/>
        </w:rPr>
        <w:t>。</w:t>
      </w:r>
    </w:p>
    <w:p w14:paraId="1803E90E">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最后报价（二轮报价）是供应商响应文件的有效组成部分【</w:t>
      </w:r>
      <w:r>
        <w:rPr>
          <w:rFonts w:hint="eastAsia" w:ascii="宋体" w:hAnsi="宋体" w:eastAsia="宋体" w:cs="宋体"/>
          <w:b/>
          <w:bCs/>
          <w:sz w:val="24"/>
          <w:szCs w:val="24"/>
          <w:highlight w:val="none"/>
        </w:rPr>
        <w:t>注：1、最后报价不得超出</w:t>
      </w:r>
      <w:r>
        <w:rPr>
          <w:rFonts w:hint="eastAsia" w:ascii="宋体" w:hAnsi="宋体" w:cs="宋体"/>
          <w:b/>
          <w:bCs/>
          <w:sz w:val="24"/>
          <w:szCs w:val="24"/>
          <w:highlight w:val="none"/>
          <w:lang w:val="en-US" w:eastAsia="zh-CN"/>
        </w:rPr>
        <w:t>最高限</w:t>
      </w:r>
      <w:r>
        <w:rPr>
          <w:rFonts w:hint="eastAsia" w:ascii="宋体" w:hAnsi="宋体" w:eastAsia="宋体" w:cs="宋体"/>
          <w:b/>
          <w:bCs/>
          <w:sz w:val="24"/>
          <w:szCs w:val="24"/>
          <w:highlight w:val="none"/>
          <w:lang w:eastAsia="zh-CN"/>
        </w:rPr>
        <w:t>价</w:t>
      </w:r>
      <w:r>
        <w:rPr>
          <w:rFonts w:hint="eastAsia" w:ascii="宋体" w:hAnsi="宋体" w:eastAsia="宋体" w:cs="宋体"/>
          <w:b/>
          <w:bCs/>
          <w:sz w:val="24"/>
          <w:szCs w:val="24"/>
          <w:highlight w:val="none"/>
        </w:rPr>
        <w:t>；2、最后报价明显低于成本价的，供应商需做出合理说明，否则将承担不被接受的风险</w:t>
      </w:r>
      <w:r>
        <w:rPr>
          <w:rFonts w:hint="eastAsia" w:ascii="宋体" w:hAnsi="宋体" w:eastAsia="宋体" w:cs="宋体"/>
          <w:bCs/>
          <w:kern w:val="0"/>
          <w:sz w:val="24"/>
          <w:szCs w:val="24"/>
          <w:highlight w:val="none"/>
        </w:rPr>
        <w:t>】。</w:t>
      </w:r>
    </w:p>
    <w:p w14:paraId="6F96115C">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情况特殊,经磋商小组根据磋商现场情况，可以要求供应商适当进行多轮报价。</w:t>
      </w:r>
    </w:p>
    <w:p w14:paraId="5DFED9AC">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经磋商确定最终采购需求和提交最后报价的供应商后，由磋商小组采用综合评分法对提交最后报价的供应商的响应文件和最后报价进行综合评分。</w:t>
      </w:r>
    </w:p>
    <w:p w14:paraId="280F46D0">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详细评审</w:t>
      </w:r>
    </w:p>
    <w:p w14:paraId="02951BF4">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磋商小组按本章评审方法规定的量化因素和分值进行打分，并计算出综合得分。</w:t>
      </w:r>
    </w:p>
    <w:p w14:paraId="69D994BF">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2A4B5568">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响应文件的澄清</w:t>
      </w:r>
    </w:p>
    <w:p w14:paraId="0CEEA9BB">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6F9E3D78">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澄清、说明或补正不得超出响应文件的范围且不得改变响应文件的实质性内容，并构成响应文件的组成部分。</w:t>
      </w:r>
    </w:p>
    <w:p w14:paraId="4D927610">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磋商小组对供应商提交的澄清、说明或补正有疑问的，可以要求供应商进一步澄清、说明或补正，直至满足磋商小组的要求。</w:t>
      </w:r>
    </w:p>
    <w:p w14:paraId="42B3C4F1">
      <w:pPr>
        <w:keepNext/>
        <w:keepLines/>
        <w:numPr>
          <w:ilvl w:val="1"/>
          <w:numId w:val="3"/>
        </w:numPr>
        <w:wordWrap w:val="0"/>
        <w:topLinePunct/>
        <w:spacing w:line="360" w:lineRule="auto"/>
        <w:outlineLvl w:val="2"/>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评审结果</w:t>
      </w:r>
    </w:p>
    <w:p w14:paraId="2F52800F">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除采购人授权直接确定成交人外，按照评审得分由高到低顺序推荐3名以上成交候选人，评审得分相同的，按照最后报价由低到高的顺序推荐。</w:t>
      </w:r>
    </w:p>
    <w:p w14:paraId="1D4F5D2A">
      <w:pPr>
        <w:numPr>
          <w:ilvl w:val="2"/>
          <w:numId w:val="3"/>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 xml:space="preserve"> 磋商小组完成评审后，应当向采购人提交书面评审报告和成交候选人名单</w:t>
      </w:r>
      <w:r>
        <w:rPr>
          <w:rFonts w:hint="eastAsia" w:ascii="宋体" w:hAnsi="宋体" w:eastAsia="宋体" w:cs="宋体"/>
          <w:bCs/>
          <w:kern w:val="0"/>
          <w:sz w:val="24"/>
          <w:szCs w:val="24"/>
          <w:highlight w:val="none"/>
        </w:rPr>
        <w:t>并编写评审报告。</w:t>
      </w:r>
    </w:p>
    <w:p w14:paraId="7395E9A4">
      <w:pPr>
        <w:rPr>
          <w:rFonts w:hint="eastAsia"/>
          <w:color w:val="auto"/>
          <w:sz w:val="40"/>
          <w:szCs w:val="22"/>
        </w:rPr>
      </w:pPr>
      <w:bookmarkStart w:id="157" w:name="_Toc28794"/>
      <w:r>
        <w:rPr>
          <w:rFonts w:hint="eastAsia"/>
          <w:color w:val="auto"/>
          <w:sz w:val="40"/>
          <w:szCs w:val="22"/>
        </w:rPr>
        <w:br w:type="page"/>
      </w:r>
    </w:p>
    <w:p w14:paraId="5E40E5BB">
      <w:pPr>
        <w:pStyle w:val="3"/>
        <w:bidi w:val="0"/>
        <w:spacing w:line="240" w:lineRule="auto"/>
        <w:jc w:val="center"/>
        <w:rPr>
          <w:rFonts w:hint="default"/>
          <w:color w:val="auto"/>
          <w:sz w:val="40"/>
          <w:szCs w:val="22"/>
          <w:lang w:val="en-US" w:eastAsia="zh-CN"/>
        </w:rPr>
      </w:pPr>
      <w:r>
        <w:rPr>
          <w:rFonts w:hint="eastAsia"/>
          <w:color w:val="auto"/>
          <w:sz w:val="40"/>
          <w:szCs w:val="22"/>
        </w:rPr>
        <w:t xml:space="preserve">第四章 </w:t>
      </w:r>
      <w:r>
        <w:rPr>
          <w:rFonts w:hint="eastAsia"/>
          <w:color w:val="auto"/>
          <w:sz w:val="40"/>
          <w:szCs w:val="22"/>
          <w:lang w:val="en-US" w:eastAsia="zh-CN"/>
        </w:rPr>
        <w:t>项目服务需求</w:t>
      </w:r>
      <w:bookmarkEnd w:id="156"/>
      <w:bookmarkEnd w:id="157"/>
    </w:p>
    <w:p w14:paraId="4FADE762">
      <w:pPr>
        <w:spacing w:line="360" w:lineRule="auto"/>
        <w:ind w:firstLine="482" w:firstLineChars="200"/>
        <w:rPr>
          <w:rFonts w:hint="eastAsia" w:ascii="宋体" w:hAnsi="宋体" w:eastAsia="宋体" w:cs="宋体"/>
          <w:b/>
          <w:color w:val="auto"/>
          <w:kern w:val="0"/>
          <w:sz w:val="24"/>
          <w:szCs w:val="24"/>
        </w:rPr>
      </w:pPr>
      <w:bookmarkStart w:id="158" w:name="_Toc30669"/>
      <w:r>
        <w:rPr>
          <w:rFonts w:hint="eastAsia" w:ascii="宋体" w:hAnsi="宋体" w:eastAsia="宋体" w:cs="宋体"/>
          <w:b/>
          <w:color w:val="auto"/>
          <w:kern w:val="0"/>
          <w:sz w:val="24"/>
          <w:szCs w:val="24"/>
        </w:rPr>
        <w:t>一、监理要求</w:t>
      </w:r>
    </w:p>
    <w:p w14:paraId="39CA7A40">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（一）项目概况</w:t>
      </w:r>
    </w:p>
    <w:p w14:paraId="636134A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河南省“一轴一廊”交通基础设施数字化转型升级示范通道及网络项目（三门峡市普通公路）</w:t>
      </w:r>
      <w:r>
        <w:rPr>
          <w:rFonts w:hint="eastAsia" w:ascii="宋体" w:hAnsi="宋体" w:eastAsia="宋体" w:cs="宋体"/>
          <w:color w:val="auto"/>
          <w:sz w:val="24"/>
          <w:szCs w:val="24"/>
          <w:highlight w:val="none"/>
          <w:lang w:val="en-US" w:eastAsia="zh-CN"/>
        </w:rPr>
        <w:t>建设市级数据节点，支撑已建外场终端、示范通道内新建外场终端、智慧服务区及自动化交调站点数据汇聚，实现与省级数据中心的互联互通。建立高地联动管控诱导机制，提升信息发布和路网交通管理能力；建设桥梁结构、边坡监测系统，提升基础设施监测预警能力；增加公路智能巡检设备，提升普通公路数字化管养与机电设施智慧化运维能力。</w:t>
      </w:r>
    </w:p>
    <w:p w14:paraId="676BCED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建设G310灵宝智慧服务区、G310渑池智慧服务区及G310三门峡智慧服务区，在服务区场区设置多元感知设施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在三门峡市境内G209、G241、G344等普通国道重点路段，构建普通国道全覆盖的自动化观测设备采集网，实现多要素动态实时感知，提升路网管理服务数字化水平。</w:t>
      </w:r>
    </w:p>
    <w:p w14:paraId="52243FF3">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（二）监理范围及内容</w:t>
      </w:r>
    </w:p>
    <w:p w14:paraId="3EB9278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详见公告。</w:t>
      </w:r>
    </w:p>
    <w:p w14:paraId="1773578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（三）监理依据</w:t>
      </w:r>
    </w:p>
    <w:p w14:paraId="3F408B30">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国家和地方有关部门颁布的施工与验收规范、操作规程、强制性条文；</w:t>
      </w:r>
    </w:p>
    <w:p w14:paraId="6E0EA4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（四）监理人员和试验检测仪器设备要求</w:t>
      </w:r>
    </w:p>
    <w:p w14:paraId="49D9CF1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详见文件。</w:t>
      </w:r>
    </w:p>
    <w:p w14:paraId="2A541679">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二、适用规范标准</w:t>
      </w:r>
    </w:p>
    <w:p w14:paraId="35243A44">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 通用施工监理规范</w:t>
      </w:r>
    </w:p>
    <w:p w14:paraId="67629A6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执行《公路工程施工监理规范》（JTGG10-2016）。</w:t>
      </w:r>
    </w:p>
    <w:p w14:paraId="50005CB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（二）专用施工监理规范 </w:t>
      </w:r>
    </w:p>
    <w:p w14:paraId="1E8737B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专用施工监理规范由招标人根据工程的实际情况，在《公路工程施工监理规范》（JTG Gl0-2016）的基础上自行编制并纳入 “委托人要求”中，但不得与国家、交通运输部及有关部门的法规、标准、规范等矛盾。</w:t>
      </w:r>
    </w:p>
    <w:p w14:paraId="5EAB744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针对本工程或仅在本地区实行的与监理工作有关的管理办法、制度应一并纳入“委托人要求”中。</w:t>
      </w:r>
    </w:p>
    <w:p w14:paraId="08C7D12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（三）施工技术规范 </w:t>
      </w:r>
    </w:p>
    <w:p w14:paraId="4A149CF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施工技术规范包括以下内容：</w:t>
      </w:r>
    </w:p>
    <w:p w14:paraId="7B5AC7D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本工程施工标段招标文件中的技术规范：</w:t>
      </w:r>
    </w:p>
    <w:p w14:paraId="53A13B2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所有与工程施工有关的国家现行的公路建设标准、规范、规程及相关文件。</w:t>
      </w:r>
    </w:p>
    <w:p w14:paraId="71A44FB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（四）国家、行业、项目所在地适用本工程的其他规范、标准或规程。</w:t>
      </w:r>
    </w:p>
    <w:p w14:paraId="503F05EF">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三、成果文件要求</w:t>
      </w:r>
    </w:p>
    <w:p w14:paraId="05EF7394">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（一）成果文件的组成</w:t>
      </w:r>
    </w:p>
    <w:p w14:paraId="579FF86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（二）成果文件的深度</w:t>
      </w:r>
    </w:p>
    <w:p w14:paraId="2BD359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（三）成果文件的格式要求</w:t>
      </w:r>
    </w:p>
    <w:p w14:paraId="4DDE047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（四）成果文件的份数要求</w:t>
      </w:r>
    </w:p>
    <w:p w14:paraId="24C7B8F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（五）成果文件的载体要求</w:t>
      </w:r>
    </w:p>
    <w:p w14:paraId="17E5014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1.纸质版的要求 </w:t>
      </w:r>
    </w:p>
    <w:p w14:paraId="53CF9AF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2.电子版的要求</w:t>
      </w:r>
    </w:p>
    <w:p w14:paraId="0286B650">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3.其他要求</w:t>
      </w:r>
    </w:p>
    <w:p w14:paraId="6EDCD33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 成果文件的其他要求</w:t>
      </w:r>
    </w:p>
    <w:p w14:paraId="431A1C04">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四、委托人财产清单</w:t>
      </w:r>
    </w:p>
    <w:p w14:paraId="54DEB7B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（一）委托人提供的设备、设施</w:t>
      </w:r>
    </w:p>
    <w:p w14:paraId="26EE9488">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1.委托人提供的办公房屋及冷暖设施</w:t>
      </w:r>
    </w:p>
    <w:p w14:paraId="67B7EB9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2.委托人提供的设备清单</w:t>
      </w:r>
    </w:p>
    <w:p w14:paraId="515D099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3.委托人提供的设施清单</w:t>
      </w:r>
    </w:p>
    <w:p w14:paraId="7B5ED50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（二）委托人提供的资料</w:t>
      </w:r>
    </w:p>
    <w:p w14:paraId="09557C2C">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1.施工场地及毗邻区域内的供水、排水、供电、供气、供热、通信、广播电视等地下管线资料、气象和水文观测资料，相邻建筑物和构筑物、地下工程的有关资料，以及其他与公路工程有关的原始资料</w:t>
      </w:r>
    </w:p>
    <w:p w14:paraId="65FAC29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2.定位放线的基准点 、基准线和基准标高</w:t>
      </w:r>
    </w:p>
    <w:p w14:paraId="1E154CA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3.委托人取得的有关审批、核准和备案材料</w:t>
      </w:r>
    </w:p>
    <w:p w14:paraId="4C3C25FE">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4.勘察文件、设计文件等资料</w:t>
      </w:r>
    </w:p>
    <w:p w14:paraId="0F30D21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5.技术标准、规范</w:t>
      </w:r>
    </w:p>
    <w:p w14:paraId="6EBFD06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6.工程承包合同及其他相关合同</w:t>
      </w:r>
    </w:p>
    <w:p w14:paraId="52A7B4A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7.其他资料</w:t>
      </w:r>
    </w:p>
    <w:p w14:paraId="07FD3AB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（三）委托人财产使用要求及退还要求</w:t>
      </w:r>
    </w:p>
    <w:p w14:paraId="7BFF36F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1.委托人财产使用要求</w:t>
      </w:r>
    </w:p>
    <w:p w14:paraId="6B0761A1">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2.委托人财产退还要求</w:t>
      </w:r>
    </w:p>
    <w:p w14:paraId="19D72775">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五、委托人提供的便利条件</w:t>
      </w:r>
    </w:p>
    <w:p w14:paraId="3AA7578D">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（一）委托人提供的生活条件</w:t>
      </w:r>
    </w:p>
    <w:p w14:paraId="615B3A62">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（二）委托人提供的交通条件</w:t>
      </w:r>
    </w:p>
    <w:p w14:paraId="77647E73">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（三）委托人提供的网络、通讯条件</w:t>
      </w:r>
    </w:p>
    <w:p w14:paraId="17B1905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（四）委托人提供的协助人员</w:t>
      </w:r>
    </w:p>
    <w:p w14:paraId="4047687A">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六、监理人需要自备的工作条件</w:t>
      </w:r>
    </w:p>
    <w:p w14:paraId="1E6C48A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（一）监理人自备的工作手册</w:t>
      </w:r>
    </w:p>
    <w:p w14:paraId="36C1FBC7">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（二）监理人自备的办公设备</w:t>
      </w:r>
    </w:p>
    <w:p w14:paraId="4B682C28">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（三）监理人自备的交通工具：满足项目需要；</w:t>
      </w:r>
    </w:p>
    <w:p w14:paraId="5DB7341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（四）监理人自备的现场办公设施</w:t>
      </w:r>
    </w:p>
    <w:p w14:paraId="09F92C8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（五）监理人自备的安全设施</w:t>
      </w:r>
    </w:p>
    <w:p w14:paraId="43CF707B">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（六）监理人自备的试验检测仪器、设备、工具</w:t>
      </w:r>
    </w:p>
    <w:p w14:paraId="70B498A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（七）监理人自备的试验用房、样品用房</w:t>
      </w:r>
    </w:p>
    <w:p w14:paraId="0BA96C20">
      <w:pPr>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七、委托人的其他要求 </w:t>
      </w:r>
    </w:p>
    <w:p w14:paraId="5F3E9561">
      <w:pPr>
        <w:spacing w:line="480" w:lineRule="exact"/>
        <w:ind w:firstLine="720" w:firstLineChars="3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1.以上内容除委托人具体要求外，其余内容合同谈判时另行协商。</w:t>
      </w:r>
    </w:p>
    <w:bookmarkEnd w:id="158"/>
    <w:p w14:paraId="3DD02EB1">
      <w:pPr>
        <w:spacing w:line="360" w:lineRule="auto"/>
        <w:ind w:right="-340" w:rightChars="-162"/>
        <w:rPr>
          <w:rFonts w:hint="eastAsia"/>
          <w:color w:val="auto"/>
        </w:rPr>
      </w:pPr>
    </w:p>
    <w:p w14:paraId="520175E9">
      <w:pPr>
        <w:spacing w:line="360" w:lineRule="auto"/>
        <w:ind w:right="-340" w:rightChars="-162"/>
        <w:rPr>
          <w:rFonts w:hint="eastAsia"/>
          <w:color w:val="auto"/>
        </w:rPr>
      </w:pPr>
      <w:r>
        <w:rPr>
          <w:color w:val="auto"/>
        </w:rPr>
        <w:br w:type="page"/>
      </w:r>
    </w:p>
    <w:p w14:paraId="5F2125F1">
      <w:pPr>
        <w:pStyle w:val="3"/>
        <w:bidi w:val="0"/>
        <w:jc w:val="center"/>
        <w:rPr>
          <w:rFonts w:hint="eastAsia"/>
          <w:color w:val="auto"/>
          <w:sz w:val="40"/>
          <w:szCs w:val="22"/>
        </w:rPr>
      </w:pPr>
      <w:bookmarkStart w:id="159" w:name="_Toc10235"/>
      <w:bookmarkStart w:id="160" w:name="_Toc4852"/>
      <w:r>
        <w:rPr>
          <w:rFonts w:hint="eastAsia"/>
          <w:color w:val="auto"/>
          <w:sz w:val="40"/>
          <w:szCs w:val="22"/>
        </w:rPr>
        <w:t>第五章  合同条款及格式</w:t>
      </w:r>
      <w:bookmarkEnd w:id="159"/>
      <w:bookmarkEnd w:id="160"/>
    </w:p>
    <w:bookmarkEnd w:id="153"/>
    <w:p w14:paraId="554EA25D">
      <w:pPr>
        <w:pStyle w:val="4"/>
        <w:spacing w:before="240"/>
        <w:jc w:val="center"/>
        <w:rPr>
          <w:color w:val="auto"/>
        </w:rPr>
      </w:pPr>
      <w:bookmarkStart w:id="161" w:name="_Toc210060525"/>
      <w:bookmarkStart w:id="162" w:name="_Toc201956787"/>
      <w:bookmarkStart w:id="163" w:name="_Toc445823843"/>
      <w:bookmarkStart w:id="164" w:name="_Toc26545"/>
      <w:bookmarkStart w:id="165" w:name="_Toc2526"/>
      <w:r>
        <w:rPr>
          <w:rFonts w:hint="eastAsia"/>
          <w:color w:val="auto"/>
        </w:rPr>
        <w:t>第一节  通用合同条款</w:t>
      </w:r>
      <w:bookmarkEnd w:id="161"/>
      <w:bookmarkEnd w:id="162"/>
      <w:bookmarkEnd w:id="163"/>
      <w:bookmarkEnd w:id="164"/>
    </w:p>
    <w:p w14:paraId="3D21C9B1">
      <w:pPr>
        <w:spacing w:before="240" w:line="400" w:lineRule="exact"/>
        <w:jc w:val="center"/>
        <w:rPr>
          <w:rFonts w:ascii="宋体" w:hAnsi="宋体"/>
          <w:color w:val="auto"/>
          <w:sz w:val="28"/>
          <w:szCs w:val="28"/>
        </w:rPr>
      </w:pPr>
      <w:r>
        <w:rPr>
          <w:rFonts w:hint="eastAsia" w:ascii="宋体" w:hAnsi="宋体"/>
          <w:color w:val="auto"/>
          <w:sz w:val="28"/>
          <w:szCs w:val="28"/>
        </w:rPr>
        <w:t>通用合同条款</w:t>
      </w:r>
    </w:p>
    <w:p w14:paraId="2D0CDA85">
      <w:pPr>
        <w:rPr>
          <w:rFonts w:ascii="宋体" w:hAnsi="宋体"/>
          <w:color w:val="auto"/>
          <w:sz w:val="24"/>
        </w:rPr>
      </w:pPr>
    </w:p>
    <w:p w14:paraId="39003C1C">
      <w:pPr>
        <w:spacing w:line="360" w:lineRule="auto"/>
        <w:ind w:firstLine="420" w:firstLineChars="200"/>
        <w:rPr>
          <w:rFonts w:ascii="宋体" w:hAnsi="宋体"/>
          <w:color w:val="auto"/>
          <w:sz w:val="24"/>
        </w:rPr>
      </w:pPr>
      <w:r>
        <w:rPr>
          <w:rFonts w:hint="eastAsia" w:ascii="宋体" w:hAnsi="宋体"/>
          <w:color w:val="auto"/>
          <w:sz w:val="21"/>
          <w:szCs w:val="21"/>
        </w:rPr>
        <w:t>详见中华人民共和国交通运输部《公路工程标准施工监理招标文件》（2018年版）通用合同条款部分。</w:t>
      </w:r>
      <w:r>
        <w:rPr>
          <w:rFonts w:ascii="宋体" w:hAnsi="宋体"/>
          <w:color w:val="auto"/>
          <w:sz w:val="24"/>
        </w:rPr>
        <w:br w:type="page"/>
      </w:r>
    </w:p>
    <w:p w14:paraId="64547E11">
      <w:pPr>
        <w:pStyle w:val="4"/>
        <w:spacing w:before="240"/>
        <w:jc w:val="center"/>
        <w:rPr>
          <w:color w:val="auto"/>
        </w:rPr>
      </w:pPr>
      <w:bookmarkStart w:id="166" w:name="_Toc210060526"/>
      <w:bookmarkStart w:id="167" w:name="_Toc7832"/>
      <w:bookmarkStart w:id="168" w:name="_Toc201956788"/>
      <w:bookmarkStart w:id="169" w:name="_Toc445823844"/>
      <w:r>
        <w:rPr>
          <w:rFonts w:hint="eastAsia"/>
          <w:color w:val="auto"/>
        </w:rPr>
        <w:t>第二节  专用合同条款</w:t>
      </w:r>
      <w:bookmarkEnd w:id="166"/>
      <w:bookmarkEnd w:id="167"/>
      <w:bookmarkEnd w:id="168"/>
      <w:bookmarkEnd w:id="169"/>
    </w:p>
    <w:p w14:paraId="27EB8182">
      <w:pPr>
        <w:pStyle w:val="4"/>
        <w:spacing w:before="240"/>
        <w:jc w:val="center"/>
        <w:rPr>
          <w:color w:val="auto"/>
        </w:rPr>
      </w:pPr>
      <w:bookmarkStart w:id="170" w:name="_Toc206327245"/>
      <w:bookmarkStart w:id="171" w:name="_Toc7740"/>
      <w:bookmarkStart w:id="172" w:name="_Toc206327299"/>
      <w:bookmarkStart w:id="173" w:name="_Toc207705134"/>
      <w:bookmarkStart w:id="174" w:name="_Toc201956789"/>
      <w:bookmarkStart w:id="175" w:name="_Toc210060527"/>
      <w:r>
        <w:rPr>
          <w:rFonts w:hint="eastAsia"/>
          <w:color w:val="auto"/>
        </w:rPr>
        <w:t>A、公路工程专用合同条款</w:t>
      </w:r>
      <w:bookmarkEnd w:id="170"/>
      <w:bookmarkEnd w:id="171"/>
      <w:bookmarkEnd w:id="172"/>
      <w:bookmarkEnd w:id="173"/>
      <w:bookmarkEnd w:id="174"/>
      <w:bookmarkEnd w:id="175"/>
    </w:p>
    <w:p w14:paraId="79D0321D">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1.一般约定</w:t>
      </w:r>
    </w:p>
    <w:p w14:paraId="498F5928">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1.1词语定义</w:t>
      </w:r>
    </w:p>
    <w:p w14:paraId="6B7095B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1.1.1合同</w:t>
      </w:r>
    </w:p>
    <w:p w14:paraId="7F76423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第1.1.1.1目细化为：</w:t>
      </w:r>
    </w:p>
    <w:p w14:paraId="1AA5E2F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合同文件（或称合同）：指合同协议书及各种合同附件、</w:t>
      </w:r>
      <w:r>
        <w:rPr>
          <w:rFonts w:hint="eastAsia" w:ascii="宋体" w:hAnsi="宋体" w:cs="宋体"/>
          <w:color w:val="auto"/>
          <w:szCs w:val="21"/>
          <w:highlight w:val="none"/>
          <w:lang w:eastAsia="zh-CN"/>
        </w:rPr>
        <w:t>成交通知书</w:t>
      </w:r>
      <w:r>
        <w:rPr>
          <w:rFonts w:hint="eastAsia" w:ascii="宋体" w:hAnsi="宋体" w:eastAsia="宋体" w:cs="宋体"/>
          <w:color w:val="auto"/>
          <w:szCs w:val="21"/>
          <w:highlight w:val="none"/>
        </w:rPr>
        <w:t>、投标函、项目专用合同条款、公路工程专用合同条款、通用合同条款、委托人要求、监理服务费用清单、监理人有关人员和试验检测设备投入的承诺，以及其他构成合同组成部分的文件。</w:t>
      </w:r>
    </w:p>
    <w:p w14:paraId="63C9C74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第1.1.1.5目不适用。</w:t>
      </w:r>
    </w:p>
    <w:p w14:paraId="6748880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第1.1.1.8目细化为：</w:t>
      </w:r>
    </w:p>
    <w:p w14:paraId="1BFEA2A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监理服务费用清单：指监理人投标文件中的监理服务费用清单。</w:t>
      </w:r>
    </w:p>
    <w:p w14:paraId="6A24D3B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1.1.2合同当事人和人员</w:t>
      </w:r>
    </w:p>
    <w:p w14:paraId="7C67038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本项补充第1.1.2.7目至第1.1.2.9目：</w:t>
      </w:r>
    </w:p>
    <w:p w14:paraId="6B4CA04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1.1.2.7监理机构：指由监理人在项目现场设立的履行监理职责的组织，包括总监理工程师办公室（简称总监办）及驻地监理工程师办公室（简称驻地办）。</w:t>
      </w:r>
    </w:p>
    <w:p w14:paraId="24D4182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1.1.2.8行政管理部门：指交通运输主管部门或对本工程依法享有行政监督权限的其他政府部门。</w:t>
      </w:r>
    </w:p>
    <w:p w14:paraId="502FF2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1.1.2.9第三方：指处委托人、监理人之外，与本工程建设有关的其他当事人。</w:t>
      </w:r>
    </w:p>
    <w:p w14:paraId="22541A1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1.1.3工程和监理</w:t>
      </w:r>
    </w:p>
    <w:p w14:paraId="586DF9E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第1.1.3.1目细化为：</w:t>
      </w:r>
    </w:p>
    <w:p w14:paraId="321CAAF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工程：指为完成项目所实施的一项或若干项永久或临时工程（包括向委托人提供的物资和设备），具体情况在项目专用合同条款中指明。</w:t>
      </w:r>
    </w:p>
    <w:p w14:paraId="6EA8B3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第1.1.3.2日细化为：</w:t>
      </w:r>
    </w:p>
    <w:p w14:paraId="1C5CB1E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p>
    <w:p w14:paraId="33D14A3D">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1.4合同文件的优先顺序</w:t>
      </w:r>
    </w:p>
    <w:p w14:paraId="1F0CAC6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本款细化为：</w:t>
      </w:r>
    </w:p>
    <w:p w14:paraId="537E082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组成合同的各项文件应互相解释，互为说明。除项目专用合同条款另有约定外，解释合同文件的优先顺序如下：</w:t>
      </w:r>
    </w:p>
    <w:p w14:paraId="3A4CABF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（1）合同协议书及各种合同附件；</w:t>
      </w:r>
    </w:p>
    <w:p w14:paraId="063A2EE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成交通知书</w:t>
      </w:r>
      <w:r>
        <w:rPr>
          <w:rFonts w:hint="eastAsia" w:ascii="宋体" w:hAnsi="宋体" w:eastAsia="宋体" w:cs="宋体"/>
          <w:color w:val="auto"/>
          <w:szCs w:val="21"/>
          <w:highlight w:val="none"/>
        </w:rPr>
        <w:t>：</w:t>
      </w:r>
    </w:p>
    <w:p w14:paraId="24CE002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（3）投标函：</w:t>
      </w:r>
    </w:p>
    <w:p w14:paraId="698EDE2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（4）项目专用合同条款；</w:t>
      </w:r>
    </w:p>
    <w:p w14:paraId="60B7D79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（5）公路工程专用合同条款；</w:t>
      </w:r>
    </w:p>
    <w:p w14:paraId="447B267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（6）通用合同条款；</w:t>
      </w:r>
    </w:p>
    <w:p w14:paraId="465FB7B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（7）委托人要求：</w:t>
      </w:r>
    </w:p>
    <w:p w14:paraId="185A739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（8）监理服务费用清单：</w:t>
      </w:r>
    </w:p>
    <w:p w14:paraId="0F92B74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（9）监理人有关人员、试验检测设备投入的承诺：</w:t>
      </w:r>
    </w:p>
    <w:p w14:paraId="5CD3526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（10）其他合同文件。</w:t>
      </w:r>
    </w:p>
    <w:p w14:paraId="4E7DBEA0">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合同当事人针对各类合同文件所作出的补充和修改亦属于合同文件的组成部分，属于同一类内容的文件，应以最新签署的为准。</w:t>
      </w:r>
    </w:p>
    <w:p w14:paraId="26D1C80E">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1.6文件的提供和照管</w:t>
      </w:r>
    </w:p>
    <w:p w14:paraId="1D7E414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第1.6.1项和第1.6.2项细化为：</w:t>
      </w:r>
    </w:p>
    <w:p w14:paraId="28F37DB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1.6.1监理文件的提供</w:t>
      </w:r>
    </w:p>
    <w:p w14:paraId="3F2FFDC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应在合理的期限内按照国家、公路行业现行标准、规范、规定，《公路工程施工监理规范》及施工承包合同约定向委托人提供监理文件。合同约定监理文件应经委托人批复的，委托人应当在合同约定的期限内批复或提出修改意见。</w:t>
      </w:r>
    </w:p>
    <w:p w14:paraId="5C47F69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1.6.2委托人提供的文件</w:t>
      </w:r>
    </w:p>
    <w:p w14:paraId="2007784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除项目专用合同条款另有约定外，委托人应在监理合同生效且取得相关文件、资料后7日内，向监理人免费提供下述文件、资料：</w:t>
      </w:r>
    </w:p>
    <w:p w14:paraId="6391545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（1）委托人与承包人签订的施工承包合同1份。</w:t>
      </w:r>
    </w:p>
    <w:p w14:paraId="777D0B9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（2）委托人与承包人共同确认的己标价的工程数量清单及其说明1份。</w:t>
      </w:r>
    </w:p>
    <w:p w14:paraId="1A019C8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（3）合同图纸和相关的标准图纸及说明1套。</w:t>
      </w:r>
    </w:p>
    <w:p w14:paraId="3274E6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（4）合同指定使用的技术规范、检验评定标准、操作规程1套。</w:t>
      </w:r>
    </w:p>
    <w:p w14:paraId="5208321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（5）其他相关资料。</w:t>
      </w:r>
    </w:p>
    <w:p w14:paraId="15AFD0D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由于委托人未按时提供文件造成监理服务期限延误的，按第6.2款约定执行。</w:t>
      </w:r>
    </w:p>
    <w:p w14:paraId="4BDAFD32">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1.8转让和分包</w:t>
      </w:r>
    </w:p>
    <w:p w14:paraId="4DCB7A3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本款细化为：</w:t>
      </w:r>
    </w:p>
    <w:p w14:paraId="7AF313A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1.8.1除项目专用合同条款另有约定外，未经对方当事人同意，一方当事人不得将合同权利全部或部分转让给第三人，也不得全部或部分转移合同义务。</w:t>
      </w:r>
    </w:p>
    <w:p w14:paraId="2F7196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1.8.2监理人不得将监理服务的任何部分分包。监理人因监理服务的需要，聘用专业技术人员和辅助工作人员不属于分包。</w:t>
      </w:r>
    </w:p>
    <w:p w14:paraId="435D5858">
      <w:pPr>
        <w:spacing w:line="440" w:lineRule="exact"/>
        <w:jc w:val="left"/>
        <w:rPr>
          <w:rFonts w:hint="eastAsia" w:ascii="宋体" w:hAnsi="宋体" w:eastAsia="宋体" w:cs="黑体"/>
          <w:b/>
          <w:color w:val="auto"/>
          <w:szCs w:val="21"/>
          <w:highlight w:val="none"/>
        </w:rPr>
      </w:pPr>
      <w:r>
        <w:rPr>
          <w:rFonts w:hint="eastAsia" w:ascii="宋体" w:hAnsi="宋体" w:eastAsia="宋体" w:cs="黑体"/>
          <w:b/>
          <w:color w:val="auto"/>
          <w:szCs w:val="21"/>
          <w:highlight w:val="none"/>
        </w:rPr>
        <w:t>1.10知识产权</w:t>
      </w:r>
    </w:p>
    <w:p w14:paraId="4A32ADB5">
      <w:pPr>
        <w:spacing w:line="360" w:lineRule="auto"/>
        <w:ind w:firstLine="420" w:firstLineChars="200"/>
        <w:rPr>
          <w:rFonts w:ascii="宋体" w:hAnsi="宋体"/>
          <w:color w:val="auto"/>
          <w:sz w:val="21"/>
          <w:szCs w:val="21"/>
        </w:rPr>
      </w:pPr>
      <w:r>
        <w:rPr>
          <w:rFonts w:hint="eastAsia" w:ascii="宋体" w:hAnsi="宋体"/>
          <w:color w:val="auto"/>
          <w:sz w:val="21"/>
          <w:szCs w:val="21"/>
        </w:rPr>
        <w:t>本款补充</w:t>
      </w:r>
      <w:r>
        <w:rPr>
          <w:rFonts w:ascii="宋体" w:hAnsi="宋体"/>
          <w:color w:val="auto"/>
          <w:sz w:val="21"/>
          <w:szCs w:val="21"/>
        </w:rPr>
        <w:t>第1.10.4项：</w:t>
      </w:r>
    </w:p>
    <w:p w14:paraId="0C062DA7">
      <w:pPr>
        <w:spacing w:line="360" w:lineRule="auto"/>
        <w:ind w:firstLine="420" w:firstLineChars="200"/>
        <w:rPr>
          <w:rFonts w:ascii="宋体" w:hAnsi="宋体"/>
          <w:color w:val="auto"/>
          <w:sz w:val="21"/>
          <w:szCs w:val="21"/>
        </w:rPr>
      </w:pPr>
      <w:r>
        <w:rPr>
          <w:rFonts w:ascii="宋体" w:hAnsi="宋体"/>
          <w:color w:val="auto"/>
          <w:sz w:val="21"/>
          <w:szCs w:val="21"/>
        </w:rPr>
        <w:t>1.10.4除项目专用合同条款另有约定外，监理人有权出版与本项目或本工程监理服务有关的资料。但未经委托人同意</w:t>
      </w:r>
      <w:r>
        <w:rPr>
          <w:rFonts w:hint="eastAsia" w:ascii="宋体" w:hAnsi="宋体"/>
          <w:color w:val="auto"/>
          <w:sz w:val="21"/>
          <w:szCs w:val="21"/>
        </w:rPr>
        <w:t>，</w:t>
      </w:r>
      <w:r>
        <w:rPr>
          <w:rFonts w:ascii="宋体" w:hAnsi="宋体"/>
          <w:color w:val="auto"/>
          <w:sz w:val="21"/>
          <w:szCs w:val="21"/>
        </w:rPr>
        <w:t>上述出版物中不得涉及委托人的专利</w:t>
      </w:r>
      <w:r>
        <w:rPr>
          <w:rFonts w:hint="eastAsia" w:ascii="宋体" w:hAnsi="宋体"/>
          <w:color w:val="auto"/>
          <w:sz w:val="21"/>
          <w:szCs w:val="21"/>
        </w:rPr>
        <w:t>、</w:t>
      </w:r>
      <w:r>
        <w:rPr>
          <w:rFonts w:ascii="宋体" w:hAnsi="宋体"/>
          <w:color w:val="auto"/>
          <w:sz w:val="21"/>
          <w:szCs w:val="21"/>
        </w:rPr>
        <w:t>专有技术以及经济情报。</w:t>
      </w:r>
    </w:p>
    <w:p w14:paraId="21707FCF">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w:t>
      </w:r>
      <w:r>
        <w:rPr>
          <w:rFonts w:ascii="宋体" w:hAnsi="宋体"/>
          <w:color w:val="auto"/>
          <w:sz w:val="21"/>
          <w:szCs w:val="21"/>
        </w:rPr>
        <w:t>第1.13款：</w:t>
      </w:r>
    </w:p>
    <w:p w14:paraId="42F88F6C">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1.13避免利益冲突</w:t>
      </w:r>
    </w:p>
    <w:p w14:paraId="5B588BE0">
      <w:pPr>
        <w:spacing w:line="360" w:lineRule="auto"/>
        <w:ind w:firstLine="420" w:firstLineChars="200"/>
        <w:rPr>
          <w:rFonts w:ascii="宋体" w:hAnsi="宋体"/>
          <w:color w:val="auto"/>
          <w:sz w:val="21"/>
          <w:szCs w:val="21"/>
        </w:rPr>
      </w:pPr>
      <w:r>
        <w:rPr>
          <w:rFonts w:ascii="宋体" w:hAnsi="宋体"/>
          <w:color w:val="auto"/>
          <w:sz w:val="21"/>
          <w:szCs w:val="21"/>
        </w:rPr>
        <w:t>未经委托人书面同意，监理人不得获取本监理合同约定以外的与本工程有关的任何利益，不得参与与本监理合同约定的委托人利益相冲突的任何活动。</w:t>
      </w:r>
    </w:p>
    <w:p w14:paraId="22D55B0E">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2.委托人义务</w:t>
      </w:r>
    </w:p>
    <w:p w14:paraId="744E88E4">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w:t>
      </w:r>
      <w:r>
        <w:rPr>
          <w:rFonts w:ascii="宋体" w:hAnsi="宋体"/>
          <w:color w:val="auto"/>
          <w:sz w:val="21"/>
          <w:szCs w:val="21"/>
        </w:rPr>
        <w:t>第2.7款至第2.10款：</w:t>
      </w:r>
    </w:p>
    <w:p w14:paraId="3D18A754">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2.7协助</w:t>
      </w:r>
    </w:p>
    <w:p w14:paraId="6FB062DC">
      <w:pPr>
        <w:spacing w:line="360" w:lineRule="auto"/>
        <w:ind w:firstLine="420" w:firstLineChars="200"/>
        <w:rPr>
          <w:rFonts w:ascii="宋体" w:hAnsi="宋体"/>
          <w:color w:val="auto"/>
          <w:sz w:val="21"/>
          <w:szCs w:val="21"/>
        </w:rPr>
      </w:pPr>
      <w:r>
        <w:rPr>
          <w:rFonts w:ascii="宋体" w:hAnsi="宋体"/>
          <w:color w:val="auto"/>
          <w:sz w:val="21"/>
          <w:szCs w:val="21"/>
        </w:rPr>
        <w:t>委托人在工程所在地向监理人提供进驻现场的相关条件</w:t>
      </w:r>
      <w:r>
        <w:rPr>
          <w:rFonts w:hint="eastAsia" w:ascii="宋体" w:hAnsi="宋体"/>
          <w:color w:val="auto"/>
          <w:sz w:val="21"/>
          <w:szCs w:val="21"/>
        </w:rPr>
        <w:t>，</w:t>
      </w:r>
      <w:r>
        <w:rPr>
          <w:rFonts w:ascii="宋体" w:hAnsi="宋体"/>
          <w:color w:val="auto"/>
          <w:sz w:val="21"/>
          <w:szCs w:val="21"/>
        </w:rPr>
        <w:t>解决非监理人原因而发生意外事件时，监理工作人员的撤场和相关</w:t>
      </w:r>
      <w:r>
        <w:rPr>
          <w:rFonts w:hint="eastAsia" w:ascii="宋体" w:hAnsi="宋体"/>
          <w:color w:val="auto"/>
          <w:sz w:val="21"/>
          <w:szCs w:val="21"/>
        </w:rPr>
        <w:t>事宜；</w:t>
      </w:r>
      <w:r>
        <w:rPr>
          <w:rFonts w:ascii="宋体" w:hAnsi="宋体"/>
          <w:color w:val="auto"/>
          <w:sz w:val="21"/>
          <w:szCs w:val="21"/>
        </w:rPr>
        <w:t>并避免监理人根据监理合同提供监理服务而导致的第三方收费（不含税金）。</w:t>
      </w:r>
    </w:p>
    <w:p w14:paraId="19E1657B">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2.8授权通知</w:t>
      </w:r>
    </w:p>
    <w:p w14:paraId="7CE3AADC">
      <w:pPr>
        <w:spacing w:line="360" w:lineRule="auto"/>
        <w:ind w:firstLine="420" w:firstLineChars="200"/>
        <w:rPr>
          <w:rFonts w:ascii="宋体" w:hAnsi="宋体"/>
          <w:color w:val="auto"/>
          <w:sz w:val="21"/>
          <w:szCs w:val="21"/>
        </w:rPr>
      </w:pPr>
      <w:r>
        <w:rPr>
          <w:rFonts w:ascii="宋体" w:hAnsi="宋体"/>
          <w:color w:val="auto"/>
          <w:sz w:val="21"/>
          <w:szCs w:val="21"/>
        </w:rPr>
        <w:t>委托人必须将履行监理服务的监理人及委托人授予监理人的权力，及时用书面形式通知第三方。</w:t>
      </w:r>
    </w:p>
    <w:p w14:paraId="29AF2C16">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2.9委托人指令的下达</w:t>
      </w:r>
    </w:p>
    <w:p w14:paraId="07ACB6AA">
      <w:pPr>
        <w:spacing w:line="360" w:lineRule="auto"/>
        <w:ind w:firstLine="420" w:firstLineChars="200"/>
        <w:rPr>
          <w:rFonts w:ascii="宋体" w:hAnsi="宋体"/>
          <w:color w:val="auto"/>
          <w:sz w:val="21"/>
          <w:szCs w:val="21"/>
        </w:rPr>
      </w:pPr>
      <w:r>
        <w:rPr>
          <w:rFonts w:ascii="宋体" w:hAnsi="宋体"/>
          <w:color w:val="auto"/>
          <w:sz w:val="21"/>
          <w:szCs w:val="21"/>
        </w:rPr>
        <w:t>委托人在本合同约定的服务范围内对承包人的任何意见或要求，应通过监理人向承包人提出。</w:t>
      </w:r>
    </w:p>
    <w:p w14:paraId="0FB51776">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2.10保障</w:t>
      </w:r>
    </w:p>
    <w:p w14:paraId="04D8FA59">
      <w:pPr>
        <w:spacing w:line="360" w:lineRule="auto"/>
        <w:ind w:firstLine="420" w:firstLineChars="200"/>
        <w:rPr>
          <w:rFonts w:ascii="宋体" w:hAnsi="宋体"/>
          <w:color w:val="auto"/>
          <w:sz w:val="21"/>
          <w:szCs w:val="21"/>
        </w:rPr>
      </w:pPr>
      <w:r>
        <w:rPr>
          <w:rFonts w:ascii="宋体" w:hAnsi="宋体"/>
          <w:color w:val="auto"/>
          <w:sz w:val="21"/>
          <w:szCs w:val="21"/>
        </w:rPr>
        <w:t>在监理人不违反有关法律、法规的前提下</w:t>
      </w:r>
      <w:r>
        <w:rPr>
          <w:rFonts w:hint="eastAsia" w:ascii="宋体" w:hAnsi="宋体"/>
          <w:color w:val="auto"/>
          <w:sz w:val="21"/>
          <w:szCs w:val="21"/>
        </w:rPr>
        <w:t>，</w:t>
      </w:r>
      <w:r>
        <w:rPr>
          <w:rFonts w:ascii="宋体" w:hAnsi="宋体"/>
          <w:color w:val="auto"/>
          <w:sz w:val="21"/>
          <w:szCs w:val="21"/>
        </w:rPr>
        <w:t>委托人应保障监理人免受因履行本监理合同而引起的外界索赔或干扰。</w:t>
      </w:r>
    </w:p>
    <w:p w14:paraId="0601B9C7">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3.委托人管理</w:t>
      </w:r>
    </w:p>
    <w:p w14:paraId="256C1FA2">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3.3决定或答复</w:t>
      </w:r>
    </w:p>
    <w:p w14:paraId="409A4BCF">
      <w:pPr>
        <w:spacing w:line="360" w:lineRule="auto"/>
        <w:ind w:firstLine="420" w:firstLineChars="200"/>
        <w:rPr>
          <w:rFonts w:ascii="宋体" w:hAnsi="宋体"/>
          <w:color w:val="auto"/>
          <w:sz w:val="21"/>
          <w:szCs w:val="21"/>
        </w:rPr>
      </w:pPr>
      <w:r>
        <w:rPr>
          <w:rFonts w:ascii="宋体" w:hAnsi="宋体"/>
          <w:color w:val="auto"/>
          <w:sz w:val="21"/>
          <w:szCs w:val="21"/>
        </w:rPr>
        <w:t>第3.3.2项细化为：</w:t>
      </w:r>
    </w:p>
    <w:p w14:paraId="1557C3AC">
      <w:pPr>
        <w:spacing w:line="360" w:lineRule="auto"/>
        <w:ind w:firstLine="420" w:firstLineChars="200"/>
        <w:rPr>
          <w:rFonts w:ascii="宋体" w:hAnsi="宋体"/>
          <w:color w:val="auto"/>
          <w:sz w:val="21"/>
          <w:szCs w:val="21"/>
        </w:rPr>
      </w:pPr>
      <w:r>
        <w:rPr>
          <w:rFonts w:ascii="宋体" w:hAnsi="宋体"/>
          <w:color w:val="auto"/>
          <w:sz w:val="21"/>
          <w:szCs w:val="21"/>
        </w:rPr>
        <w:t>委托人对监理人关于本工程的工期、质量、投资、合约和安全等问题提出的请示应及时作出书面答复。对上述请示给予书面答复的期限，自收到书面请示之日起最长不超过7日，重大问题不得超过28日。逾期没有作出答复的，视为己获得委托人的批准。</w:t>
      </w:r>
    </w:p>
    <w:p w14:paraId="49645DAE">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4.监理人义务</w:t>
      </w:r>
    </w:p>
    <w:p w14:paraId="281B510F">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4.2履约保证金</w:t>
      </w:r>
    </w:p>
    <w:p w14:paraId="04E6F73B">
      <w:pPr>
        <w:spacing w:line="360" w:lineRule="auto"/>
        <w:ind w:firstLine="420" w:firstLineChars="200"/>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款细化为：</w:t>
      </w:r>
    </w:p>
    <w:p w14:paraId="6155BEEF">
      <w:pPr>
        <w:spacing w:line="360" w:lineRule="auto"/>
        <w:ind w:firstLine="420" w:firstLineChars="200"/>
        <w:rPr>
          <w:rFonts w:ascii="宋体" w:hAnsi="宋体"/>
          <w:color w:val="auto"/>
          <w:sz w:val="21"/>
          <w:szCs w:val="21"/>
        </w:rPr>
      </w:pPr>
      <w:r>
        <w:rPr>
          <w:rFonts w:ascii="宋体" w:hAnsi="宋体"/>
          <w:color w:val="auto"/>
          <w:sz w:val="21"/>
          <w:szCs w:val="21"/>
        </w:rPr>
        <w:t>4.2.1履约保证金自合同生效之日起生效</w:t>
      </w:r>
      <w:r>
        <w:rPr>
          <w:rFonts w:hint="eastAsia" w:ascii="宋体" w:hAnsi="宋体"/>
          <w:color w:val="auto"/>
          <w:sz w:val="21"/>
          <w:szCs w:val="21"/>
        </w:rPr>
        <w:t>。</w:t>
      </w:r>
      <w:r>
        <w:rPr>
          <w:rFonts w:ascii="宋体" w:hAnsi="宋体"/>
          <w:color w:val="auto"/>
          <w:sz w:val="21"/>
          <w:szCs w:val="21"/>
        </w:rPr>
        <w:t>在签发合同工程交工证书后，监理人应按委托人要求的格式，以项目专用合同条款规定的额度向委托人提交缺陷责任期保函。委托人在收到监理人提交的缺陷责任期保函后7日内向监理人返还履约保证金。在签发工程缺陷</w:t>
      </w:r>
      <w:r>
        <w:rPr>
          <w:rFonts w:hint="eastAsia" w:ascii="宋体" w:hAnsi="宋体"/>
          <w:color w:val="auto"/>
          <w:sz w:val="21"/>
          <w:szCs w:val="21"/>
        </w:rPr>
        <w:t>责任</w:t>
      </w:r>
      <w:r>
        <w:rPr>
          <w:rFonts w:ascii="宋体" w:hAnsi="宋体"/>
          <w:color w:val="auto"/>
          <w:sz w:val="21"/>
          <w:szCs w:val="21"/>
        </w:rPr>
        <w:t>终止证书后14日内，委托人向监理人返还缺陷贡任期保函。</w:t>
      </w:r>
    </w:p>
    <w:p w14:paraId="075B3651">
      <w:pPr>
        <w:spacing w:line="360" w:lineRule="auto"/>
        <w:ind w:firstLine="420" w:firstLineChars="200"/>
        <w:rPr>
          <w:rFonts w:ascii="宋体" w:hAnsi="宋体"/>
          <w:color w:val="auto"/>
          <w:sz w:val="21"/>
          <w:szCs w:val="21"/>
        </w:rPr>
      </w:pPr>
      <w:r>
        <w:rPr>
          <w:rFonts w:ascii="宋体" w:hAnsi="宋体"/>
          <w:color w:val="auto"/>
          <w:sz w:val="21"/>
          <w:szCs w:val="21"/>
        </w:rPr>
        <w:t>4.2.2如果监理人不履行合同约定的义务或其履行不符合合同的约定，委托人有权扣划相应金额的履约保证金或缺陷责任期保函，但不影响监理人根据监理合同应当得到的其他款项的支付。</w:t>
      </w:r>
    </w:p>
    <w:p w14:paraId="1ED0AD42">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4.4总监理工程师</w:t>
      </w:r>
    </w:p>
    <w:p w14:paraId="2FD2F3DB">
      <w:pPr>
        <w:spacing w:line="360" w:lineRule="auto"/>
        <w:ind w:firstLine="420" w:firstLineChars="200"/>
        <w:rPr>
          <w:rFonts w:ascii="宋体" w:hAnsi="宋体"/>
          <w:color w:val="auto"/>
          <w:sz w:val="21"/>
          <w:szCs w:val="21"/>
        </w:rPr>
      </w:pPr>
      <w:r>
        <w:rPr>
          <w:rFonts w:ascii="宋体" w:hAnsi="宋体"/>
          <w:color w:val="auto"/>
          <w:sz w:val="21"/>
          <w:szCs w:val="21"/>
        </w:rPr>
        <w:t>第4.4.1项细化为：</w:t>
      </w:r>
    </w:p>
    <w:p w14:paraId="37FEE8C0">
      <w:pPr>
        <w:spacing w:line="360" w:lineRule="auto"/>
        <w:ind w:firstLine="420" w:firstLineChars="200"/>
        <w:rPr>
          <w:rFonts w:ascii="宋体" w:hAnsi="宋体"/>
          <w:color w:val="auto"/>
          <w:sz w:val="21"/>
          <w:szCs w:val="21"/>
        </w:rPr>
      </w:pPr>
      <w:r>
        <w:rPr>
          <w:rFonts w:ascii="宋体" w:hAnsi="宋体"/>
          <w:color w:val="auto"/>
          <w:sz w:val="21"/>
          <w:szCs w:val="21"/>
        </w:rPr>
        <w:t>监理人应按合同协议书的约定指派总监理工程师</w:t>
      </w:r>
      <w:r>
        <w:rPr>
          <w:rFonts w:hint="eastAsia" w:ascii="宋体" w:hAnsi="宋体"/>
          <w:color w:val="auto"/>
          <w:sz w:val="21"/>
          <w:szCs w:val="21"/>
        </w:rPr>
        <w:t>，</w:t>
      </w:r>
      <w:r>
        <w:rPr>
          <w:rFonts w:ascii="宋体" w:hAnsi="宋体"/>
          <w:color w:val="auto"/>
          <w:sz w:val="21"/>
          <w:szCs w:val="21"/>
        </w:rPr>
        <w:t>并在约定的期限内到职。监理人更换总监理工程师应事先征得委托人同意，并应在更换</w:t>
      </w:r>
      <w:r>
        <w:rPr>
          <w:rFonts w:hint="eastAsia" w:ascii="宋体" w:hAnsi="宋体"/>
          <w:color w:val="auto"/>
          <w:sz w:val="21"/>
          <w:szCs w:val="21"/>
        </w:rPr>
        <w:t>14</w:t>
      </w:r>
      <w:r>
        <w:rPr>
          <w:rFonts w:ascii="宋体" w:hAnsi="宋体"/>
          <w:color w:val="auto"/>
          <w:sz w:val="21"/>
          <w:szCs w:val="21"/>
        </w:rPr>
        <w:t>天前将拟更换的总监理工程师的姓名和详细资料提交委托人</w:t>
      </w:r>
      <w:r>
        <w:rPr>
          <w:rFonts w:hint="eastAsia" w:ascii="宋体" w:hAnsi="宋体"/>
          <w:color w:val="auto"/>
          <w:sz w:val="21"/>
          <w:szCs w:val="21"/>
        </w:rPr>
        <w:t>，</w:t>
      </w:r>
      <w:r>
        <w:rPr>
          <w:rFonts w:ascii="宋体" w:hAnsi="宋体"/>
          <w:color w:val="auto"/>
          <w:sz w:val="21"/>
          <w:szCs w:val="21"/>
        </w:rPr>
        <w:t>拟更换的总监理工程师资历应不低于原总监理工程师</w:t>
      </w:r>
      <w:r>
        <w:rPr>
          <w:rFonts w:hint="eastAsia" w:ascii="宋体" w:hAnsi="宋体"/>
          <w:color w:val="auto"/>
          <w:sz w:val="21"/>
          <w:szCs w:val="21"/>
        </w:rPr>
        <w:t>。</w:t>
      </w:r>
      <w:r>
        <w:rPr>
          <w:rFonts w:ascii="宋体" w:hAnsi="宋体"/>
          <w:color w:val="auto"/>
          <w:sz w:val="21"/>
          <w:szCs w:val="21"/>
        </w:rPr>
        <w:t>总监理工程师2天内不能履行职责的，应事先征得委托人同意，并委派代表代行其职责。</w:t>
      </w:r>
    </w:p>
    <w:p w14:paraId="2A884768">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4.5监理人员的管理</w:t>
      </w:r>
    </w:p>
    <w:p w14:paraId="7BF75B37">
      <w:pPr>
        <w:spacing w:line="360" w:lineRule="auto"/>
        <w:ind w:firstLine="420" w:firstLineChars="200"/>
        <w:rPr>
          <w:rFonts w:ascii="宋体" w:hAnsi="宋体"/>
          <w:color w:val="auto"/>
          <w:sz w:val="21"/>
          <w:szCs w:val="21"/>
        </w:rPr>
      </w:pPr>
      <w:r>
        <w:rPr>
          <w:rFonts w:ascii="宋体" w:hAnsi="宋体"/>
          <w:color w:val="auto"/>
          <w:sz w:val="21"/>
          <w:szCs w:val="21"/>
        </w:rPr>
        <w:t>第4.5.1项、4.5.2项细化为：</w:t>
      </w:r>
    </w:p>
    <w:p w14:paraId="73DB109E">
      <w:pPr>
        <w:spacing w:line="360" w:lineRule="auto"/>
        <w:ind w:firstLine="420" w:firstLineChars="200"/>
        <w:rPr>
          <w:rFonts w:ascii="宋体" w:hAnsi="宋体"/>
          <w:color w:val="auto"/>
          <w:sz w:val="21"/>
          <w:szCs w:val="21"/>
        </w:rPr>
      </w:pPr>
      <w:r>
        <w:rPr>
          <w:rFonts w:ascii="宋体" w:hAnsi="宋体"/>
          <w:color w:val="auto"/>
          <w:sz w:val="21"/>
          <w:szCs w:val="21"/>
        </w:rPr>
        <w:t>4.5.1监理人应在接到开始监理通知之日起7天内，向委托人提交监理项目机构以及人员安排的报告，其内容应包括项目机构设置、主要监理人员和其他人员的名单及资格条件</w:t>
      </w:r>
      <w:r>
        <w:rPr>
          <w:rFonts w:hint="eastAsia" w:ascii="宋体" w:hAnsi="宋体"/>
          <w:color w:val="auto"/>
          <w:sz w:val="21"/>
          <w:szCs w:val="21"/>
        </w:rPr>
        <w:t>。</w:t>
      </w:r>
      <w:r>
        <w:rPr>
          <w:rFonts w:ascii="宋体" w:hAnsi="宋体"/>
          <w:color w:val="auto"/>
          <w:sz w:val="21"/>
          <w:szCs w:val="21"/>
        </w:rPr>
        <w:t>主要监理人员应常驻现场并相对稳定</w:t>
      </w:r>
      <w:r>
        <w:rPr>
          <w:rFonts w:hint="eastAsia" w:ascii="宋体" w:hAnsi="宋体"/>
          <w:color w:val="auto"/>
          <w:sz w:val="21"/>
          <w:szCs w:val="21"/>
        </w:rPr>
        <w:t>。</w:t>
      </w:r>
      <w:r>
        <w:rPr>
          <w:rFonts w:ascii="宋体" w:hAnsi="宋体"/>
          <w:color w:val="auto"/>
          <w:sz w:val="21"/>
          <w:szCs w:val="21"/>
        </w:rPr>
        <w:t>更换主要监理人员的</w:t>
      </w:r>
      <w:r>
        <w:rPr>
          <w:rFonts w:hint="eastAsia" w:ascii="宋体" w:hAnsi="宋体"/>
          <w:color w:val="auto"/>
          <w:sz w:val="21"/>
          <w:szCs w:val="21"/>
        </w:rPr>
        <w:t>，</w:t>
      </w:r>
      <w:r>
        <w:rPr>
          <w:rFonts w:ascii="宋体" w:hAnsi="宋体"/>
          <w:color w:val="auto"/>
          <w:sz w:val="21"/>
          <w:szCs w:val="21"/>
        </w:rPr>
        <w:t>应取得委托人的同意，并向委托人提交继任人员的资格</w:t>
      </w:r>
      <w:r>
        <w:rPr>
          <w:rFonts w:hint="eastAsia" w:ascii="宋体" w:hAnsi="宋体"/>
          <w:color w:val="auto"/>
          <w:sz w:val="21"/>
          <w:szCs w:val="21"/>
        </w:rPr>
        <w:t>、</w:t>
      </w:r>
      <w:r>
        <w:rPr>
          <w:rFonts w:ascii="宋体" w:hAnsi="宋体"/>
          <w:color w:val="auto"/>
          <w:sz w:val="21"/>
          <w:szCs w:val="21"/>
        </w:rPr>
        <w:t>管理经验等资料，继任人员的资历应不低于原监理人员</w:t>
      </w:r>
      <w:r>
        <w:rPr>
          <w:rFonts w:hint="eastAsia" w:ascii="宋体" w:hAnsi="宋体"/>
          <w:color w:val="auto"/>
          <w:sz w:val="21"/>
          <w:szCs w:val="21"/>
        </w:rPr>
        <w:t>。</w:t>
      </w:r>
      <w:r>
        <w:rPr>
          <w:rFonts w:ascii="宋体" w:hAnsi="宋体"/>
          <w:color w:val="auto"/>
          <w:sz w:val="21"/>
          <w:szCs w:val="21"/>
        </w:rPr>
        <w:t>总监理工程师的更换</w:t>
      </w:r>
      <w:r>
        <w:rPr>
          <w:rFonts w:hint="eastAsia" w:ascii="宋体" w:hAnsi="宋体"/>
          <w:color w:val="auto"/>
          <w:sz w:val="21"/>
          <w:szCs w:val="21"/>
        </w:rPr>
        <w:t>，</w:t>
      </w:r>
      <w:r>
        <w:rPr>
          <w:rFonts w:ascii="宋体" w:hAnsi="宋体"/>
          <w:color w:val="auto"/>
          <w:sz w:val="21"/>
          <w:szCs w:val="21"/>
        </w:rPr>
        <w:t>应按照本章第4.4.1项规定执行。</w:t>
      </w:r>
    </w:p>
    <w:p w14:paraId="3902F108">
      <w:pPr>
        <w:spacing w:line="360" w:lineRule="auto"/>
        <w:ind w:firstLine="420" w:firstLineChars="200"/>
        <w:rPr>
          <w:rFonts w:ascii="宋体" w:hAnsi="宋体"/>
          <w:color w:val="auto"/>
          <w:sz w:val="21"/>
          <w:szCs w:val="21"/>
        </w:rPr>
      </w:pPr>
      <w:r>
        <w:rPr>
          <w:rFonts w:ascii="宋体" w:hAnsi="宋体"/>
          <w:color w:val="auto"/>
          <w:sz w:val="21"/>
          <w:szCs w:val="21"/>
        </w:rPr>
        <w:t>4.5.2除项目专用合同条款另有约定外，主要监理人员包括总监理工程师、专业监理工程师等：其他人员包括各专业的监理员、试验员、资料员等。</w:t>
      </w:r>
    </w:p>
    <w:p w14:paraId="67267EF1">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w:t>
      </w:r>
      <w:r>
        <w:rPr>
          <w:rFonts w:ascii="宋体" w:hAnsi="宋体"/>
          <w:color w:val="auto"/>
          <w:sz w:val="21"/>
          <w:szCs w:val="21"/>
        </w:rPr>
        <w:t>第4.9款：</w:t>
      </w:r>
    </w:p>
    <w:p w14:paraId="64B14DE1">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4.9党建工作要求</w:t>
      </w:r>
    </w:p>
    <w:p w14:paraId="3B3F9D48">
      <w:pPr>
        <w:spacing w:line="360" w:lineRule="auto"/>
        <w:ind w:firstLine="420" w:firstLineChars="200"/>
        <w:rPr>
          <w:rFonts w:ascii="宋体" w:hAnsi="宋体"/>
          <w:color w:val="auto"/>
          <w:sz w:val="21"/>
          <w:szCs w:val="21"/>
        </w:rPr>
      </w:pPr>
      <w:r>
        <w:rPr>
          <w:rFonts w:ascii="宋体" w:hAnsi="宋体"/>
          <w:color w:val="auto"/>
          <w:sz w:val="21"/>
          <w:szCs w:val="21"/>
        </w:rPr>
        <w:t>对于政府投资的国家高速公路项目</w:t>
      </w:r>
      <w:r>
        <w:rPr>
          <w:rFonts w:hint="eastAsia" w:ascii="宋体" w:hAnsi="宋体"/>
          <w:color w:val="auto"/>
          <w:sz w:val="21"/>
          <w:szCs w:val="21"/>
        </w:rPr>
        <w:t>，</w:t>
      </w:r>
      <w:r>
        <w:rPr>
          <w:rFonts w:ascii="宋体" w:hAnsi="宋体"/>
          <w:color w:val="auto"/>
          <w:sz w:val="21"/>
          <w:szCs w:val="21"/>
        </w:rPr>
        <w:t>或监理人为固有控股或参股企业的，监理人应按规定在项目现场设立基层党组织。不满足上述情形的，监理人应创造条件使党员能够参加党组织生活并接受相应管理。</w:t>
      </w:r>
    </w:p>
    <w:p w14:paraId="6BA8BB9E">
      <w:pPr>
        <w:spacing w:line="360" w:lineRule="auto"/>
        <w:ind w:firstLine="420" w:firstLineChars="200"/>
        <w:rPr>
          <w:rFonts w:ascii="宋体" w:hAnsi="宋体"/>
          <w:color w:val="auto"/>
          <w:sz w:val="21"/>
          <w:szCs w:val="21"/>
        </w:rPr>
      </w:pPr>
      <w:r>
        <w:rPr>
          <w:rFonts w:ascii="宋体" w:hAnsi="宋体"/>
          <w:color w:val="auto"/>
          <w:sz w:val="21"/>
          <w:szCs w:val="21"/>
        </w:rPr>
        <w:t>监理人在项目现场设立基层党组织的，应明确党组织机构设置、党组织负责人及党务工作人员配备情况，编制党务工作开展预案，并按照预案要求在项目实施过程中同步开展党务工作，充分发挥基层党组织在项目实施的作用。</w:t>
      </w:r>
    </w:p>
    <w:p w14:paraId="5B9BE849">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5.监理要求</w:t>
      </w:r>
    </w:p>
    <w:p w14:paraId="01A3BF89">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5.1监理范围</w:t>
      </w:r>
    </w:p>
    <w:p w14:paraId="641817F2">
      <w:pPr>
        <w:spacing w:line="360" w:lineRule="auto"/>
        <w:ind w:firstLine="420" w:firstLineChars="200"/>
        <w:rPr>
          <w:rFonts w:ascii="宋体" w:hAnsi="宋体"/>
          <w:color w:val="auto"/>
          <w:sz w:val="21"/>
          <w:szCs w:val="21"/>
        </w:rPr>
      </w:pPr>
      <w:r>
        <w:rPr>
          <w:rFonts w:ascii="宋体" w:hAnsi="宋体"/>
          <w:color w:val="auto"/>
          <w:sz w:val="21"/>
          <w:szCs w:val="21"/>
        </w:rPr>
        <w:t>第5.1.3项细化为：</w:t>
      </w:r>
    </w:p>
    <w:p w14:paraId="664AFB22">
      <w:pPr>
        <w:spacing w:line="360" w:lineRule="auto"/>
        <w:ind w:firstLine="420" w:firstLineChars="200"/>
        <w:rPr>
          <w:rFonts w:ascii="宋体" w:hAnsi="宋体"/>
          <w:color w:val="auto"/>
          <w:sz w:val="21"/>
          <w:szCs w:val="21"/>
        </w:rPr>
      </w:pPr>
      <w:r>
        <w:rPr>
          <w:rFonts w:ascii="宋体" w:hAnsi="宋体"/>
          <w:color w:val="auto"/>
          <w:sz w:val="21"/>
          <w:szCs w:val="21"/>
        </w:rPr>
        <w:t>阶段范围指公路工程建设程序中的施工准备阶段、施工阶段、验收与缺陷责任期阶段中的一个或者多个阶段</w:t>
      </w:r>
      <w:r>
        <w:rPr>
          <w:rFonts w:hint="eastAsia" w:ascii="宋体" w:hAnsi="宋体"/>
          <w:color w:val="auto"/>
          <w:sz w:val="21"/>
          <w:szCs w:val="21"/>
        </w:rPr>
        <w:t>，</w:t>
      </w:r>
      <w:r>
        <w:rPr>
          <w:rFonts w:ascii="宋体" w:hAnsi="宋体"/>
          <w:color w:val="auto"/>
          <w:sz w:val="21"/>
          <w:szCs w:val="21"/>
        </w:rPr>
        <w:t>具体范围在项目专用合同条款中约定。</w:t>
      </w:r>
    </w:p>
    <w:p w14:paraId="39C0DA00">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5.2监理依据</w:t>
      </w:r>
    </w:p>
    <w:p w14:paraId="443C1702">
      <w:pPr>
        <w:spacing w:line="360" w:lineRule="auto"/>
        <w:ind w:firstLine="420" w:firstLineChars="200"/>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款细化为：</w:t>
      </w:r>
    </w:p>
    <w:p w14:paraId="05903336">
      <w:pPr>
        <w:spacing w:line="360" w:lineRule="auto"/>
        <w:ind w:firstLine="420" w:firstLineChars="200"/>
        <w:rPr>
          <w:rFonts w:ascii="宋体" w:hAnsi="宋体"/>
          <w:color w:val="auto"/>
          <w:sz w:val="21"/>
          <w:szCs w:val="21"/>
        </w:rPr>
      </w:pPr>
      <w:r>
        <w:rPr>
          <w:rFonts w:ascii="宋体" w:hAnsi="宋体"/>
          <w:color w:val="auto"/>
          <w:sz w:val="21"/>
          <w:szCs w:val="21"/>
        </w:rPr>
        <w:t>除项目专用合同条款另有约定外，本工程的监理依据如下：</w:t>
      </w:r>
    </w:p>
    <w:p w14:paraId="39271CE7">
      <w:pPr>
        <w:spacing w:line="360" w:lineRule="auto"/>
        <w:ind w:firstLine="420" w:firstLineChars="200"/>
        <w:rPr>
          <w:rFonts w:ascii="宋体" w:hAnsi="宋体"/>
          <w:color w:val="auto"/>
          <w:sz w:val="21"/>
          <w:szCs w:val="21"/>
        </w:rPr>
      </w:pPr>
      <w:r>
        <w:rPr>
          <w:rFonts w:ascii="宋体" w:hAnsi="宋体"/>
          <w:color w:val="auto"/>
          <w:sz w:val="21"/>
          <w:szCs w:val="21"/>
        </w:rPr>
        <w:t>（1）适用的法律、行政法规及部门规章：</w:t>
      </w:r>
    </w:p>
    <w:p w14:paraId="2FF4A677">
      <w:pPr>
        <w:spacing w:line="360" w:lineRule="auto"/>
        <w:ind w:firstLine="420" w:firstLineChars="200"/>
        <w:rPr>
          <w:rFonts w:ascii="宋体" w:hAnsi="宋体"/>
          <w:color w:val="auto"/>
          <w:sz w:val="21"/>
          <w:szCs w:val="21"/>
        </w:rPr>
      </w:pPr>
      <w:r>
        <w:rPr>
          <w:rFonts w:ascii="宋体" w:hAnsi="宋体"/>
          <w:color w:val="auto"/>
          <w:sz w:val="21"/>
          <w:szCs w:val="21"/>
        </w:rPr>
        <w:t>（2）与工程有关的规范、标准、规程；</w:t>
      </w:r>
    </w:p>
    <w:p w14:paraId="27981916">
      <w:pPr>
        <w:spacing w:line="360" w:lineRule="auto"/>
        <w:ind w:firstLine="420" w:firstLineChars="200"/>
        <w:rPr>
          <w:rFonts w:ascii="宋体" w:hAnsi="宋体"/>
          <w:color w:val="auto"/>
          <w:sz w:val="21"/>
          <w:szCs w:val="21"/>
        </w:rPr>
      </w:pPr>
      <w:r>
        <w:rPr>
          <w:rFonts w:ascii="宋体" w:hAnsi="宋体"/>
          <w:color w:val="auto"/>
          <w:sz w:val="21"/>
          <w:szCs w:val="21"/>
        </w:rPr>
        <w:t>（3）工程前期有关文件</w:t>
      </w:r>
      <w:r>
        <w:rPr>
          <w:rFonts w:hint="eastAsia" w:ascii="宋体" w:hAnsi="宋体"/>
          <w:color w:val="auto"/>
          <w:sz w:val="21"/>
          <w:szCs w:val="21"/>
        </w:rPr>
        <w:t>；</w:t>
      </w:r>
    </w:p>
    <w:p w14:paraId="61D9C463">
      <w:pPr>
        <w:spacing w:line="360" w:lineRule="auto"/>
        <w:ind w:firstLine="420" w:firstLineChars="200"/>
        <w:rPr>
          <w:rFonts w:ascii="宋体" w:hAnsi="宋体"/>
          <w:color w:val="auto"/>
          <w:sz w:val="21"/>
          <w:szCs w:val="21"/>
        </w:rPr>
      </w:pPr>
      <w:r>
        <w:rPr>
          <w:rFonts w:ascii="宋体" w:hAnsi="宋体"/>
          <w:color w:val="auto"/>
          <w:sz w:val="21"/>
          <w:szCs w:val="21"/>
        </w:rPr>
        <w:t>（4）工程勘察文件、设计文件及其他文件；</w:t>
      </w:r>
    </w:p>
    <w:p w14:paraId="3294DD5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）本工程监理的委托合同及补充合同</w:t>
      </w:r>
      <w:r>
        <w:rPr>
          <w:rFonts w:hint="eastAsia" w:ascii="宋体" w:hAnsi="宋体"/>
          <w:color w:val="auto"/>
          <w:sz w:val="21"/>
          <w:szCs w:val="21"/>
        </w:rPr>
        <w:t>；</w:t>
      </w:r>
    </w:p>
    <w:p w14:paraId="30530D5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）委托人签订的施工承包合同；</w:t>
      </w:r>
    </w:p>
    <w:p w14:paraId="699CE88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）合同履行中与监理服务有关的来往函件：</w:t>
      </w:r>
    </w:p>
    <w:p w14:paraId="0F96319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）其他监理依据。</w:t>
      </w:r>
    </w:p>
    <w:p w14:paraId="3A66EFA4">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5.3监理内容</w:t>
      </w:r>
    </w:p>
    <w:p w14:paraId="52AA59C6">
      <w:pPr>
        <w:spacing w:line="360" w:lineRule="auto"/>
        <w:ind w:firstLine="420" w:firstLineChars="200"/>
        <w:rPr>
          <w:rFonts w:ascii="宋体" w:hAnsi="宋体"/>
          <w:color w:val="auto"/>
          <w:sz w:val="21"/>
          <w:szCs w:val="21"/>
        </w:rPr>
      </w:pPr>
      <w:r>
        <w:rPr>
          <w:rFonts w:ascii="宋体" w:hAnsi="宋体"/>
          <w:color w:val="auto"/>
          <w:sz w:val="21"/>
          <w:szCs w:val="21"/>
        </w:rPr>
        <w:t>本款细化为</w:t>
      </w:r>
      <w:r>
        <w:rPr>
          <w:rFonts w:hint="eastAsia" w:ascii="宋体" w:hAnsi="宋体"/>
          <w:color w:val="auto"/>
          <w:sz w:val="21"/>
          <w:szCs w:val="21"/>
        </w:rPr>
        <w:t>：</w:t>
      </w:r>
    </w:p>
    <w:p w14:paraId="6F3AB814">
      <w:pPr>
        <w:spacing w:line="360" w:lineRule="auto"/>
        <w:ind w:firstLine="420" w:firstLineChars="200"/>
        <w:rPr>
          <w:rFonts w:ascii="宋体" w:hAnsi="宋体"/>
          <w:color w:val="auto"/>
          <w:sz w:val="21"/>
          <w:szCs w:val="21"/>
        </w:rPr>
      </w:pPr>
      <w:r>
        <w:rPr>
          <w:rFonts w:ascii="宋体" w:hAnsi="宋体"/>
          <w:color w:val="auto"/>
          <w:sz w:val="21"/>
          <w:szCs w:val="21"/>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14:paraId="4C4827F8">
      <w:pPr>
        <w:spacing w:line="360" w:lineRule="auto"/>
        <w:ind w:firstLine="420" w:firstLineChars="200"/>
        <w:rPr>
          <w:rFonts w:ascii="宋体" w:hAnsi="宋体"/>
          <w:color w:val="auto"/>
          <w:sz w:val="21"/>
          <w:szCs w:val="21"/>
        </w:rPr>
      </w:pPr>
      <w:r>
        <w:rPr>
          <w:rFonts w:ascii="宋体" w:hAnsi="宋体"/>
          <w:color w:val="auto"/>
          <w:sz w:val="21"/>
          <w:szCs w:val="21"/>
        </w:rPr>
        <w:t>5.3.1在工程同时设置总监办和驻地办时，总监办的监理服务内容为</w:t>
      </w:r>
      <w:r>
        <w:rPr>
          <w:rFonts w:hint="eastAsia" w:ascii="宋体" w:hAnsi="宋体"/>
          <w:color w:val="auto"/>
          <w:sz w:val="21"/>
          <w:szCs w:val="21"/>
        </w:rPr>
        <w:t>；</w:t>
      </w:r>
    </w:p>
    <w:p w14:paraId="609ED0FB">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w:t>
      </w:r>
      <w:r>
        <w:rPr>
          <w:rFonts w:ascii="宋体" w:hAnsi="宋体"/>
          <w:color w:val="auto"/>
          <w:sz w:val="21"/>
          <w:szCs w:val="21"/>
        </w:rPr>
        <w:t>总监办工地试验室按监理合同要求配备常规的试验检测设备</w:t>
      </w:r>
      <w:r>
        <w:rPr>
          <w:rFonts w:hint="eastAsia" w:ascii="宋体" w:hAnsi="宋体"/>
          <w:color w:val="auto"/>
          <w:sz w:val="21"/>
          <w:szCs w:val="21"/>
        </w:rPr>
        <w:t>，</w:t>
      </w:r>
      <w:r>
        <w:rPr>
          <w:rFonts w:ascii="宋体" w:hAnsi="宋体"/>
          <w:color w:val="auto"/>
          <w:sz w:val="21"/>
          <w:szCs w:val="21"/>
        </w:rPr>
        <w:t>并须达到项目专用合同条款中约定的检查项目及频率要求</w:t>
      </w:r>
      <w:r>
        <w:rPr>
          <w:rFonts w:hint="eastAsia" w:ascii="宋体" w:hAnsi="宋体"/>
          <w:color w:val="auto"/>
          <w:sz w:val="21"/>
          <w:szCs w:val="21"/>
        </w:rPr>
        <w:t>；</w:t>
      </w:r>
    </w:p>
    <w:p w14:paraId="3D2A23B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熟悉合同文件，调查施工环境条件</w:t>
      </w:r>
      <w:r>
        <w:rPr>
          <w:rFonts w:hint="eastAsia" w:ascii="宋体" w:hAnsi="宋体"/>
          <w:color w:val="auto"/>
          <w:sz w:val="21"/>
          <w:szCs w:val="21"/>
        </w:rPr>
        <w:t>；</w:t>
      </w:r>
    </w:p>
    <w:p w14:paraId="5BED025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在合同约定的期限内主持编制监理计划</w:t>
      </w:r>
      <w:r>
        <w:rPr>
          <w:rFonts w:hint="eastAsia" w:ascii="宋体" w:hAnsi="宋体"/>
          <w:color w:val="auto"/>
          <w:sz w:val="21"/>
          <w:szCs w:val="21"/>
        </w:rPr>
        <w:t>；</w:t>
      </w:r>
    </w:p>
    <w:p w14:paraId="3EB7DD2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审批各驻地办主持编制的监理细则</w:t>
      </w:r>
      <w:r>
        <w:rPr>
          <w:rFonts w:hint="eastAsia" w:ascii="宋体" w:hAnsi="宋体"/>
          <w:color w:val="auto"/>
          <w:sz w:val="21"/>
          <w:szCs w:val="21"/>
        </w:rPr>
        <w:t>；</w:t>
      </w:r>
    </w:p>
    <w:p w14:paraId="033B6C5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参加设计交底</w:t>
      </w:r>
      <w:r>
        <w:rPr>
          <w:rFonts w:hint="eastAsia" w:ascii="宋体" w:hAnsi="宋体"/>
          <w:color w:val="auto"/>
          <w:sz w:val="21"/>
          <w:szCs w:val="21"/>
        </w:rPr>
        <w:t>；</w:t>
      </w:r>
    </w:p>
    <w:p w14:paraId="52FFA00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在合同约定的期限内审批承包人提交的施工组织设计（含安全技术措施、应急救援抢险方案</w:t>
      </w:r>
      <w:r>
        <w:rPr>
          <w:rFonts w:hint="eastAsia" w:ascii="宋体" w:hAnsi="宋体"/>
          <w:color w:val="auto"/>
          <w:sz w:val="21"/>
          <w:szCs w:val="21"/>
        </w:rPr>
        <w:t>、</w:t>
      </w:r>
      <w:r>
        <w:rPr>
          <w:rFonts w:ascii="宋体" w:hAnsi="宋体"/>
          <w:color w:val="auto"/>
          <w:sz w:val="21"/>
          <w:szCs w:val="21"/>
        </w:rPr>
        <w:t>专项施工方案及施工环境保护措施）</w:t>
      </w:r>
      <w:r>
        <w:rPr>
          <w:rFonts w:hint="eastAsia" w:ascii="宋体" w:hAnsi="宋体"/>
          <w:color w:val="auto"/>
          <w:sz w:val="21"/>
          <w:szCs w:val="21"/>
        </w:rPr>
        <w:t>；</w:t>
      </w:r>
    </w:p>
    <w:p w14:paraId="6B77E6D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审批承包人提交的总体进度计划</w:t>
      </w:r>
      <w:r>
        <w:rPr>
          <w:rFonts w:hint="eastAsia" w:ascii="宋体" w:hAnsi="宋体"/>
          <w:color w:val="auto"/>
          <w:sz w:val="21"/>
          <w:szCs w:val="21"/>
        </w:rPr>
        <w:t>，</w:t>
      </w:r>
      <w:r>
        <w:rPr>
          <w:rFonts w:ascii="宋体" w:hAnsi="宋体"/>
          <w:color w:val="auto"/>
          <w:sz w:val="21"/>
          <w:szCs w:val="21"/>
        </w:rPr>
        <w:t>核批承包人对总体进度计划的调整计划</w:t>
      </w:r>
      <w:r>
        <w:rPr>
          <w:rFonts w:hint="eastAsia" w:ascii="宋体" w:hAnsi="宋体"/>
          <w:color w:val="auto"/>
          <w:sz w:val="21"/>
          <w:szCs w:val="21"/>
        </w:rPr>
        <w:t>；</w:t>
      </w:r>
    </w:p>
    <w:p w14:paraId="194F057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签发开工预付款支付证书</w:t>
      </w:r>
      <w:r>
        <w:rPr>
          <w:rFonts w:hint="eastAsia" w:ascii="宋体" w:hAnsi="宋体"/>
          <w:color w:val="auto"/>
          <w:sz w:val="21"/>
          <w:szCs w:val="21"/>
        </w:rPr>
        <w:t>；</w:t>
      </w:r>
    </w:p>
    <w:p w14:paraId="30C3A2C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9）</w:t>
      </w:r>
      <w:r>
        <w:rPr>
          <w:rFonts w:ascii="宋体" w:hAnsi="宋体"/>
          <w:color w:val="auto"/>
          <w:sz w:val="21"/>
          <w:szCs w:val="21"/>
        </w:rPr>
        <w:t>审批承包人提交的分项</w:t>
      </w:r>
      <w:r>
        <w:rPr>
          <w:rFonts w:hint="eastAsia" w:ascii="宋体" w:hAnsi="宋体"/>
          <w:color w:val="auto"/>
          <w:sz w:val="21"/>
          <w:szCs w:val="21"/>
        </w:rPr>
        <w:t>、</w:t>
      </w:r>
      <w:r>
        <w:rPr>
          <w:rFonts w:ascii="宋体" w:hAnsi="宋体"/>
          <w:color w:val="auto"/>
          <w:sz w:val="21"/>
          <w:szCs w:val="21"/>
        </w:rPr>
        <w:t>分部</w:t>
      </w:r>
      <w:r>
        <w:rPr>
          <w:rFonts w:hint="eastAsia" w:ascii="宋体" w:hAnsi="宋体"/>
          <w:color w:val="auto"/>
          <w:sz w:val="21"/>
          <w:szCs w:val="21"/>
        </w:rPr>
        <w:t>、</w:t>
      </w:r>
      <w:r>
        <w:rPr>
          <w:rFonts w:ascii="宋体" w:hAnsi="宋体"/>
          <w:color w:val="auto"/>
          <w:sz w:val="21"/>
          <w:szCs w:val="21"/>
        </w:rPr>
        <w:t>单位工程划分</w:t>
      </w:r>
      <w:r>
        <w:rPr>
          <w:rFonts w:hint="eastAsia" w:ascii="宋体" w:hAnsi="宋体"/>
          <w:color w:val="auto"/>
          <w:sz w:val="21"/>
          <w:szCs w:val="21"/>
        </w:rPr>
        <w:t>；</w:t>
      </w:r>
    </w:p>
    <w:p w14:paraId="27F77954">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0）</w:t>
      </w:r>
      <w:r>
        <w:rPr>
          <w:rFonts w:ascii="宋体" w:hAnsi="宋体"/>
          <w:color w:val="auto"/>
          <w:sz w:val="21"/>
          <w:szCs w:val="21"/>
        </w:rPr>
        <w:t>检查承包人的质量、安全和环保等保证体系，审核工地试验室，抽查控制桩点复测、测定地面线和工程划分及驻地办工作</w:t>
      </w:r>
      <w:r>
        <w:rPr>
          <w:rFonts w:hint="eastAsia" w:ascii="宋体" w:hAnsi="宋体"/>
          <w:color w:val="auto"/>
          <w:sz w:val="21"/>
          <w:szCs w:val="21"/>
        </w:rPr>
        <w:t>；</w:t>
      </w:r>
    </w:p>
    <w:p w14:paraId="16C42498">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1）</w:t>
      </w:r>
      <w:r>
        <w:rPr>
          <w:rFonts w:ascii="宋体" w:hAnsi="宋体"/>
          <w:color w:val="auto"/>
          <w:sz w:val="21"/>
          <w:szCs w:val="21"/>
        </w:rPr>
        <w:t>主持召开监理交底会</w:t>
      </w:r>
      <w:r>
        <w:rPr>
          <w:rFonts w:hint="eastAsia" w:ascii="宋体" w:hAnsi="宋体"/>
          <w:color w:val="auto"/>
          <w:sz w:val="21"/>
          <w:szCs w:val="21"/>
        </w:rPr>
        <w:t>；</w:t>
      </w:r>
    </w:p>
    <w:p w14:paraId="219B423D">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2）</w:t>
      </w:r>
      <w:r>
        <w:rPr>
          <w:rFonts w:ascii="宋体" w:hAnsi="宋体"/>
          <w:color w:val="auto"/>
          <w:sz w:val="21"/>
          <w:szCs w:val="21"/>
        </w:rPr>
        <w:t>主持召开第一次工地会议</w:t>
      </w:r>
      <w:r>
        <w:rPr>
          <w:rFonts w:hint="eastAsia" w:ascii="宋体" w:hAnsi="宋体"/>
          <w:color w:val="auto"/>
          <w:sz w:val="21"/>
          <w:szCs w:val="21"/>
        </w:rPr>
        <w:t>；</w:t>
      </w:r>
    </w:p>
    <w:p w14:paraId="4A50BFB1">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3）</w:t>
      </w:r>
      <w:r>
        <w:rPr>
          <w:rFonts w:ascii="宋体" w:hAnsi="宋体"/>
          <w:color w:val="auto"/>
          <w:sz w:val="21"/>
          <w:szCs w:val="21"/>
        </w:rPr>
        <w:t>签发合同工程开工令</w:t>
      </w:r>
      <w:r>
        <w:rPr>
          <w:rFonts w:hint="eastAsia" w:ascii="宋体" w:hAnsi="宋体"/>
          <w:color w:val="auto"/>
          <w:sz w:val="21"/>
          <w:szCs w:val="21"/>
        </w:rPr>
        <w:t>；</w:t>
      </w:r>
    </w:p>
    <w:p w14:paraId="6292AE78">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4）</w:t>
      </w:r>
      <w:r>
        <w:rPr>
          <w:rFonts w:ascii="宋体" w:hAnsi="宋体"/>
          <w:color w:val="auto"/>
          <w:sz w:val="21"/>
          <w:szCs w:val="21"/>
        </w:rPr>
        <w:t>审批重要工程材料及混合料配合比</w:t>
      </w:r>
      <w:r>
        <w:rPr>
          <w:rFonts w:hint="eastAsia" w:ascii="宋体" w:hAnsi="宋体"/>
          <w:color w:val="auto"/>
          <w:sz w:val="21"/>
          <w:szCs w:val="21"/>
        </w:rPr>
        <w:t>；</w:t>
      </w:r>
    </w:p>
    <w:p w14:paraId="28A686A9">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5）</w:t>
      </w:r>
      <w:r>
        <w:rPr>
          <w:rFonts w:ascii="宋体" w:hAnsi="宋体"/>
          <w:color w:val="auto"/>
          <w:sz w:val="21"/>
          <w:szCs w:val="21"/>
        </w:rPr>
        <w:t>审核工程中期支付申请</w:t>
      </w:r>
      <w:r>
        <w:rPr>
          <w:rFonts w:hint="eastAsia" w:ascii="宋体" w:hAnsi="宋体"/>
          <w:color w:val="auto"/>
          <w:sz w:val="21"/>
          <w:szCs w:val="21"/>
        </w:rPr>
        <w:t>，</w:t>
      </w:r>
      <w:r>
        <w:rPr>
          <w:rFonts w:ascii="宋体" w:hAnsi="宋体"/>
          <w:color w:val="auto"/>
          <w:sz w:val="21"/>
          <w:szCs w:val="21"/>
        </w:rPr>
        <w:t>签发中期支付证书</w:t>
      </w:r>
      <w:r>
        <w:rPr>
          <w:rFonts w:hint="eastAsia" w:ascii="宋体" w:hAnsi="宋体"/>
          <w:color w:val="auto"/>
          <w:sz w:val="21"/>
          <w:szCs w:val="21"/>
        </w:rPr>
        <w:t>；</w:t>
      </w:r>
    </w:p>
    <w:p w14:paraId="11FB298C">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6）</w:t>
      </w:r>
      <w:r>
        <w:rPr>
          <w:rFonts w:ascii="宋体" w:hAnsi="宋体"/>
          <w:color w:val="auto"/>
          <w:sz w:val="21"/>
          <w:szCs w:val="21"/>
        </w:rPr>
        <w:t>签发单位工程或合同工程的暂停令和复工令</w:t>
      </w:r>
      <w:r>
        <w:rPr>
          <w:rFonts w:hint="eastAsia" w:ascii="宋体" w:hAnsi="宋体"/>
          <w:color w:val="auto"/>
          <w:sz w:val="21"/>
          <w:szCs w:val="21"/>
        </w:rPr>
        <w:t>；</w:t>
      </w:r>
    </w:p>
    <w:p w14:paraId="6CF9FE16">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7）</w:t>
      </w:r>
      <w:r>
        <w:rPr>
          <w:rFonts w:ascii="宋体" w:hAnsi="宋体"/>
          <w:color w:val="auto"/>
          <w:sz w:val="21"/>
          <w:szCs w:val="21"/>
        </w:rPr>
        <w:t>受理合同其他事项的有关事</w:t>
      </w:r>
      <w:r>
        <w:rPr>
          <w:rFonts w:hint="eastAsia" w:ascii="宋体" w:hAnsi="宋体"/>
          <w:color w:val="auto"/>
          <w:sz w:val="21"/>
          <w:szCs w:val="21"/>
        </w:rPr>
        <w:t>宜，</w:t>
      </w:r>
      <w:r>
        <w:rPr>
          <w:rFonts w:ascii="宋体" w:hAnsi="宋体"/>
          <w:color w:val="auto"/>
          <w:sz w:val="21"/>
          <w:szCs w:val="21"/>
        </w:rPr>
        <w:t>按合同约定审核</w:t>
      </w:r>
      <w:r>
        <w:rPr>
          <w:rFonts w:hint="eastAsia" w:ascii="宋体" w:hAnsi="宋体"/>
          <w:color w:val="auto"/>
          <w:sz w:val="21"/>
          <w:szCs w:val="21"/>
        </w:rPr>
        <w:t>、</w:t>
      </w:r>
      <w:r>
        <w:rPr>
          <w:rFonts w:ascii="宋体" w:hAnsi="宋体"/>
          <w:color w:val="auto"/>
          <w:sz w:val="21"/>
          <w:szCs w:val="21"/>
        </w:rPr>
        <w:t>评估和处理工程变更</w:t>
      </w:r>
      <w:r>
        <w:rPr>
          <w:rFonts w:hint="eastAsia" w:ascii="宋体" w:hAnsi="宋体"/>
          <w:color w:val="auto"/>
          <w:sz w:val="21"/>
          <w:szCs w:val="21"/>
        </w:rPr>
        <w:t>、</w:t>
      </w:r>
      <w:r>
        <w:rPr>
          <w:rFonts w:ascii="宋体" w:hAnsi="宋体"/>
          <w:color w:val="auto"/>
          <w:sz w:val="21"/>
          <w:szCs w:val="21"/>
        </w:rPr>
        <w:t>工程延期、费用索赔、价格调整、保险、违约、争端等合同事项</w:t>
      </w:r>
      <w:r>
        <w:rPr>
          <w:rFonts w:hint="eastAsia" w:ascii="宋体" w:hAnsi="宋体"/>
          <w:color w:val="auto"/>
          <w:sz w:val="21"/>
          <w:szCs w:val="21"/>
        </w:rPr>
        <w:t>；</w:t>
      </w:r>
    </w:p>
    <w:p w14:paraId="51BAA00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18）</w:t>
      </w:r>
      <w:r>
        <w:rPr>
          <w:rFonts w:ascii="宋体" w:hAnsi="宋体"/>
          <w:color w:val="auto"/>
          <w:sz w:val="21"/>
          <w:szCs w:val="21"/>
        </w:rPr>
        <w:t>组织编写监理月报</w:t>
      </w:r>
      <w:r>
        <w:rPr>
          <w:rFonts w:hint="eastAsia" w:ascii="宋体" w:hAnsi="宋体"/>
          <w:color w:val="auto"/>
          <w:sz w:val="21"/>
          <w:szCs w:val="21"/>
        </w:rPr>
        <w:t>；</w:t>
      </w:r>
    </w:p>
    <w:p w14:paraId="35C23421">
      <w:pPr>
        <w:spacing w:line="360" w:lineRule="auto"/>
        <w:ind w:firstLine="420" w:firstLineChars="200"/>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9）</w:t>
      </w:r>
      <w:r>
        <w:rPr>
          <w:rFonts w:ascii="宋体" w:hAnsi="宋体"/>
          <w:color w:val="auto"/>
          <w:sz w:val="21"/>
          <w:szCs w:val="21"/>
        </w:rPr>
        <w:t>根据工程需要主持召开专题工地会议</w:t>
      </w:r>
      <w:r>
        <w:rPr>
          <w:rFonts w:hint="eastAsia" w:ascii="宋体" w:hAnsi="宋体"/>
          <w:color w:val="auto"/>
          <w:sz w:val="21"/>
          <w:szCs w:val="21"/>
        </w:rPr>
        <w:t>；</w:t>
      </w:r>
    </w:p>
    <w:p w14:paraId="394983F5">
      <w:pPr>
        <w:spacing w:line="360" w:lineRule="auto"/>
        <w:ind w:firstLine="420" w:firstLineChars="200"/>
        <w:rPr>
          <w:rFonts w:ascii="宋体" w:hAnsi="宋体"/>
          <w:color w:val="auto"/>
          <w:sz w:val="21"/>
          <w:szCs w:val="21"/>
        </w:rPr>
      </w:pPr>
      <w:r>
        <w:rPr>
          <w:rFonts w:hint="eastAsia" w:ascii="宋体" w:hAnsi="宋体"/>
          <w:color w:val="auto"/>
          <w:sz w:val="21"/>
          <w:szCs w:val="21"/>
        </w:rPr>
        <mc:AlternateContent>
          <mc:Choice Requires="wps">
            <w:drawing>
              <wp:anchor distT="0" distB="0" distL="114300" distR="114300" simplePos="0" relativeHeight="251662336" behindDoc="1" locked="0" layoutInCell="1" allowOverlap="1">
                <wp:simplePos x="0" y="0"/>
                <wp:positionH relativeFrom="page">
                  <wp:posOffset>1374775</wp:posOffset>
                </wp:positionH>
                <wp:positionV relativeFrom="paragraph">
                  <wp:posOffset>325120</wp:posOffset>
                </wp:positionV>
                <wp:extent cx="24765" cy="520700"/>
                <wp:effectExtent l="0" t="0" r="0" b="0"/>
                <wp:wrapNone/>
                <wp:docPr id="6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 cy="520700"/>
                        </a:xfrm>
                        <a:prstGeom prst="rect">
                          <a:avLst/>
                        </a:prstGeom>
                        <a:noFill/>
                        <a:ln>
                          <a:noFill/>
                        </a:ln>
                      </wps:spPr>
                      <wps:txbx>
                        <w:txbxContent>
                          <w:p w14:paraId="26401CD4">
                            <w:pPr>
                              <w:spacing w:line="820" w:lineRule="exact"/>
                              <w:rPr>
                                <w:rFonts w:ascii="宋体" w:hAnsi="宋体" w:cs="宋体"/>
                                <w:sz w:val="82"/>
                                <w:szCs w:val="82"/>
                              </w:rPr>
                            </w:pPr>
                            <w:r>
                              <w:rPr>
                                <w:rFonts w:ascii="宋体" w:hAnsi="宋体" w:cs="宋体"/>
                                <w:color w:val="131318"/>
                                <w:spacing w:val="-820"/>
                                <w:sz w:val="82"/>
                                <w:szCs w:val="82"/>
                              </w:rPr>
                              <w:t>。</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08.25pt;margin-top:25.6pt;height:41pt;width:1.95pt;mso-position-horizontal-relative:page;z-index:-251654144;mso-width-relative:page;mso-height-relative:page;" filled="f" stroked="f" coordsize="21600,21600" o:gfxdata="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TVscNkAAAAKAQAADwAAAAAAAAABACAA&#10;AAAiAAAAZHJzL2Rvd25yZXYueG1sUEsBAhQAFAAAAAgAh07iQDMsQqUMAgAABAQAAA4AAAAAAAAA&#10;AQAgAAAAKAEAAGRycy9lMm9Eb2MueG1sUEsFBgAAAAAGAAYAWQEAAKYFAAAAAA==&#10;">
                <v:fill on="f" focussize="0,0"/>
                <v:stroke on="f"/>
                <v:imagedata o:title=""/>
                <o:lock v:ext="edit" aspectratio="f"/>
                <v:textbox inset="0mm,0mm,0mm,0mm">
                  <w:txbxContent>
                    <w:p w14:paraId="26401CD4">
                      <w:pPr>
                        <w:spacing w:line="820" w:lineRule="exact"/>
                        <w:rPr>
                          <w:rFonts w:ascii="宋体" w:hAnsi="宋体" w:cs="宋体"/>
                          <w:sz w:val="82"/>
                          <w:szCs w:val="82"/>
                        </w:rPr>
                      </w:pPr>
                      <w:r>
                        <w:rPr>
                          <w:rFonts w:ascii="宋体" w:hAnsi="宋体" w:cs="宋体"/>
                          <w:color w:val="131318"/>
                          <w:spacing w:val="-820"/>
                          <w:sz w:val="82"/>
                          <w:szCs w:val="82"/>
                        </w:rPr>
                        <w:t>。</w:t>
                      </w:r>
                    </w:p>
                  </w:txbxContent>
                </v:textbox>
              </v:shape>
            </w:pict>
          </mc:Fallback>
        </mc:AlternateContent>
      </w:r>
      <w:r>
        <w:rPr>
          <w:rFonts w:ascii="宋体" w:hAnsi="宋体"/>
          <w:color w:val="auto"/>
          <w:sz w:val="21"/>
          <w:szCs w:val="21"/>
        </w:rPr>
        <w:t>（</w:t>
      </w:r>
      <w:r>
        <w:rPr>
          <w:rFonts w:hint="eastAsia" w:ascii="宋体" w:hAnsi="宋体"/>
          <w:color w:val="auto"/>
          <w:sz w:val="21"/>
          <w:szCs w:val="21"/>
        </w:rPr>
        <w:t>20）</w:t>
      </w:r>
      <w:r>
        <w:rPr>
          <w:rFonts w:ascii="宋体" w:hAnsi="宋体"/>
          <w:color w:val="auto"/>
          <w:sz w:val="21"/>
          <w:szCs w:val="21"/>
        </w:rPr>
        <w:t>对发生的质量缺陷、质量隐患和质量事故进行调查、处理或督促承包人按规定报告有关部门</w:t>
      </w:r>
      <w:r>
        <w:rPr>
          <w:rFonts w:hint="eastAsia" w:ascii="宋体" w:hAnsi="宋体"/>
          <w:color w:val="auto"/>
          <w:sz w:val="21"/>
          <w:szCs w:val="21"/>
        </w:rPr>
        <w:t>；</w:t>
      </w:r>
    </w:p>
    <w:p w14:paraId="38AA6AF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21）</w:t>
      </w:r>
      <w:r>
        <w:rPr>
          <w:rFonts w:ascii="宋体" w:hAnsi="宋体"/>
          <w:color w:val="auto"/>
          <w:sz w:val="21"/>
          <w:szCs w:val="21"/>
        </w:rPr>
        <w:t>协助委托人审查交工验收申请，评定工程质量</w:t>
      </w:r>
      <w:r>
        <w:rPr>
          <w:rFonts w:hint="eastAsia" w:ascii="宋体" w:hAnsi="宋体"/>
          <w:color w:val="auto"/>
          <w:sz w:val="21"/>
          <w:szCs w:val="21"/>
        </w:rPr>
        <w:t>；</w:t>
      </w:r>
    </w:p>
    <w:p w14:paraId="69B8EE4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22）</w:t>
      </w:r>
      <w:r>
        <w:rPr>
          <w:rFonts w:ascii="宋体" w:hAnsi="宋体"/>
          <w:color w:val="auto"/>
          <w:sz w:val="21"/>
          <w:szCs w:val="21"/>
        </w:rPr>
        <w:t>参加委托人组织的合同工程交工验收</w:t>
      </w:r>
      <w:r>
        <w:rPr>
          <w:rFonts w:hint="eastAsia" w:ascii="宋体" w:hAnsi="宋体"/>
          <w:color w:val="auto"/>
          <w:sz w:val="21"/>
          <w:szCs w:val="21"/>
        </w:rPr>
        <w:t>；</w:t>
      </w:r>
    </w:p>
    <w:p w14:paraId="2642C6B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23）</w:t>
      </w:r>
      <w:r>
        <w:rPr>
          <w:rFonts w:ascii="宋体" w:hAnsi="宋体"/>
          <w:color w:val="auto"/>
          <w:sz w:val="21"/>
          <w:szCs w:val="21"/>
        </w:rPr>
        <w:t>编写监理工作报告，并提交委托人</w:t>
      </w:r>
      <w:r>
        <w:rPr>
          <w:rFonts w:hint="eastAsia" w:ascii="宋体" w:hAnsi="宋体"/>
          <w:color w:val="auto"/>
          <w:sz w:val="21"/>
          <w:szCs w:val="21"/>
        </w:rPr>
        <w:t>；</w:t>
      </w:r>
    </w:p>
    <w:p w14:paraId="14121C7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24）</w:t>
      </w:r>
      <w:r>
        <w:rPr>
          <w:rFonts w:ascii="宋体" w:hAnsi="宋体"/>
          <w:color w:val="auto"/>
          <w:sz w:val="21"/>
          <w:szCs w:val="21"/>
        </w:rPr>
        <w:t>签认交工结账证书</w:t>
      </w:r>
      <w:r>
        <w:rPr>
          <w:rFonts w:hint="eastAsia" w:ascii="宋体" w:hAnsi="宋体"/>
          <w:color w:val="auto"/>
          <w:sz w:val="21"/>
          <w:szCs w:val="21"/>
        </w:rPr>
        <w:t>；</w:t>
      </w:r>
    </w:p>
    <w:p w14:paraId="269EBFC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25）</w:t>
      </w:r>
      <w:r>
        <w:rPr>
          <w:rFonts w:ascii="宋体" w:hAnsi="宋体"/>
          <w:color w:val="auto"/>
          <w:sz w:val="21"/>
          <w:szCs w:val="21"/>
        </w:rPr>
        <w:t>组织编制工程监理竣工文件，并督促承包人按合同约定编制和整理竣工资料</w:t>
      </w:r>
      <w:r>
        <w:rPr>
          <w:rFonts w:hint="eastAsia" w:ascii="宋体" w:hAnsi="宋体"/>
          <w:color w:val="auto"/>
          <w:sz w:val="21"/>
          <w:szCs w:val="21"/>
        </w:rPr>
        <w:t>；</w:t>
      </w:r>
    </w:p>
    <w:p w14:paraId="539FCB8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26）</w:t>
      </w:r>
      <w:r>
        <w:rPr>
          <w:rFonts w:ascii="宋体" w:hAnsi="宋体"/>
          <w:color w:val="auto"/>
          <w:sz w:val="21"/>
          <w:szCs w:val="21"/>
        </w:rPr>
        <w:t>在合同工程的缺陷责任期内，检查承包人剩余工程的实施</w:t>
      </w:r>
      <w:r>
        <w:rPr>
          <w:rFonts w:hint="eastAsia" w:ascii="宋体" w:hAnsi="宋体"/>
          <w:color w:val="auto"/>
          <w:sz w:val="21"/>
          <w:szCs w:val="21"/>
        </w:rPr>
        <w:t>；</w:t>
      </w:r>
      <w:r>
        <w:rPr>
          <w:rFonts w:ascii="宋体" w:hAnsi="宋体"/>
          <w:color w:val="auto"/>
          <w:sz w:val="21"/>
          <w:szCs w:val="21"/>
        </w:rPr>
        <w:t>巡视检查己完工程</w:t>
      </w:r>
      <w:r>
        <w:rPr>
          <w:rFonts w:hint="eastAsia" w:ascii="宋体" w:hAnsi="宋体"/>
          <w:color w:val="auto"/>
          <w:sz w:val="21"/>
          <w:szCs w:val="21"/>
        </w:rPr>
        <w:t>，</w:t>
      </w:r>
      <w:r>
        <w:rPr>
          <w:rFonts w:ascii="宋体" w:hAnsi="宋体"/>
          <w:color w:val="auto"/>
          <w:sz w:val="21"/>
          <w:szCs w:val="21"/>
        </w:rPr>
        <w:t>指示承包人修复发生的工程缺陷，调查、确认缺陷责任及修复费用</w:t>
      </w:r>
      <w:r>
        <w:rPr>
          <w:rFonts w:hint="eastAsia" w:ascii="宋体" w:hAnsi="宋体"/>
          <w:color w:val="auto"/>
          <w:sz w:val="21"/>
          <w:szCs w:val="21"/>
        </w:rPr>
        <w:t>；</w:t>
      </w:r>
    </w:p>
    <w:p w14:paraId="4736407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27）</w:t>
      </w:r>
      <w:r>
        <w:rPr>
          <w:rFonts w:ascii="宋体" w:hAnsi="宋体"/>
          <w:color w:val="auto"/>
          <w:sz w:val="21"/>
          <w:szCs w:val="21"/>
        </w:rPr>
        <w:t>缺陷责任期结束，经检查符合条件时，签发合同工程缺陷责任终止证书</w:t>
      </w:r>
      <w:r>
        <w:rPr>
          <w:rFonts w:hint="eastAsia" w:ascii="宋体" w:hAnsi="宋体"/>
          <w:color w:val="auto"/>
          <w:sz w:val="21"/>
          <w:szCs w:val="21"/>
        </w:rPr>
        <w:t>；</w:t>
      </w:r>
    </w:p>
    <w:p w14:paraId="6D276DF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28）</w:t>
      </w:r>
      <w:r>
        <w:rPr>
          <w:rFonts w:ascii="宋体" w:hAnsi="宋体"/>
          <w:color w:val="auto"/>
          <w:sz w:val="21"/>
          <w:szCs w:val="21"/>
        </w:rPr>
        <w:t>签认最后支付证书</w:t>
      </w:r>
      <w:r>
        <w:rPr>
          <w:rFonts w:hint="eastAsia" w:ascii="宋体" w:hAnsi="宋体"/>
          <w:color w:val="auto"/>
          <w:sz w:val="21"/>
          <w:szCs w:val="21"/>
        </w:rPr>
        <w:t>；</w:t>
      </w:r>
    </w:p>
    <w:p w14:paraId="5507784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29）</w:t>
      </w:r>
      <w:r>
        <w:rPr>
          <w:rFonts w:ascii="宋体" w:hAnsi="宋体"/>
          <w:color w:val="auto"/>
          <w:sz w:val="21"/>
          <w:szCs w:val="21"/>
        </w:rPr>
        <w:t>参加工程竣工验收</w:t>
      </w:r>
      <w:r>
        <w:rPr>
          <w:rFonts w:hint="eastAsia" w:ascii="宋体" w:hAnsi="宋体"/>
          <w:color w:val="auto"/>
          <w:sz w:val="21"/>
          <w:szCs w:val="21"/>
        </w:rPr>
        <w:t>；</w:t>
      </w:r>
    </w:p>
    <w:p w14:paraId="058F7F0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30）</w:t>
      </w:r>
      <w:r>
        <w:rPr>
          <w:rFonts w:ascii="宋体" w:hAnsi="宋体"/>
          <w:color w:val="auto"/>
          <w:sz w:val="21"/>
          <w:szCs w:val="21"/>
        </w:rPr>
        <w:t>按照项目专用合同条款约定提供其他工程管理咨询服务。</w:t>
      </w:r>
    </w:p>
    <w:p w14:paraId="4729B73A">
      <w:pPr>
        <w:spacing w:line="360" w:lineRule="auto"/>
        <w:ind w:firstLine="420" w:firstLineChars="200"/>
        <w:rPr>
          <w:rFonts w:ascii="宋体" w:hAnsi="宋体"/>
          <w:color w:val="auto"/>
          <w:sz w:val="21"/>
          <w:szCs w:val="21"/>
        </w:rPr>
      </w:pPr>
      <w:r>
        <w:rPr>
          <w:rFonts w:ascii="宋体" w:hAnsi="宋体"/>
          <w:color w:val="auto"/>
          <w:sz w:val="21"/>
          <w:szCs w:val="21"/>
        </w:rPr>
        <w:t>5.3.2在工程同时设置总监办和驻地办时</w:t>
      </w:r>
      <w:r>
        <w:rPr>
          <w:rFonts w:hint="eastAsia" w:ascii="宋体" w:hAnsi="宋体"/>
          <w:color w:val="auto"/>
          <w:sz w:val="21"/>
          <w:szCs w:val="21"/>
        </w:rPr>
        <w:t>，</w:t>
      </w:r>
      <w:r>
        <w:rPr>
          <w:rFonts w:ascii="宋体" w:hAnsi="宋体"/>
          <w:color w:val="auto"/>
          <w:sz w:val="21"/>
          <w:szCs w:val="21"/>
        </w:rPr>
        <w:t>驻地办的监理服务内容为</w:t>
      </w:r>
      <w:r>
        <w:rPr>
          <w:rFonts w:hint="eastAsia" w:ascii="宋体" w:hAnsi="宋体"/>
          <w:color w:val="auto"/>
          <w:sz w:val="21"/>
          <w:szCs w:val="21"/>
        </w:rPr>
        <w:t>：</w:t>
      </w:r>
    </w:p>
    <w:p w14:paraId="0E51398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按项目专用合同条款的约定建立（或不建立）工地试验室，如需驻地办建立工地试验室，应配备现场抽查常用的试验检测设备，并在项目专用合同条款中明确检查项目和频率的要求</w:t>
      </w:r>
      <w:r>
        <w:rPr>
          <w:rFonts w:hint="eastAsia" w:ascii="宋体" w:hAnsi="宋体"/>
          <w:color w:val="auto"/>
          <w:sz w:val="21"/>
          <w:szCs w:val="21"/>
        </w:rPr>
        <w:t>；</w:t>
      </w:r>
    </w:p>
    <w:p w14:paraId="061D3DD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熟悉合同文件，调查施工环境条件</w:t>
      </w:r>
      <w:r>
        <w:rPr>
          <w:rFonts w:hint="eastAsia" w:ascii="宋体" w:hAnsi="宋体"/>
          <w:color w:val="auto"/>
          <w:sz w:val="21"/>
          <w:szCs w:val="21"/>
        </w:rPr>
        <w:t>；</w:t>
      </w:r>
    </w:p>
    <w:p w14:paraId="4FC9F97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在总监办的安排下，参与编制监理计划，提供本驻地办相关资料；</w:t>
      </w:r>
    </w:p>
    <w:p w14:paraId="730CDFA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根据监理计划在相应工程开工前主持编制监理细则</w:t>
      </w:r>
      <w:r>
        <w:rPr>
          <w:rFonts w:hint="eastAsia" w:ascii="宋体" w:hAnsi="宋体"/>
          <w:color w:val="auto"/>
          <w:sz w:val="21"/>
          <w:szCs w:val="21"/>
        </w:rPr>
        <w:t>；</w:t>
      </w:r>
    </w:p>
    <w:p w14:paraId="0E68884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参加设计交底；</w:t>
      </w:r>
    </w:p>
    <w:p w14:paraId="25E9620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按规定程序初审本驻地监理标段承包人提交的施工组织设计（含安全技术措施、应急救援抢险方案、专项施工方案及施工环境保护措施）；</w:t>
      </w:r>
    </w:p>
    <w:p w14:paraId="145509C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初审本驻地监理标段承包人提交的总体进度计划以及施工中进行的调整计划；</w:t>
      </w:r>
    </w:p>
    <w:p w14:paraId="7237ABF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对承包人提交的原始基准点、基准线和基准高程的复测结果进行平行复测，审核后予以批复</w:t>
      </w:r>
      <w:r>
        <w:rPr>
          <w:rFonts w:hint="eastAsia" w:ascii="宋体" w:hAnsi="宋体"/>
          <w:color w:val="auto"/>
          <w:sz w:val="21"/>
          <w:szCs w:val="21"/>
        </w:rPr>
        <w:t>；</w:t>
      </w:r>
    </w:p>
    <w:p w14:paraId="7CE9315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9）</w:t>
      </w:r>
      <w:r>
        <w:rPr>
          <w:rFonts w:ascii="宋体" w:hAnsi="宋体"/>
          <w:color w:val="auto"/>
          <w:sz w:val="21"/>
          <w:szCs w:val="21"/>
        </w:rPr>
        <w:t>验收承包人测定的地面线</w:t>
      </w:r>
      <w:r>
        <w:rPr>
          <w:rFonts w:hint="eastAsia" w:ascii="宋体" w:hAnsi="宋体"/>
          <w:color w:val="auto"/>
          <w:sz w:val="21"/>
          <w:szCs w:val="21"/>
        </w:rPr>
        <w:t>；</w:t>
      </w:r>
    </w:p>
    <w:p w14:paraId="7CE96D2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10）</w:t>
      </w:r>
      <w:r>
        <w:rPr>
          <w:rFonts w:ascii="宋体" w:hAnsi="宋体"/>
          <w:color w:val="auto"/>
          <w:sz w:val="21"/>
          <w:szCs w:val="21"/>
        </w:rPr>
        <w:t>确认承包人提交的场地占用计划</w:t>
      </w:r>
      <w:r>
        <w:rPr>
          <w:rFonts w:hint="eastAsia" w:ascii="宋体" w:hAnsi="宋体"/>
          <w:color w:val="auto"/>
          <w:sz w:val="21"/>
          <w:szCs w:val="21"/>
        </w:rPr>
        <w:t>；</w:t>
      </w:r>
    </w:p>
    <w:p w14:paraId="2E62C36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11）</w:t>
      </w:r>
      <w:r>
        <w:rPr>
          <w:rFonts w:ascii="宋体" w:hAnsi="宋体"/>
          <w:color w:val="auto"/>
          <w:sz w:val="21"/>
          <w:szCs w:val="21"/>
        </w:rPr>
        <w:t>核算承包人对工程量清单的复核结果；</w:t>
      </w:r>
    </w:p>
    <w:p w14:paraId="3CE6DE6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12）</w:t>
      </w:r>
      <w:r>
        <w:rPr>
          <w:rFonts w:ascii="宋体" w:hAnsi="宋体"/>
          <w:color w:val="auto"/>
          <w:sz w:val="21"/>
          <w:szCs w:val="21"/>
        </w:rPr>
        <w:t>按合同约定对工程分包计划和协议进行审查，审查分包合同中是否明确了承包人与分包人各自在安全生产方面的责任；</w:t>
      </w:r>
    </w:p>
    <w:p w14:paraId="7CC1426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13）</w:t>
      </w:r>
      <w:r>
        <w:rPr>
          <w:rFonts w:ascii="宋体" w:hAnsi="宋体"/>
          <w:color w:val="auto"/>
          <w:sz w:val="21"/>
          <w:szCs w:val="21"/>
        </w:rPr>
        <w:t>审批施工测量放线；</w:t>
      </w:r>
    </w:p>
    <w:p w14:paraId="52B0B65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14）</w:t>
      </w:r>
      <w:r>
        <w:rPr>
          <w:rFonts w:ascii="宋体" w:hAnsi="宋体"/>
          <w:color w:val="auto"/>
          <w:sz w:val="21"/>
          <w:szCs w:val="21"/>
        </w:rPr>
        <w:t>审批一般工程原材料和混合料配合比；</w:t>
      </w:r>
    </w:p>
    <w:p w14:paraId="7BB6458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15）</w:t>
      </w:r>
      <w:r>
        <w:rPr>
          <w:rFonts w:ascii="宋体" w:hAnsi="宋体"/>
          <w:color w:val="auto"/>
          <w:sz w:val="21"/>
          <w:szCs w:val="21"/>
        </w:rPr>
        <w:t>审查施工组织及人员配备；</w:t>
      </w:r>
    </w:p>
    <w:p w14:paraId="1D7B7BF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16）</w:t>
      </w:r>
      <w:r>
        <w:rPr>
          <w:rFonts w:ascii="宋体" w:hAnsi="宋体"/>
          <w:color w:val="auto"/>
          <w:sz w:val="21"/>
          <w:szCs w:val="21"/>
        </w:rPr>
        <w:t>审查承包人进场的施工机械设备；</w:t>
      </w:r>
    </w:p>
    <w:p w14:paraId="0ED39CE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17）</w:t>
      </w:r>
      <w:r>
        <w:rPr>
          <w:rFonts w:ascii="宋体" w:hAnsi="宋体"/>
          <w:color w:val="auto"/>
          <w:sz w:val="21"/>
          <w:szCs w:val="21"/>
        </w:rPr>
        <w:t>审查承包人提交的分项</w:t>
      </w:r>
      <w:r>
        <w:rPr>
          <w:rFonts w:hint="eastAsia" w:ascii="宋体" w:hAnsi="宋体"/>
          <w:color w:val="auto"/>
          <w:sz w:val="21"/>
          <w:szCs w:val="21"/>
        </w:rPr>
        <w:t>、</w:t>
      </w:r>
      <w:r>
        <w:rPr>
          <w:rFonts w:ascii="宋体" w:hAnsi="宋体"/>
          <w:color w:val="auto"/>
          <w:sz w:val="21"/>
          <w:szCs w:val="21"/>
        </w:rPr>
        <w:t>分部工程的施工方案及主要工艺；</w:t>
      </w:r>
    </w:p>
    <w:p w14:paraId="1E518CD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18）</w:t>
      </w:r>
      <w:r>
        <w:rPr>
          <w:rFonts w:ascii="宋体" w:hAnsi="宋体"/>
          <w:color w:val="auto"/>
          <w:sz w:val="21"/>
          <w:szCs w:val="21"/>
        </w:rPr>
        <w:t>审批承包人月进度计划</w:t>
      </w:r>
      <w:r>
        <w:rPr>
          <w:rFonts w:hint="eastAsia" w:ascii="宋体" w:hAnsi="宋体"/>
          <w:color w:val="auto"/>
          <w:sz w:val="21"/>
          <w:szCs w:val="21"/>
        </w:rPr>
        <w:t>，</w:t>
      </w:r>
      <w:r>
        <w:rPr>
          <w:rFonts w:ascii="宋体" w:hAnsi="宋体"/>
          <w:color w:val="auto"/>
          <w:sz w:val="21"/>
          <w:szCs w:val="21"/>
        </w:rPr>
        <w:t>检查和监督进度计划的实施；</w:t>
      </w:r>
    </w:p>
    <w:p w14:paraId="3A663AC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19）</w:t>
      </w:r>
      <w:r>
        <w:rPr>
          <w:rFonts w:ascii="宋体" w:hAnsi="宋体"/>
          <w:color w:val="auto"/>
          <w:sz w:val="21"/>
          <w:szCs w:val="21"/>
        </w:rPr>
        <w:t>审批分项（部）工程的开工申请，签发分项</w:t>
      </w:r>
      <w:r>
        <w:rPr>
          <w:rFonts w:hint="eastAsia" w:ascii="宋体" w:hAnsi="宋体"/>
          <w:color w:val="auto"/>
          <w:sz w:val="21"/>
          <w:szCs w:val="21"/>
        </w:rPr>
        <w:t>、</w:t>
      </w:r>
      <w:r>
        <w:rPr>
          <w:rFonts w:ascii="宋体" w:hAnsi="宋体"/>
          <w:color w:val="auto"/>
          <w:sz w:val="21"/>
          <w:szCs w:val="21"/>
        </w:rPr>
        <w:t>部工程暂停令和复工令；</w:t>
      </w:r>
    </w:p>
    <w:p w14:paraId="23DBA55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20）</w:t>
      </w:r>
      <w:r>
        <w:rPr>
          <w:rFonts w:ascii="宋体" w:hAnsi="宋体"/>
          <w:color w:val="auto"/>
          <w:sz w:val="21"/>
          <w:szCs w:val="21"/>
        </w:rPr>
        <w:t>验收构配件或设备；</w:t>
      </w:r>
    </w:p>
    <w:p w14:paraId="4C129C7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21）</w:t>
      </w:r>
      <w:r>
        <w:rPr>
          <w:rFonts w:ascii="宋体" w:hAnsi="宋体"/>
          <w:color w:val="auto"/>
          <w:sz w:val="21"/>
          <w:szCs w:val="21"/>
        </w:rPr>
        <w:t>按有关规定和要求对工程进行巡视、旁站和抽检</w:t>
      </w:r>
      <w:r>
        <w:rPr>
          <w:rFonts w:hint="eastAsia" w:ascii="宋体" w:hAnsi="宋体"/>
          <w:color w:val="auto"/>
          <w:sz w:val="21"/>
          <w:szCs w:val="21"/>
        </w:rPr>
        <w:t>，</w:t>
      </w:r>
      <w:r>
        <w:rPr>
          <w:rFonts w:ascii="宋体" w:hAnsi="宋体"/>
          <w:color w:val="auto"/>
          <w:sz w:val="21"/>
          <w:szCs w:val="21"/>
        </w:rPr>
        <w:t>并做好记录；</w:t>
      </w:r>
    </w:p>
    <w:p w14:paraId="1EECD89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22）</w:t>
      </w:r>
      <w:r>
        <w:rPr>
          <w:rFonts w:ascii="宋体" w:hAnsi="宋体"/>
          <w:color w:val="auto"/>
          <w:sz w:val="21"/>
          <w:szCs w:val="21"/>
        </w:rPr>
        <w:t>对关键工序进行签认；</w:t>
      </w:r>
    </w:p>
    <w:p w14:paraId="2FEB673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23）</w:t>
      </w:r>
      <w:r>
        <w:rPr>
          <w:rFonts w:ascii="宋体" w:hAnsi="宋体"/>
          <w:color w:val="auto"/>
          <w:sz w:val="21"/>
          <w:szCs w:val="21"/>
        </w:rPr>
        <w:t>对发生的质量缺陷、质量隐患和质量事故进行调查</w:t>
      </w:r>
      <w:r>
        <w:rPr>
          <w:rFonts w:hint="eastAsia" w:ascii="宋体" w:hAnsi="宋体"/>
          <w:color w:val="auto"/>
          <w:sz w:val="21"/>
          <w:szCs w:val="21"/>
        </w:rPr>
        <w:t>、</w:t>
      </w:r>
      <w:r>
        <w:rPr>
          <w:rFonts w:ascii="宋体" w:hAnsi="宋体"/>
          <w:color w:val="auto"/>
          <w:sz w:val="21"/>
          <w:szCs w:val="21"/>
        </w:rPr>
        <w:t>处理或对不属于监理人权限处理的质量事故督促承包人按规定报告有关部门；</w:t>
      </w:r>
    </w:p>
    <w:p w14:paraId="1A6D08E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24）</w:t>
      </w:r>
      <w:r>
        <w:rPr>
          <w:rFonts w:ascii="宋体" w:hAnsi="宋体"/>
          <w:color w:val="auto"/>
          <w:sz w:val="21"/>
          <w:szCs w:val="21"/>
        </w:rPr>
        <w:t>对交工的单位、分部、分项工程进行检验和质量等级评定并签发《中间交工证书》；</w:t>
      </w:r>
    </w:p>
    <w:p w14:paraId="7279AA5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25）</w:t>
      </w:r>
      <w:r>
        <w:rPr>
          <w:rFonts w:ascii="宋体" w:hAnsi="宋体"/>
          <w:color w:val="auto"/>
          <w:sz w:val="21"/>
          <w:szCs w:val="21"/>
        </w:rPr>
        <w:t>对己完工程按合同约定的方法进行计量；</w:t>
      </w:r>
    </w:p>
    <w:p w14:paraId="2ABA1A2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26）</w:t>
      </w:r>
      <w:r>
        <w:rPr>
          <w:rFonts w:ascii="宋体" w:hAnsi="宋体"/>
          <w:color w:val="auto"/>
          <w:sz w:val="21"/>
          <w:szCs w:val="21"/>
        </w:rPr>
        <w:t>按有关规定及时对已完分部工程、单位工程及合同工程进行质量评定</w:t>
      </w:r>
      <w:r>
        <w:rPr>
          <w:rFonts w:hint="eastAsia" w:ascii="宋体" w:hAnsi="宋体"/>
          <w:color w:val="auto"/>
          <w:sz w:val="21"/>
          <w:szCs w:val="21"/>
        </w:rPr>
        <w:t>；</w:t>
      </w:r>
    </w:p>
    <w:p w14:paraId="55FD539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27）</w:t>
      </w:r>
      <w:r>
        <w:rPr>
          <w:rFonts w:ascii="宋体" w:hAnsi="宋体"/>
          <w:color w:val="auto"/>
          <w:sz w:val="21"/>
          <w:szCs w:val="21"/>
        </w:rPr>
        <w:t>编写本驻地监理标段的监理月报；</w:t>
      </w:r>
    </w:p>
    <w:p w14:paraId="41096EE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28）</w:t>
      </w:r>
      <w:r>
        <w:rPr>
          <w:rFonts w:ascii="宋体" w:hAnsi="宋体"/>
          <w:color w:val="auto"/>
          <w:sz w:val="21"/>
          <w:szCs w:val="21"/>
        </w:rPr>
        <w:t>主持召开工地会议和根据工程需要主持召开专题工地会议；</w:t>
      </w:r>
    </w:p>
    <w:p w14:paraId="5EBE55C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29）</w:t>
      </w:r>
      <w:r>
        <w:rPr>
          <w:rFonts w:ascii="宋体" w:hAnsi="宋体"/>
          <w:color w:val="auto"/>
          <w:sz w:val="21"/>
          <w:szCs w:val="21"/>
        </w:rPr>
        <w:t>编制标段监理竣工文件；</w:t>
      </w:r>
    </w:p>
    <w:p w14:paraId="664DAA6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30）</w:t>
      </w:r>
      <w:r>
        <w:rPr>
          <w:rFonts w:ascii="宋体" w:hAnsi="宋体"/>
          <w:color w:val="auto"/>
          <w:sz w:val="21"/>
          <w:szCs w:val="21"/>
        </w:rPr>
        <w:t>编写本驻地监理标段的监理工作报告；</w:t>
      </w:r>
    </w:p>
    <w:p w14:paraId="743B858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31）</w:t>
      </w:r>
      <w:r>
        <w:rPr>
          <w:rFonts w:ascii="宋体" w:hAnsi="宋体"/>
          <w:color w:val="auto"/>
          <w:sz w:val="21"/>
          <w:szCs w:val="21"/>
        </w:rPr>
        <w:t>参加本驻地监理标段合同工程的交工验收；</w:t>
      </w:r>
    </w:p>
    <w:p w14:paraId="7985500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32）</w:t>
      </w:r>
      <w:r>
        <w:rPr>
          <w:rFonts w:ascii="宋体" w:hAnsi="宋体"/>
          <w:color w:val="auto"/>
          <w:sz w:val="21"/>
          <w:szCs w:val="21"/>
        </w:rPr>
        <w:t>初审交工结账证书</w:t>
      </w:r>
      <w:r>
        <w:rPr>
          <w:rFonts w:hint="eastAsia" w:ascii="宋体" w:hAnsi="宋体"/>
          <w:color w:val="auto"/>
          <w:sz w:val="21"/>
          <w:szCs w:val="21"/>
        </w:rPr>
        <w:t>；</w:t>
      </w:r>
    </w:p>
    <w:p w14:paraId="6D055DA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33）</w:t>
      </w:r>
      <w:r>
        <w:rPr>
          <w:rFonts w:ascii="宋体" w:hAnsi="宋体"/>
          <w:color w:val="auto"/>
          <w:sz w:val="21"/>
          <w:szCs w:val="21"/>
        </w:rPr>
        <w:t>按照项目专用合同条款约定提供其他工程管理咨询服务。</w:t>
      </w:r>
    </w:p>
    <w:p w14:paraId="7BBE40A2">
      <w:pPr>
        <w:spacing w:line="360" w:lineRule="auto"/>
        <w:ind w:firstLine="420" w:firstLineChars="200"/>
        <w:rPr>
          <w:rFonts w:ascii="宋体" w:hAnsi="宋体"/>
          <w:color w:val="auto"/>
          <w:sz w:val="21"/>
          <w:szCs w:val="21"/>
        </w:rPr>
      </w:pPr>
      <w:r>
        <w:rPr>
          <w:rFonts w:ascii="宋体" w:hAnsi="宋体"/>
          <w:color w:val="auto"/>
          <w:sz w:val="21"/>
          <w:szCs w:val="21"/>
        </w:rPr>
        <w:t>5.3.3在工程只设置总监办一级监理机构时，其监理服务内容为：</w:t>
      </w:r>
    </w:p>
    <w:p w14:paraId="7515988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按监理合同要求建立总监办工地试验室，按监理合同要求配备常规的试验检测设备，并须达到项目专用合同条款中约定的检查项目及频率要求；</w:t>
      </w:r>
    </w:p>
    <w:p w14:paraId="1F02D3F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熟悉合同文件</w:t>
      </w:r>
      <w:r>
        <w:rPr>
          <w:rFonts w:hint="eastAsia" w:ascii="宋体" w:hAnsi="宋体"/>
          <w:color w:val="auto"/>
          <w:sz w:val="21"/>
          <w:szCs w:val="21"/>
        </w:rPr>
        <w:t>，</w:t>
      </w:r>
      <w:r>
        <w:rPr>
          <w:rFonts w:ascii="宋体" w:hAnsi="宋体"/>
          <w:color w:val="auto"/>
          <w:sz w:val="21"/>
          <w:szCs w:val="21"/>
        </w:rPr>
        <w:t>调查施工环境条件；</w:t>
      </w:r>
    </w:p>
    <w:p w14:paraId="3D42A65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在合同约定的期限内编制监理计划，根据监理计划在相应工程开工前编制监理细</w:t>
      </w:r>
      <w:r>
        <w:rPr>
          <w:rFonts w:hint="eastAsia" w:ascii="宋体" w:hAnsi="宋体"/>
          <w:color w:val="auto"/>
          <w:sz w:val="21"/>
          <w:szCs w:val="21"/>
        </w:rPr>
        <w:t>则</w:t>
      </w:r>
      <w:r>
        <w:rPr>
          <w:rFonts w:ascii="宋体" w:hAnsi="宋体"/>
          <w:color w:val="auto"/>
          <w:sz w:val="21"/>
          <w:szCs w:val="21"/>
        </w:rPr>
        <w:t>；</w:t>
      </w:r>
    </w:p>
    <w:p w14:paraId="49591DB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在合同约定的期限内审批承包人提交的施工组织设计（含安全技术措施</w:t>
      </w:r>
      <w:r>
        <w:rPr>
          <w:rFonts w:hint="eastAsia" w:ascii="宋体" w:hAnsi="宋体"/>
          <w:color w:val="auto"/>
          <w:sz w:val="21"/>
          <w:szCs w:val="21"/>
        </w:rPr>
        <w:t>、</w:t>
      </w:r>
      <w:r>
        <w:rPr>
          <w:rFonts w:ascii="宋体" w:hAnsi="宋体"/>
          <w:color w:val="auto"/>
          <w:sz w:val="21"/>
          <w:szCs w:val="21"/>
        </w:rPr>
        <w:t>应急救援抢险方案、专项施工方案及施工环境保护措施）；</w:t>
      </w:r>
    </w:p>
    <w:p w14:paraId="53D1851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参加设计交底；</w:t>
      </w:r>
    </w:p>
    <w:p w14:paraId="45C4B52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审批承包人提交的总体进度计划，核批承包人对总体进度计划的调整计划；</w:t>
      </w:r>
    </w:p>
    <w:p w14:paraId="4B734C8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检查承包人工程质量</w:t>
      </w:r>
      <w:r>
        <w:rPr>
          <w:rFonts w:hint="eastAsia" w:ascii="宋体" w:hAnsi="宋体"/>
          <w:color w:val="auto"/>
          <w:sz w:val="21"/>
          <w:szCs w:val="21"/>
        </w:rPr>
        <w:t>、</w:t>
      </w:r>
      <w:r>
        <w:rPr>
          <w:rFonts w:ascii="宋体" w:hAnsi="宋体"/>
          <w:color w:val="auto"/>
          <w:sz w:val="21"/>
          <w:szCs w:val="21"/>
        </w:rPr>
        <w:t>施工安全和施工环境保护等保证体系；</w:t>
      </w:r>
    </w:p>
    <w:p w14:paraId="01C027A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审核承包人的工地试验室；</w:t>
      </w:r>
    </w:p>
    <w:p w14:paraId="63EF5A0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9）</w:t>
      </w:r>
      <w:r>
        <w:rPr>
          <w:rFonts w:ascii="宋体" w:hAnsi="宋体"/>
          <w:color w:val="auto"/>
          <w:sz w:val="21"/>
          <w:szCs w:val="21"/>
        </w:rPr>
        <w:t>对承包人提交的原始基准点、基准线和基准高程的复测结果进行平行复测，审核后予以批复；</w:t>
      </w:r>
    </w:p>
    <w:p w14:paraId="60801F5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10）</w:t>
      </w:r>
      <w:r>
        <w:rPr>
          <w:rFonts w:ascii="宋体" w:hAnsi="宋体"/>
          <w:color w:val="auto"/>
          <w:sz w:val="21"/>
          <w:szCs w:val="21"/>
        </w:rPr>
        <w:t>验收承包人测定的地面线；</w:t>
      </w:r>
    </w:p>
    <w:p w14:paraId="58FFA02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11）</w:t>
      </w:r>
      <w:r>
        <w:rPr>
          <w:rFonts w:ascii="宋体" w:hAnsi="宋体"/>
          <w:color w:val="auto"/>
          <w:sz w:val="21"/>
          <w:szCs w:val="21"/>
        </w:rPr>
        <w:t>审批承包人提交的分项</w:t>
      </w:r>
      <w:r>
        <w:rPr>
          <w:rFonts w:hint="eastAsia" w:ascii="宋体" w:hAnsi="宋体"/>
          <w:color w:val="auto"/>
          <w:sz w:val="21"/>
          <w:szCs w:val="21"/>
        </w:rPr>
        <w:t>、</w:t>
      </w:r>
      <w:r>
        <w:rPr>
          <w:rFonts w:ascii="宋体" w:hAnsi="宋体"/>
          <w:color w:val="auto"/>
          <w:sz w:val="21"/>
          <w:szCs w:val="21"/>
        </w:rPr>
        <w:t>分部</w:t>
      </w:r>
      <w:r>
        <w:rPr>
          <w:rFonts w:hint="eastAsia" w:ascii="宋体" w:hAnsi="宋体"/>
          <w:color w:val="auto"/>
          <w:sz w:val="21"/>
          <w:szCs w:val="21"/>
        </w:rPr>
        <w:t>、</w:t>
      </w:r>
      <w:r>
        <w:rPr>
          <w:rFonts w:ascii="宋体" w:hAnsi="宋体"/>
          <w:color w:val="auto"/>
          <w:sz w:val="21"/>
          <w:szCs w:val="21"/>
        </w:rPr>
        <w:t>单位工程划分；</w:t>
      </w:r>
    </w:p>
    <w:p w14:paraId="7A3F3DE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12）</w:t>
      </w:r>
      <w:r>
        <w:rPr>
          <w:rFonts w:ascii="宋体" w:hAnsi="宋体"/>
          <w:color w:val="auto"/>
          <w:sz w:val="21"/>
          <w:szCs w:val="21"/>
        </w:rPr>
        <w:t>确认承包人提交的场地占用计划；</w:t>
      </w:r>
    </w:p>
    <w:p w14:paraId="5B287AC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13）</w:t>
      </w:r>
      <w:r>
        <w:rPr>
          <w:rFonts w:ascii="宋体" w:hAnsi="宋体"/>
          <w:color w:val="auto"/>
          <w:sz w:val="21"/>
          <w:szCs w:val="21"/>
        </w:rPr>
        <w:t>核算承包人对工程量清单的复核结果；</w:t>
      </w:r>
    </w:p>
    <w:p w14:paraId="7EB759C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14）</w:t>
      </w:r>
      <w:r>
        <w:rPr>
          <w:rFonts w:ascii="宋体" w:hAnsi="宋体"/>
          <w:color w:val="auto"/>
          <w:sz w:val="21"/>
          <w:szCs w:val="21"/>
        </w:rPr>
        <w:t>签发开工预付款支付证书；</w:t>
      </w:r>
    </w:p>
    <w:p w14:paraId="6D35F03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15）</w:t>
      </w:r>
      <w:r>
        <w:rPr>
          <w:rFonts w:ascii="宋体" w:hAnsi="宋体"/>
          <w:color w:val="auto"/>
          <w:sz w:val="21"/>
          <w:szCs w:val="21"/>
        </w:rPr>
        <w:t>主持召开监理交底会；</w:t>
      </w:r>
    </w:p>
    <w:p w14:paraId="7A0A5ED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16）</w:t>
      </w:r>
      <w:r>
        <w:rPr>
          <w:rFonts w:ascii="宋体" w:hAnsi="宋体"/>
          <w:color w:val="auto"/>
          <w:sz w:val="21"/>
          <w:szCs w:val="21"/>
        </w:rPr>
        <w:t>主持召开第一次工地会议；</w:t>
      </w:r>
    </w:p>
    <w:p w14:paraId="3EF0510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17）</w:t>
      </w:r>
      <w:r>
        <w:rPr>
          <w:rFonts w:ascii="宋体" w:hAnsi="宋体"/>
          <w:color w:val="auto"/>
          <w:sz w:val="21"/>
          <w:szCs w:val="21"/>
        </w:rPr>
        <w:t>签发合同工程开工令；</w:t>
      </w:r>
    </w:p>
    <w:p w14:paraId="179BFCA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18）</w:t>
      </w:r>
      <w:r>
        <w:rPr>
          <w:rFonts w:ascii="宋体" w:hAnsi="宋体"/>
          <w:color w:val="auto"/>
          <w:sz w:val="21"/>
          <w:szCs w:val="21"/>
        </w:rPr>
        <w:t>按合同约定对工程分包计划和协议进行审查，并审查分包合同中是否明确了承包人与分包单位各自在安全生产方面的责任；</w:t>
      </w:r>
    </w:p>
    <w:p w14:paraId="3C400D3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19）</w:t>
      </w:r>
      <w:r>
        <w:rPr>
          <w:rFonts w:ascii="宋体" w:hAnsi="宋体"/>
          <w:color w:val="auto"/>
          <w:sz w:val="21"/>
          <w:szCs w:val="21"/>
        </w:rPr>
        <w:t>审批施工测量放线；</w:t>
      </w:r>
    </w:p>
    <w:p w14:paraId="33AC288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20）</w:t>
      </w:r>
      <w:r>
        <w:rPr>
          <w:rFonts w:ascii="宋体" w:hAnsi="宋体"/>
          <w:color w:val="auto"/>
          <w:sz w:val="21"/>
          <w:szCs w:val="21"/>
        </w:rPr>
        <w:t>审批工程原材料及混合料配合比；</w:t>
      </w:r>
    </w:p>
    <w:p w14:paraId="509CB13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21）</w:t>
      </w:r>
      <w:r>
        <w:rPr>
          <w:rFonts w:ascii="宋体" w:hAnsi="宋体"/>
          <w:color w:val="auto"/>
          <w:sz w:val="21"/>
          <w:szCs w:val="21"/>
        </w:rPr>
        <w:t>审查施工组织及人员配备；</w:t>
      </w:r>
    </w:p>
    <w:p w14:paraId="748CB2C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22）</w:t>
      </w:r>
      <w:r>
        <w:rPr>
          <w:rFonts w:ascii="宋体" w:hAnsi="宋体"/>
          <w:color w:val="auto"/>
          <w:sz w:val="21"/>
          <w:szCs w:val="21"/>
        </w:rPr>
        <w:t>审查承包人进场的施工机械设备；</w:t>
      </w:r>
    </w:p>
    <w:p w14:paraId="0DD3C83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23）</w:t>
      </w:r>
      <w:r>
        <w:rPr>
          <w:rFonts w:ascii="宋体" w:hAnsi="宋体"/>
          <w:color w:val="auto"/>
          <w:sz w:val="21"/>
          <w:szCs w:val="21"/>
        </w:rPr>
        <w:t>审查承包人提交的分项</w:t>
      </w:r>
      <w:r>
        <w:rPr>
          <w:rFonts w:hint="eastAsia" w:ascii="宋体" w:hAnsi="宋体"/>
          <w:color w:val="auto"/>
          <w:sz w:val="21"/>
          <w:szCs w:val="21"/>
        </w:rPr>
        <w:t>、</w:t>
      </w:r>
      <w:r>
        <w:rPr>
          <w:rFonts w:ascii="宋体" w:hAnsi="宋体"/>
          <w:color w:val="auto"/>
          <w:sz w:val="21"/>
          <w:szCs w:val="21"/>
        </w:rPr>
        <w:t>分部工程的施工方案及主要工艺；</w:t>
      </w:r>
    </w:p>
    <w:p w14:paraId="05B6E41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24）</w:t>
      </w:r>
      <w:r>
        <w:rPr>
          <w:rFonts w:ascii="宋体" w:hAnsi="宋体"/>
          <w:color w:val="auto"/>
          <w:sz w:val="21"/>
          <w:szCs w:val="21"/>
        </w:rPr>
        <w:t>审批承包人月进度计划，检查和监督进度计划的实施；</w:t>
      </w:r>
    </w:p>
    <w:p w14:paraId="79A6215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25）</w:t>
      </w:r>
      <w:r>
        <w:rPr>
          <w:rFonts w:ascii="宋体" w:hAnsi="宋体"/>
          <w:color w:val="auto"/>
          <w:sz w:val="21"/>
          <w:szCs w:val="21"/>
        </w:rPr>
        <w:t>审批分项（分部）工程的开工申请；</w:t>
      </w:r>
    </w:p>
    <w:p w14:paraId="0AE2542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26）</w:t>
      </w:r>
      <w:r>
        <w:rPr>
          <w:rFonts w:ascii="宋体" w:hAnsi="宋体"/>
          <w:color w:val="auto"/>
          <w:sz w:val="21"/>
          <w:szCs w:val="21"/>
        </w:rPr>
        <w:t>验收构配件或设备；</w:t>
      </w:r>
    </w:p>
    <w:p w14:paraId="04977E4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27）</w:t>
      </w:r>
      <w:r>
        <w:rPr>
          <w:rFonts w:ascii="宋体" w:hAnsi="宋体"/>
          <w:color w:val="auto"/>
          <w:sz w:val="21"/>
          <w:szCs w:val="21"/>
        </w:rPr>
        <w:t>按有关规定和要求对工程进行巡视、旁站和抽检</w:t>
      </w:r>
      <w:r>
        <w:rPr>
          <w:rFonts w:hint="eastAsia" w:ascii="宋体" w:hAnsi="宋体"/>
          <w:color w:val="auto"/>
          <w:sz w:val="21"/>
          <w:szCs w:val="21"/>
        </w:rPr>
        <w:t>，</w:t>
      </w:r>
      <w:r>
        <w:rPr>
          <w:rFonts w:ascii="宋体" w:hAnsi="宋体"/>
          <w:color w:val="auto"/>
          <w:sz w:val="21"/>
          <w:szCs w:val="21"/>
        </w:rPr>
        <w:t>并做好记录；</w:t>
      </w:r>
    </w:p>
    <w:p w14:paraId="3CA281E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28）</w:t>
      </w:r>
      <w:r>
        <w:rPr>
          <w:rFonts w:ascii="宋体" w:hAnsi="宋体"/>
          <w:color w:val="auto"/>
          <w:sz w:val="21"/>
          <w:szCs w:val="21"/>
        </w:rPr>
        <w:t>对关键工序进行签认；</w:t>
      </w:r>
    </w:p>
    <w:p w14:paraId="307A2E8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29）</w:t>
      </w:r>
      <w:r>
        <w:rPr>
          <w:rFonts w:ascii="宋体" w:hAnsi="宋体"/>
          <w:color w:val="auto"/>
          <w:sz w:val="21"/>
          <w:szCs w:val="21"/>
        </w:rPr>
        <w:t>对发生的质量缺陷、质量隐患和质量事故进行调查、处理或对不属于监理人权限处理的质量事故督促承包人按规定报告有关部门；</w:t>
      </w:r>
    </w:p>
    <w:p w14:paraId="778A3DA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30）</w:t>
      </w:r>
      <w:r>
        <w:rPr>
          <w:rFonts w:ascii="宋体" w:hAnsi="宋体"/>
          <w:color w:val="auto"/>
          <w:sz w:val="21"/>
          <w:szCs w:val="21"/>
        </w:rPr>
        <w:t>签发单位或合同工程及分部（分项）工程的暂停令和复工令；</w:t>
      </w:r>
    </w:p>
    <w:p w14:paraId="1FDE2A6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31）</w:t>
      </w:r>
      <w:r>
        <w:rPr>
          <w:rFonts w:ascii="宋体" w:hAnsi="宋体"/>
          <w:color w:val="auto"/>
          <w:sz w:val="21"/>
          <w:szCs w:val="21"/>
        </w:rPr>
        <w:t>对交工的单位</w:t>
      </w:r>
      <w:r>
        <w:rPr>
          <w:rFonts w:hint="eastAsia" w:ascii="宋体" w:hAnsi="宋体"/>
          <w:color w:val="auto"/>
          <w:sz w:val="21"/>
          <w:szCs w:val="21"/>
        </w:rPr>
        <w:t>、</w:t>
      </w:r>
      <w:r>
        <w:rPr>
          <w:rFonts w:ascii="宋体" w:hAnsi="宋体"/>
          <w:color w:val="auto"/>
          <w:sz w:val="21"/>
          <w:szCs w:val="21"/>
        </w:rPr>
        <w:t>分部、分项工程进行检验和质量等级评定并签发《中间交工证书》；</w:t>
      </w:r>
    </w:p>
    <w:p w14:paraId="0BBF71D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32）</w:t>
      </w:r>
      <w:r>
        <w:rPr>
          <w:rFonts w:ascii="宋体" w:hAnsi="宋体"/>
          <w:color w:val="auto"/>
          <w:sz w:val="21"/>
          <w:szCs w:val="21"/>
        </w:rPr>
        <w:t>对己完工程按合同约定的方法进行计量；</w:t>
      </w:r>
    </w:p>
    <w:p w14:paraId="109A3E4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33）</w:t>
      </w:r>
      <w:r>
        <w:rPr>
          <w:rFonts w:ascii="宋体" w:hAnsi="宋体"/>
          <w:color w:val="auto"/>
          <w:sz w:val="21"/>
          <w:szCs w:val="21"/>
        </w:rPr>
        <w:t>审核工程中期支付申请，签发中期支付证书；</w:t>
      </w:r>
    </w:p>
    <w:p w14:paraId="3CA33BE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34）</w:t>
      </w:r>
      <w:r>
        <w:rPr>
          <w:rFonts w:ascii="宋体" w:hAnsi="宋体"/>
          <w:color w:val="auto"/>
          <w:sz w:val="21"/>
          <w:szCs w:val="21"/>
        </w:rPr>
        <w:t>按有关规定及时对已完分部工程、单位工程及合同工程进行质量评定；</w:t>
      </w:r>
    </w:p>
    <w:p w14:paraId="1EABF2D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35）</w:t>
      </w:r>
      <w:r>
        <w:rPr>
          <w:rFonts w:ascii="宋体" w:hAnsi="宋体"/>
          <w:color w:val="auto"/>
          <w:sz w:val="21"/>
          <w:szCs w:val="21"/>
        </w:rPr>
        <w:t>受理合同其他事项的有关事宜，按合同约定审核、评估和处理工程变更、延期、费用索赔、价格调整、保险、违约、争端等合同事项；</w:t>
      </w:r>
    </w:p>
    <w:p w14:paraId="02C6D2B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36）</w:t>
      </w:r>
      <w:r>
        <w:rPr>
          <w:rFonts w:ascii="宋体" w:hAnsi="宋体"/>
          <w:color w:val="auto"/>
          <w:sz w:val="21"/>
          <w:szCs w:val="21"/>
        </w:rPr>
        <w:t>组织编写监理月报；</w:t>
      </w:r>
    </w:p>
    <w:p w14:paraId="786B18F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37）</w:t>
      </w:r>
      <w:r>
        <w:rPr>
          <w:rFonts w:ascii="宋体" w:hAnsi="宋体"/>
          <w:color w:val="auto"/>
          <w:sz w:val="21"/>
          <w:szCs w:val="21"/>
        </w:rPr>
        <w:t>主持召开工地例会或根据工程需要主持召开专题工地会议；</w:t>
      </w:r>
    </w:p>
    <w:p w14:paraId="2BF3172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38）</w:t>
      </w:r>
      <w:r>
        <w:rPr>
          <w:rFonts w:ascii="宋体" w:hAnsi="宋体"/>
          <w:color w:val="auto"/>
          <w:sz w:val="21"/>
          <w:szCs w:val="21"/>
        </w:rPr>
        <w:t>协助委托人审查交工验收申请，评定工程质量；</w:t>
      </w:r>
    </w:p>
    <w:p w14:paraId="7912B27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39）</w:t>
      </w:r>
      <w:r>
        <w:rPr>
          <w:rFonts w:ascii="宋体" w:hAnsi="宋体"/>
          <w:color w:val="auto"/>
          <w:sz w:val="21"/>
          <w:szCs w:val="21"/>
        </w:rPr>
        <w:t>参加委托人组织的合同工程交工验收；</w:t>
      </w:r>
    </w:p>
    <w:p w14:paraId="50DD210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40）</w:t>
      </w:r>
      <w:r>
        <w:rPr>
          <w:rFonts w:ascii="宋体" w:hAnsi="宋体"/>
          <w:color w:val="auto"/>
          <w:sz w:val="21"/>
          <w:szCs w:val="21"/>
        </w:rPr>
        <w:t>编写监理工作报告，并提交委托人；</w:t>
      </w:r>
    </w:p>
    <w:p w14:paraId="000BC0C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41）</w:t>
      </w:r>
      <w:r>
        <w:rPr>
          <w:rFonts w:ascii="宋体" w:hAnsi="宋体"/>
          <w:color w:val="auto"/>
          <w:sz w:val="21"/>
          <w:szCs w:val="21"/>
        </w:rPr>
        <w:t>签认交工结账证书；</w:t>
      </w:r>
    </w:p>
    <w:p w14:paraId="2DB41F37">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42）</w:t>
      </w:r>
      <w:r>
        <w:rPr>
          <w:rFonts w:ascii="宋体" w:hAnsi="宋体"/>
          <w:color w:val="auto"/>
          <w:sz w:val="21"/>
          <w:szCs w:val="21"/>
        </w:rPr>
        <w:t>组织编制工程监理竣工文件，并督促承包人按合同约定编制和整理竣工资料；</w:t>
      </w:r>
    </w:p>
    <w:p w14:paraId="317587C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43）</w:t>
      </w:r>
      <w:r>
        <w:rPr>
          <w:rFonts w:ascii="宋体" w:hAnsi="宋体"/>
          <w:color w:val="auto"/>
          <w:sz w:val="21"/>
          <w:szCs w:val="21"/>
        </w:rPr>
        <w:t>在合同工程的缺陷责任期内，检查承包人剩余工程的实施；巡视检查已完工程，指示承包人修复发生的工程缺陷，调查、确认缺陷责任及修复费用；</w:t>
      </w:r>
    </w:p>
    <w:p w14:paraId="0F55EEE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44）</w:t>
      </w:r>
      <w:r>
        <w:rPr>
          <w:rFonts w:ascii="宋体" w:hAnsi="宋体"/>
          <w:color w:val="auto"/>
          <w:sz w:val="21"/>
          <w:szCs w:val="21"/>
        </w:rPr>
        <w:t>缺陷责任期结束，经检查符合条件时，签发合同工程缺陷责任终止证书；</w:t>
      </w:r>
    </w:p>
    <w:p w14:paraId="3C31ED9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45）</w:t>
      </w:r>
      <w:r>
        <w:rPr>
          <w:rFonts w:ascii="宋体" w:hAnsi="宋体"/>
          <w:color w:val="auto"/>
          <w:sz w:val="21"/>
          <w:szCs w:val="21"/>
        </w:rPr>
        <w:t>签认最后支付证书；</w:t>
      </w:r>
    </w:p>
    <w:p w14:paraId="2134B5A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46）</w:t>
      </w:r>
      <w:r>
        <w:rPr>
          <w:rFonts w:ascii="宋体" w:hAnsi="宋体"/>
          <w:color w:val="auto"/>
          <w:sz w:val="21"/>
          <w:szCs w:val="21"/>
        </w:rPr>
        <w:t>参加工程竣工验收；</w:t>
      </w:r>
    </w:p>
    <w:p w14:paraId="1C1F250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47）</w:t>
      </w:r>
      <w:r>
        <w:rPr>
          <w:rFonts w:ascii="宋体" w:hAnsi="宋体"/>
          <w:color w:val="auto"/>
          <w:sz w:val="21"/>
          <w:szCs w:val="21"/>
        </w:rPr>
        <w:t>按照项目专用合同条款约定提供其他工程管理咨询服务。</w:t>
      </w:r>
    </w:p>
    <w:p w14:paraId="4334E882">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5.4监理文件要求</w:t>
      </w:r>
    </w:p>
    <w:p w14:paraId="7B716CB3">
      <w:pPr>
        <w:spacing w:line="360" w:lineRule="auto"/>
        <w:ind w:firstLine="420" w:firstLineChars="200"/>
        <w:rPr>
          <w:rFonts w:ascii="宋体" w:hAnsi="宋体"/>
          <w:color w:val="auto"/>
          <w:sz w:val="21"/>
          <w:szCs w:val="21"/>
        </w:rPr>
      </w:pPr>
      <w:r>
        <w:rPr>
          <w:rFonts w:ascii="宋体" w:hAnsi="宋体"/>
          <w:color w:val="auto"/>
          <w:sz w:val="21"/>
          <w:szCs w:val="21"/>
        </w:rPr>
        <w:t>第5.4.3项细化为：</w:t>
      </w:r>
    </w:p>
    <w:p w14:paraId="309AC591">
      <w:pPr>
        <w:spacing w:line="360" w:lineRule="auto"/>
        <w:ind w:firstLine="420" w:firstLineChars="200"/>
        <w:rPr>
          <w:rFonts w:ascii="宋体" w:hAnsi="宋体"/>
          <w:color w:val="auto"/>
          <w:sz w:val="21"/>
          <w:szCs w:val="21"/>
        </w:rPr>
      </w:pPr>
      <w:r>
        <w:rPr>
          <w:rFonts w:ascii="宋体" w:hAnsi="宋体"/>
          <w:color w:val="auto"/>
          <w:sz w:val="21"/>
          <w:szCs w:val="21"/>
        </w:rPr>
        <w:t>除项目专用合同条款另有约定外</w:t>
      </w:r>
      <w:r>
        <w:rPr>
          <w:rFonts w:hint="eastAsia" w:ascii="宋体" w:hAnsi="宋体"/>
          <w:color w:val="auto"/>
          <w:sz w:val="21"/>
          <w:szCs w:val="21"/>
        </w:rPr>
        <w:t>，</w:t>
      </w:r>
      <w:r>
        <w:rPr>
          <w:rFonts w:ascii="宋体" w:hAnsi="宋体"/>
          <w:color w:val="auto"/>
          <w:sz w:val="21"/>
          <w:szCs w:val="21"/>
        </w:rPr>
        <w:t>本工程监理文件包括监理管理文件</w:t>
      </w:r>
      <w:r>
        <w:rPr>
          <w:rFonts w:hint="eastAsia" w:ascii="宋体" w:hAnsi="宋体"/>
          <w:color w:val="auto"/>
          <w:sz w:val="21"/>
          <w:szCs w:val="21"/>
        </w:rPr>
        <w:t>、</w:t>
      </w:r>
      <w:r>
        <w:rPr>
          <w:rFonts w:ascii="宋体" w:hAnsi="宋体"/>
          <w:color w:val="auto"/>
          <w:sz w:val="21"/>
          <w:szCs w:val="21"/>
        </w:rPr>
        <w:t>质量监理文件、安全监理文件</w:t>
      </w:r>
      <w:r>
        <w:rPr>
          <w:rFonts w:hint="eastAsia" w:ascii="宋体" w:hAnsi="宋体"/>
          <w:color w:val="auto"/>
          <w:sz w:val="21"/>
          <w:szCs w:val="21"/>
        </w:rPr>
        <w:t>、</w:t>
      </w:r>
      <w:r>
        <w:rPr>
          <w:rFonts w:ascii="宋体" w:hAnsi="宋体"/>
          <w:color w:val="auto"/>
          <w:sz w:val="21"/>
          <w:szCs w:val="21"/>
        </w:rPr>
        <w:t>环保监理文件</w:t>
      </w:r>
      <w:r>
        <w:rPr>
          <w:rFonts w:hint="eastAsia" w:ascii="宋体" w:hAnsi="宋体"/>
          <w:color w:val="auto"/>
          <w:sz w:val="21"/>
          <w:szCs w:val="21"/>
        </w:rPr>
        <w:t>、</w:t>
      </w:r>
      <w:r>
        <w:rPr>
          <w:rFonts w:ascii="宋体" w:hAnsi="宋体"/>
          <w:color w:val="auto"/>
          <w:sz w:val="21"/>
          <w:szCs w:val="21"/>
        </w:rPr>
        <w:t>费用与进度监理文件</w:t>
      </w:r>
      <w:r>
        <w:rPr>
          <w:rFonts w:hint="eastAsia" w:ascii="宋体" w:hAnsi="宋体"/>
          <w:color w:val="auto"/>
          <w:sz w:val="21"/>
          <w:szCs w:val="21"/>
        </w:rPr>
        <w:t>、</w:t>
      </w:r>
      <w:r>
        <w:rPr>
          <w:rFonts w:ascii="宋体" w:hAnsi="宋体"/>
          <w:color w:val="auto"/>
          <w:sz w:val="21"/>
          <w:szCs w:val="21"/>
        </w:rPr>
        <w:t>合同事项管理文件</w:t>
      </w:r>
      <w:r>
        <w:rPr>
          <w:rFonts w:hint="eastAsia" w:ascii="宋体" w:hAnsi="宋体"/>
          <w:color w:val="auto"/>
          <w:sz w:val="21"/>
          <w:szCs w:val="21"/>
        </w:rPr>
        <w:t>，</w:t>
      </w:r>
      <w:r>
        <w:rPr>
          <w:rFonts w:ascii="宋体" w:hAnsi="宋体"/>
          <w:color w:val="auto"/>
          <w:sz w:val="21"/>
          <w:szCs w:val="21"/>
        </w:rPr>
        <w:t>以及监理日志、巡视记录、旁站记录、监理月报、监理工作报告等其他监理文件和影像资料，具体类别、编制要求、编制内容、提交时间和份数等应满足《公路工程施工监理规范》的规定。</w:t>
      </w:r>
    </w:p>
    <w:p w14:paraId="2842D6EC">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w:t>
      </w:r>
      <w:r>
        <w:rPr>
          <w:rFonts w:ascii="宋体" w:hAnsi="宋体"/>
          <w:color w:val="auto"/>
          <w:sz w:val="21"/>
          <w:szCs w:val="21"/>
        </w:rPr>
        <w:t>第5.5款至第5.7款：</w:t>
      </w:r>
    </w:p>
    <w:p w14:paraId="4FFAA740">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5.5监理服务形式</w:t>
      </w:r>
    </w:p>
    <w:p w14:paraId="0B32DAFE">
      <w:pPr>
        <w:spacing w:line="360" w:lineRule="auto"/>
        <w:ind w:firstLine="420" w:firstLineChars="200"/>
        <w:rPr>
          <w:rFonts w:ascii="宋体" w:hAnsi="宋体"/>
          <w:color w:val="auto"/>
          <w:sz w:val="21"/>
          <w:szCs w:val="21"/>
        </w:rPr>
      </w:pPr>
      <w:r>
        <w:rPr>
          <w:rFonts w:ascii="宋体" w:hAnsi="宋体"/>
          <w:color w:val="auto"/>
          <w:sz w:val="21"/>
          <w:szCs w:val="21"/>
        </w:rPr>
        <w:t>监理人应根据工程规模、难易程度、合同工期安排、现场条件等因素设置现场监理的组织机构并满足合同要求。委托人对监理人的机构设置要求在项目专用合同条款中约定。</w:t>
      </w:r>
    </w:p>
    <w:p w14:paraId="6E2432D9">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5.6监理服务目标</w:t>
      </w:r>
    </w:p>
    <w:p w14:paraId="75992D72">
      <w:pPr>
        <w:spacing w:line="360" w:lineRule="auto"/>
        <w:ind w:firstLine="420" w:firstLineChars="200"/>
        <w:rPr>
          <w:rFonts w:ascii="宋体" w:hAnsi="宋体"/>
          <w:color w:val="auto"/>
          <w:sz w:val="21"/>
          <w:szCs w:val="21"/>
        </w:rPr>
      </w:pPr>
      <w:r>
        <w:rPr>
          <w:rFonts w:ascii="宋体" w:hAnsi="宋体"/>
          <w:color w:val="auto"/>
          <w:sz w:val="21"/>
          <w:szCs w:val="21"/>
        </w:rPr>
        <w:t>5.6.1监理服务履约目标：除项目专用合同条款另有约定外，监理人提供的监理服务，应当符合国家有关法律、法规和标准规范，满足合同约定的服务内容和质量等要求。</w:t>
      </w:r>
    </w:p>
    <w:p w14:paraId="6B90E116">
      <w:pPr>
        <w:spacing w:line="360" w:lineRule="auto"/>
        <w:ind w:firstLine="420" w:firstLineChars="200"/>
        <w:rPr>
          <w:rFonts w:ascii="宋体" w:hAnsi="宋体"/>
          <w:color w:val="auto"/>
          <w:sz w:val="21"/>
          <w:szCs w:val="21"/>
        </w:rPr>
      </w:pPr>
      <w:r>
        <w:rPr>
          <w:rFonts w:ascii="宋体" w:hAnsi="宋体"/>
          <w:color w:val="auto"/>
          <w:sz w:val="21"/>
          <w:szCs w:val="21"/>
        </w:rPr>
        <w:t>5.6.2对第三方履约管理的服务目标</w:t>
      </w:r>
      <w:r>
        <w:rPr>
          <w:rFonts w:hint="eastAsia" w:ascii="宋体" w:hAnsi="宋体"/>
          <w:color w:val="auto"/>
          <w:sz w:val="21"/>
          <w:szCs w:val="21"/>
        </w:rPr>
        <w:t>：</w:t>
      </w:r>
      <w:r>
        <w:rPr>
          <w:rFonts w:ascii="宋体" w:hAnsi="宋体"/>
          <w:color w:val="auto"/>
          <w:sz w:val="21"/>
          <w:szCs w:val="21"/>
        </w:rPr>
        <w:t>在项目专用合同条款中约定。</w:t>
      </w:r>
    </w:p>
    <w:p w14:paraId="1B96312C">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5.7委托人对监理人的授权</w:t>
      </w:r>
    </w:p>
    <w:p w14:paraId="3316CE08">
      <w:pPr>
        <w:spacing w:line="360" w:lineRule="auto"/>
        <w:ind w:firstLine="420" w:firstLineChars="200"/>
        <w:rPr>
          <w:rFonts w:ascii="宋体" w:hAnsi="宋体"/>
          <w:color w:val="auto"/>
          <w:sz w:val="21"/>
          <w:szCs w:val="21"/>
        </w:rPr>
      </w:pPr>
      <w:r>
        <w:rPr>
          <w:rFonts w:ascii="宋体" w:hAnsi="宋体"/>
          <w:color w:val="auto"/>
          <w:sz w:val="21"/>
          <w:szCs w:val="21"/>
        </w:rPr>
        <w:t>5.7.1监理人根据监理合同提供监理服务时，在委托人授权权限范围内开展工作</w:t>
      </w:r>
      <w:r>
        <w:rPr>
          <w:rFonts w:hint="eastAsia" w:ascii="宋体" w:hAnsi="宋体"/>
          <w:color w:val="auto"/>
          <w:sz w:val="21"/>
          <w:szCs w:val="21"/>
        </w:rPr>
        <w:t>。</w:t>
      </w:r>
      <w:r>
        <w:rPr>
          <w:rFonts w:ascii="宋体" w:hAnsi="宋体"/>
          <w:color w:val="auto"/>
          <w:sz w:val="21"/>
          <w:szCs w:val="21"/>
        </w:rPr>
        <w:t>授权权限在项目专用合同条款中约定。</w:t>
      </w:r>
    </w:p>
    <w:p w14:paraId="03135C54">
      <w:pPr>
        <w:spacing w:line="360" w:lineRule="auto"/>
        <w:ind w:firstLine="420" w:firstLineChars="200"/>
        <w:rPr>
          <w:rFonts w:ascii="宋体" w:hAnsi="宋体"/>
          <w:color w:val="auto"/>
          <w:sz w:val="21"/>
          <w:szCs w:val="21"/>
        </w:rPr>
      </w:pPr>
      <w:r>
        <w:rPr>
          <w:rFonts w:ascii="宋体" w:hAnsi="宋体"/>
          <w:color w:val="auto"/>
          <w:sz w:val="21"/>
          <w:szCs w:val="21"/>
        </w:rPr>
        <w:t>5.7.2如果监理人在监理服务过程中行使的权力或所需的授权，来自于委托人和第三方签订的工程合同文件，该合同文件应成为本监理合同的组成部分，两者之间如出现矛盾</w:t>
      </w:r>
      <w:r>
        <w:rPr>
          <w:rFonts w:hint="eastAsia" w:ascii="宋体" w:hAnsi="宋体"/>
          <w:color w:val="auto"/>
          <w:sz w:val="21"/>
          <w:szCs w:val="21"/>
        </w:rPr>
        <w:t>，</w:t>
      </w:r>
      <w:r>
        <w:rPr>
          <w:rFonts w:ascii="宋体" w:hAnsi="宋体"/>
          <w:color w:val="auto"/>
          <w:sz w:val="21"/>
          <w:szCs w:val="21"/>
        </w:rPr>
        <w:t>则应编制补充说明文件一并列入监理合同。监理人应：</w:t>
      </w:r>
    </w:p>
    <w:p w14:paraId="20E3737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根据监理合同文件和工程合同文件提供监理服务；</w:t>
      </w:r>
    </w:p>
    <w:p w14:paraId="300223B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根据职责范围，在委托人和第三方之间独立公正地行使上述合同文件赋予的权力</w:t>
      </w:r>
      <w:r>
        <w:rPr>
          <w:rFonts w:hint="eastAsia" w:ascii="宋体" w:hAnsi="宋体"/>
          <w:color w:val="auto"/>
          <w:sz w:val="21"/>
          <w:szCs w:val="21"/>
        </w:rPr>
        <w:t>；</w:t>
      </w:r>
    </w:p>
    <w:p w14:paraId="5825C82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根据上述合同文件的授权，对相应的工程和合同事宜进行变更，但未经委托人的书面批准，不得变更工程合同文件中约定的工程标准和第三方的责任与义务。</w:t>
      </w:r>
    </w:p>
    <w:p w14:paraId="0A6CE82D">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6.开始监理和完成监理</w:t>
      </w:r>
    </w:p>
    <w:p w14:paraId="5F4DC368">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6.1开始监理</w:t>
      </w:r>
    </w:p>
    <w:p w14:paraId="33F0B3BE">
      <w:pPr>
        <w:spacing w:line="360" w:lineRule="auto"/>
        <w:ind w:firstLine="420" w:firstLineChars="200"/>
        <w:rPr>
          <w:rFonts w:ascii="宋体" w:hAnsi="宋体"/>
          <w:color w:val="auto"/>
          <w:sz w:val="21"/>
          <w:szCs w:val="21"/>
        </w:rPr>
      </w:pPr>
      <w:r>
        <w:rPr>
          <w:rFonts w:ascii="宋体" w:hAnsi="宋体"/>
          <w:color w:val="auto"/>
          <w:sz w:val="21"/>
          <w:szCs w:val="21"/>
        </w:rPr>
        <w:t>第6.1.1项细化为：</w:t>
      </w:r>
    </w:p>
    <w:p w14:paraId="6A71F9EA">
      <w:pPr>
        <w:spacing w:line="360" w:lineRule="auto"/>
        <w:ind w:firstLine="420" w:firstLineChars="200"/>
        <w:rPr>
          <w:rFonts w:ascii="宋体" w:hAnsi="宋体"/>
          <w:color w:val="auto"/>
          <w:sz w:val="21"/>
          <w:szCs w:val="21"/>
        </w:rPr>
      </w:pPr>
      <w:r>
        <w:rPr>
          <w:rFonts w:ascii="宋体" w:hAnsi="宋体"/>
          <w:color w:val="auto"/>
          <w:sz w:val="21"/>
          <w:szCs w:val="21"/>
        </w:rPr>
        <w:t>6.1.1符合项目专用合同条款约定的开始监理条件的，委托人应提前7天向监理人发出开始监理通知。监理服务期限自开始监理通知中载明的开始监理日期及监理人首批人员实际进场日期起算，以时间在后者为准。</w:t>
      </w:r>
    </w:p>
    <w:p w14:paraId="6D63CE18">
      <w:pPr>
        <w:spacing w:line="360" w:lineRule="auto"/>
        <w:ind w:firstLine="420" w:firstLineChars="200"/>
        <w:rPr>
          <w:rFonts w:ascii="宋体" w:hAnsi="宋体"/>
          <w:color w:val="auto"/>
          <w:sz w:val="21"/>
          <w:szCs w:val="21"/>
        </w:rPr>
      </w:pPr>
      <w:r>
        <w:rPr>
          <w:rFonts w:ascii="宋体" w:hAnsi="宋体"/>
          <w:color w:val="auto"/>
          <w:sz w:val="21"/>
          <w:szCs w:val="21"/>
        </w:rPr>
        <w:t>监理人应按照监理合同约定的时间和有关期限履行和完成监理服务，根据本项目工程的进展情况和委托人批准的人员进场计划，安排监理人员及时进场。</w:t>
      </w:r>
    </w:p>
    <w:p w14:paraId="4E748391">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w:t>
      </w:r>
      <w:r>
        <w:rPr>
          <w:rFonts w:ascii="宋体" w:hAnsi="宋体"/>
          <w:color w:val="auto"/>
          <w:sz w:val="21"/>
          <w:szCs w:val="21"/>
        </w:rPr>
        <w:t>第6.4款：</w:t>
      </w:r>
    </w:p>
    <w:p w14:paraId="5ECE82C3">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6.4监理工作的暂停与监理合同的解除</w:t>
      </w:r>
    </w:p>
    <w:p w14:paraId="7E12FA95">
      <w:pPr>
        <w:spacing w:line="360" w:lineRule="auto"/>
        <w:ind w:firstLine="420" w:firstLineChars="200"/>
        <w:rPr>
          <w:rFonts w:ascii="宋体" w:hAnsi="宋体"/>
          <w:color w:val="auto"/>
          <w:sz w:val="21"/>
          <w:szCs w:val="21"/>
        </w:rPr>
      </w:pPr>
      <w:r>
        <w:rPr>
          <w:rFonts w:ascii="宋体" w:hAnsi="宋体"/>
          <w:color w:val="auto"/>
          <w:sz w:val="21"/>
          <w:szCs w:val="21"/>
        </w:rPr>
        <w:t>6.4.1出现根据本监理合同的约定不应由监理人负贡的情况，且该情况已使监理人不能继续履行全部或部分监理服务时，监理人应立即书面通知委托人，并视情况采取相应措施：</w:t>
      </w:r>
    </w:p>
    <w:p w14:paraId="375A25E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不得不暂停或减缓某些监理服务时，则上述服务的完成期限应予以延长，因此增加的监理服务工作量或延长的服务期限，委托人应按合同条款约定进行调整。</w:t>
      </w:r>
    </w:p>
    <w:p w14:paraId="1E9648C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全部监理服务已无法继续履行时，监理人在书面通知委托人28日之后，有权单方面解除本监理合同，因此增加的监理服务工作量所涉及费用，委托人应按合同条款约定进行调整，同时应及时向监理人返还全部或剩余部分的履约保证金。</w:t>
      </w:r>
    </w:p>
    <w:p w14:paraId="18A5206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因不可抗力致使本监理合同不能履行或只能部分履行时，应按照本合同第10条规定的程序暂停监理服务或解除监理合同。</w:t>
      </w:r>
    </w:p>
    <w:p w14:paraId="579ECE20">
      <w:pPr>
        <w:spacing w:line="360" w:lineRule="auto"/>
        <w:ind w:firstLine="420" w:firstLineChars="200"/>
        <w:rPr>
          <w:rFonts w:ascii="宋体" w:hAnsi="宋体"/>
          <w:color w:val="auto"/>
          <w:sz w:val="21"/>
          <w:szCs w:val="21"/>
        </w:rPr>
      </w:pPr>
      <w:r>
        <w:rPr>
          <w:rFonts w:ascii="宋体" w:hAnsi="宋体"/>
          <w:color w:val="auto"/>
          <w:sz w:val="21"/>
          <w:szCs w:val="21"/>
        </w:rPr>
        <w:t>6.4.2委托人要求监理人全部或部分暂停监理服务或解除本监理合同时，必须在56日之前发出书面通知。监理人在接到通知后，应立即安排停止全部或部分监理服务并将相关费用开支减至最小。因此增加的监理服务工作量所涉及的费用，委托人应按合同条款约定进行调整，同时及时向监理人返还全部或剩余部分的履约保证金。</w:t>
      </w:r>
    </w:p>
    <w:p w14:paraId="77B9C06C">
      <w:pPr>
        <w:spacing w:line="360" w:lineRule="auto"/>
        <w:ind w:firstLine="420" w:firstLineChars="200"/>
        <w:rPr>
          <w:rFonts w:ascii="宋体" w:hAnsi="宋体"/>
          <w:color w:val="auto"/>
          <w:sz w:val="21"/>
          <w:szCs w:val="21"/>
        </w:rPr>
      </w:pPr>
      <w:r>
        <w:rPr>
          <w:rFonts w:ascii="宋体" w:hAnsi="宋体"/>
          <w:color w:val="auto"/>
          <w:sz w:val="21"/>
          <w:szCs w:val="21"/>
        </w:rPr>
        <w:t>6.4.3监理人无正当的理由，未根据监理合同的约定履行全部或部分监理服务，委托人可书面要求监理人予以解释。若监理人在28日内未能根据本监理合同给予合理的答复，委托人可在进一步发出书面通知14日后，单方面解除本监理合同，并视情况没收监理人的全部或部分履约保证金。</w:t>
      </w:r>
    </w:p>
    <w:p w14:paraId="24E118BD">
      <w:pPr>
        <w:spacing w:line="360" w:lineRule="auto"/>
        <w:ind w:firstLine="420" w:firstLineChars="200"/>
        <w:rPr>
          <w:rFonts w:ascii="宋体" w:hAnsi="宋体"/>
          <w:color w:val="auto"/>
          <w:sz w:val="21"/>
          <w:szCs w:val="21"/>
        </w:rPr>
      </w:pPr>
      <w:r>
        <w:rPr>
          <w:rFonts w:ascii="宋体" w:hAnsi="宋体"/>
          <w:color w:val="auto"/>
          <w:sz w:val="21"/>
          <w:szCs w:val="21"/>
        </w:rPr>
        <w:t>6.4.4委托人拖延支付监理服务费用，并己超过合同条款约定支付期限后28日，或根据本合同第6.4.1款（</w:t>
      </w:r>
      <w:r>
        <w:rPr>
          <w:rFonts w:hint="eastAsia" w:ascii="宋体" w:hAnsi="宋体"/>
          <w:color w:val="auto"/>
          <w:sz w:val="21"/>
          <w:szCs w:val="21"/>
        </w:rPr>
        <w:t>1）</w:t>
      </w:r>
      <w:r>
        <w:rPr>
          <w:rFonts w:ascii="宋体" w:hAnsi="宋体"/>
          <w:color w:val="auto"/>
          <w:sz w:val="21"/>
          <w:szCs w:val="21"/>
        </w:rPr>
        <w:t>目或第6.4.2项的约定，暂停监理服务已超过6个月，监理人可书面要求委托人予以解释。若委托人在28日内未能根据本监理合同给予合理的答复，监理人可在进一步发出书面通知14日后，单方面解除本监理合同或自行暂停全部或部分监理服务。因此增加的监理服务工作量所涉及的费用，委托人应按合同条款约定进行调整，同时应及时向监理人返还全部或剩余部分的履约保证金。</w:t>
      </w:r>
    </w:p>
    <w:p w14:paraId="06E8AFEE">
      <w:pPr>
        <w:spacing w:line="360" w:lineRule="auto"/>
        <w:ind w:firstLine="420" w:firstLineChars="200"/>
        <w:rPr>
          <w:rFonts w:ascii="宋体" w:hAnsi="宋体"/>
          <w:color w:val="auto"/>
          <w:sz w:val="21"/>
          <w:szCs w:val="21"/>
        </w:rPr>
      </w:pPr>
      <w:r>
        <w:rPr>
          <w:rFonts w:ascii="宋体" w:hAnsi="宋体"/>
          <w:color w:val="auto"/>
          <w:sz w:val="21"/>
          <w:szCs w:val="21"/>
        </w:rPr>
        <w:t>6.4.5监理合同的解除，不得损害或影响双方根据本监理合同应有的义务</w:t>
      </w:r>
      <w:r>
        <w:rPr>
          <w:rFonts w:hint="eastAsia" w:ascii="宋体" w:hAnsi="宋体"/>
          <w:color w:val="auto"/>
          <w:sz w:val="21"/>
          <w:szCs w:val="21"/>
        </w:rPr>
        <w:t>、</w:t>
      </w:r>
      <w:r>
        <w:rPr>
          <w:rFonts w:ascii="宋体" w:hAnsi="宋体"/>
          <w:color w:val="auto"/>
          <w:sz w:val="21"/>
          <w:szCs w:val="21"/>
        </w:rPr>
        <w:t>责任</w:t>
      </w:r>
      <w:r>
        <w:rPr>
          <w:rFonts w:hint="eastAsia" w:ascii="宋体" w:hAnsi="宋体"/>
          <w:color w:val="auto"/>
          <w:sz w:val="21"/>
          <w:szCs w:val="21"/>
        </w:rPr>
        <w:t>、</w:t>
      </w:r>
      <w:r>
        <w:rPr>
          <w:rFonts w:ascii="宋体" w:hAnsi="宋体"/>
          <w:color w:val="auto"/>
          <w:sz w:val="21"/>
          <w:szCs w:val="21"/>
        </w:rPr>
        <w:t>权力和利益。</w:t>
      </w:r>
    </w:p>
    <w:p w14:paraId="0D10DEFA">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7.监理责任与保险</w:t>
      </w:r>
    </w:p>
    <w:p w14:paraId="1E752E50">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7.1监理责任主体</w:t>
      </w:r>
    </w:p>
    <w:p w14:paraId="779771B9">
      <w:pPr>
        <w:spacing w:line="360" w:lineRule="auto"/>
        <w:ind w:firstLine="420" w:firstLineChars="200"/>
        <w:rPr>
          <w:rFonts w:ascii="宋体" w:hAnsi="宋体"/>
          <w:color w:val="auto"/>
          <w:sz w:val="21"/>
          <w:szCs w:val="21"/>
        </w:rPr>
      </w:pPr>
      <w:r>
        <w:rPr>
          <w:rFonts w:ascii="宋体" w:hAnsi="宋体"/>
          <w:color w:val="auto"/>
          <w:sz w:val="21"/>
          <w:szCs w:val="21"/>
        </w:rPr>
        <w:t>第7.1.2项、7.1.3项细化为：</w:t>
      </w:r>
    </w:p>
    <w:p w14:paraId="68463F11">
      <w:pPr>
        <w:spacing w:line="360" w:lineRule="auto"/>
        <w:ind w:firstLine="420" w:firstLineChars="200"/>
        <w:rPr>
          <w:rFonts w:ascii="宋体" w:hAnsi="宋体"/>
          <w:color w:val="auto"/>
          <w:sz w:val="21"/>
          <w:szCs w:val="21"/>
        </w:rPr>
      </w:pPr>
      <w:r>
        <w:rPr>
          <w:rFonts w:ascii="宋体" w:hAnsi="宋体"/>
          <w:color w:val="auto"/>
          <w:sz w:val="21"/>
          <w:szCs w:val="21"/>
        </w:rPr>
        <w:t>7.1.2监理人应当建立健全工程质量保证体系，制定质量管理制度，强化工程质量管理措施，完善工程质量日标保障机制。</w:t>
      </w:r>
    </w:p>
    <w:p w14:paraId="0A29962F">
      <w:pPr>
        <w:spacing w:line="360" w:lineRule="auto"/>
        <w:ind w:firstLine="420" w:firstLineChars="200"/>
        <w:rPr>
          <w:rFonts w:ascii="宋体" w:hAnsi="宋体"/>
          <w:color w:val="auto"/>
          <w:sz w:val="21"/>
          <w:szCs w:val="21"/>
        </w:rPr>
      </w:pPr>
      <w:r>
        <w:rPr>
          <w:rFonts w:ascii="宋体" w:hAnsi="宋体"/>
          <w:color w:val="auto"/>
          <w:sz w:val="21"/>
          <w:szCs w:val="21"/>
        </w:rPr>
        <w:t>本工程施行质量责任终身制。监理人应当书面明确相应的总监理工程师和质量负责人。监理人的相关人员按照国家法律法规和有关规定在工程合理使用年限内承担相应的质量责任。</w:t>
      </w:r>
    </w:p>
    <w:p w14:paraId="1618DCB5">
      <w:pPr>
        <w:spacing w:line="360" w:lineRule="auto"/>
        <w:ind w:firstLine="420" w:firstLineChars="200"/>
        <w:rPr>
          <w:rFonts w:ascii="宋体" w:hAnsi="宋体"/>
          <w:color w:val="auto"/>
          <w:sz w:val="21"/>
          <w:szCs w:val="21"/>
        </w:rPr>
      </w:pPr>
      <w:r>
        <w:rPr>
          <w:rFonts w:ascii="宋体" w:hAnsi="宋体"/>
          <w:color w:val="auto"/>
          <w:sz w:val="21"/>
          <w:szCs w:val="21"/>
        </w:rPr>
        <w:t>7.1.3监理人对施工质量负监理责任，应当按合同约定设立现场监理机构，按规定程序和标准进行工程质量检查、检测和验收，对发现的质量问题及时督促整改，不得降低工程质量标准。</w:t>
      </w:r>
    </w:p>
    <w:p w14:paraId="0F8D6256">
      <w:pPr>
        <w:spacing w:line="360" w:lineRule="auto"/>
        <w:ind w:firstLine="420" w:firstLineChars="200"/>
        <w:rPr>
          <w:rFonts w:ascii="宋体" w:hAnsi="宋体"/>
          <w:color w:val="auto"/>
          <w:sz w:val="21"/>
          <w:szCs w:val="21"/>
        </w:rPr>
      </w:pPr>
      <w:r>
        <w:rPr>
          <w:rFonts w:ascii="宋体" w:hAnsi="宋体"/>
          <w:color w:val="auto"/>
          <w:sz w:val="21"/>
          <w:szCs w:val="21"/>
        </w:rPr>
        <w:t>本工程交工验收前，监理人应当根据有关标准和规范要求对工程质量进行检查验证，编制工程质量评定或者评估报告，并提交委托人。</w:t>
      </w:r>
    </w:p>
    <w:p w14:paraId="7BDD9A15">
      <w:pPr>
        <w:spacing w:line="360" w:lineRule="auto"/>
        <w:ind w:firstLine="420" w:firstLineChars="200"/>
        <w:rPr>
          <w:rFonts w:ascii="宋体" w:hAnsi="宋体"/>
          <w:color w:val="auto"/>
          <w:sz w:val="21"/>
          <w:szCs w:val="21"/>
        </w:rPr>
      </w:pPr>
      <w:r>
        <w:rPr>
          <w:rFonts w:hint="eastAsia" w:ascii="宋体" w:hAnsi="宋体"/>
          <w:color w:val="auto"/>
          <w:sz w:val="21"/>
          <w:szCs w:val="21"/>
        </w:rPr>
        <w:t>本款补充第7.1.4项：</w:t>
      </w:r>
    </w:p>
    <w:p w14:paraId="2E9DE6BA">
      <w:pPr>
        <w:spacing w:line="360" w:lineRule="auto"/>
        <w:ind w:firstLine="420" w:firstLineChars="200"/>
        <w:rPr>
          <w:rFonts w:ascii="宋体" w:hAnsi="宋体"/>
          <w:color w:val="auto"/>
          <w:sz w:val="21"/>
          <w:szCs w:val="21"/>
        </w:rPr>
      </w:pPr>
      <w:r>
        <w:rPr>
          <w:rFonts w:ascii="宋体" w:hAnsi="宋体"/>
          <w:color w:val="auto"/>
          <w:sz w:val="21"/>
          <w:szCs w:val="21"/>
        </w:rPr>
        <w:t>7.1.4监理人应当按照合同约定设立工地临时试验室，严格按照工程技术标准、检测规范和规程，在核定的试验检测参数范围内开展试验检测活动。</w:t>
      </w:r>
    </w:p>
    <w:p w14:paraId="5C95E5F3">
      <w:pPr>
        <w:spacing w:line="360" w:lineRule="auto"/>
        <w:ind w:firstLine="420" w:firstLineChars="200"/>
        <w:rPr>
          <w:rFonts w:ascii="宋体" w:hAnsi="宋体"/>
          <w:color w:val="auto"/>
          <w:sz w:val="21"/>
          <w:szCs w:val="21"/>
        </w:rPr>
      </w:pPr>
      <w:r>
        <w:rPr>
          <w:rFonts w:ascii="宋体" w:hAnsi="宋体"/>
          <w:color w:val="auto"/>
          <w:sz w:val="21"/>
          <w:szCs w:val="21"/>
        </w:rPr>
        <w:t>监理人应当对其设立的工地临时试验室所出具的试验检测数据和报告的真实性</w:t>
      </w:r>
      <w:r>
        <w:rPr>
          <w:rFonts w:hint="eastAsia" w:ascii="宋体" w:hAnsi="宋体"/>
          <w:color w:val="auto"/>
          <w:sz w:val="21"/>
          <w:szCs w:val="21"/>
        </w:rPr>
        <w:t>、</w:t>
      </w:r>
      <w:r>
        <w:rPr>
          <w:rFonts w:ascii="宋体" w:hAnsi="宋体"/>
          <w:color w:val="auto"/>
          <w:sz w:val="21"/>
          <w:szCs w:val="21"/>
        </w:rPr>
        <w:t>客观性、准确性负责。</w:t>
      </w:r>
    </w:p>
    <w:p w14:paraId="54A84BC4">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本条补充第7.3款：</w:t>
      </w:r>
    </w:p>
    <w:p w14:paraId="464210A5">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7.3人员和设备保险</w:t>
      </w:r>
    </w:p>
    <w:p w14:paraId="54F93DB2">
      <w:pPr>
        <w:spacing w:line="360" w:lineRule="auto"/>
        <w:ind w:firstLine="420" w:firstLineChars="200"/>
        <w:rPr>
          <w:rFonts w:ascii="宋体" w:hAnsi="宋体"/>
          <w:color w:val="auto"/>
          <w:sz w:val="21"/>
          <w:szCs w:val="21"/>
        </w:rPr>
      </w:pPr>
      <w:r>
        <w:rPr>
          <w:rFonts w:ascii="宋体" w:hAnsi="宋体"/>
          <w:color w:val="auto"/>
          <w:sz w:val="21"/>
          <w:szCs w:val="21"/>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14:paraId="4108BB9D">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8.合同变更</w:t>
      </w:r>
    </w:p>
    <w:p w14:paraId="7683FDC6">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8.1变更情形</w:t>
      </w:r>
    </w:p>
    <w:p w14:paraId="1A6F1AF3">
      <w:pPr>
        <w:spacing w:line="360" w:lineRule="auto"/>
        <w:ind w:firstLine="420" w:firstLineChars="200"/>
        <w:rPr>
          <w:rFonts w:ascii="宋体" w:hAnsi="宋体"/>
          <w:color w:val="auto"/>
          <w:sz w:val="21"/>
          <w:szCs w:val="21"/>
        </w:rPr>
      </w:pPr>
      <w:r>
        <w:rPr>
          <w:rFonts w:ascii="宋体" w:hAnsi="宋体"/>
          <w:color w:val="auto"/>
          <w:sz w:val="21"/>
          <w:szCs w:val="21"/>
        </w:rPr>
        <w:t>第8.1.1项细化为：</w:t>
      </w:r>
    </w:p>
    <w:p w14:paraId="792C8BD5">
      <w:pPr>
        <w:spacing w:line="360" w:lineRule="auto"/>
        <w:ind w:firstLine="420" w:firstLineChars="200"/>
        <w:rPr>
          <w:rFonts w:ascii="宋体" w:hAnsi="宋体"/>
          <w:color w:val="auto"/>
          <w:sz w:val="21"/>
          <w:szCs w:val="21"/>
        </w:rPr>
      </w:pPr>
      <w:r>
        <w:rPr>
          <w:rFonts w:ascii="宋体" w:hAnsi="宋体"/>
          <w:color w:val="auto"/>
          <w:sz w:val="21"/>
          <w:szCs w:val="21"/>
        </w:rPr>
        <w:t>合同履行中发生下述情形时，合同一方均可向对方提出变更请求，经双方协商一致后进行变更，监理服务期限和监理报酬的调整方法在项目专用合同条款中约定。</w:t>
      </w:r>
    </w:p>
    <w:p w14:paraId="716E1A5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监理范围发生变化；</w:t>
      </w:r>
    </w:p>
    <w:p w14:paraId="53E0868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除不可抗力外，非监理人的原因引起的周期延误；</w:t>
      </w:r>
    </w:p>
    <w:p w14:paraId="49BD1E58">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非监理人的原因</w:t>
      </w:r>
      <w:r>
        <w:rPr>
          <w:rFonts w:hint="eastAsia" w:ascii="宋体" w:hAnsi="宋体"/>
          <w:color w:val="auto"/>
          <w:sz w:val="21"/>
          <w:szCs w:val="21"/>
        </w:rPr>
        <w:t>，</w:t>
      </w:r>
      <w:r>
        <w:rPr>
          <w:rFonts w:ascii="宋体" w:hAnsi="宋体"/>
          <w:color w:val="auto"/>
          <w:sz w:val="21"/>
          <w:szCs w:val="21"/>
        </w:rPr>
        <w:t>对工程同一部分重复进行监理</w:t>
      </w:r>
      <w:r>
        <w:rPr>
          <w:rFonts w:hint="eastAsia" w:ascii="宋体" w:hAnsi="宋体"/>
          <w:color w:val="auto"/>
          <w:sz w:val="21"/>
          <w:szCs w:val="21"/>
        </w:rPr>
        <w:t>；</w:t>
      </w:r>
    </w:p>
    <w:p w14:paraId="4C3CBD5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非监理人的原因</w:t>
      </w:r>
      <w:r>
        <w:rPr>
          <w:rFonts w:hint="eastAsia" w:ascii="宋体" w:hAnsi="宋体"/>
          <w:color w:val="auto"/>
          <w:sz w:val="21"/>
          <w:szCs w:val="21"/>
        </w:rPr>
        <w:t>，</w:t>
      </w:r>
      <w:r>
        <w:rPr>
          <w:rFonts w:ascii="宋体" w:hAnsi="宋体"/>
          <w:color w:val="auto"/>
          <w:sz w:val="21"/>
          <w:szCs w:val="21"/>
        </w:rPr>
        <w:t>对工程暂停监理及恢复监理：</w:t>
      </w:r>
    </w:p>
    <w:p w14:paraId="30FC12B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监理服务的形式与内容发生变化；</w:t>
      </w:r>
    </w:p>
    <w:p w14:paraId="074513F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因委托人或第三方的责任，阻碍或延误了监理人履行监理服务：</w:t>
      </w:r>
    </w:p>
    <w:p w14:paraId="0338F9C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委托人提出高于监理合同约定的服务</w:t>
      </w:r>
      <w:r>
        <w:rPr>
          <w:rFonts w:hint="eastAsia" w:ascii="宋体" w:hAnsi="宋体"/>
          <w:color w:val="auto"/>
          <w:sz w:val="21"/>
          <w:szCs w:val="21"/>
        </w:rPr>
        <w:t>目</w:t>
      </w:r>
      <w:r>
        <w:rPr>
          <w:rFonts w:ascii="宋体" w:hAnsi="宋体"/>
          <w:color w:val="auto"/>
          <w:sz w:val="21"/>
          <w:szCs w:val="21"/>
        </w:rPr>
        <w:t>标，监理人为完成此目标导致增加投入。</w:t>
      </w:r>
    </w:p>
    <w:p w14:paraId="0D62F2EA">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9.合同价格与支付</w:t>
      </w:r>
    </w:p>
    <w:p w14:paraId="7F19AE9F">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9.1合同价格</w:t>
      </w:r>
    </w:p>
    <w:p w14:paraId="3CD487C9">
      <w:pPr>
        <w:spacing w:line="360" w:lineRule="auto"/>
        <w:ind w:firstLine="420" w:firstLineChars="200"/>
        <w:rPr>
          <w:rFonts w:ascii="宋体" w:hAnsi="宋体"/>
          <w:color w:val="auto"/>
          <w:sz w:val="21"/>
          <w:szCs w:val="21"/>
        </w:rPr>
      </w:pPr>
      <w:r>
        <w:rPr>
          <w:rFonts w:ascii="宋体" w:hAnsi="宋体"/>
          <w:color w:val="auto"/>
          <w:sz w:val="21"/>
          <w:szCs w:val="21"/>
        </w:rPr>
        <w:t>第9.1.1页细化为：</w:t>
      </w:r>
    </w:p>
    <w:p w14:paraId="6E09C04F">
      <w:pPr>
        <w:spacing w:line="360" w:lineRule="auto"/>
        <w:ind w:firstLine="420" w:firstLineChars="200"/>
        <w:rPr>
          <w:rFonts w:ascii="宋体" w:hAnsi="宋体"/>
          <w:color w:val="auto"/>
          <w:sz w:val="21"/>
          <w:szCs w:val="21"/>
        </w:rPr>
      </w:pPr>
      <w:r>
        <w:rPr>
          <w:rFonts w:ascii="宋体" w:hAnsi="宋体"/>
          <w:color w:val="auto"/>
          <w:sz w:val="21"/>
          <w:szCs w:val="21"/>
        </w:rPr>
        <w:t>9.1.1合同价格是监理人按照合同约定完成施工准备阶段、施工阶段、验收与缺陷责任期阶段监理服务所需的全部费用，应按投标文件格式中报价清单的内容和格式填报。</w:t>
      </w:r>
    </w:p>
    <w:p w14:paraId="49F09506">
      <w:pPr>
        <w:spacing w:line="360" w:lineRule="auto"/>
        <w:ind w:firstLine="420" w:firstLineChars="200"/>
        <w:rPr>
          <w:rFonts w:ascii="宋体" w:hAnsi="宋体"/>
          <w:color w:val="auto"/>
          <w:sz w:val="21"/>
          <w:szCs w:val="21"/>
        </w:rPr>
      </w:pPr>
      <w:r>
        <w:rPr>
          <w:rFonts w:ascii="宋体" w:hAnsi="宋体"/>
          <w:color w:val="auto"/>
          <w:sz w:val="21"/>
          <w:szCs w:val="21"/>
        </w:rPr>
        <w:t>监理服务费用包括以下组成部分：</w:t>
      </w:r>
    </w:p>
    <w:p w14:paraId="60E8BD4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监理人员服务费；</w:t>
      </w:r>
    </w:p>
    <w:p w14:paraId="438CB54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监理办公设施费：</w:t>
      </w:r>
    </w:p>
    <w:p w14:paraId="6921833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监理交通设施费：</w:t>
      </w:r>
    </w:p>
    <w:p w14:paraId="1F251B2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监理试验设施费：</w:t>
      </w:r>
    </w:p>
    <w:p w14:paraId="58C8D72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监理生活设施费；</w:t>
      </w:r>
    </w:p>
    <w:p w14:paraId="098370A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利润。</w:t>
      </w:r>
    </w:p>
    <w:p w14:paraId="2916FD70">
      <w:pPr>
        <w:spacing w:line="360" w:lineRule="auto"/>
        <w:ind w:firstLine="420" w:firstLineChars="200"/>
        <w:rPr>
          <w:rFonts w:ascii="宋体" w:hAnsi="宋体"/>
          <w:color w:val="auto"/>
          <w:sz w:val="21"/>
          <w:szCs w:val="21"/>
        </w:rPr>
      </w:pPr>
      <w:r>
        <w:rPr>
          <w:rFonts w:ascii="宋体" w:hAnsi="宋体"/>
          <w:color w:val="auto"/>
          <w:sz w:val="21"/>
          <w:szCs w:val="21"/>
        </w:rPr>
        <w:t>除利润外，以上各项费用应分别按施工期（涵盖施工准备阶段和施工阶段）和缺陷责任期两个阶段填报</w:t>
      </w:r>
      <w:r>
        <w:rPr>
          <w:rFonts w:hint="eastAsia" w:ascii="宋体" w:hAnsi="宋体"/>
          <w:color w:val="auto"/>
          <w:sz w:val="21"/>
          <w:szCs w:val="21"/>
        </w:rPr>
        <w:t>，</w:t>
      </w:r>
      <w:r>
        <w:rPr>
          <w:rFonts w:ascii="宋体" w:hAnsi="宋体"/>
          <w:color w:val="auto"/>
          <w:sz w:val="21"/>
          <w:szCs w:val="21"/>
        </w:rPr>
        <w:t>其中监理人员服务费应填报各级监理人员的人月单价及为完成监理服务所需要的总人月数量</w:t>
      </w:r>
      <w:r>
        <w:rPr>
          <w:rFonts w:hint="eastAsia" w:ascii="宋体" w:hAnsi="宋体"/>
          <w:color w:val="auto"/>
          <w:sz w:val="21"/>
          <w:szCs w:val="21"/>
        </w:rPr>
        <w:t>。</w:t>
      </w:r>
      <w:r>
        <w:rPr>
          <w:rFonts w:ascii="宋体" w:hAnsi="宋体"/>
          <w:color w:val="auto"/>
          <w:sz w:val="21"/>
          <w:szCs w:val="21"/>
        </w:rPr>
        <w:t>各类监理人员的人月单价应包括监理人员履行监理服务时由于施工工艺的连续性导致不可避免的加班费用，在上述情况发生时，委托人将不考虑另行支付监理人员的加班费用。</w:t>
      </w:r>
    </w:p>
    <w:p w14:paraId="65390813">
      <w:pPr>
        <w:spacing w:line="360" w:lineRule="auto"/>
        <w:ind w:firstLine="420" w:firstLineChars="200"/>
        <w:rPr>
          <w:rFonts w:ascii="宋体" w:hAnsi="宋体"/>
          <w:color w:val="auto"/>
          <w:sz w:val="21"/>
          <w:szCs w:val="21"/>
        </w:rPr>
      </w:pPr>
      <w:r>
        <w:rPr>
          <w:rFonts w:ascii="宋体" w:hAnsi="宋体"/>
          <w:color w:val="auto"/>
          <w:sz w:val="21"/>
          <w:szCs w:val="21"/>
        </w:rPr>
        <w:t>监理人因完成本项目施工监理服务需计取的企业管理费及需缴纳的一切税费均由监理人承担，并包含在所报的各项监理服务费用之内，委托人不单独支付。</w:t>
      </w:r>
    </w:p>
    <w:p w14:paraId="2236FCEA">
      <w:pPr>
        <w:spacing w:line="360" w:lineRule="auto"/>
        <w:ind w:firstLine="420" w:firstLineChars="200"/>
        <w:rPr>
          <w:rFonts w:ascii="宋体" w:hAnsi="宋体"/>
          <w:color w:val="auto"/>
          <w:sz w:val="21"/>
          <w:szCs w:val="21"/>
        </w:rPr>
      </w:pPr>
      <w:r>
        <w:rPr>
          <w:rFonts w:ascii="宋体" w:hAnsi="宋体"/>
          <w:color w:val="auto"/>
          <w:sz w:val="21"/>
          <w:szCs w:val="21"/>
        </w:rPr>
        <w:t>除本合同第8条约定的变更情形和项目专用合同条款约定的其他情形外，本监理合同的监理服务费用在合同实施期间一律不予调整。</w:t>
      </w:r>
    </w:p>
    <w:p w14:paraId="192F8394">
      <w:pPr>
        <w:spacing w:line="360" w:lineRule="auto"/>
        <w:ind w:firstLine="420" w:firstLineChars="200"/>
        <w:rPr>
          <w:rFonts w:ascii="宋体" w:hAnsi="宋体"/>
          <w:color w:val="auto"/>
          <w:sz w:val="21"/>
          <w:szCs w:val="21"/>
        </w:rPr>
      </w:pPr>
      <w:r>
        <w:rPr>
          <w:rFonts w:ascii="宋体" w:hAnsi="宋体"/>
          <w:color w:val="auto"/>
          <w:sz w:val="21"/>
          <w:szCs w:val="21"/>
        </w:rPr>
        <w:t>除项目专用合同条款另有约定外，因工程提前完成导致监理服务期限缩短，且在监理人己履行本合同规定义务的情况下，委托人不能以监理人提前完成监理为由而减少监理报酬。</w:t>
      </w:r>
    </w:p>
    <w:p w14:paraId="095F8850">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9.2预付款</w:t>
      </w:r>
    </w:p>
    <w:p w14:paraId="09693730">
      <w:pPr>
        <w:spacing w:line="360" w:lineRule="auto"/>
        <w:ind w:firstLine="420" w:firstLineChars="200"/>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款细化为：</w:t>
      </w:r>
    </w:p>
    <w:p w14:paraId="531C0642">
      <w:pPr>
        <w:spacing w:line="360" w:lineRule="auto"/>
        <w:ind w:firstLine="420" w:firstLineChars="200"/>
        <w:rPr>
          <w:rFonts w:ascii="宋体" w:hAnsi="宋体"/>
          <w:color w:val="auto"/>
          <w:sz w:val="21"/>
          <w:szCs w:val="21"/>
        </w:rPr>
      </w:pPr>
      <w:r>
        <w:rPr>
          <w:rFonts w:ascii="宋体" w:hAnsi="宋体"/>
          <w:color w:val="auto"/>
          <w:sz w:val="21"/>
          <w:szCs w:val="21"/>
        </w:rPr>
        <w:t>为使监理服务能够及时开展，委托人应在监理合同签订后7日内按监理服务费总额的10%向监理人支付预付款，项目专用合同条款另有约定的除外。</w:t>
      </w:r>
    </w:p>
    <w:p w14:paraId="3A591E0A">
      <w:pPr>
        <w:spacing w:line="360" w:lineRule="auto"/>
        <w:ind w:firstLine="420" w:firstLineChars="200"/>
        <w:rPr>
          <w:rFonts w:ascii="宋体" w:hAnsi="宋体"/>
          <w:color w:val="auto"/>
          <w:sz w:val="21"/>
          <w:szCs w:val="21"/>
        </w:rPr>
      </w:pPr>
      <w:r>
        <w:rPr>
          <w:rFonts w:ascii="宋体" w:hAnsi="宋体"/>
          <w:color w:val="auto"/>
          <w:sz w:val="21"/>
          <w:szCs w:val="21"/>
        </w:rPr>
        <w:t>预付款在施工阶段监理服务费支付的累计金额达到“中标监理服务费总价”的30%时开始抵扣，全部预付款应在施工阶段监理服务费累计支付到“中标监理服务费总价”的80%时扣完。</w:t>
      </w:r>
    </w:p>
    <w:p w14:paraId="6C857640">
      <w:pPr>
        <w:spacing w:line="360" w:lineRule="auto"/>
        <w:ind w:firstLine="420" w:firstLineChars="200"/>
        <w:rPr>
          <w:rFonts w:ascii="宋体" w:hAnsi="宋体"/>
          <w:color w:val="auto"/>
          <w:sz w:val="21"/>
          <w:szCs w:val="21"/>
        </w:rPr>
      </w:pPr>
      <w:r>
        <w:rPr>
          <w:rFonts w:ascii="宋体" w:hAnsi="宋体"/>
          <w:color w:val="auto"/>
          <w:sz w:val="21"/>
          <w:szCs w:val="21"/>
        </w:rPr>
        <w:t>预付款应专用于本工程的监理。监理人无须向委托人提交预付款保函，但监理人提交的履约保证金对预付款的正常使用承担保证责任。</w:t>
      </w:r>
    </w:p>
    <w:p w14:paraId="404D08C8">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9.3中期支付</w:t>
      </w:r>
    </w:p>
    <w:p w14:paraId="3565D70A">
      <w:pPr>
        <w:spacing w:line="360" w:lineRule="auto"/>
        <w:ind w:firstLine="420" w:firstLineChars="200"/>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款细化为：</w:t>
      </w:r>
    </w:p>
    <w:p w14:paraId="5F9360B6">
      <w:pPr>
        <w:spacing w:line="360" w:lineRule="auto"/>
        <w:ind w:firstLine="420" w:firstLineChars="200"/>
        <w:rPr>
          <w:rFonts w:ascii="宋体" w:hAnsi="宋体"/>
          <w:color w:val="auto"/>
          <w:sz w:val="21"/>
          <w:szCs w:val="21"/>
        </w:rPr>
      </w:pPr>
      <w:r>
        <w:rPr>
          <w:rFonts w:ascii="宋体" w:hAnsi="宋体"/>
          <w:color w:val="auto"/>
          <w:sz w:val="21"/>
          <w:szCs w:val="21"/>
        </w:rPr>
        <w:t>9.3.1监理人应在各月末向委托人提交由总监理工程师签署的按委托人批准格式填写的监理服务费付款申请单一式三份，该付款申请单包括以下栏目，监理人应逐项填写清楚：</w:t>
      </w:r>
    </w:p>
    <w:p w14:paraId="6F91DD5A">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本月应向监理人支付的（结算的）监理服务费用；</w:t>
      </w:r>
    </w:p>
    <w:p w14:paraId="1B92CE4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本月应支付的监理服务变更费用</w:t>
      </w:r>
      <w:r>
        <w:rPr>
          <w:rFonts w:hint="eastAsia" w:ascii="宋体" w:hAnsi="宋体"/>
          <w:color w:val="auto"/>
          <w:sz w:val="21"/>
          <w:szCs w:val="21"/>
        </w:rPr>
        <w:t>；</w:t>
      </w:r>
    </w:p>
    <w:p w14:paraId="4D16E10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本月应支付的预付款；</w:t>
      </w:r>
    </w:p>
    <w:p w14:paraId="3F28DCF0">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根据合同规定</w:t>
      </w:r>
      <w:r>
        <w:rPr>
          <w:rFonts w:hint="eastAsia" w:ascii="宋体" w:hAnsi="宋体"/>
          <w:color w:val="auto"/>
          <w:sz w:val="21"/>
          <w:szCs w:val="21"/>
        </w:rPr>
        <w:t>，</w:t>
      </w:r>
      <w:r>
        <w:rPr>
          <w:rFonts w:ascii="宋体" w:hAnsi="宋体"/>
          <w:color w:val="auto"/>
          <w:sz w:val="21"/>
          <w:szCs w:val="21"/>
        </w:rPr>
        <w:t>本月应结算的其他款项；</w:t>
      </w:r>
    </w:p>
    <w:p w14:paraId="3F6D433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本月应扣回的预付款</w:t>
      </w:r>
      <w:r>
        <w:rPr>
          <w:rFonts w:hint="eastAsia" w:ascii="宋体" w:hAnsi="宋体"/>
          <w:color w:val="auto"/>
          <w:sz w:val="21"/>
          <w:szCs w:val="21"/>
        </w:rPr>
        <w:t>；</w:t>
      </w:r>
    </w:p>
    <w:p w14:paraId="0DDBFA6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根据合同规定</w:t>
      </w:r>
      <w:r>
        <w:rPr>
          <w:rFonts w:hint="eastAsia" w:ascii="宋体" w:hAnsi="宋体"/>
          <w:color w:val="auto"/>
          <w:sz w:val="21"/>
          <w:szCs w:val="21"/>
        </w:rPr>
        <w:t>，</w:t>
      </w:r>
      <w:r>
        <w:rPr>
          <w:rFonts w:ascii="宋体" w:hAnsi="宋体"/>
          <w:color w:val="auto"/>
          <w:sz w:val="21"/>
          <w:szCs w:val="21"/>
        </w:rPr>
        <w:t>本月应扣除的其他款项。</w:t>
      </w:r>
    </w:p>
    <w:p w14:paraId="44D1DD21">
      <w:pPr>
        <w:spacing w:line="360" w:lineRule="auto"/>
        <w:ind w:firstLine="420" w:firstLineChars="200"/>
        <w:rPr>
          <w:rFonts w:ascii="宋体" w:hAnsi="宋体"/>
          <w:color w:val="auto"/>
          <w:sz w:val="21"/>
          <w:szCs w:val="21"/>
        </w:rPr>
      </w:pPr>
      <w:r>
        <w:rPr>
          <w:rFonts w:ascii="宋体" w:hAnsi="宋体"/>
          <w:color w:val="auto"/>
          <w:sz w:val="21"/>
          <w:szCs w:val="21"/>
        </w:rPr>
        <w:t>9.3.2委托人将在收到监理人提交的监理服务费付款申请单后28日内进行核实并予以支付。除项目专用条款另有约定外，支付原则如下：</w:t>
      </w:r>
    </w:p>
    <w:p w14:paraId="75306884">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施工期间的监理人员服务费根据各级监理人员的人月单价及本月实际完成的监理服务时间计算井支付（各岗位监理人员的人月数以监理人记录并经委托人签字确认的监理人员出勤情况为依据）。本项目各月累计支付的监理人员服务费总额不得超过监理人在监理服务费报价清单中填报的施工期监理人员服务费合计金额，超过部分委托人将不再予以支付。</w:t>
      </w:r>
    </w:p>
    <w:p w14:paraId="613F87B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施工期间的监理办公设施费、交通设施费、试验设施费及生活设施费由监理人包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11.1.2项的规定从其报价总额中扣除违约赔偿金。</w:t>
      </w:r>
    </w:p>
    <w:p w14:paraId="231CBCB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缺陷责任期内的监理人员服务费、监理办公设施费、交通设施费、试验设施费及生活设施费将在本项目的缺陷责任期开始后，分四次等额支付给监理人。</w:t>
      </w:r>
    </w:p>
    <w:p w14:paraId="2B8E196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监理服务变更费用经双方协商确认后，在监理服务所对应工作期限内按月平均支付或按双方所签订补充协议约定的支付方式进行支付。</w:t>
      </w:r>
    </w:p>
    <w:p w14:paraId="272FDC29">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根据合同条款第8.2.2项约定对监理人的奖励，委托人应于对监理人的当期支付费用中一次性支付</w:t>
      </w:r>
      <w:r>
        <w:rPr>
          <w:rFonts w:hint="eastAsia" w:ascii="宋体" w:hAnsi="宋体"/>
          <w:color w:val="auto"/>
          <w:sz w:val="21"/>
          <w:szCs w:val="21"/>
        </w:rPr>
        <w:t>；</w:t>
      </w:r>
    </w:p>
    <w:p w14:paraId="0F0B670D">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根据合同条款第</w:t>
      </w:r>
      <w:r>
        <w:rPr>
          <w:rFonts w:hint="eastAsia" w:ascii="宋体" w:hAnsi="宋体"/>
          <w:color w:val="auto"/>
          <w:sz w:val="21"/>
          <w:szCs w:val="21"/>
        </w:rPr>
        <w:t>11</w:t>
      </w:r>
      <w:r>
        <w:rPr>
          <w:rFonts w:ascii="宋体" w:hAnsi="宋体"/>
          <w:color w:val="auto"/>
          <w:sz w:val="21"/>
          <w:szCs w:val="21"/>
        </w:rPr>
        <w:t>.1款确定的监理人对委托人的违约赔偿金，由委托人从对监理人的当期监理服务费计量支付报表中予以核减；当期监理服务费不足以抵扣违约赔偿金时，则从后续监理服务费计量支付报表或履约保证金中扣回；</w:t>
      </w:r>
    </w:p>
    <w:p w14:paraId="71C197E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根据通用合同条款第11.2款确定的委托人对监理人的赔偿金，应由委托人与监理人协商确定后在对监理人当期支付费用中一次性支付。</w:t>
      </w:r>
    </w:p>
    <w:p w14:paraId="776660C7">
      <w:pPr>
        <w:spacing w:line="360" w:lineRule="auto"/>
        <w:ind w:firstLine="420" w:firstLineChars="200"/>
        <w:rPr>
          <w:rFonts w:ascii="宋体" w:hAnsi="宋体"/>
          <w:color w:val="auto"/>
          <w:sz w:val="21"/>
          <w:szCs w:val="21"/>
        </w:rPr>
      </w:pPr>
      <w:r>
        <w:rPr>
          <w:rFonts w:ascii="宋体" w:hAnsi="宋体"/>
          <w:color w:val="auto"/>
          <w:sz w:val="21"/>
          <w:szCs w:val="21"/>
        </w:rPr>
        <w:t>9.3.3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计算相应的利息，时间自未付款项的应付之日起算。</w:t>
      </w:r>
    </w:p>
    <w:p w14:paraId="7360C199">
      <w:pPr>
        <w:spacing w:line="360" w:lineRule="auto"/>
        <w:ind w:firstLine="420" w:firstLineChars="200"/>
        <w:rPr>
          <w:rFonts w:ascii="宋体" w:hAnsi="宋体"/>
          <w:color w:val="auto"/>
          <w:sz w:val="21"/>
          <w:szCs w:val="21"/>
        </w:rPr>
      </w:pPr>
      <w:r>
        <w:rPr>
          <w:rFonts w:ascii="宋体" w:hAnsi="宋体"/>
          <w:color w:val="auto"/>
          <w:sz w:val="21"/>
          <w:szCs w:val="21"/>
        </w:rPr>
        <w:t>9.3.4委托人对监理人要求支付的款项中的任何部分有异议的</w:t>
      </w:r>
      <w:r>
        <w:rPr>
          <w:rFonts w:hint="eastAsia" w:ascii="宋体" w:hAnsi="宋体"/>
          <w:color w:val="auto"/>
          <w:sz w:val="21"/>
          <w:szCs w:val="21"/>
        </w:rPr>
        <w:t>，</w:t>
      </w:r>
      <w:r>
        <w:rPr>
          <w:rFonts w:ascii="宋体" w:hAnsi="宋体"/>
          <w:color w:val="auto"/>
          <w:sz w:val="21"/>
          <w:szCs w:val="21"/>
        </w:rPr>
        <w:t>应在收到监理人提交的书面支付申请</w:t>
      </w:r>
      <w:r>
        <w:rPr>
          <w:rFonts w:hint="eastAsia" w:ascii="宋体" w:hAnsi="宋体"/>
          <w:color w:val="auto"/>
          <w:sz w:val="21"/>
          <w:szCs w:val="21"/>
        </w:rPr>
        <w:t>7</w:t>
      </w:r>
      <w:r>
        <w:rPr>
          <w:rFonts w:ascii="宋体" w:hAnsi="宋体"/>
          <w:color w:val="auto"/>
          <w:sz w:val="21"/>
          <w:szCs w:val="21"/>
        </w:rPr>
        <w:t>日内发出书面通知说明理由，但不得借此延误对监理人其他应得款项的支付。</w:t>
      </w:r>
    </w:p>
    <w:p w14:paraId="56ACB61D">
      <w:pPr>
        <w:spacing w:line="360" w:lineRule="auto"/>
        <w:ind w:firstLine="420" w:firstLineChars="200"/>
        <w:rPr>
          <w:rFonts w:ascii="宋体" w:hAnsi="宋体"/>
          <w:color w:val="auto"/>
          <w:sz w:val="21"/>
          <w:szCs w:val="21"/>
        </w:rPr>
      </w:pPr>
      <w:r>
        <w:rPr>
          <w:rFonts w:ascii="宋体" w:hAnsi="宋体"/>
          <w:color w:val="auto"/>
          <w:sz w:val="21"/>
          <w:szCs w:val="21"/>
        </w:rPr>
        <w:t>9.3.5中期支付涉及政府投资资金的</w:t>
      </w:r>
      <w:r>
        <w:rPr>
          <w:rFonts w:hint="eastAsia" w:ascii="宋体" w:hAnsi="宋体"/>
          <w:color w:val="auto"/>
          <w:sz w:val="21"/>
          <w:szCs w:val="21"/>
        </w:rPr>
        <w:t>，</w:t>
      </w:r>
      <w:r>
        <w:rPr>
          <w:rFonts w:ascii="宋体" w:hAnsi="宋体"/>
          <w:color w:val="auto"/>
          <w:sz w:val="21"/>
          <w:szCs w:val="21"/>
        </w:rPr>
        <w:t>按照国库集中支付等国家相关规定和项目专用合同条款的约定执行。</w:t>
      </w:r>
    </w:p>
    <w:p w14:paraId="4D40DB21">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9.4费用结算</w:t>
      </w:r>
    </w:p>
    <w:p w14:paraId="3EC96B80">
      <w:pPr>
        <w:spacing w:line="360" w:lineRule="auto"/>
        <w:ind w:firstLine="420" w:firstLineChars="200"/>
        <w:rPr>
          <w:rFonts w:ascii="宋体" w:hAnsi="宋体"/>
          <w:color w:val="auto"/>
          <w:sz w:val="21"/>
          <w:szCs w:val="21"/>
        </w:rPr>
      </w:pPr>
      <w:r>
        <w:rPr>
          <w:rFonts w:hint="eastAsia" w:ascii="宋体" w:hAnsi="宋体"/>
          <w:color w:val="auto"/>
          <w:sz w:val="21"/>
          <w:szCs w:val="21"/>
        </w:rPr>
        <w:t>本款</w:t>
      </w:r>
      <w:r>
        <w:rPr>
          <w:rFonts w:ascii="宋体" w:hAnsi="宋体"/>
          <w:color w:val="auto"/>
          <w:sz w:val="21"/>
          <w:szCs w:val="21"/>
        </w:rPr>
        <w:t>细化为：</w:t>
      </w:r>
    </w:p>
    <w:p w14:paraId="00B3C6D9">
      <w:pPr>
        <w:spacing w:line="360" w:lineRule="auto"/>
        <w:ind w:firstLine="420" w:firstLineChars="200"/>
        <w:rPr>
          <w:rFonts w:ascii="宋体" w:hAnsi="宋体"/>
          <w:color w:val="auto"/>
          <w:sz w:val="21"/>
          <w:szCs w:val="21"/>
        </w:rPr>
      </w:pPr>
      <w:r>
        <w:rPr>
          <w:rFonts w:ascii="宋体" w:hAnsi="宋体"/>
          <w:color w:val="auto"/>
          <w:sz w:val="21"/>
          <w:szCs w:val="21"/>
        </w:rPr>
        <w:t>9.4.1在施工阶段监理服务工作结束后7日内，监理人应将至交工证书申请之日前实际发生的监理服务费用</w:t>
      </w:r>
      <w:r>
        <w:rPr>
          <w:rFonts w:hint="eastAsia" w:ascii="宋体" w:hAnsi="宋体"/>
          <w:color w:val="auto"/>
          <w:sz w:val="21"/>
          <w:szCs w:val="21"/>
        </w:rPr>
        <w:t>，</w:t>
      </w:r>
      <w:r>
        <w:rPr>
          <w:rFonts w:ascii="宋体" w:hAnsi="宋体"/>
          <w:color w:val="auto"/>
          <w:sz w:val="21"/>
          <w:szCs w:val="21"/>
        </w:rPr>
        <w:t>扣减预付款和监理人赔偿金后余额的支付申请上报至委托人，委托人应在收到该支付申请后</w:t>
      </w:r>
      <w:r>
        <w:rPr>
          <w:rFonts w:hint="eastAsia" w:ascii="宋体" w:hAnsi="宋体"/>
          <w:color w:val="auto"/>
          <w:sz w:val="21"/>
          <w:szCs w:val="21"/>
        </w:rPr>
        <w:t>7</w:t>
      </w:r>
      <w:r>
        <w:rPr>
          <w:rFonts w:ascii="宋体" w:hAnsi="宋体"/>
          <w:color w:val="auto"/>
          <w:sz w:val="21"/>
          <w:szCs w:val="21"/>
        </w:rPr>
        <w:t>日内予以审批，在批复后14日内向监理人支付费用。监理人在提交支付申请的同时，应按合同条款第4.2.1项的约定向委托人提交缺陷责任期保函</w:t>
      </w:r>
      <w:r>
        <w:rPr>
          <w:rFonts w:hint="eastAsia" w:ascii="宋体" w:hAnsi="宋体"/>
          <w:color w:val="auto"/>
          <w:sz w:val="21"/>
          <w:szCs w:val="21"/>
        </w:rPr>
        <w:t>，</w:t>
      </w:r>
      <w:r>
        <w:rPr>
          <w:rFonts w:ascii="宋体" w:hAnsi="宋体"/>
          <w:color w:val="auto"/>
          <w:sz w:val="21"/>
          <w:szCs w:val="21"/>
        </w:rPr>
        <w:t>委托人在收到监理人提交的缺陷责任期保函后7日内向监理人返还履约保证金。</w:t>
      </w:r>
    </w:p>
    <w:p w14:paraId="7D637A38">
      <w:pPr>
        <w:spacing w:line="360" w:lineRule="auto"/>
        <w:ind w:firstLine="420" w:firstLineChars="200"/>
        <w:rPr>
          <w:rFonts w:ascii="宋体" w:hAnsi="宋体"/>
          <w:color w:val="auto"/>
          <w:sz w:val="21"/>
          <w:szCs w:val="21"/>
        </w:rPr>
      </w:pPr>
      <w:r>
        <w:rPr>
          <w:rFonts w:ascii="宋体" w:hAnsi="宋体"/>
          <w:color w:val="auto"/>
          <w:sz w:val="21"/>
          <w:szCs w:val="21"/>
        </w:rPr>
        <w:t>9.4.2在签发工程缺陷责任终止证书后7日内，监理人应将工程缺陷责任期内未结</w:t>
      </w:r>
      <w:r>
        <w:rPr>
          <w:rFonts w:hint="eastAsia" w:ascii="宋体" w:hAnsi="宋体"/>
          <w:color w:val="auto"/>
          <w:sz w:val="21"/>
          <w:szCs w:val="21"/>
        </w:rPr>
        <w:t>清</w:t>
      </w:r>
      <w:r>
        <w:rPr>
          <w:rFonts w:ascii="宋体" w:hAnsi="宋体"/>
          <w:color w:val="auto"/>
          <w:sz w:val="21"/>
          <w:szCs w:val="21"/>
        </w:rPr>
        <w:t>的监理服务费用和其他应由委托人向监理人支付的剩余款项，扣减其他应由委托人从监理人扣回的款项的支付申请上报至委托人，委托人应在收到该支付申请后7日内予以审批，在批复后14日内向监理人支付费用，同时委托人向监理人返还缺陷责任期保函。</w:t>
      </w:r>
    </w:p>
    <w:p w14:paraId="3150E1C7">
      <w:pPr>
        <w:spacing w:line="360" w:lineRule="auto"/>
        <w:ind w:firstLine="420" w:firstLineChars="200"/>
        <w:rPr>
          <w:rFonts w:ascii="宋体" w:hAnsi="宋体"/>
          <w:color w:val="auto"/>
          <w:sz w:val="21"/>
          <w:szCs w:val="21"/>
        </w:rPr>
      </w:pPr>
      <w:r>
        <w:rPr>
          <w:rFonts w:ascii="宋体" w:hAnsi="宋体"/>
          <w:color w:val="auto"/>
          <w:sz w:val="21"/>
          <w:szCs w:val="21"/>
        </w:rPr>
        <w:t>9.4.3委托人在收到监理人提交的书面支付申请且监理人提交了合格的增值税专用发票后，应按上述条款约定的支付期限内支付监理服务费用</w:t>
      </w:r>
      <w:r>
        <w:rPr>
          <w:rFonts w:hint="eastAsia" w:ascii="宋体" w:hAnsi="宋体"/>
          <w:color w:val="auto"/>
          <w:sz w:val="21"/>
          <w:szCs w:val="21"/>
        </w:rPr>
        <w:t>。</w:t>
      </w:r>
      <w:r>
        <w:rPr>
          <w:rFonts w:ascii="宋体" w:hAnsi="宋体"/>
          <w:color w:val="auto"/>
          <w:sz w:val="21"/>
          <w:szCs w:val="21"/>
        </w:rPr>
        <w:t>委托人未能在前述时间内完成审批或不予答复的</w:t>
      </w:r>
      <w:r>
        <w:rPr>
          <w:rFonts w:hint="eastAsia" w:ascii="宋体" w:hAnsi="宋体"/>
          <w:color w:val="auto"/>
          <w:sz w:val="21"/>
          <w:szCs w:val="21"/>
        </w:rPr>
        <w:t>，</w:t>
      </w:r>
      <w:r>
        <w:rPr>
          <w:rFonts w:ascii="宋体" w:hAnsi="宋体"/>
          <w:color w:val="auto"/>
          <w:sz w:val="21"/>
          <w:szCs w:val="21"/>
        </w:rPr>
        <w:t>视为委托人同意费用结算申请。委托人未按期支付到期应付的款项，应承担违约责任，并支付逾期付款违约金，逾期付款的违约金以到期应付而未付的款项，按照银行同期贷款利率计算相应的利息，时间自未付款项的应付之日起算。</w:t>
      </w:r>
    </w:p>
    <w:p w14:paraId="4B9CA7EA">
      <w:pPr>
        <w:spacing w:line="360" w:lineRule="auto"/>
        <w:ind w:firstLine="420" w:firstLineChars="200"/>
        <w:rPr>
          <w:rFonts w:ascii="宋体" w:hAnsi="宋体"/>
          <w:color w:val="auto"/>
          <w:sz w:val="21"/>
          <w:szCs w:val="21"/>
        </w:rPr>
      </w:pPr>
      <w:r>
        <w:rPr>
          <w:rFonts w:ascii="宋体" w:hAnsi="宋体"/>
          <w:color w:val="auto"/>
          <w:sz w:val="21"/>
          <w:szCs w:val="21"/>
        </w:rPr>
        <w:t>9.4.4委托人对费用结算申请内容有异议的，有权要求监理人进行修正和提供补充资料，由监理人重新提交。监理人对此有异议的，按第12条的约定执行。</w:t>
      </w:r>
    </w:p>
    <w:p w14:paraId="332E6600">
      <w:pPr>
        <w:spacing w:line="360" w:lineRule="auto"/>
        <w:ind w:firstLine="420" w:firstLineChars="200"/>
        <w:rPr>
          <w:rFonts w:ascii="宋体" w:hAnsi="宋体"/>
          <w:color w:val="auto"/>
          <w:sz w:val="21"/>
          <w:szCs w:val="21"/>
        </w:rPr>
      </w:pPr>
      <w:r>
        <w:rPr>
          <w:rFonts w:ascii="宋体" w:hAnsi="宋体"/>
          <w:color w:val="auto"/>
          <w:sz w:val="21"/>
          <w:szCs w:val="21"/>
        </w:rPr>
        <w:t>9.4.5最终结清付款涉及政府投资资金的，按第9.3.5项的约定执行。</w:t>
      </w:r>
    </w:p>
    <w:p w14:paraId="1522979F">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本条补充第9.5款、第9.6款：</w:t>
      </w:r>
    </w:p>
    <w:p w14:paraId="0322FB61">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9.5暂列金额</w:t>
      </w:r>
    </w:p>
    <w:p w14:paraId="0EB81A46">
      <w:pPr>
        <w:spacing w:line="360" w:lineRule="auto"/>
        <w:ind w:firstLine="420" w:firstLineChars="200"/>
        <w:rPr>
          <w:rFonts w:ascii="宋体" w:hAnsi="宋体"/>
          <w:color w:val="auto"/>
          <w:sz w:val="21"/>
          <w:szCs w:val="21"/>
        </w:rPr>
      </w:pPr>
      <w:r>
        <w:rPr>
          <w:rFonts w:ascii="宋体" w:hAnsi="宋体"/>
          <w:color w:val="auto"/>
          <w:sz w:val="21"/>
          <w:szCs w:val="21"/>
        </w:rPr>
        <w:t>本合同的暂列金额在项目专用合同条款中约定。暂列金额应按委托人的书面指示全部或部分地使用，或根本不予动用。暂列金额主要用于支付监理服务的变更费用。</w:t>
      </w:r>
    </w:p>
    <w:p w14:paraId="1CCBF2CF">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9.6货币</w:t>
      </w:r>
    </w:p>
    <w:p w14:paraId="4BB9E2E1">
      <w:pPr>
        <w:spacing w:line="360" w:lineRule="auto"/>
        <w:ind w:firstLine="420" w:firstLineChars="200"/>
        <w:rPr>
          <w:rFonts w:ascii="宋体" w:hAnsi="宋体"/>
          <w:color w:val="auto"/>
          <w:sz w:val="21"/>
          <w:szCs w:val="21"/>
        </w:rPr>
      </w:pPr>
      <w:r>
        <w:rPr>
          <w:rFonts w:ascii="宋体" w:hAnsi="宋体"/>
          <w:color w:val="auto"/>
          <w:sz w:val="21"/>
          <w:szCs w:val="21"/>
        </w:rPr>
        <w:t>除项目专用合同条款另有约定外，委托人采用人民币支付监理服务费用。涉及外币支付的，其货币种类、比例和汇率等事</w:t>
      </w:r>
      <w:r>
        <w:rPr>
          <w:rFonts w:hint="eastAsia" w:ascii="宋体" w:hAnsi="宋体"/>
          <w:color w:val="auto"/>
          <w:sz w:val="21"/>
          <w:szCs w:val="21"/>
        </w:rPr>
        <w:t>宜</w:t>
      </w:r>
      <w:r>
        <w:rPr>
          <w:rFonts w:ascii="宋体" w:hAnsi="宋体"/>
          <w:color w:val="auto"/>
          <w:sz w:val="21"/>
          <w:szCs w:val="21"/>
        </w:rPr>
        <w:t>，在项目专用合同条款中约定。</w:t>
      </w:r>
    </w:p>
    <w:p w14:paraId="3B814642">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11.违约</w:t>
      </w:r>
    </w:p>
    <w:p w14:paraId="0D803DB6">
      <w:pPr>
        <w:spacing w:line="360" w:lineRule="auto"/>
        <w:ind w:firstLine="420" w:firstLineChars="200"/>
        <w:rPr>
          <w:rFonts w:ascii="宋体" w:hAnsi="宋体"/>
          <w:color w:val="auto"/>
          <w:sz w:val="21"/>
          <w:szCs w:val="21"/>
        </w:rPr>
      </w:pPr>
      <w:r>
        <w:rPr>
          <w:rFonts w:ascii="宋体" w:hAnsi="宋体"/>
          <w:color w:val="auto"/>
          <w:sz w:val="21"/>
          <w:szCs w:val="21"/>
        </w:rPr>
        <w:t>第</w:t>
      </w:r>
      <w:r>
        <w:rPr>
          <w:rFonts w:hint="eastAsia" w:ascii="宋体" w:hAnsi="宋体"/>
          <w:color w:val="auto"/>
          <w:sz w:val="21"/>
          <w:szCs w:val="21"/>
        </w:rPr>
        <w:t>11.1</w:t>
      </w:r>
      <w:r>
        <w:rPr>
          <w:rFonts w:ascii="宋体" w:hAnsi="宋体"/>
          <w:color w:val="auto"/>
          <w:sz w:val="21"/>
          <w:szCs w:val="21"/>
        </w:rPr>
        <w:t>款细化为：</w:t>
      </w:r>
    </w:p>
    <w:p w14:paraId="371842F6">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11.1监理人违约</w:t>
      </w:r>
    </w:p>
    <w:p w14:paraId="3031AD8C">
      <w:pPr>
        <w:spacing w:line="360" w:lineRule="auto"/>
        <w:ind w:firstLine="420" w:firstLineChars="200"/>
        <w:rPr>
          <w:rFonts w:ascii="宋体" w:hAnsi="宋体"/>
          <w:color w:val="auto"/>
          <w:sz w:val="21"/>
          <w:szCs w:val="21"/>
        </w:rPr>
      </w:pPr>
      <w:r>
        <w:rPr>
          <w:rFonts w:ascii="宋体" w:hAnsi="宋体"/>
          <w:color w:val="auto"/>
          <w:sz w:val="21"/>
          <w:szCs w:val="21"/>
        </w:rPr>
        <w:t>11.1.1合同履行中发生下列情况之一的，属监理人违约：</w:t>
      </w:r>
    </w:p>
    <w:p w14:paraId="7D51D9D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监理文件不符合规范标准以及合同约定；</w:t>
      </w:r>
    </w:p>
    <w:p w14:paraId="28C5C8A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监理人转让或分包监理工作；</w:t>
      </w:r>
    </w:p>
    <w:p w14:paraId="7097E302">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监理人未按合同约定实施监理并造成工程损失；</w:t>
      </w:r>
    </w:p>
    <w:p w14:paraId="13EDCAF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监理人向承包人索贿、谋取私利，或与承包人串通损害委托人利益，给委托人造成损失；</w:t>
      </w:r>
    </w:p>
    <w:p w14:paraId="1FC600C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监理人未按《公路工程施工监理规范》的规定对主要工程或关键工序进行旁站</w:t>
      </w:r>
      <w:r>
        <w:rPr>
          <w:rFonts w:hint="eastAsia" w:ascii="宋体" w:hAnsi="宋体"/>
          <w:color w:val="auto"/>
          <w:sz w:val="21"/>
          <w:szCs w:val="21"/>
        </w:rPr>
        <w:t>、</w:t>
      </w:r>
      <w:r>
        <w:rPr>
          <w:rFonts w:ascii="宋体" w:hAnsi="宋体"/>
          <w:color w:val="auto"/>
          <w:sz w:val="21"/>
          <w:szCs w:val="21"/>
        </w:rPr>
        <w:t>巡视或抽检；</w:t>
      </w:r>
    </w:p>
    <w:p w14:paraId="7C6E0166">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6）</w:t>
      </w:r>
      <w:r>
        <w:rPr>
          <w:rFonts w:ascii="宋体" w:hAnsi="宋体"/>
          <w:color w:val="auto"/>
          <w:sz w:val="21"/>
          <w:szCs w:val="21"/>
        </w:rPr>
        <w:t>监理人未能按照投标文件的承诺或合同文件的约定配备满足监理服务需求的人员或设备；</w:t>
      </w:r>
    </w:p>
    <w:p w14:paraId="164280B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7）</w:t>
      </w:r>
      <w:r>
        <w:rPr>
          <w:rFonts w:ascii="宋体" w:hAnsi="宋体"/>
          <w:color w:val="auto"/>
          <w:sz w:val="21"/>
          <w:szCs w:val="21"/>
        </w:rPr>
        <w:t>监理人无法履行或停止履行合同；</w:t>
      </w:r>
    </w:p>
    <w:p w14:paraId="5BA15355">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监理人不履行合同约定的其他义务。</w:t>
      </w:r>
    </w:p>
    <w:p w14:paraId="3E47F661">
      <w:pPr>
        <w:spacing w:line="360" w:lineRule="auto"/>
        <w:ind w:firstLine="420" w:firstLineChars="200"/>
        <w:rPr>
          <w:rFonts w:ascii="宋体" w:hAnsi="宋体"/>
          <w:color w:val="auto"/>
          <w:sz w:val="21"/>
          <w:szCs w:val="21"/>
        </w:rPr>
      </w:pPr>
      <w:r>
        <w:rPr>
          <w:rFonts w:ascii="宋体" w:hAnsi="宋体"/>
          <w:color w:val="auto"/>
          <w:sz w:val="21"/>
          <w:szCs w:val="21"/>
        </w:rPr>
        <w:t>11.1.2监理人发生违约情况时，委托人可向监理人发出整改通知</w:t>
      </w:r>
      <w:r>
        <w:rPr>
          <w:rFonts w:hint="eastAsia" w:ascii="宋体" w:hAnsi="宋体"/>
          <w:color w:val="auto"/>
          <w:sz w:val="21"/>
          <w:szCs w:val="21"/>
        </w:rPr>
        <w:t>，</w:t>
      </w:r>
      <w:r>
        <w:rPr>
          <w:rFonts w:ascii="宋体" w:hAnsi="宋体"/>
          <w:color w:val="auto"/>
          <w:sz w:val="21"/>
          <w:szCs w:val="21"/>
        </w:rPr>
        <w:t>要求其在限定期限内纠正；逾期仍不纠正的，委托人有权解除合同并向监理人发出解除合同通知</w:t>
      </w:r>
      <w:r>
        <w:rPr>
          <w:rFonts w:hint="eastAsia" w:ascii="宋体" w:hAnsi="宋体"/>
          <w:color w:val="auto"/>
          <w:sz w:val="21"/>
          <w:szCs w:val="21"/>
        </w:rPr>
        <w:t>。</w:t>
      </w:r>
      <w:r>
        <w:rPr>
          <w:rFonts w:ascii="宋体" w:hAnsi="宋体"/>
          <w:color w:val="auto"/>
          <w:sz w:val="21"/>
          <w:szCs w:val="21"/>
        </w:rPr>
        <w:t>发生第11.1.1（</w:t>
      </w:r>
      <w:r>
        <w:rPr>
          <w:rFonts w:hint="eastAsia" w:ascii="宋体" w:hAnsi="宋体"/>
          <w:color w:val="auto"/>
          <w:sz w:val="21"/>
          <w:szCs w:val="21"/>
        </w:rPr>
        <w:t>2）</w:t>
      </w:r>
      <w:r>
        <w:rPr>
          <w:rFonts w:ascii="宋体" w:hAnsi="宋体"/>
          <w:color w:val="auto"/>
          <w:sz w:val="21"/>
          <w:szCs w:val="21"/>
        </w:rPr>
        <w:t>目或（</w:t>
      </w:r>
      <w:r>
        <w:rPr>
          <w:rFonts w:hint="eastAsia" w:ascii="宋体" w:hAnsi="宋体"/>
          <w:color w:val="auto"/>
          <w:sz w:val="21"/>
          <w:szCs w:val="21"/>
        </w:rPr>
        <w:t>4）</w:t>
      </w:r>
      <w:r>
        <w:rPr>
          <w:rFonts w:ascii="宋体" w:hAnsi="宋体"/>
          <w:color w:val="auto"/>
          <w:sz w:val="21"/>
          <w:szCs w:val="21"/>
        </w:rPr>
        <w:t>目情形时，委托人可直接发出解除合同通知。监理人应当承担由于违约所造成的费用增加、周期延误和委托人损失等。委托人有权向监理人课以项目专用合同条款中约定的违约金，并由委托人将其违约行为上报省级交通运输主管部门，作为不良记录纳入公路建设市场信用信息管理系统。</w:t>
      </w:r>
    </w:p>
    <w:p w14:paraId="1A1A6C67">
      <w:pPr>
        <w:spacing w:line="360" w:lineRule="auto"/>
        <w:ind w:firstLine="420" w:firstLineChars="200"/>
        <w:rPr>
          <w:rFonts w:ascii="宋体" w:hAnsi="宋体"/>
          <w:color w:val="auto"/>
          <w:sz w:val="21"/>
          <w:szCs w:val="21"/>
        </w:rPr>
      </w:pPr>
      <w:r>
        <w:rPr>
          <w:rFonts w:ascii="宋体" w:hAnsi="宋体"/>
          <w:color w:val="auto"/>
          <w:sz w:val="21"/>
          <w:szCs w:val="21"/>
        </w:rPr>
        <w:t>11.1.3监理人对委托人损失的赔偿责任</w:t>
      </w:r>
    </w:p>
    <w:p w14:paraId="3FB66BF1">
      <w:pPr>
        <w:spacing w:line="360" w:lineRule="auto"/>
        <w:ind w:firstLine="420" w:firstLineChars="200"/>
        <w:rPr>
          <w:rFonts w:ascii="宋体" w:hAnsi="宋体"/>
          <w:color w:val="auto"/>
          <w:sz w:val="21"/>
          <w:szCs w:val="21"/>
        </w:rPr>
      </w:pPr>
      <w:r>
        <w:rPr>
          <w:rFonts w:ascii="宋体" w:hAnsi="宋体"/>
          <w:color w:val="auto"/>
          <w:sz w:val="21"/>
          <w:szCs w:val="21"/>
        </w:rPr>
        <w:t>监理人违反监理合同的约定并造成委托人的经济损失，应向委托人赔偿，除项目专用合同条款另有约定外，赔偿金应按下式计算：</w:t>
      </w:r>
    </w:p>
    <w:p w14:paraId="2ABC81A8">
      <w:pPr>
        <w:spacing w:line="360" w:lineRule="auto"/>
        <w:ind w:firstLine="420" w:firstLineChars="200"/>
        <w:rPr>
          <w:rFonts w:ascii="宋体" w:hAnsi="宋体"/>
          <w:color w:val="auto"/>
          <w:sz w:val="21"/>
          <w:szCs w:val="21"/>
        </w:rPr>
      </w:pPr>
      <w:r>
        <w:rPr>
          <w:rFonts w:ascii="宋体" w:hAnsi="宋体"/>
          <w:color w:val="auto"/>
          <w:sz w:val="21"/>
          <w:szCs w:val="21"/>
        </w:rPr>
        <w:t>赔偿金</w:t>
      </w:r>
      <w:r>
        <w:rPr>
          <w:rFonts w:hint="eastAsia" w:ascii="宋体" w:hAnsi="宋体"/>
          <w:color w:val="auto"/>
          <w:sz w:val="21"/>
          <w:szCs w:val="21"/>
        </w:rPr>
        <w:t>=</w:t>
      </w:r>
      <w:r>
        <w:rPr>
          <w:rFonts w:ascii="宋体" w:hAnsi="宋体"/>
          <w:color w:val="auto"/>
          <w:sz w:val="21"/>
          <w:szCs w:val="21"/>
        </w:rPr>
        <w:t>委托人直接经济损失所对应的监理费×监理人应承担责任的比例</w:t>
      </w:r>
    </w:p>
    <w:p w14:paraId="479C6DD2">
      <w:pPr>
        <w:spacing w:line="360" w:lineRule="auto"/>
        <w:ind w:firstLine="420" w:firstLineChars="200"/>
        <w:rPr>
          <w:rFonts w:ascii="宋体" w:hAnsi="宋体"/>
          <w:color w:val="auto"/>
          <w:sz w:val="21"/>
          <w:szCs w:val="21"/>
        </w:rPr>
      </w:pPr>
      <w:r>
        <w:rPr>
          <w:rFonts w:ascii="宋体" w:hAnsi="宋体"/>
          <w:color w:val="auto"/>
          <w:sz w:val="21"/>
          <w:szCs w:val="21"/>
        </w:rPr>
        <w:t>监理人对由于第三方责任造成的任何经济损失</w:t>
      </w:r>
      <w:r>
        <w:rPr>
          <w:rFonts w:hint="eastAsia" w:ascii="宋体" w:hAnsi="宋体"/>
          <w:color w:val="auto"/>
          <w:sz w:val="21"/>
          <w:szCs w:val="21"/>
        </w:rPr>
        <w:t>，</w:t>
      </w:r>
      <w:r>
        <w:rPr>
          <w:rFonts w:ascii="宋体" w:hAnsi="宋体"/>
          <w:color w:val="auto"/>
          <w:sz w:val="21"/>
          <w:szCs w:val="21"/>
        </w:rPr>
        <w:t>不承担责任。如果监理人与委托人或第三方对有关经济损失共负责任时</w:t>
      </w:r>
      <w:r>
        <w:rPr>
          <w:rFonts w:hint="eastAsia" w:ascii="宋体" w:hAnsi="宋体"/>
          <w:color w:val="auto"/>
          <w:sz w:val="21"/>
          <w:szCs w:val="21"/>
        </w:rPr>
        <w:t>，</w:t>
      </w:r>
      <w:r>
        <w:rPr>
          <w:rFonts w:ascii="宋体" w:hAnsi="宋体"/>
          <w:color w:val="auto"/>
          <w:sz w:val="21"/>
          <w:szCs w:val="21"/>
        </w:rPr>
        <w:t>应按责任比例计算赔偿。监理人的上述责任赔偿，均应按照本合同条款第11.5款的约定办理。</w:t>
      </w:r>
    </w:p>
    <w:p w14:paraId="063DFDF3">
      <w:pPr>
        <w:spacing w:line="360" w:lineRule="auto"/>
        <w:ind w:firstLine="420" w:firstLineChars="200"/>
        <w:rPr>
          <w:rFonts w:ascii="宋体" w:hAnsi="宋体"/>
          <w:color w:val="auto"/>
          <w:sz w:val="21"/>
          <w:szCs w:val="21"/>
        </w:rPr>
      </w:pPr>
      <w:r>
        <w:rPr>
          <w:rFonts w:ascii="宋体" w:hAnsi="宋体"/>
          <w:color w:val="auto"/>
          <w:sz w:val="21"/>
          <w:szCs w:val="21"/>
        </w:rPr>
        <w:t>11.1.4监理人对委托人未授权的监理服务范围不承担监理责任。</w:t>
      </w:r>
    </w:p>
    <w:p w14:paraId="716F5ACE">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11.2委托人违约</w:t>
      </w:r>
    </w:p>
    <w:p w14:paraId="3E314F8C">
      <w:pPr>
        <w:spacing w:line="360" w:lineRule="auto"/>
        <w:ind w:firstLine="420" w:firstLineChars="200"/>
        <w:rPr>
          <w:rFonts w:ascii="宋体" w:hAnsi="宋体"/>
          <w:color w:val="auto"/>
          <w:sz w:val="21"/>
          <w:szCs w:val="21"/>
        </w:rPr>
      </w:pPr>
      <w:r>
        <w:rPr>
          <w:rFonts w:hint="eastAsia" w:ascii="宋体" w:hAnsi="宋体"/>
          <w:color w:val="auto"/>
          <w:sz w:val="21"/>
          <w:szCs w:val="21"/>
        </w:rPr>
        <w:t>本</w:t>
      </w:r>
      <w:r>
        <w:rPr>
          <w:rFonts w:ascii="宋体" w:hAnsi="宋体"/>
          <w:color w:val="auto"/>
          <w:sz w:val="21"/>
          <w:szCs w:val="21"/>
        </w:rPr>
        <w:t>款细化为：</w:t>
      </w:r>
    </w:p>
    <w:p w14:paraId="7BEE8AE3">
      <w:pPr>
        <w:spacing w:line="360" w:lineRule="auto"/>
        <w:ind w:firstLine="420" w:firstLineChars="200"/>
        <w:rPr>
          <w:rFonts w:ascii="宋体" w:hAnsi="宋体"/>
          <w:color w:val="auto"/>
          <w:sz w:val="21"/>
          <w:szCs w:val="21"/>
        </w:rPr>
      </w:pPr>
      <w:r>
        <w:rPr>
          <w:rFonts w:ascii="宋体" w:hAnsi="宋体"/>
          <w:color w:val="auto"/>
          <w:sz w:val="21"/>
          <w:szCs w:val="21"/>
        </w:rPr>
        <w:t>11.2.1合同履行中发生下列情况之一的，属委托人违约：</w:t>
      </w:r>
    </w:p>
    <w:p w14:paraId="7685290F">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委托人未按合同约定支付监理报酬</w:t>
      </w:r>
      <w:r>
        <w:rPr>
          <w:rFonts w:hint="eastAsia" w:ascii="宋体" w:hAnsi="宋体"/>
          <w:color w:val="auto"/>
          <w:sz w:val="21"/>
          <w:szCs w:val="21"/>
        </w:rPr>
        <w:t>；</w:t>
      </w:r>
    </w:p>
    <w:p w14:paraId="2DA973E1">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委托人原因造成监理停止</w:t>
      </w:r>
      <w:r>
        <w:rPr>
          <w:rFonts w:hint="eastAsia" w:ascii="宋体" w:hAnsi="宋体"/>
          <w:color w:val="auto"/>
          <w:sz w:val="21"/>
          <w:szCs w:val="21"/>
        </w:rPr>
        <w:t>；</w:t>
      </w:r>
    </w:p>
    <w:p w14:paraId="099E7D0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3）</w:t>
      </w:r>
      <w:r>
        <w:rPr>
          <w:rFonts w:ascii="宋体" w:hAnsi="宋体"/>
          <w:color w:val="auto"/>
          <w:sz w:val="21"/>
          <w:szCs w:val="21"/>
        </w:rPr>
        <w:t>委托人无法履行或停止履行合同</w:t>
      </w:r>
      <w:r>
        <w:rPr>
          <w:rFonts w:hint="eastAsia" w:ascii="宋体" w:hAnsi="宋体"/>
          <w:color w:val="auto"/>
          <w:sz w:val="21"/>
          <w:szCs w:val="21"/>
        </w:rPr>
        <w:t>；</w:t>
      </w:r>
    </w:p>
    <w:p w14:paraId="42667A83">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4）</w:t>
      </w:r>
      <w:r>
        <w:rPr>
          <w:rFonts w:ascii="宋体" w:hAnsi="宋体"/>
          <w:color w:val="auto"/>
          <w:sz w:val="21"/>
          <w:szCs w:val="21"/>
        </w:rPr>
        <w:t>委托人无正当理由不按时返还履约保证金或缺陷责任期保函</w:t>
      </w:r>
      <w:r>
        <w:rPr>
          <w:rFonts w:hint="eastAsia" w:ascii="宋体" w:hAnsi="宋体"/>
          <w:color w:val="auto"/>
          <w:sz w:val="21"/>
          <w:szCs w:val="21"/>
        </w:rPr>
        <w:t>；</w:t>
      </w:r>
    </w:p>
    <w:p w14:paraId="357FA82E">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5）</w:t>
      </w:r>
      <w:r>
        <w:rPr>
          <w:rFonts w:ascii="宋体" w:hAnsi="宋体"/>
          <w:color w:val="auto"/>
          <w:sz w:val="21"/>
          <w:szCs w:val="21"/>
        </w:rPr>
        <w:t>委托人不履行合同约定的其他义务。</w:t>
      </w:r>
    </w:p>
    <w:p w14:paraId="312E9135">
      <w:pPr>
        <w:spacing w:line="360" w:lineRule="auto"/>
        <w:ind w:firstLine="420" w:firstLineChars="200"/>
        <w:rPr>
          <w:rFonts w:ascii="宋体" w:hAnsi="宋体"/>
          <w:color w:val="auto"/>
          <w:sz w:val="21"/>
          <w:szCs w:val="21"/>
        </w:rPr>
      </w:pPr>
      <w:r>
        <w:rPr>
          <w:rFonts w:ascii="宋体" w:hAnsi="宋体"/>
          <w:color w:val="auto"/>
          <w:sz w:val="21"/>
          <w:szCs w:val="21"/>
        </w:rPr>
        <w:t>11.2.2委托人发生违约情况时</w:t>
      </w:r>
      <w:r>
        <w:rPr>
          <w:rFonts w:hint="eastAsia" w:ascii="宋体" w:hAnsi="宋体"/>
          <w:color w:val="auto"/>
          <w:sz w:val="21"/>
          <w:szCs w:val="21"/>
        </w:rPr>
        <w:t>，</w:t>
      </w:r>
      <w:r>
        <w:rPr>
          <w:rFonts w:ascii="宋体" w:hAnsi="宋体"/>
          <w:color w:val="auto"/>
          <w:sz w:val="21"/>
          <w:szCs w:val="21"/>
        </w:rPr>
        <w:t>监理人可向委托人发出暂停监理通知，要求其在限定期限内纠正</w:t>
      </w:r>
      <w:r>
        <w:rPr>
          <w:rFonts w:hint="eastAsia" w:ascii="宋体" w:hAnsi="宋体"/>
          <w:color w:val="auto"/>
          <w:sz w:val="21"/>
          <w:szCs w:val="21"/>
        </w:rPr>
        <w:t>；</w:t>
      </w:r>
      <w:r>
        <w:rPr>
          <w:rFonts w:ascii="宋体" w:hAnsi="宋体"/>
          <w:color w:val="auto"/>
          <w:sz w:val="21"/>
          <w:szCs w:val="21"/>
        </w:rPr>
        <w:t>逾期仍不纠正的</w:t>
      </w:r>
      <w:r>
        <w:rPr>
          <w:rFonts w:hint="eastAsia" w:ascii="宋体" w:hAnsi="宋体"/>
          <w:color w:val="auto"/>
          <w:sz w:val="21"/>
          <w:szCs w:val="21"/>
        </w:rPr>
        <w:t>，</w:t>
      </w:r>
      <w:r>
        <w:rPr>
          <w:rFonts w:ascii="宋体" w:hAnsi="宋体"/>
          <w:color w:val="auto"/>
          <w:sz w:val="21"/>
          <w:szCs w:val="21"/>
        </w:rPr>
        <w:t>监理人有权解除合同并向委托人发出解除合同通知。委托人应当承担由于违约所造成的费用增加</w:t>
      </w:r>
      <w:r>
        <w:rPr>
          <w:rFonts w:hint="eastAsia" w:ascii="宋体" w:hAnsi="宋体"/>
          <w:color w:val="auto"/>
          <w:sz w:val="21"/>
          <w:szCs w:val="21"/>
        </w:rPr>
        <w:t>、</w:t>
      </w:r>
      <w:r>
        <w:rPr>
          <w:rFonts w:ascii="宋体" w:hAnsi="宋体"/>
          <w:color w:val="auto"/>
          <w:sz w:val="21"/>
          <w:szCs w:val="21"/>
        </w:rPr>
        <w:t>周期延误和监理人损失等</w:t>
      </w:r>
      <w:r>
        <w:rPr>
          <w:rFonts w:hint="eastAsia" w:ascii="宋体" w:hAnsi="宋体"/>
          <w:color w:val="auto"/>
          <w:sz w:val="21"/>
          <w:szCs w:val="21"/>
        </w:rPr>
        <w:t>。</w:t>
      </w:r>
      <w:r>
        <w:rPr>
          <w:rFonts w:ascii="宋体" w:hAnsi="宋体"/>
          <w:color w:val="auto"/>
          <w:sz w:val="21"/>
          <w:szCs w:val="21"/>
        </w:rPr>
        <w:t>监理人有权向委托人课以专用合同条款中约定的违约金。</w:t>
      </w:r>
    </w:p>
    <w:p w14:paraId="6ED861D4">
      <w:pPr>
        <w:spacing w:line="360" w:lineRule="auto"/>
        <w:ind w:firstLine="420" w:firstLineChars="200"/>
        <w:rPr>
          <w:rFonts w:ascii="宋体" w:hAnsi="宋体"/>
          <w:color w:val="auto"/>
          <w:sz w:val="21"/>
          <w:szCs w:val="21"/>
        </w:rPr>
      </w:pPr>
      <w:r>
        <w:rPr>
          <w:rFonts w:ascii="宋体" w:hAnsi="宋体"/>
          <w:color w:val="auto"/>
          <w:sz w:val="21"/>
          <w:szCs w:val="21"/>
        </w:rPr>
        <w:t>11.2.3委托人对监理人损失的赔偿责任</w:t>
      </w:r>
    </w:p>
    <w:p w14:paraId="5F880B33">
      <w:pPr>
        <w:spacing w:line="360" w:lineRule="auto"/>
        <w:ind w:firstLine="420" w:firstLineChars="200"/>
        <w:rPr>
          <w:rFonts w:ascii="宋体" w:hAnsi="宋体"/>
          <w:color w:val="auto"/>
          <w:sz w:val="21"/>
          <w:szCs w:val="21"/>
        </w:rPr>
      </w:pPr>
      <w:r>
        <w:rPr>
          <w:rFonts w:ascii="宋体" w:hAnsi="宋体"/>
          <w:color w:val="auto"/>
          <w:sz w:val="21"/>
          <w:szCs w:val="21"/>
        </w:rPr>
        <w:t>委托人违反监理合同的约定并造成监理人的经济损失</w:t>
      </w:r>
      <w:r>
        <w:rPr>
          <w:rFonts w:hint="eastAsia" w:ascii="宋体" w:hAnsi="宋体"/>
          <w:color w:val="auto"/>
          <w:sz w:val="21"/>
          <w:szCs w:val="21"/>
        </w:rPr>
        <w:t>，</w:t>
      </w:r>
      <w:r>
        <w:rPr>
          <w:rFonts w:ascii="宋体" w:hAnsi="宋体"/>
          <w:color w:val="auto"/>
          <w:sz w:val="21"/>
          <w:szCs w:val="21"/>
        </w:rPr>
        <w:t>除项目专用合同条款另有约定外，委托人应据实赔偿监理人的直接经济损失。</w:t>
      </w:r>
    </w:p>
    <w:p w14:paraId="5E10547D">
      <w:pPr>
        <w:spacing w:line="360" w:lineRule="auto"/>
        <w:ind w:firstLine="420" w:firstLineChars="200"/>
        <w:rPr>
          <w:rFonts w:ascii="宋体" w:hAnsi="宋体"/>
          <w:color w:val="auto"/>
          <w:sz w:val="21"/>
          <w:szCs w:val="21"/>
        </w:rPr>
      </w:pPr>
      <w:r>
        <w:rPr>
          <w:rFonts w:hint="eastAsia" w:ascii="宋体" w:hAnsi="宋体"/>
          <w:color w:val="auto"/>
          <w:sz w:val="21"/>
          <w:szCs w:val="21"/>
        </w:rPr>
        <w:t>本条补充第11.4款、第11.5款：</w:t>
      </w:r>
    </w:p>
    <w:p w14:paraId="184CB45A">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11.4赔偿责任的期限</w:t>
      </w:r>
    </w:p>
    <w:p w14:paraId="589E66B8">
      <w:pPr>
        <w:spacing w:line="360" w:lineRule="auto"/>
        <w:ind w:firstLine="420" w:firstLineChars="200"/>
        <w:rPr>
          <w:rFonts w:ascii="宋体" w:hAnsi="宋体"/>
          <w:color w:val="auto"/>
          <w:sz w:val="21"/>
          <w:szCs w:val="21"/>
        </w:rPr>
      </w:pPr>
      <w:r>
        <w:rPr>
          <w:rFonts w:ascii="宋体" w:hAnsi="宋体"/>
          <w:color w:val="auto"/>
          <w:sz w:val="21"/>
          <w:szCs w:val="21"/>
        </w:rPr>
        <w:t>委托人或监理人任何一方向另一方要求的赔偿，均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委托人还是监理人，逾期未提出书面索赔意向书，均失去索赔权利。</w:t>
      </w:r>
    </w:p>
    <w:p w14:paraId="47276C41">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11.5赔偿的限额</w:t>
      </w:r>
    </w:p>
    <w:p w14:paraId="3A1B73B6">
      <w:pPr>
        <w:spacing w:line="360" w:lineRule="auto"/>
        <w:ind w:firstLine="420" w:firstLineChars="200"/>
        <w:rPr>
          <w:rFonts w:ascii="宋体" w:hAnsi="宋体"/>
          <w:color w:val="auto"/>
          <w:sz w:val="21"/>
          <w:szCs w:val="21"/>
        </w:rPr>
      </w:pPr>
      <w:r>
        <w:rPr>
          <w:rFonts w:ascii="宋体" w:hAnsi="宋体"/>
          <w:color w:val="auto"/>
          <w:sz w:val="21"/>
          <w:szCs w:val="21"/>
        </w:rPr>
        <w:t>除项目专用合同条款另有约定外</w:t>
      </w:r>
      <w:r>
        <w:rPr>
          <w:rFonts w:hint="eastAsia" w:ascii="宋体" w:hAnsi="宋体"/>
          <w:color w:val="auto"/>
          <w:sz w:val="21"/>
          <w:szCs w:val="21"/>
        </w:rPr>
        <w:t>，</w:t>
      </w:r>
      <w:r>
        <w:rPr>
          <w:rFonts w:ascii="宋体" w:hAnsi="宋体"/>
          <w:color w:val="auto"/>
          <w:sz w:val="21"/>
          <w:szCs w:val="21"/>
        </w:rPr>
        <w:t>合同一方当事人向对方当事人依据本合同条款第11.1款和第11.2款支付赔偿的最高限额为：</w:t>
      </w:r>
    </w:p>
    <w:p w14:paraId="6B1F9DCC">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1）</w:t>
      </w:r>
      <w:r>
        <w:rPr>
          <w:rFonts w:ascii="宋体" w:hAnsi="宋体"/>
          <w:color w:val="auto"/>
          <w:sz w:val="21"/>
          <w:szCs w:val="21"/>
        </w:rPr>
        <w:t>监理人的累计赔偿限额为监理服务费总额的30%，当达到此限额时，委托人有权单方面终止监理合同，没收监理人的履约保证金。</w:t>
      </w:r>
    </w:p>
    <w:p w14:paraId="480D8BBB">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2）</w:t>
      </w:r>
      <w:r>
        <w:rPr>
          <w:rFonts w:ascii="宋体" w:hAnsi="宋体"/>
          <w:color w:val="auto"/>
          <w:sz w:val="21"/>
          <w:szCs w:val="21"/>
        </w:rPr>
        <w:t>委托人赔偿监理人的直接经济损失的累计限额为监理服务费总额。</w:t>
      </w:r>
    </w:p>
    <w:p w14:paraId="53F46739">
      <w:pPr>
        <w:spacing w:line="360" w:lineRule="auto"/>
        <w:ind w:firstLine="420" w:firstLineChars="200"/>
        <w:rPr>
          <w:rFonts w:ascii="宋体" w:hAnsi="宋体"/>
          <w:color w:val="auto"/>
          <w:sz w:val="21"/>
          <w:szCs w:val="21"/>
        </w:rPr>
      </w:pPr>
      <w:r>
        <w:rPr>
          <w:rFonts w:ascii="宋体" w:hAnsi="宋体"/>
          <w:color w:val="auto"/>
          <w:sz w:val="21"/>
          <w:szCs w:val="21"/>
        </w:rPr>
        <w:t>合同双方同意放弃超过上述限额的剩余赔偿要求，但本合同其他条款约定的补偿和由于任何一方故意违约而引起的索赔，不受该限额的限制。</w:t>
      </w:r>
    </w:p>
    <w:p w14:paraId="7B0F66DD">
      <w:pPr>
        <w:spacing w:line="440" w:lineRule="exact"/>
        <w:jc w:val="left"/>
        <w:rPr>
          <w:rFonts w:hint="eastAsia" w:ascii="宋体" w:hAnsi="宋体" w:eastAsia="宋体" w:cs="黑体"/>
          <w:b/>
          <w:color w:val="auto"/>
          <w:sz w:val="21"/>
          <w:szCs w:val="21"/>
          <w:highlight w:val="none"/>
        </w:rPr>
      </w:pPr>
      <w:r>
        <w:rPr>
          <w:rFonts w:hint="eastAsia" w:ascii="宋体" w:hAnsi="宋体" w:eastAsia="宋体" w:cs="黑体"/>
          <w:b/>
          <w:color w:val="auto"/>
          <w:sz w:val="21"/>
          <w:szCs w:val="21"/>
          <w:highlight w:val="none"/>
        </w:rPr>
        <w:t>12.争议的解决</w:t>
      </w:r>
    </w:p>
    <w:p w14:paraId="57BD24B6">
      <w:pPr>
        <w:spacing w:line="360" w:lineRule="auto"/>
        <w:ind w:firstLine="420" w:firstLineChars="200"/>
        <w:rPr>
          <w:rFonts w:ascii="宋体" w:hAnsi="宋体"/>
          <w:color w:val="auto"/>
          <w:sz w:val="21"/>
          <w:szCs w:val="21"/>
        </w:rPr>
      </w:pPr>
      <w:r>
        <w:rPr>
          <w:rFonts w:ascii="宋体" w:hAnsi="宋体"/>
          <w:color w:val="auto"/>
          <w:sz w:val="21"/>
          <w:szCs w:val="21"/>
        </w:rPr>
        <w:t>本条补充：</w:t>
      </w:r>
    </w:p>
    <w:p w14:paraId="423C3F5E">
      <w:pPr>
        <w:spacing w:line="360" w:lineRule="auto"/>
        <w:ind w:firstLine="420" w:firstLineChars="200"/>
        <w:rPr>
          <w:rFonts w:ascii="宋体" w:hAnsi="宋体"/>
          <w:color w:val="auto"/>
          <w:sz w:val="21"/>
          <w:szCs w:val="21"/>
        </w:rPr>
      </w:pPr>
      <w:r>
        <w:rPr>
          <w:rFonts w:ascii="宋体" w:hAnsi="宋体"/>
          <w:color w:val="auto"/>
          <w:sz w:val="21"/>
          <w:szCs w:val="21"/>
        </w:rPr>
        <w:t>采用仲裁方式最终解决争议的项目，仲裁裁决是终局性的并对委托人和监理人双方均具有约束力。全部仲裁费用应由败诉方承担，或按仲裁委员会裁决的比例分担。</w:t>
      </w:r>
    </w:p>
    <w:p w14:paraId="04425000">
      <w:pPr>
        <w:spacing w:line="360" w:lineRule="auto"/>
        <w:ind w:firstLine="480" w:firstLineChars="200"/>
        <w:rPr>
          <w:rFonts w:ascii="宋体" w:hAnsi="宋体"/>
          <w:color w:val="auto"/>
          <w:sz w:val="24"/>
        </w:rPr>
      </w:pPr>
      <w:r>
        <w:rPr>
          <w:rFonts w:ascii="宋体" w:hAnsi="宋体"/>
          <w:color w:val="auto"/>
          <w:sz w:val="24"/>
        </w:rPr>
        <w:br w:type="page"/>
      </w:r>
    </w:p>
    <w:p w14:paraId="6BE80113">
      <w:pPr>
        <w:spacing w:before="240" w:after="240"/>
        <w:ind w:firstLine="602"/>
        <w:jc w:val="center"/>
        <w:rPr>
          <w:rFonts w:ascii="宋体" w:hAnsi="宋体" w:eastAsia="宋体"/>
          <w:b/>
          <w:color w:val="auto"/>
          <w:sz w:val="32"/>
        </w:rPr>
      </w:pPr>
      <w:bookmarkStart w:id="176" w:name="_Toc201956790"/>
      <w:r>
        <w:rPr>
          <w:rFonts w:hint="eastAsia" w:ascii="宋体" w:hAnsi="宋体" w:eastAsia="宋体"/>
          <w:b/>
          <w:color w:val="auto"/>
          <w:sz w:val="32"/>
        </w:rPr>
        <w:t>B、项目专用合同条款</w:t>
      </w:r>
      <w:bookmarkEnd w:id="176"/>
    </w:p>
    <w:p w14:paraId="514513E5">
      <w:pPr>
        <w:spacing w:line="360" w:lineRule="auto"/>
        <w:jc w:val="left"/>
        <w:rPr>
          <w:rFonts w:hint="eastAsia" w:asciiTheme="minorEastAsia" w:hAnsiTheme="minorEastAsia" w:eastAsiaTheme="minorEastAsia" w:cstheme="minorEastAsia"/>
          <w:b/>
          <w:color w:val="auto"/>
          <w:sz w:val="21"/>
          <w:szCs w:val="21"/>
          <w:highlight w:val="none"/>
        </w:rPr>
      </w:pPr>
      <w:bookmarkStart w:id="177" w:name="_Hlk525857045"/>
      <w:bookmarkStart w:id="178" w:name="_Hlk525910318"/>
      <w:r>
        <w:rPr>
          <w:rFonts w:hint="eastAsia" w:asciiTheme="minorEastAsia" w:hAnsiTheme="minorEastAsia" w:eastAsiaTheme="minorEastAsia" w:cstheme="minorEastAsia"/>
          <w:b/>
          <w:color w:val="auto"/>
          <w:sz w:val="21"/>
          <w:szCs w:val="21"/>
          <w:highlight w:val="none"/>
        </w:rPr>
        <w:t>1.一般约定</w:t>
      </w:r>
    </w:p>
    <w:p w14:paraId="0C2D4A86">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1.1词语定义</w:t>
      </w:r>
    </w:p>
    <w:p w14:paraId="4CD987C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1.1.2.2委托人：</w:t>
      </w:r>
      <w:r>
        <w:rPr>
          <w:rFonts w:hint="eastAsia" w:asciiTheme="minorEastAsia" w:hAnsiTheme="minorEastAsia" w:eastAsiaTheme="minorEastAsia" w:cstheme="minorEastAsia"/>
          <w:color w:val="auto"/>
          <w:sz w:val="21"/>
          <w:szCs w:val="21"/>
          <w:u w:val="single"/>
          <w:lang w:eastAsia="zh-CN"/>
        </w:rPr>
        <w:t>三门峡市公路事业发展中心</w:t>
      </w:r>
      <w:r>
        <w:rPr>
          <w:rFonts w:hint="eastAsia" w:asciiTheme="minorEastAsia" w:hAnsiTheme="minorEastAsia" w:eastAsiaTheme="minorEastAsia" w:cstheme="minorEastAsia"/>
          <w:color w:val="auto"/>
          <w:sz w:val="21"/>
          <w:szCs w:val="21"/>
          <w:u w:val="single"/>
        </w:rPr>
        <w:t>；</w:t>
      </w:r>
    </w:p>
    <w:p w14:paraId="3534D7F8">
      <w:pPr>
        <w:widowControl/>
        <w:spacing w:line="360" w:lineRule="auto"/>
        <w:ind w:firstLine="420" w:firstLineChars="200"/>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1.1.3.1本次进行施工监理招标的项目为</w:t>
      </w:r>
      <w:r>
        <w:rPr>
          <w:rFonts w:hint="eastAsia" w:asciiTheme="minorEastAsia" w:hAnsiTheme="minorEastAsia" w:eastAsiaTheme="minorEastAsia" w:cstheme="minorEastAsia"/>
          <w:color w:val="auto"/>
          <w:sz w:val="21"/>
          <w:szCs w:val="21"/>
          <w:u w:val="single"/>
        </w:rPr>
        <w:t>河南省“一轴一廊”交通基础设施数字化转型升级示范通道及网络项目（</w:t>
      </w:r>
      <w:r>
        <w:rPr>
          <w:rFonts w:hint="eastAsia" w:asciiTheme="minorEastAsia" w:hAnsiTheme="minorEastAsia" w:eastAsiaTheme="minorEastAsia" w:cstheme="minorEastAsia"/>
          <w:color w:val="auto"/>
          <w:sz w:val="21"/>
          <w:szCs w:val="21"/>
          <w:u w:val="single"/>
          <w:lang w:eastAsia="zh-CN"/>
        </w:rPr>
        <w:t>三门峡市</w:t>
      </w:r>
      <w:r>
        <w:rPr>
          <w:rFonts w:hint="eastAsia" w:asciiTheme="minorEastAsia" w:hAnsiTheme="minorEastAsia" w:eastAsiaTheme="minorEastAsia" w:cstheme="minorEastAsia"/>
          <w:color w:val="auto"/>
          <w:sz w:val="21"/>
          <w:szCs w:val="21"/>
          <w:u w:val="single"/>
        </w:rPr>
        <w:t>普通公路）；</w:t>
      </w:r>
    </w:p>
    <w:p w14:paraId="468C37A6">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工程地点：</w:t>
      </w:r>
      <w:r>
        <w:rPr>
          <w:rFonts w:hint="eastAsia" w:asciiTheme="minorEastAsia" w:hAnsiTheme="minorEastAsia" w:eastAsiaTheme="minorEastAsia" w:cstheme="minorEastAsia"/>
          <w:color w:val="auto"/>
          <w:sz w:val="21"/>
          <w:szCs w:val="21"/>
          <w:u w:val="single"/>
          <w:lang w:eastAsia="zh-CN"/>
        </w:rPr>
        <w:t>三门峡市</w:t>
      </w:r>
      <w:r>
        <w:rPr>
          <w:rFonts w:hint="eastAsia" w:asciiTheme="minorEastAsia" w:hAnsiTheme="minorEastAsia" w:eastAsiaTheme="minorEastAsia" w:cstheme="minorEastAsia"/>
          <w:color w:val="auto"/>
          <w:sz w:val="21"/>
          <w:szCs w:val="21"/>
          <w:u w:val="single"/>
        </w:rPr>
        <w:t>境内</w:t>
      </w:r>
      <w:r>
        <w:rPr>
          <w:rFonts w:hint="eastAsia" w:asciiTheme="minorEastAsia" w:hAnsiTheme="minorEastAsia" w:eastAsiaTheme="minorEastAsia" w:cstheme="minorEastAsia"/>
          <w:color w:val="auto"/>
          <w:sz w:val="21"/>
          <w:szCs w:val="21"/>
        </w:rPr>
        <w:t>；</w:t>
      </w:r>
    </w:p>
    <w:p w14:paraId="4FBDB458">
      <w:pPr>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施工合同标段划分：</w:t>
      </w:r>
      <w:r>
        <w:rPr>
          <w:rFonts w:hint="eastAsia" w:asciiTheme="minorEastAsia" w:hAnsiTheme="minorEastAsia" w:eastAsiaTheme="minorEastAsia" w:cstheme="minorEastAsia"/>
          <w:color w:val="auto"/>
          <w:sz w:val="21"/>
          <w:szCs w:val="21"/>
          <w:u w:val="single"/>
        </w:rPr>
        <w:t>施工标设2个标段</w:t>
      </w:r>
      <w:r>
        <w:rPr>
          <w:rFonts w:hint="eastAsia" w:asciiTheme="minorEastAsia" w:hAnsiTheme="minorEastAsia" w:eastAsiaTheme="minorEastAsia" w:cstheme="minorEastAsia"/>
          <w:color w:val="auto"/>
          <w:sz w:val="21"/>
          <w:szCs w:val="21"/>
        </w:rPr>
        <w:t>；</w:t>
      </w:r>
    </w:p>
    <w:p w14:paraId="1C301D6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监理合同标段划分：</w:t>
      </w:r>
      <w:r>
        <w:rPr>
          <w:rFonts w:hint="eastAsia" w:asciiTheme="minorEastAsia" w:hAnsiTheme="minorEastAsia" w:eastAsiaTheme="minorEastAsia" w:cstheme="minorEastAsia"/>
          <w:color w:val="auto"/>
          <w:kern w:val="0"/>
          <w:sz w:val="21"/>
          <w:szCs w:val="21"/>
          <w:u w:val="single"/>
        </w:rPr>
        <w:t>监理标设1个标段</w:t>
      </w:r>
      <w:r>
        <w:rPr>
          <w:rFonts w:hint="eastAsia" w:asciiTheme="minorEastAsia" w:hAnsiTheme="minorEastAsia" w:eastAsiaTheme="minorEastAsia" w:cstheme="minorEastAsia"/>
          <w:color w:val="auto"/>
          <w:kern w:val="0"/>
          <w:sz w:val="21"/>
          <w:szCs w:val="21"/>
        </w:rPr>
        <w:t>；</w:t>
      </w:r>
    </w:p>
    <w:p w14:paraId="41C0A16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工程概况：</w:t>
      </w:r>
      <w:r>
        <w:rPr>
          <w:rFonts w:hint="eastAsia" w:asciiTheme="minorEastAsia" w:hAnsiTheme="minorEastAsia" w:eastAsiaTheme="minorEastAsia" w:cstheme="minorEastAsia"/>
          <w:color w:val="auto"/>
          <w:sz w:val="21"/>
          <w:szCs w:val="21"/>
          <w:u w:val="single"/>
        </w:rPr>
        <w:t>见招标公告及图纸</w:t>
      </w:r>
      <w:r>
        <w:rPr>
          <w:rFonts w:hint="eastAsia" w:asciiTheme="minorEastAsia" w:hAnsiTheme="minorEastAsia" w:eastAsiaTheme="minorEastAsia" w:cstheme="minorEastAsia"/>
          <w:color w:val="auto"/>
          <w:sz w:val="21"/>
          <w:szCs w:val="21"/>
        </w:rPr>
        <w:t>。</w:t>
      </w:r>
    </w:p>
    <w:p w14:paraId="0082C7E4">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1.12 委托人要求</w:t>
      </w:r>
    </w:p>
    <w:p w14:paraId="075D862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1.12.3 委托人提供国外规范和标准的时间：</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，提供数量：</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，其他要求：</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w:t>
      </w:r>
    </w:p>
    <w:p w14:paraId="323C37A7">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4.监理人义务</w:t>
      </w:r>
    </w:p>
    <w:p w14:paraId="00CCC400">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4.2履约保证金</w:t>
      </w:r>
    </w:p>
    <w:p w14:paraId="5B557AE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4.2.1缺陷责任期保函金额：</w:t>
      </w:r>
      <w:r>
        <w:rPr>
          <w:rFonts w:hint="eastAsia" w:asciiTheme="minorEastAsia" w:hAnsiTheme="minorEastAsia" w:eastAsiaTheme="minorEastAsia" w:cstheme="minorEastAsia"/>
          <w:color w:val="auto"/>
          <w:sz w:val="21"/>
          <w:szCs w:val="21"/>
          <w:u w:val="single"/>
        </w:rPr>
        <w:t>监理服务费用总额的1.5%</w:t>
      </w:r>
      <w:r>
        <w:rPr>
          <w:rFonts w:hint="eastAsia" w:asciiTheme="minorEastAsia" w:hAnsiTheme="minorEastAsia" w:eastAsiaTheme="minorEastAsia" w:cstheme="minorEastAsia"/>
          <w:color w:val="auto"/>
          <w:sz w:val="21"/>
          <w:szCs w:val="21"/>
        </w:rPr>
        <w:t>。</w:t>
      </w:r>
    </w:p>
    <w:p w14:paraId="5F013FAB">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5.监理要求</w:t>
      </w:r>
    </w:p>
    <w:p w14:paraId="60D47FB3">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5.1监理范围</w:t>
      </w:r>
    </w:p>
    <w:p w14:paraId="3D1A7014">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5.1.2 工程范围包括：</w:t>
      </w:r>
      <w:r>
        <w:rPr>
          <w:rFonts w:hint="eastAsia" w:asciiTheme="minorEastAsia" w:hAnsiTheme="minorEastAsia" w:eastAsiaTheme="minorEastAsia" w:cstheme="minorEastAsia"/>
          <w:color w:val="auto"/>
          <w:kern w:val="0"/>
          <w:sz w:val="21"/>
          <w:szCs w:val="21"/>
          <w:u w:val="single"/>
        </w:rPr>
        <w:t>主要监理范围为河南省“一轴一廊”交通基础设施数字化转型升级示范通道及网络项目（</w:t>
      </w:r>
      <w:r>
        <w:rPr>
          <w:rFonts w:hint="eastAsia" w:asciiTheme="minorEastAsia" w:hAnsiTheme="minorEastAsia" w:eastAsiaTheme="minorEastAsia" w:cstheme="minorEastAsia"/>
          <w:color w:val="auto"/>
          <w:kern w:val="0"/>
          <w:sz w:val="21"/>
          <w:szCs w:val="21"/>
          <w:u w:val="single"/>
          <w:lang w:eastAsia="zh-CN"/>
        </w:rPr>
        <w:t>三门峡市</w:t>
      </w:r>
      <w:r>
        <w:rPr>
          <w:rFonts w:hint="eastAsia" w:asciiTheme="minorEastAsia" w:hAnsiTheme="minorEastAsia" w:eastAsiaTheme="minorEastAsia" w:cstheme="minorEastAsia"/>
          <w:color w:val="auto"/>
          <w:kern w:val="0"/>
          <w:sz w:val="21"/>
          <w:szCs w:val="21"/>
          <w:u w:val="single"/>
        </w:rPr>
        <w:t>普通公路）的监理及缺陷责任期的工程修复等监理服务工作</w:t>
      </w:r>
      <w:r>
        <w:rPr>
          <w:rFonts w:hint="eastAsia" w:asciiTheme="minorEastAsia" w:hAnsiTheme="minorEastAsia" w:eastAsiaTheme="minorEastAsia" w:cstheme="minorEastAsia"/>
          <w:color w:val="auto"/>
          <w:kern w:val="0"/>
          <w:sz w:val="21"/>
          <w:szCs w:val="21"/>
        </w:rPr>
        <w:t>。</w:t>
      </w:r>
    </w:p>
    <w:p w14:paraId="7B8012AB">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5.1.3 阶段范围包括：</w:t>
      </w:r>
      <w:r>
        <w:rPr>
          <w:rFonts w:hint="eastAsia" w:asciiTheme="minorEastAsia" w:hAnsiTheme="minorEastAsia" w:eastAsiaTheme="minorEastAsia" w:cstheme="minorEastAsia"/>
          <w:color w:val="auto"/>
          <w:kern w:val="0"/>
          <w:sz w:val="21"/>
          <w:szCs w:val="21"/>
          <w:u w:val="single"/>
        </w:rPr>
        <w:t>施工准备阶段、施工阶段、验收与缺陷责任期阶段等</w:t>
      </w:r>
      <w:r>
        <w:rPr>
          <w:rFonts w:hint="eastAsia" w:asciiTheme="minorEastAsia" w:hAnsiTheme="minorEastAsia" w:eastAsiaTheme="minorEastAsia" w:cstheme="minorEastAsia"/>
          <w:color w:val="auto"/>
          <w:kern w:val="0"/>
          <w:sz w:val="21"/>
          <w:szCs w:val="21"/>
        </w:rPr>
        <w:t>。</w:t>
      </w:r>
    </w:p>
    <w:p w14:paraId="391D920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5.1.4 工作范围包括：</w:t>
      </w:r>
      <w:r>
        <w:rPr>
          <w:rFonts w:hint="eastAsia" w:asciiTheme="minorEastAsia" w:hAnsiTheme="minorEastAsia" w:eastAsiaTheme="minorEastAsia" w:cstheme="minorEastAsia"/>
          <w:color w:val="auto"/>
          <w:kern w:val="0"/>
          <w:sz w:val="21"/>
          <w:szCs w:val="21"/>
          <w:u w:val="single"/>
        </w:rPr>
        <w:t>主要包括河南省“一轴一廊”交通基础设施数字化转型升级示范通道及网络项目（三门峡市普通公路）的监理及缺陷责任期的工程修复等监理服务工作</w:t>
      </w:r>
      <w:r>
        <w:rPr>
          <w:rFonts w:hint="eastAsia" w:asciiTheme="minorEastAsia" w:hAnsiTheme="minorEastAsia" w:eastAsiaTheme="minorEastAsia" w:cstheme="minorEastAsia"/>
          <w:color w:val="auto"/>
          <w:kern w:val="0"/>
          <w:sz w:val="21"/>
          <w:szCs w:val="21"/>
        </w:rPr>
        <w:t>。</w:t>
      </w:r>
    </w:p>
    <w:p w14:paraId="63AE67FA">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5.3监理内容</w:t>
      </w:r>
    </w:p>
    <w:p w14:paraId="520EA41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□工程同时设置总监理工程师办公室和驻地监理工程师办公室：总监理工程师办公室设立工地试验室，驻地监理工程师办公室不设立工地实验室，总监理工程师办公室工地试验室相应的检查项目和抽检频率：</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w:t>
      </w:r>
    </w:p>
    <w:p w14:paraId="1FA08A6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□工程同时设置总监理工程师办公室和驻地监理工程师办公室：总监理工程师办公室和驻地监理工程师办公室均设立工地试验室，总监办和驻地办工地试验室相应的检查项目和抽检频率：</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w:t>
      </w:r>
    </w:p>
    <w:p w14:paraId="6304246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w:char="F0FE"/>
      </w:r>
      <w:r>
        <w:rPr>
          <w:rFonts w:hint="eastAsia" w:asciiTheme="minorEastAsia" w:hAnsiTheme="minorEastAsia" w:eastAsiaTheme="minorEastAsia" w:cstheme="minorEastAsia"/>
          <w:color w:val="auto"/>
          <w:sz w:val="21"/>
          <w:szCs w:val="21"/>
        </w:rPr>
        <w:t>工程只设置总监理工程师办公室：总监理工程师办公室设立工地试验室，工地试验室相应的检查项目和抽检频率：</w:t>
      </w:r>
      <w:r>
        <w:rPr>
          <w:rFonts w:hint="eastAsia" w:asciiTheme="minorEastAsia" w:hAnsiTheme="minorEastAsia" w:eastAsiaTheme="minorEastAsia" w:cstheme="minorEastAsia"/>
          <w:color w:val="auto"/>
          <w:sz w:val="21"/>
          <w:szCs w:val="21"/>
          <w:u w:val="single"/>
        </w:rPr>
        <w:t>按招标文件中的规范、标准、规程等规定的检查项目和抽检频率以及发包人的规定</w:t>
      </w:r>
      <w:r>
        <w:rPr>
          <w:rFonts w:hint="eastAsia" w:asciiTheme="minorEastAsia" w:hAnsiTheme="minorEastAsia" w:eastAsiaTheme="minorEastAsia" w:cstheme="minorEastAsia"/>
          <w:color w:val="auto"/>
          <w:sz w:val="21"/>
          <w:szCs w:val="21"/>
        </w:rPr>
        <w:t>。</w:t>
      </w:r>
    </w:p>
    <w:p w14:paraId="3580069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监理人自行设立工地试验室，应具有相应的《公路水运试验检测机构等级证书》。否则，监理人应委托具有相应资格的第三方试验检测机构设立工地试验室。</w:t>
      </w:r>
    </w:p>
    <w:p w14:paraId="7EAE015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本款补充内容：</w:t>
      </w:r>
    </w:p>
    <w:p w14:paraId="2A370B8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（48）监理人应严格按照《公路工程施工监理规范》中5.1.3条款开展巡视工作，并详细填写巡视记录，在发包人抽查检查过程中发现一处巡视记录与现场不一致，视为监理人违约一次，按监理人违约处理。</w:t>
      </w:r>
    </w:p>
    <w:p w14:paraId="67AA56D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（49）监理计划应明确各分部（分项）工程的安全生产条件和质量保证条件；每日分部（分项）工程开工前，监理人员应对安全生产条件和质量保证条件进行确认。</w:t>
      </w:r>
    </w:p>
    <w:p w14:paraId="46FC7112">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5.5监理服务形式</w:t>
      </w:r>
    </w:p>
    <w:p w14:paraId="1C9DB93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监理服务机构设置：</w:t>
      </w:r>
      <w:r>
        <w:rPr>
          <w:rFonts w:hint="eastAsia" w:asciiTheme="minorEastAsia" w:hAnsiTheme="minorEastAsia" w:eastAsiaTheme="minorEastAsia" w:cstheme="minorEastAsia"/>
          <w:color w:val="auto"/>
          <w:kern w:val="0"/>
          <w:sz w:val="21"/>
          <w:szCs w:val="21"/>
          <w:u w:val="single"/>
        </w:rPr>
        <w:t>设置1个总监理工程师办公室（简称总监办）</w:t>
      </w:r>
      <w:r>
        <w:rPr>
          <w:rFonts w:hint="eastAsia" w:asciiTheme="minorEastAsia" w:hAnsiTheme="minorEastAsia" w:eastAsiaTheme="minorEastAsia" w:cstheme="minorEastAsia"/>
          <w:color w:val="auto"/>
          <w:kern w:val="0"/>
          <w:sz w:val="21"/>
          <w:szCs w:val="21"/>
        </w:rPr>
        <w:t>。</w:t>
      </w:r>
    </w:p>
    <w:p w14:paraId="33EB1EF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总监理工程师办公室按</w:t>
      </w:r>
      <w:r>
        <w:rPr>
          <w:rFonts w:hint="eastAsia" w:asciiTheme="minorEastAsia" w:hAnsiTheme="minorEastAsia" w:eastAsiaTheme="minorEastAsia" w:cstheme="minorEastAsia"/>
          <w:color w:val="auto"/>
          <w:kern w:val="0"/>
          <w:sz w:val="21"/>
          <w:szCs w:val="21"/>
          <w:u w:val="single"/>
        </w:rPr>
        <w:t>招标文件要求</w:t>
      </w:r>
      <w:r>
        <w:rPr>
          <w:rFonts w:hint="eastAsia" w:asciiTheme="minorEastAsia" w:hAnsiTheme="minorEastAsia" w:eastAsiaTheme="minorEastAsia" w:cstheme="minorEastAsia"/>
          <w:color w:val="auto"/>
          <w:kern w:val="0"/>
          <w:sz w:val="21"/>
          <w:szCs w:val="21"/>
        </w:rPr>
        <w:t>组建，下设</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rPr>
        <w:t>个驻地监理工程师办公室。</w:t>
      </w:r>
    </w:p>
    <w:p w14:paraId="4143830E">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5.6监理服务目标</w:t>
      </w:r>
    </w:p>
    <w:p w14:paraId="4B1C82E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5.6.2对承包人履约管理的服务目标：</w:t>
      </w:r>
      <w:r>
        <w:rPr>
          <w:rFonts w:hint="eastAsia" w:asciiTheme="minorEastAsia" w:hAnsiTheme="minorEastAsia" w:eastAsiaTheme="minorEastAsia" w:cstheme="minorEastAsia"/>
          <w:color w:val="auto"/>
          <w:sz w:val="21"/>
          <w:szCs w:val="21"/>
          <w:u w:val="single"/>
        </w:rPr>
        <w:t>严格督促承包人履行工程承包合同，工程质量等级达到交通运输部最新《公路工程质量检验评定标准》，确保达到发包人与承包人签订的工程承包合同中约定的各项目标</w:t>
      </w:r>
      <w:r>
        <w:rPr>
          <w:rFonts w:hint="eastAsia" w:asciiTheme="minorEastAsia" w:hAnsiTheme="minorEastAsia" w:eastAsiaTheme="minorEastAsia" w:cstheme="minorEastAsia"/>
          <w:color w:val="auto"/>
          <w:sz w:val="21"/>
          <w:szCs w:val="21"/>
        </w:rPr>
        <w:t>。</w:t>
      </w:r>
    </w:p>
    <w:p w14:paraId="160D9A80">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5.7委托人对监理人的授权</w:t>
      </w:r>
    </w:p>
    <w:p w14:paraId="0ABDC828">
      <w:pPr>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5.7.1委托人对监理人的授权：</w:t>
      </w:r>
      <w:r>
        <w:rPr>
          <w:rFonts w:hint="eastAsia" w:asciiTheme="minorEastAsia" w:hAnsiTheme="minorEastAsia" w:eastAsiaTheme="minorEastAsia" w:cstheme="minorEastAsia"/>
          <w:color w:val="auto"/>
          <w:sz w:val="21"/>
          <w:szCs w:val="21"/>
          <w:u w:val="single"/>
        </w:rPr>
        <w:t>监理人在履行服务时，应按照监理合同和工程承包合同对监理工程师的授权范围展开监理工作，享有相应的权利并承担相关的义务。监理人在行使以上权力时，不论何种原因，在未取得发包人书面同意之前，监理人无权免除属发包人对于承办人或任何第三方合同的任何责任和义务。</w:t>
      </w:r>
    </w:p>
    <w:p w14:paraId="78B25F56">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6.开始监理和完成监理</w:t>
      </w:r>
    </w:p>
    <w:p w14:paraId="2183333E">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6.1开始监理</w:t>
      </w:r>
    </w:p>
    <w:p w14:paraId="4CBCD5C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6.1.1满足以下条件时，委托人应向监理人发出开始监理通知：</w:t>
      </w:r>
      <w:r>
        <w:rPr>
          <w:rFonts w:hint="eastAsia" w:asciiTheme="minorEastAsia" w:hAnsiTheme="minorEastAsia" w:eastAsiaTheme="minorEastAsia" w:cstheme="minorEastAsia"/>
          <w:color w:val="auto"/>
          <w:sz w:val="21"/>
          <w:szCs w:val="21"/>
          <w:u w:val="single"/>
        </w:rPr>
        <w:t>接到发包人的进驻通知后7日内</w:t>
      </w:r>
      <w:r>
        <w:rPr>
          <w:rFonts w:hint="eastAsia" w:asciiTheme="minorEastAsia" w:hAnsiTheme="minorEastAsia" w:eastAsiaTheme="minorEastAsia" w:cstheme="minorEastAsia"/>
          <w:color w:val="auto"/>
          <w:sz w:val="21"/>
          <w:szCs w:val="21"/>
        </w:rPr>
        <w:t>。</w:t>
      </w:r>
    </w:p>
    <w:p w14:paraId="411E106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6.2 监理周期延误 </w:t>
      </w:r>
    </w:p>
    <w:p w14:paraId="55023A37">
      <w:pPr>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由于非监理人责任造成监理服务期限延误的，延长监理服务期限的计算方法：</w:t>
      </w:r>
      <w:r>
        <w:rPr>
          <w:rFonts w:hint="eastAsia" w:asciiTheme="minorEastAsia" w:hAnsiTheme="minorEastAsia" w:eastAsiaTheme="minorEastAsia" w:cstheme="minorEastAsia"/>
          <w:color w:val="auto"/>
          <w:sz w:val="21"/>
          <w:szCs w:val="21"/>
          <w:u w:val="single"/>
        </w:rPr>
        <w:t xml:space="preserve"> 因国家或地方政府的法律、法规变动而引起的监理服务周期延长不予考虑； </w:t>
      </w:r>
    </w:p>
    <w:p w14:paraId="23B55EC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增加监理服务费用的计算方法： </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 xml:space="preserve">  </w:t>
      </w:r>
    </w:p>
    <w:p w14:paraId="2F95ACED">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8.合同变更</w:t>
      </w:r>
    </w:p>
    <w:p w14:paraId="04C2C871">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8.1变更情形</w:t>
      </w:r>
    </w:p>
    <w:p w14:paraId="318B830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8.1.1监理服务费用：</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w:t>
      </w:r>
    </w:p>
    <w:p w14:paraId="19CB4A9F">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9.合同价格与支付</w:t>
      </w:r>
    </w:p>
    <w:p w14:paraId="3D3DF112">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9.1合同价格</w:t>
      </w:r>
    </w:p>
    <w:p w14:paraId="6F3AEF8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9.1.1本合同的价款确定方式：</w:t>
      </w:r>
      <w:r>
        <w:rPr>
          <w:rFonts w:hint="eastAsia" w:asciiTheme="minorEastAsia" w:hAnsiTheme="minorEastAsia" w:eastAsiaTheme="minorEastAsia" w:cstheme="minorEastAsia"/>
          <w:color w:val="auto"/>
          <w:sz w:val="21"/>
          <w:szCs w:val="21"/>
          <w:u w:val="single"/>
        </w:rPr>
        <w:t>总价合同</w:t>
      </w:r>
      <w:r>
        <w:rPr>
          <w:rFonts w:hint="eastAsia" w:asciiTheme="minorEastAsia" w:hAnsiTheme="minorEastAsia" w:eastAsiaTheme="minorEastAsia" w:cstheme="minorEastAsia"/>
          <w:color w:val="auto"/>
          <w:sz w:val="21"/>
          <w:szCs w:val="21"/>
        </w:rPr>
        <w:t>。</w:t>
      </w:r>
    </w:p>
    <w:p w14:paraId="7BC4B22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在合同实施期间，由于人工、材料、设备等因素的市场价格变化导致本项目监理服务费用变化，合同价格的调整方式和风险范围划分：</w:t>
      </w:r>
      <w:r>
        <w:rPr>
          <w:rFonts w:hint="eastAsia" w:asciiTheme="minorEastAsia" w:hAnsiTheme="minorEastAsia" w:eastAsiaTheme="minorEastAsia" w:cstheme="minorEastAsia"/>
          <w:color w:val="auto"/>
          <w:sz w:val="21"/>
          <w:szCs w:val="21"/>
          <w:u w:val="single"/>
        </w:rPr>
        <w:t>发包人不予不调整</w:t>
      </w:r>
      <w:r>
        <w:rPr>
          <w:rFonts w:hint="eastAsia" w:asciiTheme="minorEastAsia" w:hAnsiTheme="minorEastAsia" w:eastAsiaTheme="minorEastAsia" w:cstheme="minorEastAsia"/>
          <w:color w:val="auto"/>
          <w:sz w:val="21"/>
          <w:szCs w:val="21"/>
        </w:rPr>
        <w:t>。</w:t>
      </w:r>
    </w:p>
    <w:p w14:paraId="05EE9A2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本项目监理服务费合同形式为总价合同。除发生公路工程专用合同条款8.1条款规定的情形外，不随监理服务期限延长而追加监理服务费用。</w:t>
      </w:r>
    </w:p>
    <w:p w14:paraId="6D76115C">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9.2预付款</w:t>
      </w:r>
    </w:p>
    <w:p w14:paraId="544499F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本款补充：预付款支付金额不含缺陷责任期费用。</w:t>
      </w:r>
    </w:p>
    <w:p w14:paraId="2F2B9FCB">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9.3中期支付</w:t>
      </w:r>
    </w:p>
    <w:p w14:paraId="64201BA8">
      <w:pPr>
        <w:spacing w:line="360" w:lineRule="auto"/>
        <w:ind w:firstLine="420" w:firstLineChars="200"/>
        <w:rPr>
          <w:rFonts w:ascii="宋体" w:hAnsi="宋体"/>
          <w:color w:val="auto"/>
          <w:sz w:val="24"/>
          <w:u w:val="single"/>
        </w:rPr>
      </w:pPr>
      <w:r>
        <w:rPr>
          <w:rFonts w:hint="eastAsia" w:asciiTheme="minorEastAsia" w:hAnsiTheme="minorEastAsia" w:eastAsiaTheme="minorEastAsia" w:cstheme="minorEastAsia"/>
          <w:color w:val="auto"/>
          <w:sz w:val="21"/>
          <w:szCs w:val="21"/>
        </w:rPr>
        <w:t>9.3.2（4）约定为：</w:t>
      </w:r>
      <w:r>
        <w:rPr>
          <w:rFonts w:hint="eastAsia" w:ascii="宋体" w:hAnsi="宋体"/>
          <w:color w:val="auto"/>
          <w:sz w:val="24"/>
        </w:rPr>
        <w:t>（1）</w:t>
      </w:r>
      <w:r>
        <w:rPr>
          <w:rFonts w:hint="eastAsia" w:ascii="宋体" w:hAnsi="宋体"/>
          <w:color w:val="auto"/>
          <w:sz w:val="24"/>
          <w:u w:val="single"/>
        </w:rPr>
        <w:t>施工期间的监理人员服务费根据各级监理人员的人月单价及本月实际完成的监理服务时间计算（各岗位监理人员的人月数以监理人记录并经委托人签字确认的监理人员出勤情况为依据）。本项目实行每季度进行一次计量。本项目各月累计支付的监理人员服务费总额不得超过监理人在监理服务费报价清单中填报的施工期监理人员服务费合计金额，超过部分委托人将不再予以支付。</w:t>
      </w:r>
    </w:p>
    <w:p w14:paraId="3EE371E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9.3.5中期支付涉及政府投资资金的，支付规定如下：</w:t>
      </w:r>
      <w:r>
        <w:rPr>
          <w:rFonts w:hint="eastAsia" w:asciiTheme="minorEastAsia" w:hAnsiTheme="minorEastAsia" w:eastAsiaTheme="minorEastAsia" w:cstheme="minorEastAsia"/>
          <w:color w:val="auto"/>
          <w:sz w:val="21"/>
          <w:szCs w:val="21"/>
          <w:u w:val="single"/>
        </w:rPr>
        <w:t>在合同谈判中约定</w:t>
      </w:r>
      <w:r>
        <w:rPr>
          <w:rFonts w:hint="eastAsia" w:asciiTheme="minorEastAsia" w:hAnsiTheme="minorEastAsia" w:eastAsiaTheme="minorEastAsia" w:cstheme="minorEastAsia"/>
          <w:color w:val="auto"/>
          <w:sz w:val="21"/>
          <w:szCs w:val="21"/>
        </w:rPr>
        <w:t>。</w:t>
      </w:r>
    </w:p>
    <w:p w14:paraId="472856B4">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9.5暂列金额</w:t>
      </w:r>
    </w:p>
    <w:p w14:paraId="0AF9D326">
      <w:pPr>
        <w:autoSpaceDE w:val="0"/>
        <w:autoSpaceDN w:val="0"/>
        <w:adjustRightInd w:val="0"/>
        <w:spacing w:line="360" w:lineRule="auto"/>
        <w:ind w:left="437"/>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本合同的暂列金额为监理服务费的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0B006D54">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10.1 不可抗力的确认</w:t>
      </w:r>
    </w:p>
    <w:p w14:paraId="182F1DC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10.1.1本款不可抗力主要包括内容细化如下：</w:t>
      </w:r>
      <w:r>
        <w:rPr>
          <w:rFonts w:hint="eastAsia" w:asciiTheme="minorEastAsia" w:hAnsiTheme="minorEastAsia" w:eastAsiaTheme="minorEastAsia" w:cstheme="minorEastAsia"/>
          <w:color w:val="auto"/>
          <w:sz w:val="21"/>
          <w:szCs w:val="21"/>
          <w:u w:val="single"/>
        </w:rPr>
        <w:t>（1）自然灾害：如地震、海啸、瘟疫、水灾、台风、冰雹、火灾、暴风雨、雪灾等；（2）政府行为，如征收、征用、扬尘治理引起的停工等；（3）社会异常事件，如罢工、骚乱、暴动、战争、群体事件等；（4）环保治理、政府大型会议等</w:t>
      </w:r>
      <w:r>
        <w:rPr>
          <w:rFonts w:hint="eastAsia" w:asciiTheme="minorEastAsia" w:hAnsiTheme="minorEastAsia" w:eastAsiaTheme="minorEastAsia" w:cstheme="minorEastAsia"/>
          <w:color w:val="auto"/>
          <w:sz w:val="21"/>
          <w:szCs w:val="21"/>
        </w:rPr>
        <w:t>。</w:t>
      </w:r>
    </w:p>
    <w:p w14:paraId="20E76C5D">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11.违约</w:t>
      </w:r>
    </w:p>
    <w:p w14:paraId="547064B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第11.1款细化为：</w:t>
      </w:r>
    </w:p>
    <w:p w14:paraId="3D09C02D">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11.1监理人违约</w:t>
      </w:r>
    </w:p>
    <w:p w14:paraId="5B476281">
      <w:pPr>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11.1.2监理人发生违约情况时，委托人有权向监理人课以违约金，具体约定如下：</w:t>
      </w:r>
      <w:r>
        <w:rPr>
          <w:rFonts w:hint="eastAsia" w:asciiTheme="minorEastAsia" w:hAnsiTheme="minorEastAsia" w:eastAsiaTheme="minorEastAsia" w:cstheme="minorEastAsia"/>
          <w:color w:val="auto"/>
          <w:sz w:val="21"/>
          <w:szCs w:val="21"/>
          <w:u w:val="single"/>
        </w:rPr>
        <w:t>总监理工程师、专业监理工程师、试验室主任等主要监理人员一经发包人确认，在项目进行的过程中未经发包人同意监理人无权更换；经发包人同意，更换后的人员不低于原有资质。监理工作应严格按照合同执行，若发生监理违约事项，发包人有权向监理人课以违约金1000元/次，其他违约责任详见合同商谈纪要。</w:t>
      </w:r>
    </w:p>
    <w:p w14:paraId="6D84B09A">
      <w:pPr>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12.争议的解决</w:t>
      </w:r>
    </w:p>
    <w:p w14:paraId="48D0BA9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争议的最终解决方式：</w:t>
      </w:r>
      <w:r>
        <w:rPr>
          <w:rFonts w:hint="eastAsia" w:asciiTheme="minorEastAsia" w:hAnsiTheme="minorEastAsia" w:eastAsiaTheme="minorEastAsia" w:cstheme="minorEastAsia"/>
          <w:color w:val="auto"/>
          <w:sz w:val="21"/>
          <w:szCs w:val="21"/>
          <w:u w:val="single"/>
        </w:rPr>
        <w:t xml:space="preserve"> 诉讼 </w:t>
      </w:r>
    </w:p>
    <w:p w14:paraId="5AA0196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如采用仲裁，仲裁机构名称：</w:t>
      </w:r>
      <w:r>
        <w:rPr>
          <w:rFonts w:hint="eastAsia" w:asciiTheme="minorEastAsia" w:hAnsiTheme="minorEastAsia" w:eastAsiaTheme="minorEastAsia" w:cstheme="minorEastAsia"/>
          <w:color w:val="auto"/>
          <w:sz w:val="21"/>
          <w:szCs w:val="21"/>
          <w:u w:val="single"/>
        </w:rPr>
        <w:t xml:space="preserve">  /  </w:t>
      </w:r>
      <w:r>
        <w:rPr>
          <w:rFonts w:hint="eastAsia" w:asciiTheme="minorEastAsia" w:hAnsiTheme="minorEastAsia" w:eastAsiaTheme="minorEastAsia" w:cstheme="minorEastAsia"/>
          <w:color w:val="auto"/>
          <w:sz w:val="21"/>
          <w:szCs w:val="21"/>
        </w:rPr>
        <w:t>仲裁委员会。</w:t>
      </w:r>
    </w:p>
    <w:p w14:paraId="476BAFB9">
      <w:pPr>
        <w:spacing w:line="360" w:lineRule="auto"/>
        <w:ind w:firstLine="420" w:firstLineChars="200"/>
        <w:rPr>
          <w:rFonts w:ascii="宋体" w:hAnsi="宋体"/>
          <w:color w:val="auto"/>
          <w:sz w:val="24"/>
        </w:rPr>
      </w:pPr>
      <w:r>
        <w:rPr>
          <w:rFonts w:hint="eastAsia" w:asciiTheme="minorEastAsia" w:hAnsiTheme="minorEastAsia" w:eastAsiaTheme="minorEastAsia" w:cstheme="minorEastAsia"/>
          <w:color w:val="auto"/>
          <w:sz w:val="21"/>
          <w:szCs w:val="21"/>
        </w:rPr>
        <w:t>如采用诉讼，诉讼机构名称：</w:t>
      </w:r>
      <w:r>
        <w:rPr>
          <w:rFonts w:hint="eastAsia" w:asciiTheme="minorEastAsia" w:hAnsiTheme="minorEastAsia" w:eastAsiaTheme="minorEastAsia" w:cstheme="minorEastAsia"/>
          <w:color w:val="auto"/>
          <w:sz w:val="21"/>
          <w:szCs w:val="21"/>
          <w:u w:val="single"/>
        </w:rPr>
        <w:t>发包人所在地人民</w:t>
      </w:r>
      <w:r>
        <w:rPr>
          <w:rFonts w:hint="eastAsia" w:asciiTheme="minorEastAsia" w:hAnsiTheme="minorEastAsia" w:eastAsiaTheme="minorEastAsia" w:cstheme="minorEastAsia"/>
          <w:color w:val="auto"/>
          <w:sz w:val="21"/>
          <w:szCs w:val="21"/>
        </w:rPr>
        <w:t>法院</w:t>
      </w:r>
      <w:bookmarkEnd w:id="177"/>
      <w:r>
        <w:rPr>
          <w:rFonts w:hint="eastAsia" w:asciiTheme="minorEastAsia" w:hAnsiTheme="minorEastAsia" w:eastAsiaTheme="minorEastAsia" w:cstheme="minorEastAsia"/>
          <w:color w:val="auto"/>
          <w:sz w:val="21"/>
          <w:szCs w:val="21"/>
        </w:rPr>
        <w:t>。</w:t>
      </w:r>
      <w:bookmarkEnd w:id="178"/>
      <w:r>
        <w:rPr>
          <w:rFonts w:hint="eastAsia" w:ascii="宋体" w:hAnsi="宋体"/>
          <w:color w:val="auto"/>
          <w:sz w:val="24"/>
        </w:rPr>
        <w:br w:type="page"/>
      </w:r>
    </w:p>
    <w:p w14:paraId="30A31808">
      <w:pPr>
        <w:spacing w:line="440" w:lineRule="exact"/>
        <w:jc w:val="center"/>
        <w:rPr>
          <w:rFonts w:hint="eastAsia" w:ascii="宋体" w:hAnsi="宋体" w:eastAsia="宋体" w:cs="黑体"/>
          <w:b/>
          <w:color w:val="auto"/>
          <w:sz w:val="28"/>
          <w:szCs w:val="28"/>
          <w:highlight w:val="none"/>
        </w:rPr>
      </w:pPr>
      <w:bookmarkStart w:id="179" w:name="_Toc210060528"/>
      <w:bookmarkStart w:id="180" w:name="_Toc201956791"/>
      <w:bookmarkStart w:id="181" w:name="_Toc11381"/>
      <w:r>
        <w:rPr>
          <w:rFonts w:hint="eastAsia" w:ascii="宋体" w:hAnsi="宋体" w:eastAsia="宋体" w:cs="黑体"/>
          <w:b/>
          <w:color w:val="auto"/>
          <w:sz w:val="28"/>
          <w:szCs w:val="28"/>
          <w:highlight w:val="none"/>
        </w:rPr>
        <w:t>第三节  合同附件格式</w:t>
      </w:r>
      <w:bookmarkEnd w:id="179"/>
      <w:bookmarkEnd w:id="180"/>
      <w:bookmarkEnd w:id="181"/>
    </w:p>
    <w:p w14:paraId="43FC063F">
      <w:pPr>
        <w:spacing w:line="440" w:lineRule="exact"/>
        <w:jc w:val="left"/>
        <w:rPr>
          <w:rFonts w:hint="eastAsia" w:ascii="宋体" w:hAnsi="宋体" w:eastAsia="宋体" w:cs="黑体"/>
          <w:b/>
          <w:color w:val="auto"/>
          <w:sz w:val="28"/>
          <w:szCs w:val="28"/>
          <w:highlight w:val="none"/>
        </w:rPr>
      </w:pPr>
      <w:r>
        <w:rPr>
          <w:rFonts w:hint="eastAsia" w:ascii="宋体" w:hAnsi="宋体" w:eastAsia="宋体" w:cs="黑体"/>
          <w:b/>
          <w:color w:val="auto"/>
          <w:sz w:val="28"/>
          <w:szCs w:val="28"/>
          <w:highlight w:val="none"/>
        </w:rPr>
        <w:t>附件一  合同协议书</w:t>
      </w:r>
    </w:p>
    <w:p w14:paraId="15EB09A4">
      <w:pPr>
        <w:jc w:val="center"/>
        <w:rPr>
          <w:rFonts w:ascii="宋体" w:hAnsi="宋体"/>
          <w:b/>
          <w:color w:val="auto"/>
          <w:sz w:val="32"/>
          <w:szCs w:val="32"/>
        </w:rPr>
      </w:pPr>
      <w:r>
        <w:rPr>
          <w:rFonts w:hint="eastAsia" w:ascii="宋体" w:hAnsi="宋体"/>
          <w:b/>
          <w:color w:val="auto"/>
          <w:sz w:val="32"/>
          <w:szCs w:val="32"/>
        </w:rPr>
        <w:t>合同协议书</w:t>
      </w:r>
    </w:p>
    <w:p w14:paraId="17CC3C85">
      <w:pPr>
        <w:rPr>
          <w:rFonts w:ascii="宋体" w:hAnsi="宋体"/>
          <w:color w:val="auto"/>
          <w:sz w:val="24"/>
        </w:rPr>
      </w:pPr>
    </w:p>
    <w:p w14:paraId="173E54CF">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（委托人名称，以下简称“委托人”）为实施</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（项目名称），己接受</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（监理人名称，以下简称“监理人”）对该项目</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标段施工监理的投标。委托人和监理人共同达成如下协议。</w:t>
      </w:r>
    </w:p>
    <w:p w14:paraId="1EE5CE62">
      <w:pPr>
        <w:widowControl/>
        <w:spacing w:line="360" w:lineRule="auto"/>
        <w:ind w:left="4200" w:leftChars="200" w:hanging="3780" w:hangingChars="1800"/>
        <w:jc w:val="left"/>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1.第</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标段由</w:t>
      </w:r>
      <w:r>
        <w:rPr>
          <w:rFonts w:hint="eastAsia" w:asciiTheme="minorEastAsia" w:hAnsiTheme="minorEastAsia" w:eastAsiaTheme="minorEastAsia" w:cstheme="minorEastAsia"/>
          <w:color w:val="auto"/>
          <w:sz w:val="21"/>
          <w:szCs w:val="21"/>
          <w:u w:val="single"/>
        </w:rPr>
        <w:t xml:space="preserve">                                                                   </w:t>
      </w:r>
    </w:p>
    <w:p w14:paraId="29EECB64">
      <w:pPr>
        <w:widowControl/>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及其他构造物工程等。</w:t>
      </w:r>
    </w:p>
    <w:p w14:paraId="496EE2CA">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2.下列文件应视为构成合同文件的组成部分 ：</w:t>
      </w:r>
    </w:p>
    <w:p w14:paraId="62AB9EBE">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 本合同协议书及各种合同附件；</w:t>
      </w:r>
    </w:p>
    <w:p w14:paraId="4D26E24C">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（2） </w:t>
      </w:r>
      <w:r>
        <w:rPr>
          <w:rFonts w:hint="eastAsia" w:asciiTheme="minorEastAsia" w:hAnsiTheme="minorEastAsia" w:eastAsiaTheme="minorEastAsia" w:cstheme="minorEastAsia"/>
          <w:color w:val="auto"/>
          <w:kern w:val="0"/>
          <w:sz w:val="21"/>
          <w:szCs w:val="21"/>
          <w:lang w:eastAsia="zh-CN"/>
        </w:rPr>
        <w:t>成交通知书</w:t>
      </w:r>
      <w:r>
        <w:rPr>
          <w:rFonts w:hint="eastAsia" w:asciiTheme="minorEastAsia" w:hAnsiTheme="minorEastAsia" w:eastAsiaTheme="minorEastAsia" w:cstheme="minorEastAsia"/>
          <w:color w:val="auto"/>
          <w:kern w:val="0"/>
          <w:sz w:val="21"/>
          <w:szCs w:val="21"/>
        </w:rPr>
        <w:t>；</w:t>
      </w:r>
    </w:p>
    <w:p w14:paraId="7A82086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 投标函；</w:t>
      </w:r>
    </w:p>
    <w:p w14:paraId="364F0C17">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 项目专用合同条款 ；</w:t>
      </w:r>
    </w:p>
    <w:p w14:paraId="7EA74B6E">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 公路工程专用合同条款 ：</w:t>
      </w:r>
    </w:p>
    <w:p w14:paraId="5C9BE63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 通用合同条款；</w:t>
      </w:r>
    </w:p>
    <w:p w14:paraId="2FA83EE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 委托人要求：</w:t>
      </w:r>
    </w:p>
    <w:p w14:paraId="618EF9F7">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 监理服务费用清单 ；</w:t>
      </w:r>
    </w:p>
    <w:p w14:paraId="0892B2DA">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 监理人有关人员、试验检测设备投入的承诺；</w:t>
      </w:r>
    </w:p>
    <w:p w14:paraId="78B35C8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 其他合同文件。</w:t>
      </w:r>
    </w:p>
    <w:p w14:paraId="2F1F1116">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上述合同文件互相补充和解释 。如果合同文件之间存在矛盾或不一致之处，以上述文件的排列顺序在先者为准 。</w:t>
      </w:r>
    </w:p>
    <w:p w14:paraId="0130F06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 签约合同价：人民币（大写）</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 xml:space="preserve">元（￥ </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1448DF60">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其中：施工阶段（包括施工准备阶段）</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元；</w:t>
      </w:r>
    </w:p>
    <w:p w14:paraId="3581C1DA">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验收与缺陷责任期阶段</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元；</w:t>
      </w:r>
    </w:p>
    <w:p w14:paraId="746CA6F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4.总监理工程师或驻地监理工程师：</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037F469F">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5.监理工作质量符合的标准和要求：</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5487F112">
      <w:pPr>
        <w:spacing w:line="36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安全目标：</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1607196C">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6.监理人承诺按合同约定承担工程的施工监理。</w:t>
      </w:r>
    </w:p>
    <w:p w14:paraId="029DE25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7.委托人承诺按合同约定的条件、时间和方式向监理人支付合同价款。</w:t>
      </w:r>
    </w:p>
    <w:p w14:paraId="5FC14BDF">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8.监理人计划开始监理日期：</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，实际日期按照合同条款中约定的开始监理日期为准。监理服务期限 ：</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个月，其中：施工阶段（含施工准备阶段）监理</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个月，验收与缺陷责任期阶段监理</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个月。</w:t>
      </w:r>
    </w:p>
    <w:p w14:paraId="754B3816">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 本协议书在监理人提供履约保证金后，由双方法定代表人或其委托代理人签署并加盖单位章后生效。全部工程完工后经交工验收合格、缺陷责任期满签发缺陷责任终止证书后失效。</w:t>
      </w:r>
    </w:p>
    <w:p w14:paraId="39A73D40">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 本协议书正本二份、副本</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份，合同双方各执正本一份，副本</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份， 当正本与副本的内容不一致时，以正本为准。</w:t>
      </w:r>
    </w:p>
    <w:p w14:paraId="5A9B880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  合同未尽事宜，双方另行签订补充协议。补充协议是合同的组成部分。</w:t>
      </w:r>
    </w:p>
    <w:p w14:paraId="6FF347EF">
      <w:pPr>
        <w:spacing w:line="520" w:lineRule="exact"/>
        <w:jc w:val="left"/>
        <w:rPr>
          <w:rFonts w:ascii="宋体" w:hAnsi="宋体" w:cs="宋体"/>
          <w:color w:val="auto"/>
          <w:kern w:val="0"/>
          <w:sz w:val="24"/>
        </w:rPr>
      </w:pPr>
    </w:p>
    <w:p w14:paraId="4526CBEF">
      <w:pPr>
        <w:spacing w:before="10" w:line="520" w:lineRule="exact"/>
        <w:jc w:val="left"/>
        <w:rPr>
          <w:rFonts w:ascii="宋体" w:hAnsi="宋体" w:cs="宋体"/>
          <w:color w:val="auto"/>
          <w:kern w:val="0"/>
          <w:sz w:val="24"/>
        </w:rPr>
      </w:pPr>
    </w:p>
    <w:p w14:paraId="69A49849">
      <w:pPr>
        <w:spacing w:before="10" w:line="520" w:lineRule="exact"/>
        <w:jc w:val="left"/>
        <w:rPr>
          <w:rFonts w:ascii="宋体" w:hAnsi="宋体" w:cs="宋体"/>
          <w:color w:val="auto"/>
          <w:kern w:val="0"/>
          <w:sz w:val="28"/>
          <w:szCs w:val="28"/>
        </w:rPr>
      </w:pPr>
    </w:p>
    <w:p w14:paraId="59CE8FEF">
      <w:pPr>
        <w:spacing w:line="520" w:lineRule="exact"/>
        <w:rPr>
          <w:rFonts w:ascii="宋体" w:hAnsi="宋体"/>
          <w:color w:val="auto"/>
          <w:kern w:val="0"/>
          <w:sz w:val="23"/>
          <w:szCs w:val="23"/>
        </w:rPr>
      </w:pPr>
      <w:r>
        <w:rPr>
          <w:rFonts w:ascii="宋体" w:hAnsi="宋体"/>
          <w:color w:val="auto"/>
          <w:kern w:val="0"/>
          <w:sz w:val="23"/>
          <w:szCs w:val="23"/>
        </w:rPr>
        <w:t>委托人：</w:t>
      </w:r>
      <w:r>
        <w:rPr>
          <w:rFonts w:ascii="宋体" w:hAnsi="宋体"/>
          <w:color w:val="auto"/>
          <w:kern w:val="0"/>
          <w:sz w:val="23"/>
          <w:szCs w:val="23"/>
          <w:u w:val="single"/>
        </w:rPr>
        <w:t xml:space="preserve">  </w:t>
      </w:r>
      <w:r>
        <w:rPr>
          <w:rFonts w:hint="eastAsia" w:ascii="宋体" w:hAnsi="宋体"/>
          <w:color w:val="auto"/>
          <w:kern w:val="0"/>
          <w:sz w:val="23"/>
          <w:szCs w:val="23"/>
          <w:u w:val="single"/>
        </w:rPr>
        <w:t xml:space="preserve">       </w:t>
      </w:r>
      <w:r>
        <w:rPr>
          <w:rFonts w:ascii="宋体" w:hAnsi="宋体"/>
          <w:color w:val="auto"/>
          <w:kern w:val="0"/>
          <w:sz w:val="23"/>
          <w:szCs w:val="23"/>
        </w:rPr>
        <w:t xml:space="preserve">（ 盖单位章）  </w:t>
      </w:r>
      <w:r>
        <w:rPr>
          <w:rFonts w:hint="eastAsia" w:ascii="宋体" w:hAnsi="宋体"/>
          <w:color w:val="auto"/>
          <w:kern w:val="0"/>
          <w:sz w:val="23"/>
          <w:szCs w:val="23"/>
        </w:rPr>
        <w:t xml:space="preserve">        </w:t>
      </w:r>
      <w:r>
        <w:rPr>
          <w:rFonts w:ascii="宋体" w:hAnsi="宋体"/>
          <w:color w:val="auto"/>
          <w:kern w:val="0"/>
          <w:sz w:val="23"/>
          <w:szCs w:val="23"/>
        </w:rPr>
        <w:t>监理人：</w:t>
      </w:r>
      <w:r>
        <w:rPr>
          <w:rFonts w:ascii="宋体" w:hAnsi="宋体"/>
          <w:color w:val="auto"/>
          <w:kern w:val="0"/>
          <w:sz w:val="23"/>
          <w:szCs w:val="23"/>
          <w:u w:val="single"/>
        </w:rPr>
        <w:t xml:space="preserve">  </w:t>
      </w:r>
      <w:r>
        <w:rPr>
          <w:rFonts w:hint="eastAsia" w:ascii="宋体" w:hAnsi="宋体"/>
          <w:color w:val="auto"/>
          <w:kern w:val="0"/>
          <w:sz w:val="23"/>
          <w:szCs w:val="23"/>
          <w:u w:val="single"/>
        </w:rPr>
        <w:t xml:space="preserve">        </w:t>
      </w:r>
      <w:r>
        <w:rPr>
          <w:rFonts w:ascii="宋体" w:hAnsi="宋体"/>
          <w:color w:val="auto"/>
          <w:kern w:val="0"/>
          <w:sz w:val="23"/>
          <w:szCs w:val="23"/>
        </w:rPr>
        <w:t xml:space="preserve">（盖单位章） </w:t>
      </w:r>
    </w:p>
    <w:p w14:paraId="19EF0F2E">
      <w:pPr>
        <w:spacing w:line="520" w:lineRule="exact"/>
        <w:rPr>
          <w:rFonts w:ascii="宋体" w:hAnsi="宋体"/>
          <w:color w:val="auto"/>
          <w:kern w:val="0"/>
          <w:sz w:val="23"/>
          <w:szCs w:val="23"/>
        </w:rPr>
      </w:pPr>
      <w:r>
        <w:rPr>
          <w:rFonts w:ascii="宋体" w:hAnsi="宋体"/>
          <w:color w:val="auto"/>
          <w:kern w:val="0"/>
          <w:sz w:val="23"/>
          <w:szCs w:val="23"/>
        </w:rPr>
        <w:t>法定代表人或其委托代理人：</w:t>
      </w:r>
      <w:r>
        <w:rPr>
          <w:rFonts w:hint="eastAsia" w:ascii="宋体" w:hAnsi="宋体"/>
          <w:color w:val="auto"/>
          <w:kern w:val="0"/>
          <w:sz w:val="23"/>
          <w:szCs w:val="23"/>
          <w:u w:val="single"/>
        </w:rPr>
        <w:t xml:space="preserve">    </w:t>
      </w:r>
      <w:r>
        <w:rPr>
          <w:rFonts w:ascii="宋体" w:hAnsi="宋体"/>
          <w:color w:val="auto"/>
          <w:kern w:val="0"/>
          <w:sz w:val="23"/>
          <w:szCs w:val="23"/>
        </w:rPr>
        <w:t>（签字）  法定代表人或其委托代理人</w:t>
      </w:r>
      <w:r>
        <w:rPr>
          <w:rFonts w:hint="eastAsia" w:ascii="宋体" w:hAnsi="宋体"/>
          <w:color w:val="auto"/>
          <w:kern w:val="0"/>
          <w:sz w:val="23"/>
          <w:szCs w:val="23"/>
        </w:rPr>
        <w:t>:</w:t>
      </w:r>
      <w:r>
        <w:rPr>
          <w:rFonts w:hint="eastAsia" w:ascii="宋体" w:hAnsi="宋体"/>
          <w:color w:val="auto"/>
          <w:kern w:val="0"/>
          <w:sz w:val="23"/>
          <w:szCs w:val="23"/>
          <w:u w:val="single"/>
        </w:rPr>
        <w:t xml:space="preserve">     </w:t>
      </w:r>
      <w:r>
        <w:rPr>
          <w:rFonts w:ascii="宋体" w:hAnsi="宋体"/>
          <w:color w:val="auto"/>
          <w:kern w:val="0"/>
          <w:sz w:val="23"/>
          <w:szCs w:val="23"/>
        </w:rPr>
        <w:t>（签字）</w:t>
      </w:r>
    </w:p>
    <w:p w14:paraId="337FB325">
      <w:pPr>
        <w:tabs>
          <w:tab w:val="left" w:pos="5675"/>
        </w:tabs>
        <w:spacing w:before="102" w:line="520" w:lineRule="exact"/>
        <w:jc w:val="left"/>
        <w:rPr>
          <w:rFonts w:ascii="宋体" w:hAnsi="宋体"/>
          <w:color w:val="auto"/>
          <w:kern w:val="0"/>
          <w:sz w:val="23"/>
          <w:szCs w:val="23"/>
          <w:lang w:eastAsia="en-US"/>
        </w:rPr>
      </w:pPr>
      <w:r>
        <w:rPr>
          <w:rFonts w:hint="eastAsia" w:ascii="宋体" w:hAnsi="宋体"/>
          <w:color w:val="auto"/>
          <w:kern w:val="0"/>
          <w:sz w:val="23"/>
          <w:szCs w:val="23"/>
          <w:u w:val="single"/>
        </w:rPr>
        <w:t xml:space="preserve">        </w:t>
      </w:r>
      <w:r>
        <w:rPr>
          <w:rFonts w:ascii="宋体" w:hAnsi="宋体"/>
          <w:color w:val="auto"/>
          <w:kern w:val="0"/>
          <w:sz w:val="23"/>
          <w:szCs w:val="23"/>
          <w:lang w:eastAsia="en-US"/>
        </w:rPr>
        <w:t>年</w:t>
      </w:r>
      <w:r>
        <w:rPr>
          <w:rFonts w:hint="eastAsia" w:ascii="宋体" w:hAnsi="宋体"/>
          <w:color w:val="auto"/>
          <w:kern w:val="0"/>
          <w:sz w:val="23"/>
          <w:szCs w:val="23"/>
          <w:u w:val="single"/>
        </w:rPr>
        <w:t xml:space="preserve">       </w:t>
      </w:r>
      <w:r>
        <w:rPr>
          <w:rFonts w:ascii="宋体" w:hAnsi="宋体"/>
          <w:color w:val="auto"/>
          <w:kern w:val="0"/>
          <w:sz w:val="23"/>
          <w:szCs w:val="23"/>
          <w:lang w:eastAsia="en-US"/>
        </w:rPr>
        <w:t>月</w:t>
      </w:r>
      <w:r>
        <w:rPr>
          <w:rFonts w:hint="eastAsia" w:ascii="宋体" w:hAnsi="宋体"/>
          <w:color w:val="auto"/>
          <w:kern w:val="0"/>
          <w:sz w:val="23"/>
          <w:szCs w:val="23"/>
          <w:u w:val="single"/>
        </w:rPr>
        <w:t xml:space="preserve">       </w:t>
      </w:r>
      <w:r>
        <w:rPr>
          <w:rFonts w:ascii="宋体" w:hAnsi="宋体"/>
          <w:color w:val="auto"/>
          <w:kern w:val="0"/>
          <w:sz w:val="23"/>
          <w:szCs w:val="23"/>
          <w:lang w:eastAsia="en-US"/>
        </w:rPr>
        <w:t>日</w:t>
      </w:r>
      <w:r>
        <w:rPr>
          <w:rFonts w:hint="eastAsia" w:ascii="宋体" w:hAnsi="宋体"/>
          <w:color w:val="auto"/>
          <w:kern w:val="0"/>
          <w:sz w:val="23"/>
          <w:szCs w:val="23"/>
        </w:rPr>
        <w:t xml:space="preserve">            </w:t>
      </w:r>
      <w:r>
        <w:rPr>
          <w:rFonts w:hint="eastAsia" w:ascii="宋体" w:hAnsi="宋体"/>
          <w:color w:val="auto"/>
          <w:kern w:val="0"/>
          <w:sz w:val="23"/>
          <w:szCs w:val="23"/>
          <w:u w:val="single"/>
        </w:rPr>
        <w:t xml:space="preserve">       </w:t>
      </w:r>
      <w:r>
        <w:rPr>
          <w:rFonts w:ascii="宋体" w:hAnsi="宋体"/>
          <w:color w:val="auto"/>
          <w:kern w:val="0"/>
          <w:sz w:val="23"/>
          <w:szCs w:val="23"/>
          <w:lang w:eastAsia="en-US"/>
        </w:rPr>
        <w:t>年</w:t>
      </w:r>
      <w:r>
        <w:rPr>
          <w:rFonts w:hint="eastAsia" w:ascii="宋体" w:hAnsi="宋体"/>
          <w:color w:val="auto"/>
          <w:kern w:val="0"/>
          <w:sz w:val="23"/>
          <w:szCs w:val="23"/>
          <w:u w:val="single"/>
        </w:rPr>
        <w:t xml:space="preserve">       </w:t>
      </w:r>
      <w:r>
        <w:rPr>
          <w:rFonts w:ascii="宋体" w:hAnsi="宋体"/>
          <w:color w:val="auto"/>
          <w:kern w:val="0"/>
          <w:sz w:val="23"/>
          <w:szCs w:val="23"/>
          <w:lang w:eastAsia="en-US"/>
        </w:rPr>
        <w:t>月</w:t>
      </w:r>
      <w:r>
        <w:rPr>
          <w:rFonts w:hint="eastAsia" w:ascii="宋体" w:hAnsi="宋体"/>
          <w:color w:val="auto"/>
          <w:kern w:val="0"/>
          <w:sz w:val="23"/>
          <w:szCs w:val="23"/>
          <w:u w:val="single"/>
        </w:rPr>
        <w:t xml:space="preserve">       </w:t>
      </w:r>
      <w:r>
        <w:rPr>
          <w:rFonts w:ascii="宋体" w:hAnsi="宋体"/>
          <w:color w:val="auto"/>
          <w:kern w:val="0"/>
          <w:sz w:val="23"/>
          <w:szCs w:val="23"/>
          <w:lang w:eastAsia="en-US"/>
        </w:rPr>
        <w:t xml:space="preserve"> 日</w:t>
      </w:r>
    </w:p>
    <w:p w14:paraId="50FD1FC6">
      <w:pPr>
        <w:spacing w:line="520" w:lineRule="exact"/>
        <w:rPr>
          <w:color w:val="auto"/>
          <w:sz w:val="22"/>
          <w:lang w:eastAsia="en-US"/>
        </w:rPr>
      </w:pPr>
    </w:p>
    <w:p w14:paraId="22E89B41">
      <w:pPr>
        <w:spacing w:line="520" w:lineRule="exact"/>
        <w:rPr>
          <w:color w:val="auto"/>
          <w:sz w:val="22"/>
          <w:lang w:eastAsia="en-US"/>
        </w:rPr>
      </w:pPr>
    </w:p>
    <w:p w14:paraId="5C80C1C0">
      <w:pPr>
        <w:widowControl/>
        <w:spacing w:line="520" w:lineRule="exact"/>
        <w:jc w:val="left"/>
        <w:rPr>
          <w:rFonts w:ascii="宋体" w:hAnsi="宋体"/>
          <w:color w:val="auto"/>
        </w:rPr>
      </w:pPr>
      <w:r>
        <w:rPr>
          <w:rFonts w:ascii="宋体" w:hAnsi="宋体"/>
          <w:color w:val="auto"/>
        </w:rPr>
        <w:br w:type="page"/>
      </w:r>
    </w:p>
    <w:p w14:paraId="77C5BAB1">
      <w:pPr>
        <w:spacing w:line="440" w:lineRule="exact"/>
        <w:jc w:val="left"/>
        <w:rPr>
          <w:rFonts w:hint="eastAsia" w:ascii="宋体" w:hAnsi="宋体" w:eastAsia="宋体" w:cs="黑体"/>
          <w:b/>
          <w:color w:val="auto"/>
          <w:sz w:val="28"/>
          <w:szCs w:val="28"/>
          <w:highlight w:val="none"/>
        </w:rPr>
      </w:pPr>
      <w:r>
        <w:rPr>
          <w:rFonts w:hint="eastAsia" w:ascii="宋体" w:hAnsi="宋体" w:eastAsia="宋体" w:cs="黑体"/>
          <w:b/>
          <w:color w:val="auto"/>
          <w:sz w:val="28"/>
          <w:szCs w:val="28"/>
          <w:highlight w:val="none"/>
        </w:rPr>
        <w:t>附件二  廉政合同</w:t>
      </w:r>
    </w:p>
    <w:p w14:paraId="02B75B77">
      <w:pPr>
        <w:spacing w:before="120" w:after="120" w:line="520" w:lineRule="exact"/>
        <w:jc w:val="center"/>
        <w:rPr>
          <w:rFonts w:ascii="宋体" w:hAnsi="宋体"/>
          <w:b/>
          <w:color w:val="auto"/>
          <w:sz w:val="32"/>
          <w:szCs w:val="32"/>
        </w:rPr>
      </w:pPr>
      <w:r>
        <w:rPr>
          <w:rFonts w:hint="eastAsia" w:ascii="宋体" w:hAnsi="宋体"/>
          <w:b/>
          <w:color w:val="auto"/>
          <w:sz w:val="32"/>
          <w:szCs w:val="32"/>
        </w:rPr>
        <w:t>廉政合同</w:t>
      </w:r>
    </w:p>
    <w:p w14:paraId="704C763D">
      <w:pPr>
        <w:wordWrap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（项目名称）项目法人</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（项目法人名称，以下简称“发包人”）与该项目</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标段的施工监理单位</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（施工监理单位名称，以下简称“监理人”），特订立如下合同。</w:t>
      </w:r>
    </w:p>
    <w:p w14:paraId="7D75B91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 委托人和监理人双方的权利和义务</w:t>
      </w:r>
    </w:p>
    <w:p w14:paraId="2E5571C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 严格遵守党的政策规定和国家有关法律法规及交通运输部的有关规定。</w:t>
      </w:r>
    </w:p>
    <w:p w14:paraId="0F0AD92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 严格执行</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（项目名称）</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标段施工监理合同文件，自觉按合同办事。</w:t>
      </w:r>
    </w:p>
    <w:p w14:paraId="705EDCAC">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 双方的业务活动坚持公开、公正、诚信、透明的原则（法律认定的商业秘密和合同文件另有规定除外），不得损害国家和集体利益，不得违反工程建设管理规章制度。</w:t>
      </w:r>
    </w:p>
    <w:p w14:paraId="3479AA50">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 建立健全廉政制度，开展廉政教育，设立廉政告示牌，公布举报电话，监督并认真查处违法违纪行为。</w:t>
      </w:r>
    </w:p>
    <w:p w14:paraId="6537FB9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 发现对方在业务活动中有违反廉政规定的行为，有及时提醒对方纠正的权利和义务。</w:t>
      </w:r>
    </w:p>
    <w:p w14:paraId="2C29B0C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 发现对方严重违反本合同义务条款的行为，有向其上级有关部门举报、建议给予处理并要求告知处理结果的权利。</w:t>
      </w:r>
    </w:p>
    <w:p w14:paraId="5759C9B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 委托人的义务</w:t>
      </w:r>
    </w:p>
    <w:p w14:paraId="6AD6D6AB">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 委托人及其工作人员不得索要或接受监理人的礼金 、有价证券和贵重物品，不得让监理人报销任何应由委托人或委托人工作人员个人支付的费用等。</w:t>
      </w:r>
    </w:p>
    <w:p w14:paraId="1D6517E8">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 委托人工作人员不得参加监理人安排的超标准宴请和娱乐活动；不得接受监理人提供的通信工具、交通工具和高档办公用品等 。</w:t>
      </w:r>
    </w:p>
    <w:p w14:paraId="22C39BA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 委托人及其工作人员不得要求或者接受监理人为其住房装修、婚丧嫁娶活动、配偶子女的工作安排以及出国出境、旅游等提供方便等 。</w:t>
      </w:r>
    </w:p>
    <w:p w14:paraId="7A5ED70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 委托人工作人员及其配偶、子女不得从事与委托人工程有关的材料设备供应、工程分包、劳务等经济活动等。</w:t>
      </w:r>
    </w:p>
    <w:p w14:paraId="5EF29C72">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 委托人及其工作人员不得以任何理由向监理人推荐分包单位或推销材料，不得要求监理人购买合同规定外的材料和设备 。</w:t>
      </w:r>
    </w:p>
    <w:p w14:paraId="398B2156">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 委托人工作人员要秉公办事，不准营私舞弊，不准利用职权从事各种个人有偿中介活动和安排个人施工监理队伍 。</w:t>
      </w:r>
    </w:p>
    <w:p w14:paraId="357C53EE">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 监理人的义务</w:t>
      </w:r>
    </w:p>
    <w:p w14:paraId="484E06B2">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（1）监理人不得以任何理由向委托人及其工作人员行贿或馈赠礼金、有价证券、贵重礼品 。</w:t>
      </w:r>
    </w:p>
    <w:p w14:paraId="26884C74">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（2）监理人不得以任何名义为委托人及其工作人员报销应由委托人单位或个人支付的任何费用。</w:t>
      </w:r>
    </w:p>
    <w:p w14:paraId="09794ECE">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（3）监理人不得以任何理由安排委托人工作人员参加超标准宴请及娱乐活动。</w:t>
      </w:r>
    </w:p>
    <w:p w14:paraId="2F3C6F05">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（4）监理人不得为委托人单位和个人购置或提供通信工具、交通工具和高档办公用品等。</w:t>
      </w:r>
    </w:p>
    <w:p w14:paraId="79BD9AFC">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  违约责任</w:t>
      </w:r>
    </w:p>
    <w:p w14:paraId="49C292CB">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 委托人及其工作人员违反本合同第 1、2 条，按管理权限，依据有关规定给予党纪、政纪或组织处理；涉嫌犯罪的，移交司法机关追究刑事责任：给监理人单位造成经济损失的，应予以赔偿 。</w:t>
      </w:r>
    </w:p>
    <w:p w14:paraId="6E244FCB">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（2）监理人及其工作人员违反本合同第 1、3 条，按管理权限，依据有关规定给予党纪 、政纪或组织处理 ：给委托人单位造成经济损失的，应予以赔偿；情节严重的，委托人建议交通运输主管部门给予监理人 一至三年内不得进入其主管的公路建设市场的处罚 。</w:t>
      </w:r>
    </w:p>
    <w:p w14:paraId="42BC4734">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 双方约定：本合同由双方或双方上级单位的纪检监察部门负责监督执行。由委托人或委托人上级单位的纪检监察部门约请监理人或监理人上级单位纪检监察部门对本合同执行情况进行检查，提出在本合同规定范围内的裁定意见。</w:t>
      </w:r>
    </w:p>
    <w:p w14:paraId="32543579">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 本合同有效期为委托人和监理 人签署之 日起至该工程项目竣工验收后止。</w:t>
      </w:r>
    </w:p>
    <w:p w14:paraId="0D192954">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  本合同作为</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 xml:space="preserve"> （ 项目名称）</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 xml:space="preserve"> 标段施工监理合同的附件，与工程施工监理合同具有同等的法律效力，经合同双方签署后立即生效。</w:t>
      </w:r>
    </w:p>
    <w:p w14:paraId="3245FC32">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 本合同一式四份，由委托人和监理人各执一份，送交委托人和监理人的监督单位各一份。</w:t>
      </w:r>
    </w:p>
    <w:p w14:paraId="2649BF00">
      <w:pPr>
        <w:spacing w:line="520" w:lineRule="exact"/>
        <w:ind w:firstLine="480" w:firstLineChars="200"/>
        <w:rPr>
          <w:rFonts w:ascii="宋体" w:hAnsi="宋体"/>
          <w:color w:val="auto"/>
          <w:kern w:val="0"/>
          <w:sz w:val="24"/>
        </w:rPr>
      </w:pPr>
    </w:p>
    <w:p w14:paraId="0BD39DC0">
      <w:pPr>
        <w:spacing w:line="520" w:lineRule="exact"/>
        <w:ind w:firstLine="480" w:firstLineChars="200"/>
        <w:rPr>
          <w:rFonts w:ascii="宋体" w:hAnsi="宋体"/>
          <w:color w:val="auto"/>
          <w:kern w:val="0"/>
          <w:sz w:val="24"/>
        </w:rPr>
      </w:pPr>
    </w:p>
    <w:p w14:paraId="4BA8EA31">
      <w:pPr>
        <w:spacing w:line="520" w:lineRule="exact"/>
        <w:ind w:firstLine="480" w:firstLineChars="200"/>
        <w:rPr>
          <w:rFonts w:ascii="宋体" w:hAnsi="宋体"/>
          <w:color w:val="auto"/>
          <w:kern w:val="0"/>
          <w:sz w:val="24"/>
        </w:rPr>
      </w:pPr>
    </w:p>
    <w:p w14:paraId="707A21E1">
      <w:pPr>
        <w:spacing w:line="360" w:lineRule="auto"/>
        <w:rPr>
          <w:rFonts w:ascii="宋体" w:hAnsi="宋体"/>
          <w:color w:val="auto"/>
          <w:kern w:val="0"/>
          <w:sz w:val="22"/>
        </w:rPr>
      </w:pPr>
      <w:r>
        <w:rPr>
          <w:rFonts w:ascii="宋体" w:hAnsi="宋体"/>
          <w:color w:val="auto"/>
          <w:kern w:val="0"/>
          <w:sz w:val="22"/>
        </w:rPr>
        <w:t>委托人</w:t>
      </w:r>
      <w:r>
        <w:rPr>
          <w:rFonts w:ascii="宋体" w:hAnsi="宋体"/>
          <w:color w:val="auto"/>
          <w:kern w:val="0"/>
          <w:sz w:val="22"/>
          <w:u w:color="000000"/>
        </w:rPr>
        <w:t>：</w:t>
      </w:r>
      <w:r>
        <w:rPr>
          <w:rFonts w:hint="eastAsia" w:ascii="宋体" w:hAnsi="宋体"/>
          <w:color w:val="auto"/>
          <w:kern w:val="0"/>
          <w:sz w:val="22"/>
          <w:u w:val="single" w:color="000000"/>
        </w:rPr>
        <w:t xml:space="preserve"> </w:t>
      </w:r>
      <w:r>
        <w:rPr>
          <w:rFonts w:ascii="宋体" w:hAnsi="宋体"/>
          <w:color w:val="auto"/>
          <w:kern w:val="0"/>
          <w:sz w:val="22"/>
          <w:u w:val="single" w:color="000000"/>
        </w:rPr>
        <w:t xml:space="preserve">               </w:t>
      </w:r>
      <w:r>
        <w:rPr>
          <w:rFonts w:ascii="宋体" w:hAnsi="宋体"/>
          <w:color w:val="auto"/>
          <w:kern w:val="0"/>
          <w:sz w:val="22"/>
          <w:u w:val="single"/>
        </w:rPr>
        <w:t xml:space="preserve">  </w:t>
      </w:r>
      <w:r>
        <w:rPr>
          <w:rFonts w:ascii="宋体" w:hAnsi="宋体"/>
          <w:color w:val="auto"/>
          <w:kern w:val="0"/>
          <w:sz w:val="22"/>
        </w:rPr>
        <w:t>（盖单位章）</w:t>
      </w:r>
      <w:r>
        <w:rPr>
          <w:rFonts w:ascii="宋体" w:hAnsi="宋体"/>
          <w:color w:val="auto"/>
          <w:kern w:val="0"/>
          <w:sz w:val="22"/>
        </w:rPr>
        <w:tab/>
      </w:r>
      <w:r>
        <w:rPr>
          <w:rFonts w:hint="eastAsia" w:ascii="宋体" w:hAnsi="宋体"/>
          <w:color w:val="auto"/>
          <w:kern w:val="0"/>
          <w:sz w:val="22"/>
        </w:rPr>
        <w:t xml:space="preserve">     </w:t>
      </w:r>
      <w:r>
        <w:rPr>
          <w:rFonts w:ascii="宋体" w:hAnsi="宋体"/>
          <w:color w:val="auto"/>
          <w:kern w:val="0"/>
          <w:sz w:val="22"/>
        </w:rPr>
        <w:t>监理人</w:t>
      </w:r>
      <w:r>
        <w:rPr>
          <w:rFonts w:ascii="宋体" w:hAnsi="宋体"/>
          <w:color w:val="auto"/>
          <w:kern w:val="0"/>
          <w:sz w:val="22"/>
          <w:u w:val="single" w:color="000000"/>
        </w:rPr>
        <w:t>：</w:t>
      </w:r>
      <w:r>
        <w:rPr>
          <w:rFonts w:hint="eastAsia" w:ascii="宋体" w:hAnsi="宋体"/>
          <w:color w:val="auto"/>
          <w:kern w:val="0"/>
          <w:sz w:val="22"/>
          <w:u w:val="single" w:color="000000"/>
        </w:rPr>
        <w:t xml:space="preserve"> </w:t>
      </w:r>
      <w:r>
        <w:rPr>
          <w:rFonts w:ascii="宋体" w:hAnsi="宋体"/>
          <w:color w:val="auto"/>
          <w:kern w:val="0"/>
          <w:sz w:val="22"/>
          <w:u w:val="single" w:color="000000"/>
        </w:rPr>
        <w:t xml:space="preserve">            </w:t>
      </w:r>
      <w:r>
        <w:rPr>
          <w:rFonts w:ascii="宋体" w:hAnsi="宋体"/>
          <w:color w:val="auto"/>
          <w:kern w:val="0"/>
          <w:sz w:val="22"/>
        </w:rPr>
        <w:t>（ 盖单位章）</w:t>
      </w:r>
    </w:p>
    <w:p w14:paraId="216069AA">
      <w:pPr>
        <w:spacing w:line="360" w:lineRule="auto"/>
        <w:ind w:left="4180" w:hanging="4180" w:hangingChars="1900"/>
        <w:rPr>
          <w:rFonts w:ascii="宋体" w:hAnsi="宋体"/>
          <w:color w:val="auto"/>
          <w:kern w:val="0"/>
          <w:sz w:val="22"/>
        </w:rPr>
      </w:pPr>
      <w:r>
        <w:rPr>
          <w:rFonts w:ascii="宋体" w:hAnsi="宋体"/>
          <w:color w:val="auto"/>
          <w:kern w:val="0"/>
          <w:sz w:val="22"/>
        </w:rPr>
        <w:t>法定代表人或其委托代理人：</w:t>
      </w:r>
      <w:r>
        <w:rPr>
          <w:rFonts w:hint="eastAsia" w:ascii="宋体" w:hAnsi="宋体"/>
          <w:color w:val="auto"/>
          <w:kern w:val="0"/>
          <w:sz w:val="22"/>
          <w:u w:val="single"/>
        </w:rPr>
        <w:t xml:space="preserve"> </w:t>
      </w:r>
      <w:r>
        <w:rPr>
          <w:rFonts w:ascii="宋体" w:hAnsi="宋体"/>
          <w:color w:val="auto"/>
          <w:kern w:val="0"/>
          <w:sz w:val="22"/>
          <w:u w:val="single"/>
        </w:rPr>
        <w:t xml:space="preserve"> </w:t>
      </w:r>
      <w:r>
        <w:rPr>
          <w:rFonts w:hint="eastAsia" w:ascii="宋体" w:hAnsi="宋体"/>
          <w:color w:val="auto"/>
          <w:kern w:val="0"/>
          <w:sz w:val="22"/>
          <w:u w:val="single"/>
        </w:rPr>
        <w:t xml:space="preserve">  </w:t>
      </w:r>
      <w:r>
        <w:rPr>
          <w:rFonts w:hint="eastAsia" w:ascii="宋体" w:hAnsi="宋体"/>
          <w:color w:val="auto"/>
          <w:kern w:val="0"/>
          <w:sz w:val="22"/>
        </w:rPr>
        <w:t>（</w:t>
      </w:r>
      <w:r>
        <w:rPr>
          <w:rFonts w:ascii="宋体" w:hAnsi="宋体"/>
          <w:color w:val="auto"/>
          <w:kern w:val="0"/>
          <w:sz w:val="22"/>
        </w:rPr>
        <w:t>签字</w:t>
      </w:r>
      <w:r>
        <w:rPr>
          <w:rFonts w:hint="eastAsia" w:ascii="宋体" w:hAnsi="宋体"/>
          <w:color w:val="auto"/>
          <w:kern w:val="0"/>
          <w:sz w:val="22"/>
        </w:rPr>
        <w:t>）</w:t>
      </w:r>
      <w:r>
        <w:rPr>
          <w:rFonts w:ascii="宋体" w:hAnsi="宋体"/>
          <w:color w:val="auto"/>
          <w:kern w:val="0"/>
          <w:sz w:val="22"/>
        </w:rPr>
        <w:tab/>
      </w:r>
      <w:r>
        <w:rPr>
          <w:rFonts w:ascii="宋体" w:hAnsi="宋体"/>
          <w:color w:val="auto"/>
          <w:kern w:val="0"/>
          <w:sz w:val="22"/>
        </w:rPr>
        <w:tab/>
      </w:r>
      <w:r>
        <w:rPr>
          <w:rFonts w:hint="eastAsia" w:ascii="宋体" w:hAnsi="宋体"/>
          <w:color w:val="auto"/>
          <w:kern w:val="0"/>
          <w:sz w:val="22"/>
        </w:rPr>
        <w:t xml:space="preserve"> </w:t>
      </w:r>
      <w:r>
        <w:rPr>
          <w:rFonts w:ascii="宋体" w:hAnsi="宋体"/>
          <w:color w:val="auto"/>
          <w:kern w:val="0"/>
          <w:sz w:val="22"/>
        </w:rPr>
        <w:t>法定代表人或其委托代理人：</w:t>
      </w:r>
      <w:r>
        <w:rPr>
          <w:rFonts w:hint="eastAsia" w:ascii="宋体" w:hAnsi="宋体"/>
          <w:color w:val="auto"/>
          <w:kern w:val="0"/>
          <w:sz w:val="22"/>
          <w:u w:val="single"/>
        </w:rPr>
        <w:t xml:space="preserve">     </w:t>
      </w:r>
      <w:r>
        <w:rPr>
          <w:rFonts w:hint="eastAsia" w:ascii="宋体" w:hAnsi="宋体"/>
          <w:color w:val="auto"/>
          <w:kern w:val="0"/>
          <w:sz w:val="22"/>
        </w:rPr>
        <w:t>（</w:t>
      </w:r>
      <w:r>
        <w:rPr>
          <w:rFonts w:ascii="宋体" w:hAnsi="宋体"/>
          <w:color w:val="auto"/>
          <w:kern w:val="0"/>
          <w:sz w:val="22"/>
        </w:rPr>
        <w:t>签字）</w:t>
      </w:r>
    </w:p>
    <w:p w14:paraId="445265E5">
      <w:pPr>
        <w:spacing w:line="360" w:lineRule="auto"/>
        <w:ind w:left="4180" w:hanging="4180" w:hangingChars="1900"/>
        <w:rPr>
          <w:rFonts w:ascii="宋体" w:hAnsi="宋体"/>
          <w:color w:val="auto"/>
          <w:kern w:val="0"/>
          <w:sz w:val="22"/>
        </w:rPr>
      </w:pPr>
      <w:r>
        <w:rPr>
          <w:rFonts w:hint="eastAsia" w:ascii="宋体" w:hAnsi="宋体"/>
          <w:color w:val="auto"/>
          <w:kern w:val="0"/>
          <w:sz w:val="22"/>
          <w:u w:val="single"/>
        </w:rPr>
        <w:t xml:space="preserve">     </w:t>
      </w:r>
      <w:r>
        <w:rPr>
          <w:rFonts w:ascii="宋体" w:hAnsi="宋体"/>
          <w:color w:val="auto"/>
          <w:kern w:val="0"/>
          <w:sz w:val="22"/>
        </w:rPr>
        <w:t>年</w:t>
      </w:r>
      <w:r>
        <w:rPr>
          <w:rFonts w:hint="eastAsia" w:ascii="宋体" w:hAnsi="宋体"/>
          <w:color w:val="auto"/>
          <w:kern w:val="0"/>
          <w:sz w:val="22"/>
          <w:u w:val="single"/>
        </w:rPr>
        <w:t xml:space="preserve">     </w:t>
      </w:r>
      <w:r>
        <w:rPr>
          <w:rFonts w:ascii="宋体" w:hAnsi="宋体"/>
          <w:color w:val="auto"/>
          <w:kern w:val="0"/>
          <w:sz w:val="22"/>
        </w:rPr>
        <w:t>月</w:t>
      </w:r>
      <w:r>
        <w:rPr>
          <w:rFonts w:hint="eastAsia" w:ascii="宋体" w:hAnsi="宋体"/>
          <w:color w:val="auto"/>
          <w:kern w:val="0"/>
          <w:sz w:val="22"/>
          <w:u w:val="single"/>
        </w:rPr>
        <w:t xml:space="preserve">     </w:t>
      </w:r>
      <w:r>
        <w:rPr>
          <w:rFonts w:ascii="宋体" w:hAnsi="宋体"/>
          <w:color w:val="auto"/>
          <w:kern w:val="0"/>
          <w:sz w:val="22"/>
        </w:rPr>
        <w:t>日</w:t>
      </w:r>
      <w:r>
        <w:rPr>
          <w:rFonts w:ascii="宋体" w:hAnsi="宋体"/>
          <w:color w:val="auto"/>
          <w:kern w:val="0"/>
          <w:sz w:val="22"/>
        </w:rPr>
        <w:tab/>
      </w:r>
      <w:r>
        <w:rPr>
          <w:rFonts w:ascii="宋体" w:hAnsi="宋体"/>
          <w:color w:val="auto"/>
          <w:kern w:val="0"/>
          <w:sz w:val="22"/>
        </w:rPr>
        <w:tab/>
      </w:r>
      <w:r>
        <w:rPr>
          <w:rFonts w:ascii="宋体" w:hAnsi="宋体"/>
          <w:color w:val="auto"/>
          <w:kern w:val="0"/>
          <w:sz w:val="22"/>
        </w:rPr>
        <w:tab/>
      </w:r>
      <w:r>
        <w:rPr>
          <w:rFonts w:hint="eastAsia" w:ascii="宋体" w:hAnsi="宋体"/>
          <w:color w:val="auto"/>
          <w:kern w:val="0"/>
          <w:sz w:val="22"/>
        </w:rPr>
        <w:t xml:space="preserve">  </w:t>
      </w:r>
      <w:r>
        <w:rPr>
          <w:rFonts w:hint="eastAsia" w:ascii="宋体" w:hAnsi="宋体"/>
          <w:color w:val="auto"/>
          <w:kern w:val="0"/>
          <w:sz w:val="22"/>
          <w:u w:val="single"/>
        </w:rPr>
        <w:t xml:space="preserve">     </w:t>
      </w:r>
      <w:r>
        <w:rPr>
          <w:rFonts w:ascii="宋体" w:hAnsi="宋体"/>
          <w:color w:val="auto"/>
          <w:kern w:val="0"/>
          <w:sz w:val="22"/>
        </w:rPr>
        <w:t>年</w:t>
      </w:r>
      <w:r>
        <w:rPr>
          <w:rFonts w:hint="eastAsia" w:ascii="宋体" w:hAnsi="宋体"/>
          <w:color w:val="auto"/>
          <w:kern w:val="0"/>
          <w:sz w:val="22"/>
          <w:u w:val="single"/>
        </w:rPr>
        <w:t xml:space="preserve">     </w:t>
      </w:r>
      <w:r>
        <w:rPr>
          <w:rFonts w:ascii="宋体" w:hAnsi="宋体"/>
          <w:color w:val="auto"/>
          <w:kern w:val="0"/>
          <w:sz w:val="22"/>
        </w:rPr>
        <w:t>月</w:t>
      </w:r>
      <w:r>
        <w:rPr>
          <w:rFonts w:hint="eastAsia" w:ascii="宋体" w:hAnsi="宋体"/>
          <w:color w:val="auto"/>
          <w:kern w:val="0"/>
          <w:sz w:val="22"/>
          <w:u w:val="single"/>
        </w:rPr>
        <w:t xml:space="preserve">     </w:t>
      </w:r>
      <w:r>
        <w:rPr>
          <w:rFonts w:ascii="宋体" w:hAnsi="宋体"/>
          <w:color w:val="auto"/>
          <w:kern w:val="0"/>
          <w:sz w:val="22"/>
        </w:rPr>
        <w:t>日</w:t>
      </w:r>
    </w:p>
    <w:p w14:paraId="4FBC066D">
      <w:pPr>
        <w:spacing w:line="360" w:lineRule="auto"/>
        <w:ind w:left="4180" w:hanging="4180" w:hangingChars="1900"/>
        <w:rPr>
          <w:rFonts w:ascii="宋体" w:hAnsi="宋体"/>
          <w:color w:val="auto"/>
          <w:kern w:val="0"/>
          <w:sz w:val="22"/>
        </w:rPr>
      </w:pPr>
      <w:r>
        <w:rPr>
          <w:rFonts w:ascii="宋体" w:hAnsi="宋体"/>
          <w:color w:val="auto"/>
          <w:kern w:val="0"/>
          <w:sz w:val="22"/>
        </w:rPr>
        <w:t>委托人监督单位：</w:t>
      </w:r>
      <w:r>
        <w:rPr>
          <w:rFonts w:hint="eastAsia" w:ascii="宋体" w:hAnsi="宋体"/>
          <w:color w:val="auto"/>
          <w:kern w:val="0"/>
          <w:sz w:val="22"/>
          <w:u w:val="single"/>
        </w:rPr>
        <w:t>（</w:t>
      </w:r>
      <w:r>
        <w:rPr>
          <w:rFonts w:ascii="宋体" w:hAnsi="宋体"/>
          <w:color w:val="auto"/>
          <w:kern w:val="0"/>
          <w:sz w:val="22"/>
          <w:u w:val="single"/>
        </w:rPr>
        <w:t xml:space="preserve">全称） </w:t>
      </w:r>
      <w:r>
        <w:rPr>
          <w:rFonts w:hint="eastAsia" w:ascii="宋体" w:hAnsi="宋体"/>
          <w:color w:val="auto"/>
          <w:kern w:val="0"/>
          <w:sz w:val="22"/>
        </w:rPr>
        <w:t>（</w:t>
      </w:r>
      <w:r>
        <w:rPr>
          <w:rFonts w:ascii="宋体" w:hAnsi="宋体"/>
          <w:color w:val="auto"/>
          <w:kern w:val="0"/>
          <w:sz w:val="22"/>
        </w:rPr>
        <w:t>盖单位章）</w:t>
      </w:r>
      <w:r>
        <w:rPr>
          <w:rFonts w:ascii="宋体" w:hAnsi="宋体"/>
          <w:color w:val="auto"/>
          <w:kern w:val="0"/>
          <w:sz w:val="22"/>
        </w:rPr>
        <w:tab/>
      </w:r>
      <w:r>
        <w:rPr>
          <w:rFonts w:ascii="宋体" w:hAnsi="宋体"/>
          <w:color w:val="auto"/>
          <w:kern w:val="0"/>
          <w:sz w:val="22"/>
        </w:rPr>
        <w:tab/>
      </w:r>
      <w:r>
        <w:rPr>
          <w:rFonts w:hint="eastAsia" w:ascii="宋体" w:hAnsi="宋体"/>
          <w:color w:val="auto"/>
          <w:kern w:val="0"/>
          <w:sz w:val="22"/>
        </w:rPr>
        <w:t xml:space="preserve">     </w:t>
      </w:r>
      <w:r>
        <w:rPr>
          <w:rFonts w:ascii="宋体" w:hAnsi="宋体"/>
          <w:color w:val="auto"/>
          <w:kern w:val="0"/>
          <w:sz w:val="22"/>
        </w:rPr>
        <w:t>监理人监督单位：</w:t>
      </w:r>
      <w:r>
        <w:rPr>
          <w:rFonts w:ascii="宋体" w:hAnsi="宋体"/>
          <w:color w:val="auto"/>
          <w:kern w:val="0"/>
          <w:sz w:val="22"/>
          <w:u w:val="single"/>
        </w:rPr>
        <w:t xml:space="preserve"> （全称）  </w:t>
      </w:r>
      <w:r>
        <w:rPr>
          <w:rFonts w:hint="eastAsia" w:ascii="宋体" w:hAnsi="宋体"/>
          <w:color w:val="auto"/>
          <w:kern w:val="0"/>
          <w:sz w:val="22"/>
        </w:rPr>
        <w:t>（</w:t>
      </w:r>
      <w:r>
        <w:rPr>
          <w:rFonts w:ascii="宋体" w:hAnsi="宋体"/>
          <w:color w:val="auto"/>
          <w:kern w:val="0"/>
          <w:sz w:val="22"/>
        </w:rPr>
        <w:t>盖单位章）</w:t>
      </w:r>
    </w:p>
    <w:p w14:paraId="237F8682">
      <w:pPr>
        <w:spacing w:line="440" w:lineRule="exact"/>
        <w:jc w:val="left"/>
        <w:rPr>
          <w:color w:val="auto"/>
        </w:rPr>
      </w:pPr>
      <w:r>
        <w:rPr>
          <w:rFonts w:hAnsi="宋体"/>
          <w:b w:val="0"/>
          <w:bCs w:val="0"/>
          <w:color w:val="auto"/>
          <w:szCs w:val="24"/>
        </w:rPr>
        <w:br w:type="page"/>
      </w:r>
      <w:bookmarkStart w:id="182" w:name="_Hlk525857141"/>
      <w:r>
        <w:rPr>
          <w:rFonts w:hint="eastAsia" w:ascii="宋体" w:hAnsi="宋体" w:eastAsia="宋体" w:cs="黑体"/>
          <w:b/>
          <w:color w:val="auto"/>
          <w:sz w:val="28"/>
          <w:szCs w:val="28"/>
          <w:highlight w:val="none"/>
        </w:rPr>
        <w:t>附件三  其他主要监理人员最低要求</w:t>
      </w:r>
    </w:p>
    <w:p w14:paraId="75EE3BBC">
      <w:pPr>
        <w:jc w:val="center"/>
        <w:rPr>
          <w:rFonts w:hint="eastAsia" w:ascii="宋体" w:hAnsi="宋体"/>
          <w:b/>
          <w:bCs/>
          <w:color w:val="auto"/>
          <w:kern w:val="0"/>
          <w:sz w:val="24"/>
        </w:rPr>
      </w:pPr>
      <w:bookmarkStart w:id="183" w:name="_Hlk83113978"/>
    </w:p>
    <w:p w14:paraId="03A1354B">
      <w:pPr>
        <w:jc w:val="center"/>
        <w:rPr>
          <w:rFonts w:ascii="宋体" w:hAnsi="宋体"/>
          <w:b/>
          <w:color w:val="auto"/>
          <w:kern w:val="0"/>
          <w:sz w:val="24"/>
        </w:rPr>
      </w:pPr>
      <w:r>
        <w:rPr>
          <w:rFonts w:hint="eastAsia" w:ascii="宋体" w:hAnsi="宋体"/>
          <w:b/>
          <w:bCs/>
          <w:color w:val="auto"/>
          <w:kern w:val="0"/>
          <w:sz w:val="24"/>
        </w:rPr>
        <w:t>总监理工程师办公室</w:t>
      </w:r>
    </w:p>
    <w:bookmarkEnd w:id="183"/>
    <w:tbl>
      <w:tblPr>
        <w:tblStyle w:val="20"/>
        <w:tblW w:w="890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7"/>
        <w:gridCol w:w="1130"/>
        <w:gridCol w:w="5593"/>
        <w:gridCol w:w="838"/>
        <w:gridCol w:w="680"/>
      </w:tblGrid>
      <w:tr w14:paraId="0980BC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667" w:type="dxa"/>
            <w:vAlign w:val="center"/>
          </w:tcPr>
          <w:p w14:paraId="16ADDB8A">
            <w:pPr>
              <w:spacing w:before="120" w:after="120" w:line="320" w:lineRule="exact"/>
              <w:jc w:val="center"/>
              <w:rPr>
                <w:rFonts w:ascii="宋体" w:hAnsi="宋体"/>
                <w:color w:val="auto"/>
                <w:szCs w:val="21"/>
              </w:rPr>
            </w:pPr>
            <w:r>
              <w:rPr>
                <w:rFonts w:hint="eastAsia" w:ascii="宋体" w:hAnsi="宋体"/>
                <w:color w:val="auto"/>
                <w:szCs w:val="21"/>
              </w:rPr>
              <w:t>序号</w:t>
            </w:r>
          </w:p>
        </w:tc>
        <w:tc>
          <w:tcPr>
            <w:tcW w:w="1130" w:type="dxa"/>
            <w:vAlign w:val="center"/>
          </w:tcPr>
          <w:p w14:paraId="05065D2D">
            <w:pPr>
              <w:spacing w:before="120" w:after="120" w:line="320" w:lineRule="exact"/>
              <w:jc w:val="center"/>
              <w:rPr>
                <w:rFonts w:ascii="宋体" w:hAnsi="宋体"/>
                <w:color w:val="auto"/>
                <w:szCs w:val="21"/>
              </w:rPr>
            </w:pPr>
            <w:r>
              <w:rPr>
                <w:rFonts w:hint="eastAsia" w:ascii="宋体" w:hAnsi="宋体"/>
                <w:color w:val="auto"/>
                <w:szCs w:val="21"/>
              </w:rPr>
              <w:t>监理岗位</w:t>
            </w:r>
          </w:p>
        </w:tc>
        <w:tc>
          <w:tcPr>
            <w:tcW w:w="5593" w:type="dxa"/>
            <w:vAlign w:val="center"/>
          </w:tcPr>
          <w:p w14:paraId="0C8CACBD">
            <w:pPr>
              <w:spacing w:before="120" w:after="120" w:line="320" w:lineRule="exact"/>
              <w:jc w:val="center"/>
              <w:rPr>
                <w:rFonts w:ascii="宋体" w:hAnsi="宋体"/>
                <w:color w:val="auto"/>
                <w:szCs w:val="21"/>
              </w:rPr>
            </w:pPr>
            <w:r>
              <w:rPr>
                <w:rFonts w:hint="eastAsia" w:ascii="宋体" w:hAnsi="宋体"/>
                <w:color w:val="auto"/>
                <w:szCs w:val="21"/>
              </w:rPr>
              <w:t>资格要求</w:t>
            </w:r>
          </w:p>
        </w:tc>
        <w:tc>
          <w:tcPr>
            <w:tcW w:w="838" w:type="dxa"/>
            <w:vAlign w:val="center"/>
          </w:tcPr>
          <w:p w14:paraId="020BE554">
            <w:pPr>
              <w:spacing w:before="120" w:after="120" w:line="320" w:lineRule="exact"/>
              <w:jc w:val="center"/>
              <w:rPr>
                <w:rFonts w:ascii="宋体" w:hAnsi="宋体"/>
                <w:color w:val="auto"/>
                <w:szCs w:val="21"/>
              </w:rPr>
            </w:pPr>
            <w:r>
              <w:rPr>
                <w:rFonts w:hint="eastAsia" w:ascii="宋体" w:hAnsi="宋体"/>
                <w:color w:val="auto"/>
                <w:szCs w:val="21"/>
              </w:rPr>
              <w:t>数量</w:t>
            </w:r>
          </w:p>
        </w:tc>
        <w:tc>
          <w:tcPr>
            <w:tcW w:w="680" w:type="dxa"/>
            <w:vAlign w:val="center"/>
          </w:tcPr>
          <w:p w14:paraId="7E3EA27F">
            <w:pPr>
              <w:spacing w:before="120" w:after="120" w:line="320" w:lineRule="exact"/>
              <w:jc w:val="center"/>
              <w:rPr>
                <w:rFonts w:ascii="宋体" w:hAnsi="宋体"/>
                <w:color w:val="auto"/>
                <w:szCs w:val="21"/>
              </w:rPr>
            </w:pPr>
            <w:r>
              <w:rPr>
                <w:rFonts w:hint="eastAsia" w:ascii="宋体" w:hAnsi="宋体"/>
                <w:color w:val="auto"/>
                <w:szCs w:val="21"/>
              </w:rPr>
              <w:t>备注</w:t>
            </w:r>
          </w:p>
        </w:tc>
      </w:tr>
      <w:tr w14:paraId="1207BC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667" w:type="dxa"/>
            <w:vAlign w:val="center"/>
          </w:tcPr>
          <w:p w14:paraId="0347283F">
            <w:pPr>
              <w:spacing w:line="360" w:lineRule="auto"/>
              <w:jc w:val="center"/>
              <w:rPr>
                <w:rFonts w:ascii="宋体" w:hAnsi="宋体"/>
                <w:color w:val="auto"/>
                <w:szCs w:val="21"/>
              </w:rPr>
            </w:pPr>
            <w:r>
              <w:rPr>
                <w:rFonts w:ascii="宋体" w:hAnsi="宋体"/>
                <w:color w:val="auto"/>
                <w:szCs w:val="21"/>
              </w:rPr>
              <w:t>1</w:t>
            </w:r>
          </w:p>
        </w:tc>
        <w:tc>
          <w:tcPr>
            <w:tcW w:w="1130" w:type="dxa"/>
            <w:vAlign w:val="center"/>
          </w:tcPr>
          <w:p w14:paraId="2A2A2D94">
            <w:pPr>
              <w:spacing w:line="360" w:lineRule="auto"/>
              <w:jc w:val="center"/>
              <w:rPr>
                <w:rFonts w:ascii="宋体" w:hAnsi="宋体"/>
                <w:color w:val="auto"/>
                <w:szCs w:val="21"/>
              </w:rPr>
            </w:pPr>
          </w:p>
        </w:tc>
        <w:tc>
          <w:tcPr>
            <w:tcW w:w="5593" w:type="dxa"/>
            <w:vAlign w:val="center"/>
          </w:tcPr>
          <w:p w14:paraId="3CFBF9C2">
            <w:pPr>
              <w:spacing w:line="360" w:lineRule="auto"/>
              <w:rPr>
                <w:rFonts w:ascii="宋体" w:hAnsi="宋体"/>
                <w:bCs/>
                <w:color w:val="auto"/>
                <w:szCs w:val="21"/>
              </w:rPr>
            </w:pPr>
          </w:p>
        </w:tc>
        <w:tc>
          <w:tcPr>
            <w:tcW w:w="838" w:type="dxa"/>
            <w:vAlign w:val="center"/>
          </w:tcPr>
          <w:p w14:paraId="35D61501">
            <w:pPr>
              <w:spacing w:line="360" w:lineRule="auto"/>
              <w:jc w:val="center"/>
              <w:rPr>
                <w:rFonts w:ascii="宋体" w:hAnsi="宋体"/>
                <w:color w:val="auto"/>
                <w:szCs w:val="21"/>
              </w:rPr>
            </w:pPr>
          </w:p>
        </w:tc>
        <w:tc>
          <w:tcPr>
            <w:tcW w:w="680" w:type="dxa"/>
            <w:vAlign w:val="center"/>
          </w:tcPr>
          <w:p w14:paraId="314163F4">
            <w:pPr>
              <w:spacing w:line="360" w:lineRule="auto"/>
              <w:jc w:val="center"/>
              <w:rPr>
                <w:rFonts w:ascii="宋体" w:hAnsi="宋体"/>
                <w:color w:val="auto"/>
                <w:szCs w:val="21"/>
              </w:rPr>
            </w:pPr>
          </w:p>
        </w:tc>
      </w:tr>
      <w:tr w14:paraId="2F977F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92" w:hRule="atLeast"/>
          <w:jc w:val="center"/>
        </w:trPr>
        <w:tc>
          <w:tcPr>
            <w:tcW w:w="667" w:type="dxa"/>
            <w:vAlign w:val="center"/>
          </w:tcPr>
          <w:p w14:paraId="32455E15">
            <w:pPr>
              <w:spacing w:line="360" w:lineRule="auto"/>
              <w:jc w:val="center"/>
              <w:rPr>
                <w:rFonts w:ascii="宋体" w:hAnsi="宋体"/>
                <w:color w:val="auto"/>
                <w:szCs w:val="21"/>
              </w:rPr>
            </w:pPr>
            <w:r>
              <w:rPr>
                <w:rFonts w:ascii="宋体" w:hAnsi="宋体"/>
                <w:color w:val="auto"/>
                <w:szCs w:val="21"/>
              </w:rPr>
              <w:t>2</w:t>
            </w:r>
          </w:p>
        </w:tc>
        <w:tc>
          <w:tcPr>
            <w:tcW w:w="1130" w:type="dxa"/>
            <w:vAlign w:val="center"/>
          </w:tcPr>
          <w:p w14:paraId="45F69A34">
            <w:pPr>
              <w:spacing w:line="360" w:lineRule="auto"/>
              <w:jc w:val="center"/>
              <w:rPr>
                <w:rFonts w:ascii="宋体" w:hAnsi="宋体"/>
                <w:color w:val="auto"/>
                <w:szCs w:val="21"/>
              </w:rPr>
            </w:pPr>
          </w:p>
        </w:tc>
        <w:tc>
          <w:tcPr>
            <w:tcW w:w="5593" w:type="dxa"/>
            <w:vAlign w:val="center"/>
          </w:tcPr>
          <w:p w14:paraId="7D3BFB36">
            <w:pPr>
              <w:spacing w:line="360" w:lineRule="auto"/>
              <w:rPr>
                <w:rFonts w:ascii="宋体" w:hAnsi="宋体"/>
                <w:bCs/>
                <w:color w:val="auto"/>
                <w:szCs w:val="21"/>
              </w:rPr>
            </w:pPr>
          </w:p>
        </w:tc>
        <w:tc>
          <w:tcPr>
            <w:tcW w:w="838" w:type="dxa"/>
            <w:vAlign w:val="center"/>
          </w:tcPr>
          <w:p w14:paraId="279221D2">
            <w:pPr>
              <w:spacing w:line="360" w:lineRule="auto"/>
              <w:jc w:val="center"/>
              <w:rPr>
                <w:rFonts w:ascii="宋体" w:hAnsi="宋体"/>
                <w:color w:val="auto"/>
                <w:szCs w:val="21"/>
              </w:rPr>
            </w:pPr>
          </w:p>
        </w:tc>
        <w:tc>
          <w:tcPr>
            <w:tcW w:w="680" w:type="dxa"/>
            <w:vAlign w:val="center"/>
          </w:tcPr>
          <w:p w14:paraId="54F1C5AE">
            <w:pPr>
              <w:spacing w:line="360" w:lineRule="auto"/>
              <w:jc w:val="center"/>
              <w:rPr>
                <w:rFonts w:ascii="宋体" w:hAnsi="宋体"/>
                <w:color w:val="auto"/>
                <w:szCs w:val="21"/>
              </w:rPr>
            </w:pPr>
          </w:p>
        </w:tc>
      </w:tr>
      <w:tr w14:paraId="1FD4C6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30" w:hRule="atLeast"/>
          <w:jc w:val="center"/>
        </w:trPr>
        <w:tc>
          <w:tcPr>
            <w:tcW w:w="667" w:type="dxa"/>
            <w:tcBorders>
              <w:top w:val="single" w:color="000000" w:sz="6" w:space="0"/>
              <w:left w:val="single" w:color="000000" w:sz="12" w:space="0"/>
              <w:bottom w:val="single" w:color="000000" w:sz="6" w:space="0"/>
              <w:right w:val="single" w:color="000000" w:sz="6" w:space="0"/>
            </w:tcBorders>
            <w:vAlign w:val="center"/>
          </w:tcPr>
          <w:p w14:paraId="48B7E25C">
            <w:pPr>
              <w:spacing w:line="360" w:lineRule="auto"/>
              <w:jc w:val="center"/>
              <w:rPr>
                <w:rFonts w:ascii="宋体" w:hAnsi="宋体"/>
                <w:color w:val="auto"/>
                <w:szCs w:val="21"/>
              </w:rPr>
            </w:pPr>
            <w:r>
              <w:rPr>
                <w:rFonts w:ascii="宋体" w:hAnsi="宋体"/>
                <w:color w:val="auto"/>
                <w:szCs w:val="21"/>
              </w:rPr>
              <w:t>3</w:t>
            </w:r>
          </w:p>
        </w:tc>
        <w:tc>
          <w:tcPr>
            <w:tcW w:w="1130" w:type="dxa"/>
            <w:tcBorders>
              <w:top w:val="single" w:color="000000" w:sz="6" w:space="0"/>
              <w:left w:val="single" w:color="000000" w:sz="6" w:space="0"/>
              <w:bottom w:val="single" w:color="000000" w:sz="6" w:space="0"/>
              <w:right w:val="single" w:color="000000" w:sz="6" w:space="0"/>
            </w:tcBorders>
            <w:vAlign w:val="center"/>
          </w:tcPr>
          <w:p w14:paraId="3FF32DAA">
            <w:pPr>
              <w:spacing w:line="360" w:lineRule="auto"/>
              <w:jc w:val="center"/>
              <w:rPr>
                <w:rFonts w:ascii="宋体" w:hAnsi="宋体"/>
                <w:color w:val="auto"/>
                <w:szCs w:val="21"/>
              </w:rPr>
            </w:pPr>
          </w:p>
        </w:tc>
        <w:tc>
          <w:tcPr>
            <w:tcW w:w="5593" w:type="dxa"/>
            <w:tcBorders>
              <w:top w:val="single" w:color="000000" w:sz="6" w:space="0"/>
              <w:left w:val="single" w:color="000000" w:sz="6" w:space="0"/>
              <w:bottom w:val="single" w:color="000000" w:sz="6" w:space="0"/>
              <w:right w:val="single" w:color="000000" w:sz="6" w:space="0"/>
            </w:tcBorders>
            <w:vAlign w:val="center"/>
          </w:tcPr>
          <w:p w14:paraId="00D81DE2">
            <w:pPr>
              <w:spacing w:line="360" w:lineRule="auto"/>
              <w:rPr>
                <w:rFonts w:ascii="宋体" w:hAnsi="宋体"/>
                <w:bCs/>
                <w:color w:val="auto"/>
                <w:szCs w:val="21"/>
              </w:rPr>
            </w:pPr>
          </w:p>
        </w:tc>
        <w:tc>
          <w:tcPr>
            <w:tcW w:w="838" w:type="dxa"/>
            <w:tcBorders>
              <w:top w:val="single" w:color="000000" w:sz="6" w:space="0"/>
              <w:left w:val="single" w:color="000000" w:sz="6" w:space="0"/>
              <w:bottom w:val="single" w:color="000000" w:sz="6" w:space="0"/>
              <w:right w:val="single" w:color="000000" w:sz="6" w:space="0"/>
            </w:tcBorders>
            <w:vAlign w:val="center"/>
          </w:tcPr>
          <w:p w14:paraId="4F521D12">
            <w:pPr>
              <w:spacing w:line="360" w:lineRule="auto"/>
              <w:jc w:val="center"/>
              <w:rPr>
                <w:rFonts w:ascii="宋体" w:hAnsi="宋体"/>
                <w:color w:val="auto"/>
                <w:szCs w:val="21"/>
              </w:rPr>
            </w:pPr>
          </w:p>
        </w:tc>
        <w:tc>
          <w:tcPr>
            <w:tcW w:w="680" w:type="dxa"/>
            <w:tcBorders>
              <w:top w:val="single" w:color="000000" w:sz="6" w:space="0"/>
              <w:left w:val="single" w:color="000000" w:sz="6" w:space="0"/>
              <w:bottom w:val="single" w:color="000000" w:sz="6" w:space="0"/>
              <w:right w:val="single" w:color="000000" w:sz="12" w:space="0"/>
            </w:tcBorders>
            <w:vAlign w:val="center"/>
          </w:tcPr>
          <w:p w14:paraId="36D803FD">
            <w:pPr>
              <w:spacing w:line="360" w:lineRule="auto"/>
              <w:jc w:val="center"/>
              <w:rPr>
                <w:rFonts w:ascii="宋体" w:hAnsi="宋体"/>
                <w:color w:val="auto"/>
                <w:szCs w:val="21"/>
              </w:rPr>
            </w:pPr>
          </w:p>
        </w:tc>
      </w:tr>
      <w:tr w14:paraId="1D7F0F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30" w:hRule="atLeast"/>
          <w:jc w:val="center"/>
        </w:trPr>
        <w:tc>
          <w:tcPr>
            <w:tcW w:w="667" w:type="dxa"/>
            <w:tcBorders>
              <w:top w:val="single" w:color="000000" w:sz="6" w:space="0"/>
              <w:left w:val="single" w:color="000000" w:sz="12" w:space="0"/>
              <w:bottom w:val="single" w:color="000000" w:sz="6" w:space="0"/>
              <w:right w:val="single" w:color="000000" w:sz="6" w:space="0"/>
            </w:tcBorders>
            <w:vAlign w:val="center"/>
          </w:tcPr>
          <w:p w14:paraId="27CC97FD">
            <w:pPr>
              <w:spacing w:line="360" w:lineRule="auto"/>
              <w:jc w:val="center"/>
              <w:rPr>
                <w:rFonts w:ascii="宋体" w:hAnsi="宋体"/>
                <w:color w:val="auto"/>
                <w:szCs w:val="21"/>
              </w:rPr>
            </w:pPr>
            <w:r>
              <w:rPr>
                <w:rFonts w:hint="eastAsia" w:ascii="宋体" w:hAnsi="宋体"/>
                <w:color w:val="auto"/>
                <w:szCs w:val="21"/>
              </w:rPr>
              <w:t>4</w:t>
            </w:r>
          </w:p>
        </w:tc>
        <w:tc>
          <w:tcPr>
            <w:tcW w:w="1130" w:type="dxa"/>
            <w:tcBorders>
              <w:top w:val="single" w:color="000000" w:sz="6" w:space="0"/>
              <w:left w:val="single" w:color="000000" w:sz="6" w:space="0"/>
              <w:bottom w:val="single" w:color="000000" w:sz="6" w:space="0"/>
              <w:right w:val="single" w:color="000000" w:sz="6" w:space="0"/>
            </w:tcBorders>
            <w:vAlign w:val="center"/>
          </w:tcPr>
          <w:p w14:paraId="40B03BEC">
            <w:pPr>
              <w:spacing w:line="360" w:lineRule="auto"/>
              <w:jc w:val="center"/>
              <w:rPr>
                <w:rFonts w:ascii="宋体" w:hAnsi="宋体"/>
                <w:color w:val="auto"/>
                <w:szCs w:val="21"/>
              </w:rPr>
            </w:pPr>
          </w:p>
        </w:tc>
        <w:tc>
          <w:tcPr>
            <w:tcW w:w="5593" w:type="dxa"/>
            <w:tcBorders>
              <w:top w:val="single" w:color="000000" w:sz="6" w:space="0"/>
              <w:left w:val="single" w:color="000000" w:sz="6" w:space="0"/>
              <w:bottom w:val="single" w:color="000000" w:sz="6" w:space="0"/>
              <w:right w:val="single" w:color="000000" w:sz="6" w:space="0"/>
            </w:tcBorders>
            <w:vAlign w:val="center"/>
          </w:tcPr>
          <w:p w14:paraId="03C1DA06">
            <w:pPr>
              <w:spacing w:line="360" w:lineRule="auto"/>
              <w:rPr>
                <w:rFonts w:ascii="宋体" w:hAnsi="宋体"/>
                <w:color w:val="auto"/>
                <w:szCs w:val="21"/>
              </w:rPr>
            </w:pPr>
          </w:p>
        </w:tc>
        <w:tc>
          <w:tcPr>
            <w:tcW w:w="838" w:type="dxa"/>
            <w:tcBorders>
              <w:top w:val="single" w:color="000000" w:sz="6" w:space="0"/>
              <w:left w:val="single" w:color="000000" w:sz="6" w:space="0"/>
              <w:bottom w:val="single" w:color="000000" w:sz="6" w:space="0"/>
              <w:right w:val="single" w:color="000000" w:sz="6" w:space="0"/>
            </w:tcBorders>
            <w:vAlign w:val="center"/>
          </w:tcPr>
          <w:p w14:paraId="583EF226">
            <w:pPr>
              <w:spacing w:line="360" w:lineRule="auto"/>
              <w:jc w:val="center"/>
              <w:rPr>
                <w:rFonts w:ascii="宋体" w:hAnsi="宋体"/>
                <w:color w:val="auto"/>
                <w:szCs w:val="21"/>
              </w:rPr>
            </w:pPr>
          </w:p>
        </w:tc>
        <w:tc>
          <w:tcPr>
            <w:tcW w:w="680" w:type="dxa"/>
            <w:tcBorders>
              <w:top w:val="single" w:color="000000" w:sz="6" w:space="0"/>
              <w:left w:val="single" w:color="000000" w:sz="6" w:space="0"/>
              <w:bottom w:val="single" w:color="000000" w:sz="6" w:space="0"/>
              <w:right w:val="single" w:color="000000" w:sz="12" w:space="0"/>
            </w:tcBorders>
            <w:vAlign w:val="center"/>
          </w:tcPr>
          <w:p w14:paraId="424D261A">
            <w:pPr>
              <w:spacing w:line="360" w:lineRule="auto"/>
              <w:jc w:val="center"/>
              <w:rPr>
                <w:rFonts w:ascii="宋体" w:hAnsi="宋体"/>
                <w:color w:val="auto"/>
                <w:szCs w:val="21"/>
              </w:rPr>
            </w:pPr>
          </w:p>
        </w:tc>
      </w:tr>
      <w:tr w14:paraId="7560B0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30" w:hRule="atLeast"/>
          <w:jc w:val="center"/>
        </w:trPr>
        <w:tc>
          <w:tcPr>
            <w:tcW w:w="667" w:type="dxa"/>
            <w:tcBorders>
              <w:top w:val="single" w:color="000000" w:sz="6" w:space="0"/>
              <w:left w:val="single" w:color="000000" w:sz="12" w:space="0"/>
              <w:bottom w:val="single" w:color="000000" w:sz="6" w:space="0"/>
              <w:right w:val="single" w:color="000000" w:sz="6" w:space="0"/>
            </w:tcBorders>
            <w:vAlign w:val="center"/>
          </w:tcPr>
          <w:p w14:paraId="290B19DC">
            <w:pPr>
              <w:spacing w:line="360" w:lineRule="auto"/>
              <w:jc w:val="center"/>
              <w:rPr>
                <w:rFonts w:ascii="宋体" w:hAnsi="宋体"/>
                <w:color w:val="auto"/>
                <w:szCs w:val="21"/>
              </w:rPr>
            </w:pPr>
            <w:r>
              <w:rPr>
                <w:rFonts w:hint="eastAsia" w:ascii="宋体" w:hAnsi="宋体"/>
                <w:color w:val="auto"/>
                <w:szCs w:val="21"/>
              </w:rPr>
              <w:t>5</w:t>
            </w:r>
          </w:p>
        </w:tc>
        <w:tc>
          <w:tcPr>
            <w:tcW w:w="1130" w:type="dxa"/>
            <w:tcBorders>
              <w:top w:val="single" w:color="000000" w:sz="6" w:space="0"/>
              <w:left w:val="single" w:color="000000" w:sz="6" w:space="0"/>
              <w:bottom w:val="single" w:color="000000" w:sz="6" w:space="0"/>
              <w:right w:val="single" w:color="000000" w:sz="6" w:space="0"/>
            </w:tcBorders>
            <w:vAlign w:val="center"/>
          </w:tcPr>
          <w:p w14:paraId="0D8C278F">
            <w:pPr>
              <w:spacing w:line="360" w:lineRule="auto"/>
              <w:jc w:val="center"/>
              <w:rPr>
                <w:rFonts w:ascii="宋体" w:hAnsi="宋体"/>
                <w:color w:val="auto"/>
                <w:szCs w:val="21"/>
              </w:rPr>
            </w:pPr>
          </w:p>
        </w:tc>
        <w:tc>
          <w:tcPr>
            <w:tcW w:w="5593" w:type="dxa"/>
            <w:tcBorders>
              <w:top w:val="single" w:color="000000" w:sz="6" w:space="0"/>
              <w:left w:val="single" w:color="000000" w:sz="6" w:space="0"/>
              <w:bottom w:val="single" w:color="000000" w:sz="6" w:space="0"/>
              <w:right w:val="single" w:color="000000" w:sz="6" w:space="0"/>
            </w:tcBorders>
            <w:vAlign w:val="center"/>
          </w:tcPr>
          <w:p w14:paraId="58E13B25">
            <w:pPr>
              <w:spacing w:line="360" w:lineRule="auto"/>
              <w:rPr>
                <w:rFonts w:ascii="宋体" w:hAnsi="宋体"/>
                <w:bCs/>
                <w:color w:val="auto"/>
                <w:szCs w:val="21"/>
              </w:rPr>
            </w:pPr>
          </w:p>
        </w:tc>
        <w:tc>
          <w:tcPr>
            <w:tcW w:w="838" w:type="dxa"/>
            <w:tcBorders>
              <w:top w:val="single" w:color="000000" w:sz="6" w:space="0"/>
              <w:left w:val="single" w:color="000000" w:sz="6" w:space="0"/>
              <w:bottom w:val="single" w:color="000000" w:sz="6" w:space="0"/>
              <w:right w:val="single" w:color="000000" w:sz="6" w:space="0"/>
            </w:tcBorders>
            <w:vAlign w:val="center"/>
          </w:tcPr>
          <w:p w14:paraId="150B2F03">
            <w:pPr>
              <w:spacing w:line="360" w:lineRule="auto"/>
              <w:jc w:val="center"/>
              <w:rPr>
                <w:rFonts w:ascii="宋体" w:hAnsi="宋体"/>
                <w:color w:val="auto"/>
                <w:szCs w:val="21"/>
              </w:rPr>
            </w:pPr>
          </w:p>
        </w:tc>
        <w:tc>
          <w:tcPr>
            <w:tcW w:w="680" w:type="dxa"/>
            <w:tcBorders>
              <w:top w:val="single" w:color="000000" w:sz="6" w:space="0"/>
              <w:left w:val="single" w:color="000000" w:sz="6" w:space="0"/>
              <w:bottom w:val="single" w:color="000000" w:sz="6" w:space="0"/>
              <w:right w:val="single" w:color="000000" w:sz="12" w:space="0"/>
            </w:tcBorders>
            <w:vAlign w:val="center"/>
          </w:tcPr>
          <w:p w14:paraId="0079704F">
            <w:pPr>
              <w:spacing w:line="360" w:lineRule="auto"/>
              <w:jc w:val="center"/>
              <w:rPr>
                <w:rFonts w:ascii="宋体" w:hAnsi="宋体"/>
                <w:color w:val="auto"/>
                <w:szCs w:val="21"/>
              </w:rPr>
            </w:pPr>
          </w:p>
        </w:tc>
      </w:tr>
      <w:tr w14:paraId="0CE3D3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43" w:hRule="atLeast"/>
          <w:jc w:val="center"/>
        </w:trPr>
        <w:tc>
          <w:tcPr>
            <w:tcW w:w="667" w:type="dxa"/>
            <w:tcBorders>
              <w:top w:val="single" w:color="000000" w:sz="6" w:space="0"/>
              <w:left w:val="single" w:color="000000" w:sz="12" w:space="0"/>
              <w:bottom w:val="single" w:color="000000" w:sz="6" w:space="0"/>
              <w:right w:val="single" w:color="000000" w:sz="6" w:space="0"/>
            </w:tcBorders>
            <w:vAlign w:val="center"/>
          </w:tcPr>
          <w:p w14:paraId="2670D5E1">
            <w:pPr>
              <w:spacing w:line="360" w:lineRule="auto"/>
              <w:jc w:val="center"/>
              <w:rPr>
                <w:rFonts w:ascii="宋体" w:hAnsi="宋体"/>
                <w:color w:val="auto"/>
                <w:szCs w:val="21"/>
              </w:rPr>
            </w:pPr>
            <w:r>
              <w:rPr>
                <w:rFonts w:hint="eastAsia" w:ascii="宋体" w:hAnsi="宋体"/>
                <w:color w:val="auto"/>
                <w:szCs w:val="21"/>
              </w:rPr>
              <w:t>6</w:t>
            </w:r>
          </w:p>
        </w:tc>
        <w:tc>
          <w:tcPr>
            <w:tcW w:w="1130" w:type="dxa"/>
            <w:tcBorders>
              <w:top w:val="single" w:color="000000" w:sz="6" w:space="0"/>
              <w:left w:val="single" w:color="000000" w:sz="6" w:space="0"/>
              <w:bottom w:val="single" w:color="000000" w:sz="6" w:space="0"/>
              <w:right w:val="single" w:color="000000" w:sz="6" w:space="0"/>
            </w:tcBorders>
            <w:vAlign w:val="center"/>
          </w:tcPr>
          <w:p w14:paraId="17A436B7">
            <w:pPr>
              <w:spacing w:line="360" w:lineRule="auto"/>
              <w:jc w:val="center"/>
              <w:rPr>
                <w:rFonts w:ascii="宋体" w:hAnsi="宋体"/>
                <w:color w:val="auto"/>
                <w:szCs w:val="21"/>
              </w:rPr>
            </w:pPr>
          </w:p>
        </w:tc>
        <w:tc>
          <w:tcPr>
            <w:tcW w:w="5593" w:type="dxa"/>
            <w:tcBorders>
              <w:top w:val="single" w:color="000000" w:sz="6" w:space="0"/>
              <w:left w:val="single" w:color="000000" w:sz="6" w:space="0"/>
              <w:bottom w:val="single" w:color="000000" w:sz="6" w:space="0"/>
              <w:right w:val="single" w:color="000000" w:sz="6" w:space="0"/>
            </w:tcBorders>
            <w:vAlign w:val="center"/>
          </w:tcPr>
          <w:p w14:paraId="140B5077">
            <w:pPr>
              <w:spacing w:line="360" w:lineRule="auto"/>
              <w:rPr>
                <w:rFonts w:ascii="宋体" w:hAnsi="宋体"/>
                <w:bCs/>
                <w:color w:val="auto"/>
                <w:szCs w:val="21"/>
              </w:rPr>
            </w:pPr>
          </w:p>
        </w:tc>
        <w:tc>
          <w:tcPr>
            <w:tcW w:w="838" w:type="dxa"/>
            <w:tcBorders>
              <w:top w:val="single" w:color="000000" w:sz="6" w:space="0"/>
              <w:left w:val="single" w:color="000000" w:sz="6" w:space="0"/>
              <w:bottom w:val="single" w:color="000000" w:sz="6" w:space="0"/>
              <w:right w:val="single" w:color="000000" w:sz="6" w:space="0"/>
            </w:tcBorders>
            <w:vAlign w:val="center"/>
          </w:tcPr>
          <w:p w14:paraId="4A9AC2DE">
            <w:pPr>
              <w:spacing w:line="360" w:lineRule="auto"/>
              <w:jc w:val="center"/>
              <w:rPr>
                <w:rFonts w:ascii="宋体" w:hAnsi="宋体"/>
                <w:color w:val="auto"/>
                <w:szCs w:val="21"/>
              </w:rPr>
            </w:pPr>
          </w:p>
        </w:tc>
        <w:tc>
          <w:tcPr>
            <w:tcW w:w="680" w:type="dxa"/>
            <w:tcBorders>
              <w:top w:val="single" w:color="000000" w:sz="6" w:space="0"/>
              <w:left w:val="single" w:color="000000" w:sz="6" w:space="0"/>
              <w:bottom w:val="single" w:color="000000" w:sz="6" w:space="0"/>
              <w:right w:val="single" w:color="000000" w:sz="12" w:space="0"/>
            </w:tcBorders>
            <w:vAlign w:val="center"/>
          </w:tcPr>
          <w:p w14:paraId="59B45E99">
            <w:pPr>
              <w:spacing w:line="360" w:lineRule="auto"/>
              <w:jc w:val="center"/>
              <w:rPr>
                <w:rFonts w:ascii="宋体" w:hAnsi="宋体"/>
                <w:color w:val="auto"/>
                <w:szCs w:val="21"/>
              </w:rPr>
            </w:pPr>
          </w:p>
        </w:tc>
      </w:tr>
      <w:tr w14:paraId="6D354D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7389" w:type="dxa"/>
            <w:gridSpan w:val="3"/>
            <w:vAlign w:val="center"/>
          </w:tcPr>
          <w:p w14:paraId="2AB379FB">
            <w:pPr>
              <w:spacing w:line="360" w:lineRule="auto"/>
              <w:jc w:val="center"/>
              <w:rPr>
                <w:rFonts w:ascii="等线" w:hAnsi="等线" w:cs="宋体"/>
                <w:color w:val="auto"/>
                <w:szCs w:val="21"/>
              </w:rPr>
            </w:pPr>
            <w:r>
              <w:rPr>
                <w:rFonts w:hint="eastAsia" w:ascii="宋体" w:hAnsi="宋体"/>
                <w:b/>
                <w:color w:val="auto"/>
                <w:szCs w:val="21"/>
              </w:rPr>
              <w:t>人数合计（不含总监理工程师）</w:t>
            </w:r>
          </w:p>
        </w:tc>
        <w:tc>
          <w:tcPr>
            <w:tcW w:w="838" w:type="dxa"/>
            <w:vAlign w:val="center"/>
          </w:tcPr>
          <w:p w14:paraId="1ABCA510">
            <w:pPr>
              <w:spacing w:line="360" w:lineRule="auto"/>
              <w:jc w:val="center"/>
              <w:rPr>
                <w:rFonts w:ascii="宋体" w:hAnsi="宋体"/>
                <w:color w:val="auto"/>
                <w:szCs w:val="21"/>
              </w:rPr>
            </w:pPr>
          </w:p>
        </w:tc>
        <w:tc>
          <w:tcPr>
            <w:tcW w:w="680" w:type="dxa"/>
            <w:vAlign w:val="center"/>
          </w:tcPr>
          <w:p w14:paraId="2CBDFD1E">
            <w:pPr>
              <w:spacing w:line="360" w:lineRule="auto"/>
              <w:jc w:val="center"/>
              <w:rPr>
                <w:rFonts w:ascii="宋体" w:hAnsi="宋体"/>
                <w:color w:val="auto"/>
                <w:szCs w:val="21"/>
              </w:rPr>
            </w:pPr>
          </w:p>
        </w:tc>
      </w:tr>
    </w:tbl>
    <w:p w14:paraId="7CE5B191">
      <w:pPr>
        <w:spacing w:before="120" w:beforeLines="50" w:after="120" w:afterLines="50" w:line="360" w:lineRule="auto"/>
        <w:rPr>
          <w:rFonts w:ascii="宋体" w:hAnsi="宋体"/>
          <w:color w:val="auto"/>
          <w:szCs w:val="21"/>
        </w:rPr>
      </w:pPr>
      <w:r>
        <w:rPr>
          <w:rFonts w:hint="eastAsia" w:ascii="宋体" w:hAnsi="宋体"/>
          <w:color w:val="auto"/>
          <w:szCs w:val="21"/>
        </w:rPr>
        <w:t>注：上述人员的具体人选由</w:t>
      </w:r>
      <w:r>
        <w:rPr>
          <w:rFonts w:hint="eastAsia" w:ascii="宋体" w:hAnsi="宋体"/>
          <w:color w:val="auto"/>
          <w:szCs w:val="21"/>
          <w:lang w:eastAsia="zh-CN"/>
        </w:rPr>
        <w:t>供应商</w:t>
      </w:r>
      <w:r>
        <w:rPr>
          <w:rFonts w:hint="eastAsia" w:ascii="宋体" w:hAnsi="宋体"/>
          <w:color w:val="auto"/>
          <w:szCs w:val="21"/>
        </w:rPr>
        <w:t xml:space="preserve">根据招标文件具体要求在投标文件中响应。 </w:t>
      </w:r>
    </w:p>
    <w:p w14:paraId="211B428E">
      <w:pPr>
        <w:spacing w:before="120" w:beforeLines="50" w:after="120" w:afterLines="50" w:line="360" w:lineRule="auto"/>
        <w:rPr>
          <w:rFonts w:ascii="等线" w:hAnsi="等线"/>
          <w:color w:val="auto"/>
          <w:spacing w:val="-3"/>
          <w:szCs w:val="21"/>
        </w:rPr>
      </w:pPr>
      <w:r>
        <w:rPr>
          <w:rFonts w:ascii="宋体" w:hAnsi="宋体"/>
          <w:color w:val="auto"/>
          <w:szCs w:val="21"/>
        </w:rPr>
        <w:br w:type="page"/>
      </w:r>
      <w:bookmarkEnd w:id="182"/>
    </w:p>
    <w:p w14:paraId="34BFED6C">
      <w:pPr>
        <w:spacing w:line="440" w:lineRule="exact"/>
        <w:jc w:val="left"/>
        <w:rPr>
          <w:rFonts w:hint="eastAsia" w:ascii="宋体" w:hAnsi="宋体" w:eastAsia="宋体" w:cs="黑体"/>
          <w:b/>
          <w:color w:val="auto"/>
          <w:sz w:val="28"/>
          <w:szCs w:val="28"/>
          <w:highlight w:val="none"/>
        </w:rPr>
      </w:pPr>
      <w:r>
        <w:rPr>
          <w:rFonts w:hint="eastAsia" w:ascii="宋体" w:hAnsi="宋体" w:eastAsia="宋体" w:cs="黑体"/>
          <w:b/>
          <w:color w:val="auto"/>
          <w:sz w:val="28"/>
          <w:szCs w:val="28"/>
          <w:highlight w:val="none"/>
        </w:rPr>
        <w:t xml:space="preserve">附件四  </w:t>
      </w:r>
      <w:bookmarkStart w:id="184" w:name="_Hlk525857181"/>
      <w:r>
        <w:rPr>
          <w:rFonts w:hint="eastAsia" w:ascii="宋体" w:hAnsi="宋体" w:eastAsia="宋体" w:cs="黑体"/>
          <w:b/>
          <w:color w:val="auto"/>
          <w:sz w:val="28"/>
          <w:szCs w:val="28"/>
          <w:highlight w:val="none"/>
        </w:rPr>
        <w:t>主要试验检测设备最低要求</w:t>
      </w:r>
    </w:p>
    <w:tbl>
      <w:tblPr>
        <w:tblStyle w:val="20"/>
        <w:tblW w:w="91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2"/>
        <w:gridCol w:w="2040"/>
        <w:gridCol w:w="3982"/>
        <w:gridCol w:w="800"/>
        <w:gridCol w:w="702"/>
        <w:gridCol w:w="776"/>
      </w:tblGrid>
      <w:tr w14:paraId="632C7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3" w:hRule="exact"/>
          <w:jc w:val="center"/>
        </w:trPr>
        <w:tc>
          <w:tcPr>
            <w:tcW w:w="892" w:type="dxa"/>
            <w:vAlign w:val="center"/>
          </w:tcPr>
          <w:p w14:paraId="7A8EC87D">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040" w:type="dxa"/>
            <w:vAlign w:val="center"/>
          </w:tcPr>
          <w:p w14:paraId="32FD659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试验、检测项目</w:t>
            </w:r>
          </w:p>
        </w:tc>
        <w:tc>
          <w:tcPr>
            <w:tcW w:w="3982" w:type="dxa"/>
            <w:vAlign w:val="center"/>
          </w:tcPr>
          <w:p w14:paraId="000E8C4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设备名称</w:t>
            </w:r>
          </w:p>
        </w:tc>
        <w:tc>
          <w:tcPr>
            <w:tcW w:w="800" w:type="dxa"/>
            <w:vAlign w:val="center"/>
          </w:tcPr>
          <w:p w14:paraId="4972772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规格型号</w:t>
            </w:r>
          </w:p>
        </w:tc>
        <w:tc>
          <w:tcPr>
            <w:tcW w:w="702" w:type="dxa"/>
            <w:vAlign w:val="center"/>
          </w:tcPr>
          <w:p w14:paraId="1FE6A95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c>
          <w:tcPr>
            <w:tcW w:w="776" w:type="dxa"/>
            <w:vAlign w:val="center"/>
          </w:tcPr>
          <w:p w14:paraId="67E10BD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  注</w:t>
            </w:r>
          </w:p>
        </w:tc>
      </w:tr>
      <w:tr w14:paraId="6A628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2" w:hRule="exact"/>
          <w:jc w:val="center"/>
        </w:trPr>
        <w:tc>
          <w:tcPr>
            <w:tcW w:w="892" w:type="dxa"/>
            <w:vAlign w:val="center"/>
          </w:tcPr>
          <w:p w14:paraId="278E80D1">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040" w:type="dxa"/>
            <w:vAlign w:val="center"/>
          </w:tcPr>
          <w:p w14:paraId="5A4AC57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电阻、电容、电感、品质因数 (Q)等参数测试</w:t>
            </w:r>
          </w:p>
        </w:tc>
        <w:tc>
          <w:tcPr>
            <w:tcW w:w="3982" w:type="dxa"/>
            <w:vAlign w:val="center"/>
          </w:tcPr>
          <w:p w14:paraId="1161359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LCR测试仪</w:t>
            </w:r>
          </w:p>
        </w:tc>
        <w:tc>
          <w:tcPr>
            <w:tcW w:w="800" w:type="dxa"/>
            <w:vMerge w:val="restart"/>
            <w:vAlign w:val="center"/>
          </w:tcPr>
          <w:p w14:paraId="21B7F4C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满足本项目使用需求</w:t>
            </w:r>
          </w:p>
        </w:tc>
        <w:tc>
          <w:tcPr>
            <w:tcW w:w="702" w:type="dxa"/>
            <w:vAlign w:val="center"/>
          </w:tcPr>
          <w:p w14:paraId="6207118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restart"/>
            <w:vAlign w:val="center"/>
          </w:tcPr>
          <w:p w14:paraId="7D3C4F9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近5年内购设备并满足本工程试验检测要求</w:t>
            </w:r>
          </w:p>
        </w:tc>
      </w:tr>
      <w:tr w14:paraId="64D2C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3" w:hRule="exact"/>
          <w:jc w:val="center"/>
        </w:trPr>
        <w:tc>
          <w:tcPr>
            <w:tcW w:w="892" w:type="dxa"/>
            <w:vAlign w:val="center"/>
          </w:tcPr>
          <w:p w14:paraId="50D075B2">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040" w:type="dxa"/>
            <w:vAlign w:val="center"/>
          </w:tcPr>
          <w:p w14:paraId="6B21109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电缆故障</w:t>
            </w:r>
          </w:p>
        </w:tc>
        <w:tc>
          <w:tcPr>
            <w:tcW w:w="3982" w:type="dxa"/>
            <w:vAlign w:val="center"/>
          </w:tcPr>
          <w:p w14:paraId="6CDAD7B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线缆测试仪</w:t>
            </w:r>
          </w:p>
        </w:tc>
        <w:tc>
          <w:tcPr>
            <w:tcW w:w="800" w:type="dxa"/>
            <w:vMerge w:val="continue"/>
            <w:vAlign w:val="center"/>
          </w:tcPr>
          <w:p w14:paraId="6F435421">
            <w:pPr>
              <w:jc w:val="center"/>
              <w:rPr>
                <w:rFonts w:hint="eastAsia" w:asciiTheme="minorEastAsia" w:hAnsiTheme="minorEastAsia" w:eastAsiaTheme="minorEastAsia" w:cstheme="minorEastAsia"/>
                <w:color w:val="auto"/>
                <w:sz w:val="21"/>
                <w:szCs w:val="21"/>
              </w:rPr>
            </w:pPr>
          </w:p>
        </w:tc>
        <w:tc>
          <w:tcPr>
            <w:tcW w:w="702" w:type="dxa"/>
            <w:vAlign w:val="center"/>
          </w:tcPr>
          <w:p w14:paraId="1677BED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604DC801">
            <w:pPr>
              <w:jc w:val="center"/>
              <w:rPr>
                <w:rFonts w:hint="eastAsia" w:asciiTheme="minorEastAsia" w:hAnsiTheme="minorEastAsia" w:eastAsiaTheme="minorEastAsia" w:cstheme="minorEastAsia"/>
                <w:color w:val="auto"/>
                <w:sz w:val="21"/>
                <w:szCs w:val="21"/>
              </w:rPr>
            </w:pPr>
          </w:p>
        </w:tc>
      </w:tr>
      <w:tr w14:paraId="6FC7B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1" w:hRule="exact"/>
          <w:jc w:val="center"/>
        </w:trPr>
        <w:tc>
          <w:tcPr>
            <w:tcW w:w="892" w:type="dxa"/>
            <w:vAlign w:val="center"/>
          </w:tcPr>
          <w:p w14:paraId="054A023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040" w:type="dxa"/>
            <w:vAlign w:val="center"/>
          </w:tcPr>
          <w:p w14:paraId="28704DE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数字信号测试和校准。</w:t>
            </w:r>
            <w:r>
              <w:rPr>
                <w:rFonts w:hint="eastAsia" w:asciiTheme="minorEastAsia" w:hAnsiTheme="minorEastAsia" w:eastAsiaTheme="minorEastAsia" w:cstheme="minorEastAsia"/>
                <w:color w:val="auto"/>
                <w:sz w:val="21"/>
                <w:szCs w:val="21"/>
                <w:shd w:val="clear" w:color="auto" w:fill="FFFFFF"/>
              </w:rPr>
              <w:t>视频设备校准、调试、测试和验证</w:t>
            </w:r>
          </w:p>
        </w:tc>
        <w:tc>
          <w:tcPr>
            <w:tcW w:w="3982" w:type="dxa"/>
            <w:vAlign w:val="center"/>
          </w:tcPr>
          <w:p w14:paraId="54427F83">
            <w:pPr>
              <w:adjustRightInd w:val="0"/>
              <w:snapToGrid w:val="0"/>
              <w:spacing w:line="24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视频测量仪、视频信号发生器</w:t>
            </w:r>
          </w:p>
        </w:tc>
        <w:tc>
          <w:tcPr>
            <w:tcW w:w="800" w:type="dxa"/>
            <w:vMerge w:val="continue"/>
            <w:vAlign w:val="center"/>
          </w:tcPr>
          <w:p w14:paraId="67D47FFB">
            <w:pPr>
              <w:jc w:val="center"/>
              <w:rPr>
                <w:rFonts w:hint="eastAsia" w:asciiTheme="minorEastAsia" w:hAnsiTheme="minorEastAsia" w:eastAsiaTheme="minorEastAsia" w:cstheme="minorEastAsia"/>
                <w:color w:val="auto"/>
                <w:sz w:val="21"/>
                <w:szCs w:val="21"/>
              </w:rPr>
            </w:pPr>
          </w:p>
        </w:tc>
        <w:tc>
          <w:tcPr>
            <w:tcW w:w="702" w:type="dxa"/>
            <w:vAlign w:val="center"/>
          </w:tcPr>
          <w:p w14:paraId="5C6D252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5B58C415">
            <w:pPr>
              <w:jc w:val="center"/>
              <w:rPr>
                <w:rFonts w:hint="eastAsia" w:asciiTheme="minorEastAsia" w:hAnsiTheme="minorEastAsia" w:eastAsiaTheme="minorEastAsia" w:cstheme="minorEastAsia"/>
                <w:color w:val="auto"/>
                <w:sz w:val="21"/>
                <w:szCs w:val="21"/>
              </w:rPr>
            </w:pPr>
          </w:p>
        </w:tc>
      </w:tr>
      <w:tr w14:paraId="3737C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6" w:hRule="exact"/>
          <w:jc w:val="center"/>
        </w:trPr>
        <w:tc>
          <w:tcPr>
            <w:tcW w:w="892" w:type="dxa"/>
            <w:vAlign w:val="center"/>
          </w:tcPr>
          <w:p w14:paraId="284FA4F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040" w:type="dxa"/>
            <w:vAlign w:val="center"/>
          </w:tcPr>
          <w:p w14:paraId="285E94A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眼图分析、抖动测量、信号完整性评估</w:t>
            </w:r>
          </w:p>
        </w:tc>
        <w:tc>
          <w:tcPr>
            <w:tcW w:w="3982" w:type="dxa"/>
            <w:vAlign w:val="center"/>
          </w:tcPr>
          <w:p w14:paraId="1076CEC3">
            <w:pPr>
              <w:adjustRightInd w:val="0"/>
              <w:snapToGrid w:val="0"/>
              <w:spacing w:line="24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串行数据分析仪</w:t>
            </w:r>
          </w:p>
        </w:tc>
        <w:tc>
          <w:tcPr>
            <w:tcW w:w="800" w:type="dxa"/>
            <w:vMerge w:val="continue"/>
            <w:vAlign w:val="center"/>
          </w:tcPr>
          <w:p w14:paraId="2160A94E">
            <w:pPr>
              <w:jc w:val="center"/>
              <w:rPr>
                <w:rFonts w:hint="eastAsia" w:asciiTheme="minorEastAsia" w:hAnsiTheme="minorEastAsia" w:eastAsiaTheme="minorEastAsia" w:cstheme="minorEastAsia"/>
                <w:color w:val="auto"/>
                <w:sz w:val="21"/>
                <w:szCs w:val="21"/>
              </w:rPr>
            </w:pPr>
          </w:p>
        </w:tc>
        <w:tc>
          <w:tcPr>
            <w:tcW w:w="702" w:type="dxa"/>
            <w:vAlign w:val="center"/>
          </w:tcPr>
          <w:p w14:paraId="7AD1C96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3E27B3AF">
            <w:pPr>
              <w:jc w:val="center"/>
              <w:rPr>
                <w:rFonts w:hint="eastAsia" w:asciiTheme="minorEastAsia" w:hAnsiTheme="minorEastAsia" w:eastAsiaTheme="minorEastAsia" w:cstheme="minorEastAsia"/>
                <w:color w:val="auto"/>
                <w:sz w:val="21"/>
                <w:szCs w:val="21"/>
              </w:rPr>
            </w:pPr>
          </w:p>
        </w:tc>
      </w:tr>
      <w:tr w14:paraId="4AD01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7" w:hRule="exact"/>
          <w:jc w:val="center"/>
        </w:trPr>
        <w:tc>
          <w:tcPr>
            <w:tcW w:w="892" w:type="dxa"/>
            <w:vAlign w:val="center"/>
          </w:tcPr>
          <w:p w14:paraId="3494AFF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040" w:type="dxa"/>
            <w:vAlign w:val="center"/>
          </w:tcPr>
          <w:p w14:paraId="0EFEE1E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网络负载、压力测试，分析延迟、丢包、抖动等指标</w:t>
            </w:r>
          </w:p>
        </w:tc>
        <w:tc>
          <w:tcPr>
            <w:tcW w:w="3982" w:type="dxa"/>
            <w:vAlign w:val="center"/>
          </w:tcPr>
          <w:p w14:paraId="37A0BE3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通信测试分析系统</w:t>
            </w:r>
          </w:p>
        </w:tc>
        <w:tc>
          <w:tcPr>
            <w:tcW w:w="800" w:type="dxa"/>
            <w:vMerge w:val="continue"/>
            <w:vAlign w:val="center"/>
          </w:tcPr>
          <w:p w14:paraId="6AC39F52">
            <w:pPr>
              <w:jc w:val="center"/>
              <w:rPr>
                <w:rFonts w:hint="eastAsia" w:asciiTheme="minorEastAsia" w:hAnsiTheme="minorEastAsia" w:eastAsiaTheme="minorEastAsia" w:cstheme="minorEastAsia"/>
                <w:color w:val="auto"/>
                <w:sz w:val="21"/>
                <w:szCs w:val="21"/>
              </w:rPr>
            </w:pPr>
          </w:p>
        </w:tc>
        <w:tc>
          <w:tcPr>
            <w:tcW w:w="702" w:type="dxa"/>
            <w:vAlign w:val="center"/>
          </w:tcPr>
          <w:p w14:paraId="21A4920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73ED4F12">
            <w:pPr>
              <w:jc w:val="center"/>
              <w:rPr>
                <w:rFonts w:hint="eastAsia" w:asciiTheme="minorEastAsia" w:hAnsiTheme="minorEastAsia" w:eastAsiaTheme="minorEastAsia" w:cstheme="minorEastAsia"/>
                <w:color w:val="auto"/>
                <w:sz w:val="21"/>
                <w:szCs w:val="21"/>
              </w:rPr>
            </w:pPr>
          </w:p>
        </w:tc>
      </w:tr>
      <w:tr w14:paraId="2AE71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7" w:hRule="exact"/>
          <w:jc w:val="center"/>
        </w:trPr>
        <w:tc>
          <w:tcPr>
            <w:tcW w:w="892" w:type="dxa"/>
            <w:vAlign w:val="center"/>
          </w:tcPr>
          <w:p w14:paraId="39AB313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040" w:type="dxa"/>
            <w:vAlign w:val="center"/>
          </w:tcPr>
          <w:p w14:paraId="74628BF5">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协议的触发和解码，逻辑分析</w:t>
            </w:r>
          </w:p>
        </w:tc>
        <w:tc>
          <w:tcPr>
            <w:tcW w:w="3982" w:type="dxa"/>
            <w:vAlign w:val="center"/>
          </w:tcPr>
          <w:p w14:paraId="68DFABA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混合信号示波器</w:t>
            </w:r>
          </w:p>
        </w:tc>
        <w:tc>
          <w:tcPr>
            <w:tcW w:w="800" w:type="dxa"/>
            <w:vMerge w:val="continue"/>
            <w:vAlign w:val="center"/>
          </w:tcPr>
          <w:p w14:paraId="11C8706F">
            <w:pPr>
              <w:jc w:val="center"/>
              <w:rPr>
                <w:rFonts w:hint="eastAsia" w:asciiTheme="minorEastAsia" w:hAnsiTheme="minorEastAsia" w:eastAsiaTheme="minorEastAsia" w:cstheme="minorEastAsia"/>
                <w:color w:val="auto"/>
                <w:sz w:val="21"/>
                <w:szCs w:val="21"/>
              </w:rPr>
            </w:pPr>
          </w:p>
        </w:tc>
        <w:tc>
          <w:tcPr>
            <w:tcW w:w="702" w:type="dxa"/>
            <w:vAlign w:val="center"/>
          </w:tcPr>
          <w:p w14:paraId="3FBA9E8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1071E126">
            <w:pPr>
              <w:jc w:val="center"/>
              <w:rPr>
                <w:rFonts w:hint="eastAsia" w:asciiTheme="minorEastAsia" w:hAnsiTheme="minorEastAsia" w:eastAsiaTheme="minorEastAsia" w:cstheme="minorEastAsia"/>
                <w:color w:val="auto"/>
                <w:sz w:val="21"/>
                <w:szCs w:val="21"/>
              </w:rPr>
            </w:pPr>
          </w:p>
        </w:tc>
      </w:tr>
      <w:tr w14:paraId="75751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1" w:hRule="exact"/>
          <w:jc w:val="center"/>
        </w:trPr>
        <w:tc>
          <w:tcPr>
            <w:tcW w:w="892" w:type="dxa"/>
            <w:vAlign w:val="center"/>
          </w:tcPr>
          <w:p w14:paraId="787B3F8E">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040" w:type="dxa"/>
            <w:vAlign w:val="center"/>
          </w:tcPr>
          <w:p w14:paraId="4694C2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光缆的施工和维护</w:t>
            </w:r>
            <w:r>
              <w:rPr>
                <w:rFonts w:hint="eastAsia" w:asciiTheme="minorEastAsia" w:hAnsiTheme="minorEastAsia" w:eastAsiaTheme="minorEastAsia" w:cstheme="minorEastAsia"/>
                <w:color w:val="auto"/>
                <w:sz w:val="21"/>
                <w:szCs w:val="21"/>
              </w:rPr>
              <w:t xml:space="preserve"> </w:t>
            </w:r>
          </w:p>
        </w:tc>
        <w:tc>
          <w:tcPr>
            <w:tcW w:w="3982" w:type="dxa"/>
            <w:vAlign w:val="center"/>
          </w:tcPr>
          <w:p w14:paraId="2A03E466">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光纤熔接机</w:t>
            </w:r>
          </w:p>
        </w:tc>
        <w:tc>
          <w:tcPr>
            <w:tcW w:w="800" w:type="dxa"/>
            <w:vMerge w:val="continue"/>
            <w:vAlign w:val="center"/>
          </w:tcPr>
          <w:p w14:paraId="5E21AC37">
            <w:pPr>
              <w:jc w:val="center"/>
              <w:rPr>
                <w:rFonts w:hint="eastAsia" w:asciiTheme="minorEastAsia" w:hAnsiTheme="minorEastAsia" w:eastAsiaTheme="minorEastAsia" w:cstheme="minorEastAsia"/>
                <w:color w:val="auto"/>
                <w:sz w:val="21"/>
                <w:szCs w:val="21"/>
              </w:rPr>
            </w:pPr>
          </w:p>
        </w:tc>
        <w:tc>
          <w:tcPr>
            <w:tcW w:w="702" w:type="dxa"/>
            <w:vAlign w:val="center"/>
          </w:tcPr>
          <w:p w14:paraId="57FFED2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571B2C1B">
            <w:pPr>
              <w:jc w:val="center"/>
              <w:rPr>
                <w:rFonts w:hint="eastAsia" w:asciiTheme="minorEastAsia" w:hAnsiTheme="minorEastAsia" w:eastAsiaTheme="minorEastAsia" w:cstheme="minorEastAsia"/>
                <w:color w:val="auto"/>
                <w:sz w:val="21"/>
                <w:szCs w:val="21"/>
              </w:rPr>
            </w:pPr>
          </w:p>
        </w:tc>
      </w:tr>
      <w:tr w14:paraId="0D45B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1" w:hRule="exact"/>
          <w:jc w:val="center"/>
        </w:trPr>
        <w:tc>
          <w:tcPr>
            <w:tcW w:w="892" w:type="dxa"/>
            <w:vAlign w:val="center"/>
          </w:tcPr>
          <w:p w14:paraId="472E573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040" w:type="dxa"/>
            <w:vAlign w:val="center"/>
          </w:tcPr>
          <w:p w14:paraId="0D8B5DD4">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光功率测量</w:t>
            </w:r>
          </w:p>
        </w:tc>
        <w:tc>
          <w:tcPr>
            <w:tcW w:w="3982" w:type="dxa"/>
            <w:vAlign w:val="center"/>
          </w:tcPr>
          <w:p w14:paraId="6B914748">
            <w:pPr>
              <w:adjustRightInd w:val="0"/>
              <w:snapToGrid w:val="0"/>
              <w:spacing w:line="24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光功率计</w:t>
            </w:r>
          </w:p>
        </w:tc>
        <w:tc>
          <w:tcPr>
            <w:tcW w:w="800" w:type="dxa"/>
            <w:vMerge w:val="continue"/>
            <w:vAlign w:val="center"/>
          </w:tcPr>
          <w:p w14:paraId="54746138">
            <w:pPr>
              <w:jc w:val="center"/>
              <w:rPr>
                <w:rFonts w:hint="eastAsia" w:asciiTheme="minorEastAsia" w:hAnsiTheme="minorEastAsia" w:eastAsiaTheme="minorEastAsia" w:cstheme="minorEastAsia"/>
                <w:color w:val="auto"/>
                <w:sz w:val="21"/>
                <w:szCs w:val="21"/>
              </w:rPr>
            </w:pPr>
          </w:p>
        </w:tc>
        <w:tc>
          <w:tcPr>
            <w:tcW w:w="702" w:type="dxa"/>
            <w:vAlign w:val="center"/>
          </w:tcPr>
          <w:p w14:paraId="6B560B2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2F0B3656">
            <w:pPr>
              <w:jc w:val="center"/>
              <w:rPr>
                <w:rFonts w:hint="eastAsia" w:asciiTheme="minorEastAsia" w:hAnsiTheme="minorEastAsia" w:eastAsiaTheme="minorEastAsia" w:cstheme="minorEastAsia"/>
                <w:color w:val="auto"/>
                <w:sz w:val="21"/>
                <w:szCs w:val="21"/>
              </w:rPr>
            </w:pPr>
          </w:p>
        </w:tc>
      </w:tr>
      <w:tr w14:paraId="2D541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1" w:hRule="exact"/>
          <w:jc w:val="center"/>
        </w:trPr>
        <w:tc>
          <w:tcPr>
            <w:tcW w:w="892" w:type="dxa"/>
            <w:vAlign w:val="center"/>
          </w:tcPr>
          <w:p w14:paraId="00A0B65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040" w:type="dxa"/>
            <w:vAlign w:val="center"/>
          </w:tcPr>
          <w:p w14:paraId="7D3029D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频谱扫描、WiFi分析及宽带LNB兼容性</w:t>
            </w:r>
          </w:p>
        </w:tc>
        <w:tc>
          <w:tcPr>
            <w:tcW w:w="3982" w:type="dxa"/>
            <w:vAlign w:val="center"/>
          </w:tcPr>
          <w:p w14:paraId="3452DBBA">
            <w:pPr>
              <w:adjustRightInd w:val="0"/>
              <w:snapToGrid w:val="0"/>
              <w:spacing w:line="24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CATV测试验收仪</w:t>
            </w:r>
          </w:p>
        </w:tc>
        <w:tc>
          <w:tcPr>
            <w:tcW w:w="800" w:type="dxa"/>
            <w:vMerge w:val="continue"/>
            <w:vAlign w:val="center"/>
          </w:tcPr>
          <w:p w14:paraId="68FEB24E">
            <w:pPr>
              <w:jc w:val="center"/>
              <w:rPr>
                <w:rFonts w:hint="eastAsia" w:asciiTheme="minorEastAsia" w:hAnsiTheme="minorEastAsia" w:eastAsiaTheme="minorEastAsia" w:cstheme="minorEastAsia"/>
                <w:color w:val="auto"/>
                <w:sz w:val="21"/>
                <w:szCs w:val="21"/>
              </w:rPr>
            </w:pPr>
          </w:p>
        </w:tc>
        <w:tc>
          <w:tcPr>
            <w:tcW w:w="702" w:type="dxa"/>
            <w:vAlign w:val="center"/>
          </w:tcPr>
          <w:p w14:paraId="789D505A">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Merge w:val="continue"/>
            <w:vAlign w:val="center"/>
          </w:tcPr>
          <w:p w14:paraId="073EB77E">
            <w:pPr>
              <w:jc w:val="center"/>
              <w:rPr>
                <w:rFonts w:hint="eastAsia" w:asciiTheme="minorEastAsia" w:hAnsiTheme="minorEastAsia" w:eastAsiaTheme="minorEastAsia" w:cstheme="minorEastAsia"/>
                <w:color w:val="auto"/>
                <w:sz w:val="21"/>
                <w:szCs w:val="21"/>
              </w:rPr>
            </w:pPr>
          </w:p>
        </w:tc>
      </w:tr>
      <w:tr w14:paraId="5A2B2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1" w:hRule="exact"/>
          <w:jc w:val="center"/>
        </w:trPr>
        <w:tc>
          <w:tcPr>
            <w:tcW w:w="892" w:type="dxa"/>
            <w:vAlign w:val="center"/>
          </w:tcPr>
          <w:p w14:paraId="6ECF703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040" w:type="dxa"/>
            <w:vAlign w:val="center"/>
          </w:tcPr>
          <w:p w14:paraId="62509435">
            <w:pPr>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混凝土强度等</w:t>
            </w:r>
          </w:p>
        </w:tc>
        <w:tc>
          <w:tcPr>
            <w:tcW w:w="3982" w:type="dxa"/>
            <w:vAlign w:val="center"/>
          </w:tcPr>
          <w:p w14:paraId="49F59082">
            <w:pPr>
              <w:adjustRightInd w:val="0"/>
              <w:snapToGrid w:val="0"/>
              <w:spacing w:line="248"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水泥试验设备、水泥标准养护箱</w:t>
            </w:r>
          </w:p>
        </w:tc>
        <w:tc>
          <w:tcPr>
            <w:tcW w:w="800" w:type="dxa"/>
            <w:vAlign w:val="center"/>
          </w:tcPr>
          <w:p w14:paraId="6FA623EF">
            <w:pPr>
              <w:jc w:val="center"/>
              <w:rPr>
                <w:rFonts w:hint="eastAsia" w:asciiTheme="minorEastAsia" w:hAnsiTheme="minorEastAsia" w:eastAsiaTheme="minorEastAsia" w:cstheme="minorEastAsia"/>
                <w:color w:val="auto"/>
                <w:sz w:val="21"/>
                <w:szCs w:val="21"/>
              </w:rPr>
            </w:pPr>
          </w:p>
        </w:tc>
        <w:tc>
          <w:tcPr>
            <w:tcW w:w="702" w:type="dxa"/>
            <w:vAlign w:val="center"/>
          </w:tcPr>
          <w:p w14:paraId="6D20F577">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1套</w:t>
            </w:r>
          </w:p>
        </w:tc>
        <w:tc>
          <w:tcPr>
            <w:tcW w:w="776" w:type="dxa"/>
            <w:vAlign w:val="center"/>
          </w:tcPr>
          <w:p w14:paraId="1C4FF045">
            <w:pPr>
              <w:jc w:val="center"/>
              <w:rPr>
                <w:rFonts w:hint="eastAsia" w:asciiTheme="minorEastAsia" w:hAnsiTheme="minorEastAsia" w:eastAsiaTheme="minorEastAsia" w:cstheme="minorEastAsia"/>
                <w:color w:val="auto"/>
                <w:sz w:val="21"/>
                <w:szCs w:val="21"/>
              </w:rPr>
            </w:pPr>
          </w:p>
        </w:tc>
      </w:tr>
    </w:tbl>
    <w:p w14:paraId="4C9EDD40">
      <w:pPr>
        <w:spacing w:before="120" w:beforeLines="50" w:after="120" w:afterLines="50" w:line="276"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注：1、</w:t>
      </w:r>
      <w:r>
        <w:rPr>
          <w:rFonts w:hint="eastAsia" w:asciiTheme="minorEastAsia" w:hAnsiTheme="minorEastAsia" w:eastAsiaTheme="minorEastAsia" w:cstheme="minorEastAsia"/>
          <w:b/>
          <w:bCs/>
          <w:color w:val="auto"/>
          <w:szCs w:val="21"/>
          <w:lang w:eastAsia="zh-CN"/>
        </w:rPr>
        <w:t>供应商</w:t>
      </w:r>
      <w:r>
        <w:rPr>
          <w:rFonts w:hint="eastAsia" w:asciiTheme="minorEastAsia" w:hAnsiTheme="minorEastAsia" w:eastAsiaTheme="minorEastAsia" w:cstheme="minorEastAsia"/>
          <w:b/>
          <w:bCs/>
          <w:color w:val="auto"/>
          <w:szCs w:val="21"/>
        </w:rPr>
        <w:t>的工地临时试验室必须由取得公路工程综合类乙级及以上资质的母体检测机构承担。如部分试验超出母体检测范围的，需委托具备相应检测资质的机构进行检测。</w:t>
      </w:r>
    </w:p>
    <w:p w14:paraId="0275A5AE">
      <w:pPr>
        <w:spacing w:before="120" w:beforeLines="50" w:after="120" w:afterLines="50" w:line="276" w:lineRule="auto"/>
        <w:rPr>
          <w:rFonts w:ascii="宋体" w:hAnsi="宋体"/>
          <w:color w:val="auto"/>
          <w:szCs w:val="21"/>
        </w:rPr>
      </w:pPr>
      <w:r>
        <w:rPr>
          <w:rFonts w:hint="eastAsia" w:asciiTheme="minorEastAsia" w:hAnsiTheme="minorEastAsia" w:eastAsiaTheme="minorEastAsia" w:cstheme="minorEastAsia"/>
          <w:color w:val="auto"/>
          <w:szCs w:val="21"/>
        </w:rPr>
        <w:t>2、招标人应在招标文件中规定若</w:t>
      </w: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Cs w:val="21"/>
        </w:rPr>
        <w:t>在所投标段中标需提供的主要试验检测设备。招标人将在合同谈判阶段要求</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按照本表的最低要求填报为本标段配备的主要设备，在经招标人审批后作为投入本标段的主要设备且不允许更换。如</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拟提供的设备数量和规格指标等不满足本表要求，招标人应取消其中标资格。</w:t>
      </w:r>
      <w:bookmarkEnd w:id="184"/>
      <w:r>
        <w:rPr>
          <w:rFonts w:ascii="宋体" w:hAnsi="宋体"/>
          <w:color w:val="auto"/>
          <w:szCs w:val="21"/>
        </w:rPr>
        <w:br w:type="page"/>
      </w:r>
    </w:p>
    <w:p w14:paraId="736F83B0">
      <w:pPr>
        <w:spacing w:line="440" w:lineRule="exact"/>
        <w:jc w:val="left"/>
        <w:rPr>
          <w:rFonts w:hint="eastAsia" w:ascii="宋体" w:hAnsi="宋体" w:eastAsia="宋体" w:cs="黑体"/>
          <w:b/>
          <w:color w:val="auto"/>
          <w:sz w:val="28"/>
          <w:szCs w:val="28"/>
          <w:highlight w:val="none"/>
        </w:rPr>
      </w:pPr>
      <w:r>
        <w:rPr>
          <w:rFonts w:hint="eastAsia" w:ascii="宋体" w:hAnsi="宋体" w:eastAsia="宋体" w:cs="黑体"/>
          <w:b/>
          <w:color w:val="auto"/>
          <w:sz w:val="28"/>
          <w:szCs w:val="28"/>
          <w:highlight w:val="none"/>
        </w:rPr>
        <w:t>附件五  履约担保格式</w:t>
      </w:r>
    </w:p>
    <w:p w14:paraId="6B2B9A4B">
      <w:pPr>
        <w:spacing w:line="360" w:lineRule="auto"/>
        <w:rPr>
          <w:rFonts w:hint="eastAsia" w:ascii="宋体" w:hAnsi="宋体"/>
          <w:color w:val="auto"/>
          <w:kern w:val="0"/>
          <w:sz w:val="23"/>
          <w:szCs w:val="23"/>
        </w:rPr>
      </w:pPr>
    </w:p>
    <w:p w14:paraId="51D0AE16">
      <w:pPr>
        <w:spacing w:line="360" w:lineRule="auto"/>
        <w:rPr>
          <w:rFonts w:ascii="宋体" w:hAnsi="宋体"/>
          <w:color w:val="auto"/>
          <w:kern w:val="0"/>
          <w:sz w:val="23"/>
          <w:szCs w:val="23"/>
        </w:rPr>
      </w:pPr>
      <w:r>
        <w:rPr>
          <w:rFonts w:hint="eastAsia" w:ascii="宋体" w:hAnsi="宋体"/>
          <w:color w:val="auto"/>
          <w:kern w:val="0"/>
          <w:sz w:val="23"/>
          <w:szCs w:val="23"/>
        </w:rPr>
        <w:t>如采用银行保函，格式如下。</w:t>
      </w:r>
    </w:p>
    <w:p w14:paraId="05F9BF26">
      <w:pPr>
        <w:spacing w:before="16"/>
        <w:ind w:right="59"/>
        <w:jc w:val="center"/>
        <w:rPr>
          <w:rFonts w:ascii="宋体" w:hAnsi="宋体" w:cs="宋体"/>
          <w:b/>
          <w:color w:val="auto"/>
          <w:kern w:val="0"/>
          <w:sz w:val="27"/>
          <w:szCs w:val="27"/>
        </w:rPr>
      </w:pPr>
      <w:r>
        <w:rPr>
          <w:rFonts w:ascii="宋体" w:hAnsi="宋体" w:cs="宋体"/>
          <w:b/>
          <w:color w:val="auto"/>
          <w:kern w:val="0"/>
          <w:sz w:val="27"/>
          <w:szCs w:val="27"/>
        </w:rPr>
        <w:t>履约保证金</w:t>
      </w:r>
    </w:p>
    <w:p w14:paraId="7AB38818">
      <w:pPr>
        <w:spacing w:before="7"/>
        <w:jc w:val="left"/>
        <w:rPr>
          <w:rFonts w:ascii="宋体" w:hAnsi="宋体" w:cs="宋体"/>
          <w:color w:val="auto"/>
          <w:kern w:val="0"/>
          <w:sz w:val="38"/>
          <w:szCs w:val="38"/>
        </w:rPr>
      </w:pPr>
    </w:p>
    <w:p w14:paraId="2F6E562E">
      <w:pPr>
        <w:spacing w:line="360" w:lineRule="auto"/>
        <w:rPr>
          <w:rFonts w:hint="eastAsia" w:asciiTheme="minorEastAsia" w:hAnsiTheme="minorEastAsia" w:eastAsiaTheme="minorEastAsia" w:cstheme="minorEastAsia"/>
          <w:color w:val="auto"/>
          <w:kern w:val="0"/>
          <w:sz w:val="21"/>
          <w:szCs w:val="21"/>
        </w:rPr>
      </w:pPr>
      <w:r>
        <w:rPr>
          <w:rFonts w:ascii="宋体" w:hAnsi="宋体"/>
          <w:color w:val="auto"/>
          <w:kern w:val="0"/>
          <w:sz w:val="23"/>
          <w:szCs w:val="23"/>
          <w:u w:val="single" w:color="000000"/>
        </w:rPr>
        <w:t xml:space="preserve"> </w:t>
      </w:r>
      <w:r>
        <w:rPr>
          <w:rFonts w:hint="eastAsia" w:asciiTheme="minorEastAsia" w:hAnsiTheme="minorEastAsia" w:eastAsiaTheme="minorEastAsia" w:cstheme="minorEastAsia"/>
          <w:color w:val="auto"/>
          <w:kern w:val="0"/>
          <w:sz w:val="21"/>
          <w:szCs w:val="21"/>
          <w:u w:val="single" w:color="000000"/>
        </w:rPr>
        <w:t xml:space="preserve">        </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（委托人名称）：</w:t>
      </w:r>
    </w:p>
    <w:p w14:paraId="4475CF52">
      <w:pPr>
        <w:spacing w:before="3" w:line="360" w:lineRule="auto"/>
        <w:jc w:val="left"/>
        <w:rPr>
          <w:rFonts w:hint="eastAsia" w:asciiTheme="minorEastAsia" w:hAnsiTheme="minorEastAsia" w:eastAsiaTheme="minorEastAsia" w:cstheme="minorEastAsia"/>
          <w:color w:val="auto"/>
          <w:kern w:val="0"/>
          <w:sz w:val="21"/>
          <w:szCs w:val="21"/>
        </w:rPr>
      </w:pPr>
    </w:p>
    <w:p w14:paraId="5DFEC12A">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鉴于</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（委托人名称，以下简称“委托人”）接受</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（监理人名称）（以下称“监理人”）于</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日参加（项目名称）</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标段施工监理的投标。我方愿意无条件地、不可撤销地就监理人履行与你方订立的合同，向你方提供担保。</w:t>
      </w:r>
    </w:p>
    <w:p w14:paraId="5983E664">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1.担保金额人民币（大写）</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元（￥</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24CDD7B5">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2.担保有效期自委托人与监理人签订的合同生效之日起至委托人签发交工验收证书且监理人按照合同约定提交缺陷责任期保函之日止</w:t>
      </w:r>
      <w:r>
        <w:rPr>
          <w:rStyle w:val="34"/>
          <w:rFonts w:hint="eastAsia" w:asciiTheme="minorEastAsia" w:hAnsiTheme="minorEastAsia" w:eastAsiaTheme="minorEastAsia" w:cstheme="minorEastAsia"/>
          <w:color w:val="auto"/>
          <w:kern w:val="0"/>
          <w:sz w:val="21"/>
          <w:szCs w:val="21"/>
        </w:rPr>
        <w:footnoteReference w:id="0"/>
      </w:r>
      <w:r>
        <w:rPr>
          <w:rFonts w:hint="eastAsia" w:asciiTheme="minorEastAsia" w:hAnsiTheme="minorEastAsia" w:eastAsiaTheme="minorEastAsia" w:cstheme="minorEastAsia"/>
          <w:color w:val="auto"/>
          <w:kern w:val="0"/>
          <w:sz w:val="21"/>
          <w:szCs w:val="21"/>
        </w:rPr>
        <w:t>。</w:t>
      </w:r>
    </w:p>
    <w:p w14:paraId="4CE2B682">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3.在本担保有效期内，因监理人违反合同约定的义务给你方造成经济损失时，我方在收到你方以书面形式提出的在担保金额内的赔偿要求后，在7天内无条件支付，无须你方出具证明或陈述理由。</w:t>
      </w:r>
    </w:p>
    <w:p w14:paraId="46FEC26D">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4.委托人和监理人按合同条款变更合同时，我方承担本担保规定的义务不变。</w:t>
      </w:r>
    </w:p>
    <w:p w14:paraId="6AF7723A">
      <w:pPr>
        <w:spacing w:line="360" w:lineRule="auto"/>
        <w:jc w:val="left"/>
        <w:rPr>
          <w:rFonts w:hint="eastAsia" w:asciiTheme="minorEastAsia" w:hAnsiTheme="minorEastAsia" w:eastAsiaTheme="minorEastAsia" w:cstheme="minorEastAsia"/>
          <w:color w:val="auto"/>
          <w:kern w:val="0"/>
          <w:sz w:val="21"/>
          <w:szCs w:val="21"/>
        </w:rPr>
      </w:pPr>
    </w:p>
    <w:p w14:paraId="25DF0503">
      <w:pPr>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担保人：</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（盖单位章）</w:t>
      </w:r>
    </w:p>
    <w:p w14:paraId="40AB81E9">
      <w:pPr>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法定代表人或其委托代理人：</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（签字）</w:t>
      </w:r>
    </w:p>
    <w:p w14:paraId="76A2339E">
      <w:pPr>
        <w:wordWrap w:val="0"/>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    址：</w:t>
      </w:r>
      <w:r>
        <w:rPr>
          <w:rFonts w:hint="eastAsia" w:asciiTheme="minorEastAsia" w:hAnsiTheme="minorEastAsia" w:eastAsiaTheme="minorEastAsia" w:cstheme="minorEastAsia"/>
          <w:color w:val="auto"/>
          <w:kern w:val="0"/>
          <w:sz w:val="21"/>
          <w:szCs w:val="21"/>
          <w:u w:val="single"/>
        </w:rPr>
        <w:t xml:space="preserve">                                   </w:t>
      </w:r>
    </w:p>
    <w:p w14:paraId="0DDE21F6">
      <w:pPr>
        <w:wordWrap w:val="0"/>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邮政编码：</w:t>
      </w:r>
      <w:r>
        <w:rPr>
          <w:rFonts w:hint="eastAsia" w:asciiTheme="minorEastAsia" w:hAnsiTheme="minorEastAsia" w:eastAsiaTheme="minorEastAsia" w:cstheme="minorEastAsia"/>
          <w:color w:val="auto"/>
          <w:kern w:val="0"/>
          <w:sz w:val="21"/>
          <w:szCs w:val="21"/>
          <w:u w:val="single"/>
        </w:rPr>
        <w:t xml:space="preserve">                                   </w:t>
      </w:r>
    </w:p>
    <w:p w14:paraId="44AD7EAA">
      <w:pPr>
        <w:wordWrap w:val="0"/>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    话：</w:t>
      </w:r>
      <w:r>
        <w:rPr>
          <w:rFonts w:hint="eastAsia" w:asciiTheme="minorEastAsia" w:hAnsiTheme="minorEastAsia" w:eastAsiaTheme="minorEastAsia" w:cstheme="minorEastAsia"/>
          <w:color w:val="auto"/>
          <w:kern w:val="0"/>
          <w:sz w:val="21"/>
          <w:szCs w:val="21"/>
          <w:u w:val="single"/>
        </w:rPr>
        <w:t xml:space="preserve">                                   </w:t>
      </w:r>
    </w:p>
    <w:p w14:paraId="3ACE8BC6">
      <w:pPr>
        <w:wordWrap w:val="0"/>
        <w:spacing w:line="360" w:lineRule="auto"/>
        <w:jc w:val="righ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传    真：</w:t>
      </w:r>
      <w:r>
        <w:rPr>
          <w:rFonts w:hint="eastAsia" w:asciiTheme="minorEastAsia" w:hAnsiTheme="minorEastAsia" w:eastAsiaTheme="minorEastAsia" w:cstheme="minorEastAsia"/>
          <w:color w:val="auto"/>
          <w:kern w:val="0"/>
          <w:sz w:val="21"/>
          <w:szCs w:val="21"/>
          <w:u w:val="single"/>
        </w:rPr>
        <w:t xml:space="preserve">                                   </w:t>
      </w:r>
    </w:p>
    <w:p w14:paraId="1667E487">
      <w:pPr>
        <w:bidi w:val="0"/>
        <w:jc w:val="left"/>
        <w:rPr>
          <w:rFonts w:hint="eastAsia" w:ascii="Times New Roman" w:hAnsi="Times New Roman" w:eastAsia="宋体" w:cs="Times New Roman"/>
          <w:color w:val="auto"/>
          <w:kern w:val="2"/>
          <w:sz w:val="21"/>
          <w:lang w:val="en-US" w:eastAsia="zh-CN" w:bidi="ar-SA"/>
        </w:rPr>
        <w:sectPr>
          <w:pgSz w:w="11900" w:h="16840"/>
          <w:pgMar w:top="1304" w:right="1361" w:bottom="1304" w:left="1361" w:header="0" w:footer="0" w:gutter="0"/>
          <w:pgNumType w:fmt="decimal"/>
          <w:cols w:space="720" w:num="1"/>
          <w:docGrid w:linePitch="360" w:charSpace="0"/>
        </w:sectPr>
      </w:pP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日</w:t>
      </w:r>
    </w:p>
    <w:p w14:paraId="5A8285E7">
      <w:pPr>
        <w:bidi w:val="0"/>
        <w:jc w:val="left"/>
        <w:rPr>
          <w:rFonts w:hint="eastAsia" w:ascii="Times New Roman" w:hAnsi="Times New Roman" w:eastAsia="宋体" w:cs="Times New Roman"/>
          <w:color w:val="auto"/>
          <w:kern w:val="2"/>
          <w:sz w:val="21"/>
          <w:lang w:val="en-US" w:eastAsia="zh-CN" w:bidi="ar-SA"/>
        </w:rPr>
      </w:pPr>
    </w:p>
    <w:p w14:paraId="33CF08C8">
      <w:pPr>
        <w:pStyle w:val="3"/>
        <w:bidi w:val="0"/>
        <w:jc w:val="center"/>
        <w:rPr>
          <w:rFonts w:hint="eastAsia"/>
          <w:color w:val="auto"/>
          <w:sz w:val="40"/>
          <w:szCs w:val="22"/>
        </w:rPr>
      </w:pPr>
      <w:bookmarkStart w:id="185" w:name="_Toc26555"/>
      <w:r>
        <w:rPr>
          <w:rFonts w:hint="eastAsia"/>
          <w:color w:val="auto"/>
          <w:sz w:val="40"/>
          <w:szCs w:val="22"/>
        </w:rPr>
        <w:t>第</w:t>
      </w:r>
      <w:r>
        <w:rPr>
          <w:rFonts w:hint="eastAsia"/>
          <w:color w:val="auto"/>
          <w:sz w:val="40"/>
          <w:szCs w:val="22"/>
          <w:lang w:val="en-US" w:eastAsia="zh-CN"/>
        </w:rPr>
        <w:t>六</w:t>
      </w:r>
      <w:r>
        <w:rPr>
          <w:rFonts w:hint="eastAsia"/>
          <w:color w:val="auto"/>
          <w:sz w:val="40"/>
          <w:szCs w:val="22"/>
        </w:rPr>
        <w:t>章  响应文件格式</w:t>
      </w:r>
      <w:bookmarkEnd w:id="165"/>
      <w:bookmarkEnd w:id="185"/>
    </w:p>
    <w:p w14:paraId="2D21E9AA">
      <w:pPr>
        <w:pStyle w:val="38"/>
        <w:rPr>
          <w:rFonts w:hint="eastAsia"/>
          <w:color w:val="auto"/>
        </w:rPr>
      </w:pPr>
    </w:p>
    <w:p w14:paraId="3ADA29FA">
      <w:pPr>
        <w:widowControl/>
        <w:snapToGrid w:val="0"/>
        <w:spacing w:line="360" w:lineRule="auto"/>
        <w:ind w:right="-340" w:rightChars="-162"/>
        <w:rPr>
          <w:rFonts w:hint="eastAsia" w:ascii="宋体" w:hAnsi="宋体"/>
          <w:b/>
          <w:color w:val="auto"/>
          <w:kern w:val="0"/>
          <w:sz w:val="44"/>
          <w:szCs w:val="44"/>
        </w:rPr>
      </w:pPr>
    </w:p>
    <w:p w14:paraId="0CB15BBB">
      <w:pPr>
        <w:widowControl/>
        <w:snapToGrid w:val="0"/>
        <w:spacing w:line="360" w:lineRule="auto"/>
        <w:ind w:right="-340" w:rightChars="-162"/>
        <w:jc w:val="center"/>
        <w:rPr>
          <w:rFonts w:hint="eastAsia" w:ascii="宋体" w:hAnsi="宋体" w:cs="宋体"/>
          <w:b/>
          <w:color w:val="auto"/>
          <w:kern w:val="0"/>
          <w:sz w:val="52"/>
          <w:szCs w:val="52"/>
          <w:u w:val="single"/>
        </w:rPr>
      </w:pPr>
      <w:r>
        <w:rPr>
          <w:rFonts w:hint="eastAsia" w:ascii="宋体" w:hAnsi="宋体" w:cs="宋体"/>
          <w:b/>
          <w:color w:val="auto"/>
          <w:kern w:val="0"/>
          <w:sz w:val="52"/>
          <w:szCs w:val="52"/>
          <w:u w:val="single"/>
        </w:rPr>
        <w:t xml:space="preserve">            （项目名称）</w:t>
      </w:r>
    </w:p>
    <w:p w14:paraId="73A5757F">
      <w:pPr>
        <w:pStyle w:val="38"/>
        <w:rPr>
          <w:rFonts w:hint="eastAsia"/>
          <w:color w:val="auto"/>
        </w:rPr>
      </w:pPr>
    </w:p>
    <w:p w14:paraId="4C7C7430">
      <w:pPr>
        <w:spacing w:line="360" w:lineRule="auto"/>
        <w:ind w:right="-340" w:rightChars="-162" w:firstLine="351" w:firstLineChars="97"/>
        <w:rPr>
          <w:rFonts w:hint="eastAsia" w:ascii="宋体" w:hAnsi="宋体"/>
          <w:b/>
          <w:color w:val="auto"/>
          <w:sz w:val="36"/>
          <w:szCs w:val="36"/>
        </w:rPr>
      </w:pPr>
    </w:p>
    <w:p w14:paraId="2C3F46F2">
      <w:pPr>
        <w:pStyle w:val="38"/>
        <w:rPr>
          <w:rFonts w:hint="eastAsia"/>
          <w:color w:val="auto"/>
        </w:rPr>
      </w:pPr>
    </w:p>
    <w:p w14:paraId="26A5D041">
      <w:pPr>
        <w:pStyle w:val="38"/>
        <w:rPr>
          <w:rFonts w:hint="eastAsia"/>
          <w:color w:val="auto"/>
        </w:rPr>
      </w:pPr>
    </w:p>
    <w:p w14:paraId="48B0C5C2">
      <w:pPr>
        <w:spacing w:line="360" w:lineRule="auto"/>
        <w:ind w:right="-340" w:rightChars="-162"/>
        <w:jc w:val="center"/>
        <w:rPr>
          <w:rFonts w:hint="eastAsia" w:ascii="宋体" w:hAnsi="宋体"/>
          <w:b/>
          <w:color w:val="auto"/>
          <w:sz w:val="72"/>
          <w:szCs w:val="72"/>
        </w:rPr>
      </w:pPr>
      <w:r>
        <w:rPr>
          <w:rFonts w:hint="eastAsia" w:ascii="宋体" w:hAnsi="宋体"/>
          <w:b/>
          <w:color w:val="auto"/>
          <w:sz w:val="72"/>
          <w:szCs w:val="72"/>
        </w:rPr>
        <w:t>响 应 文 件</w:t>
      </w:r>
    </w:p>
    <w:p w14:paraId="396B3A9F">
      <w:pPr>
        <w:spacing w:line="360" w:lineRule="auto"/>
        <w:ind w:right="-340" w:rightChars="-162" w:firstLine="2238" w:firstLineChars="796"/>
        <w:rPr>
          <w:rFonts w:hint="eastAsia" w:ascii="宋体" w:hAnsi="宋体" w:cs="宋体"/>
          <w:b/>
          <w:color w:val="auto"/>
          <w:sz w:val="28"/>
          <w:szCs w:val="28"/>
          <w:shd w:val="clear" w:color="auto" w:fill="FFFFFF"/>
        </w:rPr>
      </w:pPr>
    </w:p>
    <w:p w14:paraId="07B28FAF">
      <w:pPr>
        <w:spacing w:line="360" w:lineRule="auto"/>
        <w:ind w:right="-340" w:rightChars="-162" w:firstLine="2891" w:firstLineChars="900"/>
        <w:rPr>
          <w:rFonts w:hint="eastAsia" w:ascii="宋体" w:hAnsi="宋体" w:cs="宋体"/>
          <w:b/>
          <w:color w:val="auto"/>
          <w:sz w:val="32"/>
          <w:szCs w:val="32"/>
          <w:shd w:val="clear" w:color="auto" w:fill="FFFFFF"/>
        </w:rPr>
      </w:pPr>
    </w:p>
    <w:p w14:paraId="42FBBD86">
      <w:pPr>
        <w:pStyle w:val="38"/>
        <w:rPr>
          <w:rFonts w:hint="eastAsia"/>
          <w:color w:val="auto"/>
        </w:rPr>
      </w:pPr>
    </w:p>
    <w:p w14:paraId="1D5FA233">
      <w:pPr>
        <w:pStyle w:val="38"/>
        <w:rPr>
          <w:rFonts w:hint="eastAsia"/>
          <w:color w:val="auto"/>
        </w:rPr>
      </w:pPr>
    </w:p>
    <w:p w14:paraId="4550CD27">
      <w:pPr>
        <w:spacing w:line="360" w:lineRule="auto"/>
        <w:ind w:right="-340" w:rightChars="-162" w:firstLine="2891" w:firstLineChars="900"/>
        <w:rPr>
          <w:rFonts w:hint="eastAsia" w:ascii="宋体" w:hAnsi="宋体" w:cs="宋体"/>
          <w:b/>
          <w:color w:val="auto"/>
          <w:sz w:val="32"/>
          <w:szCs w:val="32"/>
          <w:shd w:val="clear" w:color="auto" w:fill="FFFFFF"/>
        </w:rPr>
      </w:pPr>
    </w:p>
    <w:p w14:paraId="0A88B22E">
      <w:pPr>
        <w:spacing w:line="360" w:lineRule="auto"/>
        <w:ind w:right="-340" w:rightChars="-162" w:firstLine="2878" w:firstLineChars="896"/>
        <w:rPr>
          <w:rFonts w:hint="eastAsia" w:ascii="宋体" w:hAnsi="宋体" w:cs="宋体"/>
          <w:b/>
          <w:color w:val="auto"/>
          <w:sz w:val="32"/>
          <w:szCs w:val="32"/>
          <w:shd w:val="clear" w:color="auto" w:fill="FFFFFF"/>
        </w:rPr>
      </w:pPr>
      <w:r>
        <w:rPr>
          <w:rFonts w:hint="eastAsia" w:ascii="宋体" w:hAnsi="宋体" w:cs="宋体"/>
          <w:b/>
          <w:color w:val="auto"/>
          <w:sz w:val="32"/>
          <w:szCs w:val="32"/>
          <w:shd w:val="clear" w:color="auto" w:fill="FFFFFF"/>
        </w:rPr>
        <w:t>项目编号：</w:t>
      </w:r>
    </w:p>
    <w:p w14:paraId="1EF760D5">
      <w:pPr>
        <w:spacing w:line="360" w:lineRule="auto"/>
        <w:ind w:right="-340" w:rightChars="-162"/>
        <w:jc w:val="center"/>
        <w:rPr>
          <w:rFonts w:hint="eastAsia" w:ascii="宋体" w:hAnsi="宋体"/>
          <w:b/>
          <w:color w:val="auto"/>
          <w:sz w:val="30"/>
          <w:szCs w:val="30"/>
        </w:rPr>
      </w:pPr>
    </w:p>
    <w:p w14:paraId="76DA3289">
      <w:pPr>
        <w:pStyle w:val="38"/>
        <w:rPr>
          <w:rFonts w:hint="eastAsia"/>
          <w:color w:val="auto"/>
        </w:rPr>
      </w:pPr>
    </w:p>
    <w:p w14:paraId="2CCBEDE9">
      <w:pPr>
        <w:spacing w:line="600" w:lineRule="exact"/>
        <w:ind w:right="-340" w:rightChars="-162" w:firstLine="398" w:firstLineChars="132"/>
        <w:jc w:val="center"/>
        <w:rPr>
          <w:rFonts w:hint="eastAsia" w:ascii="宋体" w:hAnsi="宋体"/>
          <w:b/>
          <w:color w:val="auto"/>
          <w:sz w:val="30"/>
          <w:szCs w:val="30"/>
        </w:rPr>
      </w:pPr>
    </w:p>
    <w:p w14:paraId="7A5C892C">
      <w:pPr>
        <w:spacing w:line="600" w:lineRule="exact"/>
        <w:ind w:right="-340" w:rightChars="-162" w:firstLine="1132" w:firstLineChars="376"/>
        <w:rPr>
          <w:rFonts w:hint="eastAsia" w:ascii="宋体" w:hAnsi="宋体"/>
          <w:b/>
          <w:color w:val="auto"/>
          <w:sz w:val="30"/>
          <w:szCs w:val="30"/>
          <w:u w:val="single"/>
        </w:rPr>
      </w:pPr>
      <w:r>
        <w:rPr>
          <w:rFonts w:hint="eastAsia" w:ascii="宋体" w:hAnsi="宋体"/>
          <w:b/>
          <w:color w:val="auto"/>
          <w:sz w:val="30"/>
          <w:szCs w:val="30"/>
        </w:rPr>
        <w:t>供  应  商：</w:t>
      </w:r>
      <w:r>
        <w:rPr>
          <w:rFonts w:hint="eastAsia" w:ascii="宋体" w:hAnsi="宋体"/>
          <w:b/>
          <w:color w:val="auto"/>
          <w:sz w:val="30"/>
          <w:szCs w:val="30"/>
          <w:u w:val="single"/>
        </w:rPr>
        <w:t xml:space="preserve">                       </w:t>
      </w:r>
      <w:r>
        <w:rPr>
          <w:rFonts w:hint="eastAsia" w:ascii="宋体" w:hAnsi="宋体"/>
          <w:b/>
          <w:color w:val="auto"/>
          <w:sz w:val="30"/>
          <w:szCs w:val="30"/>
        </w:rPr>
        <w:t>（电子签章）</w:t>
      </w:r>
    </w:p>
    <w:p w14:paraId="14091163">
      <w:pPr>
        <w:spacing w:line="600" w:lineRule="exact"/>
        <w:ind w:right="-340" w:rightChars="-162" w:firstLine="1132" w:firstLineChars="376"/>
        <w:rPr>
          <w:rFonts w:hint="eastAsia" w:ascii="宋体" w:hAnsi="宋体"/>
          <w:b/>
          <w:color w:val="auto"/>
          <w:sz w:val="30"/>
          <w:szCs w:val="30"/>
          <w:u w:val="single"/>
        </w:rPr>
      </w:pPr>
      <w:r>
        <w:rPr>
          <w:rFonts w:hint="eastAsia" w:ascii="宋体" w:hAnsi="宋体"/>
          <w:b/>
          <w:color w:val="auto"/>
          <w:sz w:val="30"/>
          <w:szCs w:val="30"/>
        </w:rPr>
        <w:t>法定代表人或其委托代理人：</w:t>
      </w:r>
      <w:r>
        <w:rPr>
          <w:rFonts w:hint="eastAsia" w:ascii="宋体" w:hAnsi="宋体"/>
          <w:b/>
          <w:color w:val="auto"/>
          <w:sz w:val="30"/>
          <w:szCs w:val="30"/>
          <w:u w:val="single"/>
        </w:rPr>
        <w:t xml:space="preserve">        </w:t>
      </w:r>
      <w:r>
        <w:rPr>
          <w:rFonts w:hint="eastAsia" w:ascii="宋体" w:hAnsi="宋体"/>
          <w:b/>
          <w:color w:val="auto"/>
          <w:sz w:val="30"/>
          <w:szCs w:val="30"/>
        </w:rPr>
        <w:t>（电子签章或签字）</w:t>
      </w:r>
    </w:p>
    <w:p w14:paraId="3D650C94">
      <w:pPr>
        <w:spacing w:line="600" w:lineRule="exact"/>
        <w:ind w:right="-340" w:rightChars="-162" w:firstLine="1132" w:firstLineChars="376"/>
        <w:rPr>
          <w:rFonts w:hint="eastAsia" w:ascii="宋体" w:hAnsi="宋体"/>
          <w:b/>
          <w:color w:val="auto"/>
          <w:sz w:val="30"/>
          <w:szCs w:val="30"/>
          <w:u w:val="single"/>
        </w:rPr>
      </w:pPr>
      <w:r>
        <w:rPr>
          <w:rFonts w:hint="eastAsia" w:ascii="宋体" w:hAnsi="宋体"/>
          <w:b/>
          <w:color w:val="auto"/>
          <w:sz w:val="30"/>
          <w:szCs w:val="30"/>
        </w:rPr>
        <w:t>日    期：</w:t>
      </w:r>
      <w:r>
        <w:rPr>
          <w:rFonts w:hint="eastAsia" w:ascii="宋体" w:hAnsi="宋体"/>
          <w:b/>
          <w:color w:val="auto"/>
          <w:sz w:val="30"/>
          <w:szCs w:val="30"/>
          <w:u w:val="single"/>
        </w:rPr>
        <w:t xml:space="preserve">      </w:t>
      </w:r>
      <w:r>
        <w:rPr>
          <w:rFonts w:hint="eastAsia" w:ascii="宋体" w:hAnsi="宋体"/>
          <w:b/>
          <w:color w:val="auto"/>
          <w:sz w:val="30"/>
          <w:szCs w:val="30"/>
        </w:rPr>
        <w:t>年</w:t>
      </w:r>
      <w:r>
        <w:rPr>
          <w:rFonts w:hint="eastAsia" w:ascii="宋体" w:hAnsi="宋体"/>
          <w:b/>
          <w:color w:val="auto"/>
          <w:sz w:val="30"/>
          <w:szCs w:val="30"/>
          <w:u w:val="single"/>
        </w:rPr>
        <w:t xml:space="preserve">      </w:t>
      </w:r>
      <w:r>
        <w:rPr>
          <w:rFonts w:hint="eastAsia" w:ascii="宋体" w:hAnsi="宋体"/>
          <w:b/>
          <w:color w:val="auto"/>
          <w:sz w:val="30"/>
          <w:szCs w:val="30"/>
        </w:rPr>
        <w:t>月</w:t>
      </w:r>
      <w:r>
        <w:rPr>
          <w:rFonts w:hint="eastAsia" w:ascii="宋体" w:hAnsi="宋体"/>
          <w:b/>
          <w:color w:val="auto"/>
          <w:sz w:val="30"/>
          <w:szCs w:val="30"/>
          <w:u w:val="single"/>
        </w:rPr>
        <w:t xml:space="preserve">      </w:t>
      </w:r>
      <w:r>
        <w:rPr>
          <w:rFonts w:hint="eastAsia" w:ascii="宋体" w:hAnsi="宋体"/>
          <w:b/>
          <w:color w:val="auto"/>
          <w:sz w:val="30"/>
          <w:szCs w:val="30"/>
        </w:rPr>
        <w:t>日</w:t>
      </w:r>
    </w:p>
    <w:p w14:paraId="38BDB38F">
      <w:pPr>
        <w:snapToGrid w:val="0"/>
        <w:spacing w:line="360" w:lineRule="auto"/>
        <w:ind w:right="-340" w:rightChars="-162" w:firstLine="849" w:firstLineChars="302"/>
        <w:jc w:val="center"/>
        <w:rPr>
          <w:rFonts w:hint="eastAsia" w:ascii="宋体" w:hAnsi="宋体"/>
          <w:b/>
          <w:color w:val="auto"/>
          <w:kern w:val="10"/>
          <w:sz w:val="28"/>
          <w:szCs w:val="28"/>
        </w:rPr>
      </w:pPr>
    </w:p>
    <w:p w14:paraId="71E0A40A">
      <w:pPr>
        <w:tabs>
          <w:tab w:val="left" w:pos="5080"/>
        </w:tabs>
        <w:spacing w:line="0" w:lineRule="atLeast"/>
        <w:ind w:right="-340" w:rightChars="-162"/>
        <w:jc w:val="center"/>
        <w:rPr>
          <w:rFonts w:hint="eastAsia" w:ascii="宋体" w:hAnsi="宋体"/>
          <w:b/>
          <w:color w:val="auto"/>
          <w:sz w:val="32"/>
          <w:szCs w:val="32"/>
        </w:rPr>
      </w:pPr>
    </w:p>
    <w:p w14:paraId="210055B8">
      <w:pPr>
        <w:tabs>
          <w:tab w:val="left" w:pos="5080"/>
        </w:tabs>
        <w:spacing w:line="0" w:lineRule="atLeast"/>
        <w:ind w:right="-340" w:rightChars="-162"/>
        <w:jc w:val="center"/>
        <w:rPr>
          <w:rFonts w:ascii="宋体" w:hAnsi="宋体"/>
          <w:b/>
          <w:color w:val="auto"/>
          <w:sz w:val="32"/>
          <w:szCs w:val="32"/>
        </w:rPr>
      </w:pPr>
      <w:r>
        <w:rPr>
          <w:rFonts w:hint="eastAsia" w:ascii="宋体" w:hAnsi="宋体"/>
          <w:b/>
          <w:color w:val="auto"/>
          <w:sz w:val="32"/>
          <w:szCs w:val="32"/>
        </w:rPr>
        <w:t xml:space="preserve">目   </w:t>
      </w:r>
      <w:r>
        <w:rPr>
          <w:rFonts w:ascii="宋体" w:hAnsi="宋体"/>
          <w:b/>
          <w:color w:val="auto"/>
          <w:sz w:val="32"/>
          <w:szCs w:val="32"/>
        </w:rPr>
        <w:t>录</w:t>
      </w:r>
    </w:p>
    <w:p w14:paraId="5DFE966D">
      <w:pPr>
        <w:spacing w:line="200" w:lineRule="exact"/>
        <w:ind w:right="-340" w:rightChars="-162"/>
        <w:rPr>
          <w:rFonts w:ascii="宋体" w:hAnsi="宋体"/>
          <w:color w:val="auto"/>
        </w:rPr>
      </w:pPr>
    </w:p>
    <w:p w14:paraId="72ED13F5">
      <w:pPr>
        <w:spacing w:line="354" w:lineRule="exact"/>
        <w:ind w:right="-340" w:rightChars="-162"/>
        <w:rPr>
          <w:rFonts w:ascii="宋体" w:hAnsi="宋体"/>
          <w:color w:val="auto"/>
        </w:rPr>
      </w:pPr>
    </w:p>
    <w:p w14:paraId="34FAF39B">
      <w:pPr>
        <w:spacing w:line="520" w:lineRule="exact"/>
        <w:ind w:right="-340" w:rightChars="-162"/>
        <w:jc w:val="center"/>
        <w:textAlignment w:val="center"/>
        <w:rPr>
          <w:rFonts w:hint="eastAsia" w:ascii="宋体" w:hAnsi="宋体"/>
          <w:color w:val="auto"/>
          <w:sz w:val="30"/>
          <w:szCs w:val="30"/>
        </w:rPr>
      </w:pPr>
      <w:r>
        <w:rPr>
          <w:rFonts w:hint="eastAsia" w:ascii="宋体" w:hAnsi="宋体"/>
          <w:color w:val="auto"/>
          <w:sz w:val="30"/>
          <w:szCs w:val="30"/>
        </w:rPr>
        <w:t>自拟</w:t>
      </w:r>
    </w:p>
    <w:p w14:paraId="6CAF3BAC">
      <w:pPr>
        <w:spacing w:before="240" w:beforeLines="100" w:line="480" w:lineRule="exact"/>
        <w:ind w:right="-340" w:rightChars="-162"/>
        <w:jc w:val="center"/>
        <w:textAlignment w:val="center"/>
        <w:rPr>
          <w:rFonts w:hint="eastAsia" w:ascii="宋体" w:hAnsi="宋体"/>
          <w:color w:val="auto"/>
          <w:sz w:val="30"/>
          <w:szCs w:val="28"/>
        </w:rPr>
      </w:pPr>
    </w:p>
    <w:p w14:paraId="6791E7F2">
      <w:pPr>
        <w:spacing w:line="480" w:lineRule="exact"/>
        <w:ind w:right="-340" w:rightChars="-162"/>
        <w:rPr>
          <w:rFonts w:ascii="宋体" w:hAnsi="宋体"/>
          <w:color w:val="auto"/>
        </w:rPr>
      </w:pPr>
    </w:p>
    <w:p w14:paraId="06CC5C67">
      <w:pPr>
        <w:spacing w:line="0" w:lineRule="atLeast"/>
        <w:ind w:left="3140" w:right="-340" w:rightChars="-162"/>
        <w:rPr>
          <w:rFonts w:ascii="宋体" w:hAnsi="宋体"/>
          <w:b/>
          <w:color w:val="auto"/>
          <w:sz w:val="30"/>
        </w:rPr>
      </w:pPr>
      <w:bookmarkStart w:id="186" w:name="page56"/>
      <w:bookmarkEnd w:id="186"/>
      <w:r>
        <w:rPr>
          <w:rFonts w:ascii="宋体" w:hAnsi="宋体"/>
          <w:b/>
          <w:color w:val="auto"/>
          <w:sz w:val="30"/>
        </w:rPr>
        <w:br w:type="page"/>
      </w:r>
    </w:p>
    <w:p w14:paraId="51585D72">
      <w:pPr>
        <w:spacing w:line="0" w:lineRule="atLeast"/>
        <w:ind w:left="3140" w:right="-340" w:rightChars="-162"/>
        <w:rPr>
          <w:rFonts w:ascii="宋体" w:hAnsi="宋体"/>
          <w:b/>
          <w:color w:val="auto"/>
          <w:sz w:val="32"/>
          <w:szCs w:val="32"/>
        </w:rPr>
      </w:pPr>
      <w:r>
        <w:rPr>
          <w:rFonts w:ascii="宋体" w:hAnsi="宋体"/>
          <w:b/>
          <w:color w:val="auto"/>
          <w:sz w:val="32"/>
          <w:szCs w:val="32"/>
        </w:rPr>
        <w:t>一、</w:t>
      </w:r>
      <w:r>
        <w:rPr>
          <w:rFonts w:hint="eastAsia" w:ascii="宋体" w:hAnsi="宋体"/>
          <w:b/>
          <w:color w:val="auto"/>
          <w:sz w:val="32"/>
          <w:szCs w:val="32"/>
        </w:rPr>
        <w:t>磋商</w:t>
      </w:r>
      <w:r>
        <w:rPr>
          <w:rFonts w:ascii="宋体" w:hAnsi="宋体"/>
          <w:b/>
          <w:color w:val="auto"/>
          <w:sz w:val="32"/>
          <w:szCs w:val="32"/>
        </w:rPr>
        <w:t>函及</w:t>
      </w:r>
      <w:r>
        <w:rPr>
          <w:rFonts w:hint="eastAsia" w:ascii="宋体" w:hAnsi="宋体"/>
          <w:b/>
          <w:color w:val="auto"/>
          <w:sz w:val="32"/>
          <w:szCs w:val="32"/>
        </w:rPr>
        <w:t>磋商</w:t>
      </w:r>
      <w:r>
        <w:rPr>
          <w:rFonts w:ascii="宋体" w:hAnsi="宋体"/>
          <w:b/>
          <w:color w:val="auto"/>
          <w:sz w:val="32"/>
          <w:szCs w:val="32"/>
        </w:rPr>
        <w:t>函附录</w:t>
      </w:r>
    </w:p>
    <w:p w14:paraId="46A764D6">
      <w:pPr>
        <w:spacing w:line="0" w:lineRule="atLeast"/>
        <w:ind w:left="3680" w:right="-340" w:rightChars="-162" w:firstLine="281" w:firstLineChars="100"/>
        <w:rPr>
          <w:rFonts w:hint="eastAsia" w:ascii="宋体" w:hAnsi="宋体"/>
          <w:b/>
          <w:color w:val="auto"/>
          <w:sz w:val="28"/>
          <w:szCs w:val="28"/>
        </w:rPr>
      </w:pPr>
    </w:p>
    <w:p w14:paraId="4C3D7BEC">
      <w:pPr>
        <w:spacing w:line="0" w:lineRule="atLeast"/>
        <w:ind w:left="3680" w:right="-340" w:rightChars="-162" w:firstLine="281" w:firstLineChars="100"/>
        <w:rPr>
          <w:rFonts w:ascii="宋体" w:hAnsi="宋体"/>
          <w:b/>
          <w:color w:val="auto"/>
          <w:sz w:val="28"/>
          <w:szCs w:val="28"/>
        </w:rPr>
      </w:pPr>
      <w:r>
        <w:rPr>
          <w:rFonts w:hint="eastAsia" w:ascii="宋体" w:hAnsi="宋体"/>
          <w:b/>
          <w:color w:val="auto"/>
          <w:sz w:val="28"/>
          <w:szCs w:val="28"/>
        </w:rPr>
        <w:t>(一）磋商函</w:t>
      </w:r>
    </w:p>
    <w:p w14:paraId="73BC2BF3">
      <w:pPr>
        <w:spacing w:line="440" w:lineRule="exact"/>
        <w:ind w:right="-340" w:rightChars="-162"/>
        <w:jc w:val="left"/>
        <w:rPr>
          <w:rFonts w:hint="eastAsia" w:ascii="宋体" w:hAnsi="宋体" w:cs="宋体"/>
          <w:color w:val="auto"/>
          <w:sz w:val="32"/>
          <w:szCs w:val="32"/>
          <w:lang w:bidi="zh-CN"/>
        </w:rPr>
      </w:pPr>
    </w:p>
    <w:p w14:paraId="5D0771BD">
      <w:pPr>
        <w:spacing w:line="460" w:lineRule="exact"/>
        <w:ind w:right="-57" w:rightChars="-27"/>
        <w:jc w:val="left"/>
        <w:rPr>
          <w:rFonts w:ascii="宋体" w:hAnsi="宋体" w:cs="宋体"/>
          <w:color w:val="auto"/>
          <w:sz w:val="24"/>
          <w:lang w:bidi="zh-CN"/>
        </w:rPr>
      </w:pPr>
      <w:r>
        <w:rPr>
          <w:rFonts w:hint="eastAsia" w:ascii="宋体" w:hAnsi="宋体" w:cs="宋体"/>
          <w:color w:val="auto"/>
          <w:sz w:val="24"/>
          <w:lang w:bidi="zh-CN"/>
        </w:rPr>
        <w:t>致：</w:t>
      </w:r>
      <w:r>
        <w:rPr>
          <w:rFonts w:hint="eastAsia" w:ascii="宋体" w:hAnsi="宋体" w:cs="宋体"/>
          <w:color w:val="auto"/>
          <w:sz w:val="24"/>
          <w:u w:val="single"/>
          <w:lang w:bidi="zh-CN"/>
        </w:rPr>
        <w:t xml:space="preserve">                      </w:t>
      </w:r>
      <w:r>
        <w:rPr>
          <w:rFonts w:ascii="宋体" w:hAnsi="宋体" w:cs="宋体"/>
          <w:color w:val="auto"/>
          <w:sz w:val="24"/>
          <w:lang w:bidi="zh-CN"/>
        </w:rPr>
        <w:t>（</w:t>
      </w:r>
      <w:r>
        <w:rPr>
          <w:rFonts w:hint="eastAsia" w:ascii="宋体" w:hAnsi="宋体" w:cs="宋体"/>
          <w:color w:val="auto"/>
          <w:sz w:val="24"/>
          <w:lang w:bidi="zh-CN"/>
        </w:rPr>
        <w:t>采购</w:t>
      </w:r>
      <w:r>
        <w:rPr>
          <w:rFonts w:ascii="宋体" w:hAnsi="宋体" w:cs="宋体"/>
          <w:color w:val="auto"/>
          <w:sz w:val="24"/>
          <w:lang w:bidi="zh-CN"/>
        </w:rPr>
        <w:t>人名称）</w:t>
      </w:r>
    </w:p>
    <w:p w14:paraId="387B90D5">
      <w:pPr>
        <w:spacing w:line="460" w:lineRule="exact"/>
        <w:ind w:right="-57" w:rightChars="-27"/>
        <w:rPr>
          <w:rFonts w:ascii="宋体" w:hAnsi="宋体" w:cs="宋体"/>
          <w:color w:val="auto"/>
          <w:sz w:val="24"/>
          <w:u w:val="single"/>
          <w:lang w:bidi="zh-CN"/>
        </w:rPr>
      </w:pPr>
      <w:r>
        <w:rPr>
          <w:rFonts w:ascii="宋体" w:hAnsi="宋体" w:cs="宋体"/>
          <w:color w:val="auto"/>
          <w:sz w:val="24"/>
          <w:lang w:bidi="zh-CN"/>
        </w:rPr>
        <w:t xml:space="preserve">     1．我方已仔细研究了</w:t>
      </w:r>
      <w:r>
        <w:rPr>
          <w:rFonts w:hint="eastAsia" w:ascii="宋体" w:hAnsi="宋体" w:cs="宋体"/>
          <w:color w:val="auto"/>
          <w:sz w:val="24"/>
          <w:lang w:bidi="zh-CN"/>
        </w:rPr>
        <w:t xml:space="preserve"> </w:t>
      </w:r>
      <w:r>
        <w:rPr>
          <w:rFonts w:hint="eastAsia" w:ascii="宋体" w:hAnsi="宋体" w:cs="宋体"/>
          <w:color w:val="auto"/>
          <w:sz w:val="24"/>
          <w:u w:val="single"/>
          <w:lang w:bidi="zh-CN"/>
        </w:rPr>
        <w:t xml:space="preserve">           </w:t>
      </w:r>
      <w:r>
        <w:rPr>
          <w:rFonts w:ascii="宋体" w:hAnsi="宋体" w:cs="宋体"/>
          <w:color w:val="auto"/>
          <w:sz w:val="24"/>
          <w:u w:val="single"/>
          <w:lang w:bidi="zh-CN"/>
        </w:rPr>
        <w:t>（项目名称）</w:t>
      </w:r>
      <w:r>
        <w:rPr>
          <w:rFonts w:hint="eastAsia" w:ascii="宋体" w:hAnsi="宋体" w:cs="宋体"/>
          <w:color w:val="auto"/>
          <w:sz w:val="24"/>
          <w:lang w:bidi="zh-CN"/>
        </w:rPr>
        <w:t>竞争性磋商</w:t>
      </w:r>
      <w:r>
        <w:rPr>
          <w:rFonts w:ascii="宋体" w:hAnsi="宋体" w:cs="宋体"/>
          <w:color w:val="auto"/>
          <w:sz w:val="24"/>
          <w:lang w:bidi="zh-CN"/>
        </w:rPr>
        <w:t>文件的全部内容，愿以人民币（大写）</w:t>
      </w:r>
      <w:r>
        <w:rPr>
          <w:rFonts w:hint="eastAsia" w:ascii="宋体" w:hAnsi="宋体" w:cs="宋体"/>
          <w:color w:val="auto"/>
          <w:sz w:val="24"/>
          <w:u w:val="single"/>
          <w:lang w:bidi="zh-CN"/>
        </w:rPr>
        <w:t xml:space="preserve">            </w:t>
      </w:r>
      <w:r>
        <w:rPr>
          <w:rFonts w:ascii="宋体" w:hAnsi="宋体" w:cs="宋体"/>
          <w:color w:val="auto"/>
          <w:sz w:val="24"/>
          <w:lang w:bidi="zh-CN"/>
        </w:rPr>
        <w:t>（¥</w:t>
      </w:r>
      <w:r>
        <w:rPr>
          <w:rFonts w:hint="eastAsia" w:ascii="宋体" w:hAnsi="宋体" w:cs="宋体"/>
          <w:color w:val="auto"/>
          <w:sz w:val="24"/>
          <w:u w:val="single"/>
          <w:lang w:bidi="zh-CN"/>
        </w:rPr>
        <w:t xml:space="preserve">      </w:t>
      </w:r>
      <w:r>
        <w:rPr>
          <w:rFonts w:ascii="宋体" w:hAnsi="宋体" w:cs="宋体"/>
          <w:color w:val="auto"/>
          <w:sz w:val="24"/>
          <w:lang w:bidi="zh-CN"/>
        </w:rPr>
        <w:t>元）的投标总报价</w:t>
      </w:r>
      <w:r>
        <w:rPr>
          <w:rFonts w:hint="eastAsia" w:ascii="宋体" w:hAnsi="宋体" w:cs="宋体"/>
          <w:color w:val="auto"/>
          <w:sz w:val="24"/>
          <w:lang w:bidi="zh-CN"/>
        </w:rPr>
        <w:t>。</w:t>
      </w:r>
      <w:r>
        <w:rPr>
          <w:rFonts w:hint="eastAsia" w:ascii="宋体" w:hAnsi="宋体" w:cs="宋体"/>
          <w:color w:val="auto"/>
          <w:sz w:val="24"/>
          <w:lang w:val="en-US" w:bidi="zh-CN"/>
        </w:rPr>
        <w:t>监理期限</w:t>
      </w:r>
      <w:r>
        <w:rPr>
          <w:rFonts w:hint="eastAsia" w:ascii="宋体" w:hAnsi="宋体" w:cs="宋体"/>
          <w:color w:val="auto"/>
          <w:sz w:val="24"/>
          <w:u w:val="single"/>
          <w:lang w:bidi="zh-CN"/>
        </w:rPr>
        <w:t xml:space="preserve">    </w:t>
      </w:r>
      <w:r>
        <w:rPr>
          <w:rFonts w:hint="eastAsia" w:ascii="宋体" w:hAnsi="宋体" w:cs="宋体"/>
          <w:color w:val="auto"/>
          <w:sz w:val="24"/>
          <w:u w:val="single"/>
          <w:lang w:val="en-US" w:bidi="zh-CN"/>
        </w:rPr>
        <w:t xml:space="preserve">  </w:t>
      </w:r>
      <w:r>
        <w:rPr>
          <w:rFonts w:hint="eastAsia" w:ascii="宋体" w:hAnsi="宋体" w:cs="宋体"/>
          <w:color w:val="auto"/>
          <w:sz w:val="24"/>
          <w:u w:val="single"/>
          <w:lang w:bidi="zh-CN"/>
        </w:rPr>
        <w:t xml:space="preserve">   </w:t>
      </w:r>
      <w:r>
        <w:rPr>
          <w:rFonts w:ascii="宋体" w:hAnsi="宋体" w:cs="宋体"/>
          <w:color w:val="auto"/>
          <w:sz w:val="24"/>
          <w:lang w:bidi="zh-CN"/>
        </w:rPr>
        <w:t>，按合同约定实施和完成承包</w:t>
      </w:r>
      <w:r>
        <w:rPr>
          <w:rFonts w:hint="eastAsia" w:ascii="宋体" w:hAnsi="宋体" w:cs="宋体"/>
          <w:color w:val="auto"/>
          <w:sz w:val="24"/>
          <w:lang w:val="en-US" w:bidi="zh-CN"/>
        </w:rPr>
        <w:t>服务内容</w:t>
      </w:r>
      <w:r>
        <w:rPr>
          <w:rFonts w:ascii="宋体" w:hAnsi="宋体" w:cs="宋体"/>
          <w:color w:val="auto"/>
          <w:sz w:val="24"/>
          <w:lang w:bidi="zh-CN"/>
        </w:rPr>
        <w:t>，修补</w:t>
      </w:r>
      <w:r>
        <w:rPr>
          <w:rFonts w:hint="eastAsia" w:ascii="宋体" w:hAnsi="宋体" w:cs="宋体"/>
          <w:color w:val="auto"/>
          <w:sz w:val="24"/>
          <w:lang w:val="en-US" w:bidi="zh-CN"/>
        </w:rPr>
        <w:t>服务</w:t>
      </w:r>
      <w:r>
        <w:rPr>
          <w:rFonts w:ascii="宋体" w:hAnsi="宋体" w:cs="宋体"/>
          <w:color w:val="auto"/>
          <w:sz w:val="24"/>
          <w:lang w:bidi="zh-CN"/>
        </w:rPr>
        <w:t>中的任何缺陷，</w:t>
      </w:r>
      <w:r>
        <w:rPr>
          <w:rFonts w:hint="eastAsia" w:ascii="宋体" w:hAnsi="宋体" w:cs="楷体_GB2312"/>
          <w:color w:val="auto"/>
          <w:sz w:val="24"/>
          <w:lang w:eastAsia="zh-CN"/>
        </w:rPr>
        <w:t>质量要求</w:t>
      </w:r>
      <w:r>
        <w:rPr>
          <w:rFonts w:ascii="宋体" w:hAnsi="宋体" w:cs="宋体"/>
          <w:color w:val="auto"/>
          <w:sz w:val="24"/>
          <w:lang w:bidi="zh-CN"/>
        </w:rPr>
        <w:t>达到</w:t>
      </w:r>
      <w:r>
        <w:rPr>
          <w:rFonts w:hint="eastAsia" w:ascii="宋体" w:hAnsi="宋体" w:cs="宋体"/>
          <w:color w:val="auto"/>
          <w:sz w:val="24"/>
          <w:u w:val="single"/>
          <w:lang w:bidi="zh-CN"/>
        </w:rPr>
        <w:t xml:space="preserve">         </w:t>
      </w:r>
      <w:r>
        <w:rPr>
          <w:rFonts w:ascii="宋体" w:hAnsi="宋体" w:cs="宋体"/>
          <w:color w:val="auto"/>
          <w:sz w:val="24"/>
          <w:lang w:bidi="zh-CN"/>
        </w:rPr>
        <w:t>。</w:t>
      </w:r>
    </w:p>
    <w:p w14:paraId="3B1BE90E">
      <w:pPr>
        <w:spacing w:line="460" w:lineRule="exact"/>
        <w:ind w:right="-57" w:rightChars="-27"/>
        <w:rPr>
          <w:rFonts w:ascii="宋体" w:hAnsi="宋体" w:cs="宋体"/>
          <w:color w:val="auto"/>
          <w:sz w:val="24"/>
          <w:lang w:bidi="zh-CN"/>
        </w:rPr>
      </w:pPr>
      <w:r>
        <w:rPr>
          <w:rFonts w:ascii="宋体" w:hAnsi="宋体" w:cs="宋体"/>
          <w:color w:val="auto"/>
          <w:sz w:val="24"/>
          <w:lang w:bidi="zh-CN"/>
        </w:rPr>
        <w:t xml:space="preserve">     2．我方承</w:t>
      </w:r>
      <w:r>
        <w:rPr>
          <w:rFonts w:hint="eastAsia" w:ascii="宋体" w:hAnsi="宋体" w:cs="宋体"/>
          <w:color w:val="auto"/>
          <w:sz w:val="24"/>
          <w:lang w:bidi="zh-CN"/>
        </w:rPr>
        <w:t>诺在磋商有效期</w:t>
      </w:r>
      <w:r>
        <w:rPr>
          <w:rFonts w:hint="eastAsia" w:ascii="宋体" w:hAnsi="宋体" w:cs="宋体"/>
          <w:color w:val="auto"/>
          <w:sz w:val="24"/>
          <w:u w:val="single"/>
          <w:lang w:bidi="zh-CN"/>
        </w:rPr>
        <w:t xml:space="preserve">  60 </w:t>
      </w:r>
      <w:r>
        <w:rPr>
          <w:rFonts w:hint="eastAsia" w:ascii="宋体" w:hAnsi="宋体" w:cs="宋体"/>
          <w:color w:val="auto"/>
          <w:sz w:val="24"/>
          <w:lang w:bidi="zh-CN"/>
        </w:rPr>
        <w:t>日历天内不修改</w:t>
      </w:r>
      <w:r>
        <w:rPr>
          <w:rFonts w:ascii="宋体" w:hAnsi="宋体" w:cs="宋体"/>
          <w:color w:val="auto"/>
          <w:sz w:val="24"/>
          <w:lang w:bidi="zh-CN"/>
        </w:rPr>
        <w:t>、撤销</w:t>
      </w:r>
      <w:r>
        <w:rPr>
          <w:rFonts w:hint="eastAsia" w:ascii="宋体" w:hAnsi="宋体" w:cs="宋体"/>
          <w:color w:val="auto"/>
          <w:sz w:val="24"/>
          <w:lang w:bidi="zh-CN"/>
        </w:rPr>
        <w:t>响应</w:t>
      </w:r>
      <w:r>
        <w:rPr>
          <w:rFonts w:ascii="宋体" w:hAnsi="宋体" w:cs="宋体"/>
          <w:color w:val="auto"/>
          <w:sz w:val="24"/>
          <w:lang w:bidi="zh-CN"/>
        </w:rPr>
        <w:t>文件。</w:t>
      </w:r>
    </w:p>
    <w:p w14:paraId="45550826">
      <w:pPr>
        <w:numPr>
          <w:ilvl w:val="0"/>
          <w:numId w:val="4"/>
        </w:numPr>
        <w:spacing w:line="460" w:lineRule="exact"/>
        <w:ind w:right="-57" w:rightChars="-27" w:firstLine="617"/>
        <w:jc w:val="left"/>
        <w:rPr>
          <w:rFonts w:ascii="宋体" w:hAnsi="宋体" w:cs="宋体"/>
          <w:color w:val="auto"/>
          <w:sz w:val="24"/>
          <w:lang w:bidi="zh-CN"/>
        </w:rPr>
      </w:pPr>
      <w:r>
        <w:rPr>
          <w:rFonts w:ascii="宋体" w:hAnsi="宋体" w:cs="宋体"/>
          <w:color w:val="auto"/>
          <w:sz w:val="24"/>
          <w:lang w:bidi="zh-CN"/>
        </w:rPr>
        <w:t>随同本</w:t>
      </w:r>
      <w:r>
        <w:rPr>
          <w:rFonts w:hint="eastAsia" w:ascii="宋体" w:hAnsi="宋体" w:cs="宋体"/>
          <w:color w:val="auto"/>
          <w:sz w:val="24"/>
          <w:lang w:bidi="zh-CN"/>
        </w:rPr>
        <w:t>磋商</w:t>
      </w:r>
      <w:r>
        <w:rPr>
          <w:rFonts w:ascii="宋体" w:hAnsi="宋体" w:cs="宋体"/>
          <w:color w:val="auto"/>
          <w:sz w:val="24"/>
          <w:lang w:bidi="zh-CN"/>
        </w:rPr>
        <w:t>函提交</w:t>
      </w:r>
      <w:r>
        <w:rPr>
          <w:rFonts w:hint="eastAsia" w:ascii="宋体" w:hAnsi="宋体" w:cs="宋体"/>
          <w:color w:val="auto"/>
          <w:sz w:val="24"/>
          <w:lang w:bidi="zh-CN"/>
        </w:rPr>
        <w:t>磋商承诺函</w:t>
      </w:r>
      <w:r>
        <w:rPr>
          <w:rFonts w:ascii="宋体" w:hAnsi="宋体" w:cs="宋体"/>
          <w:color w:val="auto"/>
          <w:sz w:val="24"/>
          <w:lang w:bidi="zh-CN"/>
        </w:rPr>
        <w:t>。</w:t>
      </w:r>
    </w:p>
    <w:p w14:paraId="1109F0CC">
      <w:pPr>
        <w:spacing w:line="460" w:lineRule="exact"/>
        <w:ind w:right="-57" w:rightChars="-27" w:firstLine="617"/>
        <w:rPr>
          <w:rFonts w:ascii="宋体" w:hAnsi="宋体" w:cs="宋体"/>
          <w:color w:val="auto"/>
          <w:sz w:val="24"/>
          <w:lang w:bidi="zh-CN"/>
        </w:rPr>
      </w:pPr>
      <w:r>
        <w:rPr>
          <w:rFonts w:ascii="宋体" w:hAnsi="宋体" w:cs="宋体"/>
          <w:color w:val="auto"/>
          <w:sz w:val="24"/>
          <w:lang w:bidi="zh-CN"/>
        </w:rPr>
        <w:t>4．如我方中标：</w:t>
      </w:r>
    </w:p>
    <w:p w14:paraId="0C57B3CE">
      <w:pPr>
        <w:spacing w:line="460" w:lineRule="exact"/>
        <w:ind w:right="-57" w:rightChars="-27" w:firstLine="540"/>
        <w:jc w:val="left"/>
        <w:rPr>
          <w:rFonts w:ascii="宋体" w:hAnsi="宋体" w:cs="宋体"/>
          <w:color w:val="auto"/>
          <w:sz w:val="24"/>
          <w:lang w:bidi="zh-CN"/>
        </w:rPr>
      </w:pPr>
      <w:r>
        <w:rPr>
          <w:rFonts w:ascii="宋体" w:hAnsi="宋体" w:cs="宋体"/>
          <w:color w:val="auto"/>
          <w:sz w:val="24"/>
          <w:lang w:bidi="zh-CN"/>
        </w:rPr>
        <w:t>（1）我方承诺在收到</w:t>
      </w:r>
      <w:r>
        <w:rPr>
          <w:rFonts w:hint="eastAsia" w:ascii="宋体" w:hAnsi="宋体" w:cs="宋体"/>
          <w:color w:val="auto"/>
          <w:sz w:val="24"/>
          <w:lang w:bidi="zh-CN"/>
        </w:rPr>
        <w:t>通知后领取成交</w:t>
      </w:r>
      <w:r>
        <w:rPr>
          <w:rFonts w:ascii="宋体" w:hAnsi="宋体" w:cs="宋体"/>
          <w:color w:val="auto"/>
          <w:sz w:val="24"/>
          <w:lang w:bidi="zh-CN"/>
        </w:rPr>
        <w:t>通知书</w:t>
      </w:r>
      <w:r>
        <w:rPr>
          <w:rFonts w:hint="eastAsia" w:ascii="宋体" w:hAnsi="宋体" w:cs="宋体"/>
          <w:color w:val="auto"/>
          <w:sz w:val="24"/>
          <w:lang w:bidi="zh-CN"/>
        </w:rPr>
        <w:t>，并</w:t>
      </w:r>
      <w:r>
        <w:rPr>
          <w:rFonts w:ascii="宋体" w:hAnsi="宋体" w:cs="宋体"/>
          <w:color w:val="auto"/>
          <w:sz w:val="24"/>
          <w:lang w:bidi="zh-CN"/>
        </w:rPr>
        <w:t>在</w:t>
      </w:r>
      <w:r>
        <w:rPr>
          <w:rFonts w:hint="eastAsia" w:ascii="宋体" w:hAnsi="宋体" w:cs="宋体"/>
          <w:color w:val="auto"/>
          <w:sz w:val="24"/>
          <w:lang w:bidi="zh-CN"/>
        </w:rPr>
        <w:t>成交</w:t>
      </w:r>
      <w:r>
        <w:rPr>
          <w:rFonts w:ascii="宋体" w:hAnsi="宋体" w:cs="宋体"/>
          <w:color w:val="auto"/>
          <w:sz w:val="24"/>
          <w:lang w:bidi="zh-CN"/>
        </w:rPr>
        <w:t>通知书规定的期限内与你方签订合同</w:t>
      </w:r>
      <w:r>
        <w:rPr>
          <w:rFonts w:hint="eastAsia" w:ascii="宋体" w:hAnsi="宋体" w:cs="宋体"/>
          <w:color w:val="auto"/>
          <w:sz w:val="24"/>
          <w:lang w:bidi="zh-CN"/>
        </w:rPr>
        <w:t>，逾期可视为放弃中标。</w:t>
      </w:r>
    </w:p>
    <w:p w14:paraId="75C061DA">
      <w:pPr>
        <w:spacing w:line="460" w:lineRule="exact"/>
        <w:ind w:right="-57" w:rightChars="-27" w:firstLine="540"/>
        <w:jc w:val="left"/>
        <w:rPr>
          <w:rFonts w:ascii="宋体" w:hAnsi="宋体" w:cs="宋体"/>
          <w:color w:val="auto"/>
          <w:sz w:val="24"/>
          <w:lang w:bidi="zh-CN"/>
        </w:rPr>
      </w:pPr>
      <w:r>
        <w:rPr>
          <w:rFonts w:ascii="宋体" w:hAnsi="宋体" w:cs="宋体"/>
          <w:color w:val="auto"/>
          <w:sz w:val="24"/>
          <w:lang w:bidi="zh-CN"/>
        </w:rPr>
        <w:t>（</w:t>
      </w:r>
      <w:r>
        <w:rPr>
          <w:rFonts w:hint="eastAsia" w:ascii="宋体" w:hAnsi="宋体" w:cs="宋体"/>
          <w:color w:val="auto"/>
          <w:sz w:val="24"/>
          <w:lang w:val="en-US" w:bidi="zh-CN"/>
        </w:rPr>
        <w:t>2</w:t>
      </w:r>
      <w:r>
        <w:rPr>
          <w:rFonts w:ascii="宋体" w:hAnsi="宋体" w:cs="宋体"/>
          <w:color w:val="auto"/>
          <w:sz w:val="24"/>
          <w:lang w:bidi="zh-CN"/>
        </w:rPr>
        <w:t>）我方承诺在合同约定的期限内完成并移交全部合同</w:t>
      </w:r>
      <w:r>
        <w:rPr>
          <w:rFonts w:hint="eastAsia" w:ascii="宋体" w:hAnsi="宋体" w:cs="宋体"/>
          <w:color w:val="auto"/>
          <w:sz w:val="24"/>
          <w:lang w:val="en-US" w:bidi="zh-CN"/>
        </w:rPr>
        <w:t>服务</w:t>
      </w:r>
      <w:r>
        <w:rPr>
          <w:rFonts w:ascii="宋体" w:hAnsi="宋体" w:cs="宋体"/>
          <w:color w:val="auto"/>
          <w:sz w:val="24"/>
          <w:lang w:bidi="zh-CN"/>
        </w:rPr>
        <w:t>。</w:t>
      </w:r>
    </w:p>
    <w:p w14:paraId="204B33D1">
      <w:pPr>
        <w:spacing w:line="460" w:lineRule="exact"/>
        <w:ind w:right="-57" w:rightChars="-27" w:firstLine="540"/>
        <w:jc w:val="left"/>
        <w:rPr>
          <w:rFonts w:ascii="宋体" w:hAnsi="宋体" w:cs="宋体"/>
          <w:color w:val="auto"/>
          <w:sz w:val="24"/>
          <w:lang w:bidi="zh-CN"/>
        </w:rPr>
      </w:pPr>
      <w:r>
        <w:rPr>
          <w:rFonts w:ascii="宋体" w:hAnsi="宋体" w:cs="宋体"/>
          <w:color w:val="auto"/>
          <w:sz w:val="24"/>
          <w:lang w:bidi="zh-CN"/>
        </w:rPr>
        <w:t>（</w:t>
      </w:r>
      <w:r>
        <w:rPr>
          <w:rFonts w:hint="eastAsia" w:ascii="宋体" w:hAnsi="宋体" w:cs="宋体"/>
          <w:color w:val="auto"/>
          <w:sz w:val="24"/>
          <w:lang w:val="en-US" w:bidi="zh-CN"/>
        </w:rPr>
        <w:t>3</w:t>
      </w:r>
      <w:r>
        <w:rPr>
          <w:rFonts w:ascii="宋体" w:hAnsi="宋体" w:cs="宋体"/>
          <w:color w:val="auto"/>
          <w:sz w:val="24"/>
          <w:lang w:bidi="zh-CN"/>
        </w:rPr>
        <w:t>）我方承诺满足合同专用条款中补充条款的内容。</w:t>
      </w:r>
    </w:p>
    <w:p w14:paraId="5831ED9D">
      <w:pPr>
        <w:spacing w:line="460" w:lineRule="exact"/>
        <w:ind w:right="-57" w:rightChars="-27" w:firstLine="540"/>
        <w:jc w:val="left"/>
        <w:rPr>
          <w:rFonts w:ascii="宋体" w:hAnsi="宋体" w:cs="宋体"/>
          <w:color w:val="auto"/>
          <w:sz w:val="24"/>
          <w:lang w:bidi="zh-CN"/>
        </w:rPr>
      </w:pPr>
      <w:r>
        <w:rPr>
          <w:rFonts w:hint="eastAsia" w:ascii="宋体" w:hAnsi="宋体" w:cs="宋体"/>
          <w:color w:val="auto"/>
          <w:sz w:val="24"/>
          <w:lang w:bidi="zh-CN"/>
        </w:rPr>
        <w:t>（</w:t>
      </w:r>
      <w:r>
        <w:rPr>
          <w:rFonts w:hint="eastAsia" w:ascii="宋体" w:hAnsi="宋体" w:cs="宋体"/>
          <w:color w:val="auto"/>
          <w:sz w:val="24"/>
          <w:lang w:val="en-US" w:bidi="zh-CN"/>
        </w:rPr>
        <w:t>4</w:t>
      </w:r>
      <w:r>
        <w:rPr>
          <w:rFonts w:hint="eastAsia" w:ascii="宋体" w:hAnsi="宋体" w:cs="宋体"/>
          <w:color w:val="auto"/>
          <w:sz w:val="24"/>
          <w:lang w:bidi="zh-CN"/>
        </w:rPr>
        <w:t>）我方承诺并理解采购人不以最低投标价为成交价的唯一选择。</w:t>
      </w:r>
    </w:p>
    <w:p w14:paraId="7D274291">
      <w:pPr>
        <w:spacing w:line="460" w:lineRule="exact"/>
        <w:ind w:right="-57" w:rightChars="-27" w:firstLine="617"/>
        <w:jc w:val="left"/>
        <w:rPr>
          <w:rFonts w:ascii="宋体" w:hAnsi="宋体" w:cs="宋体"/>
          <w:color w:val="auto"/>
          <w:sz w:val="24"/>
          <w:lang w:bidi="zh-CN"/>
        </w:rPr>
      </w:pPr>
      <w:r>
        <w:rPr>
          <w:rFonts w:ascii="宋体" w:hAnsi="宋体" w:cs="宋体"/>
          <w:color w:val="auto"/>
          <w:sz w:val="24"/>
          <w:lang w:bidi="zh-CN"/>
        </w:rPr>
        <w:t>5．我方在此声明，所递交的</w:t>
      </w:r>
      <w:r>
        <w:rPr>
          <w:rFonts w:hint="eastAsia" w:ascii="宋体" w:hAnsi="宋体" w:cs="宋体"/>
          <w:color w:val="auto"/>
          <w:sz w:val="24"/>
          <w:lang w:bidi="zh-CN"/>
        </w:rPr>
        <w:t>响应</w:t>
      </w:r>
      <w:r>
        <w:rPr>
          <w:rFonts w:ascii="宋体" w:hAnsi="宋体" w:cs="宋体"/>
          <w:color w:val="auto"/>
          <w:sz w:val="24"/>
          <w:lang w:bidi="zh-CN"/>
        </w:rPr>
        <w:t>文件及有关资料内容完整、真实和准确。</w:t>
      </w:r>
    </w:p>
    <w:p w14:paraId="65E6012A">
      <w:pPr>
        <w:spacing w:line="460" w:lineRule="exact"/>
        <w:ind w:right="-57" w:rightChars="-27" w:firstLine="617"/>
        <w:jc w:val="left"/>
        <w:rPr>
          <w:rFonts w:ascii="宋体" w:hAnsi="宋体" w:cs="宋体"/>
          <w:color w:val="auto"/>
          <w:sz w:val="24"/>
          <w:lang w:bidi="zh-CN"/>
        </w:rPr>
      </w:pPr>
      <w:r>
        <w:rPr>
          <w:rFonts w:ascii="宋体" w:hAnsi="宋体" w:cs="宋体"/>
          <w:color w:val="auto"/>
          <w:sz w:val="24"/>
          <w:lang w:bidi="zh-CN"/>
        </w:rPr>
        <w:t>6．</w:t>
      </w:r>
      <w:r>
        <w:rPr>
          <w:rFonts w:ascii="宋体" w:hAnsi="宋体" w:cs="宋体"/>
          <w:color w:val="auto"/>
          <w:sz w:val="24"/>
          <w:u w:val="single"/>
          <w:lang w:bidi="zh-CN"/>
        </w:rPr>
        <w:t>（其他补充说明）</w:t>
      </w:r>
      <w:r>
        <w:rPr>
          <w:rFonts w:ascii="宋体" w:hAnsi="宋体" w:cs="宋体"/>
          <w:color w:val="auto"/>
          <w:sz w:val="24"/>
          <w:lang w:bidi="zh-CN"/>
        </w:rPr>
        <w:t>。</w:t>
      </w:r>
    </w:p>
    <w:p w14:paraId="4EA61D01">
      <w:pPr>
        <w:spacing w:line="460" w:lineRule="exact"/>
        <w:ind w:right="-57" w:rightChars="-27" w:firstLine="3840" w:firstLineChars="1600"/>
        <w:jc w:val="left"/>
        <w:rPr>
          <w:rFonts w:hint="eastAsia" w:ascii="宋体" w:hAnsi="宋体" w:cs="宋体"/>
          <w:color w:val="auto"/>
          <w:sz w:val="24"/>
          <w:lang w:bidi="zh-CN"/>
        </w:rPr>
      </w:pPr>
    </w:p>
    <w:p w14:paraId="44AA048C">
      <w:pPr>
        <w:spacing w:line="460" w:lineRule="exact"/>
        <w:ind w:right="-57" w:rightChars="-27" w:firstLine="3840" w:firstLineChars="1600"/>
        <w:jc w:val="left"/>
        <w:rPr>
          <w:rFonts w:hint="eastAsia" w:ascii="宋体" w:hAnsi="宋体" w:cs="宋体"/>
          <w:color w:val="auto"/>
          <w:sz w:val="24"/>
          <w:lang w:bidi="zh-CN"/>
        </w:rPr>
      </w:pPr>
    </w:p>
    <w:p w14:paraId="120A9354">
      <w:pPr>
        <w:spacing w:line="460" w:lineRule="exact"/>
        <w:ind w:right="-57" w:rightChars="-27" w:firstLine="2976" w:firstLineChars="1240"/>
        <w:jc w:val="left"/>
        <w:rPr>
          <w:rFonts w:ascii="宋体" w:hAnsi="宋体" w:cs="宋体"/>
          <w:color w:val="auto"/>
          <w:sz w:val="24"/>
          <w:lang w:bidi="zh-CN"/>
        </w:rPr>
      </w:pPr>
      <w:r>
        <w:rPr>
          <w:rFonts w:hint="eastAsia" w:ascii="宋体" w:hAnsi="宋体" w:cs="宋体"/>
          <w:color w:val="auto"/>
          <w:sz w:val="24"/>
          <w:lang w:bidi="zh-CN"/>
        </w:rPr>
        <w:t>供  应  商</w:t>
      </w:r>
      <w:r>
        <w:rPr>
          <w:rFonts w:ascii="宋体" w:hAnsi="宋体" w:cs="宋体"/>
          <w:color w:val="auto"/>
          <w:sz w:val="24"/>
          <w:lang w:bidi="zh-CN"/>
        </w:rPr>
        <w:t>：</w:t>
      </w:r>
      <w:r>
        <w:rPr>
          <w:rFonts w:hint="eastAsia" w:ascii="宋体" w:hAnsi="宋体" w:cs="宋体"/>
          <w:color w:val="auto"/>
          <w:sz w:val="24"/>
          <w:u w:val="single"/>
          <w:lang w:bidi="zh-CN"/>
        </w:rPr>
        <w:t xml:space="preserve">                         </w:t>
      </w:r>
      <w:r>
        <w:rPr>
          <w:rFonts w:ascii="宋体" w:hAnsi="宋体" w:cs="宋体"/>
          <w:color w:val="auto"/>
          <w:sz w:val="24"/>
          <w:lang w:bidi="zh-CN"/>
        </w:rPr>
        <w:t>（</w:t>
      </w:r>
      <w:r>
        <w:rPr>
          <w:rFonts w:hint="eastAsia" w:ascii="宋体" w:hAnsi="宋体"/>
          <w:color w:val="auto"/>
          <w:sz w:val="24"/>
        </w:rPr>
        <w:t>电子签章</w:t>
      </w:r>
      <w:r>
        <w:rPr>
          <w:rFonts w:ascii="宋体" w:hAnsi="宋体" w:cs="宋体"/>
          <w:color w:val="auto"/>
          <w:sz w:val="24"/>
          <w:lang w:bidi="zh-CN"/>
        </w:rPr>
        <w:t>）</w:t>
      </w:r>
    </w:p>
    <w:p w14:paraId="2A8B5FAC">
      <w:pPr>
        <w:spacing w:line="460" w:lineRule="exact"/>
        <w:ind w:right="-57" w:rightChars="-27" w:firstLine="2976" w:firstLineChars="1240"/>
        <w:jc w:val="left"/>
        <w:rPr>
          <w:rFonts w:ascii="宋体" w:hAnsi="宋体" w:cs="宋体"/>
          <w:color w:val="auto"/>
          <w:sz w:val="24"/>
          <w:lang w:bidi="zh-CN"/>
        </w:rPr>
      </w:pPr>
      <w:r>
        <w:rPr>
          <w:rFonts w:hint="eastAsia" w:ascii="宋体" w:hAnsi="宋体" w:cs="宋体"/>
          <w:color w:val="auto"/>
          <w:sz w:val="24"/>
          <w:lang w:bidi="zh-CN"/>
        </w:rPr>
        <w:t>法定代表人或其委托代理人：</w:t>
      </w:r>
      <w:r>
        <w:rPr>
          <w:rFonts w:hint="eastAsia" w:ascii="宋体" w:hAnsi="宋体" w:cs="宋体"/>
          <w:color w:val="auto"/>
          <w:sz w:val="24"/>
          <w:u w:val="single"/>
          <w:lang w:bidi="zh-CN"/>
        </w:rPr>
        <w:t xml:space="preserve">        </w:t>
      </w:r>
      <w:r>
        <w:rPr>
          <w:rFonts w:hint="eastAsia" w:ascii="宋体" w:hAnsi="宋体" w:cs="宋体"/>
          <w:color w:val="auto"/>
          <w:sz w:val="24"/>
          <w:lang w:bidi="zh-CN"/>
        </w:rPr>
        <w:t>（电子签章或签字</w:t>
      </w:r>
      <w:r>
        <w:rPr>
          <w:rFonts w:hint="eastAsia" w:ascii="宋体" w:hAnsi="宋体" w:cs="宋体"/>
          <w:b/>
          <w:color w:val="auto"/>
          <w:sz w:val="24"/>
          <w:lang w:bidi="zh-CN"/>
        </w:rPr>
        <w:t>）</w:t>
      </w:r>
    </w:p>
    <w:p w14:paraId="2CD24E68">
      <w:pPr>
        <w:spacing w:line="460" w:lineRule="exact"/>
        <w:ind w:right="-57" w:rightChars="-27" w:firstLine="2976" w:firstLineChars="1240"/>
        <w:jc w:val="left"/>
        <w:rPr>
          <w:rFonts w:ascii="宋体" w:hAnsi="宋体" w:cs="宋体"/>
          <w:color w:val="auto"/>
          <w:sz w:val="24"/>
          <w:u w:val="single"/>
          <w:lang w:bidi="zh-CN"/>
        </w:rPr>
      </w:pPr>
      <w:r>
        <w:rPr>
          <w:rFonts w:ascii="宋体" w:hAnsi="宋体" w:cs="宋体"/>
          <w:color w:val="auto"/>
          <w:sz w:val="24"/>
          <w:lang w:bidi="zh-CN"/>
        </w:rPr>
        <w:t>地</w:t>
      </w:r>
      <w:r>
        <w:rPr>
          <w:rFonts w:hint="eastAsia" w:ascii="宋体" w:hAnsi="宋体" w:cs="宋体"/>
          <w:color w:val="auto"/>
          <w:sz w:val="24"/>
          <w:lang w:bidi="zh-CN"/>
        </w:rPr>
        <w:t xml:space="preserve">     </w:t>
      </w:r>
      <w:r>
        <w:rPr>
          <w:rFonts w:ascii="宋体" w:hAnsi="宋体" w:cs="宋体"/>
          <w:color w:val="auto"/>
          <w:sz w:val="24"/>
          <w:lang w:bidi="zh-CN"/>
        </w:rPr>
        <w:t>址：</w:t>
      </w:r>
      <w:r>
        <w:rPr>
          <w:rFonts w:hint="eastAsia" w:ascii="宋体" w:hAnsi="宋体" w:cs="宋体"/>
          <w:color w:val="auto"/>
          <w:sz w:val="24"/>
          <w:u w:val="single"/>
          <w:lang w:bidi="zh-CN"/>
        </w:rPr>
        <w:t xml:space="preserve">                          </w:t>
      </w:r>
    </w:p>
    <w:p w14:paraId="65A75C6F">
      <w:pPr>
        <w:spacing w:line="460" w:lineRule="exact"/>
        <w:ind w:right="-57" w:rightChars="-27" w:firstLine="2976" w:firstLineChars="1240"/>
        <w:jc w:val="left"/>
        <w:rPr>
          <w:rFonts w:ascii="宋体" w:hAnsi="宋体" w:cs="宋体"/>
          <w:color w:val="auto"/>
          <w:sz w:val="24"/>
          <w:u w:val="single"/>
          <w:lang w:bidi="zh-CN"/>
        </w:rPr>
      </w:pPr>
      <w:r>
        <w:rPr>
          <w:rFonts w:ascii="宋体" w:hAnsi="宋体" w:cs="宋体"/>
          <w:color w:val="auto"/>
          <w:sz w:val="24"/>
          <w:lang w:bidi="zh-CN"/>
        </w:rPr>
        <w:t>电</w:t>
      </w:r>
      <w:r>
        <w:rPr>
          <w:rFonts w:hint="eastAsia" w:ascii="宋体" w:hAnsi="宋体" w:cs="宋体"/>
          <w:color w:val="auto"/>
          <w:sz w:val="24"/>
          <w:lang w:bidi="zh-CN"/>
        </w:rPr>
        <w:t xml:space="preserve">     </w:t>
      </w:r>
      <w:r>
        <w:rPr>
          <w:rFonts w:ascii="宋体" w:hAnsi="宋体" w:cs="宋体"/>
          <w:color w:val="auto"/>
          <w:sz w:val="24"/>
          <w:lang w:bidi="zh-CN"/>
        </w:rPr>
        <w:t>话：</w:t>
      </w:r>
      <w:r>
        <w:rPr>
          <w:rFonts w:hint="eastAsia" w:ascii="宋体" w:hAnsi="宋体" w:cs="宋体"/>
          <w:color w:val="auto"/>
          <w:sz w:val="24"/>
          <w:u w:val="single"/>
          <w:lang w:bidi="zh-CN"/>
        </w:rPr>
        <w:t xml:space="preserve">                          </w:t>
      </w:r>
    </w:p>
    <w:p w14:paraId="410C3483">
      <w:pPr>
        <w:spacing w:line="460" w:lineRule="exact"/>
        <w:ind w:right="-57" w:rightChars="-27" w:firstLine="2976" w:firstLineChars="1240"/>
        <w:jc w:val="left"/>
        <w:rPr>
          <w:rFonts w:ascii="宋体" w:hAnsi="宋体"/>
          <w:b/>
          <w:color w:val="auto"/>
          <w:sz w:val="32"/>
          <w:szCs w:val="32"/>
        </w:rPr>
      </w:pPr>
      <w:r>
        <w:rPr>
          <w:rFonts w:ascii="宋体" w:hAnsi="宋体" w:cs="宋体"/>
          <w:color w:val="auto"/>
          <w:sz w:val="24"/>
          <w:lang w:bidi="zh-CN"/>
        </w:rPr>
        <w:t xml:space="preserve">日 </w:t>
      </w:r>
      <w:r>
        <w:rPr>
          <w:rFonts w:hint="eastAsia" w:ascii="宋体" w:hAnsi="宋体" w:cs="宋体"/>
          <w:color w:val="auto"/>
          <w:sz w:val="24"/>
          <w:lang w:bidi="zh-CN"/>
        </w:rPr>
        <w:t xml:space="preserve">    </w:t>
      </w:r>
      <w:r>
        <w:rPr>
          <w:rFonts w:ascii="宋体" w:hAnsi="宋体" w:cs="宋体"/>
          <w:color w:val="auto"/>
          <w:sz w:val="24"/>
          <w:lang w:bidi="zh-CN"/>
        </w:rPr>
        <w:t>期：</w:t>
      </w:r>
      <w:r>
        <w:rPr>
          <w:rFonts w:hint="eastAsia" w:ascii="宋体" w:hAnsi="宋体" w:cs="宋体"/>
          <w:color w:val="auto"/>
          <w:sz w:val="24"/>
          <w:u w:val="single"/>
          <w:lang w:bidi="zh-CN"/>
        </w:rPr>
        <w:t xml:space="preserve">    </w:t>
      </w:r>
      <w:r>
        <w:rPr>
          <w:rFonts w:ascii="宋体" w:hAnsi="宋体" w:cs="宋体"/>
          <w:color w:val="auto"/>
          <w:sz w:val="24"/>
          <w:u w:val="single"/>
          <w:lang w:bidi="zh-CN"/>
        </w:rPr>
        <w:t>年</w:t>
      </w:r>
      <w:r>
        <w:rPr>
          <w:rFonts w:hint="eastAsia" w:ascii="宋体" w:hAnsi="宋体" w:cs="宋体"/>
          <w:color w:val="auto"/>
          <w:sz w:val="24"/>
          <w:u w:val="single"/>
          <w:lang w:bidi="zh-CN"/>
        </w:rPr>
        <w:t xml:space="preserve">     </w:t>
      </w:r>
      <w:r>
        <w:rPr>
          <w:rFonts w:ascii="宋体" w:hAnsi="宋体" w:cs="宋体"/>
          <w:color w:val="auto"/>
          <w:sz w:val="24"/>
          <w:u w:val="single"/>
          <w:lang w:bidi="zh-CN"/>
        </w:rPr>
        <w:t>月</w:t>
      </w:r>
      <w:r>
        <w:rPr>
          <w:rFonts w:hint="eastAsia" w:ascii="宋体" w:hAnsi="宋体" w:cs="宋体"/>
          <w:color w:val="auto"/>
          <w:sz w:val="24"/>
          <w:u w:val="single"/>
          <w:lang w:bidi="zh-CN"/>
        </w:rPr>
        <w:t xml:space="preserve">     </w:t>
      </w:r>
      <w:r>
        <w:rPr>
          <w:rFonts w:ascii="宋体" w:hAnsi="宋体" w:cs="宋体"/>
          <w:color w:val="auto"/>
          <w:sz w:val="24"/>
          <w:u w:val="single"/>
          <w:lang w:bidi="zh-CN"/>
        </w:rPr>
        <w:t>日</w:t>
      </w:r>
    </w:p>
    <w:p w14:paraId="58820FF8">
      <w:pPr>
        <w:spacing w:line="0" w:lineRule="atLeast"/>
        <w:ind w:right="-57" w:rightChars="-27"/>
        <w:rPr>
          <w:rFonts w:ascii="宋体" w:hAnsi="宋体"/>
          <w:b/>
          <w:color w:val="auto"/>
          <w:sz w:val="32"/>
        </w:rPr>
      </w:pPr>
    </w:p>
    <w:p w14:paraId="23694A70">
      <w:pPr>
        <w:spacing w:line="23" w:lineRule="exact"/>
        <w:ind w:right="-57" w:rightChars="-27"/>
        <w:rPr>
          <w:rFonts w:ascii="宋体" w:hAnsi="宋体"/>
          <w:color w:val="auto"/>
        </w:rPr>
      </w:pPr>
    </w:p>
    <w:p w14:paraId="1A1E56FB">
      <w:pPr>
        <w:spacing w:line="0" w:lineRule="atLeast"/>
        <w:ind w:right="-340" w:rightChars="-162"/>
        <w:rPr>
          <w:rFonts w:ascii="宋体" w:hAnsi="宋体"/>
          <w:color w:val="auto"/>
          <w:sz w:val="24"/>
        </w:rPr>
        <w:sectPr>
          <w:pgSz w:w="11900" w:h="16840"/>
          <w:pgMar w:top="1304" w:right="1361" w:bottom="1304" w:left="1361" w:header="0" w:footer="0" w:gutter="0"/>
          <w:pgNumType w:fmt="decimal"/>
          <w:cols w:space="720" w:num="1"/>
          <w:docGrid w:linePitch="360" w:charSpace="0"/>
        </w:sectPr>
      </w:pPr>
    </w:p>
    <w:p w14:paraId="3DB6838F">
      <w:pPr>
        <w:spacing w:before="240" w:beforeLines="100" w:after="120" w:afterLines="50" w:line="240" w:lineRule="exact"/>
        <w:ind w:right="-340" w:rightChars="-162"/>
        <w:jc w:val="center"/>
        <w:textAlignment w:val="center"/>
        <w:rPr>
          <w:rFonts w:hint="eastAsia" w:ascii="宋体" w:hAnsi="宋体"/>
          <w:b/>
          <w:color w:val="auto"/>
          <w:sz w:val="28"/>
          <w:szCs w:val="28"/>
        </w:rPr>
      </w:pPr>
      <w:bookmarkStart w:id="187" w:name="page58"/>
      <w:bookmarkEnd w:id="187"/>
      <w:r>
        <w:rPr>
          <w:rFonts w:hint="eastAsia" w:ascii="宋体" w:hAnsi="宋体"/>
          <w:b/>
          <w:color w:val="auto"/>
          <w:sz w:val="28"/>
          <w:szCs w:val="28"/>
        </w:rPr>
        <w:t>（二）磋商函附录</w:t>
      </w:r>
    </w:p>
    <w:p w14:paraId="07EBA498">
      <w:pPr>
        <w:spacing w:before="240" w:beforeLines="100" w:after="120" w:afterLines="50" w:line="240" w:lineRule="exact"/>
        <w:ind w:right="-340" w:rightChars="-162"/>
        <w:jc w:val="center"/>
        <w:textAlignment w:val="center"/>
        <w:rPr>
          <w:rFonts w:hint="eastAsia" w:ascii="宋体" w:hAnsi="宋体"/>
          <w:color w:val="auto"/>
          <w:sz w:val="28"/>
          <w:szCs w:val="28"/>
        </w:rPr>
      </w:pPr>
      <w:r>
        <w:rPr>
          <w:rFonts w:hint="eastAsia" w:ascii="宋体" w:hAnsi="宋体"/>
          <w:color w:val="auto"/>
          <w:sz w:val="28"/>
          <w:szCs w:val="28"/>
        </w:rPr>
        <w:t>（第一轮报价）</w:t>
      </w:r>
    </w:p>
    <w:p w14:paraId="13792B51">
      <w:pPr>
        <w:pStyle w:val="38"/>
        <w:rPr>
          <w:rFonts w:hint="eastAsia"/>
          <w:color w:val="auto"/>
        </w:rPr>
      </w:pPr>
    </w:p>
    <w:tbl>
      <w:tblPr>
        <w:tblStyle w:val="20"/>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2432"/>
        <w:gridCol w:w="2564"/>
        <w:gridCol w:w="2565"/>
      </w:tblGrid>
      <w:tr w14:paraId="6979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758" w:type="dxa"/>
            <w:tcBorders>
              <w:right w:val="nil"/>
            </w:tcBorders>
            <w:noWrap w:val="0"/>
            <w:vAlign w:val="center"/>
          </w:tcPr>
          <w:p w14:paraId="3921903E">
            <w:pPr>
              <w:spacing w:line="240" w:lineRule="auto"/>
              <w:ind w:right="-143" w:rightChars="-68"/>
              <w:jc w:val="center"/>
              <w:rPr>
                <w:rFonts w:ascii="宋体" w:hAnsi="宋体" w:cs="楷体_GB2312"/>
                <w:color w:val="auto"/>
                <w:sz w:val="24"/>
              </w:rPr>
            </w:pPr>
            <w:r>
              <w:rPr>
                <w:rFonts w:hint="eastAsia" w:ascii="宋体" w:hAnsi="宋体" w:cs="楷体_GB2312"/>
                <w:color w:val="auto"/>
                <w:sz w:val="24"/>
              </w:rPr>
              <w:t>项目名称</w:t>
            </w:r>
          </w:p>
        </w:tc>
        <w:tc>
          <w:tcPr>
            <w:tcW w:w="7561" w:type="dxa"/>
            <w:gridSpan w:val="3"/>
            <w:tcBorders>
              <w:right w:val="single" w:color="auto" w:sz="4" w:space="0"/>
            </w:tcBorders>
            <w:noWrap w:val="0"/>
            <w:vAlign w:val="center"/>
          </w:tcPr>
          <w:p w14:paraId="5E0E6E05">
            <w:pPr>
              <w:spacing w:line="240" w:lineRule="auto"/>
              <w:ind w:right="-340" w:rightChars="-162"/>
              <w:jc w:val="center"/>
              <w:rPr>
                <w:rFonts w:ascii="宋体" w:hAnsi="宋体" w:cs="楷体_GB2312"/>
                <w:color w:val="auto"/>
                <w:sz w:val="24"/>
              </w:rPr>
            </w:pPr>
            <w:r>
              <w:rPr>
                <w:rFonts w:hint="eastAsia" w:ascii="宋体" w:hAnsi="宋体" w:cs="楷体_GB2312"/>
                <w:bCs/>
                <w:color w:val="auto"/>
                <w:sz w:val="24"/>
              </w:rPr>
              <w:t xml:space="preserve"> </w:t>
            </w:r>
          </w:p>
        </w:tc>
      </w:tr>
      <w:tr w14:paraId="5867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758" w:type="dxa"/>
            <w:tcBorders>
              <w:right w:val="nil"/>
            </w:tcBorders>
            <w:noWrap w:val="0"/>
            <w:vAlign w:val="center"/>
          </w:tcPr>
          <w:p w14:paraId="592725A0">
            <w:pPr>
              <w:spacing w:line="240" w:lineRule="auto"/>
              <w:ind w:right="-143" w:rightChars="-68"/>
              <w:jc w:val="center"/>
              <w:rPr>
                <w:rFonts w:hint="default" w:ascii="宋体" w:hAnsi="宋体" w:eastAsia="宋体" w:cs="楷体_GB2312"/>
                <w:color w:val="auto"/>
                <w:sz w:val="24"/>
                <w:lang w:val="en-US" w:eastAsia="zh-CN"/>
              </w:rPr>
            </w:pPr>
            <w:r>
              <w:rPr>
                <w:rFonts w:hint="eastAsia" w:ascii="宋体" w:hAnsi="宋体" w:cs="楷体_GB2312"/>
                <w:color w:val="auto"/>
                <w:sz w:val="24"/>
                <w:lang w:val="en-US" w:eastAsia="zh-CN"/>
              </w:rPr>
              <w:t>项目编号</w:t>
            </w:r>
          </w:p>
        </w:tc>
        <w:tc>
          <w:tcPr>
            <w:tcW w:w="7561" w:type="dxa"/>
            <w:gridSpan w:val="3"/>
            <w:tcBorders>
              <w:right w:val="single" w:color="auto" w:sz="4" w:space="0"/>
            </w:tcBorders>
            <w:noWrap w:val="0"/>
            <w:vAlign w:val="center"/>
          </w:tcPr>
          <w:p w14:paraId="6F478D15">
            <w:pPr>
              <w:spacing w:line="240" w:lineRule="auto"/>
              <w:ind w:right="-340" w:rightChars="-162"/>
              <w:jc w:val="center"/>
              <w:rPr>
                <w:rFonts w:ascii="宋体" w:hAnsi="宋体" w:cs="楷体_GB2312"/>
                <w:color w:val="auto"/>
                <w:sz w:val="24"/>
              </w:rPr>
            </w:pPr>
          </w:p>
        </w:tc>
      </w:tr>
      <w:tr w14:paraId="6E4E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758" w:type="dxa"/>
            <w:tcBorders>
              <w:right w:val="nil"/>
            </w:tcBorders>
            <w:noWrap w:val="0"/>
            <w:vAlign w:val="center"/>
          </w:tcPr>
          <w:p w14:paraId="68E5229D">
            <w:pPr>
              <w:spacing w:line="240" w:lineRule="auto"/>
              <w:ind w:right="-143" w:rightChars="-68"/>
              <w:jc w:val="center"/>
              <w:rPr>
                <w:rFonts w:hint="eastAsia" w:ascii="宋体" w:hAnsi="宋体" w:cs="楷体_GB2312"/>
                <w:color w:val="auto"/>
                <w:sz w:val="24"/>
              </w:rPr>
            </w:pPr>
            <w:r>
              <w:rPr>
                <w:rFonts w:hint="eastAsia" w:ascii="宋体" w:hAnsi="宋体" w:cs="楷体_GB2312"/>
                <w:color w:val="auto"/>
                <w:sz w:val="24"/>
              </w:rPr>
              <w:t>供应商名称</w:t>
            </w:r>
          </w:p>
        </w:tc>
        <w:tc>
          <w:tcPr>
            <w:tcW w:w="7561" w:type="dxa"/>
            <w:gridSpan w:val="3"/>
            <w:tcBorders>
              <w:right w:val="single" w:color="auto" w:sz="4" w:space="0"/>
            </w:tcBorders>
            <w:noWrap w:val="0"/>
            <w:vAlign w:val="center"/>
          </w:tcPr>
          <w:p w14:paraId="4A5E5D98">
            <w:pPr>
              <w:spacing w:line="240" w:lineRule="auto"/>
              <w:ind w:right="-340" w:rightChars="-162"/>
              <w:jc w:val="center"/>
              <w:rPr>
                <w:rFonts w:ascii="宋体" w:hAnsi="宋体" w:cs="楷体_GB2312"/>
                <w:color w:val="auto"/>
                <w:sz w:val="24"/>
              </w:rPr>
            </w:pPr>
          </w:p>
        </w:tc>
      </w:tr>
      <w:tr w14:paraId="6A11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1758" w:type="dxa"/>
            <w:tcBorders>
              <w:bottom w:val="single" w:color="auto" w:sz="4" w:space="0"/>
            </w:tcBorders>
            <w:noWrap w:val="0"/>
            <w:vAlign w:val="center"/>
          </w:tcPr>
          <w:p w14:paraId="1F803C4A">
            <w:pPr>
              <w:spacing w:line="240" w:lineRule="auto"/>
              <w:jc w:val="center"/>
              <w:rPr>
                <w:rFonts w:hint="eastAsia" w:ascii="宋体" w:hAnsi="宋体" w:cs="楷体_GB2312"/>
                <w:color w:val="auto"/>
                <w:sz w:val="24"/>
              </w:rPr>
            </w:pPr>
            <w:r>
              <w:rPr>
                <w:rFonts w:hint="eastAsia" w:ascii="宋体" w:hAnsi="宋体" w:cs="楷体_GB2312"/>
                <w:color w:val="auto"/>
                <w:sz w:val="24"/>
                <w:lang w:val="en-US" w:eastAsia="zh-CN"/>
              </w:rPr>
              <w:t>拟派项目总监</w:t>
            </w:r>
          </w:p>
        </w:tc>
        <w:tc>
          <w:tcPr>
            <w:tcW w:w="2432" w:type="dxa"/>
            <w:tcBorders>
              <w:bottom w:val="single" w:color="auto" w:sz="4" w:space="0"/>
            </w:tcBorders>
            <w:noWrap w:val="0"/>
            <w:vAlign w:val="center"/>
          </w:tcPr>
          <w:p w14:paraId="1233FAF3">
            <w:pPr>
              <w:spacing w:line="240" w:lineRule="auto"/>
              <w:jc w:val="center"/>
              <w:rPr>
                <w:rFonts w:hint="eastAsia" w:ascii="宋体" w:hAnsi="宋体" w:cs="楷体_GB2312"/>
                <w:color w:val="auto"/>
                <w:sz w:val="24"/>
              </w:rPr>
            </w:pPr>
          </w:p>
        </w:tc>
        <w:tc>
          <w:tcPr>
            <w:tcW w:w="2564" w:type="dxa"/>
            <w:tcBorders>
              <w:bottom w:val="single" w:color="auto" w:sz="4" w:space="0"/>
            </w:tcBorders>
            <w:noWrap w:val="0"/>
            <w:vAlign w:val="center"/>
          </w:tcPr>
          <w:p w14:paraId="1865D436">
            <w:pPr>
              <w:spacing w:line="240" w:lineRule="auto"/>
              <w:jc w:val="center"/>
              <w:rPr>
                <w:rFonts w:hint="eastAsia" w:ascii="宋体" w:hAnsi="宋体" w:cs="楷体_GB2312"/>
                <w:color w:val="auto"/>
                <w:sz w:val="24"/>
              </w:rPr>
            </w:pPr>
            <w:r>
              <w:rPr>
                <w:rFonts w:hint="eastAsia" w:ascii="宋体" w:hAnsi="宋体" w:cs="楷体_GB2312"/>
                <w:color w:val="auto"/>
                <w:sz w:val="24"/>
                <w:lang w:val="en-US" w:eastAsia="zh-CN"/>
              </w:rPr>
              <w:t>证书编号</w:t>
            </w:r>
          </w:p>
        </w:tc>
        <w:tc>
          <w:tcPr>
            <w:tcW w:w="2565" w:type="dxa"/>
            <w:tcBorders>
              <w:bottom w:val="single" w:color="auto" w:sz="4" w:space="0"/>
            </w:tcBorders>
            <w:noWrap w:val="0"/>
            <w:vAlign w:val="center"/>
          </w:tcPr>
          <w:p w14:paraId="1BF35ADC">
            <w:pPr>
              <w:spacing w:line="240" w:lineRule="auto"/>
              <w:ind w:right="-340" w:rightChars="-162"/>
              <w:rPr>
                <w:rFonts w:hint="eastAsia" w:ascii="宋体" w:hAnsi="宋体" w:cs="楷体_GB2312"/>
                <w:color w:val="auto"/>
                <w:sz w:val="24"/>
              </w:rPr>
            </w:pPr>
          </w:p>
        </w:tc>
      </w:tr>
      <w:tr w14:paraId="665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1758" w:type="dxa"/>
            <w:tcBorders>
              <w:bottom w:val="single" w:color="auto" w:sz="4" w:space="0"/>
            </w:tcBorders>
            <w:noWrap w:val="0"/>
            <w:vAlign w:val="center"/>
          </w:tcPr>
          <w:p w14:paraId="3DE9D916">
            <w:pPr>
              <w:spacing w:line="360" w:lineRule="auto"/>
              <w:ind w:right="-143" w:rightChars="-68"/>
              <w:jc w:val="center"/>
              <w:rPr>
                <w:rFonts w:hint="default" w:ascii="宋体" w:hAnsi="宋体" w:eastAsia="宋体" w:cs="楷体_GB2312"/>
                <w:color w:val="auto"/>
                <w:sz w:val="24"/>
                <w:lang w:val="en-US" w:eastAsia="zh-CN"/>
              </w:rPr>
            </w:pPr>
            <w:r>
              <w:rPr>
                <w:rFonts w:hint="eastAsia" w:ascii="宋体" w:hAnsi="宋体" w:cs="楷体_GB2312"/>
                <w:color w:val="auto"/>
                <w:sz w:val="24"/>
              </w:rPr>
              <w:t>磋商报价</w:t>
            </w:r>
            <w:r>
              <w:rPr>
                <w:rFonts w:hint="eastAsia" w:ascii="宋体" w:hAnsi="宋体" w:cs="楷体_GB2312"/>
                <w:color w:val="auto"/>
                <w:sz w:val="24"/>
                <w:lang w:eastAsia="zh-CN"/>
              </w:rPr>
              <w:t>（</w:t>
            </w:r>
            <w:r>
              <w:rPr>
                <w:rFonts w:hint="eastAsia" w:ascii="宋体" w:hAnsi="宋体" w:cs="楷体_GB2312"/>
                <w:color w:val="auto"/>
                <w:sz w:val="24"/>
                <w:lang w:val="en-US" w:eastAsia="zh-CN"/>
              </w:rPr>
              <w:t>元）</w:t>
            </w:r>
          </w:p>
        </w:tc>
        <w:tc>
          <w:tcPr>
            <w:tcW w:w="7561" w:type="dxa"/>
            <w:gridSpan w:val="3"/>
            <w:tcBorders>
              <w:bottom w:val="single" w:color="auto" w:sz="4" w:space="0"/>
            </w:tcBorders>
            <w:noWrap w:val="0"/>
            <w:vAlign w:val="center"/>
          </w:tcPr>
          <w:p w14:paraId="5EC8C194">
            <w:pPr>
              <w:widowControl/>
              <w:spacing w:line="500" w:lineRule="exact"/>
              <w:ind w:right="-340" w:rightChars="-162"/>
              <w:rPr>
                <w:rFonts w:ascii="宋体" w:hAnsi="宋体" w:cs="楷体_GB2312"/>
                <w:color w:val="auto"/>
                <w:sz w:val="24"/>
              </w:rPr>
            </w:pPr>
            <w:r>
              <w:rPr>
                <w:rFonts w:hint="eastAsia" w:ascii="宋体" w:hAnsi="宋体" w:cs="楷体_GB2312"/>
                <w:color w:val="auto"/>
                <w:sz w:val="24"/>
              </w:rPr>
              <w:t>大写：</w:t>
            </w:r>
            <w:r>
              <w:rPr>
                <w:rFonts w:hint="eastAsia" w:ascii="宋体" w:hAnsi="宋体" w:cs="楷体_GB2312"/>
                <w:color w:val="auto"/>
                <w:sz w:val="24"/>
                <w:u w:val="single"/>
              </w:rPr>
              <w:t xml:space="preserve">                   </w:t>
            </w:r>
          </w:p>
          <w:p w14:paraId="0CFE3034">
            <w:pPr>
              <w:ind w:right="-340" w:rightChars="-162"/>
              <w:rPr>
                <w:rFonts w:ascii="宋体" w:hAnsi="宋体" w:cs="楷体_GB2312"/>
                <w:color w:val="auto"/>
                <w:sz w:val="24"/>
              </w:rPr>
            </w:pPr>
          </w:p>
          <w:p w14:paraId="6CBD6B8C">
            <w:pPr>
              <w:ind w:right="-340" w:rightChars="-162"/>
              <w:rPr>
                <w:rFonts w:ascii="宋体" w:hAnsi="宋体" w:cs="楷体_GB2312"/>
                <w:color w:val="auto"/>
                <w:sz w:val="24"/>
              </w:rPr>
            </w:pPr>
            <w:r>
              <w:rPr>
                <w:rFonts w:hint="eastAsia" w:ascii="宋体" w:hAnsi="宋体" w:cs="楷体_GB2312"/>
                <w:color w:val="auto"/>
                <w:sz w:val="24"/>
              </w:rPr>
              <w:t>小写：</w:t>
            </w:r>
            <w:r>
              <w:rPr>
                <w:rFonts w:hint="eastAsia" w:ascii="宋体" w:hAnsi="宋体" w:cs="楷体_GB2312"/>
                <w:color w:val="auto"/>
                <w:sz w:val="24"/>
                <w:u w:val="single"/>
              </w:rPr>
              <w:t xml:space="preserve">                 </w:t>
            </w:r>
          </w:p>
        </w:tc>
      </w:tr>
      <w:tr w14:paraId="734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758" w:type="dxa"/>
            <w:tcBorders>
              <w:bottom w:val="single" w:color="auto" w:sz="4" w:space="0"/>
            </w:tcBorders>
            <w:noWrap w:val="0"/>
            <w:vAlign w:val="center"/>
          </w:tcPr>
          <w:p w14:paraId="33C4E27E">
            <w:pPr>
              <w:spacing w:line="240" w:lineRule="auto"/>
              <w:ind w:right="-143" w:rightChars="-68"/>
              <w:jc w:val="center"/>
              <w:rPr>
                <w:rFonts w:hint="default" w:ascii="宋体" w:hAnsi="宋体" w:eastAsia="宋体" w:cs="楷体_GB2312"/>
                <w:color w:val="auto"/>
                <w:sz w:val="24"/>
                <w:lang w:val="en-US" w:eastAsia="zh-CN"/>
              </w:rPr>
            </w:pPr>
            <w:r>
              <w:rPr>
                <w:rFonts w:hint="default" w:ascii="宋体" w:hAnsi="宋体" w:eastAsia="宋体" w:cs="楷体_GB2312"/>
                <w:color w:val="auto"/>
                <w:sz w:val="24"/>
                <w:lang w:val="en-US" w:eastAsia="zh-CN"/>
              </w:rPr>
              <w:t>监理服务期限</w:t>
            </w:r>
          </w:p>
        </w:tc>
        <w:tc>
          <w:tcPr>
            <w:tcW w:w="7561" w:type="dxa"/>
            <w:gridSpan w:val="3"/>
            <w:tcBorders>
              <w:bottom w:val="single" w:color="auto" w:sz="4" w:space="0"/>
            </w:tcBorders>
            <w:noWrap w:val="0"/>
            <w:vAlign w:val="center"/>
          </w:tcPr>
          <w:p w14:paraId="552823E1">
            <w:pPr>
              <w:spacing w:line="240" w:lineRule="auto"/>
              <w:ind w:right="-340" w:rightChars="-162" w:firstLine="2640" w:firstLineChars="1100"/>
              <w:rPr>
                <w:rFonts w:ascii="宋体" w:hAnsi="宋体" w:cs="楷体_GB2312"/>
                <w:color w:val="auto"/>
                <w:sz w:val="24"/>
              </w:rPr>
            </w:pPr>
          </w:p>
        </w:tc>
      </w:tr>
      <w:tr w14:paraId="4ED4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58" w:type="dxa"/>
            <w:tcBorders>
              <w:bottom w:val="single" w:color="auto" w:sz="4" w:space="0"/>
            </w:tcBorders>
            <w:noWrap w:val="0"/>
            <w:vAlign w:val="center"/>
          </w:tcPr>
          <w:p w14:paraId="057B45A7">
            <w:pPr>
              <w:spacing w:line="240" w:lineRule="auto"/>
              <w:ind w:right="-143" w:rightChars="-68"/>
              <w:jc w:val="center"/>
              <w:rPr>
                <w:rFonts w:hint="eastAsia" w:ascii="宋体" w:hAnsi="宋体" w:eastAsia="宋体" w:cs="楷体_GB2312"/>
                <w:color w:val="auto"/>
                <w:sz w:val="24"/>
                <w:lang w:eastAsia="zh-CN"/>
              </w:rPr>
            </w:pPr>
            <w:r>
              <w:rPr>
                <w:rFonts w:hint="eastAsia" w:ascii="宋体" w:hAnsi="宋体" w:cs="楷体_GB2312"/>
                <w:color w:val="auto"/>
                <w:sz w:val="24"/>
                <w:lang w:eastAsia="zh-CN"/>
              </w:rPr>
              <w:t>质量要求</w:t>
            </w:r>
          </w:p>
        </w:tc>
        <w:tc>
          <w:tcPr>
            <w:tcW w:w="7561" w:type="dxa"/>
            <w:gridSpan w:val="3"/>
            <w:tcBorders>
              <w:bottom w:val="single" w:color="auto" w:sz="4" w:space="0"/>
            </w:tcBorders>
            <w:noWrap w:val="0"/>
            <w:vAlign w:val="center"/>
          </w:tcPr>
          <w:p w14:paraId="1170DB68">
            <w:pPr>
              <w:spacing w:line="240" w:lineRule="auto"/>
              <w:ind w:right="-340" w:rightChars="-162"/>
              <w:jc w:val="left"/>
              <w:rPr>
                <w:rFonts w:ascii="宋体" w:hAnsi="宋体" w:cs="楷体_GB2312"/>
                <w:color w:val="auto"/>
                <w:sz w:val="24"/>
              </w:rPr>
            </w:pPr>
          </w:p>
        </w:tc>
      </w:tr>
      <w:tr w14:paraId="0C8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758" w:type="dxa"/>
            <w:tcBorders>
              <w:bottom w:val="single" w:color="auto" w:sz="4" w:space="0"/>
            </w:tcBorders>
            <w:noWrap w:val="0"/>
            <w:vAlign w:val="center"/>
          </w:tcPr>
          <w:p w14:paraId="0AFE75F9">
            <w:pPr>
              <w:spacing w:line="240" w:lineRule="auto"/>
              <w:ind w:right="-143" w:rightChars="-68"/>
              <w:jc w:val="center"/>
              <w:rPr>
                <w:rFonts w:hint="eastAsia" w:ascii="宋体" w:hAnsi="宋体" w:cs="楷体_GB2312"/>
                <w:color w:val="auto"/>
                <w:sz w:val="24"/>
              </w:rPr>
            </w:pPr>
            <w:r>
              <w:rPr>
                <w:rFonts w:hint="default" w:ascii="宋体" w:hAnsi="宋体" w:eastAsia="宋体" w:cs="宋体"/>
                <w:kern w:val="0"/>
                <w:sz w:val="24"/>
                <w:szCs w:val="24"/>
                <w:highlight w:val="none"/>
              </w:rPr>
              <w:t>安全目标</w:t>
            </w:r>
          </w:p>
        </w:tc>
        <w:tc>
          <w:tcPr>
            <w:tcW w:w="7561" w:type="dxa"/>
            <w:gridSpan w:val="3"/>
            <w:tcBorders>
              <w:bottom w:val="single" w:color="auto" w:sz="4" w:space="0"/>
            </w:tcBorders>
            <w:noWrap w:val="0"/>
            <w:vAlign w:val="center"/>
          </w:tcPr>
          <w:p w14:paraId="0F7D16DE">
            <w:pPr>
              <w:spacing w:line="240" w:lineRule="auto"/>
              <w:ind w:right="-340" w:rightChars="-162"/>
              <w:jc w:val="left"/>
              <w:rPr>
                <w:rFonts w:ascii="宋体" w:hAnsi="宋体" w:cs="楷体_GB2312"/>
                <w:color w:val="auto"/>
                <w:sz w:val="24"/>
              </w:rPr>
            </w:pPr>
          </w:p>
        </w:tc>
      </w:tr>
      <w:tr w14:paraId="03C3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758" w:type="dxa"/>
            <w:tcBorders>
              <w:bottom w:val="single" w:color="auto" w:sz="4" w:space="0"/>
            </w:tcBorders>
            <w:noWrap w:val="0"/>
            <w:vAlign w:val="center"/>
          </w:tcPr>
          <w:p w14:paraId="3C27A052">
            <w:pPr>
              <w:spacing w:line="240" w:lineRule="auto"/>
              <w:ind w:right="-143" w:rightChars="-68"/>
              <w:jc w:val="center"/>
              <w:rPr>
                <w:rFonts w:ascii="宋体" w:hAnsi="宋体" w:cs="楷体_GB2312"/>
                <w:color w:val="auto"/>
                <w:sz w:val="24"/>
              </w:rPr>
            </w:pPr>
            <w:r>
              <w:rPr>
                <w:rFonts w:hint="eastAsia" w:ascii="宋体" w:hAnsi="宋体" w:cs="楷体_GB2312"/>
                <w:color w:val="auto"/>
                <w:sz w:val="24"/>
              </w:rPr>
              <w:t>磋商有效期</w:t>
            </w:r>
          </w:p>
        </w:tc>
        <w:tc>
          <w:tcPr>
            <w:tcW w:w="7561" w:type="dxa"/>
            <w:gridSpan w:val="3"/>
            <w:tcBorders>
              <w:bottom w:val="single" w:color="auto" w:sz="4" w:space="0"/>
            </w:tcBorders>
            <w:noWrap w:val="0"/>
            <w:vAlign w:val="center"/>
          </w:tcPr>
          <w:p w14:paraId="0E318525">
            <w:pPr>
              <w:spacing w:line="240" w:lineRule="auto"/>
              <w:ind w:right="-340" w:rightChars="-162"/>
              <w:jc w:val="left"/>
              <w:rPr>
                <w:rFonts w:ascii="宋体" w:hAnsi="宋体" w:cs="楷体_GB2312"/>
                <w:color w:val="auto"/>
                <w:sz w:val="24"/>
              </w:rPr>
            </w:pPr>
            <w:r>
              <w:rPr>
                <w:rFonts w:hint="eastAsia" w:ascii="宋体" w:hAnsi="宋体" w:eastAsia="宋体" w:cs="宋体"/>
                <w:sz w:val="24"/>
                <w:szCs w:val="24"/>
                <w:highlight w:val="none"/>
              </w:rPr>
              <w:t>响应文件递交截止之日起60日历天</w:t>
            </w:r>
          </w:p>
        </w:tc>
      </w:tr>
      <w:tr w14:paraId="148B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758" w:type="dxa"/>
            <w:tcBorders>
              <w:right w:val="single" w:color="auto" w:sz="4" w:space="0"/>
            </w:tcBorders>
            <w:noWrap w:val="0"/>
            <w:vAlign w:val="center"/>
          </w:tcPr>
          <w:p w14:paraId="235BD3F4">
            <w:pPr>
              <w:spacing w:line="240" w:lineRule="auto"/>
              <w:ind w:right="-143" w:rightChars="-68"/>
              <w:jc w:val="center"/>
              <w:rPr>
                <w:rFonts w:ascii="宋体" w:hAnsi="宋体" w:cs="楷体_GB2312"/>
                <w:color w:val="auto"/>
                <w:sz w:val="24"/>
              </w:rPr>
            </w:pPr>
            <w:r>
              <w:rPr>
                <w:rFonts w:hint="eastAsia" w:ascii="宋体" w:hAnsi="宋体" w:cs="楷体_GB2312"/>
                <w:color w:val="auto"/>
                <w:sz w:val="24"/>
              </w:rPr>
              <w:t>备注</w:t>
            </w:r>
          </w:p>
        </w:tc>
        <w:tc>
          <w:tcPr>
            <w:tcW w:w="7561" w:type="dxa"/>
            <w:gridSpan w:val="3"/>
            <w:tcBorders>
              <w:right w:val="single" w:color="auto" w:sz="4" w:space="0"/>
            </w:tcBorders>
            <w:noWrap w:val="0"/>
            <w:vAlign w:val="center"/>
          </w:tcPr>
          <w:p w14:paraId="3644AD6E">
            <w:pPr>
              <w:spacing w:line="240" w:lineRule="auto"/>
              <w:ind w:right="-340" w:rightChars="-162"/>
              <w:rPr>
                <w:rFonts w:ascii="宋体" w:hAnsi="宋体" w:cs="楷体_GB2312"/>
                <w:color w:val="auto"/>
                <w:sz w:val="24"/>
              </w:rPr>
            </w:pPr>
            <w:r>
              <w:rPr>
                <w:rFonts w:hint="eastAsia" w:ascii="宋体" w:hAnsi="宋体" w:cs="楷体_GB2312"/>
                <w:color w:val="auto"/>
                <w:sz w:val="24"/>
              </w:rPr>
              <w:t>可另行附页</w:t>
            </w:r>
          </w:p>
        </w:tc>
      </w:tr>
    </w:tbl>
    <w:p w14:paraId="4C86FDEC">
      <w:pPr>
        <w:spacing w:line="360" w:lineRule="auto"/>
        <w:ind w:right="-340" w:rightChars="-162"/>
        <w:rPr>
          <w:rFonts w:ascii="宋体" w:hAnsi="宋体" w:cs="楷体_GB2312"/>
          <w:color w:val="auto"/>
          <w:sz w:val="24"/>
        </w:rPr>
      </w:pPr>
    </w:p>
    <w:p w14:paraId="4AB7F8A9">
      <w:pPr>
        <w:pStyle w:val="10"/>
        <w:spacing w:line="360" w:lineRule="exact"/>
        <w:ind w:left="1" w:leftChars="0" w:right="-340" w:rightChars="-162" w:firstLine="2880" w:firstLineChars="1200"/>
        <w:rPr>
          <w:rFonts w:ascii="宋体" w:hAnsi="宋体" w:cs="楷体_GB2312"/>
          <w:color w:val="auto"/>
          <w:sz w:val="24"/>
        </w:rPr>
      </w:pPr>
    </w:p>
    <w:p w14:paraId="05F4D15A">
      <w:pPr>
        <w:pStyle w:val="10"/>
        <w:spacing w:line="360" w:lineRule="exact"/>
        <w:ind w:left="1" w:leftChars="0" w:right="-340" w:rightChars="-162" w:firstLine="2880" w:firstLineChars="1200"/>
        <w:rPr>
          <w:rFonts w:ascii="宋体" w:hAnsi="宋体" w:cs="楷体_GB2312"/>
          <w:color w:val="auto"/>
          <w:sz w:val="24"/>
          <w:u w:val="single"/>
        </w:rPr>
      </w:pPr>
      <w:r>
        <w:rPr>
          <w:rFonts w:hint="eastAsia" w:ascii="宋体" w:hAnsi="宋体" w:cs="楷体_GB2312"/>
          <w:color w:val="auto"/>
          <w:sz w:val="24"/>
        </w:rPr>
        <w:t>供  应  商：</w:t>
      </w:r>
      <w:r>
        <w:rPr>
          <w:rFonts w:hint="eastAsia" w:ascii="宋体" w:hAnsi="宋体" w:cs="楷体_GB2312"/>
          <w:color w:val="auto"/>
          <w:sz w:val="24"/>
          <w:u w:val="single"/>
        </w:rPr>
        <w:t xml:space="preserve">                   </w:t>
      </w:r>
      <w:r>
        <w:rPr>
          <w:rFonts w:hint="eastAsia" w:ascii="宋体" w:hAnsi="宋体" w:cs="楷体_GB2312"/>
          <w:color w:val="auto"/>
          <w:sz w:val="24"/>
        </w:rPr>
        <w:t>（</w:t>
      </w:r>
      <w:r>
        <w:rPr>
          <w:rFonts w:hint="eastAsia" w:ascii="宋体" w:hAnsi="宋体"/>
          <w:color w:val="auto"/>
          <w:sz w:val="24"/>
        </w:rPr>
        <w:t>电子签章</w:t>
      </w:r>
      <w:r>
        <w:rPr>
          <w:rFonts w:hint="eastAsia" w:ascii="宋体" w:hAnsi="宋体" w:cs="楷体_GB2312"/>
          <w:color w:val="auto"/>
          <w:sz w:val="24"/>
        </w:rPr>
        <w:t>）</w:t>
      </w:r>
    </w:p>
    <w:p w14:paraId="18F9421C">
      <w:pPr>
        <w:pStyle w:val="10"/>
        <w:spacing w:line="360" w:lineRule="exact"/>
        <w:ind w:left="1" w:leftChars="0" w:right="-340" w:rightChars="-162" w:firstLine="2880" w:firstLineChars="1200"/>
        <w:rPr>
          <w:rFonts w:ascii="宋体" w:hAnsi="宋体" w:cs="楷体_GB2312"/>
          <w:color w:val="auto"/>
          <w:sz w:val="24"/>
          <w:u w:val="single"/>
        </w:rPr>
      </w:pPr>
    </w:p>
    <w:p w14:paraId="175AA275">
      <w:pPr>
        <w:pStyle w:val="10"/>
        <w:spacing w:line="360" w:lineRule="exact"/>
        <w:ind w:left="1" w:leftChars="0" w:right="-340" w:rightChars="-162" w:firstLine="2880" w:firstLineChars="1200"/>
        <w:rPr>
          <w:rFonts w:ascii="宋体" w:hAnsi="宋体" w:cs="楷体_GB2312"/>
          <w:color w:val="auto"/>
          <w:sz w:val="24"/>
        </w:rPr>
      </w:pPr>
      <w:r>
        <w:rPr>
          <w:rFonts w:hint="eastAsia" w:ascii="宋体" w:hAnsi="宋体" w:cs="楷体_GB2312"/>
          <w:color w:val="auto"/>
          <w:sz w:val="24"/>
        </w:rPr>
        <w:t>法定代表人或其委托代理人：</w:t>
      </w:r>
      <w:r>
        <w:rPr>
          <w:rFonts w:hint="eastAsia" w:ascii="宋体" w:hAnsi="宋体" w:cs="楷体_GB2312"/>
          <w:color w:val="auto"/>
          <w:sz w:val="24"/>
          <w:u w:val="single"/>
        </w:rPr>
        <w:t xml:space="preserve">        </w:t>
      </w:r>
      <w:r>
        <w:rPr>
          <w:rFonts w:hint="eastAsia" w:ascii="宋体" w:hAnsi="宋体" w:cs="楷体_GB2312"/>
          <w:color w:val="auto"/>
          <w:sz w:val="24"/>
        </w:rPr>
        <w:t>（电子签章或签字）</w:t>
      </w:r>
    </w:p>
    <w:p w14:paraId="50BF80F9">
      <w:pPr>
        <w:pStyle w:val="10"/>
        <w:spacing w:line="360" w:lineRule="exact"/>
        <w:ind w:left="1" w:leftChars="0" w:right="-340" w:rightChars="-162" w:firstLine="480" w:firstLineChars="200"/>
        <w:rPr>
          <w:rFonts w:ascii="宋体" w:hAnsi="宋体" w:cs="楷体_GB2312"/>
          <w:color w:val="auto"/>
          <w:sz w:val="24"/>
        </w:rPr>
      </w:pPr>
    </w:p>
    <w:p w14:paraId="2BF77589">
      <w:pPr>
        <w:pStyle w:val="10"/>
        <w:spacing w:line="360" w:lineRule="exact"/>
        <w:ind w:left="99" w:leftChars="47" w:right="-340" w:rightChars="-162" w:firstLine="2760" w:firstLineChars="1150"/>
        <w:rPr>
          <w:rFonts w:ascii="宋体" w:hAnsi="宋体" w:cs="楷体_GB2312"/>
          <w:b/>
          <w:bCs/>
          <w:color w:val="auto"/>
          <w:sz w:val="24"/>
        </w:rPr>
      </w:pPr>
      <w:r>
        <w:rPr>
          <w:rFonts w:hint="eastAsia" w:ascii="宋体" w:hAnsi="宋体" w:cs="楷体_GB2312"/>
          <w:color w:val="auto"/>
          <w:sz w:val="24"/>
        </w:rPr>
        <w:t>日    期：</w:t>
      </w:r>
      <w:r>
        <w:rPr>
          <w:rFonts w:hint="eastAsia" w:ascii="宋体" w:hAnsi="宋体" w:cs="楷体_GB2312"/>
          <w:color w:val="auto"/>
          <w:sz w:val="24"/>
          <w:u w:val="single"/>
        </w:rPr>
        <w:t xml:space="preserve">      </w:t>
      </w:r>
      <w:r>
        <w:rPr>
          <w:rFonts w:hint="eastAsia" w:ascii="宋体" w:hAnsi="宋体" w:cs="楷体_GB2312"/>
          <w:color w:val="auto"/>
          <w:sz w:val="24"/>
        </w:rPr>
        <w:t>年</w:t>
      </w:r>
      <w:r>
        <w:rPr>
          <w:rFonts w:hint="eastAsia" w:ascii="宋体" w:hAnsi="宋体" w:cs="楷体_GB2312"/>
          <w:color w:val="auto"/>
          <w:sz w:val="24"/>
          <w:u w:val="single"/>
        </w:rPr>
        <w:t xml:space="preserve">      </w:t>
      </w:r>
      <w:r>
        <w:rPr>
          <w:rFonts w:hint="eastAsia" w:ascii="宋体" w:hAnsi="宋体" w:cs="楷体_GB2312"/>
          <w:color w:val="auto"/>
          <w:sz w:val="24"/>
        </w:rPr>
        <w:t>月</w:t>
      </w:r>
      <w:r>
        <w:rPr>
          <w:rFonts w:hint="eastAsia" w:ascii="宋体" w:hAnsi="宋体" w:cs="楷体_GB2312"/>
          <w:color w:val="auto"/>
          <w:sz w:val="24"/>
          <w:u w:val="single"/>
        </w:rPr>
        <w:t xml:space="preserve">     </w:t>
      </w:r>
      <w:r>
        <w:rPr>
          <w:rFonts w:hint="eastAsia" w:ascii="宋体" w:hAnsi="宋体" w:cs="楷体_GB2312"/>
          <w:color w:val="auto"/>
          <w:sz w:val="24"/>
        </w:rPr>
        <w:t>日</w:t>
      </w:r>
    </w:p>
    <w:p w14:paraId="1CF63169">
      <w:pPr>
        <w:spacing w:line="440" w:lineRule="exact"/>
        <w:ind w:right="-340" w:rightChars="-162"/>
        <w:jc w:val="center"/>
        <w:rPr>
          <w:rFonts w:hint="eastAsia" w:ascii="宋体" w:hAnsi="宋体" w:cs="楷体_GB2312"/>
          <w:color w:val="auto"/>
          <w:sz w:val="24"/>
        </w:rPr>
      </w:pPr>
      <w:r>
        <w:rPr>
          <w:rFonts w:ascii="宋体" w:hAnsi="宋体" w:cs="楷体_GB2312"/>
          <w:color w:val="auto"/>
          <w:sz w:val="24"/>
        </w:rPr>
        <w:br w:type="page"/>
      </w:r>
    </w:p>
    <w:p w14:paraId="62864FE2">
      <w:pPr>
        <w:spacing w:line="440" w:lineRule="exact"/>
        <w:ind w:right="-340" w:rightChars="-162"/>
        <w:jc w:val="center"/>
        <w:rPr>
          <w:rFonts w:hint="eastAsia" w:ascii="宋体" w:hAnsi="宋体"/>
          <w:b/>
          <w:color w:val="auto"/>
          <w:sz w:val="32"/>
          <w:szCs w:val="32"/>
        </w:rPr>
      </w:pPr>
      <w:r>
        <w:rPr>
          <w:rFonts w:hint="eastAsia" w:ascii="宋体" w:hAnsi="宋体"/>
          <w:b/>
          <w:color w:val="auto"/>
          <w:sz w:val="32"/>
          <w:szCs w:val="32"/>
        </w:rPr>
        <w:t>二、法定代表人身份证明</w:t>
      </w:r>
    </w:p>
    <w:p w14:paraId="1E310C41">
      <w:pPr>
        <w:spacing w:line="480" w:lineRule="exact"/>
        <w:ind w:right="-340" w:rightChars="-162"/>
        <w:textAlignment w:val="center"/>
        <w:rPr>
          <w:rFonts w:hint="eastAsia" w:ascii="宋体" w:hAnsi="宋体"/>
          <w:color w:val="auto"/>
          <w:sz w:val="24"/>
          <w:szCs w:val="21"/>
        </w:rPr>
      </w:pPr>
    </w:p>
    <w:p w14:paraId="3277A616">
      <w:pPr>
        <w:autoSpaceDE w:val="0"/>
        <w:autoSpaceDN w:val="0"/>
        <w:adjustRightInd w:val="0"/>
        <w:spacing w:line="480" w:lineRule="auto"/>
        <w:ind w:firstLine="480" w:firstLineChars="200"/>
        <w:jc w:val="left"/>
        <w:rPr>
          <w:rFonts w:hint="eastAsia" w:ascii="宋体" w:hAnsi="宋体" w:cs="TimesNewRomanPSMT"/>
          <w:color w:val="auto"/>
          <w:kern w:val="0"/>
          <w:sz w:val="24"/>
          <w:u w:val="single"/>
        </w:rPr>
      </w:pPr>
      <w:r>
        <w:rPr>
          <w:rFonts w:hint="eastAsia" w:ascii="宋体" w:hAnsi="宋体" w:cs="仿宋_GB2312"/>
          <w:color w:val="auto"/>
          <w:kern w:val="0"/>
          <w:sz w:val="24"/>
        </w:rPr>
        <w:t>供应商名称：</w:t>
      </w:r>
      <w:r>
        <w:rPr>
          <w:rFonts w:hint="eastAsia" w:ascii="宋体" w:hAnsi="宋体" w:cs="TimesNewRomanPSMT"/>
          <w:color w:val="auto"/>
          <w:kern w:val="0"/>
          <w:sz w:val="24"/>
          <w:u w:val="single"/>
        </w:rPr>
        <w:t xml:space="preserve">                     </w:t>
      </w:r>
    </w:p>
    <w:p w14:paraId="6BF74388">
      <w:pPr>
        <w:autoSpaceDE w:val="0"/>
        <w:autoSpaceDN w:val="0"/>
        <w:adjustRightInd w:val="0"/>
        <w:spacing w:line="480" w:lineRule="auto"/>
        <w:ind w:firstLine="480"/>
        <w:jc w:val="left"/>
        <w:rPr>
          <w:rFonts w:ascii="宋体" w:hAnsi="宋体" w:cs="仿宋_GB2312"/>
          <w:color w:val="auto"/>
          <w:kern w:val="0"/>
          <w:sz w:val="24"/>
        </w:rPr>
      </w:pPr>
      <w:r>
        <w:rPr>
          <w:rFonts w:hint="eastAsia" w:ascii="宋体" w:hAnsi="宋体" w:cs="仿宋_GB2312"/>
          <w:color w:val="auto"/>
          <w:kern w:val="0"/>
          <w:sz w:val="24"/>
        </w:rPr>
        <w:t>单位性质：</w:t>
      </w:r>
      <w:r>
        <w:rPr>
          <w:rFonts w:hint="eastAsia" w:ascii="宋体" w:hAnsi="宋体" w:cs="TimesNewRomanPSMT"/>
          <w:color w:val="auto"/>
          <w:kern w:val="0"/>
          <w:sz w:val="24"/>
          <w:u w:val="single"/>
        </w:rPr>
        <w:t xml:space="preserve">                       </w:t>
      </w:r>
    </w:p>
    <w:p w14:paraId="59DBBA6C">
      <w:pPr>
        <w:autoSpaceDE w:val="0"/>
        <w:autoSpaceDN w:val="0"/>
        <w:adjustRightInd w:val="0"/>
        <w:spacing w:line="480" w:lineRule="auto"/>
        <w:ind w:firstLine="480"/>
        <w:jc w:val="left"/>
        <w:rPr>
          <w:rFonts w:ascii="宋体" w:hAnsi="宋体" w:cs="仿宋_GB2312"/>
          <w:color w:val="auto"/>
          <w:kern w:val="0"/>
          <w:sz w:val="24"/>
        </w:rPr>
      </w:pPr>
      <w:r>
        <w:rPr>
          <w:rFonts w:hint="eastAsia" w:ascii="宋体" w:hAnsi="宋体" w:cs="仿宋_GB2312"/>
          <w:color w:val="auto"/>
          <w:kern w:val="0"/>
          <w:sz w:val="24"/>
        </w:rPr>
        <w:t>地址：</w:t>
      </w:r>
      <w:r>
        <w:rPr>
          <w:rFonts w:hint="eastAsia" w:ascii="宋体" w:hAnsi="宋体" w:cs="TimesNewRomanPSMT"/>
          <w:color w:val="auto"/>
          <w:kern w:val="0"/>
          <w:sz w:val="24"/>
          <w:u w:val="single"/>
        </w:rPr>
        <w:t xml:space="preserve">                              </w:t>
      </w:r>
    </w:p>
    <w:p w14:paraId="340B3945">
      <w:pPr>
        <w:autoSpaceDE w:val="0"/>
        <w:autoSpaceDN w:val="0"/>
        <w:adjustRightInd w:val="0"/>
        <w:spacing w:line="480" w:lineRule="auto"/>
        <w:ind w:firstLine="480"/>
        <w:jc w:val="left"/>
        <w:rPr>
          <w:rFonts w:ascii="宋体" w:hAnsi="宋体" w:cs="仿宋_GB2312"/>
          <w:color w:val="auto"/>
          <w:kern w:val="0"/>
          <w:sz w:val="24"/>
        </w:rPr>
      </w:pPr>
      <w:r>
        <w:rPr>
          <w:rFonts w:hint="eastAsia" w:ascii="宋体" w:hAnsi="宋体" w:cs="仿宋_GB2312"/>
          <w:color w:val="auto"/>
          <w:kern w:val="0"/>
          <w:sz w:val="24"/>
        </w:rPr>
        <w:t>成立时间：</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年</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月</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日</w:t>
      </w:r>
    </w:p>
    <w:p w14:paraId="20066D99">
      <w:pPr>
        <w:autoSpaceDE w:val="0"/>
        <w:autoSpaceDN w:val="0"/>
        <w:adjustRightInd w:val="0"/>
        <w:spacing w:line="480" w:lineRule="auto"/>
        <w:ind w:firstLine="480"/>
        <w:jc w:val="left"/>
        <w:rPr>
          <w:rFonts w:ascii="宋体" w:hAnsi="宋体" w:cs="仿宋_GB2312"/>
          <w:color w:val="auto"/>
          <w:kern w:val="0"/>
          <w:sz w:val="24"/>
        </w:rPr>
      </w:pPr>
      <w:r>
        <w:rPr>
          <w:rFonts w:hint="eastAsia" w:ascii="宋体" w:hAnsi="宋体" w:cs="仿宋_GB2312"/>
          <w:color w:val="auto"/>
          <w:kern w:val="0"/>
          <w:sz w:val="24"/>
        </w:rPr>
        <w:t>经营期限：</w:t>
      </w:r>
      <w:r>
        <w:rPr>
          <w:rFonts w:hint="eastAsia" w:ascii="宋体" w:hAnsi="宋体" w:cs="TimesNewRomanPSMT"/>
          <w:color w:val="auto"/>
          <w:kern w:val="0"/>
          <w:sz w:val="24"/>
          <w:u w:val="single"/>
        </w:rPr>
        <w:t xml:space="preserve">                     </w:t>
      </w:r>
    </w:p>
    <w:p w14:paraId="50302331">
      <w:pPr>
        <w:autoSpaceDE w:val="0"/>
        <w:autoSpaceDN w:val="0"/>
        <w:adjustRightInd w:val="0"/>
        <w:spacing w:line="480" w:lineRule="auto"/>
        <w:ind w:firstLine="480"/>
        <w:jc w:val="left"/>
        <w:rPr>
          <w:rFonts w:hint="eastAsia" w:ascii="宋体" w:hAnsi="宋体" w:cs="仿宋_GB2312"/>
          <w:color w:val="auto"/>
          <w:kern w:val="0"/>
          <w:sz w:val="24"/>
          <w:u w:val="single"/>
        </w:rPr>
      </w:pPr>
      <w:r>
        <w:rPr>
          <w:rFonts w:hint="eastAsia" w:ascii="宋体" w:hAnsi="宋体" w:cs="仿宋_GB2312"/>
          <w:color w:val="auto"/>
          <w:kern w:val="0"/>
          <w:sz w:val="24"/>
        </w:rPr>
        <w:t>姓名：</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性别：</w:t>
      </w:r>
      <w:r>
        <w:rPr>
          <w:rFonts w:hint="eastAsia" w:ascii="宋体" w:hAnsi="宋体" w:cs="仿宋_GB2312"/>
          <w:color w:val="auto"/>
          <w:kern w:val="0"/>
          <w:sz w:val="24"/>
          <w:u w:val="single"/>
        </w:rPr>
        <w:t xml:space="preserve">                         </w:t>
      </w:r>
    </w:p>
    <w:p w14:paraId="5B96BB44">
      <w:pPr>
        <w:autoSpaceDE w:val="0"/>
        <w:autoSpaceDN w:val="0"/>
        <w:adjustRightInd w:val="0"/>
        <w:spacing w:line="480" w:lineRule="auto"/>
        <w:ind w:firstLine="480"/>
        <w:jc w:val="left"/>
        <w:rPr>
          <w:rFonts w:hint="eastAsia" w:ascii="宋体" w:hAnsi="宋体" w:cs="仿宋_GB2312"/>
          <w:color w:val="auto"/>
          <w:kern w:val="0"/>
          <w:sz w:val="24"/>
          <w:u w:val="single"/>
        </w:rPr>
      </w:pPr>
      <w:r>
        <w:rPr>
          <w:rFonts w:hint="eastAsia" w:ascii="宋体" w:hAnsi="宋体" w:cs="仿宋_GB2312"/>
          <w:color w:val="auto"/>
          <w:kern w:val="0"/>
          <w:sz w:val="24"/>
        </w:rPr>
        <w:t>年龄 ：</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职务：</w:t>
      </w:r>
      <w:r>
        <w:rPr>
          <w:rFonts w:hint="eastAsia" w:ascii="宋体" w:hAnsi="宋体" w:cs="仿宋_GB2312"/>
          <w:color w:val="auto"/>
          <w:kern w:val="0"/>
          <w:sz w:val="24"/>
          <w:u w:val="single"/>
        </w:rPr>
        <w:t xml:space="preserve">                         </w:t>
      </w:r>
    </w:p>
    <w:p w14:paraId="6599D782">
      <w:pPr>
        <w:autoSpaceDE w:val="0"/>
        <w:autoSpaceDN w:val="0"/>
        <w:adjustRightInd w:val="0"/>
        <w:spacing w:line="480" w:lineRule="auto"/>
        <w:ind w:firstLine="480"/>
        <w:jc w:val="left"/>
        <w:rPr>
          <w:rFonts w:ascii="宋体" w:hAnsi="宋体" w:cs="仿宋_GB2312"/>
          <w:color w:val="auto"/>
          <w:kern w:val="0"/>
          <w:sz w:val="24"/>
          <w:u w:val="single"/>
        </w:rPr>
      </w:pPr>
      <w:r>
        <w:rPr>
          <w:rFonts w:hint="eastAsia" w:ascii="宋体" w:hAnsi="宋体" w:cs="仿宋_GB2312"/>
          <w:color w:val="auto"/>
          <w:kern w:val="0"/>
          <w:sz w:val="24"/>
        </w:rPr>
        <w:t>身份证号码：</w:t>
      </w:r>
      <w:r>
        <w:rPr>
          <w:rFonts w:hint="eastAsia" w:ascii="宋体" w:hAnsi="宋体" w:cs="仿宋_GB2312"/>
          <w:color w:val="auto"/>
          <w:kern w:val="0"/>
          <w:sz w:val="24"/>
          <w:u w:val="single"/>
        </w:rPr>
        <w:t xml:space="preserve">                      </w:t>
      </w:r>
      <w:r>
        <w:rPr>
          <w:rFonts w:hint="eastAsia" w:ascii="宋体" w:hAnsi="宋体" w:cs="仿宋_GB2312"/>
          <w:color w:val="auto"/>
          <w:kern w:val="0"/>
          <w:sz w:val="24"/>
        </w:rPr>
        <w:t>，系</w:t>
      </w:r>
      <w:r>
        <w:rPr>
          <w:rFonts w:hint="eastAsia" w:ascii="宋体" w:hAnsi="宋体" w:cs="TimesNewRomanPSMT"/>
          <w:color w:val="auto"/>
          <w:kern w:val="0"/>
          <w:sz w:val="24"/>
          <w:u w:val="single"/>
        </w:rPr>
        <w:t xml:space="preserve">                       </w:t>
      </w:r>
      <w:r>
        <w:rPr>
          <w:rFonts w:ascii="宋体" w:hAnsi="宋体" w:cs="仿宋_GB2312"/>
          <w:color w:val="auto"/>
          <w:kern w:val="0"/>
          <w:sz w:val="24"/>
        </w:rPr>
        <w:t xml:space="preserve"> </w:t>
      </w:r>
      <w:r>
        <w:rPr>
          <w:rFonts w:hint="eastAsia" w:ascii="宋体" w:hAnsi="宋体" w:cs="仿宋_GB2312"/>
          <w:color w:val="auto"/>
          <w:kern w:val="0"/>
          <w:sz w:val="24"/>
        </w:rPr>
        <w:t>（供应商名称）的法定代表人。</w:t>
      </w:r>
    </w:p>
    <w:p w14:paraId="20DEF6A4">
      <w:pPr>
        <w:autoSpaceDE w:val="0"/>
        <w:autoSpaceDN w:val="0"/>
        <w:adjustRightInd w:val="0"/>
        <w:spacing w:line="480" w:lineRule="auto"/>
        <w:ind w:firstLine="480"/>
        <w:jc w:val="left"/>
        <w:rPr>
          <w:rFonts w:hint="eastAsia" w:ascii="宋体" w:hAnsi="宋体" w:cs="仿宋_GB2312"/>
          <w:color w:val="auto"/>
          <w:kern w:val="0"/>
          <w:sz w:val="24"/>
        </w:rPr>
      </w:pPr>
      <w:r>
        <w:rPr>
          <w:rFonts w:hint="eastAsia" w:ascii="宋体" w:hAnsi="宋体" w:cs="仿宋_GB2312"/>
          <w:color w:val="auto"/>
          <w:kern w:val="0"/>
          <w:sz w:val="24"/>
        </w:rPr>
        <w:t>特此证明。</w:t>
      </w:r>
    </w:p>
    <w:p w14:paraId="0744C889">
      <w:pPr>
        <w:autoSpaceDE w:val="0"/>
        <w:autoSpaceDN w:val="0"/>
        <w:adjustRightInd w:val="0"/>
        <w:spacing w:line="700" w:lineRule="exact"/>
        <w:ind w:firstLine="480"/>
        <w:jc w:val="left"/>
        <w:rPr>
          <w:rFonts w:hint="eastAsia" w:ascii="宋体" w:hAnsi="宋体" w:eastAsia="宋体" w:cs="仿宋_GB2312"/>
          <w:color w:val="auto"/>
          <w:kern w:val="0"/>
          <w:sz w:val="24"/>
          <w:lang w:eastAsia="zh-CN"/>
        </w:rPr>
      </w:pPr>
      <w:r>
        <w:rPr>
          <w:rFonts w:hint="eastAsia" w:ascii="宋体" w:hAnsi="宋体" w:cs="仿宋_GB2312"/>
          <w:color w:val="auto"/>
          <w:kern w:val="0"/>
          <w:sz w:val="24"/>
        </w:rPr>
        <w:t>附：法定代表人身份证扫描件，</w:t>
      </w:r>
      <w:r>
        <w:rPr>
          <w:rFonts w:hint="eastAsia" w:ascii="宋体" w:hAnsi="宋体"/>
          <w:color w:val="auto"/>
          <w:sz w:val="24"/>
          <w:szCs w:val="21"/>
        </w:rPr>
        <w:t>加盖公章</w:t>
      </w:r>
    </w:p>
    <w:p w14:paraId="78AEEB51">
      <w:pPr>
        <w:autoSpaceDE w:val="0"/>
        <w:autoSpaceDN w:val="0"/>
        <w:adjustRightInd w:val="0"/>
        <w:spacing w:line="700" w:lineRule="exact"/>
        <w:ind w:firstLine="3084" w:firstLineChars="1285"/>
        <w:jc w:val="right"/>
        <w:rPr>
          <w:rFonts w:hint="eastAsia" w:ascii="宋体" w:hAnsi="宋体" w:cs="仿宋_GB2312"/>
          <w:color w:val="auto"/>
          <w:kern w:val="0"/>
          <w:sz w:val="24"/>
        </w:rPr>
      </w:pPr>
    </w:p>
    <w:p w14:paraId="3F5FDE94">
      <w:pPr>
        <w:autoSpaceDE w:val="0"/>
        <w:autoSpaceDN w:val="0"/>
        <w:adjustRightInd w:val="0"/>
        <w:spacing w:line="700" w:lineRule="exact"/>
        <w:ind w:firstLine="3084" w:firstLineChars="1285"/>
        <w:jc w:val="right"/>
        <w:rPr>
          <w:rFonts w:hint="eastAsia" w:ascii="宋体" w:hAnsi="宋体" w:cs="仿宋_GB2312"/>
          <w:color w:val="auto"/>
          <w:kern w:val="0"/>
          <w:sz w:val="24"/>
        </w:rPr>
      </w:pPr>
    </w:p>
    <w:p w14:paraId="5D4AF428">
      <w:pPr>
        <w:autoSpaceDE w:val="0"/>
        <w:autoSpaceDN w:val="0"/>
        <w:adjustRightInd w:val="0"/>
        <w:spacing w:line="700" w:lineRule="exact"/>
        <w:ind w:firstLine="3084" w:firstLineChars="1285"/>
        <w:jc w:val="center"/>
        <w:rPr>
          <w:rFonts w:ascii="宋体" w:hAnsi="宋体" w:cs="仿宋_GB2312"/>
          <w:color w:val="auto"/>
          <w:kern w:val="0"/>
          <w:sz w:val="24"/>
        </w:rPr>
      </w:pPr>
      <w:r>
        <w:rPr>
          <w:rFonts w:hint="eastAsia" w:ascii="宋体" w:hAnsi="宋体" w:cs="仿宋_GB2312"/>
          <w:color w:val="auto"/>
          <w:kern w:val="0"/>
          <w:sz w:val="24"/>
        </w:rPr>
        <w:t xml:space="preserve">     供应商：</w:t>
      </w:r>
      <w:r>
        <w:rPr>
          <w:rFonts w:hint="eastAsia" w:ascii="宋体" w:hAnsi="宋体" w:cs="TimesNewRomanPSMT"/>
          <w:color w:val="auto"/>
          <w:kern w:val="0"/>
          <w:sz w:val="24"/>
          <w:u w:val="single"/>
        </w:rPr>
        <w:t xml:space="preserve">                       </w:t>
      </w:r>
      <w:r>
        <w:rPr>
          <w:rFonts w:hint="eastAsia" w:ascii="宋体" w:hAnsi="宋体" w:cs="仿宋_GB2312"/>
          <w:color w:val="auto"/>
          <w:kern w:val="0"/>
          <w:sz w:val="24"/>
        </w:rPr>
        <w:t>（</w:t>
      </w:r>
      <w:r>
        <w:rPr>
          <w:rFonts w:hint="eastAsia" w:ascii="宋体" w:hAnsi="宋体"/>
          <w:color w:val="auto"/>
          <w:sz w:val="24"/>
        </w:rPr>
        <w:t>电子签章</w:t>
      </w:r>
      <w:r>
        <w:rPr>
          <w:rFonts w:hint="eastAsia" w:ascii="宋体" w:hAnsi="宋体" w:cs="仿宋_GB2312"/>
          <w:color w:val="auto"/>
          <w:kern w:val="0"/>
          <w:sz w:val="24"/>
        </w:rPr>
        <w:t>）</w:t>
      </w:r>
    </w:p>
    <w:p w14:paraId="629BD61C">
      <w:pPr>
        <w:autoSpaceDE w:val="0"/>
        <w:autoSpaceDN w:val="0"/>
        <w:adjustRightInd w:val="0"/>
        <w:spacing w:line="700" w:lineRule="exact"/>
        <w:ind w:right="420" w:firstLine="480"/>
        <w:rPr>
          <w:rFonts w:hint="eastAsia" w:ascii="宋体" w:hAnsi="宋体" w:cs="仿宋_GB2312"/>
          <w:color w:val="auto"/>
          <w:kern w:val="0"/>
          <w:sz w:val="24"/>
        </w:rPr>
      </w:pPr>
      <w:r>
        <w:rPr>
          <w:rFonts w:hint="eastAsia" w:ascii="宋体" w:hAnsi="宋体" w:cs="TimesNewRomanPSMT"/>
          <w:color w:val="auto"/>
          <w:kern w:val="0"/>
          <w:sz w:val="24"/>
        </w:rPr>
        <w:t xml:space="preserve">                           日  期：</w:t>
      </w:r>
      <w:r>
        <w:rPr>
          <w:rFonts w:hint="eastAsia" w:ascii="宋体" w:hAnsi="宋体" w:cs="TimesNewRomanPSMT"/>
          <w:color w:val="auto"/>
          <w:kern w:val="0"/>
          <w:sz w:val="24"/>
          <w:u w:val="single"/>
        </w:rPr>
        <w:t xml:space="preserve">      </w:t>
      </w:r>
      <w:r>
        <w:rPr>
          <w:rFonts w:hint="eastAsia" w:ascii="宋体" w:hAnsi="宋体" w:cs="仿宋_GB2312"/>
          <w:color w:val="auto"/>
          <w:kern w:val="0"/>
          <w:sz w:val="24"/>
          <w:u w:val="single"/>
        </w:rPr>
        <w:t>年</w:t>
      </w:r>
      <w:r>
        <w:rPr>
          <w:rFonts w:hint="eastAsia" w:ascii="宋体" w:hAnsi="宋体" w:cs="TimesNewRomanPSMT"/>
          <w:color w:val="auto"/>
          <w:kern w:val="0"/>
          <w:sz w:val="24"/>
          <w:u w:val="single"/>
        </w:rPr>
        <w:t xml:space="preserve">     </w:t>
      </w:r>
      <w:r>
        <w:rPr>
          <w:rFonts w:ascii="宋体" w:hAnsi="宋体" w:cs="仿宋_GB2312"/>
          <w:color w:val="auto"/>
          <w:kern w:val="0"/>
          <w:sz w:val="24"/>
          <w:u w:val="single"/>
        </w:rPr>
        <w:t xml:space="preserve"> </w:t>
      </w:r>
      <w:r>
        <w:rPr>
          <w:rFonts w:hint="eastAsia" w:ascii="宋体" w:hAnsi="宋体" w:cs="仿宋_GB2312"/>
          <w:color w:val="auto"/>
          <w:kern w:val="0"/>
          <w:sz w:val="24"/>
          <w:u w:val="single"/>
        </w:rPr>
        <w:t>月</w:t>
      </w:r>
      <w:r>
        <w:rPr>
          <w:rFonts w:hint="eastAsia" w:ascii="宋体" w:hAnsi="宋体" w:cs="TimesNewRomanPSMT"/>
          <w:color w:val="auto"/>
          <w:kern w:val="0"/>
          <w:sz w:val="24"/>
          <w:u w:val="single"/>
        </w:rPr>
        <w:t xml:space="preserve">  </w:t>
      </w:r>
      <w:r>
        <w:rPr>
          <w:rFonts w:ascii="宋体" w:hAnsi="宋体" w:cs="TimesNewRomanPSMT"/>
          <w:color w:val="auto"/>
          <w:kern w:val="0"/>
          <w:sz w:val="24"/>
          <w:u w:val="single"/>
        </w:rPr>
        <w:t xml:space="preserve">  </w:t>
      </w:r>
      <w:r>
        <w:rPr>
          <w:rFonts w:hint="eastAsia" w:ascii="宋体" w:hAnsi="宋体" w:cs="TimesNewRomanPSMT"/>
          <w:color w:val="auto"/>
          <w:kern w:val="0"/>
          <w:sz w:val="24"/>
          <w:u w:val="single"/>
        </w:rPr>
        <w:t xml:space="preserve">   </w:t>
      </w:r>
      <w:r>
        <w:rPr>
          <w:rFonts w:hint="eastAsia" w:ascii="宋体" w:hAnsi="宋体" w:cs="仿宋_GB2312"/>
          <w:color w:val="auto"/>
          <w:kern w:val="0"/>
          <w:sz w:val="24"/>
          <w:u w:val="single"/>
        </w:rPr>
        <w:t xml:space="preserve">日 </w:t>
      </w:r>
      <w:r>
        <w:rPr>
          <w:rFonts w:hint="eastAsia" w:ascii="宋体" w:hAnsi="宋体" w:cs="仿宋_GB2312"/>
          <w:color w:val="auto"/>
          <w:kern w:val="0"/>
          <w:sz w:val="24"/>
        </w:rPr>
        <w:t xml:space="preserve">   </w:t>
      </w:r>
    </w:p>
    <w:p w14:paraId="2CC5A545">
      <w:pPr>
        <w:spacing w:line="480" w:lineRule="exact"/>
        <w:ind w:right="-340" w:rightChars="-162"/>
        <w:jc w:val="right"/>
        <w:textAlignment w:val="center"/>
        <w:rPr>
          <w:rFonts w:hint="eastAsia" w:ascii="宋体" w:hAnsi="宋体"/>
          <w:color w:val="auto"/>
          <w:sz w:val="24"/>
          <w:szCs w:val="21"/>
        </w:rPr>
      </w:pPr>
    </w:p>
    <w:p w14:paraId="7A8BB6D2">
      <w:pPr>
        <w:spacing w:line="480" w:lineRule="auto"/>
        <w:ind w:left="3740" w:right="-340" w:rightChars="-162"/>
        <w:rPr>
          <w:rFonts w:hint="eastAsia" w:ascii="宋体" w:hAnsi="宋体"/>
          <w:b/>
          <w:bCs/>
          <w:color w:val="auto"/>
          <w:sz w:val="32"/>
          <w:szCs w:val="32"/>
        </w:rPr>
      </w:pPr>
      <w:r>
        <w:rPr>
          <w:rFonts w:ascii="宋体" w:hAnsi="宋体"/>
          <w:color w:val="auto"/>
          <w:sz w:val="24"/>
          <w:szCs w:val="21"/>
        </w:rPr>
        <w:br w:type="page"/>
      </w:r>
      <w:r>
        <w:rPr>
          <w:rFonts w:hint="eastAsia" w:ascii="宋体" w:hAnsi="宋体"/>
          <w:b/>
          <w:bCs/>
          <w:color w:val="auto"/>
          <w:sz w:val="32"/>
          <w:szCs w:val="32"/>
        </w:rPr>
        <w:t>三、授权委托书</w:t>
      </w:r>
    </w:p>
    <w:p w14:paraId="0CF6AB6A">
      <w:pPr>
        <w:spacing w:line="520" w:lineRule="exact"/>
        <w:ind w:right="-334" w:rightChars="-159" w:firstLine="480" w:firstLineChars="200"/>
        <w:jc w:val="left"/>
        <w:textAlignment w:val="center"/>
        <w:rPr>
          <w:rFonts w:hint="eastAsia" w:ascii="宋体" w:hAnsi="宋体"/>
          <w:color w:val="auto"/>
          <w:sz w:val="24"/>
          <w:szCs w:val="21"/>
        </w:rPr>
      </w:pPr>
      <w:r>
        <w:rPr>
          <w:rFonts w:hint="eastAsia" w:ascii="宋体" w:hAnsi="宋体"/>
          <w:color w:val="auto"/>
          <w:sz w:val="24"/>
          <w:szCs w:val="21"/>
        </w:rPr>
        <w:t>本人</w:t>
      </w:r>
      <w:r>
        <w:rPr>
          <w:rFonts w:hint="eastAsia" w:ascii="宋体" w:hAnsi="宋体"/>
          <w:color w:val="auto"/>
          <w:sz w:val="24"/>
          <w:szCs w:val="21"/>
          <w:u w:val="single"/>
        </w:rPr>
        <w:t xml:space="preserve">              </w:t>
      </w:r>
      <w:r>
        <w:rPr>
          <w:rFonts w:hint="eastAsia" w:ascii="宋体" w:hAnsi="宋体"/>
          <w:color w:val="auto"/>
          <w:sz w:val="24"/>
          <w:szCs w:val="21"/>
        </w:rPr>
        <w:t>（姓名）系</w:t>
      </w:r>
      <w:r>
        <w:rPr>
          <w:rFonts w:hint="eastAsia" w:ascii="宋体" w:hAnsi="宋体"/>
          <w:color w:val="auto"/>
          <w:sz w:val="24"/>
          <w:szCs w:val="21"/>
          <w:u w:val="single"/>
        </w:rPr>
        <w:t xml:space="preserve">                       </w:t>
      </w:r>
      <w:r>
        <w:rPr>
          <w:rFonts w:hint="eastAsia" w:ascii="宋体" w:hAnsi="宋体"/>
          <w:color w:val="auto"/>
          <w:sz w:val="24"/>
          <w:szCs w:val="21"/>
        </w:rPr>
        <w:t>（供应商名称）的法定代表人，现委托</w:t>
      </w:r>
      <w:r>
        <w:rPr>
          <w:rFonts w:hint="eastAsia" w:ascii="宋体" w:hAnsi="宋体"/>
          <w:color w:val="auto"/>
          <w:sz w:val="24"/>
          <w:szCs w:val="21"/>
          <w:u w:val="single"/>
        </w:rPr>
        <w:t xml:space="preserve">      </w:t>
      </w:r>
      <w:r>
        <w:rPr>
          <w:rFonts w:hint="eastAsia" w:ascii="宋体" w:hAnsi="宋体"/>
          <w:color w:val="auto"/>
          <w:sz w:val="24"/>
          <w:szCs w:val="21"/>
        </w:rPr>
        <w:t>（姓名）为我方代理人。代理人根据授权，以我方名义签署、澄清、说明、补正、递交、撤回、修改</w:t>
      </w:r>
      <w:r>
        <w:rPr>
          <w:rFonts w:hint="eastAsia" w:ascii="宋体" w:hAnsi="宋体"/>
          <w:color w:val="auto"/>
          <w:sz w:val="24"/>
          <w:szCs w:val="21"/>
          <w:u w:val="single"/>
        </w:rPr>
        <w:t xml:space="preserve">             </w:t>
      </w:r>
      <w:r>
        <w:rPr>
          <w:rFonts w:hint="eastAsia" w:ascii="宋体" w:hAnsi="宋体"/>
          <w:color w:val="auto"/>
          <w:sz w:val="24"/>
          <w:szCs w:val="21"/>
        </w:rPr>
        <w:t>项目响应文件、签订合同和处理有关事宜，其法律后果由我方承担。</w:t>
      </w:r>
    </w:p>
    <w:p w14:paraId="303D8F14">
      <w:pPr>
        <w:spacing w:before="240" w:beforeLines="100" w:after="240" w:afterLines="100" w:line="480" w:lineRule="exact"/>
        <w:ind w:right="-340" w:rightChars="-162" w:firstLine="480" w:firstLineChars="200"/>
        <w:jc w:val="left"/>
        <w:textAlignment w:val="center"/>
        <w:rPr>
          <w:rFonts w:hint="eastAsia" w:ascii="宋体" w:hAnsi="宋体"/>
          <w:color w:val="auto"/>
          <w:sz w:val="24"/>
          <w:szCs w:val="21"/>
        </w:rPr>
      </w:pPr>
      <w:r>
        <w:rPr>
          <w:rFonts w:hint="eastAsia" w:ascii="宋体" w:hAnsi="宋体"/>
          <w:color w:val="auto"/>
          <w:sz w:val="24"/>
          <w:szCs w:val="21"/>
          <w:lang w:val="en-US" w:eastAsia="zh-CN"/>
        </w:rPr>
        <w:t>委托期限至：</w:t>
      </w:r>
      <w:r>
        <w:rPr>
          <w:rFonts w:hint="eastAsia" w:ascii="宋体" w:hAnsi="宋体"/>
          <w:color w:val="auto"/>
          <w:sz w:val="24"/>
          <w:szCs w:val="21"/>
          <w:u w:val="single"/>
          <w:lang w:val="en-US" w:eastAsia="zh-CN"/>
        </w:rPr>
        <w:t xml:space="preserve">             </w:t>
      </w:r>
      <w:r>
        <w:rPr>
          <w:rFonts w:hint="eastAsia" w:ascii="宋体" w:hAnsi="宋体"/>
          <w:color w:val="auto"/>
          <w:sz w:val="24"/>
          <w:szCs w:val="21"/>
          <w:lang w:val="en-US" w:eastAsia="zh-CN"/>
        </w:rPr>
        <w:t>，</w:t>
      </w:r>
      <w:r>
        <w:rPr>
          <w:rFonts w:hint="eastAsia" w:ascii="宋体" w:hAnsi="宋体"/>
          <w:color w:val="auto"/>
          <w:sz w:val="24"/>
          <w:szCs w:val="21"/>
        </w:rPr>
        <w:t>代理人无转委托权。</w:t>
      </w:r>
    </w:p>
    <w:p w14:paraId="2890B855">
      <w:pPr>
        <w:spacing w:after="240" w:afterLines="100" w:line="480" w:lineRule="exact"/>
        <w:ind w:right="-340" w:rightChars="-162" w:firstLine="480" w:firstLineChars="200"/>
        <w:jc w:val="left"/>
        <w:textAlignment w:val="center"/>
        <w:rPr>
          <w:rFonts w:hint="eastAsia" w:ascii="宋体" w:hAnsi="宋体"/>
          <w:color w:val="auto"/>
          <w:sz w:val="24"/>
          <w:szCs w:val="21"/>
        </w:rPr>
      </w:pPr>
      <w:r>
        <w:rPr>
          <w:rFonts w:hint="eastAsia" w:ascii="宋体" w:hAnsi="宋体"/>
          <w:color w:val="auto"/>
          <w:sz w:val="24"/>
          <w:szCs w:val="21"/>
        </w:rPr>
        <w:t>附：委托代理人身份证扫描件，加盖公章</w:t>
      </w:r>
    </w:p>
    <w:p w14:paraId="29946530">
      <w:pPr>
        <w:spacing w:line="480" w:lineRule="exact"/>
        <w:ind w:right="-340" w:rightChars="-162"/>
        <w:textAlignment w:val="center"/>
        <w:rPr>
          <w:rFonts w:hint="eastAsia" w:ascii="宋体" w:hAnsi="宋体"/>
          <w:color w:val="auto"/>
          <w:sz w:val="24"/>
        </w:rPr>
      </w:pPr>
    </w:p>
    <w:p w14:paraId="133ECC58">
      <w:pPr>
        <w:spacing w:line="480" w:lineRule="exact"/>
        <w:ind w:right="-340" w:rightChars="-162" w:firstLine="3360" w:firstLineChars="1400"/>
        <w:textAlignment w:val="center"/>
        <w:rPr>
          <w:rFonts w:hint="eastAsia" w:ascii="宋体" w:hAnsi="宋体"/>
          <w:color w:val="auto"/>
          <w:sz w:val="24"/>
        </w:rPr>
      </w:pPr>
      <w:r>
        <w:rPr>
          <w:rFonts w:hint="eastAsia" w:ascii="宋体" w:hAnsi="宋体"/>
          <w:color w:val="auto"/>
          <w:sz w:val="24"/>
        </w:rPr>
        <w:t>供 应 商：</w:t>
      </w:r>
      <w:r>
        <w:rPr>
          <w:rFonts w:hint="eastAsia" w:ascii="宋体" w:hAnsi="宋体"/>
          <w:color w:val="auto"/>
          <w:sz w:val="24"/>
          <w:u w:val="single"/>
        </w:rPr>
        <w:t xml:space="preserve">                       </w:t>
      </w:r>
      <w:r>
        <w:rPr>
          <w:rFonts w:hint="eastAsia" w:ascii="宋体" w:hAnsi="宋体"/>
          <w:color w:val="auto"/>
          <w:sz w:val="24"/>
        </w:rPr>
        <w:t>（电子签章）</w:t>
      </w:r>
    </w:p>
    <w:p w14:paraId="5FC50C1C">
      <w:pPr>
        <w:spacing w:line="480" w:lineRule="exact"/>
        <w:ind w:right="-340" w:rightChars="-162" w:firstLine="4080" w:firstLineChars="1700"/>
        <w:textAlignment w:val="center"/>
        <w:rPr>
          <w:rFonts w:hint="eastAsia" w:ascii="宋体" w:hAnsi="宋体"/>
          <w:color w:val="auto"/>
          <w:sz w:val="24"/>
        </w:rPr>
      </w:pPr>
    </w:p>
    <w:p w14:paraId="3FD463ED">
      <w:pPr>
        <w:spacing w:line="480" w:lineRule="exact"/>
        <w:ind w:right="-340" w:rightChars="-162" w:firstLine="3360" w:firstLineChars="1400"/>
        <w:textAlignment w:val="center"/>
        <w:rPr>
          <w:rFonts w:hint="eastAsia"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w:t>
      </w:r>
      <w:r>
        <w:rPr>
          <w:rFonts w:hint="eastAsia" w:ascii="宋体" w:hAnsi="宋体"/>
          <w:color w:val="auto"/>
          <w:sz w:val="24"/>
        </w:rPr>
        <w:t>（电子签章）</w:t>
      </w:r>
    </w:p>
    <w:p w14:paraId="7BEE301F">
      <w:pPr>
        <w:spacing w:line="480" w:lineRule="exact"/>
        <w:ind w:right="-340" w:rightChars="-162"/>
        <w:textAlignment w:val="center"/>
        <w:rPr>
          <w:rFonts w:hint="eastAsia" w:ascii="宋体" w:hAnsi="宋体"/>
          <w:color w:val="auto"/>
          <w:sz w:val="24"/>
          <w:u w:val="single"/>
        </w:rPr>
      </w:pPr>
    </w:p>
    <w:p w14:paraId="15F51C93">
      <w:pPr>
        <w:spacing w:line="480" w:lineRule="exact"/>
        <w:ind w:right="-340" w:rightChars="-162" w:firstLine="3360" w:firstLineChars="1400"/>
        <w:textAlignment w:val="center"/>
        <w:rPr>
          <w:rFonts w:hint="eastAsia" w:ascii="宋体" w:hAnsi="宋体"/>
          <w:color w:val="auto"/>
          <w:sz w:val="24"/>
        </w:rPr>
      </w:pPr>
      <w:r>
        <w:rPr>
          <w:rFonts w:hint="eastAsia" w:ascii="宋体" w:hAnsi="宋体"/>
          <w:color w:val="auto"/>
          <w:sz w:val="24"/>
        </w:rPr>
        <w:t>委托代理人：</w:t>
      </w:r>
      <w:r>
        <w:rPr>
          <w:rFonts w:hint="eastAsia" w:ascii="宋体" w:hAnsi="宋体"/>
          <w:color w:val="auto"/>
          <w:sz w:val="24"/>
          <w:u w:val="single"/>
        </w:rPr>
        <w:t xml:space="preserve">                     </w:t>
      </w:r>
      <w:r>
        <w:rPr>
          <w:rFonts w:hint="eastAsia" w:ascii="宋体" w:hAnsi="宋体"/>
          <w:color w:val="auto"/>
          <w:sz w:val="24"/>
        </w:rPr>
        <w:t>（签字）</w:t>
      </w:r>
    </w:p>
    <w:p w14:paraId="411A4CFA">
      <w:pPr>
        <w:spacing w:line="480" w:lineRule="exact"/>
        <w:ind w:right="-340" w:rightChars="-162" w:firstLine="4080" w:firstLineChars="1700"/>
        <w:textAlignment w:val="center"/>
        <w:rPr>
          <w:rFonts w:hint="eastAsia" w:ascii="宋体" w:hAnsi="宋体"/>
          <w:color w:val="auto"/>
          <w:sz w:val="24"/>
        </w:rPr>
      </w:pPr>
    </w:p>
    <w:p w14:paraId="4A6AA58F">
      <w:pPr>
        <w:spacing w:line="480" w:lineRule="exact"/>
        <w:ind w:right="-340" w:rightChars="-162" w:firstLine="4800" w:firstLineChars="2000"/>
        <w:textAlignment w:val="center"/>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8084777">
      <w:pPr>
        <w:spacing w:before="240" w:beforeLines="100" w:after="120" w:afterLines="50" w:line="480" w:lineRule="exact"/>
        <w:ind w:right="-340" w:rightChars="-162"/>
        <w:textAlignment w:val="center"/>
        <w:rPr>
          <w:rFonts w:hint="eastAsia" w:ascii="宋体" w:hAnsi="宋体"/>
          <w:b/>
          <w:bCs/>
          <w:color w:val="auto"/>
          <w:sz w:val="24"/>
          <w:szCs w:val="21"/>
        </w:rPr>
      </w:pPr>
    </w:p>
    <w:p w14:paraId="07214E24">
      <w:pPr>
        <w:spacing w:before="240" w:beforeLines="100" w:after="120" w:afterLines="50" w:line="480" w:lineRule="exact"/>
        <w:ind w:right="-340" w:rightChars="-162"/>
        <w:textAlignment w:val="center"/>
        <w:rPr>
          <w:rFonts w:hint="eastAsia" w:ascii="宋体" w:hAnsi="宋体"/>
          <w:b/>
          <w:bCs/>
          <w:color w:val="auto"/>
          <w:sz w:val="24"/>
          <w:szCs w:val="21"/>
        </w:rPr>
      </w:pPr>
      <w:r>
        <w:rPr>
          <w:rFonts w:hint="eastAsia" w:ascii="宋体" w:hAnsi="宋体"/>
          <w:b/>
          <w:bCs/>
          <w:color w:val="auto"/>
          <w:sz w:val="24"/>
          <w:szCs w:val="21"/>
        </w:rPr>
        <w:t xml:space="preserve">注：因响应文件中授权委托书授权代理人无法手写签字，可以以印刷体代替（印刷体为电脑打出的字体）。   </w:t>
      </w:r>
    </w:p>
    <w:p w14:paraId="62CD10CE">
      <w:pPr>
        <w:pStyle w:val="2"/>
        <w:ind w:right="-340" w:rightChars="-162" w:firstLine="0"/>
        <w:rPr>
          <w:rFonts w:hint="eastAsia" w:ascii="宋体" w:hAnsi="宋体" w:eastAsia="宋体"/>
          <w:bCs/>
          <w:color w:val="auto"/>
          <w:kern w:val="2"/>
          <w:sz w:val="24"/>
          <w:szCs w:val="21"/>
          <w:lang w:eastAsia="zh-CN"/>
        </w:rPr>
      </w:pPr>
      <w:bookmarkStart w:id="188" w:name="_Toc466566720"/>
      <w:bookmarkStart w:id="189" w:name="_Toc466566810"/>
      <w:r>
        <w:rPr>
          <w:rFonts w:ascii="宋体" w:hAnsi="宋体" w:eastAsia="宋体"/>
          <w:bCs/>
          <w:color w:val="auto"/>
          <w:kern w:val="2"/>
          <w:sz w:val="24"/>
          <w:szCs w:val="21"/>
        </w:rPr>
        <w:br w:type="page"/>
      </w:r>
    </w:p>
    <w:p w14:paraId="0B2AA283">
      <w:pPr>
        <w:pStyle w:val="2"/>
        <w:ind w:right="-340" w:rightChars="-162" w:firstLine="0"/>
        <w:rPr>
          <w:rFonts w:hint="eastAsia" w:ascii="宋体" w:hAnsi="宋体" w:eastAsia="宋体"/>
          <w:bCs/>
          <w:color w:val="auto"/>
          <w:kern w:val="2"/>
          <w:sz w:val="32"/>
          <w:szCs w:val="32"/>
          <w:lang w:eastAsia="zh-CN"/>
        </w:rPr>
      </w:pPr>
      <w:r>
        <w:rPr>
          <w:rFonts w:hint="eastAsia" w:ascii="宋体" w:hAnsi="宋体" w:eastAsia="宋体"/>
          <w:bCs/>
          <w:color w:val="auto"/>
          <w:kern w:val="2"/>
          <w:sz w:val="32"/>
          <w:szCs w:val="32"/>
        </w:rPr>
        <w:t>四、</w:t>
      </w:r>
      <w:bookmarkEnd w:id="188"/>
      <w:bookmarkEnd w:id="189"/>
      <w:r>
        <w:rPr>
          <w:rFonts w:hint="eastAsia" w:ascii="宋体" w:hAnsi="宋体" w:eastAsia="宋体"/>
          <w:bCs/>
          <w:color w:val="auto"/>
          <w:kern w:val="2"/>
          <w:sz w:val="32"/>
          <w:szCs w:val="32"/>
          <w:lang w:eastAsia="zh-CN"/>
        </w:rPr>
        <w:t>磋商</w:t>
      </w:r>
      <w:r>
        <w:rPr>
          <w:rFonts w:hint="eastAsia" w:ascii="宋体" w:hAnsi="宋体" w:eastAsia="宋体"/>
          <w:bCs/>
          <w:color w:val="auto"/>
          <w:kern w:val="2"/>
          <w:sz w:val="32"/>
          <w:szCs w:val="32"/>
        </w:rPr>
        <w:t>承诺函</w:t>
      </w:r>
    </w:p>
    <w:p w14:paraId="6B8FED7C">
      <w:pPr>
        <w:widowControl/>
        <w:shd w:val="clear" w:color="auto" w:fill="FFFFFF"/>
        <w:spacing w:line="405" w:lineRule="atLeast"/>
        <w:rPr>
          <w:rFonts w:hint="eastAsia" w:ascii="Microsoft YaHei UI" w:hAnsi="Microsoft YaHei UI" w:eastAsia="宋体" w:cs="宋体"/>
          <w:color w:val="auto"/>
          <w:spacing w:val="8"/>
          <w:kern w:val="0"/>
          <w:sz w:val="26"/>
          <w:szCs w:val="26"/>
          <w:u w:val="single"/>
          <w:lang w:eastAsia="zh-CN"/>
        </w:rPr>
      </w:pPr>
      <w:r>
        <w:rPr>
          <w:rFonts w:hint="eastAsia" w:ascii="宋体" w:hAnsi="宋体" w:cs="宋体"/>
          <w:color w:val="auto"/>
          <w:kern w:val="0"/>
          <w:sz w:val="24"/>
          <w:szCs w:val="24"/>
        </w:rPr>
        <w:t>致（采购人）</w:t>
      </w:r>
      <w:r>
        <w:rPr>
          <w:rFonts w:hint="eastAsia" w:ascii="宋体" w:hAnsi="宋体" w:cs="宋体"/>
          <w:color w:val="auto"/>
          <w:spacing w:val="8"/>
          <w:kern w:val="0"/>
          <w:sz w:val="24"/>
          <w:szCs w:val="24"/>
        </w:rPr>
        <w:t>：</w:t>
      </w:r>
      <w:r>
        <w:rPr>
          <w:rFonts w:hint="eastAsia" w:ascii="宋体" w:hAnsi="宋体" w:cs="宋体"/>
          <w:color w:val="auto"/>
          <w:spacing w:val="8"/>
          <w:kern w:val="0"/>
          <w:sz w:val="24"/>
          <w:szCs w:val="24"/>
          <w:u w:val="single"/>
          <w:lang w:val="en-US" w:eastAsia="zh-CN"/>
        </w:rPr>
        <w:t xml:space="preserve">    </w:t>
      </w: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rPr>
        <w:t xml:space="preserve"> </w:t>
      </w:r>
      <w:r>
        <w:rPr>
          <w:rFonts w:hint="eastAsia" w:ascii="宋体" w:hAnsi="宋体" w:cs="宋体"/>
          <w:color w:val="auto"/>
          <w:spacing w:val="8"/>
          <w:kern w:val="0"/>
          <w:sz w:val="24"/>
          <w:szCs w:val="24"/>
          <w:lang w:eastAsia="zh-CN"/>
        </w:rPr>
        <w:t>，</w:t>
      </w:r>
    </w:p>
    <w:p w14:paraId="7BCE6F50">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我公司作为本次采购项目的</w:t>
      </w:r>
      <w:r>
        <w:rPr>
          <w:rFonts w:hint="eastAsia" w:ascii="宋体" w:hAnsi="宋体" w:cs="宋体"/>
          <w:color w:val="auto"/>
          <w:spacing w:val="8"/>
          <w:kern w:val="0"/>
          <w:sz w:val="24"/>
          <w:szCs w:val="24"/>
          <w:lang w:eastAsia="zh-CN"/>
        </w:rPr>
        <w:t>供应商</w:t>
      </w:r>
      <w:r>
        <w:rPr>
          <w:rFonts w:hint="eastAsia" w:ascii="宋体" w:hAnsi="宋体" w:cs="宋体"/>
          <w:color w:val="auto"/>
          <w:spacing w:val="8"/>
          <w:kern w:val="0"/>
          <w:sz w:val="24"/>
          <w:szCs w:val="24"/>
        </w:rPr>
        <w:t>，根据招标文件要求，现郑重承诺如下：</w:t>
      </w:r>
    </w:p>
    <w:p w14:paraId="39ACC38F">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一、具备《中华人民共和国政府采购法》第二十二条第一款和本项目规定的条件：</w:t>
      </w:r>
    </w:p>
    <w:p w14:paraId="08EF4BDA">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（一）</w:t>
      </w:r>
      <w:r>
        <w:rPr>
          <w:rFonts w:hint="eastAsia" w:ascii="宋体" w:hAnsi="宋体" w:cs="宋体"/>
          <w:color w:val="auto"/>
          <w:sz w:val="24"/>
          <w:szCs w:val="24"/>
        </w:rPr>
        <w:t>供应商具有独立承担民事责任的能力；</w:t>
      </w:r>
      <w:r>
        <w:rPr>
          <w:rFonts w:hint="eastAsia" w:ascii="宋体" w:hAnsi="宋体" w:cs="宋体"/>
          <w:color w:val="auto"/>
          <w:spacing w:val="8"/>
          <w:kern w:val="0"/>
          <w:sz w:val="24"/>
          <w:szCs w:val="24"/>
        </w:rPr>
        <w:t> 　　</w:t>
      </w:r>
    </w:p>
    <w:p w14:paraId="1C0E993F">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（二）具有良好的商业信誉和健全的财务会计制度； 　</w:t>
      </w:r>
    </w:p>
    <w:p w14:paraId="492DC904">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（三）具有履行合同所必需的设备和专业技术能力； 　　</w:t>
      </w:r>
    </w:p>
    <w:p w14:paraId="0C228511">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（四）有依法缴纳税收和社会保障资金的良好记录； 　　</w:t>
      </w:r>
    </w:p>
    <w:p w14:paraId="57E7292B">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（五）参加政府采购活动前三年内，在经营活动中没有重大违法记录；</w:t>
      </w:r>
    </w:p>
    <w:p w14:paraId="04197D18">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（六）法律、行政法规规定的其他条件；</w:t>
      </w:r>
    </w:p>
    <w:p w14:paraId="03B7E66E">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4"/>
          <w:szCs w:val="24"/>
        </w:rPr>
      </w:pPr>
      <w:r>
        <w:rPr>
          <w:rFonts w:hint="eastAsia" w:ascii="宋体" w:hAnsi="宋体" w:cs="宋体"/>
          <w:color w:val="auto"/>
          <w:spacing w:val="8"/>
          <w:kern w:val="0"/>
          <w:sz w:val="24"/>
          <w:szCs w:val="24"/>
        </w:rPr>
        <w:t>（七）根据采购项目提出的特殊条件。</w:t>
      </w:r>
    </w:p>
    <w:p w14:paraId="6559E33A">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32B9D7F">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三、参加本次招标采购活动，不存在与单位负责人为同一人或者存在直接控股、管理关系的其他供应商参与同一合同项下的政府采购活动的行为。    </w:t>
      </w:r>
    </w:p>
    <w:p w14:paraId="4B6D647D">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四、参加本次招标采购活动，不存在为采购项目提供整体设计、规范编制或者项目管理、监理、检测等服务的行为。</w:t>
      </w:r>
    </w:p>
    <w:p w14:paraId="494523B7">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五、参加本次招标采购活动，不存在和其他供应商在同一合同项下的采购项目中，同时委托同一个自然人、同一家庭的人员、同一单位的人员作为代理人的行为。</w:t>
      </w:r>
    </w:p>
    <w:p w14:paraId="7E56BE31">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六、</w:t>
      </w:r>
      <w:r>
        <w:rPr>
          <w:rFonts w:hint="eastAsia" w:ascii="宋体" w:hAnsi="宋体" w:cs="宋体"/>
          <w:color w:val="auto"/>
          <w:spacing w:val="8"/>
          <w:kern w:val="0"/>
          <w:sz w:val="24"/>
          <w:szCs w:val="24"/>
          <w:lang w:eastAsia="zh-CN"/>
        </w:rPr>
        <w:t>供应商</w:t>
      </w:r>
      <w:r>
        <w:rPr>
          <w:rFonts w:hint="eastAsia" w:ascii="宋体" w:hAnsi="宋体" w:cs="宋体"/>
          <w:color w:val="auto"/>
          <w:spacing w:val="8"/>
          <w:kern w:val="0"/>
          <w:sz w:val="24"/>
          <w:szCs w:val="24"/>
        </w:rPr>
        <w:t>参加本次政府采购活动要求在近三年内</w:t>
      </w:r>
      <w:r>
        <w:rPr>
          <w:rFonts w:hint="eastAsia" w:ascii="宋体" w:hAnsi="宋体" w:cs="宋体"/>
          <w:color w:val="auto"/>
          <w:spacing w:val="8"/>
          <w:kern w:val="0"/>
          <w:sz w:val="24"/>
          <w:szCs w:val="24"/>
          <w:lang w:eastAsia="zh-CN"/>
        </w:rPr>
        <w:t>供应商</w:t>
      </w:r>
      <w:r>
        <w:rPr>
          <w:rFonts w:hint="eastAsia" w:ascii="宋体" w:hAnsi="宋体" w:cs="宋体"/>
          <w:color w:val="auto"/>
          <w:spacing w:val="8"/>
          <w:kern w:val="0"/>
          <w:sz w:val="24"/>
          <w:szCs w:val="24"/>
        </w:rPr>
        <w:t>和其法定代表人没有行贿犯罪行为。</w:t>
      </w:r>
    </w:p>
    <w:p w14:paraId="6114DF53">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七、参加本次招标采购活动，不存在联合体投标。</w:t>
      </w:r>
    </w:p>
    <w:p w14:paraId="25D980A9">
      <w:pPr>
        <w:widowControl/>
        <w:shd w:val="clear" w:color="auto" w:fill="FFFFFF"/>
        <w:spacing w:line="360" w:lineRule="atLeast"/>
        <w:ind w:firstLine="512" w:firstLineChars="200"/>
        <w:jc w:val="left"/>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八、投标文件中提供的能够给予我公司带来优惠、好处的任何材料资料和技术、服务、商务等响应承诺情况都是真实的、有效的、合法的。</w:t>
      </w:r>
    </w:p>
    <w:p w14:paraId="58445B87">
      <w:pPr>
        <w:widowControl/>
        <w:shd w:val="clear" w:color="auto" w:fill="FFFFFF"/>
        <w:spacing w:line="405" w:lineRule="atLeast"/>
        <w:ind w:firstLine="512" w:firstLineChars="200"/>
        <w:rPr>
          <w:rFonts w:ascii="宋体" w:hAnsi="宋体" w:cs="宋体"/>
          <w:color w:val="auto"/>
          <w:spacing w:val="8"/>
          <w:kern w:val="0"/>
          <w:sz w:val="24"/>
          <w:szCs w:val="24"/>
        </w:rPr>
      </w:pPr>
      <w:r>
        <w:rPr>
          <w:rFonts w:hint="eastAsia" w:ascii="宋体" w:hAnsi="宋体" w:cs="宋体"/>
          <w:color w:val="auto"/>
          <w:spacing w:val="8"/>
          <w:kern w:val="0"/>
          <w:sz w:val="24"/>
          <w:szCs w:val="24"/>
        </w:rPr>
        <w:t>九、</w:t>
      </w:r>
      <w:r>
        <w:rPr>
          <w:rFonts w:hint="eastAsia" w:ascii="宋体" w:hAnsi="宋体" w:cs="宋体"/>
          <w:color w:val="auto"/>
          <w:spacing w:val="8"/>
          <w:kern w:val="0"/>
          <w:sz w:val="24"/>
          <w:szCs w:val="24"/>
          <w:lang w:eastAsia="zh-CN"/>
        </w:rPr>
        <w:t>供应商</w:t>
      </w:r>
      <w:r>
        <w:rPr>
          <w:rFonts w:hint="eastAsia" w:ascii="宋体" w:hAnsi="宋体" w:cs="宋体"/>
          <w:color w:val="auto"/>
          <w:spacing w:val="8"/>
          <w:kern w:val="0"/>
          <w:sz w:val="24"/>
          <w:szCs w:val="24"/>
        </w:rPr>
        <w:t>认为需要承诺的其他事项：</w:t>
      </w:r>
    </w:p>
    <w:p w14:paraId="54486B72">
      <w:pPr>
        <w:widowControl/>
        <w:shd w:val="clear" w:color="auto" w:fill="FFFFFF"/>
        <w:spacing w:line="405" w:lineRule="atLeast"/>
        <w:ind w:firstLine="512" w:firstLineChars="200"/>
        <w:rPr>
          <w:rFonts w:ascii="宋体" w:hAnsi="宋体" w:cs="宋体"/>
          <w:color w:val="auto"/>
          <w:spacing w:val="8"/>
          <w:kern w:val="0"/>
          <w:sz w:val="24"/>
          <w:szCs w:val="24"/>
          <w:u w:val="single"/>
        </w:rPr>
      </w:pPr>
      <w:r>
        <w:rPr>
          <w:rFonts w:hint="eastAsia" w:ascii="宋体" w:hAnsi="宋体" w:cs="宋体"/>
          <w:color w:val="auto"/>
          <w:spacing w:val="8"/>
          <w:kern w:val="0"/>
          <w:sz w:val="24"/>
          <w:szCs w:val="24"/>
        </w:rPr>
        <w:t>1、</w:t>
      </w: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rPr>
        <w:t>；2、</w:t>
      </w: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rPr>
        <w:t>；3、</w:t>
      </w:r>
      <w:r>
        <w:rPr>
          <w:rFonts w:hint="eastAsia" w:ascii="宋体" w:hAnsi="宋体" w:cs="宋体"/>
          <w:color w:val="auto"/>
          <w:spacing w:val="8"/>
          <w:kern w:val="0"/>
          <w:sz w:val="24"/>
          <w:szCs w:val="24"/>
          <w:u w:val="single"/>
        </w:rPr>
        <w:t xml:space="preserve">                 </w:t>
      </w:r>
      <w:r>
        <w:rPr>
          <w:rFonts w:hint="eastAsia" w:ascii="宋体" w:hAnsi="宋体" w:cs="宋体"/>
          <w:color w:val="auto"/>
          <w:spacing w:val="8"/>
          <w:kern w:val="0"/>
          <w:sz w:val="24"/>
          <w:szCs w:val="24"/>
        </w:rPr>
        <w:t>。</w:t>
      </w:r>
    </w:p>
    <w:p w14:paraId="76DF9E95">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十、存在以下行为之一的愿意接受相关部门的处理：</w:t>
      </w:r>
    </w:p>
    <w:p w14:paraId="727D2399">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（一）</w:t>
      </w:r>
      <w:r>
        <w:rPr>
          <w:rFonts w:hint="eastAsia" w:ascii="宋体" w:hAnsi="宋体" w:cs="宋体"/>
          <w:color w:val="auto"/>
          <w:spacing w:val="8"/>
          <w:kern w:val="0"/>
          <w:sz w:val="24"/>
          <w:szCs w:val="24"/>
          <w:lang w:val="en-US" w:eastAsia="zh-CN"/>
        </w:rPr>
        <w:t>谈判</w:t>
      </w:r>
      <w:r>
        <w:rPr>
          <w:rFonts w:hint="eastAsia" w:ascii="宋体" w:hAnsi="宋体" w:cs="宋体"/>
          <w:color w:val="auto"/>
          <w:spacing w:val="8"/>
          <w:kern w:val="0"/>
          <w:sz w:val="24"/>
          <w:szCs w:val="24"/>
        </w:rPr>
        <w:t>有效期内撤销投标文件的；</w:t>
      </w:r>
    </w:p>
    <w:p w14:paraId="6510302A">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（二）在采购人确定</w:t>
      </w:r>
      <w:r>
        <w:rPr>
          <w:rFonts w:hint="eastAsia" w:ascii="宋体" w:hAnsi="宋体" w:cs="宋体"/>
          <w:color w:val="auto"/>
          <w:spacing w:val="8"/>
          <w:kern w:val="0"/>
          <w:sz w:val="24"/>
          <w:szCs w:val="24"/>
          <w:lang w:eastAsia="zh-CN"/>
        </w:rPr>
        <w:t>成交人</w:t>
      </w:r>
      <w:r>
        <w:rPr>
          <w:rFonts w:hint="eastAsia" w:ascii="宋体" w:hAnsi="宋体" w:cs="宋体"/>
          <w:color w:val="auto"/>
          <w:spacing w:val="8"/>
          <w:kern w:val="0"/>
          <w:sz w:val="24"/>
          <w:szCs w:val="24"/>
        </w:rPr>
        <w:t>以前放弃中标候选资格的；</w:t>
      </w:r>
    </w:p>
    <w:p w14:paraId="2A127F7D">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（三）由于</w:t>
      </w:r>
      <w:r>
        <w:rPr>
          <w:rFonts w:hint="eastAsia" w:ascii="宋体" w:hAnsi="宋体" w:cs="宋体"/>
          <w:color w:val="auto"/>
          <w:spacing w:val="8"/>
          <w:kern w:val="0"/>
          <w:sz w:val="24"/>
          <w:szCs w:val="24"/>
          <w:lang w:eastAsia="zh-CN"/>
        </w:rPr>
        <w:t>成交人</w:t>
      </w:r>
      <w:r>
        <w:rPr>
          <w:rFonts w:hint="eastAsia" w:ascii="宋体" w:hAnsi="宋体" w:cs="宋体"/>
          <w:color w:val="auto"/>
          <w:spacing w:val="8"/>
          <w:kern w:val="0"/>
          <w:sz w:val="24"/>
          <w:szCs w:val="24"/>
        </w:rPr>
        <w:t>的原因未能按照招标文件的规定与采购人签订合同；</w:t>
      </w:r>
    </w:p>
    <w:p w14:paraId="22BE0594">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（四）在投标文件中提供虚假材料谋取中标；</w:t>
      </w:r>
    </w:p>
    <w:p w14:paraId="7EDF2F7B">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（五）与采购人、其他供应商或者采购代理机构恶意串通的；</w:t>
      </w:r>
    </w:p>
    <w:p w14:paraId="02118F40">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（六）</w:t>
      </w:r>
      <w:r>
        <w:rPr>
          <w:rFonts w:hint="eastAsia" w:ascii="宋体" w:hAnsi="宋体" w:cs="宋体"/>
          <w:color w:val="auto"/>
          <w:spacing w:val="8"/>
          <w:kern w:val="0"/>
          <w:sz w:val="24"/>
          <w:szCs w:val="24"/>
          <w:lang w:val="en-US" w:eastAsia="zh-CN"/>
        </w:rPr>
        <w:t>谈判</w:t>
      </w:r>
      <w:r>
        <w:rPr>
          <w:rFonts w:hint="eastAsia" w:ascii="宋体" w:hAnsi="宋体" w:cs="宋体"/>
          <w:color w:val="auto"/>
          <w:spacing w:val="8"/>
          <w:kern w:val="0"/>
          <w:sz w:val="24"/>
          <w:szCs w:val="24"/>
        </w:rPr>
        <w:t>有效期内，</w:t>
      </w:r>
      <w:r>
        <w:rPr>
          <w:rFonts w:hint="eastAsia" w:ascii="宋体" w:hAnsi="宋体" w:cs="宋体"/>
          <w:color w:val="auto"/>
          <w:spacing w:val="8"/>
          <w:kern w:val="0"/>
          <w:sz w:val="24"/>
          <w:szCs w:val="24"/>
          <w:lang w:eastAsia="zh-CN"/>
        </w:rPr>
        <w:t>供应商</w:t>
      </w:r>
      <w:r>
        <w:rPr>
          <w:rFonts w:hint="eastAsia" w:ascii="宋体" w:hAnsi="宋体" w:cs="宋体"/>
          <w:color w:val="auto"/>
          <w:spacing w:val="8"/>
          <w:kern w:val="0"/>
          <w:sz w:val="24"/>
          <w:szCs w:val="24"/>
        </w:rPr>
        <w:t>在政府采购活动中有违法、违规、违纪行为。</w:t>
      </w:r>
    </w:p>
    <w:p w14:paraId="089E0A0C">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由此产生的一切法律后果和责任由我公司承担。我公司声明放弃对此提出任何异议和追索的权利。</w:t>
      </w:r>
    </w:p>
    <w:p w14:paraId="05E321F0">
      <w:pPr>
        <w:widowControl/>
        <w:shd w:val="clear" w:color="auto" w:fill="FFFFFF"/>
        <w:spacing w:line="405" w:lineRule="atLeast"/>
        <w:ind w:firstLine="512" w:firstLineChars="200"/>
        <w:rPr>
          <w:rFonts w:ascii="Microsoft YaHei UI" w:hAnsi="Microsoft YaHei UI" w:eastAsia="Microsoft YaHei UI" w:cs="宋体"/>
          <w:color w:val="auto"/>
          <w:spacing w:val="8"/>
          <w:kern w:val="0"/>
          <w:sz w:val="26"/>
          <w:szCs w:val="26"/>
        </w:rPr>
      </w:pPr>
      <w:r>
        <w:rPr>
          <w:rFonts w:hint="eastAsia" w:ascii="宋体" w:hAnsi="宋体" w:cs="宋体"/>
          <w:color w:val="auto"/>
          <w:spacing w:val="8"/>
          <w:kern w:val="0"/>
          <w:sz w:val="24"/>
          <w:szCs w:val="24"/>
        </w:rPr>
        <w:t>本公司对上述承诺的内容事项真实性负责。如经查实上述承诺的内容事项存在虚假，我公司愿意接受以提供虚假材料谋取中标追究法律责任。</w:t>
      </w:r>
    </w:p>
    <w:p w14:paraId="5A0385A7">
      <w:pPr>
        <w:pStyle w:val="10"/>
        <w:spacing w:line="360" w:lineRule="exact"/>
        <w:ind w:left="1" w:leftChars="0" w:right="-340" w:rightChars="-162" w:firstLine="2880" w:firstLineChars="1200"/>
        <w:rPr>
          <w:rFonts w:hint="eastAsia" w:ascii="宋体" w:hAnsi="宋体" w:cs="楷体_GB2312"/>
          <w:color w:val="auto"/>
          <w:sz w:val="24"/>
        </w:rPr>
      </w:pPr>
    </w:p>
    <w:p w14:paraId="275963B3">
      <w:pPr>
        <w:pStyle w:val="10"/>
        <w:spacing w:line="360" w:lineRule="exact"/>
        <w:ind w:left="1" w:leftChars="0" w:right="-340" w:rightChars="-162" w:firstLine="2880" w:firstLineChars="1200"/>
        <w:rPr>
          <w:rFonts w:hint="eastAsia" w:ascii="宋体" w:hAnsi="宋体" w:cs="楷体_GB2312"/>
          <w:color w:val="auto"/>
          <w:sz w:val="24"/>
        </w:rPr>
      </w:pPr>
    </w:p>
    <w:p w14:paraId="69C5D405">
      <w:pPr>
        <w:pStyle w:val="10"/>
        <w:spacing w:line="360" w:lineRule="exact"/>
        <w:ind w:left="1" w:leftChars="0" w:right="-340" w:rightChars="-162" w:firstLine="2880" w:firstLineChars="1200"/>
        <w:rPr>
          <w:rFonts w:ascii="宋体" w:hAnsi="宋体" w:cs="楷体_GB2312"/>
          <w:color w:val="auto"/>
          <w:sz w:val="24"/>
          <w:u w:val="single"/>
        </w:rPr>
      </w:pPr>
      <w:r>
        <w:rPr>
          <w:rFonts w:hint="eastAsia" w:ascii="宋体" w:hAnsi="宋体" w:cs="楷体_GB2312"/>
          <w:color w:val="auto"/>
          <w:sz w:val="24"/>
        </w:rPr>
        <w:t>供  应  商：</w:t>
      </w:r>
      <w:r>
        <w:rPr>
          <w:rFonts w:hint="eastAsia" w:ascii="宋体" w:hAnsi="宋体" w:cs="楷体_GB2312"/>
          <w:color w:val="auto"/>
          <w:sz w:val="24"/>
          <w:u w:val="single"/>
        </w:rPr>
        <w:t xml:space="preserve">                  </w:t>
      </w:r>
      <w:r>
        <w:rPr>
          <w:rFonts w:hint="eastAsia" w:ascii="宋体" w:hAnsi="宋体" w:cs="楷体_GB2312"/>
          <w:color w:val="auto"/>
          <w:sz w:val="24"/>
        </w:rPr>
        <w:t>（电子签章）</w:t>
      </w:r>
    </w:p>
    <w:p w14:paraId="6367983B">
      <w:pPr>
        <w:pStyle w:val="10"/>
        <w:spacing w:line="360" w:lineRule="exact"/>
        <w:ind w:left="1" w:leftChars="0" w:right="-340" w:rightChars="-162" w:firstLine="2880" w:firstLineChars="1200"/>
        <w:rPr>
          <w:rFonts w:ascii="宋体" w:hAnsi="宋体" w:cs="楷体_GB2312"/>
          <w:color w:val="auto"/>
          <w:sz w:val="24"/>
          <w:u w:val="single"/>
        </w:rPr>
      </w:pPr>
    </w:p>
    <w:p w14:paraId="5FBACF5B">
      <w:pPr>
        <w:spacing w:line="460" w:lineRule="exact"/>
        <w:ind w:right="-57" w:rightChars="-27" w:firstLine="2976" w:firstLineChars="1240"/>
        <w:jc w:val="left"/>
        <w:rPr>
          <w:rFonts w:ascii="宋体" w:hAnsi="宋体" w:cs="宋体"/>
          <w:color w:val="auto"/>
          <w:sz w:val="24"/>
          <w:lang w:bidi="zh-CN"/>
        </w:rPr>
      </w:pPr>
      <w:r>
        <w:rPr>
          <w:rFonts w:ascii="宋体" w:hAnsi="宋体" w:cs="宋体"/>
          <w:color w:val="auto"/>
          <w:sz w:val="24"/>
          <w:lang w:bidi="zh-CN"/>
        </w:rPr>
        <w:t>法定代表人</w:t>
      </w:r>
      <w:r>
        <w:rPr>
          <w:rFonts w:hint="eastAsia" w:ascii="宋体" w:hAnsi="宋体" w:cs="宋体"/>
          <w:color w:val="auto"/>
          <w:sz w:val="24"/>
          <w:lang w:bidi="zh-CN"/>
        </w:rPr>
        <w:t>或其委托代理人</w:t>
      </w:r>
      <w:r>
        <w:rPr>
          <w:rFonts w:ascii="宋体" w:hAnsi="宋体" w:cs="宋体"/>
          <w:color w:val="auto"/>
          <w:sz w:val="24"/>
          <w:lang w:bidi="zh-CN"/>
        </w:rPr>
        <w:t>：</w:t>
      </w:r>
      <w:r>
        <w:rPr>
          <w:rFonts w:hint="eastAsia" w:ascii="宋体" w:hAnsi="宋体" w:cs="宋体"/>
          <w:color w:val="auto"/>
          <w:sz w:val="24"/>
          <w:u w:val="single"/>
          <w:lang w:bidi="zh-CN"/>
        </w:rPr>
        <w:t xml:space="preserve">          </w:t>
      </w:r>
      <w:r>
        <w:rPr>
          <w:rFonts w:hint="eastAsia" w:ascii="宋体" w:hAnsi="宋体" w:cs="宋体"/>
          <w:color w:val="auto"/>
          <w:sz w:val="24"/>
          <w:lang w:bidi="zh-CN"/>
        </w:rPr>
        <w:t>（</w:t>
      </w:r>
      <w:r>
        <w:rPr>
          <w:rFonts w:hint="eastAsia" w:ascii="宋体" w:hAnsi="宋体" w:cs="楷体_GB2312"/>
          <w:color w:val="auto"/>
          <w:sz w:val="24"/>
        </w:rPr>
        <w:t>电子签章或签字</w:t>
      </w:r>
      <w:r>
        <w:rPr>
          <w:rFonts w:hint="eastAsia" w:ascii="宋体" w:hAnsi="宋体" w:cs="宋体"/>
          <w:color w:val="auto"/>
          <w:sz w:val="24"/>
          <w:lang w:bidi="zh-CN"/>
        </w:rPr>
        <w:t>）</w:t>
      </w:r>
    </w:p>
    <w:p w14:paraId="2BDAE1DA">
      <w:pPr>
        <w:pStyle w:val="10"/>
        <w:spacing w:line="360" w:lineRule="exact"/>
        <w:ind w:left="1" w:leftChars="0" w:right="-340" w:rightChars="-162" w:firstLine="480" w:firstLineChars="200"/>
        <w:rPr>
          <w:rFonts w:ascii="宋体" w:hAnsi="宋体" w:cs="楷体_GB2312"/>
          <w:color w:val="auto"/>
          <w:sz w:val="24"/>
        </w:rPr>
      </w:pPr>
    </w:p>
    <w:p w14:paraId="46B21999">
      <w:pPr>
        <w:pStyle w:val="10"/>
        <w:spacing w:line="360" w:lineRule="exact"/>
        <w:ind w:left="99" w:leftChars="47" w:right="-340" w:rightChars="-162" w:firstLine="2760" w:firstLineChars="1150"/>
        <w:rPr>
          <w:rFonts w:ascii="宋体" w:hAnsi="宋体" w:cs="楷体_GB2312"/>
          <w:b/>
          <w:bCs/>
          <w:color w:val="auto"/>
          <w:sz w:val="24"/>
          <w:u w:val="single"/>
        </w:rPr>
      </w:pPr>
      <w:r>
        <w:rPr>
          <w:rFonts w:hint="eastAsia" w:ascii="宋体" w:hAnsi="宋体" w:cs="楷体_GB2312"/>
          <w:color w:val="auto"/>
          <w:sz w:val="24"/>
        </w:rPr>
        <w:t>日    期：</w:t>
      </w:r>
      <w:r>
        <w:rPr>
          <w:rFonts w:hint="eastAsia" w:ascii="宋体" w:hAnsi="宋体" w:cs="楷体_GB2312"/>
          <w:color w:val="auto"/>
          <w:sz w:val="24"/>
          <w:u w:val="single"/>
        </w:rPr>
        <w:t xml:space="preserve">      年     月    日</w:t>
      </w:r>
    </w:p>
    <w:p w14:paraId="2259FE9C">
      <w:pPr>
        <w:pStyle w:val="7"/>
        <w:ind w:left="63" w:right="-340" w:rightChars="-162"/>
        <w:rPr>
          <w:rFonts w:hint="eastAsia" w:ascii="宋体" w:hAnsi="宋体" w:cs="宋体"/>
          <w:color w:val="auto"/>
        </w:rPr>
      </w:pPr>
    </w:p>
    <w:p w14:paraId="0FD0592D">
      <w:pPr>
        <w:pStyle w:val="10"/>
        <w:spacing w:line="360" w:lineRule="auto"/>
        <w:ind w:left="0" w:leftChars="0" w:right="-340" w:rightChars="-162" w:firstLine="0" w:firstLineChars="0"/>
        <w:jc w:val="center"/>
        <w:rPr>
          <w:rFonts w:hint="eastAsia" w:ascii="宋体" w:hAnsi="宋体"/>
          <w:b/>
          <w:color w:val="auto"/>
          <w:sz w:val="32"/>
          <w:szCs w:val="20"/>
        </w:rPr>
      </w:pPr>
      <w:r>
        <w:rPr>
          <w:rFonts w:ascii="宋体" w:hAnsi="宋体"/>
          <w:color w:val="auto"/>
          <w:sz w:val="24"/>
        </w:rPr>
        <w:br w:type="page"/>
      </w:r>
      <w:r>
        <w:rPr>
          <w:rFonts w:hint="eastAsia" w:ascii="宋体" w:hAnsi="宋体"/>
          <w:b/>
          <w:bCs/>
          <w:color w:val="auto"/>
          <w:sz w:val="32"/>
          <w:szCs w:val="32"/>
        </w:rPr>
        <w:t>五、</w:t>
      </w:r>
      <w:bookmarkStart w:id="190" w:name="_Toc437077355"/>
      <w:r>
        <w:rPr>
          <w:rFonts w:hint="eastAsia" w:ascii="宋体" w:hAnsi="宋体"/>
          <w:b/>
          <w:color w:val="auto"/>
          <w:sz w:val="32"/>
          <w:szCs w:val="20"/>
        </w:rPr>
        <w:t>监理机构</w:t>
      </w:r>
    </w:p>
    <w:p w14:paraId="5812FC1C">
      <w:pPr>
        <w:pStyle w:val="41"/>
        <w:spacing w:line="480" w:lineRule="auto"/>
        <w:outlineLvl w:val="9"/>
        <w:rPr>
          <w:rFonts w:hint="eastAsia" w:ascii="宋体" w:hAnsi="宋体" w:eastAsia="宋体" w:cs="Microsoft JhengHei"/>
          <w:b/>
          <w:bCs/>
          <w:color w:val="auto"/>
          <w:spacing w:val="-2"/>
          <w:kern w:val="0"/>
          <w:sz w:val="21"/>
          <w:szCs w:val="20"/>
          <w:lang w:val="en-US" w:eastAsia="zh-CN" w:bidi="ar-SA"/>
        </w:rPr>
      </w:pPr>
      <w:r>
        <w:rPr>
          <w:rFonts w:hint="eastAsia" w:ascii="宋体" w:hAnsi="宋体" w:eastAsia="宋体" w:cs="Microsoft JhengHei"/>
          <w:b/>
          <w:bCs/>
          <w:color w:val="auto"/>
          <w:spacing w:val="-2"/>
          <w:kern w:val="0"/>
          <w:sz w:val="21"/>
          <w:szCs w:val="20"/>
          <w:lang w:val="en-US" w:eastAsia="zh-CN" w:bidi="ar-SA"/>
        </w:rPr>
        <w:t>（1）拟委任的主要人员汇总表</w:t>
      </w:r>
    </w:p>
    <w:tbl>
      <w:tblPr>
        <w:tblStyle w:val="20"/>
        <w:tblW w:w="0" w:type="auto"/>
        <w:jc w:val="center"/>
        <w:tblLayout w:type="fixed"/>
        <w:tblCellMar>
          <w:top w:w="0" w:type="dxa"/>
          <w:left w:w="0" w:type="dxa"/>
          <w:bottom w:w="0" w:type="dxa"/>
          <w:right w:w="0" w:type="dxa"/>
        </w:tblCellMar>
      </w:tblPr>
      <w:tblGrid>
        <w:gridCol w:w="816"/>
        <w:gridCol w:w="1275"/>
        <w:gridCol w:w="992"/>
        <w:gridCol w:w="604"/>
        <w:gridCol w:w="488"/>
        <w:gridCol w:w="1133"/>
        <w:gridCol w:w="710"/>
        <w:gridCol w:w="871"/>
        <w:gridCol w:w="1134"/>
      </w:tblGrid>
      <w:tr w14:paraId="35E430FB">
        <w:tblPrEx>
          <w:tblCellMar>
            <w:top w:w="0" w:type="dxa"/>
            <w:left w:w="0" w:type="dxa"/>
            <w:bottom w:w="0" w:type="dxa"/>
            <w:right w:w="0"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4D12A">
            <w:pPr>
              <w:autoSpaceDE w:val="0"/>
              <w:autoSpaceDN w:val="0"/>
              <w:adjustRightInd w:val="0"/>
              <w:ind w:left="191" w:right="-20"/>
              <w:jc w:val="left"/>
              <w:rPr>
                <w:rFonts w:ascii="宋体"/>
                <w:color w:val="auto"/>
                <w:kern w:val="0"/>
              </w:rPr>
            </w:pPr>
            <w:r>
              <w:rPr>
                <w:rFonts w:hint="eastAsia" w:ascii="宋体" w:hAnsi="宋体" w:cs="Microsoft JhengHei"/>
                <w:color w:val="auto"/>
                <w:kern w:val="0"/>
              </w:rPr>
              <w:t>序号</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8AC88">
            <w:pPr>
              <w:autoSpaceDE w:val="0"/>
              <w:autoSpaceDN w:val="0"/>
              <w:adjustRightInd w:val="0"/>
              <w:ind w:left="105" w:right="-20"/>
              <w:jc w:val="left"/>
              <w:rPr>
                <w:rFonts w:ascii="宋体"/>
                <w:color w:val="auto"/>
                <w:kern w:val="0"/>
              </w:rPr>
            </w:pPr>
            <w:r>
              <w:rPr>
                <w:rFonts w:hint="eastAsia" w:ascii="宋体" w:hAnsi="宋体" w:cs="Microsoft JhengHei"/>
                <w:color w:val="auto"/>
                <w:kern w:val="0"/>
              </w:rPr>
              <w:t>本项</w:t>
            </w:r>
            <w:r>
              <w:rPr>
                <w:rFonts w:hint="eastAsia" w:ascii="宋体" w:hAnsi="宋体" w:cs="Microsoft JhengHei"/>
                <w:color w:val="auto"/>
                <w:spacing w:val="-2"/>
                <w:kern w:val="0"/>
              </w:rPr>
              <w:t>目</w:t>
            </w:r>
            <w:r>
              <w:rPr>
                <w:rFonts w:hint="eastAsia" w:ascii="宋体" w:hAnsi="宋体" w:cs="Microsoft JhengHei"/>
                <w:color w:val="auto"/>
                <w:kern w:val="0"/>
              </w:rPr>
              <w:t>任职</w:t>
            </w:r>
          </w:p>
        </w:tc>
        <w:tc>
          <w:tcPr>
            <w:tcW w:w="9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8C4B1">
            <w:pPr>
              <w:autoSpaceDE w:val="0"/>
              <w:autoSpaceDN w:val="0"/>
              <w:adjustRightInd w:val="0"/>
              <w:ind w:left="280" w:right="-20"/>
              <w:jc w:val="left"/>
              <w:rPr>
                <w:rFonts w:ascii="宋体"/>
                <w:color w:val="auto"/>
                <w:kern w:val="0"/>
              </w:rPr>
            </w:pPr>
            <w:r>
              <w:rPr>
                <w:rFonts w:hint="eastAsia" w:ascii="宋体" w:hAnsi="宋体" w:cs="Microsoft JhengHei"/>
                <w:color w:val="auto"/>
                <w:kern w:val="0"/>
              </w:rPr>
              <w:t>姓名</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5E094">
            <w:pPr>
              <w:autoSpaceDE w:val="0"/>
              <w:autoSpaceDN w:val="0"/>
              <w:adjustRightInd w:val="0"/>
              <w:spacing w:before="3" w:line="442" w:lineRule="exact"/>
              <w:ind w:left="189" w:right="119"/>
              <w:jc w:val="left"/>
              <w:rPr>
                <w:rFonts w:ascii="宋体"/>
                <w:color w:val="auto"/>
                <w:kern w:val="0"/>
              </w:rPr>
            </w:pPr>
            <w:r>
              <w:rPr>
                <w:rFonts w:hint="eastAsia" w:ascii="宋体" w:hAnsi="宋体" w:cs="Microsoft JhengHei"/>
                <w:color w:val="auto"/>
                <w:kern w:val="0"/>
              </w:rPr>
              <w:t>职</w:t>
            </w:r>
            <w:r>
              <w:rPr>
                <w:rFonts w:ascii="宋体" w:hAnsi="宋体" w:cs="Microsoft JhengHei"/>
                <w:color w:val="auto"/>
                <w:kern w:val="0"/>
              </w:rPr>
              <w:t xml:space="preserve"> </w:t>
            </w:r>
            <w:r>
              <w:rPr>
                <w:rFonts w:hint="eastAsia" w:ascii="宋体" w:hAnsi="宋体" w:cs="Microsoft JhengHei"/>
                <w:color w:val="auto"/>
                <w:kern w:val="0"/>
              </w:rPr>
              <w:t>称</w:t>
            </w:r>
          </w:p>
        </w:tc>
        <w:tc>
          <w:tcPr>
            <w:tcW w:w="4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357C7">
            <w:pPr>
              <w:autoSpaceDE w:val="0"/>
              <w:autoSpaceDN w:val="0"/>
              <w:adjustRightInd w:val="0"/>
              <w:spacing w:before="3" w:line="442" w:lineRule="exact"/>
              <w:ind w:left="131" w:right="59"/>
              <w:jc w:val="left"/>
              <w:rPr>
                <w:rFonts w:ascii="宋体"/>
                <w:color w:val="auto"/>
                <w:kern w:val="0"/>
              </w:rPr>
            </w:pPr>
            <w:r>
              <w:rPr>
                <w:rFonts w:hint="eastAsia" w:ascii="宋体" w:hAnsi="宋体" w:cs="Microsoft JhengHei"/>
                <w:color w:val="auto"/>
                <w:kern w:val="0"/>
              </w:rPr>
              <w:t>专</w:t>
            </w:r>
            <w:r>
              <w:rPr>
                <w:rFonts w:ascii="宋体" w:hAnsi="宋体" w:cs="Microsoft JhengHei"/>
                <w:color w:val="auto"/>
                <w:kern w:val="0"/>
              </w:rPr>
              <w:t xml:space="preserve"> </w:t>
            </w:r>
            <w:r>
              <w:rPr>
                <w:rFonts w:hint="eastAsia" w:ascii="宋体" w:hAnsi="宋体" w:cs="Microsoft JhengHei"/>
                <w:color w:val="auto"/>
                <w:kern w:val="0"/>
              </w:rPr>
              <w:t>业</w:t>
            </w:r>
          </w:p>
        </w:tc>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14:paraId="2DB79385">
            <w:pPr>
              <w:autoSpaceDE w:val="0"/>
              <w:autoSpaceDN w:val="0"/>
              <w:adjustRightInd w:val="0"/>
              <w:spacing w:before="44"/>
              <w:ind w:left="405" w:right="-20"/>
              <w:jc w:val="left"/>
              <w:rPr>
                <w:rFonts w:ascii="宋体"/>
                <w:color w:val="auto"/>
                <w:kern w:val="0"/>
              </w:rPr>
            </w:pPr>
            <w:r>
              <w:rPr>
                <w:rFonts w:hint="eastAsia" w:ascii="宋体" w:hAnsi="宋体" w:cs="Microsoft JhengHei"/>
                <w:color w:val="auto"/>
                <w:kern w:val="0"/>
              </w:rPr>
              <w:t>执业</w:t>
            </w:r>
            <w:r>
              <w:rPr>
                <w:rFonts w:hint="eastAsia" w:ascii="宋体" w:hAnsi="宋体" w:cs="Microsoft JhengHei"/>
                <w:color w:val="auto"/>
                <w:spacing w:val="-2"/>
                <w:kern w:val="0"/>
              </w:rPr>
              <w:t>或</w:t>
            </w:r>
            <w:r>
              <w:rPr>
                <w:rFonts w:hint="eastAsia" w:ascii="宋体" w:hAnsi="宋体" w:cs="Microsoft JhengHei"/>
                <w:color w:val="auto"/>
                <w:kern w:val="0"/>
              </w:rPr>
              <w:t>职</w:t>
            </w:r>
            <w:r>
              <w:rPr>
                <w:rFonts w:hint="eastAsia" w:ascii="宋体" w:hAnsi="宋体" w:cs="Microsoft JhengHei"/>
                <w:color w:val="auto"/>
                <w:spacing w:val="-2"/>
                <w:kern w:val="0"/>
              </w:rPr>
              <w:t>业</w:t>
            </w:r>
            <w:r>
              <w:rPr>
                <w:rFonts w:hint="eastAsia" w:ascii="宋体" w:hAnsi="宋体" w:cs="Microsoft JhengHei"/>
                <w:color w:val="auto"/>
                <w:kern w:val="0"/>
              </w:rPr>
              <w:t>资</w:t>
            </w:r>
            <w:r>
              <w:rPr>
                <w:rFonts w:hint="eastAsia" w:ascii="宋体" w:hAnsi="宋体" w:cs="Microsoft JhengHei"/>
                <w:color w:val="auto"/>
                <w:spacing w:val="-2"/>
                <w:kern w:val="0"/>
              </w:rPr>
              <w:t>格</w:t>
            </w:r>
            <w:r>
              <w:rPr>
                <w:rFonts w:hint="eastAsia" w:ascii="宋体" w:hAnsi="宋体" w:cs="Microsoft JhengHei"/>
                <w:color w:val="auto"/>
                <w:kern w:val="0"/>
              </w:rPr>
              <w:t>证明</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5097AE">
            <w:pPr>
              <w:autoSpaceDE w:val="0"/>
              <w:autoSpaceDN w:val="0"/>
              <w:adjustRightInd w:val="0"/>
              <w:spacing w:before="44"/>
              <w:ind w:left="349" w:right="-20"/>
              <w:jc w:val="left"/>
              <w:rPr>
                <w:rFonts w:ascii="宋体"/>
                <w:color w:val="auto"/>
                <w:kern w:val="0"/>
              </w:rPr>
            </w:pPr>
            <w:r>
              <w:rPr>
                <w:rFonts w:hint="eastAsia" w:ascii="宋体" w:hAnsi="宋体" w:cs="Microsoft JhengHei"/>
                <w:color w:val="auto"/>
                <w:kern w:val="0"/>
              </w:rPr>
              <w:t>备注</w:t>
            </w:r>
          </w:p>
        </w:tc>
      </w:tr>
      <w:tr w14:paraId="0126B82F">
        <w:tblPrEx>
          <w:tblCellMar>
            <w:top w:w="0" w:type="dxa"/>
            <w:left w:w="0" w:type="dxa"/>
            <w:bottom w:w="0" w:type="dxa"/>
            <w:right w:w="0" w:type="dxa"/>
          </w:tblCellMar>
        </w:tblPrEx>
        <w:trPr>
          <w:trHeight w:val="449" w:hRule="exact"/>
          <w:jc w:val="center"/>
        </w:trPr>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DD795">
            <w:pPr>
              <w:autoSpaceDE w:val="0"/>
              <w:autoSpaceDN w:val="0"/>
              <w:adjustRightInd w:val="0"/>
              <w:spacing w:before="44"/>
              <w:ind w:left="349" w:right="-20"/>
              <w:jc w:val="left"/>
              <w:rPr>
                <w:rFonts w:ascii="宋体"/>
                <w:color w:val="auto"/>
                <w:kern w:val="0"/>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09A97">
            <w:pPr>
              <w:autoSpaceDE w:val="0"/>
              <w:autoSpaceDN w:val="0"/>
              <w:adjustRightInd w:val="0"/>
              <w:spacing w:before="44"/>
              <w:ind w:left="349" w:right="-20"/>
              <w:jc w:val="left"/>
              <w:rPr>
                <w:rFonts w:ascii="宋体"/>
                <w:color w:val="auto"/>
                <w:kern w:val="0"/>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54BFA">
            <w:pPr>
              <w:autoSpaceDE w:val="0"/>
              <w:autoSpaceDN w:val="0"/>
              <w:adjustRightInd w:val="0"/>
              <w:spacing w:before="44"/>
              <w:ind w:left="349" w:right="-20"/>
              <w:jc w:val="left"/>
              <w:rPr>
                <w:rFonts w:ascii="宋体"/>
                <w:color w:val="auto"/>
                <w:kern w:val="0"/>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0A71D">
            <w:pPr>
              <w:autoSpaceDE w:val="0"/>
              <w:autoSpaceDN w:val="0"/>
              <w:adjustRightInd w:val="0"/>
              <w:spacing w:before="44"/>
              <w:ind w:left="349" w:right="-20"/>
              <w:jc w:val="left"/>
              <w:rPr>
                <w:rFonts w:ascii="宋体"/>
                <w:color w:val="auto"/>
                <w:kern w:val="0"/>
              </w:rPr>
            </w:pPr>
          </w:p>
        </w:tc>
        <w:tc>
          <w:tcPr>
            <w:tcW w:w="4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C1E38">
            <w:pPr>
              <w:autoSpaceDE w:val="0"/>
              <w:autoSpaceDN w:val="0"/>
              <w:adjustRightInd w:val="0"/>
              <w:spacing w:before="44"/>
              <w:ind w:left="349" w:right="-2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FA58E7E">
            <w:pPr>
              <w:autoSpaceDE w:val="0"/>
              <w:autoSpaceDN w:val="0"/>
              <w:adjustRightInd w:val="0"/>
              <w:spacing w:before="44"/>
              <w:ind w:left="141" w:right="-20"/>
              <w:jc w:val="left"/>
              <w:rPr>
                <w:rFonts w:ascii="宋体"/>
                <w:color w:val="auto"/>
                <w:kern w:val="0"/>
              </w:rPr>
            </w:pPr>
            <w:r>
              <w:rPr>
                <w:rFonts w:hint="eastAsia" w:ascii="宋体" w:hAnsi="宋体" w:cs="Microsoft JhengHei"/>
                <w:color w:val="auto"/>
                <w:kern w:val="0"/>
              </w:rPr>
              <w:t>证书</w:t>
            </w:r>
            <w:r>
              <w:rPr>
                <w:rFonts w:hint="eastAsia" w:ascii="宋体" w:hAnsi="宋体" w:cs="Microsoft JhengHei"/>
                <w:color w:val="auto"/>
                <w:spacing w:val="-2"/>
                <w:kern w:val="0"/>
              </w:rPr>
              <w:t>名</w:t>
            </w:r>
            <w:r>
              <w:rPr>
                <w:rFonts w:hint="eastAsia" w:ascii="宋体" w:hAnsi="宋体" w:cs="Microsoft JhengHei"/>
                <w:color w:val="auto"/>
                <w:kern w:val="0"/>
              </w:rPr>
              <w:t>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B18840">
            <w:pPr>
              <w:autoSpaceDE w:val="0"/>
              <w:autoSpaceDN w:val="0"/>
              <w:adjustRightInd w:val="0"/>
              <w:spacing w:before="44"/>
              <w:ind w:left="138" w:right="-20"/>
              <w:jc w:val="left"/>
              <w:rPr>
                <w:rFonts w:ascii="宋体"/>
                <w:color w:val="auto"/>
                <w:kern w:val="0"/>
              </w:rPr>
            </w:pPr>
            <w:r>
              <w:rPr>
                <w:rFonts w:hint="eastAsia" w:ascii="宋体" w:hAnsi="宋体" w:cs="Microsoft JhengHei"/>
                <w:color w:val="auto"/>
                <w:kern w:val="0"/>
              </w:rPr>
              <w:t>级别</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E557C73">
            <w:pPr>
              <w:autoSpaceDE w:val="0"/>
              <w:autoSpaceDN w:val="0"/>
              <w:adjustRightInd w:val="0"/>
              <w:spacing w:before="44"/>
              <w:ind w:left="220" w:right="-20"/>
              <w:jc w:val="left"/>
              <w:rPr>
                <w:rFonts w:ascii="宋体"/>
                <w:color w:val="auto"/>
                <w:kern w:val="0"/>
              </w:rPr>
            </w:pPr>
            <w:r>
              <w:rPr>
                <w:rFonts w:hint="eastAsia" w:ascii="宋体" w:hAnsi="宋体" w:cs="Microsoft JhengHei"/>
                <w:color w:val="auto"/>
                <w:kern w:val="0"/>
              </w:rPr>
              <w:t>证号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E9AA0F">
            <w:pPr>
              <w:autoSpaceDE w:val="0"/>
              <w:autoSpaceDN w:val="0"/>
              <w:adjustRightInd w:val="0"/>
              <w:jc w:val="left"/>
              <w:rPr>
                <w:rFonts w:ascii="宋体"/>
                <w:color w:val="auto"/>
                <w:kern w:val="0"/>
              </w:rPr>
            </w:pPr>
          </w:p>
        </w:tc>
      </w:tr>
      <w:tr w14:paraId="18E06145">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B5788B">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6A5E58">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1A14CD">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D64946D">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090AD75">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3B398B">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D03969">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EE1FB82">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AC607C">
            <w:pPr>
              <w:autoSpaceDE w:val="0"/>
              <w:autoSpaceDN w:val="0"/>
              <w:adjustRightInd w:val="0"/>
              <w:jc w:val="left"/>
              <w:rPr>
                <w:rFonts w:ascii="宋体"/>
                <w:color w:val="auto"/>
                <w:kern w:val="0"/>
              </w:rPr>
            </w:pPr>
          </w:p>
        </w:tc>
      </w:tr>
      <w:tr w14:paraId="2CCCE7F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43B93D">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92FA92">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A1BD65">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71807B8">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5D11F6C">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BE0957">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DE15689">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D6E5CE6">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32B7C6">
            <w:pPr>
              <w:autoSpaceDE w:val="0"/>
              <w:autoSpaceDN w:val="0"/>
              <w:adjustRightInd w:val="0"/>
              <w:jc w:val="left"/>
              <w:rPr>
                <w:rFonts w:ascii="宋体"/>
                <w:color w:val="auto"/>
                <w:kern w:val="0"/>
              </w:rPr>
            </w:pPr>
          </w:p>
        </w:tc>
      </w:tr>
      <w:tr w14:paraId="7EE6C526">
        <w:tblPrEx>
          <w:tblCellMar>
            <w:top w:w="0" w:type="dxa"/>
            <w:left w:w="0" w:type="dxa"/>
            <w:bottom w:w="0" w:type="dxa"/>
            <w:right w:w="0"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221A43">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B5BC60">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957B20">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BB48DB4">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0C3666C">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2E26560">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D916FD8">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499A953">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F69E89">
            <w:pPr>
              <w:autoSpaceDE w:val="0"/>
              <w:autoSpaceDN w:val="0"/>
              <w:adjustRightInd w:val="0"/>
              <w:jc w:val="left"/>
              <w:rPr>
                <w:rFonts w:ascii="宋体"/>
                <w:color w:val="auto"/>
                <w:kern w:val="0"/>
              </w:rPr>
            </w:pPr>
          </w:p>
        </w:tc>
      </w:tr>
      <w:tr w14:paraId="055868E8">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1D2D6B">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92D201">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13E4B0B">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AA6A180">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CAE6A04">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349524F">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63977D">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CBFC6DB">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A87E0B">
            <w:pPr>
              <w:autoSpaceDE w:val="0"/>
              <w:autoSpaceDN w:val="0"/>
              <w:adjustRightInd w:val="0"/>
              <w:jc w:val="left"/>
              <w:rPr>
                <w:rFonts w:ascii="宋体"/>
                <w:color w:val="auto"/>
                <w:kern w:val="0"/>
              </w:rPr>
            </w:pPr>
          </w:p>
        </w:tc>
      </w:tr>
      <w:tr w14:paraId="1FF7267E">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88D27F">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A2CC6B">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BFCABF">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5A85645">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616B3D0">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38C16F5">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9435FF">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78BA478">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5B4FAC">
            <w:pPr>
              <w:autoSpaceDE w:val="0"/>
              <w:autoSpaceDN w:val="0"/>
              <w:adjustRightInd w:val="0"/>
              <w:jc w:val="left"/>
              <w:rPr>
                <w:rFonts w:ascii="宋体"/>
                <w:color w:val="auto"/>
                <w:kern w:val="0"/>
              </w:rPr>
            </w:pPr>
          </w:p>
        </w:tc>
      </w:tr>
      <w:tr w14:paraId="73A4620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D183C4">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E62F4A">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21B6F9">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D28D2B3">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3EA1ABE3">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C944D6">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6489AA">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218B1C6">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3103B5">
            <w:pPr>
              <w:autoSpaceDE w:val="0"/>
              <w:autoSpaceDN w:val="0"/>
              <w:adjustRightInd w:val="0"/>
              <w:jc w:val="left"/>
              <w:rPr>
                <w:rFonts w:ascii="宋体"/>
                <w:color w:val="auto"/>
                <w:kern w:val="0"/>
              </w:rPr>
            </w:pPr>
          </w:p>
        </w:tc>
      </w:tr>
      <w:tr w14:paraId="6B92FCE6">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8DF12A">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B358F1">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78D460">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D8854E5">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38193A0">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6B661B1">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7F283CF">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7AF9AC">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30E96E">
            <w:pPr>
              <w:autoSpaceDE w:val="0"/>
              <w:autoSpaceDN w:val="0"/>
              <w:adjustRightInd w:val="0"/>
              <w:jc w:val="left"/>
              <w:rPr>
                <w:rFonts w:ascii="宋体"/>
                <w:color w:val="auto"/>
                <w:kern w:val="0"/>
              </w:rPr>
            </w:pPr>
          </w:p>
        </w:tc>
      </w:tr>
      <w:tr w14:paraId="3DBA514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EDAD56">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64B185">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680C8C">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6C812D8">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9F11E7A">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05D1B2">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1F58DB">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BF5B730">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3C1CC6F">
            <w:pPr>
              <w:autoSpaceDE w:val="0"/>
              <w:autoSpaceDN w:val="0"/>
              <w:adjustRightInd w:val="0"/>
              <w:jc w:val="left"/>
              <w:rPr>
                <w:rFonts w:ascii="宋体"/>
                <w:color w:val="auto"/>
                <w:kern w:val="0"/>
              </w:rPr>
            </w:pPr>
          </w:p>
        </w:tc>
      </w:tr>
      <w:tr w14:paraId="79087C24">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7D6572">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C32E53">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2BCB4B">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9922E64">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85AF0F8">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7529DD5">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3D8087F">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901C969">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57C97C">
            <w:pPr>
              <w:autoSpaceDE w:val="0"/>
              <w:autoSpaceDN w:val="0"/>
              <w:adjustRightInd w:val="0"/>
              <w:jc w:val="left"/>
              <w:rPr>
                <w:rFonts w:ascii="宋体"/>
                <w:color w:val="auto"/>
                <w:kern w:val="0"/>
              </w:rPr>
            </w:pPr>
          </w:p>
        </w:tc>
      </w:tr>
      <w:tr w14:paraId="1DEC2B9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10224C">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F66BBC">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C6444D">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7421A5D">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682629F">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4CC119A">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4D53A00">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3D49695">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BED5BC">
            <w:pPr>
              <w:autoSpaceDE w:val="0"/>
              <w:autoSpaceDN w:val="0"/>
              <w:adjustRightInd w:val="0"/>
              <w:jc w:val="left"/>
              <w:rPr>
                <w:rFonts w:ascii="宋体"/>
                <w:color w:val="auto"/>
                <w:kern w:val="0"/>
              </w:rPr>
            </w:pPr>
          </w:p>
        </w:tc>
      </w:tr>
      <w:tr w14:paraId="00EC9A1E">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FDD978F">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6F1660">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AE9287">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4EABB76C">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AE9FDEE">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4D7C36">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7B4A7C7">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4E020A5">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86EBE1">
            <w:pPr>
              <w:autoSpaceDE w:val="0"/>
              <w:autoSpaceDN w:val="0"/>
              <w:adjustRightInd w:val="0"/>
              <w:jc w:val="left"/>
              <w:rPr>
                <w:rFonts w:ascii="宋体"/>
                <w:color w:val="auto"/>
                <w:kern w:val="0"/>
              </w:rPr>
            </w:pPr>
          </w:p>
        </w:tc>
      </w:tr>
      <w:tr w14:paraId="039C9FD0">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559DFD9">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818E65">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5CDC06">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27E6DF9">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18D03D8">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E230BCC">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4AA53DE">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1714824">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A02D17">
            <w:pPr>
              <w:autoSpaceDE w:val="0"/>
              <w:autoSpaceDN w:val="0"/>
              <w:adjustRightInd w:val="0"/>
              <w:jc w:val="left"/>
              <w:rPr>
                <w:rFonts w:ascii="宋体"/>
                <w:color w:val="auto"/>
                <w:kern w:val="0"/>
              </w:rPr>
            </w:pPr>
          </w:p>
        </w:tc>
      </w:tr>
      <w:tr w14:paraId="664C3AD2">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BD1F3D">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FA9742">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C3BCBC">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87BEC44">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B8E1538">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1DEC283">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8C09D79">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A06FD20">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3A0D6D">
            <w:pPr>
              <w:autoSpaceDE w:val="0"/>
              <w:autoSpaceDN w:val="0"/>
              <w:adjustRightInd w:val="0"/>
              <w:jc w:val="left"/>
              <w:rPr>
                <w:rFonts w:ascii="宋体"/>
                <w:color w:val="auto"/>
                <w:kern w:val="0"/>
              </w:rPr>
            </w:pPr>
          </w:p>
        </w:tc>
      </w:tr>
      <w:tr w14:paraId="4D1D995A">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A38D14">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40B2EFF">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AB794F">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2D4E625">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19307C7">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E3EB9BF">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CCB2D5">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C4CD464">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0BEF76">
            <w:pPr>
              <w:autoSpaceDE w:val="0"/>
              <w:autoSpaceDN w:val="0"/>
              <w:adjustRightInd w:val="0"/>
              <w:jc w:val="left"/>
              <w:rPr>
                <w:rFonts w:ascii="宋体"/>
                <w:color w:val="auto"/>
                <w:kern w:val="0"/>
              </w:rPr>
            </w:pPr>
          </w:p>
        </w:tc>
      </w:tr>
      <w:tr w14:paraId="2997CF4F">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EB0746">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E8A434">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B11B9C">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45EC14E">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5C656A6">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4235B63">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9DE1871">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9581BD6">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AF6715D">
            <w:pPr>
              <w:autoSpaceDE w:val="0"/>
              <w:autoSpaceDN w:val="0"/>
              <w:adjustRightInd w:val="0"/>
              <w:jc w:val="left"/>
              <w:rPr>
                <w:rFonts w:ascii="宋体"/>
                <w:color w:val="auto"/>
                <w:kern w:val="0"/>
              </w:rPr>
            </w:pPr>
          </w:p>
        </w:tc>
      </w:tr>
      <w:tr w14:paraId="4E710584">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495B58">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B3E0A5">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3BE5E5">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24CF5F4">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01744C8">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9B8B7A">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4EAC49">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92D9EF7">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742C0">
            <w:pPr>
              <w:autoSpaceDE w:val="0"/>
              <w:autoSpaceDN w:val="0"/>
              <w:adjustRightInd w:val="0"/>
              <w:jc w:val="left"/>
              <w:rPr>
                <w:rFonts w:ascii="宋体"/>
                <w:color w:val="auto"/>
                <w:kern w:val="0"/>
              </w:rPr>
            </w:pPr>
          </w:p>
        </w:tc>
      </w:tr>
      <w:tr w14:paraId="565389F9">
        <w:tblPrEx>
          <w:tblCellMar>
            <w:top w:w="0" w:type="dxa"/>
            <w:left w:w="0" w:type="dxa"/>
            <w:bottom w:w="0" w:type="dxa"/>
            <w:right w:w="0"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00ADCD6D">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DA6F31">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A38C31">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D2AB650">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571B52C3">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2986733">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4696C6">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39B44E3">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BD6F0E">
            <w:pPr>
              <w:autoSpaceDE w:val="0"/>
              <w:autoSpaceDN w:val="0"/>
              <w:adjustRightInd w:val="0"/>
              <w:jc w:val="left"/>
              <w:rPr>
                <w:rFonts w:ascii="宋体"/>
                <w:color w:val="auto"/>
                <w:kern w:val="0"/>
              </w:rPr>
            </w:pPr>
          </w:p>
        </w:tc>
      </w:tr>
      <w:tr w14:paraId="30610999">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C185ED">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398EA51">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2416A72">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6E97C66">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16D7A7C9">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11AA5895">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9F79F5">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C882E43">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C6C74D">
            <w:pPr>
              <w:autoSpaceDE w:val="0"/>
              <w:autoSpaceDN w:val="0"/>
              <w:adjustRightInd w:val="0"/>
              <w:jc w:val="left"/>
              <w:rPr>
                <w:rFonts w:ascii="宋体"/>
                <w:color w:val="auto"/>
                <w:kern w:val="0"/>
              </w:rPr>
            </w:pPr>
          </w:p>
        </w:tc>
      </w:tr>
      <w:tr w14:paraId="7F335DA2">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8F7F9D">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5CD284D">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80F67C">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8115225">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719C847B">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23D670A9">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EC1C41">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4FC913">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5676F5">
            <w:pPr>
              <w:autoSpaceDE w:val="0"/>
              <w:autoSpaceDN w:val="0"/>
              <w:adjustRightInd w:val="0"/>
              <w:jc w:val="left"/>
              <w:rPr>
                <w:rFonts w:ascii="宋体"/>
                <w:color w:val="auto"/>
                <w:kern w:val="0"/>
              </w:rPr>
            </w:pPr>
          </w:p>
        </w:tc>
      </w:tr>
      <w:tr w14:paraId="5CCA5F65">
        <w:tblPrEx>
          <w:tblCellMar>
            <w:top w:w="0" w:type="dxa"/>
            <w:left w:w="0" w:type="dxa"/>
            <w:bottom w:w="0" w:type="dxa"/>
            <w:right w:w="0"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87FE90">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B845AA3">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5B7FD2">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B142D">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68E8CAEB">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B5AE59E">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2EFBBD">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1505B30">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B59FE4">
            <w:pPr>
              <w:autoSpaceDE w:val="0"/>
              <w:autoSpaceDN w:val="0"/>
              <w:adjustRightInd w:val="0"/>
              <w:jc w:val="left"/>
              <w:rPr>
                <w:rFonts w:ascii="宋体"/>
                <w:color w:val="auto"/>
                <w:kern w:val="0"/>
              </w:rPr>
            </w:pPr>
          </w:p>
        </w:tc>
      </w:tr>
      <w:tr w14:paraId="24CBE478">
        <w:tblPrEx>
          <w:tblCellMar>
            <w:top w:w="0" w:type="dxa"/>
            <w:left w:w="0" w:type="dxa"/>
            <w:bottom w:w="0" w:type="dxa"/>
            <w:right w:w="0"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14:paraId="1C62621F">
            <w:pPr>
              <w:autoSpaceDE w:val="0"/>
              <w:autoSpaceDN w:val="0"/>
              <w:adjustRightInd w:val="0"/>
              <w:jc w:val="left"/>
              <w:rPr>
                <w:rFonts w:ascii="宋体"/>
                <w:color w:val="auto"/>
                <w:kern w:val="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2063E7">
            <w:pPr>
              <w:autoSpaceDE w:val="0"/>
              <w:autoSpaceDN w:val="0"/>
              <w:adjustRightInd w:val="0"/>
              <w:jc w:val="left"/>
              <w:rPr>
                <w:rFonts w:ascii="宋体"/>
                <w:color w:val="auto"/>
                <w:kern w:val="0"/>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B708026">
            <w:pPr>
              <w:autoSpaceDE w:val="0"/>
              <w:autoSpaceDN w:val="0"/>
              <w:adjustRightInd w:val="0"/>
              <w:jc w:val="left"/>
              <w:rPr>
                <w:rFonts w:ascii="宋体"/>
                <w:color w:val="auto"/>
                <w:kern w:val="0"/>
              </w:rPr>
            </w:pP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0BCA508">
            <w:pPr>
              <w:autoSpaceDE w:val="0"/>
              <w:autoSpaceDN w:val="0"/>
              <w:adjustRightInd w:val="0"/>
              <w:jc w:val="left"/>
              <w:rPr>
                <w:rFonts w:ascii="宋体"/>
                <w:color w:val="auto"/>
                <w:kern w:val="0"/>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4B9A3C28">
            <w:pPr>
              <w:autoSpaceDE w:val="0"/>
              <w:autoSpaceDN w:val="0"/>
              <w:adjustRightInd w:val="0"/>
              <w:jc w:val="left"/>
              <w:rPr>
                <w:rFonts w:ascii="宋体"/>
                <w:color w:val="auto"/>
                <w:kern w:val="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8560E57">
            <w:pPr>
              <w:autoSpaceDE w:val="0"/>
              <w:autoSpaceDN w:val="0"/>
              <w:adjustRightInd w:val="0"/>
              <w:jc w:val="left"/>
              <w:rPr>
                <w:rFonts w:ascii="宋体"/>
                <w:color w:val="auto"/>
                <w:kern w:val="0"/>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DFF926">
            <w:pPr>
              <w:autoSpaceDE w:val="0"/>
              <w:autoSpaceDN w:val="0"/>
              <w:adjustRightInd w:val="0"/>
              <w:jc w:val="left"/>
              <w:rPr>
                <w:rFonts w:ascii="宋体"/>
                <w:color w:val="auto"/>
                <w:kern w:val="0"/>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75480A1">
            <w:pPr>
              <w:autoSpaceDE w:val="0"/>
              <w:autoSpaceDN w:val="0"/>
              <w:adjustRightInd w:val="0"/>
              <w:jc w:val="left"/>
              <w:rPr>
                <w:rFonts w:ascii="宋体"/>
                <w:color w:val="auto"/>
                <w:kern w:val="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8E3F37">
            <w:pPr>
              <w:autoSpaceDE w:val="0"/>
              <w:autoSpaceDN w:val="0"/>
              <w:adjustRightInd w:val="0"/>
              <w:jc w:val="left"/>
              <w:rPr>
                <w:rFonts w:ascii="宋体"/>
                <w:color w:val="auto"/>
                <w:kern w:val="0"/>
              </w:rPr>
            </w:pPr>
          </w:p>
        </w:tc>
      </w:tr>
    </w:tbl>
    <w:p w14:paraId="29257E4A">
      <w:pPr>
        <w:pStyle w:val="41"/>
        <w:spacing w:line="360" w:lineRule="auto"/>
        <w:outlineLvl w:val="9"/>
        <w:rPr>
          <w:color w:val="auto"/>
        </w:rPr>
      </w:pPr>
    </w:p>
    <w:p w14:paraId="117337FC">
      <w:pPr>
        <w:pStyle w:val="7"/>
        <w:spacing w:before="74" w:line="240" w:lineRule="auto"/>
        <w:ind w:right="36" w:firstLine="630" w:firstLineChars="300"/>
        <w:jc w:val="both"/>
        <w:rPr>
          <w:rFonts w:hint="eastAsia" w:ascii="宋体" w:eastAsia="宋体" w:cs="宋体"/>
          <w:b w:val="0"/>
          <w:bCs w:val="0"/>
          <w:color w:val="auto"/>
          <w:spacing w:val="0"/>
          <w:kern w:val="0"/>
          <w:sz w:val="21"/>
          <w:szCs w:val="21"/>
        </w:rPr>
      </w:pPr>
      <w:r>
        <w:rPr>
          <w:rFonts w:hint="eastAsia" w:ascii="宋体" w:eastAsia="宋体" w:cs="宋体"/>
          <w:b w:val="0"/>
          <w:bCs w:val="0"/>
          <w:color w:val="auto"/>
          <w:spacing w:val="0"/>
          <w:kern w:val="0"/>
          <w:sz w:val="21"/>
          <w:szCs w:val="21"/>
        </w:rPr>
        <w:t>注：</w:t>
      </w:r>
      <w:r>
        <w:rPr>
          <w:rFonts w:hint="eastAsia" w:ascii="宋体" w:cs="宋体"/>
          <w:b w:val="0"/>
          <w:bCs w:val="0"/>
          <w:color w:val="auto"/>
          <w:spacing w:val="0"/>
          <w:kern w:val="0"/>
          <w:sz w:val="21"/>
          <w:szCs w:val="21"/>
          <w:lang w:eastAsia="zh-CN"/>
        </w:rPr>
        <w:t>后附相关</w:t>
      </w:r>
      <w:r>
        <w:rPr>
          <w:rFonts w:hint="eastAsia" w:ascii="宋体" w:eastAsia="宋体" w:cs="宋体"/>
          <w:b w:val="0"/>
          <w:bCs w:val="0"/>
          <w:color w:val="auto"/>
          <w:spacing w:val="0"/>
          <w:kern w:val="0"/>
          <w:sz w:val="21"/>
          <w:szCs w:val="21"/>
        </w:rPr>
        <w:t>证明</w:t>
      </w:r>
      <w:bookmarkStart w:id="191" w:name="_Hlk104749949"/>
      <w:r>
        <w:rPr>
          <w:rFonts w:hint="eastAsia" w:ascii="宋体" w:cs="宋体"/>
          <w:b w:val="0"/>
          <w:bCs w:val="0"/>
          <w:color w:val="auto"/>
          <w:spacing w:val="0"/>
          <w:kern w:val="0"/>
          <w:sz w:val="21"/>
          <w:szCs w:val="21"/>
          <w:lang w:eastAsia="zh-CN"/>
        </w:rPr>
        <w:t>材料</w:t>
      </w:r>
      <w:r>
        <w:rPr>
          <w:rFonts w:hint="eastAsia" w:ascii="宋体" w:eastAsia="宋体" w:cs="宋体"/>
          <w:b w:val="0"/>
          <w:bCs w:val="0"/>
          <w:color w:val="auto"/>
          <w:spacing w:val="0"/>
          <w:kern w:val="0"/>
          <w:sz w:val="21"/>
          <w:szCs w:val="21"/>
        </w:rPr>
        <w:t>。</w:t>
      </w:r>
    </w:p>
    <w:bookmarkEnd w:id="190"/>
    <w:bookmarkEnd w:id="191"/>
    <w:p w14:paraId="697ED730">
      <w:pPr>
        <w:spacing w:line="360" w:lineRule="auto"/>
        <w:rPr>
          <w:rFonts w:hint="eastAsia"/>
          <w:color w:val="auto"/>
          <w:sz w:val="24"/>
          <w:szCs w:val="24"/>
        </w:rPr>
      </w:pPr>
      <w:r>
        <w:rPr>
          <w:rFonts w:hint="eastAsia" w:ascii="宋体" w:hAnsi="宋体"/>
          <w:b/>
          <w:color w:val="auto"/>
          <w:sz w:val="28"/>
          <w:szCs w:val="28"/>
        </w:rPr>
        <w:br w:type="page"/>
      </w:r>
      <w:r>
        <w:rPr>
          <w:rFonts w:hint="eastAsia"/>
          <w:b/>
          <w:bCs/>
          <w:color w:val="auto"/>
          <w:sz w:val="24"/>
          <w:szCs w:val="22"/>
        </w:rPr>
        <w:t>（二）主要人员简历表</w:t>
      </w:r>
    </w:p>
    <w:p w14:paraId="2897DA22">
      <w:pPr>
        <w:spacing w:line="400" w:lineRule="exact"/>
        <w:rPr>
          <w:rFonts w:hint="eastAsia"/>
          <w:color w:val="auto"/>
        </w:rPr>
      </w:pPr>
      <w:r>
        <w:rPr>
          <w:rFonts w:hint="eastAsia" w:ascii="宋体" w:hAnsi="宋体"/>
          <w:color w:val="auto"/>
          <w:sz w:val="24"/>
          <w:szCs w:val="24"/>
        </w:rPr>
        <w:t>“主要人员简历表”中的项目</w:t>
      </w:r>
      <w:r>
        <w:rPr>
          <w:rFonts w:hint="eastAsia" w:ascii="宋体" w:hAnsi="宋体"/>
          <w:color w:val="auto"/>
          <w:sz w:val="24"/>
          <w:szCs w:val="24"/>
          <w:lang w:val="en-US" w:eastAsia="zh-CN"/>
        </w:rPr>
        <w:t>负责人或项目总监</w:t>
      </w:r>
      <w:r>
        <w:rPr>
          <w:rFonts w:hint="eastAsia" w:ascii="宋体" w:hAnsi="宋体"/>
          <w:color w:val="auto"/>
          <w:sz w:val="24"/>
          <w:szCs w:val="24"/>
        </w:rPr>
        <w:t>应提供</w:t>
      </w:r>
      <w:r>
        <w:rPr>
          <w:rFonts w:hint="eastAsia" w:ascii="宋体" w:hAnsi="宋体"/>
          <w:bCs/>
          <w:color w:val="auto"/>
          <w:sz w:val="24"/>
          <w:szCs w:val="24"/>
          <w:lang w:val="en-US" w:eastAsia="zh-CN"/>
        </w:rPr>
        <w:t>相应的注册资格证书、职称证书（如有）</w:t>
      </w:r>
      <w:r>
        <w:rPr>
          <w:rFonts w:hint="eastAsia" w:ascii="宋体" w:hAnsi="宋体"/>
          <w:color w:val="auto"/>
          <w:sz w:val="24"/>
          <w:szCs w:val="24"/>
        </w:rPr>
        <w:t>、</w:t>
      </w:r>
      <w:r>
        <w:rPr>
          <w:rFonts w:hint="eastAsia" w:ascii="宋体" w:hAnsi="宋体"/>
          <w:color w:val="auto"/>
          <w:sz w:val="24"/>
          <w:szCs w:val="24"/>
          <w:lang w:val="en-US" w:eastAsia="zh-CN"/>
        </w:rPr>
        <w:t>身份证、</w:t>
      </w:r>
      <w:r>
        <w:rPr>
          <w:rFonts w:hint="eastAsia" w:ascii="宋体" w:hAnsi="宋体"/>
          <w:color w:val="auto"/>
          <w:sz w:val="24"/>
          <w:szCs w:val="24"/>
        </w:rPr>
        <w:t>单位养老保险缴费证明；管理过的</w:t>
      </w:r>
      <w:r>
        <w:rPr>
          <w:rFonts w:hint="eastAsia" w:ascii="宋体" w:hAnsi="宋体"/>
          <w:color w:val="auto"/>
          <w:sz w:val="24"/>
          <w:szCs w:val="24"/>
          <w:lang w:val="en-US" w:eastAsia="zh-CN"/>
        </w:rPr>
        <w:t>类似</w:t>
      </w:r>
      <w:r>
        <w:rPr>
          <w:rFonts w:hint="eastAsia" w:ascii="宋体" w:hAnsi="宋体"/>
          <w:color w:val="auto"/>
          <w:sz w:val="24"/>
          <w:szCs w:val="24"/>
        </w:rPr>
        <w:t>项目业绩附合同协议复印件</w:t>
      </w:r>
      <w:r>
        <w:rPr>
          <w:rFonts w:hint="eastAsia" w:ascii="宋体" w:hAnsi="宋体"/>
          <w:bCs/>
          <w:color w:val="auto"/>
          <w:sz w:val="24"/>
          <w:szCs w:val="24"/>
          <w:lang w:val="en-US" w:eastAsia="zh-CN"/>
        </w:rPr>
        <w:t>如有）</w:t>
      </w:r>
      <w:r>
        <w:rPr>
          <w:rFonts w:hint="eastAsia" w:ascii="宋体" w:hAnsi="宋体"/>
          <w:color w:val="auto"/>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62"/>
        <w:gridCol w:w="725"/>
        <w:gridCol w:w="1162"/>
        <w:gridCol w:w="1134"/>
        <w:gridCol w:w="423"/>
        <w:gridCol w:w="1270"/>
        <w:gridCol w:w="433"/>
        <w:gridCol w:w="1880"/>
      </w:tblGrid>
      <w:tr w14:paraId="0BFB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44998BE8">
            <w:pPr>
              <w:jc w:val="center"/>
              <w:rPr>
                <w:rFonts w:hint="eastAsia" w:ascii="宋体" w:hAnsi="宋体"/>
                <w:color w:val="auto"/>
                <w:sz w:val="24"/>
              </w:rPr>
            </w:pPr>
            <w:r>
              <w:rPr>
                <w:rFonts w:hint="eastAsia" w:ascii="宋体" w:hAnsi="宋体"/>
                <w:color w:val="auto"/>
                <w:sz w:val="24"/>
              </w:rPr>
              <w:t>姓  名</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0EBF8288">
            <w:pPr>
              <w:ind w:firstLine="480"/>
              <w:rPr>
                <w:rFonts w:hint="eastAsia" w:ascii="宋体" w:hAnsi="宋体"/>
                <w:color w:val="auto"/>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2AC28C5">
            <w:pPr>
              <w:jc w:val="center"/>
              <w:rPr>
                <w:rFonts w:hint="eastAsia" w:ascii="宋体" w:hAnsi="宋体"/>
                <w:color w:val="auto"/>
                <w:sz w:val="24"/>
              </w:rPr>
            </w:pPr>
            <w:r>
              <w:rPr>
                <w:rFonts w:hint="eastAsia" w:ascii="宋体" w:hAnsi="宋体"/>
                <w:color w:val="auto"/>
                <w:sz w:val="24"/>
              </w:rPr>
              <w:t>年 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73D740">
            <w:pPr>
              <w:ind w:firstLine="480"/>
              <w:rPr>
                <w:rFonts w:hint="eastAsia" w:ascii="宋体" w:hAnsi="宋体"/>
                <w:color w:val="auto"/>
                <w:sz w:val="24"/>
              </w:rPr>
            </w:pP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C1EF536">
            <w:pPr>
              <w:ind w:firstLine="480"/>
              <w:rPr>
                <w:rFonts w:hint="eastAsia" w:ascii="宋体" w:hAnsi="宋体"/>
                <w:color w:val="auto"/>
                <w:sz w:val="24"/>
              </w:rPr>
            </w:pPr>
            <w:r>
              <w:rPr>
                <w:rFonts w:hint="eastAsia" w:ascii="宋体" w:hAnsi="宋体"/>
                <w:color w:val="auto"/>
                <w:sz w:val="24"/>
              </w:rPr>
              <w:t>学历</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0FC3F2E5">
            <w:pPr>
              <w:ind w:firstLine="480"/>
              <w:rPr>
                <w:rFonts w:hint="eastAsia" w:ascii="宋体" w:hAnsi="宋体"/>
                <w:color w:val="auto"/>
                <w:sz w:val="24"/>
              </w:rPr>
            </w:pPr>
          </w:p>
        </w:tc>
      </w:tr>
      <w:tr w14:paraId="66ED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1AC9D130">
            <w:pPr>
              <w:jc w:val="center"/>
              <w:rPr>
                <w:rFonts w:hint="eastAsia" w:ascii="宋体" w:hAnsi="宋体"/>
                <w:color w:val="auto"/>
                <w:sz w:val="24"/>
              </w:rPr>
            </w:pPr>
            <w:r>
              <w:rPr>
                <w:rFonts w:hint="eastAsia" w:ascii="宋体" w:hAnsi="宋体"/>
                <w:color w:val="auto"/>
                <w:sz w:val="24"/>
              </w:rPr>
              <w:t>职  称</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089C856D">
            <w:pPr>
              <w:ind w:firstLine="480"/>
              <w:rPr>
                <w:rFonts w:hint="eastAsia" w:ascii="宋体" w:hAnsi="宋体"/>
                <w:color w:val="auto"/>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86FFF5A">
            <w:pPr>
              <w:jc w:val="center"/>
              <w:rPr>
                <w:rFonts w:hint="eastAsia" w:ascii="宋体" w:hAnsi="宋体"/>
                <w:color w:val="auto"/>
                <w:sz w:val="24"/>
              </w:rPr>
            </w:pPr>
            <w:r>
              <w:rPr>
                <w:rFonts w:hint="eastAsia" w:ascii="宋体" w:hAnsi="宋体"/>
                <w:color w:val="auto"/>
                <w:sz w:val="24"/>
              </w:rPr>
              <w:t>职 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E62526">
            <w:pPr>
              <w:ind w:firstLine="480"/>
              <w:rPr>
                <w:rFonts w:hint="eastAsia" w:ascii="宋体" w:hAnsi="宋体"/>
                <w:color w:val="auto"/>
                <w:sz w:val="24"/>
              </w:rPr>
            </w:pP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C6F176F">
            <w:pPr>
              <w:jc w:val="center"/>
              <w:rPr>
                <w:rFonts w:hint="eastAsia" w:ascii="宋体" w:hAnsi="宋体"/>
                <w:color w:val="auto"/>
                <w:sz w:val="24"/>
              </w:rPr>
            </w:pPr>
            <w:r>
              <w:rPr>
                <w:rFonts w:hint="eastAsia" w:ascii="宋体" w:hAnsi="宋体"/>
                <w:color w:val="auto"/>
                <w:sz w:val="24"/>
              </w:rPr>
              <w:t>拟在本合同任职</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35C39ABB">
            <w:pPr>
              <w:ind w:firstLine="480"/>
              <w:rPr>
                <w:rFonts w:hint="eastAsia" w:ascii="宋体" w:hAnsi="宋体"/>
                <w:color w:val="auto"/>
                <w:sz w:val="24"/>
              </w:rPr>
            </w:pPr>
          </w:p>
        </w:tc>
      </w:tr>
      <w:tr w14:paraId="431B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94" w:type="dxa"/>
            <w:tcBorders>
              <w:top w:val="single" w:color="auto" w:sz="4" w:space="0"/>
              <w:left w:val="single" w:color="auto" w:sz="4" w:space="0"/>
              <w:bottom w:val="single" w:color="auto" w:sz="4" w:space="0"/>
              <w:right w:val="single" w:color="auto" w:sz="4" w:space="0"/>
            </w:tcBorders>
            <w:noWrap w:val="0"/>
            <w:vAlign w:val="center"/>
          </w:tcPr>
          <w:p w14:paraId="4C2D0C51">
            <w:pPr>
              <w:rPr>
                <w:rFonts w:hint="eastAsia" w:ascii="宋体" w:hAnsi="宋体"/>
                <w:color w:val="auto"/>
                <w:sz w:val="24"/>
              </w:rPr>
            </w:pPr>
            <w:r>
              <w:rPr>
                <w:rFonts w:hint="eastAsia" w:ascii="宋体" w:hAnsi="宋体"/>
                <w:color w:val="auto"/>
                <w:sz w:val="24"/>
              </w:rPr>
              <w:t>毕业学校</w:t>
            </w:r>
          </w:p>
        </w:tc>
        <w:tc>
          <w:tcPr>
            <w:tcW w:w="7389" w:type="dxa"/>
            <w:gridSpan w:val="8"/>
            <w:tcBorders>
              <w:top w:val="single" w:color="auto" w:sz="4" w:space="0"/>
              <w:left w:val="single" w:color="auto" w:sz="4" w:space="0"/>
              <w:bottom w:val="single" w:color="auto" w:sz="4" w:space="0"/>
              <w:right w:val="single" w:color="auto" w:sz="4" w:space="0"/>
            </w:tcBorders>
            <w:noWrap w:val="0"/>
            <w:vAlign w:val="center"/>
          </w:tcPr>
          <w:p w14:paraId="4A334770">
            <w:pPr>
              <w:ind w:firstLine="480"/>
              <w:jc w:val="center"/>
              <w:rPr>
                <w:rFonts w:hint="eastAsia" w:ascii="宋体" w:hAnsi="宋体"/>
                <w:color w:val="auto"/>
                <w:sz w:val="24"/>
              </w:rPr>
            </w:pPr>
            <w:r>
              <w:rPr>
                <w:rFonts w:hint="eastAsia" w:ascii="宋体" w:hAnsi="宋体"/>
                <w:color w:val="auto"/>
                <w:sz w:val="24"/>
              </w:rPr>
              <w:t>年毕业于            学校        专业</w:t>
            </w:r>
          </w:p>
        </w:tc>
      </w:tr>
      <w:tr w14:paraId="643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83" w:type="dxa"/>
            <w:gridSpan w:val="9"/>
            <w:tcBorders>
              <w:top w:val="single" w:color="auto" w:sz="4" w:space="0"/>
              <w:left w:val="single" w:color="auto" w:sz="4" w:space="0"/>
              <w:bottom w:val="single" w:color="auto" w:sz="4" w:space="0"/>
              <w:right w:val="single" w:color="auto" w:sz="4" w:space="0"/>
            </w:tcBorders>
            <w:noWrap w:val="0"/>
            <w:vAlign w:val="center"/>
          </w:tcPr>
          <w:p w14:paraId="19D9F3B1">
            <w:pPr>
              <w:jc w:val="center"/>
              <w:rPr>
                <w:rFonts w:hint="eastAsia" w:ascii="宋体" w:hAnsi="宋体"/>
                <w:color w:val="auto"/>
                <w:sz w:val="24"/>
              </w:rPr>
            </w:pPr>
            <w:r>
              <w:rPr>
                <w:rFonts w:hint="eastAsia" w:ascii="宋体" w:hAnsi="宋体"/>
                <w:color w:val="auto"/>
                <w:sz w:val="24"/>
              </w:rPr>
              <w:t>主要工作经历</w:t>
            </w:r>
          </w:p>
        </w:tc>
      </w:tr>
      <w:tr w14:paraId="6475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center"/>
          </w:tcPr>
          <w:p w14:paraId="0F07C971">
            <w:pPr>
              <w:jc w:val="center"/>
              <w:rPr>
                <w:rFonts w:hint="eastAsia" w:ascii="宋体" w:hAnsi="宋体"/>
                <w:color w:val="auto"/>
                <w:sz w:val="24"/>
              </w:rPr>
            </w:pPr>
            <w:r>
              <w:rPr>
                <w:rFonts w:hint="eastAsia" w:ascii="宋体" w:hAnsi="宋体"/>
                <w:color w:val="auto"/>
                <w:sz w:val="24"/>
              </w:rPr>
              <w:t>时  间</w:t>
            </w:r>
          </w:p>
        </w:tc>
        <w:tc>
          <w:tcPr>
            <w:tcW w:w="3444" w:type="dxa"/>
            <w:gridSpan w:val="4"/>
            <w:tcBorders>
              <w:top w:val="single" w:color="auto" w:sz="4" w:space="0"/>
              <w:left w:val="single" w:color="auto" w:sz="4" w:space="0"/>
              <w:bottom w:val="single" w:color="auto" w:sz="4" w:space="0"/>
              <w:right w:val="single" w:color="auto" w:sz="4" w:space="0"/>
            </w:tcBorders>
            <w:noWrap w:val="0"/>
            <w:vAlign w:val="center"/>
          </w:tcPr>
          <w:p w14:paraId="3D1B981E">
            <w:pPr>
              <w:ind w:firstLine="480"/>
              <w:rPr>
                <w:rFonts w:hint="eastAsia" w:ascii="宋体" w:hAnsi="宋体"/>
                <w:color w:val="auto"/>
                <w:sz w:val="24"/>
              </w:rPr>
            </w:pPr>
            <w:r>
              <w:rPr>
                <w:rFonts w:hint="eastAsia" w:ascii="宋体" w:hAnsi="宋体"/>
                <w:color w:val="auto"/>
                <w:sz w:val="24"/>
              </w:rPr>
              <w:t>参加过的类似项目</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AFAAD66">
            <w:pPr>
              <w:rPr>
                <w:rFonts w:hint="eastAsia" w:ascii="宋体" w:hAnsi="宋体"/>
                <w:color w:val="auto"/>
                <w:sz w:val="24"/>
              </w:rPr>
            </w:pPr>
            <w:r>
              <w:rPr>
                <w:rFonts w:hint="eastAsia" w:ascii="宋体" w:hAnsi="宋体"/>
                <w:color w:val="auto"/>
                <w:sz w:val="24"/>
              </w:rPr>
              <w:t>担任职务</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4CFDB322">
            <w:pPr>
              <w:ind w:firstLine="480"/>
              <w:jc w:val="center"/>
              <w:rPr>
                <w:rFonts w:hint="eastAsia" w:ascii="宋体" w:hAnsi="宋体"/>
                <w:color w:val="auto"/>
                <w:sz w:val="24"/>
              </w:rPr>
            </w:pPr>
            <w:r>
              <w:rPr>
                <w:rFonts w:hint="eastAsia" w:ascii="宋体" w:hAnsi="宋体"/>
                <w:color w:val="auto"/>
                <w:sz w:val="24"/>
              </w:rPr>
              <w:t>发包人</w:t>
            </w:r>
          </w:p>
        </w:tc>
      </w:tr>
      <w:tr w14:paraId="7A9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6BC32C6">
            <w:pPr>
              <w:ind w:firstLine="480"/>
              <w:rPr>
                <w:rFonts w:hint="eastAsia" w:ascii="宋体" w:hAnsi="宋体"/>
                <w:color w:val="auto"/>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673C3F4A">
            <w:pPr>
              <w:ind w:firstLine="480"/>
              <w:rPr>
                <w:rFonts w:hint="eastAsia" w:ascii="宋体" w:hAnsi="宋体"/>
                <w:color w:val="auto"/>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25F99B7D">
            <w:pPr>
              <w:ind w:firstLine="480"/>
              <w:rPr>
                <w:rFonts w:hint="eastAsia" w:ascii="宋体" w:hAnsi="宋体"/>
                <w:color w:val="auto"/>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4DD8AEC9">
            <w:pPr>
              <w:ind w:firstLine="480"/>
              <w:rPr>
                <w:rFonts w:hint="eastAsia" w:ascii="宋体" w:hAnsi="宋体"/>
                <w:color w:val="auto"/>
                <w:sz w:val="24"/>
              </w:rPr>
            </w:pPr>
          </w:p>
        </w:tc>
      </w:tr>
      <w:tr w14:paraId="15A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8ACD8D4">
            <w:pPr>
              <w:ind w:firstLine="480"/>
              <w:rPr>
                <w:rFonts w:hint="eastAsia" w:ascii="宋体" w:hAnsi="宋体"/>
                <w:color w:val="auto"/>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1E4BF59D">
            <w:pPr>
              <w:ind w:firstLine="480"/>
              <w:rPr>
                <w:rFonts w:hint="eastAsia" w:ascii="宋体" w:hAnsi="宋体"/>
                <w:color w:val="auto"/>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771C1767">
            <w:pPr>
              <w:ind w:firstLine="480"/>
              <w:rPr>
                <w:rFonts w:hint="eastAsia" w:ascii="宋体" w:hAnsi="宋体"/>
                <w:color w:val="auto"/>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774A8733">
            <w:pPr>
              <w:ind w:firstLine="480"/>
              <w:rPr>
                <w:rFonts w:hint="eastAsia" w:ascii="宋体" w:hAnsi="宋体"/>
                <w:color w:val="auto"/>
                <w:sz w:val="24"/>
              </w:rPr>
            </w:pPr>
          </w:p>
        </w:tc>
      </w:tr>
      <w:tr w14:paraId="5CB6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05D87C03">
            <w:pPr>
              <w:ind w:firstLine="480"/>
              <w:rPr>
                <w:rFonts w:hint="eastAsia" w:ascii="宋体" w:hAnsi="宋体"/>
                <w:color w:val="auto"/>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57C0546E">
            <w:pPr>
              <w:ind w:firstLine="480"/>
              <w:rPr>
                <w:rFonts w:hint="eastAsia" w:ascii="宋体" w:hAnsi="宋体"/>
                <w:color w:val="auto"/>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69579006">
            <w:pPr>
              <w:ind w:firstLine="480"/>
              <w:rPr>
                <w:rFonts w:hint="eastAsia" w:ascii="宋体" w:hAnsi="宋体"/>
                <w:color w:val="auto"/>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340ECEC7">
            <w:pPr>
              <w:ind w:firstLine="480"/>
              <w:rPr>
                <w:rFonts w:hint="eastAsia" w:ascii="宋体" w:hAnsi="宋体"/>
                <w:color w:val="auto"/>
                <w:sz w:val="24"/>
              </w:rPr>
            </w:pPr>
          </w:p>
        </w:tc>
      </w:tr>
      <w:tr w14:paraId="07A7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1025C145">
            <w:pPr>
              <w:ind w:firstLine="480"/>
              <w:rPr>
                <w:rFonts w:hint="eastAsia" w:ascii="宋体" w:hAnsi="宋体"/>
                <w:color w:val="auto"/>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1E3EA0F4">
            <w:pPr>
              <w:ind w:firstLine="480"/>
              <w:rPr>
                <w:rFonts w:hint="eastAsia" w:ascii="宋体" w:hAnsi="宋体"/>
                <w:color w:val="auto"/>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041666D0">
            <w:pPr>
              <w:ind w:firstLine="480"/>
              <w:rPr>
                <w:rFonts w:hint="eastAsia" w:ascii="宋体" w:hAnsi="宋体"/>
                <w:color w:val="auto"/>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131CFF56">
            <w:pPr>
              <w:ind w:firstLine="480"/>
              <w:rPr>
                <w:rFonts w:hint="eastAsia" w:ascii="宋体" w:hAnsi="宋体"/>
                <w:color w:val="auto"/>
                <w:sz w:val="24"/>
              </w:rPr>
            </w:pPr>
          </w:p>
        </w:tc>
      </w:tr>
      <w:tr w14:paraId="7BE7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6" w:type="dxa"/>
            <w:gridSpan w:val="2"/>
            <w:tcBorders>
              <w:top w:val="single" w:color="auto" w:sz="4" w:space="0"/>
              <w:left w:val="single" w:color="auto" w:sz="4" w:space="0"/>
              <w:bottom w:val="single" w:color="auto" w:sz="4" w:space="0"/>
              <w:right w:val="single" w:color="auto" w:sz="4" w:space="0"/>
            </w:tcBorders>
            <w:noWrap w:val="0"/>
            <w:vAlign w:val="top"/>
          </w:tcPr>
          <w:p w14:paraId="00BC1D36">
            <w:pPr>
              <w:ind w:firstLine="480"/>
              <w:rPr>
                <w:rFonts w:hint="eastAsia" w:ascii="宋体" w:hAnsi="宋体"/>
                <w:color w:val="auto"/>
                <w:sz w:val="24"/>
              </w:rPr>
            </w:pPr>
          </w:p>
        </w:tc>
        <w:tc>
          <w:tcPr>
            <w:tcW w:w="3444" w:type="dxa"/>
            <w:gridSpan w:val="4"/>
            <w:tcBorders>
              <w:top w:val="single" w:color="auto" w:sz="4" w:space="0"/>
              <w:left w:val="single" w:color="auto" w:sz="4" w:space="0"/>
              <w:bottom w:val="single" w:color="auto" w:sz="4" w:space="0"/>
              <w:right w:val="single" w:color="auto" w:sz="4" w:space="0"/>
            </w:tcBorders>
            <w:noWrap w:val="0"/>
            <w:vAlign w:val="top"/>
          </w:tcPr>
          <w:p w14:paraId="55DB6350">
            <w:pPr>
              <w:ind w:firstLine="480"/>
              <w:rPr>
                <w:rFonts w:hint="eastAsia" w:ascii="宋体" w:hAnsi="宋体"/>
                <w:color w:val="auto"/>
                <w:sz w:val="24"/>
              </w:rPr>
            </w:pPr>
          </w:p>
        </w:tc>
        <w:tc>
          <w:tcPr>
            <w:tcW w:w="1270" w:type="dxa"/>
            <w:tcBorders>
              <w:top w:val="single" w:color="auto" w:sz="4" w:space="0"/>
              <w:left w:val="single" w:color="auto" w:sz="4" w:space="0"/>
              <w:bottom w:val="single" w:color="auto" w:sz="4" w:space="0"/>
              <w:right w:val="single" w:color="auto" w:sz="4" w:space="0"/>
            </w:tcBorders>
            <w:noWrap w:val="0"/>
            <w:vAlign w:val="top"/>
          </w:tcPr>
          <w:p w14:paraId="5DA5A248">
            <w:pPr>
              <w:ind w:firstLine="480"/>
              <w:rPr>
                <w:rFonts w:hint="eastAsia" w:ascii="宋体" w:hAnsi="宋体"/>
                <w:color w:val="auto"/>
                <w:sz w:val="24"/>
              </w:rPr>
            </w:pPr>
          </w:p>
        </w:tc>
        <w:tc>
          <w:tcPr>
            <w:tcW w:w="2313" w:type="dxa"/>
            <w:gridSpan w:val="2"/>
            <w:tcBorders>
              <w:top w:val="single" w:color="auto" w:sz="4" w:space="0"/>
              <w:left w:val="single" w:color="auto" w:sz="4" w:space="0"/>
              <w:bottom w:val="single" w:color="auto" w:sz="4" w:space="0"/>
              <w:right w:val="single" w:color="auto" w:sz="4" w:space="0"/>
            </w:tcBorders>
            <w:noWrap w:val="0"/>
            <w:vAlign w:val="top"/>
          </w:tcPr>
          <w:p w14:paraId="749524E1">
            <w:pPr>
              <w:ind w:firstLine="480"/>
              <w:rPr>
                <w:rFonts w:hint="eastAsia" w:ascii="宋体" w:hAnsi="宋体"/>
                <w:color w:val="auto"/>
                <w:sz w:val="24"/>
              </w:rPr>
            </w:pPr>
          </w:p>
        </w:tc>
      </w:tr>
    </w:tbl>
    <w:p w14:paraId="2F889EB8">
      <w:pPr>
        <w:spacing w:line="480" w:lineRule="exact"/>
        <w:ind w:right="-340" w:rightChars="-162"/>
        <w:jc w:val="center"/>
        <w:rPr>
          <w:rFonts w:hint="eastAsia"/>
          <w:color w:val="auto"/>
        </w:rPr>
      </w:pPr>
    </w:p>
    <w:p w14:paraId="323673C5">
      <w:pPr>
        <w:pStyle w:val="38"/>
        <w:rPr>
          <w:rFonts w:hint="eastAsia" w:hAnsi="宋体"/>
          <w:color w:val="auto"/>
        </w:rPr>
      </w:pPr>
      <w:r>
        <w:rPr>
          <w:rFonts w:hint="eastAsia" w:hAnsi="宋体"/>
          <w:color w:val="auto"/>
          <w:szCs w:val="28"/>
        </w:rPr>
        <w:t xml:space="preserve">                          </w:t>
      </w:r>
      <w:r>
        <w:rPr>
          <w:rFonts w:hint="eastAsia" w:hAnsi="宋体"/>
          <w:color w:val="auto"/>
        </w:rPr>
        <w:t xml:space="preserve"> </w:t>
      </w:r>
    </w:p>
    <w:p w14:paraId="6C7CB763">
      <w:pPr>
        <w:pStyle w:val="38"/>
        <w:rPr>
          <w:rFonts w:hint="eastAsia" w:hAnsi="宋体"/>
          <w:color w:val="auto"/>
        </w:rPr>
      </w:pPr>
    </w:p>
    <w:p w14:paraId="5B79C9F0">
      <w:pPr>
        <w:pStyle w:val="38"/>
        <w:rPr>
          <w:color w:val="auto"/>
          <w:sz w:val="32"/>
          <w:szCs w:val="32"/>
        </w:rPr>
      </w:pPr>
      <w:r>
        <w:rPr>
          <w:color w:val="auto"/>
          <w:sz w:val="32"/>
          <w:szCs w:val="32"/>
        </w:rPr>
        <w:br w:type="page"/>
      </w:r>
    </w:p>
    <w:p w14:paraId="0D95C5DE">
      <w:pPr>
        <w:spacing w:line="360" w:lineRule="auto"/>
        <w:jc w:val="center"/>
        <w:outlineLvl w:val="1"/>
        <w:rPr>
          <w:rFonts w:hint="eastAsia" w:ascii="宋体" w:hAnsi="宋体"/>
          <w:b/>
          <w:color w:val="auto"/>
          <w:sz w:val="28"/>
          <w:szCs w:val="28"/>
        </w:rPr>
      </w:pPr>
      <w:r>
        <w:rPr>
          <w:rFonts w:hint="eastAsia" w:ascii="宋体" w:hAnsi="宋体" w:cs="楷体_GB2312"/>
          <w:b/>
          <w:color w:val="auto"/>
          <w:sz w:val="32"/>
          <w:szCs w:val="32"/>
          <w:lang w:val="en-US" w:eastAsia="zh-CN"/>
        </w:rPr>
        <w:t>六</w:t>
      </w:r>
      <w:r>
        <w:rPr>
          <w:rFonts w:hint="eastAsia" w:ascii="宋体" w:hAnsi="宋体" w:cs="楷体_GB2312"/>
          <w:b/>
          <w:color w:val="auto"/>
          <w:sz w:val="32"/>
          <w:szCs w:val="32"/>
          <w:lang w:eastAsia="zh-CN"/>
        </w:rPr>
        <w:t>、</w:t>
      </w:r>
      <w:r>
        <w:rPr>
          <w:rFonts w:hint="eastAsia" w:ascii="宋体" w:hAnsi="宋体"/>
          <w:b/>
          <w:color w:val="auto"/>
          <w:sz w:val="32"/>
          <w:szCs w:val="32"/>
        </w:rPr>
        <w:t>监理大纲</w:t>
      </w:r>
    </w:p>
    <w:p w14:paraId="6999ADB8">
      <w:pPr>
        <w:pStyle w:val="38"/>
        <w:jc w:val="center"/>
        <w:rPr>
          <w:rFonts w:hint="eastAsia"/>
          <w:color w:val="auto"/>
        </w:rPr>
      </w:pPr>
      <w:r>
        <w:rPr>
          <w:rFonts w:hint="eastAsia" w:ascii="宋体" w:hAnsi="宋体" w:cs="宋体"/>
          <w:color w:val="auto"/>
          <w:spacing w:val="4"/>
          <w:kern w:val="0"/>
        </w:rPr>
        <w:t>供应商应根据本项目的具体情况自行编制适用于本项目的监理大纲</w:t>
      </w:r>
      <w:r>
        <w:rPr>
          <w:rFonts w:hint="eastAsia" w:ascii="宋体" w:hAnsi="宋体"/>
          <w:b/>
          <w:bCs/>
          <w:color w:val="auto"/>
          <w:sz w:val="32"/>
          <w:szCs w:val="32"/>
          <w:lang w:val="en-US" w:eastAsia="zh-CN"/>
        </w:rPr>
        <w:br w:type="page"/>
      </w:r>
      <w:r>
        <w:rPr>
          <w:rFonts w:hint="eastAsia" w:ascii="宋体" w:hAnsi="宋体"/>
          <w:b/>
          <w:bCs/>
          <w:color w:val="auto"/>
          <w:sz w:val="32"/>
          <w:szCs w:val="32"/>
          <w:lang w:val="en-US" w:eastAsia="zh-CN"/>
        </w:rPr>
        <w:t>七、服务承诺（商务标）</w:t>
      </w:r>
    </w:p>
    <w:p w14:paraId="3C170821">
      <w:pPr>
        <w:spacing w:line="480" w:lineRule="exact"/>
        <w:ind w:right="-340" w:rightChars="-162"/>
        <w:jc w:val="center"/>
        <w:textAlignment w:val="center"/>
        <w:rPr>
          <w:rFonts w:hint="eastAsia" w:ascii="宋体" w:hAnsi="宋体" w:cs="宋体"/>
          <w:b/>
          <w:color w:val="auto"/>
          <w:sz w:val="28"/>
          <w:szCs w:val="28"/>
        </w:rPr>
      </w:pPr>
      <w:r>
        <w:rPr>
          <w:rFonts w:ascii="宋体" w:hAnsi="宋体"/>
          <w:color w:val="auto"/>
          <w:sz w:val="24"/>
        </w:rPr>
        <w:br w:type="page"/>
      </w:r>
      <w:r>
        <w:rPr>
          <w:rFonts w:hint="eastAsia" w:ascii="宋体" w:hAnsi="宋体" w:cs="宋体"/>
          <w:b/>
          <w:color w:val="auto"/>
          <w:sz w:val="28"/>
          <w:szCs w:val="28"/>
          <w:lang w:val="en-US" w:eastAsia="zh-CN"/>
        </w:rPr>
        <w:t>八</w:t>
      </w:r>
      <w:r>
        <w:rPr>
          <w:rFonts w:hint="eastAsia" w:ascii="宋体" w:hAnsi="宋体" w:cs="宋体"/>
          <w:b/>
          <w:color w:val="auto"/>
          <w:sz w:val="28"/>
          <w:szCs w:val="28"/>
        </w:rPr>
        <w:t>、企业基本情况资料</w:t>
      </w:r>
    </w:p>
    <w:p w14:paraId="2D4D7025">
      <w:pPr>
        <w:pStyle w:val="5"/>
        <w:spacing w:line="420" w:lineRule="exact"/>
        <w:ind w:firstLine="562" w:firstLineChars="200"/>
        <w:jc w:val="center"/>
        <w:rPr>
          <w:rFonts w:hint="eastAsia" w:ascii="宋体" w:hAnsi="宋体" w:eastAsia="宋体"/>
          <w:b w:val="0"/>
          <w:bCs w:val="0"/>
          <w:color w:val="auto"/>
          <w:sz w:val="24"/>
        </w:rPr>
      </w:pPr>
      <w:r>
        <w:rPr>
          <w:rFonts w:hint="eastAsia" w:ascii="宋体" w:hAnsi="宋体" w:eastAsia="宋体"/>
          <w:b/>
          <w:bCs/>
          <w:color w:val="auto"/>
          <w:sz w:val="28"/>
          <w:szCs w:val="32"/>
        </w:rPr>
        <w:t>（一）供应商基本情况表</w:t>
      </w:r>
    </w:p>
    <w:tbl>
      <w:tblPr>
        <w:tblStyle w:val="20"/>
        <w:tblpPr w:leftFromText="180" w:rightFromText="180" w:vertAnchor="text" w:horzAnchor="page" w:tblpX="1516" w:tblpY="275"/>
        <w:tblOverlap w:val="never"/>
        <w:tblW w:w="91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6"/>
        <w:gridCol w:w="1365"/>
        <w:gridCol w:w="1882"/>
        <w:gridCol w:w="1710"/>
        <w:gridCol w:w="2466"/>
      </w:tblGrid>
      <w:tr w14:paraId="795C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5B56343">
            <w:pPr>
              <w:topLinePunct/>
              <w:spacing w:line="440" w:lineRule="exact"/>
              <w:jc w:val="center"/>
              <w:rPr>
                <w:rFonts w:ascii="宋体" w:hAnsi="宋体"/>
                <w:color w:val="auto"/>
                <w:sz w:val="24"/>
                <w:szCs w:val="24"/>
              </w:rPr>
            </w:pPr>
            <w:r>
              <w:rPr>
                <w:rFonts w:hint="eastAsia" w:ascii="宋体" w:hAnsi="宋体"/>
                <w:color w:val="auto"/>
                <w:sz w:val="24"/>
                <w:szCs w:val="24"/>
              </w:rPr>
              <w:t>供应商</w:t>
            </w:r>
            <w:r>
              <w:rPr>
                <w:rFonts w:ascii="宋体" w:hAnsi="宋体"/>
                <w:color w:val="auto"/>
                <w:sz w:val="24"/>
                <w:szCs w:val="24"/>
              </w:rPr>
              <w:t>名称</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3004477D">
            <w:pPr>
              <w:topLinePunct/>
              <w:spacing w:line="440" w:lineRule="exact"/>
              <w:ind w:firstLine="480"/>
              <w:jc w:val="center"/>
              <w:rPr>
                <w:rFonts w:ascii="宋体" w:hAnsi="宋体"/>
                <w:color w:val="auto"/>
                <w:sz w:val="24"/>
                <w:szCs w:val="24"/>
              </w:rPr>
            </w:pPr>
          </w:p>
        </w:tc>
      </w:tr>
      <w:tr w14:paraId="36647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0419C389">
            <w:pPr>
              <w:topLinePunct/>
              <w:spacing w:line="440" w:lineRule="exact"/>
              <w:jc w:val="center"/>
              <w:rPr>
                <w:rFonts w:ascii="宋体" w:hAnsi="宋体"/>
                <w:color w:val="auto"/>
                <w:sz w:val="24"/>
                <w:szCs w:val="24"/>
              </w:rPr>
            </w:pPr>
            <w:r>
              <w:rPr>
                <w:rFonts w:ascii="宋体" w:hAnsi="宋体"/>
                <w:color w:val="auto"/>
                <w:sz w:val="24"/>
                <w:szCs w:val="24"/>
              </w:rPr>
              <w:t>注册地址</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78EE4ADE">
            <w:pPr>
              <w:topLinePunct/>
              <w:spacing w:line="440" w:lineRule="exact"/>
              <w:ind w:firstLine="480"/>
              <w:jc w:val="center"/>
              <w:rPr>
                <w:rFonts w:ascii="宋体" w:hAnsi="宋体"/>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00864C3">
            <w:pPr>
              <w:topLinePunct/>
              <w:spacing w:line="440" w:lineRule="exact"/>
              <w:jc w:val="center"/>
              <w:rPr>
                <w:rFonts w:ascii="宋体" w:hAnsi="宋体"/>
                <w:color w:val="auto"/>
                <w:sz w:val="24"/>
                <w:szCs w:val="24"/>
              </w:rPr>
            </w:pPr>
            <w:r>
              <w:rPr>
                <w:rFonts w:ascii="宋体" w:hAnsi="宋体"/>
                <w:color w:val="auto"/>
                <w:sz w:val="24"/>
                <w:szCs w:val="24"/>
              </w:rPr>
              <w:t>邮政编码</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6861AC5">
            <w:pPr>
              <w:topLinePunct/>
              <w:spacing w:line="440" w:lineRule="exact"/>
              <w:ind w:firstLine="480"/>
              <w:jc w:val="center"/>
              <w:rPr>
                <w:rFonts w:ascii="宋体" w:hAnsi="宋体"/>
                <w:color w:val="auto"/>
                <w:sz w:val="24"/>
                <w:szCs w:val="24"/>
              </w:rPr>
            </w:pPr>
          </w:p>
        </w:tc>
      </w:tr>
      <w:tr w14:paraId="123B6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1736" w:type="dxa"/>
            <w:vMerge w:val="restart"/>
            <w:tcBorders>
              <w:top w:val="single" w:color="auto" w:sz="4" w:space="0"/>
              <w:left w:val="single" w:color="auto" w:sz="4" w:space="0"/>
              <w:bottom w:val="single" w:color="auto" w:sz="4" w:space="0"/>
              <w:right w:val="single" w:color="auto" w:sz="4" w:space="0"/>
            </w:tcBorders>
            <w:noWrap w:val="0"/>
            <w:vAlign w:val="center"/>
          </w:tcPr>
          <w:p w14:paraId="48C677CC">
            <w:pPr>
              <w:topLinePunct/>
              <w:spacing w:line="440" w:lineRule="exact"/>
              <w:jc w:val="center"/>
              <w:rPr>
                <w:rFonts w:ascii="宋体" w:hAnsi="宋体"/>
                <w:color w:val="auto"/>
                <w:sz w:val="24"/>
                <w:szCs w:val="24"/>
              </w:rPr>
            </w:pPr>
            <w:r>
              <w:rPr>
                <w:rFonts w:ascii="宋体" w:hAnsi="宋体"/>
                <w:color w:val="auto"/>
                <w:sz w:val="24"/>
                <w:szCs w:val="24"/>
              </w:rPr>
              <w:t>联系方式</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8E845AA">
            <w:pPr>
              <w:topLinePunct/>
              <w:spacing w:line="440" w:lineRule="exact"/>
              <w:jc w:val="center"/>
              <w:rPr>
                <w:rFonts w:ascii="宋体" w:hAnsi="宋体"/>
                <w:color w:val="auto"/>
                <w:sz w:val="24"/>
                <w:szCs w:val="24"/>
              </w:rPr>
            </w:pPr>
            <w:r>
              <w:rPr>
                <w:rFonts w:ascii="宋体" w:hAnsi="宋体"/>
                <w:color w:val="auto"/>
                <w:sz w:val="24"/>
                <w:szCs w:val="24"/>
              </w:rPr>
              <w:t>联系人</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3EFBB71E">
            <w:pPr>
              <w:topLinePunct/>
              <w:spacing w:line="440" w:lineRule="exact"/>
              <w:ind w:firstLine="480"/>
              <w:jc w:val="center"/>
              <w:rPr>
                <w:rFonts w:ascii="宋体" w:hAnsi="宋体"/>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EA15503">
            <w:pPr>
              <w:topLinePunct/>
              <w:spacing w:line="440" w:lineRule="exact"/>
              <w:jc w:val="center"/>
              <w:rPr>
                <w:rFonts w:ascii="宋体" w:hAnsi="宋体"/>
                <w:color w:val="auto"/>
                <w:sz w:val="24"/>
                <w:szCs w:val="24"/>
              </w:rPr>
            </w:pPr>
            <w:r>
              <w:rPr>
                <w:rFonts w:ascii="宋体" w:hAnsi="宋体"/>
                <w:color w:val="auto"/>
                <w:sz w:val="24"/>
                <w:szCs w:val="24"/>
              </w:rPr>
              <w:t>电 话</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77BF676">
            <w:pPr>
              <w:topLinePunct/>
              <w:spacing w:line="440" w:lineRule="exact"/>
              <w:ind w:firstLine="480"/>
              <w:jc w:val="center"/>
              <w:rPr>
                <w:rFonts w:ascii="宋体" w:hAnsi="宋体"/>
                <w:color w:val="auto"/>
                <w:sz w:val="24"/>
                <w:szCs w:val="24"/>
              </w:rPr>
            </w:pPr>
          </w:p>
        </w:tc>
      </w:tr>
      <w:tr w14:paraId="05A65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1" w:hRule="atLeast"/>
        </w:trPr>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14:paraId="4FC9C8C5">
            <w:pPr>
              <w:topLinePunct/>
              <w:spacing w:line="440" w:lineRule="exact"/>
              <w:ind w:firstLine="480"/>
              <w:jc w:val="center"/>
              <w:rPr>
                <w:rFonts w:ascii="宋体" w:hAnsi="宋体"/>
                <w:color w:val="auto"/>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BEB1428">
            <w:pPr>
              <w:topLinePunct/>
              <w:spacing w:line="440" w:lineRule="exact"/>
              <w:jc w:val="center"/>
              <w:rPr>
                <w:rFonts w:ascii="宋体" w:hAnsi="宋体"/>
                <w:color w:val="auto"/>
                <w:sz w:val="24"/>
                <w:szCs w:val="24"/>
              </w:rPr>
            </w:pPr>
            <w:r>
              <w:rPr>
                <w:rFonts w:ascii="宋体" w:hAnsi="宋体"/>
                <w:color w:val="auto"/>
                <w:sz w:val="24"/>
                <w:szCs w:val="24"/>
              </w:rPr>
              <w:t>传 真</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5B49A041">
            <w:pPr>
              <w:topLinePunct/>
              <w:spacing w:line="440" w:lineRule="exact"/>
              <w:ind w:firstLine="480"/>
              <w:jc w:val="center"/>
              <w:rPr>
                <w:rFonts w:ascii="宋体" w:hAnsi="宋体"/>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31D9BFA">
            <w:pPr>
              <w:topLinePunct/>
              <w:spacing w:line="440" w:lineRule="exact"/>
              <w:jc w:val="center"/>
              <w:rPr>
                <w:rFonts w:ascii="宋体" w:hAnsi="宋体"/>
                <w:color w:val="auto"/>
                <w:sz w:val="24"/>
                <w:szCs w:val="24"/>
              </w:rPr>
            </w:pPr>
            <w:r>
              <w:rPr>
                <w:rFonts w:ascii="宋体" w:hAnsi="宋体"/>
                <w:color w:val="auto"/>
                <w:sz w:val="24"/>
                <w:szCs w:val="24"/>
              </w:rPr>
              <w:t>网 址</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BAC01FB">
            <w:pPr>
              <w:topLinePunct/>
              <w:spacing w:line="440" w:lineRule="exact"/>
              <w:ind w:firstLine="480"/>
              <w:jc w:val="center"/>
              <w:rPr>
                <w:rFonts w:ascii="宋体" w:hAnsi="宋体"/>
                <w:color w:val="auto"/>
                <w:sz w:val="24"/>
                <w:szCs w:val="24"/>
              </w:rPr>
            </w:pPr>
          </w:p>
        </w:tc>
      </w:tr>
      <w:tr w14:paraId="02F4E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4A325000">
            <w:pPr>
              <w:topLinePunct/>
              <w:spacing w:line="440" w:lineRule="exact"/>
              <w:jc w:val="center"/>
              <w:rPr>
                <w:rFonts w:ascii="宋体" w:hAnsi="宋体"/>
                <w:color w:val="auto"/>
                <w:sz w:val="24"/>
                <w:szCs w:val="24"/>
              </w:rPr>
            </w:pPr>
            <w:r>
              <w:rPr>
                <w:rFonts w:ascii="宋体" w:hAnsi="宋体"/>
                <w:color w:val="auto"/>
                <w:sz w:val="24"/>
                <w:szCs w:val="24"/>
              </w:rPr>
              <w:t>法定代表人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DDA4BA8">
            <w:pPr>
              <w:topLinePunct/>
              <w:spacing w:line="440" w:lineRule="exact"/>
              <w:jc w:val="center"/>
              <w:rPr>
                <w:rFonts w:ascii="宋体" w:hAnsi="宋体"/>
                <w:color w:val="auto"/>
                <w:sz w:val="24"/>
                <w:szCs w:val="24"/>
              </w:rPr>
            </w:pPr>
            <w:r>
              <w:rPr>
                <w:rFonts w:ascii="宋体" w:hAnsi="宋体"/>
                <w:color w:val="auto"/>
                <w:sz w:val="24"/>
                <w:szCs w:val="24"/>
              </w:rPr>
              <w:t>姓名</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EFA2D1A">
            <w:pPr>
              <w:topLinePunct/>
              <w:spacing w:line="440" w:lineRule="exact"/>
              <w:ind w:firstLine="480"/>
              <w:jc w:val="center"/>
              <w:rPr>
                <w:rFonts w:ascii="宋体" w:hAnsi="宋体"/>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4FEC38B">
            <w:pPr>
              <w:topLinePunct/>
              <w:spacing w:line="440" w:lineRule="exact"/>
              <w:jc w:val="center"/>
              <w:rPr>
                <w:rFonts w:ascii="宋体" w:hAnsi="宋体"/>
                <w:color w:val="auto"/>
                <w:sz w:val="24"/>
                <w:szCs w:val="24"/>
              </w:rPr>
            </w:pPr>
            <w:r>
              <w:rPr>
                <w:rFonts w:ascii="宋体" w:hAnsi="宋体"/>
                <w:color w:val="auto"/>
                <w:sz w:val="24"/>
                <w:szCs w:val="24"/>
              </w:rPr>
              <w:t>电话</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4C01886">
            <w:pPr>
              <w:topLinePunct/>
              <w:spacing w:line="440" w:lineRule="exact"/>
              <w:ind w:firstLine="480"/>
              <w:jc w:val="center"/>
              <w:rPr>
                <w:rFonts w:ascii="宋体" w:hAnsi="宋体"/>
                <w:color w:val="auto"/>
                <w:sz w:val="24"/>
                <w:szCs w:val="24"/>
              </w:rPr>
            </w:pPr>
          </w:p>
        </w:tc>
      </w:tr>
      <w:tr w14:paraId="7B20D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44E08E38">
            <w:pPr>
              <w:topLinePunct/>
              <w:spacing w:line="440" w:lineRule="exact"/>
              <w:jc w:val="center"/>
              <w:rPr>
                <w:rFonts w:ascii="宋体" w:hAnsi="宋体"/>
                <w:color w:val="auto"/>
                <w:sz w:val="24"/>
                <w:szCs w:val="24"/>
              </w:rPr>
            </w:pPr>
            <w:r>
              <w:rPr>
                <w:rFonts w:ascii="宋体" w:hAnsi="宋体"/>
                <w:color w:val="auto"/>
                <w:sz w:val="24"/>
                <w:szCs w:val="24"/>
              </w:rPr>
              <w:t>成立时间</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018BF1A">
            <w:pPr>
              <w:topLinePunct/>
              <w:spacing w:line="440" w:lineRule="exact"/>
              <w:ind w:firstLine="480"/>
              <w:jc w:val="center"/>
              <w:rPr>
                <w:rFonts w:ascii="宋体" w:hAnsi="宋体"/>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6043CAB2">
            <w:pPr>
              <w:topLinePunct/>
              <w:spacing w:line="440" w:lineRule="exact"/>
              <w:jc w:val="center"/>
              <w:rPr>
                <w:rFonts w:ascii="宋体" w:hAnsi="宋体"/>
                <w:color w:val="auto"/>
                <w:sz w:val="24"/>
                <w:szCs w:val="24"/>
              </w:rPr>
            </w:pPr>
            <w:r>
              <w:rPr>
                <w:rFonts w:ascii="宋体" w:hAnsi="宋体"/>
                <w:color w:val="auto"/>
                <w:sz w:val="24"/>
                <w:szCs w:val="24"/>
              </w:rPr>
              <w:t>注册资金</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90CB09A">
            <w:pPr>
              <w:topLinePunct/>
              <w:spacing w:line="440" w:lineRule="exact"/>
              <w:ind w:firstLine="1200" w:firstLineChars="500"/>
              <w:jc w:val="center"/>
              <w:rPr>
                <w:rFonts w:ascii="宋体" w:hAnsi="宋体"/>
                <w:color w:val="auto"/>
                <w:sz w:val="24"/>
                <w:szCs w:val="24"/>
              </w:rPr>
            </w:pPr>
          </w:p>
        </w:tc>
      </w:tr>
      <w:tr w14:paraId="6B8EE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C7BFB2D">
            <w:pPr>
              <w:topLinePunct/>
              <w:spacing w:line="440" w:lineRule="exact"/>
              <w:jc w:val="center"/>
              <w:rPr>
                <w:rFonts w:ascii="宋体" w:hAnsi="宋体"/>
                <w:color w:val="auto"/>
                <w:sz w:val="24"/>
                <w:szCs w:val="24"/>
              </w:rPr>
            </w:pPr>
            <w:r>
              <w:rPr>
                <w:rFonts w:ascii="宋体" w:hAnsi="宋体"/>
                <w:color w:val="auto"/>
                <w:sz w:val="24"/>
                <w:szCs w:val="24"/>
              </w:rPr>
              <w:t>营业执照号</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6BEAB9DD">
            <w:pPr>
              <w:topLinePunct/>
              <w:spacing w:line="440" w:lineRule="exact"/>
              <w:ind w:firstLine="480"/>
              <w:jc w:val="center"/>
              <w:rPr>
                <w:rFonts w:ascii="宋体" w:hAnsi="宋体"/>
                <w:color w:val="auto"/>
                <w:sz w:val="24"/>
                <w:szCs w:val="24"/>
              </w:rPr>
            </w:pPr>
          </w:p>
        </w:tc>
      </w:tr>
      <w:tr w14:paraId="1A68A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7"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1A25FF9C">
            <w:pPr>
              <w:topLinePunct/>
              <w:spacing w:line="440" w:lineRule="exact"/>
              <w:jc w:val="center"/>
              <w:rPr>
                <w:rFonts w:ascii="宋体" w:hAnsi="宋体"/>
                <w:color w:val="auto"/>
                <w:sz w:val="24"/>
                <w:szCs w:val="24"/>
              </w:rPr>
            </w:pPr>
            <w:r>
              <w:rPr>
                <w:rFonts w:ascii="宋体" w:hAnsi="宋体"/>
                <w:color w:val="auto"/>
                <w:sz w:val="24"/>
                <w:szCs w:val="24"/>
              </w:rPr>
              <w:t>开户银行</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69D895A7">
            <w:pPr>
              <w:topLinePunct/>
              <w:spacing w:line="440" w:lineRule="exact"/>
              <w:ind w:firstLine="480"/>
              <w:jc w:val="center"/>
              <w:rPr>
                <w:rFonts w:ascii="宋体" w:hAnsi="宋体"/>
                <w:color w:val="auto"/>
                <w:sz w:val="24"/>
                <w:szCs w:val="24"/>
              </w:rPr>
            </w:pPr>
          </w:p>
        </w:tc>
      </w:tr>
      <w:tr w14:paraId="50895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3CAC797B">
            <w:pPr>
              <w:topLinePunct/>
              <w:spacing w:line="440" w:lineRule="exact"/>
              <w:jc w:val="center"/>
              <w:rPr>
                <w:rFonts w:ascii="宋体" w:hAnsi="宋体"/>
                <w:color w:val="auto"/>
                <w:sz w:val="24"/>
                <w:szCs w:val="24"/>
              </w:rPr>
            </w:pPr>
            <w:r>
              <w:rPr>
                <w:rFonts w:ascii="宋体" w:hAnsi="宋体"/>
                <w:color w:val="auto"/>
                <w:sz w:val="24"/>
                <w:szCs w:val="24"/>
              </w:rPr>
              <w:t>账号</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2597ECEA">
            <w:pPr>
              <w:topLinePunct/>
              <w:spacing w:line="440" w:lineRule="exact"/>
              <w:ind w:firstLine="480"/>
              <w:jc w:val="center"/>
              <w:rPr>
                <w:rFonts w:ascii="宋体" w:hAnsi="宋体"/>
                <w:color w:val="auto"/>
                <w:sz w:val="24"/>
                <w:szCs w:val="24"/>
              </w:rPr>
            </w:pPr>
          </w:p>
        </w:tc>
      </w:tr>
      <w:tr w14:paraId="782D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7" w:hRule="atLeast"/>
        </w:trPr>
        <w:tc>
          <w:tcPr>
            <w:tcW w:w="1736" w:type="dxa"/>
            <w:tcBorders>
              <w:top w:val="single" w:color="auto" w:sz="4" w:space="0"/>
              <w:left w:val="single" w:color="auto" w:sz="4" w:space="0"/>
              <w:right w:val="single" w:color="auto" w:sz="4" w:space="0"/>
            </w:tcBorders>
            <w:noWrap w:val="0"/>
            <w:vAlign w:val="center"/>
          </w:tcPr>
          <w:p w14:paraId="19E632A7">
            <w:pPr>
              <w:topLinePunct/>
              <w:spacing w:line="440" w:lineRule="exact"/>
              <w:jc w:val="center"/>
              <w:rPr>
                <w:rFonts w:ascii="宋体" w:hAnsi="宋体"/>
                <w:color w:val="auto"/>
                <w:sz w:val="24"/>
                <w:szCs w:val="24"/>
              </w:rPr>
            </w:pPr>
            <w:r>
              <w:rPr>
                <w:rFonts w:ascii="宋体" w:hAnsi="宋体"/>
                <w:color w:val="auto"/>
                <w:sz w:val="24"/>
                <w:szCs w:val="24"/>
              </w:rPr>
              <w:t>经营范围</w:t>
            </w:r>
          </w:p>
        </w:tc>
        <w:tc>
          <w:tcPr>
            <w:tcW w:w="7423" w:type="dxa"/>
            <w:gridSpan w:val="4"/>
            <w:tcBorders>
              <w:top w:val="single" w:color="auto" w:sz="4" w:space="0"/>
              <w:left w:val="single" w:color="auto" w:sz="4" w:space="0"/>
              <w:right w:val="single" w:color="auto" w:sz="4" w:space="0"/>
            </w:tcBorders>
            <w:noWrap w:val="0"/>
            <w:vAlign w:val="center"/>
          </w:tcPr>
          <w:p w14:paraId="280A0BE6">
            <w:pPr>
              <w:topLinePunct/>
              <w:spacing w:line="440" w:lineRule="exact"/>
              <w:ind w:firstLine="480"/>
              <w:jc w:val="center"/>
              <w:rPr>
                <w:rFonts w:ascii="宋体" w:hAnsi="宋体"/>
                <w:color w:val="auto"/>
                <w:sz w:val="24"/>
                <w:szCs w:val="24"/>
              </w:rPr>
            </w:pPr>
          </w:p>
          <w:p w14:paraId="10C2AC26">
            <w:pPr>
              <w:topLinePunct/>
              <w:spacing w:line="440" w:lineRule="exact"/>
              <w:ind w:firstLine="480"/>
              <w:jc w:val="center"/>
              <w:rPr>
                <w:rFonts w:ascii="宋体" w:hAnsi="宋体"/>
                <w:color w:val="auto"/>
                <w:sz w:val="24"/>
                <w:szCs w:val="24"/>
              </w:rPr>
            </w:pPr>
          </w:p>
          <w:p w14:paraId="6491421D">
            <w:pPr>
              <w:topLinePunct/>
              <w:spacing w:line="440" w:lineRule="exact"/>
              <w:ind w:firstLine="480"/>
              <w:jc w:val="center"/>
              <w:rPr>
                <w:rFonts w:ascii="宋体" w:hAnsi="宋体"/>
                <w:color w:val="auto"/>
                <w:sz w:val="24"/>
                <w:szCs w:val="24"/>
              </w:rPr>
            </w:pPr>
          </w:p>
          <w:p w14:paraId="386B1535">
            <w:pPr>
              <w:topLinePunct/>
              <w:spacing w:line="440" w:lineRule="exact"/>
              <w:ind w:firstLine="480"/>
              <w:jc w:val="center"/>
              <w:rPr>
                <w:rFonts w:ascii="宋体" w:hAnsi="宋体"/>
                <w:color w:val="auto"/>
                <w:sz w:val="24"/>
                <w:szCs w:val="24"/>
              </w:rPr>
            </w:pPr>
          </w:p>
          <w:p w14:paraId="68FC5C4F">
            <w:pPr>
              <w:topLinePunct/>
              <w:spacing w:line="440" w:lineRule="exact"/>
              <w:ind w:firstLine="480"/>
              <w:jc w:val="center"/>
              <w:rPr>
                <w:rFonts w:ascii="宋体" w:hAnsi="宋体"/>
                <w:color w:val="auto"/>
                <w:sz w:val="24"/>
                <w:szCs w:val="24"/>
              </w:rPr>
            </w:pPr>
          </w:p>
          <w:p w14:paraId="43699EDC">
            <w:pPr>
              <w:topLinePunct/>
              <w:spacing w:line="440" w:lineRule="exact"/>
              <w:ind w:firstLine="480"/>
              <w:jc w:val="center"/>
              <w:rPr>
                <w:rFonts w:ascii="宋体" w:hAnsi="宋体"/>
                <w:color w:val="auto"/>
                <w:sz w:val="24"/>
                <w:szCs w:val="24"/>
              </w:rPr>
            </w:pPr>
          </w:p>
          <w:p w14:paraId="482C3F77">
            <w:pPr>
              <w:topLinePunct/>
              <w:spacing w:line="440" w:lineRule="exact"/>
              <w:ind w:firstLine="480"/>
              <w:jc w:val="center"/>
              <w:rPr>
                <w:rFonts w:ascii="宋体" w:hAnsi="宋体"/>
                <w:color w:val="auto"/>
                <w:sz w:val="24"/>
                <w:szCs w:val="24"/>
              </w:rPr>
            </w:pPr>
          </w:p>
        </w:tc>
      </w:tr>
      <w:tr w14:paraId="57947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36" w:type="dxa"/>
            <w:tcBorders>
              <w:top w:val="single" w:color="auto" w:sz="4" w:space="0"/>
              <w:left w:val="single" w:color="auto" w:sz="4" w:space="0"/>
              <w:bottom w:val="single" w:color="auto" w:sz="4" w:space="0"/>
              <w:right w:val="single" w:color="auto" w:sz="4" w:space="0"/>
            </w:tcBorders>
            <w:noWrap w:val="0"/>
            <w:vAlign w:val="center"/>
          </w:tcPr>
          <w:p w14:paraId="79E569C1">
            <w:pPr>
              <w:topLinePunct/>
              <w:spacing w:line="440" w:lineRule="exact"/>
              <w:jc w:val="center"/>
              <w:rPr>
                <w:rFonts w:ascii="宋体" w:hAnsi="宋体"/>
                <w:color w:val="auto"/>
                <w:sz w:val="24"/>
                <w:szCs w:val="24"/>
              </w:rPr>
            </w:pPr>
            <w:r>
              <w:rPr>
                <w:rFonts w:ascii="宋体" w:hAnsi="宋体"/>
                <w:color w:val="auto"/>
                <w:sz w:val="24"/>
                <w:szCs w:val="24"/>
              </w:rPr>
              <w:t>备注</w:t>
            </w:r>
          </w:p>
        </w:tc>
        <w:tc>
          <w:tcPr>
            <w:tcW w:w="7423" w:type="dxa"/>
            <w:gridSpan w:val="4"/>
            <w:tcBorders>
              <w:top w:val="single" w:color="auto" w:sz="4" w:space="0"/>
              <w:left w:val="single" w:color="auto" w:sz="4" w:space="0"/>
              <w:bottom w:val="single" w:color="auto" w:sz="4" w:space="0"/>
              <w:right w:val="single" w:color="auto" w:sz="4" w:space="0"/>
            </w:tcBorders>
            <w:noWrap w:val="0"/>
            <w:vAlign w:val="center"/>
          </w:tcPr>
          <w:p w14:paraId="11E1DF88">
            <w:pPr>
              <w:topLinePunct/>
              <w:spacing w:line="440" w:lineRule="exact"/>
              <w:ind w:firstLine="480"/>
              <w:jc w:val="center"/>
              <w:rPr>
                <w:rFonts w:ascii="宋体" w:hAnsi="宋体"/>
                <w:color w:val="auto"/>
                <w:sz w:val="24"/>
                <w:szCs w:val="24"/>
              </w:rPr>
            </w:pPr>
          </w:p>
        </w:tc>
      </w:tr>
    </w:tbl>
    <w:p w14:paraId="1A4A894D">
      <w:pPr>
        <w:tabs>
          <w:tab w:val="left" w:pos="709"/>
          <w:tab w:val="left" w:pos="851"/>
        </w:tabs>
        <w:spacing w:line="440" w:lineRule="exact"/>
        <w:ind w:firstLine="482" w:firstLineChars="200"/>
        <w:rPr>
          <w:rFonts w:hint="eastAsia" w:ascii="宋体" w:hAnsi="宋体"/>
          <w:b/>
          <w:color w:val="auto"/>
          <w:sz w:val="24"/>
          <w:szCs w:val="24"/>
        </w:rPr>
      </w:pPr>
    </w:p>
    <w:p w14:paraId="4F0BDD86">
      <w:pPr>
        <w:jc w:val="center"/>
        <w:rPr>
          <w:rFonts w:hint="default" w:eastAsia="宋体"/>
          <w:color w:val="auto"/>
          <w:sz w:val="28"/>
          <w:szCs w:val="28"/>
          <w:lang w:val="en-US" w:eastAsia="zh-CN"/>
        </w:rPr>
      </w:pPr>
      <w:r>
        <w:rPr>
          <w:rFonts w:hint="eastAsia"/>
          <w:b/>
          <w:bCs/>
          <w:color w:val="auto"/>
          <w:sz w:val="28"/>
          <w:szCs w:val="28"/>
        </w:rPr>
        <w:br w:type="page"/>
      </w:r>
      <w:r>
        <w:rPr>
          <w:rFonts w:hint="eastAsia"/>
          <w:b/>
          <w:bCs/>
          <w:color w:val="auto"/>
          <w:sz w:val="28"/>
          <w:szCs w:val="28"/>
        </w:rPr>
        <w:t>（</w:t>
      </w:r>
      <w:r>
        <w:rPr>
          <w:rFonts w:hint="eastAsia"/>
          <w:b/>
          <w:bCs/>
          <w:color w:val="auto"/>
          <w:sz w:val="28"/>
          <w:szCs w:val="28"/>
          <w:lang w:val="en-US" w:eastAsia="zh-CN"/>
        </w:rPr>
        <w:t>二</w:t>
      </w:r>
      <w:r>
        <w:rPr>
          <w:rFonts w:hint="eastAsia"/>
          <w:b/>
          <w:bCs/>
          <w:color w:val="auto"/>
          <w:sz w:val="28"/>
          <w:szCs w:val="28"/>
        </w:rPr>
        <w:t>）供应商</w:t>
      </w:r>
      <w:r>
        <w:rPr>
          <w:rFonts w:hint="eastAsia"/>
          <w:b/>
          <w:bCs/>
          <w:color w:val="auto"/>
          <w:sz w:val="28"/>
          <w:szCs w:val="28"/>
          <w:lang w:val="en-US" w:eastAsia="zh-CN"/>
        </w:rPr>
        <w:t>资格审查资料</w:t>
      </w:r>
    </w:p>
    <w:p w14:paraId="03A5F824">
      <w:pPr>
        <w:pStyle w:val="5"/>
        <w:tabs>
          <w:tab w:val="left" w:pos="1134"/>
        </w:tabs>
        <w:spacing w:line="276" w:lineRule="auto"/>
        <w:ind w:firstLine="480" w:firstLineChars="200"/>
        <w:jc w:val="both"/>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注：供应商资格审查规定所有证件的原件扫描件并加盖电子签章（扫描件须清晰可辨）</w:t>
      </w:r>
    </w:p>
    <w:p w14:paraId="00ACBECA">
      <w:pPr>
        <w:tabs>
          <w:tab w:val="left" w:pos="709"/>
          <w:tab w:val="left" w:pos="851"/>
        </w:tabs>
        <w:spacing w:line="440" w:lineRule="exact"/>
        <w:ind w:firstLine="482" w:firstLineChars="200"/>
        <w:rPr>
          <w:rFonts w:hint="eastAsia" w:ascii="宋体" w:hAnsi="宋体"/>
          <w:b/>
          <w:color w:val="auto"/>
          <w:sz w:val="24"/>
          <w:szCs w:val="24"/>
        </w:rPr>
      </w:pPr>
    </w:p>
    <w:p w14:paraId="15536318">
      <w:pPr>
        <w:pStyle w:val="5"/>
        <w:tabs>
          <w:tab w:val="left" w:pos="1134"/>
        </w:tabs>
        <w:spacing w:line="276" w:lineRule="auto"/>
        <w:ind w:firstLine="560" w:firstLineChars="200"/>
        <w:jc w:val="center"/>
        <w:rPr>
          <w:rFonts w:hint="eastAsia" w:ascii="宋体" w:hAnsi="宋体" w:eastAsia="宋体"/>
          <w:b w:val="0"/>
          <w:bCs w:val="0"/>
          <w:color w:val="auto"/>
          <w:sz w:val="24"/>
        </w:rPr>
      </w:pPr>
      <w:r>
        <w:rPr>
          <w:rFonts w:ascii="宋体" w:hAnsi="宋体" w:eastAsia="宋体"/>
          <w:b w:val="0"/>
          <w:bCs w:val="0"/>
          <w:color w:val="auto"/>
          <w:szCs w:val="21"/>
        </w:rPr>
        <w:br w:type="page"/>
      </w:r>
      <w:bookmarkStart w:id="192" w:name="_Hlk86328926"/>
      <w:r>
        <w:rPr>
          <w:rFonts w:hint="eastAsia" w:ascii="宋体" w:hAnsi="宋体" w:eastAsia="宋体"/>
          <w:b/>
          <w:bCs/>
          <w:color w:val="auto"/>
          <w:sz w:val="28"/>
          <w:szCs w:val="32"/>
        </w:rPr>
        <w:t>（</w:t>
      </w:r>
      <w:r>
        <w:rPr>
          <w:rFonts w:hint="eastAsia" w:ascii="宋体" w:hAnsi="宋体" w:eastAsia="宋体"/>
          <w:b/>
          <w:bCs/>
          <w:color w:val="auto"/>
          <w:sz w:val="28"/>
          <w:szCs w:val="32"/>
          <w:lang w:val="en-US" w:eastAsia="zh-CN"/>
        </w:rPr>
        <w:t>三</w:t>
      </w:r>
      <w:r>
        <w:rPr>
          <w:rFonts w:hint="eastAsia" w:ascii="宋体" w:hAnsi="宋体" w:eastAsia="宋体"/>
          <w:b/>
          <w:bCs/>
          <w:color w:val="auto"/>
          <w:sz w:val="28"/>
          <w:szCs w:val="32"/>
        </w:rPr>
        <w:t>）</w:t>
      </w:r>
      <w:bookmarkEnd w:id="192"/>
      <w:r>
        <w:rPr>
          <w:rFonts w:hint="eastAsia" w:ascii="宋体" w:hAnsi="宋体" w:eastAsia="宋体"/>
          <w:b/>
          <w:bCs/>
          <w:color w:val="auto"/>
          <w:sz w:val="28"/>
          <w:szCs w:val="32"/>
        </w:rPr>
        <w:t>近年完成的类似项目情况表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43A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0B60289">
            <w:pPr>
              <w:jc w:val="center"/>
              <w:rPr>
                <w:rFonts w:hint="eastAsia" w:ascii="宋体" w:hAnsi="宋体"/>
                <w:color w:val="auto"/>
                <w:szCs w:val="21"/>
              </w:rPr>
            </w:pPr>
            <w:r>
              <w:rPr>
                <w:rFonts w:hint="eastAsia" w:ascii="宋体" w:hAnsi="宋体"/>
                <w:color w:val="auto"/>
                <w:szCs w:val="21"/>
              </w:rPr>
              <w:t>项目名称</w:t>
            </w:r>
          </w:p>
        </w:tc>
        <w:tc>
          <w:tcPr>
            <w:tcW w:w="6549" w:type="dxa"/>
            <w:noWrap w:val="0"/>
            <w:vAlign w:val="center"/>
          </w:tcPr>
          <w:p w14:paraId="00B34E63">
            <w:pPr>
              <w:jc w:val="center"/>
              <w:rPr>
                <w:rFonts w:hint="eastAsia" w:ascii="宋体" w:hAnsi="宋体"/>
                <w:color w:val="auto"/>
                <w:szCs w:val="21"/>
              </w:rPr>
            </w:pPr>
          </w:p>
        </w:tc>
      </w:tr>
      <w:tr w14:paraId="2945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063C79D">
            <w:pPr>
              <w:jc w:val="center"/>
              <w:rPr>
                <w:rFonts w:hint="eastAsia" w:ascii="宋体" w:hAnsi="宋体"/>
                <w:color w:val="auto"/>
                <w:szCs w:val="21"/>
              </w:rPr>
            </w:pPr>
            <w:r>
              <w:rPr>
                <w:rFonts w:hint="eastAsia" w:ascii="宋体" w:hAnsi="宋体"/>
                <w:color w:val="auto"/>
                <w:szCs w:val="21"/>
              </w:rPr>
              <w:t>项目所在地</w:t>
            </w:r>
          </w:p>
        </w:tc>
        <w:tc>
          <w:tcPr>
            <w:tcW w:w="6549" w:type="dxa"/>
            <w:noWrap w:val="0"/>
            <w:vAlign w:val="center"/>
          </w:tcPr>
          <w:p w14:paraId="297CB8FD">
            <w:pPr>
              <w:jc w:val="center"/>
              <w:rPr>
                <w:rFonts w:hint="eastAsia" w:ascii="宋体" w:hAnsi="宋体"/>
                <w:color w:val="auto"/>
                <w:szCs w:val="21"/>
              </w:rPr>
            </w:pPr>
          </w:p>
        </w:tc>
      </w:tr>
      <w:tr w14:paraId="5BF3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361DBCC4">
            <w:pPr>
              <w:jc w:val="center"/>
              <w:rPr>
                <w:rFonts w:hint="eastAsia" w:ascii="宋体" w:hAnsi="宋体"/>
                <w:color w:val="auto"/>
                <w:szCs w:val="21"/>
              </w:rPr>
            </w:pPr>
            <w:r>
              <w:rPr>
                <w:rFonts w:hint="eastAsia" w:ascii="宋体" w:hAnsi="宋体"/>
                <w:color w:val="auto"/>
                <w:szCs w:val="21"/>
              </w:rPr>
              <w:t>发包人名称</w:t>
            </w:r>
          </w:p>
        </w:tc>
        <w:tc>
          <w:tcPr>
            <w:tcW w:w="6549" w:type="dxa"/>
            <w:noWrap w:val="0"/>
            <w:vAlign w:val="center"/>
          </w:tcPr>
          <w:p w14:paraId="40AC696B">
            <w:pPr>
              <w:jc w:val="center"/>
              <w:rPr>
                <w:rFonts w:hint="eastAsia" w:ascii="宋体" w:hAnsi="宋体"/>
                <w:color w:val="auto"/>
                <w:szCs w:val="21"/>
              </w:rPr>
            </w:pPr>
          </w:p>
        </w:tc>
      </w:tr>
      <w:tr w14:paraId="1FDA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6FD8B6FE">
            <w:pPr>
              <w:jc w:val="center"/>
              <w:rPr>
                <w:rFonts w:hint="eastAsia" w:ascii="宋体" w:hAnsi="宋体"/>
                <w:color w:val="auto"/>
                <w:szCs w:val="21"/>
              </w:rPr>
            </w:pPr>
            <w:r>
              <w:rPr>
                <w:rFonts w:hint="eastAsia" w:ascii="宋体" w:hAnsi="宋体"/>
                <w:color w:val="auto"/>
                <w:szCs w:val="21"/>
              </w:rPr>
              <w:t>发包人地址</w:t>
            </w:r>
          </w:p>
        </w:tc>
        <w:tc>
          <w:tcPr>
            <w:tcW w:w="6549" w:type="dxa"/>
            <w:noWrap w:val="0"/>
            <w:vAlign w:val="center"/>
          </w:tcPr>
          <w:p w14:paraId="01084313">
            <w:pPr>
              <w:jc w:val="center"/>
              <w:rPr>
                <w:rFonts w:hint="eastAsia" w:ascii="宋体" w:hAnsi="宋体"/>
                <w:color w:val="auto"/>
                <w:szCs w:val="21"/>
              </w:rPr>
            </w:pPr>
          </w:p>
        </w:tc>
      </w:tr>
      <w:tr w14:paraId="08D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D9D91C9">
            <w:pPr>
              <w:jc w:val="center"/>
              <w:rPr>
                <w:rFonts w:hint="eastAsia" w:ascii="宋体" w:hAnsi="宋体"/>
                <w:color w:val="auto"/>
                <w:szCs w:val="21"/>
              </w:rPr>
            </w:pPr>
            <w:r>
              <w:rPr>
                <w:rFonts w:hint="eastAsia" w:ascii="宋体" w:hAnsi="宋体"/>
                <w:color w:val="auto"/>
                <w:szCs w:val="21"/>
              </w:rPr>
              <w:t>发包人联系人及电话</w:t>
            </w:r>
          </w:p>
        </w:tc>
        <w:tc>
          <w:tcPr>
            <w:tcW w:w="6549" w:type="dxa"/>
            <w:noWrap w:val="0"/>
            <w:vAlign w:val="center"/>
          </w:tcPr>
          <w:p w14:paraId="4A4131D9">
            <w:pPr>
              <w:jc w:val="center"/>
              <w:rPr>
                <w:rFonts w:hint="eastAsia" w:ascii="宋体" w:hAnsi="宋体"/>
                <w:color w:val="auto"/>
                <w:szCs w:val="21"/>
              </w:rPr>
            </w:pPr>
          </w:p>
        </w:tc>
      </w:tr>
      <w:tr w14:paraId="0E76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333DCE58">
            <w:pPr>
              <w:jc w:val="center"/>
              <w:rPr>
                <w:rFonts w:hint="eastAsia" w:ascii="宋体" w:hAnsi="宋体"/>
                <w:color w:val="auto"/>
                <w:szCs w:val="21"/>
              </w:rPr>
            </w:pPr>
            <w:r>
              <w:rPr>
                <w:rFonts w:hint="eastAsia" w:ascii="宋体" w:hAnsi="宋体"/>
                <w:color w:val="auto"/>
                <w:szCs w:val="21"/>
              </w:rPr>
              <w:t>合同价格</w:t>
            </w:r>
          </w:p>
        </w:tc>
        <w:tc>
          <w:tcPr>
            <w:tcW w:w="6549" w:type="dxa"/>
            <w:noWrap w:val="0"/>
            <w:vAlign w:val="center"/>
          </w:tcPr>
          <w:p w14:paraId="45DC1D2F">
            <w:pPr>
              <w:jc w:val="center"/>
              <w:rPr>
                <w:rFonts w:hint="eastAsia" w:ascii="宋体" w:hAnsi="宋体"/>
                <w:color w:val="auto"/>
                <w:szCs w:val="21"/>
              </w:rPr>
            </w:pPr>
          </w:p>
        </w:tc>
      </w:tr>
      <w:tr w14:paraId="437B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498E1899">
            <w:pPr>
              <w:jc w:val="center"/>
              <w:rPr>
                <w:rFonts w:hint="eastAsia" w:ascii="宋体" w:hAnsi="宋体"/>
                <w:color w:val="auto"/>
                <w:szCs w:val="21"/>
              </w:rPr>
            </w:pPr>
            <w:r>
              <w:rPr>
                <w:rFonts w:hint="eastAsia" w:ascii="宋体" w:hAnsi="宋体"/>
                <w:color w:val="auto"/>
                <w:szCs w:val="21"/>
              </w:rPr>
              <w:t>供货日期</w:t>
            </w:r>
          </w:p>
        </w:tc>
        <w:tc>
          <w:tcPr>
            <w:tcW w:w="6549" w:type="dxa"/>
            <w:noWrap w:val="0"/>
            <w:vAlign w:val="center"/>
          </w:tcPr>
          <w:p w14:paraId="1B37B5C4">
            <w:pPr>
              <w:jc w:val="center"/>
              <w:rPr>
                <w:rFonts w:hint="eastAsia" w:ascii="宋体" w:hAnsi="宋体"/>
                <w:color w:val="auto"/>
                <w:szCs w:val="21"/>
              </w:rPr>
            </w:pPr>
          </w:p>
        </w:tc>
      </w:tr>
      <w:tr w14:paraId="11BF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111BF2E">
            <w:pPr>
              <w:jc w:val="center"/>
              <w:rPr>
                <w:rFonts w:hint="eastAsia" w:ascii="宋体" w:hAnsi="宋体"/>
                <w:color w:val="auto"/>
                <w:szCs w:val="21"/>
              </w:rPr>
            </w:pPr>
            <w:r>
              <w:rPr>
                <w:rFonts w:hint="eastAsia" w:ascii="宋体" w:hAnsi="宋体"/>
                <w:color w:val="auto"/>
                <w:szCs w:val="21"/>
              </w:rPr>
              <w:t>验收日期</w:t>
            </w:r>
          </w:p>
        </w:tc>
        <w:tc>
          <w:tcPr>
            <w:tcW w:w="6549" w:type="dxa"/>
            <w:noWrap w:val="0"/>
            <w:vAlign w:val="center"/>
          </w:tcPr>
          <w:p w14:paraId="494A54E1">
            <w:pPr>
              <w:jc w:val="center"/>
              <w:rPr>
                <w:rFonts w:hint="eastAsia" w:ascii="宋体" w:hAnsi="宋体"/>
                <w:color w:val="auto"/>
                <w:szCs w:val="21"/>
              </w:rPr>
            </w:pPr>
          </w:p>
        </w:tc>
      </w:tr>
      <w:tr w14:paraId="1A94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5189753A">
            <w:pPr>
              <w:jc w:val="center"/>
              <w:rPr>
                <w:rFonts w:hint="eastAsia" w:ascii="宋体" w:hAnsi="宋体"/>
                <w:color w:val="auto"/>
                <w:szCs w:val="21"/>
              </w:rPr>
            </w:pPr>
            <w:r>
              <w:rPr>
                <w:rFonts w:hint="eastAsia" w:ascii="宋体" w:hAnsi="宋体"/>
                <w:color w:val="auto"/>
                <w:szCs w:val="21"/>
              </w:rPr>
              <w:t>承担的工作</w:t>
            </w:r>
          </w:p>
        </w:tc>
        <w:tc>
          <w:tcPr>
            <w:tcW w:w="6549" w:type="dxa"/>
            <w:noWrap w:val="0"/>
            <w:vAlign w:val="center"/>
          </w:tcPr>
          <w:p w14:paraId="2D44F8B1">
            <w:pPr>
              <w:jc w:val="center"/>
              <w:rPr>
                <w:rFonts w:hint="eastAsia" w:ascii="宋体" w:hAnsi="宋体"/>
                <w:color w:val="auto"/>
                <w:szCs w:val="21"/>
              </w:rPr>
            </w:pPr>
          </w:p>
        </w:tc>
      </w:tr>
      <w:tr w14:paraId="438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noWrap w:val="0"/>
            <w:vAlign w:val="center"/>
          </w:tcPr>
          <w:p w14:paraId="0DE769B8">
            <w:pPr>
              <w:jc w:val="center"/>
              <w:rPr>
                <w:rFonts w:hint="eastAsia" w:ascii="宋体" w:hAnsi="宋体"/>
                <w:color w:val="auto"/>
                <w:szCs w:val="21"/>
              </w:rPr>
            </w:pPr>
            <w:r>
              <w:rPr>
                <w:rFonts w:hint="eastAsia" w:ascii="宋体" w:hAnsi="宋体"/>
                <w:color w:val="auto"/>
                <w:szCs w:val="21"/>
              </w:rPr>
              <w:t>项目描述</w:t>
            </w:r>
          </w:p>
        </w:tc>
        <w:tc>
          <w:tcPr>
            <w:tcW w:w="6549" w:type="dxa"/>
            <w:noWrap w:val="0"/>
            <w:vAlign w:val="center"/>
          </w:tcPr>
          <w:p w14:paraId="515EFDBC">
            <w:pPr>
              <w:jc w:val="center"/>
              <w:rPr>
                <w:rFonts w:hint="eastAsia" w:ascii="宋体" w:hAnsi="宋体"/>
                <w:color w:val="auto"/>
                <w:szCs w:val="21"/>
              </w:rPr>
            </w:pPr>
          </w:p>
        </w:tc>
      </w:tr>
      <w:tr w14:paraId="2C9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noWrap w:val="0"/>
            <w:vAlign w:val="center"/>
          </w:tcPr>
          <w:p w14:paraId="75648A5B">
            <w:pPr>
              <w:jc w:val="center"/>
              <w:rPr>
                <w:rFonts w:hint="eastAsia" w:ascii="宋体" w:hAnsi="宋体"/>
                <w:color w:val="auto"/>
                <w:szCs w:val="21"/>
              </w:rPr>
            </w:pPr>
            <w:r>
              <w:rPr>
                <w:rFonts w:hint="eastAsia" w:ascii="宋体" w:hAnsi="宋体"/>
                <w:color w:val="auto"/>
                <w:szCs w:val="21"/>
              </w:rPr>
              <w:t>备注</w:t>
            </w:r>
          </w:p>
        </w:tc>
        <w:tc>
          <w:tcPr>
            <w:tcW w:w="6549" w:type="dxa"/>
            <w:noWrap w:val="0"/>
            <w:vAlign w:val="center"/>
          </w:tcPr>
          <w:p w14:paraId="1F02DC93">
            <w:pPr>
              <w:jc w:val="center"/>
              <w:rPr>
                <w:rFonts w:hint="eastAsia" w:ascii="宋体" w:hAnsi="宋体"/>
                <w:color w:val="auto"/>
                <w:szCs w:val="21"/>
              </w:rPr>
            </w:pPr>
          </w:p>
        </w:tc>
      </w:tr>
    </w:tbl>
    <w:p w14:paraId="2D81B38B">
      <w:pPr>
        <w:spacing w:line="380" w:lineRule="exact"/>
        <w:ind w:left="630" w:hanging="630" w:hangingChars="300"/>
        <w:rPr>
          <w:rFonts w:hint="eastAsia" w:ascii="宋体" w:hAnsi="宋体"/>
          <w:color w:val="auto"/>
          <w:szCs w:val="21"/>
        </w:rPr>
      </w:pPr>
    </w:p>
    <w:p w14:paraId="66DE52A6">
      <w:pPr>
        <w:spacing w:line="440" w:lineRule="exact"/>
        <w:ind w:left="630" w:leftChars="300"/>
        <w:rPr>
          <w:rFonts w:hint="eastAsia" w:ascii="宋体" w:hAnsi="宋体" w:eastAsia="宋体"/>
          <w:color w:val="auto"/>
          <w:szCs w:val="21"/>
          <w:lang w:eastAsia="zh-CN"/>
        </w:rPr>
      </w:pPr>
      <w:r>
        <w:rPr>
          <w:rFonts w:hint="eastAsia" w:ascii="宋体" w:hAnsi="宋体"/>
          <w:color w:val="auto"/>
          <w:szCs w:val="21"/>
        </w:rPr>
        <w:t>备注：</w:t>
      </w:r>
      <w:r>
        <w:rPr>
          <w:rFonts w:hint="eastAsia" w:ascii="宋体" w:hAnsi="宋体"/>
          <w:color w:val="auto"/>
          <w:szCs w:val="21"/>
          <w:lang w:eastAsia="zh-CN"/>
        </w:rPr>
        <w:t>后附相关证明材料。</w:t>
      </w:r>
    </w:p>
    <w:p w14:paraId="6AD313D0">
      <w:pPr>
        <w:pStyle w:val="38"/>
        <w:rPr>
          <w:color w:val="auto"/>
        </w:rPr>
      </w:pPr>
    </w:p>
    <w:p w14:paraId="6284F3D4">
      <w:pPr>
        <w:spacing w:line="440" w:lineRule="exact"/>
        <w:jc w:val="center"/>
        <w:rPr>
          <w:rFonts w:hint="eastAsia" w:ascii="宋体" w:hAnsi="宋体"/>
          <w:color w:val="auto"/>
          <w:sz w:val="22"/>
          <w:szCs w:val="22"/>
        </w:rPr>
      </w:pPr>
    </w:p>
    <w:p w14:paraId="0805B607">
      <w:pPr>
        <w:pStyle w:val="38"/>
        <w:jc w:val="center"/>
        <w:rPr>
          <w:rFonts w:hint="eastAsia"/>
          <w:color w:val="auto"/>
        </w:rPr>
      </w:pPr>
      <w:r>
        <w:rPr>
          <w:rFonts w:hint="eastAsia" w:ascii="宋体" w:hAnsi="宋体"/>
          <w:color w:val="auto"/>
          <w:sz w:val="28"/>
          <w:szCs w:val="28"/>
        </w:rPr>
        <w:br w:type="page"/>
      </w:r>
    </w:p>
    <w:p w14:paraId="5BAC9074">
      <w:pPr>
        <w:spacing w:line="480" w:lineRule="exact"/>
        <w:ind w:right="-340" w:rightChars="-162"/>
        <w:jc w:val="center"/>
        <w:textAlignment w:val="center"/>
        <w:rPr>
          <w:rFonts w:hint="eastAsia" w:ascii="宋体" w:hAnsi="宋体" w:cs="宋体"/>
          <w:b/>
          <w:color w:val="auto"/>
          <w:sz w:val="32"/>
          <w:szCs w:val="32"/>
        </w:rPr>
      </w:pPr>
      <w:r>
        <w:rPr>
          <w:rFonts w:hint="eastAsia" w:ascii="宋体" w:hAnsi="宋体" w:cs="宋体"/>
          <w:b/>
          <w:color w:val="auto"/>
          <w:sz w:val="32"/>
          <w:szCs w:val="32"/>
          <w:lang w:val="en-US" w:eastAsia="zh-CN"/>
        </w:rPr>
        <w:t>九</w:t>
      </w:r>
      <w:r>
        <w:rPr>
          <w:rFonts w:hint="eastAsia" w:ascii="宋体" w:hAnsi="宋体" w:cs="宋体"/>
          <w:b/>
          <w:color w:val="auto"/>
          <w:sz w:val="32"/>
          <w:szCs w:val="32"/>
        </w:rPr>
        <w:t>、供应商认为需要提供的其他材料</w:t>
      </w:r>
    </w:p>
    <w:p w14:paraId="7EA35148">
      <w:pPr>
        <w:spacing w:line="480" w:lineRule="exact"/>
        <w:ind w:right="-340" w:rightChars="-162"/>
        <w:jc w:val="center"/>
        <w:textAlignment w:val="center"/>
        <w:rPr>
          <w:rFonts w:hint="eastAsia" w:ascii="宋体" w:hAnsi="宋体"/>
          <w:color w:val="auto"/>
          <w:sz w:val="24"/>
          <w:szCs w:val="21"/>
        </w:rPr>
      </w:pPr>
      <w:r>
        <w:rPr>
          <w:rFonts w:hint="eastAsia" w:ascii="宋体" w:hAnsi="宋体"/>
          <w:color w:val="auto"/>
          <w:sz w:val="24"/>
          <w:szCs w:val="21"/>
        </w:rPr>
        <w:t>（根据项目需求附证明材料）</w:t>
      </w:r>
    </w:p>
    <w:p w14:paraId="6ECCD4CD">
      <w:pPr>
        <w:spacing w:line="588" w:lineRule="exact"/>
        <w:rPr>
          <w:rFonts w:ascii="Calibri" w:hAnsi="Calibri" w:eastAsia="仿宋_GB2312"/>
          <w:color w:val="auto"/>
          <w:spacing w:val="6"/>
          <w:sz w:val="30"/>
          <w:szCs w:val="30"/>
        </w:rPr>
      </w:pPr>
      <w:r>
        <w:rPr>
          <w:rFonts w:ascii="宋体" w:hAnsi="宋体"/>
          <w:color w:val="auto"/>
          <w:sz w:val="22"/>
          <w:szCs w:val="22"/>
        </w:rPr>
        <w:br w:type="page"/>
      </w:r>
    </w:p>
    <w:p w14:paraId="4B61B396">
      <w:pPr>
        <w:spacing w:line="480" w:lineRule="auto"/>
        <w:jc w:val="center"/>
        <w:rPr>
          <w:rFonts w:hint="eastAsia" w:ascii="宋体" w:hAnsi="宋体" w:cs="宋体"/>
          <w:b/>
          <w:bCs w:val="0"/>
          <w:color w:val="auto"/>
          <w:kern w:val="0"/>
          <w:sz w:val="28"/>
          <w:szCs w:val="30"/>
        </w:rPr>
      </w:pPr>
      <w:r>
        <w:rPr>
          <w:rFonts w:hint="eastAsia" w:ascii="宋体" w:hAnsi="宋体" w:cs="宋体"/>
          <w:b/>
          <w:bCs w:val="0"/>
          <w:color w:val="auto"/>
          <w:kern w:val="0"/>
          <w:sz w:val="28"/>
          <w:szCs w:val="30"/>
        </w:rPr>
        <w:t>中小企业声明函（工程、服务）</w:t>
      </w:r>
    </w:p>
    <w:p w14:paraId="57729085">
      <w:pPr>
        <w:spacing w:before="312" w:beforeLines="100"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本公司（联合体）郑重声明，根据《政府采购促进中小企业发展管理办法》（财库﹝2020﹞46 号）的规定，本公司参加</w:t>
      </w:r>
      <w:r>
        <w:rPr>
          <w:rFonts w:hint="eastAsia" w:ascii="宋体" w:hAnsi="宋体" w:cs="宋体"/>
          <w:color w:val="auto"/>
          <w:sz w:val="24"/>
          <w:szCs w:val="20"/>
          <w:u w:val="single"/>
        </w:rPr>
        <w:t>（单位名称）</w:t>
      </w:r>
      <w:r>
        <w:rPr>
          <w:rFonts w:hint="eastAsia" w:ascii="宋体" w:hAnsi="宋体" w:cs="宋体"/>
          <w:color w:val="auto"/>
          <w:sz w:val="24"/>
          <w:szCs w:val="20"/>
        </w:rPr>
        <w:t>的</w:t>
      </w:r>
      <w:r>
        <w:rPr>
          <w:rFonts w:hint="eastAsia" w:ascii="宋体" w:hAnsi="宋体" w:cs="宋体"/>
          <w:color w:val="auto"/>
          <w:sz w:val="24"/>
          <w:szCs w:val="20"/>
          <w:u w:val="single"/>
        </w:rPr>
        <w:t>（项目名称）</w:t>
      </w:r>
      <w:r>
        <w:rPr>
          <w:rFonts w:hint="eastAsia" w:ascii="宋体" w:hAnsi="宋体" w:cs="宋体"/>
          <w:color w:val="auto"/>
          <w:sz w:val="24"/>
          <w:szCs w:val="20"/>
        </w:rPr>
        <w:t>采购活动，工程的施工单位全部为符合政策要求的中小企业（或者：服务全部由符合政策要求的中小企业承接）。相关企业的具体情况如下：</w:t>
      </w:r>
    </w:p>
    <w:p w14:paraId="0CABE613">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 xml:space="preserve">1. </w:t>
      </w:r>
      <w:r>
        <w:rPr>
          <w:rFonts w:hint="eastAsia" w:ascii="宋体" w:hAnsi="宋体" w:cs="宋体"/>
          <w:color w:val="auto"/>
          <w:sz w:val="24"/>
          <w:szCs w:val="20"/>
          <w:u w:val="single"/>
        </w:rPr>
        <w:t xml:space="preserve">（标的名称） </w:t>
      </w:r>
      <w:r>
        <w:rPr>
          <w:rFonts w:hint="eastAsia" w:ascii="宋体" w:hAnsi="宋体" w:cs="宋体"/>
          <w:color w:val="auto"/>
          <w:sz w:val="24"/>
          <w:szCs w:val="20"/>
        </w:rPr>
        <w:t>，属于</w:t>
      </w:r>
      <w:r>
        <w:rPr>
          <w:rFonts w:hint="eastAsia" w:ascii="宋体" w:hAnsi="宋体" w:cs="宋体"/>
          <w:color w:val="auto"/>
          <w:sz w:val="24"/>
          <w:szCs w:val="20"/>
          <w:u w:val="single"/>
        </w:rPr>
        <w:t>（采购文件中明确的所属行业）</w:t>
      </w:r>
      <w:r>
        <w:rPr>
          <w:rFonts w:hint="eastAsia" w:ascii="宋体" w:hAnsi="宋体" w:cs="宋体"/>
          <w:color w:val="auto"/>
          <w:sz w:val="24"/>
          <w:szCs w:val="20"/>
        </w:rPr>
        <w:t>；承建（承接）企业为</w:t>
      </w:r>
      <w:r>
        <w:rPr>
          <w:rFonts w:hint="eastAsia" w:ascii="宋体" w:hAnsi="宋体" w:cs="宋体"/>
          <w:color w:val="auto"/>
          <w:sz w:val="24"/>
          <w:szCs w:val="20"/>
          <w:u w:val="single"/>
        </w:rPr>
        <w:t>（企业名称）</w:t>
      </w:r>
      <w:r>
        <w:rPr>
          <w:rFonts w:hint="eastAsia" w:ascii="宋体" w:hAnsi="宋体" w:cs="宋体"/>
          <w:color w:val="auto"/>
          <w:sz w:val="24"/>
          <w:szCs w:val="20"/>
        </w:rPr>
        <w:t>，从业人员</w:t>
      </w:r>
      <w:r>
        <w:rPr>
          <w:rFonts w:hint="eastAsia" w:ascii="宋体" w:hAnsi="宋体" w:cs="宋体"/>
          <w:color w:val="auto"/>
          <w:sz w:val="24"/>
          <w:szCs w:val="20"/>
          <w:u w:val="single"/>
        </w:rPr>
        <w:t xml:space="preserve">   </w:t>
      </w:r>
      <w:r>
        <w:rPr>
          <w:rFonts w:hint="eastAsia" w:ascii="宋体" w:hAnsi="宋体" w:cs="宋体"/>
          <w:color w:val="auto"/>
          <w:sz w:val="24"/>
          <w:szCs w:val="20"/>
        </w:rPr>
        <w:t>人，营业收入为</w:t>
      </w:r>
      <w:r>
        <w:rPr>
          <w:rFonts w:hint="eastAsia" w:ascii="宋体" w:hAnsi="宋体" w:cs="宋体"/>
          <w:color w:val="auto"/>
          <w:sz w:val="24"/>
          <w:szCs w:val="20"/>
          <w:u w:val="single"/>
        </w:rPr>
        <w:t xml:space="preserve">  </w:t>
      </w:r>
      <w:r>
        <w:rPr>
          <w:rFonts w:hint="eastAsia" w:ascii="宋体" w:hAnsi="宋体" w:cs="宋体"/>
          <w:color w:val="auto"/>
          <w:sz w:val="24"/>
          <w:szCs w:val="20"/>
        </w:rPr>
        <w:t>万元，资产总额为</w:t>
      </w:r>
      <w:r>
        <w:rPr>
          <w:rFonts w:hint="eastAsia" w:ascii="宋体" w:hAnsi="宋体" w:cs="宋体"/>
          <w:color w:val="auto"/>
          <w:sz w:val="24"/>
          <w:szCs w:val="20"/>
          <w:u w:val="single"/>
        </w:rPr>
        <w:t xml:space="preserve">   </w:t>
      </w:r>
      <w:r>
        <w:rPr>
          <w:rFonts w:hint="eastAsia" w:ascii="宋体" w:hAnsi="宋体" w:cs="宋体"/>
          <w:color w:val="auto"/>
          <w:sz w:val="24"/>
          <w:szCs w:val="20"/>
        </w:rPr>
        <w:t>万元，属于（中型企业/小型企业/微型企业）；</w:t>
      </w:r>
    </w:p>
    <w:p w14:paraId="525A2C62">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 xml:space="preserve">2. </w:t>
      </w:r>
      <w:r>
        <w:rPr>
          <w:rFonts w:hint="eastAsia" w:ascii="宋体" w:hAnsi="宋体" w:cs="宋体"/>
          <w:color w:val="auto"/>
          <w:sz w:val="24"/>
          <w:szCs w:val="20"/>
          <w:u w:val="single"/>
        </w:rPr>
        <w:t xml:space="preserve">（标的名称） </w:t>
      </w:r>
      <w:r>
        <w:rPr>
          <w:rFonts w:hint="eastAsia" w:ascii="宋体" w:hAnsi="宋体" w:cs="宋体"/>
          <w:color w:val="auto"/>
          <w:sz w:val="24"/>
          <w:szCs w:val="20"/>
        </w:rPr>
        <w:t>，属于</w:t>
      </w:r>
      <w:r>
        <w:rPr>
          <w:rFonts w:hint="eastAsia" w:ascii="宋体" w:hAnsi="宋体" w:cs="宋体"/>
          <w:color w:val="auto"/>
          <w:sz w:val="24"/>
          <w:szCs w:val="20"/>
          <w:u w:val="single"/>
        </w:rPr>
        <w:t>（采购文件中明确的所属行业）</w:t>
      </w:r>
      <w:r>
        <w:rPr>
          <w:rFonts w:hint="eastAsia" w:ascii="宋体" w:hAnsi="宋体" w:cs="宋体"/>
          <w:color w:val="auto"/>
          <w:sz w:val="24"/>
          <w:szCs w:val="20"/>
        </w:rPr>
        <w:t>；承建（承接）企业为</w:t>
      </w:r>
      <w:r>
        <w:rPr>
          <w:rFonts w:hint="eastAsia" w:ascii="宋体" w:hAnsi="宋体" w:cs="宋体"/>
          <w:color w:val="auto"/>
          <w:sz w:val="24"/>
          <w:szCs w:val="20"/>
          <w:u w:val="single"/>
        </w:rPr>
        <w:t>（企业名称）</w:t>
      </w:r>
      <w:r>
        <w:rPr>
          <w:rFonts w:hint="eastAsia" w:ascii="宋体" w:hAnsi="宋体" w:cs="宋体"/>
          <w:color w:val="auto"/>
          <w:sz w:val="24"/>
          <w:szCs w:val="20"/>
        </w:rPr>
        <w:t>，从业人员</w:t>
      </w:r>
      <w:r>
        <w:rPr>
          <w:rFonts w:hint="eastAsia" w:ascii="宋体" w:hAnsi="宋体" w:cs="宋体"/>
          <w:color w:val="auto"/>
          <w:sz w:val="24"/>
          <w:szCs w:val="20"/>
          <w:u w:val="single"/>
        </w:rPr>
        <w:t xml:space="preserve">   </w:t>
      </w:r>
      <w:r>
        <w:rPr>
          <w:rFonts w:hint="eastAsia" w:ascii="宋体" w:hAnsi="宋体" w:cs="宋体"/>
          <w:color w:val="auto"/>
          <w:sz w:val="24"/>
          <w:szCs w:val="20"/>
        </w:rPr>
        <w:t>人，营业收入为</w:t>
      </w:r>
      <w:r>
        <w:rPr>
          <w:rFonts w:hint="eastAsia" w:ascii="宋体" w:hAnsi="宋体" w:cs="宋体"/>
          <w:color w:val="auto"/>
          <w:sz w:val="24"/>
          <w:szCs w:val="20"/>
          <w:u w:val="single"/>
        </w:rPr>
        <w:t xml:space="preserve">   </w:t>
      </w:r>
      <w:r>
        <w:rPr>
          <w:rFonts w:hint="eastAsia" w:ascii="宋体" w:hAnsi="宋体" w:cs="宋体"/>
          <w:color w:val="auto"/>
          <w:sz w:val="24"/>
          <w:szCs w:val="20"/>
        </w:rPr>
        <w:t>万元，资产总额为</w:t>
      </w:r>
      <w:r>
        <w:rPr>
          <w:rFonts w:hint="eastAsia" w:ascii="宋体" w:hAnsi="宋体" w:cs="宋体"/>
          <w:color w:val="auto"/>
          <w:sz w:val="24"/>
          <w:szCs w:val="20"/>
          <w:u w:val="single"/>
        </w:rPr>
        <w:t xml:space="preserve">   </w:t>
      </w:r>
      <w:r>
        <w:rPr>
          <w:rFonts w:hint="eastAsia" w:ascii="宋体" w:hAnsi="宋体" w:cs="宋体"/>
          <w:color w:val="auto"/>
          <w:sz w:val="24"/>
          <w:szCs w:val="20"/>
        </w:rPr>
        <w:t>万元，属于</w:t>
      </w:r>
      <w:r>
        <w:rPr>
          <w:rFonts w:hint="eastAsia" w:ascii="宋体" w:hAnsi="宋体" w:cs="宋体"/>
          <w:color w:val="auto"/>
          <w:sz w:val="24"/>
          <w:szCs w:val="20"/>
          <w:u w:val="single"/>
        </w:rPr>
        <w:t>（中型企业/小型企业/微型企业）</w:t>
      </w:r>
      <w:r>
        <w:rPr>
          <w:rFonts w:hint="eastAsia" w:ascii="宋体" w:hAnsi="宋体" w:cs="宋体"/>
          <w:color w:val="auto"/>
          <w:sz w:val="24"/>
          <w:szCs w:val="20"/>
        </w:rPr>
        <w:t>；</w:t>
      </w:r>
    </w:p>
    <w:p w14:paraId="6147CC68">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w:t>
      </w:r>
    </w:p>
    <w:p w14:paraId="6CBE83AE">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以上企业，不属于大企业的分支机构，不存在控股股东为大企业的情形，也不存在与大企业的负责人为同一人的情形。</w:t>
      </w:r>
    </w:p>
    <w:p w14:paraId="6105159A">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本企业对上述声明内容的真实性负责。如有虚假，将依法承担相应责任。</w:t>
      </w:r>
    </w:p>
    <w:p w14:paraId="74ACC39D">
      <w:pPr>
        <w:spacing w:line="360" w:lineRule="auto"/>
        <w:ind w:firstLine="638" w:firstLineChars="266"/>
        <w:jc w:val="left"/>
        <w:rPr>
          <w:rFonts w:hint="eastAsia" w:ascii="宋体" w:hAnsi="宋体" w:cs="宋体"/>
          <w:color w:val="auto"/>
          <w:sz w:val="24"/>
          <w:szCs w:val="20"/>
        </w:rPr>
      </w:pPr>
    </w:p>
    <w:p w14:paraId="74819034">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企业名称（盖公章）：</w:t>
      </w:r>
    </w:p>
    <w:p w14:paraId="631BFE7E">
      <w:pPr>
        <w:spacing w:line="360" w:lineRule="auto"/>
        <w:ind w:firstLine="638" w:firstLineChars="266"/>
        <w:jc w:val="left"/>
        <w:rPr>
          <w:rFonts w:hint="eastAsia" w:ascii="宋体" w:hAnsi="宋体" w:cs="宋体"/>
          <w:color w:val="auto"/>
          <w:sz w:val="24"/>
          <w:szCs w:val="20"/>
        </w:rPr>
      </w:pPr>
      <w:r>
        <w:rPr>
          <w:rFonts w:hint="eastAsia" w:ascii="宋体" w:hAnsi="宋体" w:cs="宋体"/>
          <w:color w:val="auto"/>
          <w:sz w:val="24"/>
          <w:szCs w:val="20"/>
        </w:rPr>
        <w:t>日期：</w:t>
      </w:r>
    </w:p>
    <w:p w14:paraId="4B3EED89">
      <w:pPr>
        <w:pStyle w:val="18"/>
        <w:ind w:left="63" w:right="63" w:firstLine="241"/>
        <w:rPr>
          <w:rFonts w:hint="eastAsia" w:hAnsi="宋体" w:cs="宋体"/>
          <w:color w:val="auto"/>
          <w:sz w:val="24"/>
        </w:rPr>
      </w:pPr>
    </w:p>
    <w:p w14:paraId="1911EAAA">
      <w:pPr>
        <w:pStyle w:val="19"/>
        <w:ind w:left="420"/>
        <w:rPr>
          <w:rFonts w:hint="eastAsia" w:ascii="宋体" w:hAnsi="宋体"/>
          <w:color w:val="auto"/>
        </w:rPr>
      </w:pPr>
    </w:p>
    <w:p w14:paraId="6588DC59">
      <w:pPr>
        <w:spacing w:line="360" w:lineRule="auto"/>
        <w:ind w:firstLine="641" w:firstLineChars="266"/>
        <w:jc w:val="left"/>
        <w:rPr>
          <w:rFonts w:hint="eastAsia" w:ascii="宋体" w:hAnsi="宋体" w:cs="宋体"/>
          <w:b/>
          <w:bCs/>
          <w:color w:val="auto"/>
          <w:sz w:val="24"/>
          <w:szCs w:val="20"/>
        </w:rPr>
      </w:pPr>
      <w:r>
        <w:rPr>
          <w:rFonts w:hint="eastAsia" w:ascii="宋体" w:hAnsi="宋体" w:cs="宋体"/>
          <w:b/>
          <w:bCs/>
          <w:color w:val="auto"/>
          <w:sz w:val="24"/>
          <w:szCs w:val="20"/>
        </w:rPr>
        <w:t>注：1、从业人员、营业收入、资产总额填报上一年度数据，无上一年度数据的新成立企业可不填报。</w:t>
      </w:r>
    </w:p>
    <w:p w14:paraId="0384BA59">
      <w:pPr>
        <w:spacing w:line="360" w:lineRule="auto"/>
        <w:ind w:firstLine="641" w:firstLineChars="266"/>
        <w:jc w:val="left"/>
        <w:rPr>
          <w:rFonts w:hint="eastAsia" w:ascii="宋体" w:hAnsi="宋体" w:eastAsia="宋体"/>
          <w:b/>
          <w:color w:val="auto"/>
          <w:sz w:val="32"/>
          <w:szCs w:val="32"/>
          <w:lang w:eastAsia="zh-CN"/>
        </w:rPr>
      </w:pPr>
      <w:r>
        <w:rPr>
          <w:rFonts w:hint="eastAsia" w:ascii="宋体" w:hAnsi="宋体" w:cs="宋体"/>
          <w:b/>
          <w:bCs/>
          <w:color w:val="auto"/>
          <w:sz w:val="24"/>
          <w:szCs w:val="20"/>
          <w:lang w:val="en-US" w:eastAsia="zh-CN"/>
        </w:rPr>
        <w:t>2、</w:t>
      </w:r>
      <w:r>
        <w:rPr>
          <w:rFonts w:hint="eastAsia" w:ascii="宋体" w:hAnsi="宋体" w:cs="宋体"/>
          <w:b/>
          <w:bCs/>
          <w:color w:val="auto"/>
          <w:sz w:val="24"/>
          <w:szCs w:val="20"/>
        </w:rPr>
        <w:t>中小企业划分标准见工业和信息化部国家统计局国家发展和改革委员财政部《关于印发中小企业划型标准规定的通知》（工信部联企业【2011】300号）</w:t>
      </w:r>
      <w:r>
        <w:rPr>
          <w:rFonts w:hint="eastAsia" w:ascii="宋体" w:hAnsi="宋体" w:cs="宋体"/>
          <w:b/>
          <w:bCs/>
          <w:color w:val="auto"/>
          <w:sz w:val="24"/>
          <w:szCs w:val="20"/>
          <w:lang w:eastAsia="zh-CN"/>
        </w:rPr>
        <w:t>。</w:t>
      </w:r>
    </w:p>
    <w:p w14:paraId="46029370">
      <w:pPr>
        <w:spacing w:line="360" w:lineRule="auto"/>
        <w:ind w:left="840" w:right="840"/>
        <w:jc w:val="right"/>
        <w:rPr>
          <w:rFonts w:ascii="宋体" w:hAnsi="宋体"/>
          <w:color w:val="auto"/>
          <w:sz w:val="24"/>
          <w:lang w:eastAsia="zh-CN"/>
        </w:rPr>
      </w:pPr>
    </w:p>
    <w:p w14:paraId="506DB151">
      <w:pPr>
        <w:numPr>
          <w:ilvl w:val="0"/>
          <w:numId w:val="0"/>
        </w:numPr>
        <w:spacing w:line="360" w:lineRule="auto"/>
        <w:ind w:firstLine="964" w:firstLineChars="300"/>
        <w:jc w:val="left"/>
        <w:rPr>
          <w:rFonts w:ascii="宋体" w:hAnsi="宋体"/>
          <w:b/>
          <w:color w:val="auto"/>
          <w:sz w:val="32"/>
          <w:szCs w:val="32"/>
        </w:rPr>
      </w:pPr>
    </w:p>
    <w:p w14:paraId="441D7F17">
      <w:pPr>
        <w:rPr>
          <w:color w:val="auto"/>
        </w:rPr>
      </w:pPr>
    </w:p>
    <w:sectPr>
      <w:headerReference r:id="rId10" w:type="default"/>
      <w:footerReference r:id="rId11" w:type="default"/>
      <w:footerReference r:id="rId12" w:type="even"/>
      <w:pgSz w:w="11906" w:h="16838"/>
      <w:pgMar w:top="1304" w:right="1418" w:bottom="1304" w:left="1418" w:header="567"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41F2">
    <w:pPr>
      <w:pStyle w:val="12"/>
      <w:jc w:val="right"/>
    </w:pPr>
  </w:p>
  <w:p w14:paraId="0525B981">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2A97">
    <w:pPr>
      <w:spacing w:line="174" w:lineRule="auto"/>
      <w:ind w:left="4589"/>
      <w:rPr>
        <w:rFonts w:hint="eastAsia" w:ascii="Times New Roman" w:hAnsi="Times New Roman" w:eastAsia="宋体" w:cs="Times New Roman"/>
        <w:sz w:val="15"/>
        <w:szCs w:val="15"/>
        <w:lang w:val="en-US" w:eastAsia="zh-CN"/>
      </w:rPr>
    </w:pPr>
    <w:r>
      <w:rPr>
        <w:rFonts w:hint="eastAsia" w:eastAsia="宋体" w:cs="Times New Roman"/>
        <w:sz w:val="15"/>
        <w:szCs w:val="15"/>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7C7A">
    <w:pPr>
      <w:spacing w:line="174" w:lineRule="auto"/>
      <w:ind w:left="4589"/>
      <w:rPr>
        <w:rFonts w:hint="eastAsia" w:ascii="Times New Roman" w:hAnsi="Times New Roman" w:eastAsia="宋体" w:cs="Times New Roman"/>
        <w:sz w:val="15"/>
        <w:szCs w:val="15"/>
        <w:lang w:val="en-US" w:eastAsia="zh-CN"/>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E5B0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BE5B0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B6D6">
    <w:pPr>
      <w:pStyle w:val="12"/>
      <w:ind w:right="360"/>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EED6A">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AEED6A">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42C">
    <w:pPr>
      <w:pStyle w:val="12"/>
      <w:ind w:right="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00990" cy="1663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00990"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0CB6E">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3.1pt;width:23.7pt;mso-position-horizontal:center;mso-position-horizontal-relative:margin;z-index:251661312;mso-width-relative:page;mso-height-relative:page;" filled="f" stroked="f" coordsize="21600,21600" o:gfxdata="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77Z/1AAAAAMBAAAPAAAAAAAAAAEAIAAAACIAAABkcnMvZG93bnJldi54&#10;bWxQSwECFAAUAAAACACHTuJADnYWUjcCAABhBAAADgAAAAAAAAABACAAAAAjAQAAZHJzL2Uyb0Rv&#10;Yy54bWxQSwUGAAAAAAYABgBZAQAAzAUAAAAA&#10;">
              <v:fill on="f" focussize="0,0"/>
              <v:stroke on="f" weight="0.5pt"/>
              <v:imagedata o:title=""/>
              <o:lock v:ext="edit" aspectratio="f"/>
              <v:textbox inset="0mm,0mm,0mm,0mm">
                <w:txbxContent>
                  <w:p w14:paraId="56D0CB6E">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F6D3">
    <w:pPr>
      <w:pStyle w:val="12"/>
      <w:framePr w:wrap="around" w:vAnchor="text" w:hAnchor="margin" w:xAlign="right" w:y="1"/>
      <w:rPr>
        <w:rStyle w:val="24"/>
      </w:rPr>
    </w:pPr>
    <w:r>
      <w:fldChar w:fldCharType="begin"/>
    </w:r>
    <w:r>
      <w:rPr>
        <w:rStyle w:val="24"/>
      </w:rPr>
      <w:instrText xml:space="preserve">PAGE  </w:instrText>
    </w:r>
    <w:r>
      <w:fldChar w:fldCharType="separate"/>
    </w:r>
    <w:r>
      <w:rPr>
        <w:rStyle w:val="24"/>
      </w:rPr>
      <w:t>56</w:t>
    </w:r>
    <w:r>
      <w:fldChar w:fldCharType="end"/>
    </w:r>
  </w:p>
  <w:p w14:paraId="353A42D5">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8835B22">
      <w:pPr>
        <w:pStyle w:val="15"/>
        <w:spacing w:line="360" w:lineRule="auto"/>
      </w:pPr>
      <w:r>
        <w:rPr>
          <w:rStyle w:val="34"/>
        </w:rPr>
        <w:footnoteRef/>
      </w:r>
      <w:r>
        <w:t xml:space="preserve"> </w:t>
      </w:r>
      <w:r>
        <w:rPr>
          <w:rFonts w:hint="eastAsia"/>
        </w:rPr>
        <w:t>本条内容可修改为：“本担保自</w:t>
      </w:r>
      <w:r>
        <w:rPr>
          <w:u w:val="single"/>
        </w:rPr>
        <w:t xml:space="preserve">         </w:t>
      </w:r>
      <w:r>
        <w:rPr>
          <w:rFonts w:hint="eastAsia"/>
        </w:rPr>
        <w:t>（生效日期）之日起生效，至</w:t>
      </w:r>
      <w:r>
        <w:rPr>
          <w:u w:val="single"/>
        </w:rPr>
        <w:t xml:space="preserve">         </w:t>
      </w:r>
      <w:r>
        <w:rPr>
          <w:rFonts w:hint="eastAsia"/>
        </w:rPr>
        <w:t>（失效日期）之日失效。”如委托人接受履约保函采用固定有效期，在项目专用合同条款中应增加保证监理人在履约保函失效日前向委托人出具后续阶段履约保函的约束性条款，直至委托人签发交工验收证书且监理人按照合同约定提交缺陷责任期保函之日为止。</w:t>
      </w:r>
    </w:p>
    <w:p w14:paraId="153CDA90">
      <w:pPr>
        <w:pStyle w:val="1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AFF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3FDE">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B1B2">
    <w:pPr>
      <w:rPr>
        <w:rFonts w:hint="eastAsia" w:ascii="仿宋_GB2312" w:hAnsi="仿宋_GB2312" w:eastAsia="仿宋_GB2312"/>
        <w:i/>
        <w:color w:val="525552"/>
        <w:spacing w:val="-20"/>
        <w:szCs w:val="21"/>
        <w:u w:val="single"/>
      </w:rPr>
    </w:pPr>
  </w:p>
  <w:p w14:paraId="42662AE7">
    <w:pPr>
      <w:tabs>
        <w:tab w:val="right" w:pos="8306"/>
      </w:tabs>
      <w:jc w:val="center"/>
      <w:rPr>
        <w:rFonts w:hint="eastAsia" w:ascii="仿宋_GB2312" w:eastAsia="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18CE798B"/>
    <w:multiLevelType w:val="singleLevel"/>
    <w:tmpl w:val="18CE798B"/>
    <w:lvl w:ilvl="0" w:tentative="0">
      <w:start w:val="4"/>
      <w:numFmt w:val="decimal"/>
      <w:suff w:val="nothing"/>
      <w:lvlText w:val="%1、"/>
      <w:lvlJc w:val="left"/>
    </w:lvl>
  </w:abstractNum>
  <w:abstractNum w:abstractNumId="2">
    <w:nsid w:val="4F3FF634"/>
    <w:multiLevelType w:val="singleLevel"/>
    <w:tmpl w:val="4F3FF634"/>
    <w:lvl w:ilvl="0" w:tentative="0">
      <w:start w:val="2"/>
      <w:numFmt w:val="decimal"/>
      <w:lvlText w:val="%1."/>
      <w:lvlJc w:val="left"/>
      <w:pPr>
        <w:tabs>
          <w:tab w:val="left" w:pos="312"/>
        </w:tabs>
      </w:pPr>
    </w:lvl>
  </w:abstractNum>
  <w:abstractNum w:abstractNumId="3">
    <w:nsid w:val="582D69F7"/>
    <w:multiLevelType w:val="singleLevel"/>
    <w:tmpl w:val="582D69F7"/>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48j14YQmwZdq3Co24vp0ZhbHks=" w:salt="evR7ZwQOOYLFjjThFyGhfA=="/>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50C22"/>
    <w:rsid w:val="00333A2A"/>
    <w:rsid w:val="00BC757B"/>
    <w:rsid w:val="018E53BB"/>
    <w:rsid w:val="01932225"/>
    <w:rsid w:val="02C80459"/>
    <w:rsid w:val="02C941D1"/>
    <w:rsid w:val="031E57BA"/>
    <w:rsid w:val="03B64756"/>
    <w:rsid w:val="03C03826"/>
    <w:rsid w:val="043D09D3"/>
    <w:rsid w:val="045B70AB"/>
    <w:rsid w:val="04D1736D"/>
    <w:rsid w:val="04F75026"/>
    <w:rsid w:val="05C83A6D"/>
    <w:rsid w:val="06523A66"/>
    <w:rsid w:val="06982838"/>
    <w:rsid w:val="0808754A"/>
    <w:rsid w:val="08907C6B"/>
    <w:rsid w:val="08C76169"/>
    <w:rsid w:val="09061CDB"/>
    <w:rsid w:val="09293C1C"/>
    <w:rsid w:val="09DE7E5F"/>
    <w:rsid w:val="09FE2687"/>
    <w:rsid w:val="0A2148F3"/>
    <w:rsid w:val="0A762E91"/>
    <w:rsid w:val="0AA96DC2"/>
    <w:rsid w:val="0B04224A"/>
    <w:rsid w:val="0BDE6F3F"/>
    <w:rsid w:val="0D8633EB"/>
    <w:rsid w:val="0DB55A7E"/>
    <w:rsid w:val="0DD979BE"/>
    <w:rsid w:val="0F0D5446"/>
    <w:rsid w:val="0F3E1577"/>
    <w:rsid w:val="0FA9433A"/>
    <w:rsid w:val="0FC31FB2"/>
    <w:rsid w:val="101051ED"/>
    <w:rsid w:val="10606175"/>
    <w:rsid w:val="10C5247C"/>
    <w:rsid w:val="10D821AF"/>
    <w:rsid w:val="111F68DF"/>
    <w:rsid w:val="118063A3"/>
    <w:rsid w:val="12A83E03"/>
    <w:rsid w:val="12C40361"/>
    <w:rsid w:val="136046DE"/>
    <w:rsid w:val="13781A27"/>
    <w:rsid w:val="138E2FF9"/>
    <w:rsid w:val="13F07810"/>
    <w:rsid w:val="140E7C96"/>
    <w:rsid w:val="14627FE2"/>
    <w:rsid w:val="149019C4"/>
    <w:rsid w:val="15AC3C0A"/>
    <w:rsid w:val="15CE063D"/>
    <w:rsid w:val="15E50ECA"/>
    <w:rsid w:val="15F02717"/>
    <w:rsid w:val="15F15AC1"/>
    <w:rsid w:val="163065E9"/>
    <w:rsid w:val="16DC22CD"/>
    <w:rsid w:val="18207E77"/>
    <w:rsid w:val="193957B5"/>
    <w:rsid w:val="19687E48"/>
    <w:rsid w:val="19836A30"/>
    <w:rsid w:val="19A54BF8"/>
    <w:rsid w:val="19F31E08"/>
    <w:rsid w:val="1A8962C8"/>
    <w:rsid w:val="1AB33345"/>
    <w:rsid w:val="1ABC669E"/>
    <w:rsid w:val="1B3F37F9"/>
    <w:rsid w:val="1B9C027D"/>
    <w:rsid w:val="1C4050AC"/>
    <w:rsid w:val="1C485D0F"/>
    <w:rsid w:val="1C890801"/>
    <w:rsid w:val="1CDD28FB"/>
    <w:rsid w:val="1D593862"/>
    <w:rsid w:val="1D8B05A9"/>
    <w:rsid w:val="1D992CC6"/>
    <w:rsid w:val="1DAD0520"/>
    <w:rsid w:val="1DAF4298"/>
    <w:rsid w:val="1DF57AAD"/>
    <w:rsid w:val="1E0068A1"/>
    <w:rsid w:val="1E4D4545"/>
    <w:rsid w:val="1ECA6EAF"/>
    <w:rsid w:val="1F070103"/>
    <w:rsid w:val="1F176598"/>
    <w:rsid w:val="1FE67D19"/>
    <w:rsid w:val="20D83B05"/>
    <w:rsid w:val="210C7C53"/>
    <w:rsid w:val="212B632B"/>
    <w:rsid w:val="21A734D8"/>
    <w:rsid w:val="21DC5877"/>
    <w:rsid w:val="22123047"/>
    <w:rsid w:val="229972C4"/>
    <w:rsid w:val="22AA3280"/>
    <w:rsid w:val="22D50C22"/>
    <w:rsid w:val="23812232"/>
    <w:rsid w:val="23B26890"/>
    <w:rsid w:val="23D22A8E"/>
    <w:rsid w:val="23E427C1"/>
    <w:rsid w:val="246456B0"/>
    <w:rsid w:val="24661428"/>
    <w:rsid w:val="26435EC5"/>
    <w:rsid w:val="26795443"/>
    <w:rsid w:val="2694227D"/>
    <w:rsid w:val="26CF59AB"/>
    <w:rsid w:val="270A253F"/>
    <w:rsid w:val="27591E71"/>
    <w:rsid w:val="27F60D15"/>
    <w:rsid w:val="27FA25B3"/>
    <w:rsid w:val="280653FC"/>
    <w:rsid w:val="28247630"/>
    <w:rsid w:val="283D06F2"/>
    <w:rsid w:val="29437F8A"/>
    <w:rsid w:val="29692C59"/>
    <w:rsid w:val="2A7228D5"/>
    <w:rsid w:val="2A7D74CC"/>
    <w:rsid w:val="2ABF7AE4"/>
    <w:rsid w:val="2C2E6CCF"/>
    <w:rsid w:val="2D067C4C"/>
    <w:rsid w:val="2D2B320F"/>
    <w:rsid w:val="2D3E7869"/>
    <w:rsid w:val="2D621327"/>
    <w:rsid w:val="2D776454"/>
    <w:rsid w:val="2E5D564A"/>
    <w:rsid w:val="2ED3590C"/>
    <w:rsid w:val="2F0C4ABE"/>
    <w:rsid w:val="2F94153F"/>
    <w:rsid w:val="2F9B1BD3"/>
    <w:rsid w:val="2FA76FA6"/>
    <w:rsid w:val="2FAE1BAA"/>
    <w:rsid w:val="2FCC6F2B"/>
    <w:rsid w:val="306058C5"/>
    <w:rsid w:val="30961EF6"/>
    <w:rsid w:val="30E67B79"/>
    <w:rsid w:val="30F77FD8"/>
    <w:rsid w:val="310B75DF"/>
    <w:rsid w:val="31AB491E"/>
    <w:rsid w:val="32696CB3"/>
    <w:rsid w:val="32B67A1F"/>
    <w:rsid w:val="32D14858"/>
    <w:rsid w:val="32FF7037"/>
    <w:rsid w:val="33150BE9"/>
    <w:rsid w:val="347B4A7C"/>
    <w:rsid w:val="35777939"/>
    <w:rsid w:val="36963DEF"/>
    <w:rsid w:val="36A54032"/>
    <w:rsid w:val="375A4E1C"/>
    <w:rsid w:val="37D72911"/>
    <w:rsid w:val="387463B2"/>
    <w:rsid w:val="387E2D8D"/>
    <w:rsid w:val="389B56ED"/>
    <w:rsid w:val="391F631E"/>
    <w:rsid w:val="393D2C48"/>
    <w:rsid w:val="3942200C"/>
    <w:rsid w:val="39445D84"/>
    <w:rsid w:val="3951224F"/>
    <w:rsid w:val="3A802DEC"/>
    <w:rsid w:val="3ACF167E"/>
    <w:rsid w:val="3B806E1C"/>
    <w:rsid w:val="3BF81B24"/>
    <w:rsid w:val="3C073099"/>
    <w:rsid w:val="3C7E77FF"/>
    <w:rsid w:val="3DF02037"/>
    <w:rsid w:val="3E23065E"/>
    <w:rsid w:val="3E6A003B"/>
    <w:rsid w:val="3E9B4698"/>
    <w:rsid w:val="3ECC2AA4"/>
    <w:rsid w:val="3EDE4585"/>
    <w:rsid w:val="3F1E7077"/>
    <w:rsid w:val="3F373D36"/>
    <w:rsid w:val="3F406FEE"/>
    <w:rsid w:val="3F520ACF"/>
    <w:rsid w:val="3FA27361"/>
    <w:rsid w:val="3FAD45D5"/>
    <w:rsid w:val="3FBB675E"/>
    <w:rsid w:val="409749EB"/>
    <w:rsid w:val="4108627C"/>
    <w:rsid w:val="415428DD"/>
    <w:rsid w:val="415E6EB8"/>
    <w:rsid w:val="41D63C39"/>
    <w:rsid w:val="41FD11C6"/>
    <w:rsid w:val="422F6EA6"/>
    <w:rsid w:val="425012F6"/>
    <w:rsid w:val="42BF46CD"/>
    <w:rsid w:val="42DF4645"/>
    <w:rsid w:val="43E22422"/>
    <w:rsid w:val="444C1F91"/>
    <w:rsid w:val="44E67CEF"/>
    <w:rsid w:val="45344EFF"/>
    <w:rsid w:val="45513D03"/>
    <w:rsid w:val="45BB73CE"/>
    <w:rsid w:val="45DD5596"/>
    <w:rsid w:val="46405B25"/>
    <w:rsid w:val="466000AE"/>
    <w:rsid w:val="46EB3CE3"/>
    <w:rsid w:val="47086643"/>
    <w:rsid w:val="47152B0E"/>
    <w:rsid w:val="47CD5197"/>
    <w:rsid w:val="481A55C0"/>
    <w:rsid w:val="487D4E0F"/>
    <w:rsid w:val="489B5295"/>
    <w:rsid w:val="48FC21D7"/>
    <w:rsid w:val="49311755"/>
    <w:rsid w:val="49441489"/>
    <w:rsid w:val="4A6022F2"/>
    <w:rsid w:val="4A7F4E6E"/>
    <w:rsid w:val="4AFB026D"/>
    <w:rsid w:val="4D73058E"/>
    <w:rsid w:val="4D875DE8"/>
    <w:rsid w:val="4E0336C0"/>
    <w:rsid w:val="4E5E123E"/>
    <w:rsid w:val="4F585C8E"/>
    <w:rsid w:val="4F8C3B89"/>
    <w:rsid w:val="502A762A"/>
    <w:rsid w:val="50302767"/>
    <w:rsid w:val="50772144"/>
    <w:rsid w:val="511B6F73"/>
    <w:rsid w:val="52524C16"/>
    <w:rsid w:val="52B4767F"/>
    <w:rsid w:val="52CF79E9"/>
    <w:rsid w:val="52DD047C"/>
    <w:rsid w:val="52E066C6"/>
    <w:rsid w:val="532F6D06"/>
    <w:rsid w:val="53397B84"/>
    <w:rsid w:val="54040192"/>
    <w:rsid w:val="54BE2A37"/>
    <w:rsid w:val="54F93A6F"/>
    <w:rsid w:val="552A1E7A"/>
    <w:rsid w:val="552F123F"/>
    <w:rsid w:val="55967510"/>
    <w:rsid w:val="5641747C"/>
    <w:rsid w:val="56837A94"/>
    <w:rsid w:val="56F42740"/>
    <w:rsid w:val="57154464"/>
    <w:rsid w:val="573C7DA6"/>
    <w:rsid w:val="577C44E3"/>
    <w:rsid w:val="58550FBC"/>
    <w:rsid w:val="5943350B"/>
    <w:rsid w:val="5A250E62"/>
    <w:rsid w:val="5A2E7D17"/>
    <w:rsid w:val="5AF727FF"/>
    <w:rsid w:val="5B3255E5"/>
    <w:rsid w:val="5B500161"/>
    <w:rsid w:val="5B8625EF"/>
    <w:rsid w:val="5BA34735"/>
    <w:rsid w:val="5BD26DC8"/>
    <w:rsid w:val="5C2A2760"/>
    <w:rsid w:val="5D5A52C7"/>
    <w:rsid w:val="5E343D6A"/>
    <w:rsid w:val="5EF84D97"/>
    <w:rsid w:val="5F976423"/>
    <w:rsid w:val="60326087"/>
    <w:rsid w:val="60AA3E6F"/>
    <w:rsid w:val="60B371C8"/>
    <w:rsid w:val="61F5736C"/>
    <w:rsid w:val="62922E0D"/>
    <w:rsid w:val="62B9483E"/>
    <w:rsid w:val="63051831"/>
    <w:rsid w:val="63D062E3"/>
    <w:rsid w:val="63E43B3C"/>
    <w:rsid w:val="64590086"/>
    <w:rsid w:val="64C71494"/>
    <w:rsid w:val="65FE7137"/>
    <w:rsid w:val="679A2E90"/>
    <w:rsid w:val="68D73C6F"/>
    <w:rsid w:val="691E53FA"/>
    <w:rsid w:val="6A18009C"/>
    <w:rsid w:val="6A6E5F0E"/>
    <w:rsid w:val="6ABF22F4"/>
    <w:rsid w:val="6BD83F86"/>
    <w:rsid w:val="6CCB3AEB"/>
    <w:rsid w:val="6CFD7DE7"/>
    <w:rsid w:val="6D0D5EB2"/>
    <w:rsid w:val="6D394EF9"/>
    <w:rsid w:val="6D724E66"/>
    <w:rsid w:val="6DA06D26"/>
    <w:rsid w:val="6DC72505"/>
    <w:rsid w:val="6E0252EB"/>
    <w:rsid w:val="6E074D48"/>
    <w:rsid w:val="6E650F3D"/>
    <w:rsid w:val="6FC7059A"/>
    <w:rsid w:val="6FD809F9"/>
    <w:rsid w:val="6FF1142D"/>
    <w:rsid w:val="70251764"/>
    <w:rsid w:val="703A6FBE"/>
    <w:rsid w:val="72536115"/>
    <w:rsid w:val="727826E4"/>
    <w:rsid w:val="72D82ABE"/>
    <w:rsid w:val="73B928EF"/>
    <w:rsid w:val="73FC27DC"/>
    <w:rsid w:val="74143BBA"/>
    <w:rsid w:val="744F6DB0"/>
    <w:rsid w:val="74910A52"/>
    <w:rsid w:val="74C276BA"/>
    <w:rsid w:val="75B275F6"/>
    <w:rsid w:val="76465F91"/>
    <w:rsid w:val="765C7562"/>
    <w:rsid w:val="774921DC"/>
    <w:rsid w:val="776A143F"/>
    <w:rsid w:val="77A17922"/>
    <w:rsid w:val="77CB0E43"/>
    <w:rsid w:val="783C3AEF"/>
    <w:rsid w:val="78B11DE7"/>
    <w:rsid w:val="79823784"/>
    <w:rsid w:val="79B76858"/>
    <w:rsid w:val="79FC1788"/>
    <w:rsid w:val="7B4E7DC1"/>
    <w:rsid w:val="7BFD5343"/>
    <w:rsid w:val="7C817D22"/>
    <w:rsid w:val="7CE218F6"/>
    <w:rsid w:val="7D0D7808"/>
    <w:rsid w:val="7D641B1E"/>
    <w:rsid w:val="7D9817C8"/>
    <w:rsid w:val="7EB937A4"/>
    <w:rsid w:val="7EF649F8"/>
    <w:rsid w:val="7F7B6CAB"/>
    <w:rsid w:val="7FFF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0"/>
    <w:pPr>
      <w:keepNext/>
      <w:keepLines/>
      <w:spacing w:before="340" w:after="330" w:line="576" w:lineRule="auto"/>
      <w:outlineLvl w:val="0"/>
    </w:pPr>
    <w:rPr>
      <w:b/>
      <w:kern w:val="44"/>
      <w:sz w:val="44"/>
      <w:szCs w:val="24"/>
    </w:rPr>
  </w:style>
  <w:style w:type="paragraph" w:styleId="2">
    <w:name w:val="heading 2"/>
    <w:basedOn w:val="1"/>
    <w:next w:val="1"/>
    <w:link w:val="45"/>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4">
    <w:name w:val="heading 3"/>
    <w:basedOn w:val="1"/>
    <w:next w:val="1"/>
    <w:qFormat/>
    <w:uiPriority w:val="0"/>
    <w:pPr>
      <w:keepNext/>
      <w:keepLines/>
      <w:spacing w:before="260" w:after="260" w:line="413" w:lineRule="auto"/>
      <w:outlineLvl w:val="2"/>
    </w:pPr>
    <w:rPr>
      <w:b/>
      <w:kern w:val="0"/>
      <w:sz w:val="32"/>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kern w:val="0"/>
      <w:sz w:val="20"/>
      <w:szCs w:val="24"/>
    </w:rPr>
  </w:style>
  <w:style w:type="paragraph" w:styleId="7">
    <w:name w:val="Body Text"/>
    <w:basedOn w:val="1"/>
    <w:qFormat/>
    <w:uiPriority w:val="0"/>
    <w:pPr>
      <w:adjustRightInd w:val="0"/>
      <w:spacing w:after="60" w:line="360" w:lineRule="atLeast"/>
      <w:ind w:left="72" w:leftChars="30" w:right="30" w:rightChars="30"/>
      <w:jc w:val="center"/>
      <w:textAlignment w:val="baseline"/>
    </w:pPr>
    <w:rPr>
      <w:kern w:val="0"/>
      <w:sz w:val="20"/>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List 2"/>
    <w:basedOn w:val="1"/>
    <w:qFormat/>
    <w:uiPriority w:val="0"/>
    <w:pPr>
      <w:ind w:left="100" w:leftChars="200" w:hanging="200" w:hangingChars="200"/>
    </w:pPr>
    <w:rPr>
      <w:rFonts w:ascii="Times New Roman" w:hAnsi="Times New Roman"/>
      <w:szCs w:val="24"/>
    </w:rPr>
  </w:style>
  <w:style w:type="paragraph" w:styleId="11">
    <w:name w:val="Plain Text"/>
    <w:basedOn w:val="1"/>
    <w:qFormat/>
    <w:uiPriority w:val="0"/>
    <w:rPr>
      <w:rFonts w:ascii="宋体" w:hAnsi="Courier New"/>
      <w:kern w:val="0"/>
      <w:sz w:val="20"/>
    </w:rPr>
  </w:style>
  <w:style w:type="paragraph" w:styleId="12">
    <w:name w:val="footer"/>
    <w:basedOn w:val="1"/>
    <w:qFormat/>
    <w:uiPriority w:val="0"/>
    <w:pPr>
      <w:tabs>
        <w:tab w:val="center" w:pos="4153"/>
        <w:tab w:val="right" w:pos="8306"/>
      </w:tabs>
      <w:snapToGrid w:val="0"/>
      <w:jc w:val="left"/>
    </w:pPr>
    <w:rPr>
      <w:kern w:val="0"/>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4">
    <w:name w:val="toc 1"/>
    <w:basedOn w:val="1"/>
    <w:next w:val="1"/>
    <w:qFormat/>
    <w:uiPriority w:val="0"/>
    <w:rPr>
      <w:szCs w:val="24"/>
    </w:rPr>
  </w:style>
  <w:style w:type="paragraph" w:styleId="15">
    <w:name w:val="footnote text"/>
    <w:basedOn w:val="1"/>
    <w:qFormat/>
    <w:uiPriority w:val="99"/>
    <w:pPr>
      <w:snapToGrid w:val="0"/>
      <w:jc w:val="left"/>
    </w:pPr>
    <w:rPr>
      <w:kern w:val="0"/>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link w:val="44"/>
    <w:qFormat/>
    <w:uiPriority w:val="0"/>
    <w:pPr>
      <w:spacing w:before="240" w:after="60"/>
      <w:jc w:val="center"/>
      <w:outlineLvl w:val="0"/>
    </w:pPr>
    <w:rPr>
      <w:rFonts w:ascii="Cambria" w:hAnsi="Cambria"/>
      <w:b/>
      <w:bCs/>
      <w:kern w:val="0"/>
      <w:sz w:val="32"/>
      <w:szCs w:val="32"/>
    </w:rPr>
  </w:style>
  <w:style w:type="paragraph" w:styleId="18">
    <w:name w:val="Body Text First Indent"/>
    <w:basedOn w:val="7"/>
    <w:next w:val="19"/>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paragraph" w:styleId="19">
    <w:name w:val="Body Text First Indent 2"/>
    <w:basedOn w:val="1"/>
    <w:next w:val="1"/>
    <w:qFormat/>
    <w:uiPriority w:val="0"/>
    <w:pPr>
      <w:ind w:left="200" w:firstLine="200" w:firstLineChars="200"/>
    </w:p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rPr>
      <w:b/>
      <w:bCs/>
    </w:rPr>
  </w:style>
  <w:style w:type="character" w:styleId="27">
    <w:name w:val="HTML Definition"/>
    <w:basedOn w:val="22"/>
    <w:qFormat/>
    <w:uiPriority w:val="0"/>
  </w:style>
  <w:style w:type="character" w:styleId="28">
    <w:name w:val="HTML Typewriter"/>
    <w:basedOn w:val="22"/>
    <w:qFormat/>
    <w:uiPriority w:val="0"/>
    <w:rPr>
      <w:rFonts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color w:val="0000FF"/>
      <w:u w:val="none"/>
    </w:rPr>
  </w:style>
  <w:style w:type="character" w:styleId="32">
    <w:name w:val="HTML Code"/>
    <w:basedOn w:val="22"/>
    <w:qFormat/>
    <w:uiPriority w:val="0"/>
    <w:rPr>
      <w:rFonts w:hint="default" w:ascii="monospace" w:hAnsi="monospace" w:eastAsia="monospace" w:cs="monospace"/>
      <w:sz w:val="20"/>
    </w:rPr>
  </w:style>
  <w:style w:type="character" w:styleId="33">
    <w:name w:val="HTML Cite"/>
    <w:basedOn w:val="22"/>
    <w:qFormat/>
    <w:uiPriority w:val="0"/>
  </w:style>
  <w:style w:type="character" w:styleId="34">
    <w:name w:val="footnote reference"/>
    <w:qFormat/>
    <w:uiPriority w:val="99"/>
    <w:rPr>
      <w:vertAlign w:val="superscript"/>
    </w:rPr>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hint="default" w:ascii="monospace" w:hAnsi="monospace" w:eastAsia="monospace" w:cs="monospace"/>
    </w:rPr>
  </w:style>
  <w:style w:type="paragraph" w:customStyle="1" w:styleId="3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标题 1 Char"/>
    <w:link w:val="3"/>
    <w:qFormat/>
    <w:uiPriority w:val="0"/>
    <w:rPr>
      <w:b/>
      <w:kern w:val="44"/>
      <w:sz w:val="44"/>
      <w:szCs w:val="24"/>
    </w:rPr>
  </w:style>
  <w:style w:type="paragraph" w:customStyle="1" w:styleId="40">
    <w:name w:val="列表段落1"/>
    <w:basedOn w:val="1"/>
    <w:qFormat/>
    <w:uiPriority w:val="0"/>
    <w:pPr>
      <w:ind w:firstLine="420" w:firstLineChars="200"/>
    </w:pPr>
    <w:rPr>
      <w:rFonts w:ascii="Calibri" w:hAnsi="Calibri"/>
      <w:szCs w:val="21"/>
    </w:rPr>
  </w:style>
  <w:style w:type="paragraph" w:customStyle="1" w:styleId="41">
    <w:name w:val="样式 标题 3 + (中文) 黑体 小四 非加粗 段前: 7.8 磅 段后: 0 磅 行距: 固定值 20 磅"/>
    <w:basedOn w:val="4"/>
    <w:qFormat/>
    <w:uiPriority w:val="0"/>
    <w:pPr>
      <w:spacing w:before="0" w:after="0" w:line="400" w:lineRule="exact"/>
    </w:pPr>
    <w:rPr>
      <w:rFonts w:eastAsia="黑体" w:cs="宋体"/>
      <w:b w:val="0"/>
      <w:sz w:val="24"/>
      <w:szCs w:val="20"/>
    </w:rPr>
  </w:style>
  <w:style w:type="paragraph" w:customStyle="1" w:styleId="42">
    <w:name w:val="Table Text"/>
    <w:basedOn w:val="1"/>
    <w:semiHidden/>
    <w:qFormat/>
    <w:uiPriority w:val="0"/>
    <w:rPr>
      <w:rFonts w:ascii="仿宋" w:hAnsi="仿宋" w:eastAsia="仿宋" w:cs="仿宋"/>
      <w:sz w:val="31"/>
      <w:szCs w:val="31"/>
      <w:lang w:val="en-US" w:eastAsia="en-US" w:bidi="ar-SA"/>
    </w:rPr>
  </w:style>
  <w:style w:type="table" w:customStyle="1" w:styleId="43">
    <w:name w:val="Table Normal"/>
    <w:unhideWhenUsed/>
    <w:qFormat/>
    <w:uiPriority w:val="0"/>
    <w:tblPr>
      <w:tblCellMar>
        <w:top w:w="0" w:type="dxa"/>
        <w:left w:w="0" w:type="dxa"/>
        <w:bottom w:w="0" w:type="dxa"/>
        <w:right w:w="0" w:type="dxa"/>
      </w:tblCellMar>
    </w:tblPr>
  </w:style>
  <w:style w:type="character" w:customStyle="1" w:styleId="44">
    <w:name w:val="标题 Char"/>
    <w:link w:val="17"/>
    <w:qFormat/>
    <w:uiPriority w:val="0"/>
    <w:rPr>
      <w:rFonts w:ascii="Cambria" w:hAnsi="Cambria"/>
      <w:b/>
      <w:bCs/>
      <w:kern w:val="0"/>
      <w:sz w:val="32"/>
      <w:szCs w:val="32"/>
    </w:rPr>
  </w:style>
  <w:style w:type="character" w:customStyle="1" w:styleId="45">
    <w:name w:val="标题 2 Char"/>
    <w:link w:val="2"/>
    <w:qFormat/>
    <w:uiPriority w:val="0"/>
    <w:rPr>
      <w:rFonts w:ascii="Arial" w:hAnsi="Arial" w:eastAsia="黑体"/>
      <w:b/>
      <w:color w:val="FF0000"/>
      <w:kern w:val="28"/>
      <w:sz w:val="30"/>
    </w:rPr>
  </w:style>
  <w:style w:type="character" w:customStyle="1" w:styleId="46">
    <w:name w:val="hover"/>
    <w:basedOn w:val="22"/>
    <w:qFormat/>
    <w:uiPriority w:val="0"/>
  </w:style>
  <w:style w:type="character" w:customStyle="1" w:styleId="47">
    <w:name w:val="hover1"/>
    <w:basedOn w:val="22"/>
    <w:qFormat/>
    <w:uiPriority w:val="0"/>
    <w:rPr>
      <w:color w:val="2590EB"/>
    </w:rPr>
  </w:style>
  <w:style w:type="character" w:customStyle="1" w:styleId="48">
    <w:name w:val="hover2"/>
    <w:basedOn w:val="22"/>
    <w:qFormat/>
    <w:uiPriority w:val="0"/>
    <w:rPr>
      <w:color w:val="2590EB"/>
    </w:rPr>
  </w:style>
  <w:style w:type="character" w:customStyle="1" w:styleId="49">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2755</Words>
  <Characters>3263</Characters>
  <Lines>0</Lines>
  <Paragraphs>0</Paragraphs>
  <TotalTime>24</TotalTime>
  <ScaleCrop>false</ScaleCrop>
  <LinksUpToDate>false</LinksUpToDate>
  <CharactersWithSpaces>3348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2025-06-30T06:19:00Z</dcterms:created>
  <dc:creator>胡小花</dc:creator>
  <cp:lastModifiedBy>Lenovo</cp:lastModifiedBy>
  <cp:lastPrinted>2025-07-01T10:05:00Z</cp:lastPrinted>
  <dcterms:modified xsi:type="dcterms:W3CDTF">2026-01-09T11:28:27Z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C552B6F1C2334E0DA41A322326010795_13</vt:lpwstr>
  </property>
  <property fmtid="{D5CDD505-2E9C-101B-9397-08002B2CF9AE}" pid="4" name="KSOTemplateDocerSaveRecord">
    <vt:lpwstr>eyJoZGlkIjoiZDYxOTkwMzQwMWFiMzU1MGE3YWE1MzA5NWZhZTkxODIiLCJ1c2VySWQiOiI5ODgxODYwOTcifQ==</vt:lpwstr>
  </property>
</Properties>
</file>